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7"/>
        <w:rPr>
          <w:rFonts w:hint="eastAsia"/>
          <w:highlight w:val="none"/>
        </w:rPr>
      </w:pPr>
    </w:p>
    <w:p>
      <w:pPr>
        <w:spacing w:line="360" w:lineRule="auto"/>
        <w:jc w:val="center"/>
        <w:rPr>
          <w:rFonts w:hint="eastAsia" w:ascii="宋体" w:hAnsi="宋体" w:eastAsia="宋体" w:cs="宋体"/>
          <w:color w:val="auto"/>
          <w:sz w:val="36"/>
          <w:highlight w:val="none"/>
          <w:u w:val="single"/>
          <w:lang w:eastAsia="zh-CN"/>
        </w:rPr>
      </w:pPr>
      <w:r>
        <w:rPr>
          <w:rFonts w:hint="eastAsia" w:ascii="宋体" w:hAnsi="宋体" w:cs="宋体"/>
          <w:b/>
          <w:color w:val="auto"/>
          <w:sz w:val="52"/>
          <w:szCs w:val="48"/>
          <w:highlight w:val="none"/>
          <w:lang w:eastAsia="zh-CN"/>
        </w:rPr>
        <w:t>田心调压站扩容改造工程施工项目</w:t>
      </w:r>
    </w:p>
    <w:p>
      <w:pPr>
        <w:spacing w:line="360" w:lineRule="auto"/>
        <w:jc w:val="center"/>
        <w:rPr>
          <w:rFonts w:hint="eastAsia" w:ascii="宋体" w:hAnsi="宋体" w:eastAsia="宋体" w:cs="宋体"/>
          <w:color w:val="auto"/>
          <w:sz w:val="36"/>
          <w:highlight w:val="none"/>
          <w:u w:val="single"/>
        </w:rPr>
      </w:pPr>
    </w:p>
    <w:p>
      <w:pPr>
        <w:spacing w:line="360" w:lineRule="auto"/>
        <w:jc w:val="center"/>
        <w:rPr>
          <w:rFonts w:hint="eastAsia" w:ascii="宋体" w:hAnsi="宋体" w:eastAsia="宋体" w:cs="宋体"/>
          <w:b/>
          <w:bCs/>
          <w:color w:val="auto"/>
          <w:spacing w:val="26"/>
          <w:sz w:val="110"/>
          <w:szCs w:val="110"/>
          <w:highlight w:val="none"/>
        </w:rPr>
      </w:pPr>
      <w:r>
        <w:rPr>
          <w:rFonts w:hint="eastAsia" w:ascii="宋体" w:hAnsi="宋体" w:eastAsia="宋体" w:cs="宋体"/>
          <w:b/>
          <w:bCs/>
          <w:color w:val="auto"/>
          <w:spacing w:val="26"/>
          <w:sz w:val="96"/>
          <w:szCs w:val="96"/>
          <w:highlight w:val="none"/>
        </w:rPr>
        <w:t>招标文件</w:t>
      </w:r>
    </w:p>
    <w:p>
      <w:pPr>
        <w:spacing w:line="360" w:lineRule="auto"/>
        <w:jc w:val="center"/>
        <w:rPr>
          <w:rFonts w:hint="eastAsia" w:ascii="宋体" w:hAnsi="宋体" w:eastAsia="宋体" w:cs="宋体"/>
          <w:color w:val="auto"/>
          <w:sz w:val="32"/>
          <w:highlight w:val="none"/>
        </w:rPr>
      </w:pPr>
    </w:p>
    <w:p>
      <w:pPr>
        <w:spacing w:line="360" w:lineRule="auto"/>
        <w:ind w:firstLine="2560" w:firstLineChars="800"/>
        <w:rPr>
          <w:rFonts w:hint="eastAsia" w:ascii="宋体" w:hAnsi="宋体" w:eastAsia="宋体" w:cs="宋体"/>
          <w:color w:val="auto"/>
          <w:sz w:val="32"/>
          <w:highlight w:val="none"/>
        </w:rPr>
      </w:pPr>
    </w:p>
    <w:p>
      <w:pPr>
        <w:spacing w:line="360" w:lineRule="auto"/>
        <w:rPr>
          <w:rFonts w:hint="eastAsia" w:ascii="宋体" w:hAnsi="宋体" w:eastAsia="宋体" w:cs="宋体"/>
          <w:color w:val="auto"/>
          <w:sz w:val="52"/>
          <w:highlight w:val="none"/>
        </w:rPr>
      </w:pPr>
    </w:p>
    <w:p>
      <w:pPr>
        <w:spacing w:line="480" w:lineRule="auto"/>
        <w:ind w:firstLine="1205" w:firstLineChars="300"/>
        <w:rPr>
          <w:rFonts w:hint="eastAsia" w:ascii="宋体" w:hAnsi="宋体" w:eastAsia="宋体" w:cs="宋体"/>
          <w:b/>
          <w:color w:val="auto"/>
          <w:sz w:val="40"/>
          <w:szCs w:val="30"/>
          <w:highlight w:val="none"/>
        </w:rPr>
      </w:pPr>
    </w:p>
    <w:p>
      <w:pPr>
        <w:spacing w:line="480" w:lineRule="auto"/>
        <w:ind w:firstLine="1205" w:firstLineChars="300"/>
        <w:rPr>
          <w:rFonts w:hint="eastAsia" w:ascii="宋体" w:hAnsi="宋体" w:eastAsia="宋体" w:cs="宋体"/>
          <w:b/>
          <w:color w:val="auto"/>
          <w:sz w:val="40"/>
          <w:szCs w:val="30"/>
          <w:highlight w:val="none"/>
        </w:rPr>
      </w:pPr>
    </w:p>
    <w:p>
      <w:pPr>
        <w:spacing w:line="480" w:lineRule="auto"/>
        <w:ind w:firstLine="1205" w:firstLineChars="300"/>
        <w:rPr>
          <w:rFonts w:hint="eastAsia" w:ascii="宋体" w:hAnsi="宋体" w:eastAsia="宋体" w:cs="宋体"/>
          <w:b/>
          <w:color w:val="auto"/>
          <w:sz w:val="40"/>
          <w:szCs w:val="30"/>
          <w:highlight w:val="none"/>
        </w:rPr>
      </w:pPr>
    </w:p>
    <w:p>
      <w:pPr>
        <w:spacing w:line="480" w:lineRule="auto"/>
        <w:ind w:firstLine="1205" w:firstLineChars="300"/>
        <w:rPr>
          <w:rFonts w:hint="eastAsia" w:ascii="宋体" w:hAnsi="宋体" w:eastAsia="宋体" w:cs="宋体"/>
          <w:b/>
          <w:color w:val="auto"/>
          <w:sz w:val="40"/>
          <w:szCs w:val="30"/>
          <w:highlight w:val="none"/>
        </w:rPr>
      </w:pPr>
    </w:p>
    <w:p>
      <w:pPr>
        <w:spacing w:line="480" w:lineRule="auto"/>
        <w:ind w:firstLine="1205" w:firstLineChars="300"/>
        <w:rPr>
          <w:rFonts w:hint="eastAsia" w:ascii="宋体" w:hAnsi="宋体" w:eastAsia="宋体" w:cs="宋体"/>
          <w:b/>
          <w:color w:val="auto"/>
          <w:sz w:val="40"/>
          <w:szCs w:val="30"/>
          <w:highlight w:val="none"/>
        </w:rPr>
      </w:pPr>
    </w:p>
    <w:p>
      <w:pPr>
        <w:spacing w:line="480" w:lineRule="auto"/>
        <w:ind w:firstLine="964" w:firstLineChars="300"/>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招标单位：</w:t>
      </w:r>
      <w:r>
        <w:rPr>
          <w:rFonts w:hint="eastAsia" w:ascii="宋体" w:hAnsi="宋体" w:eastAsia="宋体" w:cs="宋体"/>
          <w:b/>
          <w:color w:val="auto"/>
          <w:sz w:val="32"/>
          <w:szCs w:val="32"/>
          <w:highlight w:val="none"/>
          <w:u w:val="single"/>
        </w:rPr>
        <w:t>广州燃气集团有限公司</w:t>
      </w:r>
    </w:p>
    <w:p>
      <w:pPr>
        <w:spacing w:line="480" w:lineRule="auto"/>
        <w:ind w:firstLine="964" w:firstLineChars="300"/>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招标代理单位：</w:t>
      </w:r>
      <w:r>
        <w:rPr>
          <w:rFonts w:hint="eastAsia" w:ascii="宋体" w:hAnsi="宋体" w:eastAsia="宋体" w:cs="宋体"/>
          <w:b/>
          <w:color w:val="auto"/>
          <w:sz w:val="32"/>
          <w:szCs w:val="32"/>
          <w:highlight w:val="none"/>
          <w:u w:val="single"/>
        </w:rPr>
        <w:t>广州市广州工程建设监理有限公司</w:t>
      </w:r>
    </w:p>
    <w:p>
      <w:pPr>
        <w:pStyle w:val="2"/>
        <w:ind w:firstLine="2400" w:firstLineChars="750"/>
        <w:rPr>
          <w:rFonts w:hint="eastAsia" w:ascii="宋体" w:hAnsi="宋体" w:eastAsia="宋体" w:cs="宋体"/>
          <w:color w:val="FFFFFF" w:themeColor="background1"/>
          <w:sz w:val="32"/>
          <w:szCs w:val="32"/>
          <w:highlight w:val="none"/>
          <w:lang w:val="en-US"/>
          <w14:textFill>
            <w14:solidFill>
              <w14:schemeClr w14:val="bg1"/>
            </w14:solidFill>
          </w14:textFill>
        </w:rPr>
      </w:pPr>
      <w:r>
        <w:rPr>
          <w:rFonts w:hint="eastAsia" w:ascii="宋体" w:hAnsi="宋体" w:eastAsia="宋体" w:cs="宋体"/>
          <w:color w:val="FFFFFF" w:themeColor="background1"/>
          <w:sz w:val="32"/>
          <w:szCs w:val="32"/>
          <w:highlight w:val="none"/>
          <w:lang w:val="en-US"/>
          <w14:textFill>
            <w14:solidFill>
              <w14:schemeClr w14:val="bg1"/>
            </w14:solidFill>
          </w14:textFill>
        </w:rPr>
        <w:t>（招标机构签章位置）</w:t>
      </w:r>
    </w:p>
    <w:p>
      <w:pPr>
        <w:spacing w:line="48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日期：</w:t>
      </w:r>
      <w:r>
        <w:rPr>
          <w:rFonts w:hint="eastAsia" w:ascii="宋体" w:hAnsi="宋体" w:eastAsia="宋体" w:cs="宋体"/>
          <w:b/>
          <w:color w:val="auto"/>
          <w:sz w:val="32"/>
          <w:szCs w:val="32"/>
          <w:highlight w:val="none"/>
          <w:u w:val="single"/>
          <w:lang w:eastAsia="zh-CN"/>
        </w:rPr>
        <w:t>2023年</w:t>
      </w:r>
      <w:r>
        <w:rPr>
          <w:rFonts w:hint="eastAsia" w:ascii="宋体" w:hAnsi="宋体" w:cs="宋体"/>
          <w:b/>
          <w:color w:val="auto"/>
          <w:sz w:val="32"/>
          <w:szCs w:val="32"/>
          <w:highlight w:val="none"/>
          <w:u w:val="single"/>
          <w:lang w:val="en-US" w:eastAsia="zh-CN"/>
        </w:rPr>
        <w:t>7</w:t>
      </w:r>
      <w:r>
        <w:rPr>
          <w:rFonts w:hint="eastAsia" w:ascii="宋体" w:hAnsi="宋体" w:eastAsia="宋体" w:cs="宋体"/>
          <w:b/>
          <w:color w:val="auto"/>
          <w:sz w:val="32"/>
          <w:szCs w:val="32"/>
          <w:highlight w:val="none"/>
        </w:rPr>
        <w:t>月</w:t>
      </w:r>
    </w:p>
    <w:p>
      <w:pPr>
        <w:jc w:val="center"/>
        <w:rPr>
          <w:rFonts w:hint="eastAsia" w:ascii="宋体" w:hAnsi="宋体" w:eastAsia="宋体" w:cs="宋体"/>
          <w:b/>
          <w:caps/>
          <w:color w:val="auto"/>
          <w:kern w:val="0"/>
          <w:highlight w:val="none"/>
        </w:rPr>
      </w:pPr>
      <w:r>
        <w:rPr>
          <w:rFonts w:hint="eastAsia" w:ascii="宋体" w:hAnsi="宋体" w:eastAsia="宋体" w:cs="宋体"/>
          <w:b/>
          <w:bCs/>
          <w:color w:val="auto"/>
          <w:highlight w:val="none"/>
          <w:u w:val="single"/>
        </w:rPr>
        <w:br w:type="page"/>
      </w:r>
      <w:r>
        <w:rPr>
          <w:rFonts w:hint="eastAsia" w:ascii="宋体" w:hAnsi="宋体" w:eastAsia="宋体" w:cs="宋体"/>
          <w:b/>
          <w:bCs/>
          <w:color w:val="auto"/>
          <w:sz w:val="28"/>
          <w:szCs w:val="28"/>
          <w:highlight w:val="none"/>
        </w:rPr>
        <w:t>目录</w:t>
      </w:r>
    </w:p>
    <w:p>
      <w:pPr>
        <w:pStyle w:val="29"/>
        <w:tabs>
          <w:tab w:val="right" w:leader="dot" w:pos="9072"/>
        </w:tabs>
        <w:rPr>
          <w:color w:val="auto"/>
          <w:highlight w:val="none"/>
        </w:rPr>
      </w:pPr>
      <w:r>
        <w:rPr>
          <w:rFonts w:hint="eastAsia" w:ascii="宋体" w:hAnsi="宋体" w:eastAsia="宋体" w:cs="宋体"/>
          <w:caps/>
          <w:color w:val="auto"/>
          <w:kern w:val="0"/>
          <w:sz w:val="24"/>
          <w:szCs w:val="32"/>
          <w:highlight w:val="none"/>
        </w:rPr>
        <w:fldChar w:fldCharType="begin"/>
      </w:r>
      <w:r>
        <w:rPr>
          <w:rFonts w:hint="eastAsia" w:ascii="宋体" w:hAnsi="宋体" w:eastAsia="宋体" w:cs="宋体"/>
          <w:color w:val="auto"/>
          <w:highlight w:val="none"/>
        </w:rPr>
        <w:instrText xml:space="preserve"> TOC \o "1-3" \h \z \u </w:instrText>
      </w:r>
      <w:r>
        <w:rPr>
          <w:rFonts w:hint="eastAsia" w:ascii="宋体" w:hAnsi="宋体" w:eastAsia="宋体" w:cs="宋体"/>
          <w:caps/>
          <w:color w:val="auto"/>
          <w:kern w:val="0"/>
          <w:sz w:val="24"/>
          <w:szCs w:val="32"/>
          <w:highlight w:val="none"/>
        </w:rPr>
        <w:fldChar w:fldCharType="separate"/>
      </w:r>
      <w:r>
        <w:rPr>
          <w:rFonts w:hint="eastAsia" w:ascii="宋体" w:hAnsi="宋体" w:eastAsia="宋体" w:cs="宋体"/>
          <w:caps/>
          <w:color w:val="auto"/>
          <w:kern w:val="0"/>
          <w:szCs w:val="32"/>
          <w:highlight w:val="none"/>
        </w:rPr>
        <w:fldChar w:fldCharType="begin"/>
      </w:r>
      <w:r>
        <w:rPr>
          <w:rFonts w:hint="eastAsia" w:ascii="宋体" w:hAnsi="宋体" w:eastAsia="宋体" w:cs="宋体"/>
          <w:caps/>
          <w:color w:val="auto"/>
          <w:kern w:val="0"/>
          <w:szCs w:val="32"/>
          <w:highlight w:val="none"/>
        </w:rPr>
        <w:instrText xml:space="preserve"> HYPERLINK \l _Toc29781 </w:instrText>
      </w:r>
      <w:r>
        <w:rPr>
          <w:rFonts w:hint="eastAsia" w:ascii="宋体" w:hAnsi="宋体" w:eastAsia="宋体" w:cs="宋体"/>
          <w:caps/>
          <w:color w:val="auto"/>
          <w:kern w:val="0"/>
          <w:szCs w:val="32"/>
          <w:highlight w:val="none"/>
        </w:rPr>
        <w:fldChar w:fldCharType="separate"/>
      </w:r>
      <w:r>
        <w:rPr>
          <w:rFonts w:hint="eastAsia" w:ascii="宋体" w:hAnsi="宋体" w:eastAsia="宋体" w:cs="宋体"/>
          <w:color w:val="auto"/>
          <w:kern w:val="44"/>
          <w:szCs w:val="28"/>
          <w:highlight w:val="none"/>
        </w:rPr>
        <w:t>第一章投标须知</w:t>
      </w:r>
      <w:r>
        <w:rPr>
          <w:color w:val="auto"/>
          <w:highlight w:val="none"/>
        </w:rPr>
        <w:tab/>
      </w:r>
      <w:r>
        <w:rPr>
          <w:color w:val="auto"/>
          <w:highlight w:val="none"/>
        </w:rPr>
        <w:fldChar w:fldCharType="begin"/>
      </w:r>
      <w:r>
        <w:rPr>
          <w:color w:val="auto"/>
          <w:highlight w:val="none"/>
        </w:rPr>
        <w:instrText xml:space="preserve"> PAGEREF _Toc29781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aps/>
          <w:color w:val="auto"/>
          <w:kern w:val="0"/>
          <w:szCs w:val="32"/>
          <w:highlight w:val="none"/>
        </w:rPr>
        <w:fldChar w:fldCharType="end"/>
      </w:r>
    </w:p>
    <w:p>
      <w:pPr>
        <w:pStyle w:val="33"/>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_Toc3388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kern w:val="0"/>
          <w:szCs w:val="24"/>
          <w:highlight w:val="none"/>
        </w:rPr>
        <w:t>一、投标须知前附表</w:t>
      </w:r>
      <w:r>
        <w:rPr>
          <w:color w:val="auto"/>
          <w:highlight w:val="none"/>
        </w:rPr>
        <w:tab/>
      </w:r>
      <w:r>
        <w:rPr>
          <w:color w:val="auto"/>
          <w:highlight w:val="none"/>
        </w:rPr>
        <w:fldChar w:fldCharType="begin"/>
      </w:r>
      <w:r>
        <w:rPr>
          <w:color w:val="auto"/>
          <w:highlight w:val="none"/>
        </w:rPr>
        <w:instrText xml:space="preserve"> PAGEREF _Toc3388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33"/>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_Toc28338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二、投标须知修改表</w:t>
      </w:r>
      <w:r>
        <w:rPr>
          <w:color w:val="auto"/>
          <w:highlight w:val="none"/>
        </w:rPr>
        <w:tab/>
      </w:r>
      <w:r>
        <w:rPr>
          <w:color w:val="auto"/>
          <w:highlight w:val="none"/>
        </w:rPr>
        <w:fldChar w:fldCharType="begin"/>
      </w:r>
      <w:r>
        <w:rPr>
          <w:color w:val="auto"/>
          <w:highlight w:val="none"/>
        </w:rPr>
        <w:instrText xml:space="preserve"> PAGEREF _Toc28338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33"/>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_Toc6077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三、投标须知通用条款（见范本）</w:t>
      </w:r>
      <w:r>
        <w:rPr>
          <w:color w:val="auto"/>
          <w:highlight w:val="none"/>
        </w:rPr>
        <w:tab/>
      </w:r>
      <w:r>
        <w:rPr>
          <w:color w:val="auto"/>
          <w:highlight w:val="none"/>
        </w:rPr>
        <w:fldChar w:fldCharType="begin"/>
      </w:r>
      <w:r>
        <w:rPr>
          <w:color w:val="auto"/>
          <w:highlight w:val="none"/>
        </w:rPr>
        <w:instrText xml:space="preserve"> PAGEREF _Toc6077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_Toc32390 </w:instrText>
      </w:r>
      <w:r>
        <w:rPr>
          <w:rFonts w:hint="eastAsia" w:ascii="宋体" w:hAnsi="宋体" w:eastAsia="宋体" w:cs="宋体"/>
          <w:color w:val="auto"/>
          <w:kern w:val="44"/>
          <w:szCs w:val="28"/>
          <w:highlight w:val="none"/>
        </w:rPr>
        <w:fldChar w:fldCharType="separate"/>
      </w:r>
      <w:r>
        <w:rPr>
          <w:rFonts w:hint="eastAsia"/>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_Toc32390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_Toc1502 </w:instrText>
      </w:r>
      <w:r>
        <w:rPr>
          <w:rFonts w:hint="eastAsia" w:ascii="宋体" w:hAnsi="宋体" w:eastAsia="宋体" w:cs="宋体"/>
          <w:color w:val="auto"/>
          <w:kern w:val="44"/>
          <w:szCs w:val="28"/>
          <w:highlight w:val="none"/>
        </w:rPr>
        <w:fldChar w:fldCharType="separate"/>
      </w:r>
      <w:r>
        <w:rPr>
          <w:rFonts w:hint="eastAsia"/>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_Toc1502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_Toc22637 </w:instrText>
      </w:r>
      <w:r>
        <w:rPr>
          <w:rFonts w:hint="eastAsia" w:ascii="宋体" w:hAnsi="宋体" w:eastAsia="宋体" w:cs="宋体"/>
          <w:color w:val="auto"/>
          <w:kern w:val="44"/>
          <w:szCs w:val="28"/>
          <w:highlight w:val="none"/>
        </w:rPr>
        <w:fldChar w:fldCharType="separate"/>
      </w:r>
      <w:r>
        <w:rPr>
          <w:rFonts w:hint="eastAsia"/>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_Toc22637 \h </w:instrText>
      </w:r>
      <w:r>
        <w:rPr>
          <w:color w:val="auto"/>
          <w:highlight w:val="none"/>
        </w:rPr>
        <w:fldChar w:fldCharType="separate"/>
      </w:r>
      <w:r>
        <w:rPr>
          <w:color w:val="auto"/>
          <w:highlight w:val="none"/>
        </w:rPr>
        <w:t>21</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_Toc5101 </w:instrText>
      </w:r>
      <w:r>
        <w:rPr>
          <w:rFonts w:hint="eastAsia" w:ascii="宋体" w:hAnsi="宋体" w:eastAsia="宋体" w:cs="宋体"/>
          <w:color w:val="auto"/>
          <w:kern w:val="44"/>
          <w:szCs w:val="28"/>
          <w:highlight w:val="none"/>
        </w:rPr>
        <w:fldChar w:fldCharType="separate"/>
      </w:r>
      <w:r>
        <w:rPr>
          <w:rFonts w:hint="eastAsia"/>
          <w:color w:val="auto"/>
          <w:highlight w:val="none"/>
        </w:rPr>
        <w:t>（四）投标文件的提交</w:t>
      </w:r>
      <w:r>
        <w:rPr>
          <w:color w:val="auto"/>
          <w:highlight w:val="none"/>
        </w:rPr>
        <w:tab/>
      </w:r>
      <w:r>
        <w:rPr>
          <w:color w:val="auto"/>
          <w:highlight w:val="none"/>
        </w:rPr>
        <w:fldChar w:fldCharType="begin"/>
      </w:r>
      <w:r>
        <w:rPr>
          <w:color w:val="auto"/>
          <w:highlight w:val="none"/>
        </w:rPr>
        <w:instrText xml:space="preserve"> PAGEREF _Toc5101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_Toc16664 </w:instrText>
      </w:r>
      <w:r>
        <w:rPr>
          <w:rFonts w:hint="eastAsia" w:ascii="宋体" w:hAnsi="宋体" w:eastAsia="宋体" w:cs="宋体"/>
          <w:color w:val="auto"/>
          <w:kern w:val="44"/>
          <w:szCs w:val="28"/>
          <w:highlight w:val="none"/>
        </w:rPr>
        <w:fldChar w:fldCharType="separate"/>
      </w:r>
      <w:r>
        <w:rPr>
          <w:rFonts w:hint="eastAsia"/>
          <w:color w:val="auto"/>
          <w:highlight w:val="none"/>
        </w:rPr>
        <w:t>（五）开标、评标、定标及合同签定</w:t>
      </w:r>
      <w:r>
        <w:rPr>
          <w:color w:val="auto"/>
          <w:highlight w:val="none"/>
        </w:rPr>
        <w:tab/>
      </w:r>
      <w:r>
        <w:rPr>
          <w:color w:val="auto"/>
          <w:highlight w:val="none"/>
        </w:rPr>
        <w:fldChar w:fldCharType="begin"/>
      </w:r>
      <w:r>
        <w:rPr>
          <w:color w:val="auto"/>
          <w:highlight w:val="none"/>
        </w:rPr>
        <w:instrText xml:space="preserve"> PAGEREF _Toc16664 \h </w:instrText>
      </w:r>
      <w:r>
        <w:rPr>
          <w:color w:val="auto"/>
          <w:highlight w:val="none"/>
        </w:rPr>
        <w:fldChar w:fldCharType="separate"/>
      </w:r>
      <w:r>
        <w:rPr>
          <w:color w:val="auto"/>
          <w:highlight w:val="none"/>
        </w:rPr>
        <w:t>30</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9"/>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_Toc28424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第二章开标、评标及定标办法</w:t>
      </w:r>
      <w:r>
        <w:rPr>
          <w:color w:val="auto"/>
          <w:highlight w:val="none"/>
        </w:rPr>
        <w:tab/>
      </w:r>
      <w:r>
        <w:rPr>
          <w:color w:val="auto"/>
          <w:highlight w:val="none"/>
        </w:rPr>
        <w:fldChar w:fldCharType="begin"/>
      </w:r>
      <w:r>
        <w:rPr>
          <w:color w:val="auto"/>
          <w:highlight w:val="none"/>
        </w:rPr>
        <w:instrText xml:space="preserve"> PAGEREF _Toc28424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33"/>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_Toc1941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szCs w:val="28"/>
          <w:highlight w:val="none"/>
        </w:rPr>
        <w:t>一、</w:t>
      </w:r>
      <w:r>
        <w:rPr>
          <w:rFonts w:hint="eastAsia" w:ascii="宋体" w:hAnsi="宋体" w:eastAsia="宋体" w:cs="宋体"/>
          <w:color w:val="auto"/>
          <w:highlight w:val="none"/>
        </w:rPr>
        <w:t>开标、评标及定标办法修改表</w:t>
      </w:r>
      <w:r>
        <w:rPr>
          <w:color w:val="auto"/>
          <w:highlight w:val="none"/>
        </w:rPr>
        <w:tab/>
      </w:r>
      <w:r>
        <w:rPr>
          <w:color w:val="auto"/>
          <w:highlight w:val="none"/>
        </w:rPr>
        <w:fldChar w:fldCharType="begin"/>
      </w:r>
      <w:r>
        <w:rPr>
          <w:color w:val="auto"/>
          <w:highlight w:val="none"/>
        </w:rPr>
        <w:instrText xml:space="preserve"> PAGEREF _Toc1941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33"/>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_Toc20166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二、开标、评标及定标办法</w:t>
      </w:r>
      <w:r>
        <w:rPr>
          <w:rFonts w:hint="eastAsia" w:ascii="宋体" w:hAnsi="宋体" w:eastAsia="宋体" w:cs="宋体"/>
          <w:color w:val="auto"/>
          <w:szCs w:val="30"/>
          <w:highlight w:val="none"/>
        </w:rPr>
        <w:t>通用条款</w:t>
      </w:r>
      <w:r>
        <w:rPr>
          <w:color w:val="auto"/>
          <w:highlight w:val="none"/>
        </w:rPr>
        <w:tab/>
      </w:r>
      <w:r>
        <w:rPr>
          <w:color w:val="auto"/>
          <w:highlight w:val="none"/>
        </w:rPr>
        <w:fldChar w:fldCharType="begin"/>
      </w:r>
      <w:r>
        <w:rPr>
          <w:color w:val="auto"/>
          <w:highlight w:val="none"/>
        </w:rPr>
        <w:instrText xml:space="preserve"> PAGEREF _Toc20166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_Toc7896 </w:instrText>
      </w:r>
      <w:r>
        <w:rPr>
          <w:rFonts w:hint="eastAsia" w:ascii="宋体" w:hAnsi="宋体" w:eastAsia="宋体" w:cs="宋体"/>
          <w:color w:val="auto"/>
          <w:kern w:val="44"/>
          <w:szCs w:val="28"/>
          <w:highlight w:val="none"/>
        </w:rPr>
        <w:fldChar w:fldCharType="separate"/>
      </w:r>
      <w:r>
        <w:rPr>
          <w:rFonts w:hint="eastAsia"/>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_Toc7896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_Toc29981 </w:instrText>
      </w:r>
      <w:r>
        <w:rPr>
          <w:rFonts w:hint="eastAsia" w:ascii="宋体" w:hAnsi="宋体" w:eastAsia="宋体" w:cs="宋体"/>
          <w:color w:val="auto"/>
          <w:kern w:val="44"/>
          <w:szCs w:val="28"/>
          <w:highlight w:val="none"/>
        </w:rPr>
        <w:fldChar w:fldCharType="separate"/>
      </w:r>
      <w:r>
        <w:rPr>
          <w:rFonts w:hint="eastAsia"/>
          <w:color w:val="auto"/>
          <w:highlight w:val="none"/>
        </w:rPr>
        <w:t>（二）开标评标办法程序和细则</w:t>
      </w:r>
      <w:r>
        <w:rPr>
          <w:color w:val="auto"/>
          <w:highlight w:val="none"/>
        </w:rPr>
        <w:tab/>
      </w:r>
      <w:r>
        <w:rPr>
          <w:color w:val="auto"/>
          <w:highlight w:val="none"/>
        </w:rPr>
        <w:fldChar w:fldCharType="begin"/>
      </w:r>
      <w:r>
        <w:rPr>
          <w:color w:val="auto"/>
          <w:highlight w:val="none"/>
        </w:rPr>
        <w:instrText xml:space="preserve"> PAGEREF _Toc29981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_Toc14480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szCs w:val="32"/>
          <w:highlight w:val="none"/>
        </w:rPr>
        <w:t>资格审查表</w:t>
      </w:r>
      <w:r>
        <w:rPr>
          <w:color w:val="auto"/>
          <w:highlight w:val="none"/>
        </w:rPr>
        <w:tab/>
      </w:r>
      <w:r>
        <w:rPr>
          <w:color w:val="auto"/>
          <w:highlight w:val="none"/>
        </w:rPr>
        <w:fldChar w:fldCharType="begin"/>
      </w:r>
      <w:r>
        <w:rPr>
          <w:color w:val="auto"/>
          <w:highlight w:val="none"/>
        </w:rPr>
        <w:instrText xml:space="preserve"> PAGEREF _Toc14480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_Toc3686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szCs w:val="36"/>
          <w:highlight w:val="none"/>
        </w:rPr>
        <w:t>技术标有效性审查表</w:t>
      </w:r>
      <w:r>
        <w:rPr>
          <w:color w:val="auto"/>
          <w:highlight w:val="none"/>
        </w:rPr>
        <w:tab/>
      </w:r>
      <w:r>
        <w:rPr>
          <w:color w:val="auto"/>
          <w:highlight w:val="none"/>
        </w:rPr>
        <w:fldChar w:fldCharType="begin"/>
      </w:r>
      <w:r>
        <w:rPr>
          <w:color w:val="auto"/>
          <w:highlight w:val="none"/>
        </w:rPr>
        <w:instrText xml:space="preserve"> PAGEREF _Toc3686 \h </w:instrText>
      </w:r>
      <w:r>
        <w:rPr>
          <w:color w:val="auto"/>
          <w:highlight w:val="none"/>
        </w:rPr>
        <w:fldChar w:fldCharType="separate"/>
      </w:r>
      <w:r>
        <w:rPr>
          <w:color w:val="auto"/>
          <w:highlight w:val="none"/>
        </w:rPr>
        <w:t>48</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_Toc4996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szCs w:val="36"/>
          <w:highlight w:val="none"/>
        </w:rPr>
        <w:t>经济标有效性审查表</w:t>
      </w:r>
      <w:r>
        <w:rPr>
          <w:color w:val="auto"/>
          <w:highlight w:val="none"/>
        </w:rPr>
        <w:tab/>
      </w:r>
      <w:r>
        <w:rPr>
          <w:color w:val="auto"/>
          <w:highlight w:val="none"/>
        </w:rPr>
        <w:fldChar w:fldCharType="begin"/>
      </w:r>
      <w:r>
        <w:rPr>
          <w:color w:val="auto"/>
          <w:highlight w:val="none"/>
        </w:rPr>
        <w:instrText xml:space="preserve"> PAGEREF _Toc4996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_Toc31419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szCs w:val="36"/>
          <w:highlight w:val="none"/>
        </w:rPr>
        <w:t>技术标详细审查评分表</w:t>
      </w:r>
      <w:r>
        <w:rPr>
          <w:color w:val="auto"/>
          <w:highlight w:val="none"/>
        </w:rPr>
        <w:tab/>
      </w:r>
      <w:r>
        <w:rPr>
          <w:color w:val="auto"/>
          <w:highlight w:val="none"/>
        </w:rPr>
        <w:fldChar w:fldCharType="begin"/>
      </w:r>
      <w:r>
        <w:rPr>
          <w:color w:val="auto"/>
          <w:highlight w:val="none"/>
        </w:rPr>
        <w:instrText xml:space="preserve"> PAGEREF _Toc31419 \h </w:instrText>
      </w:r>
      <w:r>
        <w:rPr>
          <w:color w:val="auto"/>
          <w:highlight w:val="none"/>
        </w:rPr>
        <w:fldChar w:fldCharType="separate"/>
      </w:r>
      <w:r>
        <w:rPr>
          <w:color w:val="auto"/>
          <w:highlight w:val="none"/>
        </w:rPr>
        <w:t>50</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_Toc532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szCs w:val="36"/>
          <w:highlight w:val="none"/>
        </w:rPr>
        <w:t>经济标评分表</w:t>
      </w:r>
      <w:r>
        <w:rPr>
          <w:color w:val="auto"/>
          <w:highlight w:val="none"/>
        </w:rPr>
        <w:tab/>
      </w:r>
      <w:r>
        <w:rPr>
          <w:color w:val="auto"/>
          <w:highlight w:val="none"/>
        </w:rPr>
        <w:fldChar w:fldCharType="begin"/>
      </w:r>
      <w:r>
        <w:rPr>
          <w:color w:val="auto"/>
          <w:highlight w:val="none"/>
        </w:rPr>
        <w:instrText xml:space="preserve"> PAGEREF _Toc532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_Toc4861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szCs w:val="36"/>
          <w:highlight w:val="none"/>
        </w:rPr>
        <w:t>算术复核表</w:t>
      </w:r>
      <w:r>
        <w:rPr>
          <w:color w:val="auto"/>
          <w:highlight w:val="none"/>
        </w:rPr>
        <w:tab/>
      </w:r>
      <w:r>
        <w:rPr>
          <w:color w:val="auto"/>
          <w:highlight w:val="none"/>
        </w:rPr>
        <w:fldChar w:fldCharType="begin"/>
      </w:r>
      <w:r>
        <w:rPr>
          <w:color w:val="auto"/>
          <w:highlight w:val="none"/>
        </w:rPr>
        <w:instrText xml:space="preserve"> PAGEREF _Toc4861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9"/>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_Toc4501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第三章合同条款</w:t>
      </w:r>
      <w:r>
        <w:rPr>
          <w:color w:val="auto"/>
          <w:highlight w:val="none"/>
        </w:rPr>
        <w:tab/>
      </w:r>
      <w:r>
        <w:rPr>
          <w:color w:val="auto"/>
          <w:highlight w:val="none"/>
        </w:rPr>
        <w:fldChar w:fldCharType="begin"/>
      </w:r>
      <w:r>
        <w:rPr>
          <w:color w:val="auto"/>
          <w:highlight w:val="none"/>
        </w:rPr>
        <w:instrText xml:space="preserve"> PAGEREF _Toc4501 \h </w:instrText>
      </w:r>
      <w:r>
        <w:rPr>
          <w:color w:val="auto"/>
          <w:highlight w:val="none"/>
        </w:rPr>
        <w:fldChar w:fldCharType="separate"/>
      </w:r>
      <w:r>
        <w:rPr>
          <w:color w:val="auto"/>
          <w:highlight w:val="none"/>
        </w:rPr>
        <w:t>56</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9"/>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_Toc23502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第四章投标文件格式</w:t>
      </w:r>
      <w:r>
        <w:rPr>
          <w:color w:val="auto"/>
          <w:highlight w:val="none"/>
        </w:rPr>
        <w:tab/>
      </w:r>
      <w:r>
        <w:rPr>
          <w:color w:val="auto"/>
          <w:highlight w:val="none"/>
        </w:rPr>
        <w:fldChar w:fldCharType="begin"/>
      </w:r>
      <w:r>
        <w:rPr>
          <w:color w:val="auto"/>
          <w:highlight w:val="none"/>
        </w:rPr>
        <w:instrText xml:space="preserve"> PAGEREF _Toc23502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33"/>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_Toc12077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一、技术标投标文件格式</w:t>
      </w:r>
      <w:r>
        <w:rPr>
          <w:color w:val="auto"/>
          <w:highlight w:val="none"/>
        </w:rPr>
        <w:tab/>
      </w:r>
      <w:r>
        <w:rPr>
          <w:color w:val="auto"/>
          <w:highlight w:val="none"/>
        </w:rPr>
        <w:fldChar w:fldCharType="begin"/>
      </w:r>
      <w:r>
        <w:rPr>
          <w:color w:val="auto"/>
          <w:highlight w:val="none"/>
        </w:rPr>
        <w:instrText xml:space="preserve"> PAGEREF _Toc12077 \h </w:instrText>
      </w:r>
      <w:r>
        <w:rPr>
          <w:color w:val="auto"/>
          <w:highlight w:val="none"/>
        </w:rPr>
        <w:fldChar w:fldCharType="separate"/>
      </w:r>
      <w:r>
        <w:rPr>
          <w:color w:val="auto"/>
          <w:highlight w:val="none"/>
        </w:rPr>
        <w:t>263</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_Toc524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格式一：技术标封面</w:t>
      </w:r>
      <w:r>
        <w:rPr>
          <w:color w:val="auto"/>
          <w:highlight w:val="none"/>
        </w:rPr>
        <w:tab/>
      </w:r>
      <w:r>
        <w:rPr>
          <w:color w:val="auto"/>
          <w:highlight w:val="none"/>
        </w:rPr>
        <w:fldChar w:fldCharType="begin"/>
      </w:r>
      <w:r>
        <w:rPr>
          <w:color w:val="auto"/>
          <w:highlight w:val="none"/>
        </w:rPr>
        <w:instrText xml:space="preserve"> PAGEREF _Toc524 \h </w:instrText>
      </w:r>
      <w:r>
        <w:rPr>
          <w:color w:val="auto"/>
          <w:highlight w:val="none"/>
        </w:rPr>
        <w:fldChar w:fldCharType="separate"/>
      </w:r>
      <w:r>
        <w:rPr>
          <w:color w:val="auto"/>
          <w:highlight w:val="none"/>
        </w:rPr>
        <w:t>264</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_Toc27497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bCs/>
          <w:color w:val="auto"/>
          <w:szCs w:val="21"/>
          <w:highlight w:val="none"/>
        </w:rPr>
        <w:t>格式二：广州建设工程施工招标投标书</w:t>
      </w:r>
      <w:r>
        <w:rPr>
          <w:color w:val="auto"/>
          <w:highlight w:val="none"/>
        </w:rPr>
        <w:tab/>
      </w:r>
      <w:r>
        <w:rPr>
          <w:color w:val="auto"/>
          <w:highlight w:val="none"/>
        </w:rPr>
        <w:fldChar w:fldCharType="begin"/>
      </w:r>
      <w:r>
        <w:rPr>
          <w:color w:val="auto"/>
          <w:highlight w:val="none"/>
        </w:rPr>
        <w:instrText xml:space="preserve"> PAGEREF _Toc27497 \h </w:instrText>
      </w:r>
      <w:r>
        <w:rPr>
          <w:color w:val="auto"/>
          <w:highlight w:val="none"/>
        </w:rPr>
        <w:fldChar w:fldCharType="separate"/>
      </w:r>
      <w:r>
        <w:rPr>
          <w:color w:val="auto"/>
          <w:highlight w:val="none"/>
        </w:rPr>
        <w:t>265</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_Toc28315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bCs/>
          <w:color w:val="auto"/>
          <w:spacing w:val="4"/>
          <w:kern w:val="0"/>
          <w:szCs w:val="21"/>
          <w:highlight w:val="none"/>
          <w:lang w:val="zh-CN"/>
        </w:rPr>
        <w:t>格式三：参与编制技术标投标文件人员名单</w:t>
      </w:r>
      <w:r>
        <w:rPr>
          <w:color w:val="auto"/>
          <w:highlight w:val="none"/>
        </w:rPr>
        <w:tab/>
      </w:r>
      <w:r>
        <w:rPr>
          <w:color w:val="auto"/>
          <w:highlight w:val="none"/>
        </w:rPr>
        <w:fldChar w:fldCharType="begin"/>
      </w:r>
      <w:r>
        <w:rPr>
          <w:color w:val="auto"/>
          <w:highlight w:val="none"/>
        </w:rPr>
        <w:instrText xml:space="preserve"> PAGEREF _Toc28315 \h </w:instrText>
      </w:r>
      <w:r>
        <w:rPr>
          <w:color w:val="auto"/>
          <w:highlight w:val="none"/>
        </w:rPr>
        <w:fldChar w:fldCharType="separate"/>
      </w:r>
      <w:r>
        <w:rPr>
          <w:color w:val="auto"/>
          <w:highlight w:val="none"/>
        </w:rPr>
        <w:t>266</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_Toc14233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格式四：投标函和承诺书</w:t>
      </w:r>
      <w:r>
        <w:rPr>
          <w:color w:val="auto"/>
          <w:highlight w:val="none"/>
        </w:rPr>
        <w:tab/>
      </w:r>
      <w:r>
        <w:rPr>
          <w:color w:val="auto"/>
          <w:highlight w:val="none"/>
        </w:rPr>
        <w:fldChar w:fldCharType="begin"/>
      </w:r>
      <w:r>
        <w:rPr>
          <w:color w:val="auto"/>
          <w:highlight w:val="none"/>
        </w:rPr>
        <w:instrText xml:space="preserve"> PAGEREF _Toc14233 \h </w:instrText>
      </w:r>
      <w:r>
        <w:rPr>
          <w:color w:val="auto"/>
          <w:highlight w:val="none"/>
        </w:rPr>
        <w:fldChar w:fldCharType="separate"/>
      </w:r>
      <w:r>
        <w:rPr>
          <w:color w:val="auto"/>
          <w:highlight w:val="none"/>
        </w:rPr>
        <w:t>267</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_Toc29586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格式五：施工项目管理团队人员信息表</w:t>
      </w:r>
      <w:r>
        <w:rPr>
          <w:color w:val="auto"/>
          <w:highlight w:val="none"/>
        </w:rPr>
        <w:tab/>
      </w:r>
      <w:r>
        <w:rPr>
          <w:color w:val="auto"/>
          <w:highlight w:val="none"/>
        </w:rPr>
        <w:fldChar w:fldCharType="begin"/>
      </w:r>
      <w:r>
        <w:rPr>
          <w:color w:val="auto"/>
          <w:highlight w:val="none"/>
        </w:rPr>
        <w:instrText xml:space="preserve"> PAGEREF _Toc29586 \h </w:instrText>
      </w:r>
      <w:r>
        <w:rPr>
          <w:color w:val="auto"/>
          <w:highlight w:val="none"/>
        </w:rPr>
        <w:fldChar w:fldCharType="separate"/>
      </w:r>
      <w:r>
        <w:rPr>
          <w:color w:val="auto"/>
          <w:highlight w:val="none"/>
        </w:rPr>
        <w:t>272</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_Toc3770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格式六：主要人员简历表</w:t>
      </w:r>
      <w:r>
        <w:rPr>
          <w:color w:val="auto"/>
          <w:highlight w:val="none"/>
        </w:rPr>
        <w:tab/>
      </w:r>
      <w:r>
        <w:rPr>
          <w:color w:val="auto"/>
          <w:highlight w:val="none"/>
        </w:rPr>
        <w:fldChar w:fldCharType="begin"/>
      </w:r>
      <w:r>
        <w:rPr>
          <w:color w:val="auto"/>
          <w:highlight w:val="none"/>
        </w:rPr>
        <w:instrText xml:space="preserve"> PAGEREF _Toc3770 \h </w:instrText>
      </w:r>
      <w:r>
        <w:rPr>
          <w:color w:val="auto"/>
          <w:highlight w:val="none"/>
        </w:rPr>
        <w:fldChar w:fldCharType="separate"/>
      </w:r>
      <w:r>
        <w:rPr>
          <w:color w:val="auto"/>
          <w:highlight w:val="none"/>
        </w:rPr>
        <w:t>273</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_Toc21561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格式七：企业类似工程业绩表（技术标评分）</w:t>
      </w:r>
      <w:r>
        <w:rPr>
          <w:color w:val="auto"/>
          <w:highlight w:val="none"/>
        </w:rPr>
        <w:tab/>
      </w:r>
      <w:r>
        <w:rPr>
          <w:color w:val="auto"/>
          <w:highlight w:val="none"/>
        </w:rPr>
        <w:fldChar w:fldCharType="begin"/>
      </w:r>
      <w:r>
        <w:rPr>
          <w:color w:val="auto"/>
          <w:highlight w:val="none"/>
        </w:rPr>
        <w:instrText xml:space="preserve"> PAGEREF _Toc21561 \h </w:instrText>
      </w:r>
      <w:r>
        <w:rPr>
          <w:color w:val="auto"/>
          <w:highlight w:val="none"/>
        </w:rPr>
        <w:fldChar w:fldCharType="separate"/>
      </w:r>
      <w:r>
        <w:rPr>
          <w:color w:val="auto"/>
          <w:highlight w:val="none"/>
        </w:rPr>
        <w:t>274</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33"/>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_Toc29257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二、经济标投标文件格式</w:t>
      </w:r>
      <w:r>
        <w:rPr>
          <w:color w:val="auto"/>
          <w:highlight w:val="none"/>
        </w:rPr>
        <w:tab/>
      </w:r>
      <w:r>
        <w:rPr>
          <w:color w:val="auto"/>
          <w:highlight w:val="none"/>
        </w:rPr>
        <w:fldChar w:fldCharType="begin"/>
      </w:r>
      <w:r>
        <w:rPr>
          <w:color w:val="auto"/>
          <w:highlight w:val="none"/>
        </w:rPr>
        <w:instrText xml:space="preserve"> PAGEREF _Toc29257 \h </w:instrText>
      </w:r>
      <w:r>
        <w:rPr>
          <w:color w:val="auto"/>
          <w:highlight w:val="none"/>
        </w:rPr>
        <w:fldChar w:fldCharType="separate"/>
      </w:r>
      <w:r>
        <w:rPr>
          <w:color w:val="auto"/>
          <w:highlight w:val="none"/>
        </w:rPr>
        <w:t>275</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_Toc29215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格式一：经济标封面</w:t>
      </w:r>
      <w:r>
        <w:rPr>
          <w:color w:val="auto"/>
          <w:highlight w:val="none"/>
        </w:rPr>
        <w:tab/>
      </w:r>
      <w:r>
        <w:rPr>
          <w:color w:val="auto"/>
          <w:highlight w:val="none"/>
        </w:rPr>
        <w:fldChar w:fldCharType="begin"/>
      </w:r>
      <w:r>
        <w:rPr>
          <w:color w:val="auto"/>
          <w:highlight w:val="none"/>
        </w:rPr>
        <w:instrText xml:space="preserve"> PAGEREF _Toc29215 \h </w:instrText>
      </w:r>
      <w:r>
        <w:rPr>
          <w:color w:val="auto"/>
          <w:highlight w:val="none"/>
        </w:rPr>
        <w:fldChar w:fldCharType="separate"/>
      </w:r>
      <w:r>
        <w:rPr>
          <w:color w:val="auto"/>
          <w:highlight w:val="none"/>
        </w:rPr>
        <w:t>276</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_Toc13177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格式二：工程量清单计价表</w:t>
      </w:r>
      <w:r>
        <w:rPr>
          <w:color w:val="auto"/>
          <w:highlight w:val="none"/>
        </w:rPr>
        <w:tab/>
      </w:r>
      <w:r>
        <w:rPr>
          <w:color w:val="auto"/>
          <w:highlight w:val="none"/>
        </w:rPr>
        <w:fldChar w:fldCharType="begin"/>
      </w:r>
      <w:r>
        <w:rPr>
          <w:color w:val="auto"/>
          <w:highlight w:val="none"/>
        </w:rPr>
        <w:instrText xml:space="preserve"> PAGEREF _Toc13177 \h </w:instrText>
      </w:r>
      <w:r>
        <w:rPr>
          <w:color w:val="auto"/>
          <w:highlight w:val="none"/>
        </w:rPr>
        <w:fldChar w:fldCharType="separate"/>
      </w:r>
      <w:r>
        <w:rPr>
          <w:color w:val="auto"/>
          <w:highlight w:val="none"/>
        </w:rPr>
        <w:t>277</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_Toc9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格式三：参与编制经济标投标文件人员名单</w:t>
      </w:r>
      <w:r>
        <w:rPr>
          <w:color w:val="auto"/>
          <w:highlight w:val="none"/>
        </w:rPr>
        <w:tab/>
      </w:r>
      <w:r>
        <w:rPr>
          <w:color w:val="auto"/>
          <w:highlight w:val="none"/>
        </w:rPr>
        <w:fldChar w:fldCharType="begin"/>
      </w:r>
      <w:r>
        <w:rPr>
          <w:color w:val="auto"/>
          <w:highlight w:val="none"/>
        </w:rPr>
        <w:instrText xml:space="preserve"> PAGEREF _Toc9 \h </w:instrText>
      </w:r>
      <w:r>
        <w:rPr>
          <w:color w:val="auto"/>
          <w:highlight w:val="none"/>
        </w:rPr>
        <w:fldChar w:fldCharType="separate"/>
      </w:r>
      <w:r>
        <w:rPr>
          <w:color w:val="auto"/>
          <w:highlight w:val="none"/>
        </w:rPr>
        <w:t>278</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1"/>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_Toc12014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bCs/>
          <w:color w:val="auto"/>
          <w:szCs w:val="24"/>
          <w:highlight w:val="none"/>
        </w:rPr>
        <w:t>格式四：对投标文件编制的承诺</w:t>
      </w:r>
      <w:r>
        <w:rPr>
          <w:color w:val="auto"/>
          <w:highlight w:val="none"/>
        </w:rPr>
        <w:tab/>
      </w:r>
      <w:r>
        <w:rPr>
          <w:color w:val="auto"/>
          <w:highlight w:val="none"/>
        </w:rPr>
        <w:fldChar w:fldCharType="begin"/>
      </w:r>
      <w:r>
        <w:rPr>
          <w:color w:val="auto"/>
          <w:highlight w:val="none"/>
        </w:rPr>
        <w:instrText xml:space="preserve"> PAGEREF _Toc12014 \h </w:instrText>
      </w:r>
      <w:r>
        <w:rPr>
          <w:color w:val="auto"/>
          <w:highlight w:val="none"/>
        </w:rPr>
        <w:fldChar w:fldCharType="separate"/>
      </w:r>
      <w:r>
        <w:rPr>
          <w:color w:val="auto"/>
          <w:highlight w:val="none"/>
        </w:rPr>
        <w:t>279</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9"/>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_Toc20788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第五章技术条件（工程建设标准）</w:t>
      </w:r>
      <w:r>
        <w:rPr>
          <w:color w:val="auto"/>
          <w:highlight w:val="none"/>
        </w:rPr>
        <w:tab/>
      </w:r>
      <w:r>
        <w:rPr>
          <w:color w:val="auto"/>
          <w:highlight w:val="none"/>
        </w:rPr>
        <w:fldChar w:fldCharType="begin"/>
      </w:r>
      <w:r>
        <w:rPr>
          <w:color w:val="auto"/>
          <w:highlight w:val="none"/>
        </w:rPr>
        <w:instrText xml:space="preserve"> PAGEREF _Toc20788 \h </w:instrText>
      </w:r>
      <w:r>
        <w:rPr>
          <w:color w:val="auto"/>
          <w:highlight w:val="none"/>
        </w:rPr>
        <w:fldChar w:fldCharType="separate"/>
      </w:r>
      <w:r>
        <w:rPr>
          <w:color w:val="auto"/>
          <w:highlight w:val="none"/>
        </w:rPr>
        <w:t>280</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9"/>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_Toc22386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第六章图纸及勘察资料</w:t>
      </w:r>
      <w:r>
        <w:rPr>
          <w:color w:val="auto"/>
          <w:highlight w:val="none"/>
        </w:rPr>
        <w:tab/>
      </w:r>
      <w:r>
        <w:rPr>
          <w:color w:val="auto"/>
          <w:highlight w:val="none"/>
        </w:rPr>
        <w:fldChar w:fldCharType="begin"/>
      </w:r>
      <w:r>
        <w:rPr>
          <w:color w:val="auto"/>
          <w:highlight w:val="none"/>
        </w:rPr>
        <w:instrText xml:space="preserve"> PAGEREF _Toc22386 \h </w:instrText>
      </w:r>
      <w:r>
        <w:rPr>
          <w:color w:val="auto"/>
          <w:highlight w:val="none"/>
        </w:rPr>
        <w:fldChar w:fldCharType="separate"/>
      </w:r>
      <w:r>
        <w:rPr>
          <w:color w:val="auto"/>
          <w:highlight w:val="none"/>
        </w:rPr>
        <w:t>283</w:t>
      </w:r>
      <w:r>
        <w:rPr>
          <w:color w:val="auto"/>
          <w:highlight w:val="none"/>
        </w:rPr>
        <w:fldChar w:fldCharType="end"/>
      </w:r>
      <w:r>
        <w:rPr>
          <w:rFonts w:hint="eastAsia" w:ascii="宋体" w:hAnsi="宋体" w:eastAsia="宋体" w:cs="宋体"/>
          <w:color w:val="auto"/>
          <w:kern w:val="44"/>
          <w:szCs w:val="28"/>
          <w:highlight w:val="none"/>
        </w:rPr>
        <w:fldChar w:fldCharType="end"/>
      </w:r>
    </w:p>
    <w:p>
      <w:pPr>
        <w:pStyle w:val="29"/>
        <w:tabs>
          <w:tab w:val="right" w:leader="dot" w:pos="9072"/>
        </w:tabs>
        <w:rPr>
          <w:color w:val="auto"/>
          <w:highlight w:val="none"/>
        </w:rPr>
      </w:pPr>
      <w:r>
        <w:rPr>
          <w:rFonts w:hint="eastAsia" w:ascii="宋体" w:hAnsi="宋体" w:eastAsia="宋体" w:cs="宋体"/>
          <w:color w:val="auto"/>
          <w:kern w:val="44"/>
          <w:szCs w:val="28"/>
          <w:highlight w:val="none"/>
        </w:rPr>
        <w:fldChar w:fldCharType="begin"/>
      </w:r>
      <w:r>
        <w:rPr>
          <w:rFonts w:hint="eastAsia" w:ascii="宋体" w:hAnsi="宋体" w:eastAsia="宋体" w:cs="宋体"/>
          <w:color w:val="auto"/>
          <w:kern w:val="44"/>
          <w:szCs w:val="28"/>
          <w:highlight w:val="none"/>
        </w:rPr>
        <w:instrText xml:space="preserve"> HYPERLINK \l _Toc20411 </w:instrText>
      </w:r>
      <w:r>
        <w:rPr>
          <w:rFonts w:hint="eastAsia" w:ascii="宋体" w:hAnsi="宋体" w:eastAsia="宋体" w:cs="宋体"/>
          <w:color w:val="auto"/>
          <w:kern w:val="44"/>
          <w:szCs w:val="28"/>
          <w:highlight w:val="none"/>
        </w:rPr>
        <w:fldChar w:fldCharType="separate"/>
      </w:r>
      <w:r>
        <w:rPr>
          <w:rFonts w:hint="eastAsia" w:ascii="宋体" w:hAnsi="宋体" w:eastAsia="宋体" w:cs="宋体"/>
          <w:color w:val="auto"/>
          <w:highlight w:val="none"/>
        </w:rPr>
        <w:t>第七章工程量清单</w:t>
      </w:r>
      <w:r>
        <w:rPr>
          <w:color w:val="auto"/>
          <w:highlight w:val="none"/>
        </w:rPr>
        <w:tab/>
      </w:r>
      <w:r>
        <w:rPr>
          <w:color w:val="auto"/>
          <w:highlight w:val="none"/>
        </w:rPr>
        <w:fldChar w:fldCharType="begin"/>
      </w:r>
      <w:r>
        <w:rPr>
          <w:color w:val="auto"/>
          <w:highlight w:val="none"/>
        </w:rPr>
        <w:instrText xml:space="preserve"> PAGEREF _Toc20411 \h </w:instrText>
      </w:r>
      <w:r>
        <w:rPr>
          <w:color w:val="auto"/>
          <w:highlight w:val="none"/>
        </w:rPr>
        <w:fldChar w:fldCharType="separate"/>
      </w:r>
      <w:r>
        <w:rPr>
          <w:color w:val="auto"/>
          <w:highlight w:val="none"/>
        </w:rPr>
        <w:t>284</w:t>
      </w:r>
      <w:r>
        <w:rPr>
          <w:color w:val="auto"/>
          <w:highlight w:val="none"/>
        </w:rPr>
        <w:fldChar w:fldCharType="end"/>
      </w:r>
      <w:r>
        <w:rPr>
          <w:rFonts w:hint="eastAsia" w:ascii="宋体" w:hAnsi="宋体" w:eastAsia="宋体" w:cs="宋体"/>
          <w:color w:val="auto"/>
          <w:kern w:val="44"/>
          <w:szCs w:val="28"/>
          <w:highlight w:val="none"/>
        </w:rPr>
        <w:fldChar w:fldCharType="end"/>
      </w:r>
    </w:p>
    <w:p>
      <w:pPr>
        <w:keepNext/>
        <w:keepLines/>
        <w:spacing w:before="120" w:after="120" w:line="360" w:lineRule="auto"/>
        <w:jc w:val="center"/>
        <w:outlineLvl w:val="0"/>
        <w:rPr>
          <w:rFonts w:hint="eastAsia" w:ascii="宋体" w:hAnsi="宋体" w:eastAsia="宋体" w:cs="宋体"/>
          <w:b/>
          <w:color w:val="auto"/>
          <w:kern w:val="44"/>
          <w:sz w:val="28"/>
          <w:szCs w:val="28"/>
          <w:highlight w:val="none"/>
        </w:rPr>
      </w:pPr>
      <w:r>
        <w:rPr>
          <w:rFonts w:hint="eastAsia" w:ascii="宋体" w:hAnsi="宋体" w:eastAsia="宋体" w:cs="宋体"/>
          <w:color w:val="auto"/>
          <w:kern w:val="44"/>
          <w:szCs w:val="28"/>
          <w:highlight w:val="none"/>
        </w:rPr>
        <w:fldChar w:fldCharType="end"/>
      </w:r>
    </w:p>
    <w:p>
      <w:pPr>
        <w:pStyle w:val="22"/>
        <w:rPr>
          <w:rFonts w:hint="eastAsia" w:ascii="宋体" w:hAnsi="宋体" w:eastAsia="宋体" w:cs="宋体"/>
          <w:color w:val="auto"/>
          <w:kern w:val="44"/>
          <w:highlight w:val="none"/>
        </w:rPr>
      </w:pPr>
      <w:r>
        <w:rPr>
          <w:rFonts w:hint="eastAsia" w:ascii="宋体" w:hAnsi="宋体" w:eastAsia="宋体" w:cs="宋体"/>
          <w:color w:val="auto"/>
          <w:kern w:val="44"/>
          <w:highlight w:val="none"/>
        </w:rPr>
        <w:br w:type="page"/>
      </w:r>
    </w:p>
    <w:p>
      <w:pPr>
        <w:keepNext/>
        <w:keepLines/>
        <w:spacing w:before="120" w:after="120" w:line="360" w:lineRule="auto"/>
        <w:jc w:val="center"/>
        <w:outlineLvl w:val="0"/>
        <w:rPr>
          <w:rFonts w:hint="eastAsia" w:ascii="宋体" w:hAnsi="宋体" w:eastAsia="宋体" w:cs="宋体"/>
          <w:b/>
          <w:color w:val="auto"/>
          <w:kern w:val="44"/>
          <w:sz w:val="28"/>
          <w:szCs w:val="28"/>
          <w:highlight w:val="none"/>
        </w:rPr>
      </w:pPr>
      <w:bookmarkStart w:id="0" w:name="_Toc29781"/>
      <w:r>
        <w:rPr>
          <w:rFonts w:hint="eastAsia" w:ascii="宋体" w:hAnsi="宋体" w:eastAsia="宋体" w:cs="宋体"/>
          <w:b/>
          <w:color w:val="auto"/>
          <w:kern w:val="44"/>
          <w:sz w:val="28"/>
          <w:szCs w:val="28"/>
          <w:highlight w:val="none"/>
        </w:rPr>
        <w:t>第一章投标须知</w:t>
      </w:r>
      <w:bookmarkEnd w:id="0"/>
    </w:p>
    <w:p>
      <w:pPr>
        <w:keepNext/>
        <w:keepLines/>
        <w:numPr>
          <w:ilvl w:val="1"/>
          <w:numId w:val="0"/>
        </w:numPr>
        <w:spacing w:before="120" w:after="120" w:line="415" w:lineRule="auto"/>
        <w:ind w:left="454" w:leftChars="216" w:firstLine="2886" w:firstLineChars="1198"/>
        <w:outlineLvl w:val="1"/>
        <w:rPr>
          <w:rFonts w:hint="eastAsia" w:ascii="宋体" w:hAnsi="宋体" w:eastAsia="宋体" w:cs="宋体"/>
          <w:b/>
          <w:color w:val="auto"/>
          <w:kern w:val="0"/>
          <w:sz w:val="24"/>
          <w:szCs w:val="24"/>
          <w:highlight w:val="none"/>
        </w:rPr>
      </w:pPr>
      <w:bookmarkStart w:id="1" w:name="_Toc3388"/>
      <w:r>
        <w:rPr>
          <w:rFonts w:hint="eastAsia" w:ascii="宋体" w:hAnsi="宋体" w:eastAsia="宋体" w:cs="宋体"/>
          <w:b/>
          <w:color w:val="auto"/>
          <w:kern w:val="0"/>
          <w:sz w:val="24"/>
          <w:szCs w:val="24"/>
          <w:highlight w:val="none"/>
        </w:rPr>
        <w:t>一、投标须知前附表</w:t>
      </w:r>
      <w:bookmarkEnd w:id="1"/>
    </w:p>
    <w:p>
      <w:pPr>
        <w:pStyle w:val="11"/>
        <w:spacing w:line="360" w:lineRule="auto"/>
        <w:ind w:firstLine="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声明：本投标须知前附表使用GZZB2018-3（2022.03修订）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40"/>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05"/>
        <w:gridCol w:w="1441"/>
        <w:gridCol w:w="6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8" w:hRule="atLeast"/>
          <w:tblHeader/>
        </w:trPr>
        <w:tc>
          <w:tcPr>
            <w:tcW w:w="694" w:type="dxa"/>
            <w:tcBorders>
              <w:top w:val="double" w:color="auto" w:sz="4" w:space="0"/>
              <w:left w:val="doub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w:t>
            </w:r>
          </w:p>
        </w:tc>
        <w:tc>
          <w:tcPr>
            <w:tcW w:w="905" w:type="dxa"/>
            <w:tcBorders>
              <w:top w:val="doub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1441" w:type="dxa"/>
            <w:tcBorders>
              <w:top w:val="doub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内容</w:t>
            </w:r>
          </w:p>
        </w:tc>
        <w:tc>
          <w:tcPr>
            <w:tcW w:w="6241" w:type="dxa"/>
            <w:tcBorders>
              <w:top w:val="double" w:color="auto" w:sz="4" w:space="0"/>
              <w:left w:val="single" w:color="auto" w:sz="4" w:space="0"/>
              <w:bottom w:val="single" w:color="auto" w:sz="4" w:space="0"/>
              <w:right w:val="double" w:color="auto" w:sz="4" w:space="0"/>
            </w:tcBorders>
            <w:vAlign w:val="center"/>
          </w:tcPr>
          <w:p>
            <w:pPr>
              <w:ind w:firstLine="458"/>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7"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定义</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招标人（即发包人）：</w:t>
            </w:r>
            <w:r>
              <w:rPr>
                <w:rFonts w:hint="eastAsia" w:ascii="宋体" w:hAnsi="宋体" w:eastAsia="宋体" w:cs="宋体"/>
                <w:color w:val="auto"/>
                <w:szCs w:val="21"/>
                <w:highlight w:val="none"/>
                <w:u w:val="single"/>
              </w:rPr>
              <w:t>广州燃气集团有限公司</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w:t>
            </w:r>
            <w:r>
              <w:rPr>
                <w:rFonts w:hint="eastAsia" w:ascii="宋体" w:hAnsi="宋体" w:eastAsia="宋体" w:cs="宋体"/>
                <w:color w:val="auto"/>
                <w:szCs w:val="21"/>
                <w:highlight w:val="none"/>
                <w:u w:val="single"/>
              </w:rPr>
              <w:t>广州市广州工程建设监理有限公司</w:t>
            </w:r>
          </w:p>
          <w:p>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设计单位：</w:t>
            </w:r>
            <w:r>
              <w:rPr>
                <w:rFonts w:hint="eastAsia" w:ascii="宋体" w:hAnsi="宋体" w:cs="宋体"/>
                <w:color w:val="auto"/>
                <w:szCs w:val="21"/>
                <w:highlight w:val="none"/>
                <w:u w:val="single"/>
                <w:lang w:val="en-US" w:eastAsia="zh-CN"/>
              </w:rPr>
              <w:t>中国市政工程华北设计研究总院有限公司</w:t>
            </w:r>
            <w:r>
              <w:rPr>
                <w:rFonts w:hint="eastAsia" w:ascii="宋体" w:hAnsi="宋体"/>
                <w:color w:val="auto"/>
                <w:szCs w:val="21"/>
                <w:highlight w:val="none"/>
                <w:u w:val="single"/>
                <w:lang w:val="en-US" w:eastAsia="zh-CN"/>
              </w:rPr>
              <w:t xml:space="preserve"> </w:t>
            </w:r>
          </w:p>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监理单位：</w:t>
            </w:r>
            <w:r>
              <w:rPr>
                <w:rFonts w:hint="eastAsia" w:ascii="宋体" w:hAnsi="宋体" w:eastAsia="宋体" w:cs="宋体"/>
                <w:color w:val="auto"/>
                <w:szCs w:val="21"/>
                <w:highlight w:val="none"/>
                <w:u w:val="single"/>
              </w:rPr>
              <w:t xml:space="preserve">   /       </w:t>
            </w:r>
          </w:p>
          <w:p>
            <w:pPr>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可行性研究编制单位：</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广州广燃设计有限公司</w:t>
            </w:r>
            <w:r>
              <w:rPr>
                <w:rFonts w:hint="eastAsia" w:ascii="宋体" w:hAnsi="宋体" w:eastAsia="宋体" w:cs="宋体"/>
                <w:color w:val="auto"/>
                <w:szCs w:val="21"/>
                <w:highlight w:val="none"/>
                <w:u w:val="single"/>
                <w:lang w:val="en-US" w:eastAsia="zh-CN"/>
              </w:rPr>
              <w:t xml:space="preserve">   </w:t>
            </w:r>
          </w:p>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检测机构：</w:t>
            </w:r>
            <w:r>
              <w:rPr>
                <w:rFonts w:hint="eastAsia" w:ascii="宋体" w:hAnsi="宋体" w:eastAsia="宋体" w:cs="宋体"/>
                <w:color w:val="auto"/>
                <w:szCs w:val="21"/>
                <w:highlight w:val="none"/>
                <w:u w:val="single"/>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田心调压站扩容改造工程施工项目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6"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建设地点</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rPr>
              <w:t>广州市</w:t>
            </w:r>
            <w:r>
              <w:rPr>
                <w:rFonts w:hint="eastAsia" w:ascii="宋体" w:hAnsi="宋体" w:eastAsia="宋体" w:cs="宋体"/>
                <w:color w:val="auto"/>
                <w:szCs w:val="21"/>
                <w:highlight w:val="none"/>
                <w:lang w:val="en-US" w:eastAsia="zh-CN"/>
              </w:rPr>
              <w:t>白云区朝阳沙滘街4号</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建设规模</w:t>
            </w:r>
          </w:p>
        </w:tc>
        <w:tc>
          <w:tcPr>
            <w:tcW w:w="6241" w:type="dxa"/>
            <w:tcBorders>
              <w:top w:val="single" w:color="auto" w:sz="4" w:space="0"/>
              <w:left w:val="single" w:color="auto" w:sz="4" w:space="0"/>
              <w:bottom w:val="single" w:color="auto" w:sz="4" w:space="0"/>
              <w:right w:val="double" w:color="auto" w:sz="4" w:space="0"/>
            </w:tcBorders>
            <w:vAlign w:val="center"/>
          </w:tcPr>
          <w:p>
            <w:pPr>
              <w:numPr>
                <w:ilvl w:val="255"/>
                <w:numId w:val="0"/>
              </w:numP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详见本工程招标公告。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承包方式</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b/>
                <w:color w:val="auto"/>
                <w:highlight w:val="none"/>
              </w:rPr>
            </w:pPr>
            <w:r>
              <w:rPr>
                <w:rFonts w:hint="eastAsia" w:ascii="宋体" w:hAnsi="宋体" w:eastAsia="宋体" w:cs="宋体"/>
                <w:b w:val="0"/>
                <w:bCs/>
                <w:color w:val="auto"/>
                <w:highlight w:val="none"/>
              </w:rPr>
              <w:t>包工、包料（甲供材料除外）、包工期、包质量、包绿色施工安全防护措施费。综合单价包干、项目措施费</w:t>
            </w:r>
            <w:r>
              <w:rPr>
                <w:rFonts w:hint="eastAsia" w:ascii="宋体" w:hAnsi="宋体" w:eastAsia="宋体" w:cs="宋体"/>
                <w:b w:val="0"/>
                <w:bCs/>
                <w:color w:val="auto"/>
                <w:highlight w:val="none"/>
                <w:lang w:val="en-US" w:eastAsia="zh-CN"/>
              </w:rPr>
              <w:t>及其他项目费合价</w:t>
            </w:r>
            <w:r>
              <w:rPr>
                <w:rFonts w:hint="eastAsia" w:ascii="宋体" w:hAnsi="宋体" w:eastAsia="宋体" w:cs="宋体"/>
                <w:b w:val="0"/>
                <w:bCs/>
                <w:color w:val="auto"/>
                <w:highlight w:val="none"/>
              </w:rPr>
              <w:t>包干</w:t>
            </w:r>
            <w:r>
              <w:rPr>
                <w:rFonts w:hint="eastAsia" w:ascii="宋体" w:hAnsi="宋体" w:eastAsia="宋体" w:cs="宋体"/>
                <w:b w:val="0"/>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质量标准</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color w:val="auto"/>
                <w:szCs w:val="21"/>
                <w:highlight w:val="none"/>
                <w:u w:val="single"/>
              </w:rPr>
              <w:t>符合《工程施工质量验收规范》合格标准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招标范围</w:t>
            </w:r>
          </w:p>
        </w:tc>
        <w:tc>
          <w:tcPr>
            <w:tcW w:w="6241" w:type="dxa"/>
            <w:tcBorders>
              <w:top w:val="single" w:color="auto" w:sz="4" w:space="0"/>
              <w:left w:val="single" w:color="auto" w:sz="4" w:space="0"/>
              <w:bottom w:val="single" w:color="auto" w:sz="4" w:space="0"/>
              <w:right w:val="double" w:color="auto" w:sz="4" w:space="0"/>
            </w:tcBorders>
            <w:vAlign w:val="center"/>
          </w:tcPr>
          <w:p>
            <w:pPr>
              <w:widowControl/>
              <w:numPr>
                <w:ilvl w:val="255"/>
                <w:numId w:val="0"/>
              </w:numPr>
              <w:jc w:val="left"/>
              <w:rPr>
                <w:rFonts w:hint="eastAsia" w:ascii="宋体" w:hAnsi="宋体" w:eastAsia="宋体" w:cs="宋体"/>
                <w:color w:val="auto"/>
                <w:highlight w:val="none"/>
              </w:rPr>
            </w:pPr>
            <w:r>
              <w:rPr>
                <w:rFonts w:hint="eastAsia" w:ascii="宋体" w:hAnsi="宋体" w:eastAsia="宋体" w:cs="宋体"/>
                <w:color w:val="auto"/>
                <w:szCs w:val="21"/>
                <w:highlight w:val="none"/>
                <w:u w:val="single"/>
              </w:rPr>
              <w:t>详见本工程招标公告。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工期要求</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施工总期：</w:t>
            </w:r>
            <w:r>
              <w:rPr>
                <w:rFonts w:hint="eastAsia" w:ascii="宋体" w:hAnsi="宋体"/>
                <w:szCs w:val="21"/>
                <w:highlight w:val="none"/>
                <w:lang w:val="en-US" w:eastAsia="zh-CN"/>
              </w:rPr>
              <w:t>详见本工程招标公告</w:t>
            </w:r>
            <w:r>
              <w:rPr>
                <w:rFonts w:hint="eastAsia" w:ascii="宋体" w:hAnsi="宋体" w:eastAsia="宋体" w:cs="宋体"/>
                <w:color w:val="auto"/>
                <w:highlight w:val="none"/>
              </w:rPr>
              <w:t>；本项目具体开工日期以监理发出的开工令为准。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资金来源</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val="en-US" w:eastAsia="zh-CN"/>
              </w:rPr>
              <w:t>企业自筹</w:t>
            </w:r>
            <w:r>
              <w:rPr>
                <w:rFonts w:hint="eastAsia" w:ascii="宋体" w:hAnsi="宋体" w:eastAsia="宋体" w:cs="宋体"/>
                <w:color w:val="auto"/>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投标人资质等级及项目负责人等级要求</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详见本工程招标公告。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ind w:firstLine="458"/>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资格审查方式</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详见本工程招标公告。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报价以及单价和总价计算方式</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工程量清单计价。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日历天。（从投标截止之日计起）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4"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投标保证金</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cs="宋体"/>
                <w:color w:val="auto"/>
                <w:szCs w:val="21"/>
                <w:highlight w:val="none"/>
                <w:u w:val="single"/>
                <w:lang w:val="en-US" w:eastAsia="zh-CN"/>
              </w:rPr>
              <w:t>10</w:t>
            </w:r>
            <w:r>
              <w:rPr>
                <w:rFonts w:hint="eastAsia" w:ascii="宋体" w:hAnsi="宋体" w:eastAsia="宋体" w:cs="宋体"/>
                <w:color w:val="auto"/>
                <w:szCs w:val="21"/>
                <w:highlight w:val="none"/>
                <w:u w:val="single"/>
              </w:rPr>
              <w:t>万元</w:t>
            </w:r>
            <w:r>
              <w:rPr>
                <w:rFonts w:hint="eastAsia" w:ascii="宋体" w:hAnsi="宋体" w:eastAsia="宋体" w:cs="宋体"/>
                <w:color w:val="auto"/>
                <w:szCs w:val="21"/>
                <w:highlight w:val="none"/>
              </w:rPr>
              <w:t>人民币，缴纳时间在</w:t>
            </w:r>
            <w:r>
              <w:rPr>
                <w:rFonts w:hint="eastAsia" w:ascii="宋体" w:hAnsi="宋体" w:eastAsia="宋体" w:cs="宋体"/>
                <w:color w:val="auto"/>
                <w:szCs w:val="21"/>
                <w:highlight w:val="none"/>
                <w:u w:val="single"/>
              </w:rPr>
              <w:t>本项目</w:t>
            </w:r>
            <w:r>
              <w:rPr>
                <w:rFonts w:hint="eastAsia" w:ascii="宋体" w:hAnsi="宋体" w:cs="宋体"/>
                <w:color w:val="auto"/>
                <w:szCs w:val="21"/>
                <w:highlight w:val="none"/>
                <w:u w:val="single"/>
                <w:lang w:val="en-US" w:eastAsia="zh-CN"/>
              </w:rPr>
              <w:t xml:space="preserve">投标截止时间 </w:t>
            </w:r>
            <w:r>
              <w:rPr>
                <w:rFonts w:hint="eastAsia" w:ascii="宋体" w:hAnsi="宋体" w:eastAsia="宋体" w:cs="宋体"/>
                <w:color w:val="auto"/>
                <w:szCs w:val="21"/>
                <w:highlight w:val="none"/>
              </w:rPr>
              <w:t>之前。</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注：投标保证金相关事宜详见招标文件投标须知16款。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招标人不集中组织，由投标人自行踏勘，投标人不进行踏勘的，视为已熟知现场条件，自行承担相关风险。</w:t>
            </w:r>
          </w:p>
          <w:p>
            <w:pPr>
              <w:rPr>
                <w:rFonts w:hint="default" w:ascii="宋体" w:hAnsi="宋体" w:eastAsia="宋体" w:cs="宋体"/>
                <w:color w:val="auto"/>
                <w:sz w:val="27"/>
                <w:highlight w:val="none"/>
                <w:u w:val="single"/>
                <w:lang w:val="en-US" w:eastAsia="zh-CN"/>
              </w:rPr>
            </w:pPr>
            <w:r>
              <w:rPr>
                <w:rFonts w:hint="eastAsia" w:ascii="宋体" w:hAnsi="宋体" w:eastAsia="宋体" w:cs="宋体"/>
                <w:color w:val="auto"/>
                <w:szCs w:val="21"/>
                <w:highlight w:val="none"/>
                <w:u w:val="single"/>
              </w:rPr>
              <w:t>现场详细地点：广州市</w:t>
            </w:r>
            <w:r>
              <w:rPr>
                <w:rFonts w:hint="eastAsia" w:ascii="宋体" w:hAnsi="宋体" w:cs="宋体"/>
                <w:color w:val="auto"/>
                <w:szCs w:val="21"/>
                <w:highlight w:val="none"/>
                <w:u w:val="single"/>
                <w:lang w:val="en-US" w:eastAsia="zh-CN"/>
              </w:rPr>
              <w:t>白云区朝阳沙滘街4号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投标答疑</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1、疑问提交时间：</w:t>
            </w:r>
            <w:r>
              <w:rPr>
                <w:rFonts w:hint="eastAsia" w:ascii="宋体" w:hAnsi="宋体" w:eastAsia="宋体" w:cs="宋体"/>
                <w:color w:val="auto"/>
                <w:sz w:val="21"/>
                <w:szCs w:val="21"/>
                <w:highlight w:val="none"/>
                <w:u w:val="single"/>
              </w:rPr>
              <w:t>在递交投标文件截止日期前18日</w:t>
            </w:r>
            <w:r>
              <w:rPr>
                <w:rFonts w:hint="eastAsia" w:ascii="宋体" w:hAnsi="宋体" w:eastAsia="宋体" w:cs="宋体"/>
                <w:color w:val="auto"/>
                <w:sz w:val="21"/>
                <w:szCs w:val="21"/>
                <w:highlight w:val="none"/>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2、形式：投标人的疑问通过</w:t>
            </w:r>
            <w:r>
              <w:rPr>
                <w:rFonts w:hint="eastAsia" w:ascii="宋体" w:hAnsi="宋体" w:eastAsia="宋体" w:cs="宋体"/>
                <w:color w:val="auto"/>
                <w:sz w:val="21"/>
                <w:szCs w:val="21"/>
                <w:highlight w:val="none"/>
                <w:u w:val="single"/>
              </w:rPr>
              <w:t>广州公共资源交易中心</w:t>
            </w:r>
            <w:r>
              <w:rPr>
                <w:rFonts w:hint="eastAsia" w:ascii="宋体" w:hAnsi="宋体" w:eastAsia="宋体" w:cs="宋体"/>
                <w:color w:val="auto"/>
                <w:sz w:val="21"/>
                <w:szCs w:val="21"/>
                <w:highlight w:val="none"/>
              </w:rPr>
              <w:t>交易平台提交。</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3、招标人澄清、修补或答疑期限：在递交投标文件截止日期前</w:t>
            </w:r>
            <w:r>
              <w:rPr>
                <w:rFonts w:hint="eastAsia" w:ascii="宋体" w:hAnsi="宋体" w:eastAsia="宋体" w:cs="宋体"/>
                <w:color w:val="auto"/>
                <w:sz w:val="21"/>
                <w:szCs w:val="21"/>
                <w:highlight w:val="none"/>
                <w:u w:val="single"/>
              </w:rPr>
              <w:t>15</w:t>
            </w:r>
            <w:r>
              <w:rPr>
                <w:rFonts w:hint="eastAsia" w:ascii="宋体" w:hAnsi="宋体" w:eastAsia="宋体" w:cs="宋体"/>
                <w:color w:val="auto"/>
                <w:sz w:val="21"/>
                <w:szCs w:val="21"/>
                <w:highlight w:val="none"/>
              </w:rPr>
              <w:t>日；</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具体要求：按照交易平台关于全流程电子化项目的相关指南进行操作，详见：</w:t>
            </w:r>
            <w:r>
              <w:rPr>
                <w:rFonts w:hint="eastAsia" w:ascii="宋体" w:hAnsi="宋体" w:eastAsia="宋体" w:cs="宋体"/>
                <w:color w:val="auto"/>
                <w:sz w:val="21"/>
                <w:szCs w:val="21"/>
                <w:highlight w:val="none"/>
                <w:u w:val="single"/>
              </w:rPr>
              <w:t>广州公共资源交易中心网站</w:t>
            </w:r>
            <w:r>
              <w:rPr>
                <w:rFonts w:hint="eastAsia" w:ascii="宋体" w:hAnsi="宋体" w:eastAsia="宋体" w:cs="宋体"/>
                <w:color w:val="auto"/>
                <w:sz w:val="21"/>
                <w:szCs w:val="21"/>
                <w:highlight w:val="none"/>
              </w:rPr>
              <w:t>。提问一律不得署名。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投标截止时间</w:t>
            </w:r>
          </w:p>
        </w:tc>
        <w:tc>
          <w:tcPr>
            <w:tcW w:w="6241" w:type="dxa"/>
            <w:tcBorders>
              <w:top w:val="single" w:color="auto" w:sz="4" w:space="0"/>
              <w:left w:val="single" w:color="auto" w:sz="4" w:space="0"/>
              <w:bottom w:val="single" w:color="auto" w:sz="4" w:space="0"/>
              <w:right w:val="double" w:color="auto" w:sz="4" w:space="0"/>
            </w:tcBorders>
            <w:vAlign w:val="center"/>
          </w:tcPr>
          <w:p>
            <w:pPr>
              <w:ind w:firstLine="210" w:firstLineChars="100"/>
              <w:rPr>
                <w:rFonts w:hint="eastAsia" w:ascii="宋体" w:hAnsi="宋体" w:eastAsia="宋体" w:cs="宋体"/>
                <w:strike/>
                <w:color w:val="auto"/>
                <w:sz w:val="21"/>
                <w:szCs w:val="21"/>
                <w:highlight w:val="none"/>
              </w:rPr>
            </w:pPr>
            <w:r>
              <w:rPr>
                <w:rFonts w:hint="eastAsia" w:ascii="宋体" w:hAnsi="宋体" w:eastAsia="宋体" w:cs="宋体"/>
                <w:color w:val="auto"/>
                <w:sz w:val="21"/>
                <w:szCs w:val="21"/>
                <w:highlight w:val="none"/>
                <w:u w:val="single"/>
                <w:lang w:eastAsia="zh-CN"/>
              </w:rPr>
              <w:t>2023年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日</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分</w:t>
            </w:r>
            <w:r>
              <w:rPr>
                <w:rFonts w:hint="eastAsia" w:ascii="宋体" w:hAnsi="宋体" w:eastAsia="宋体" w:cs="宋体"/>
                <w:color w:val="auto"/>
                <w:sz w:val="21"/>
                <w:szCs w:val="21"/>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开标开始时间和地点</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（技术标和经济标同时开标）</w:t>
            </w:r>
          </w:p>
          <w:p>
            <w:pPr>
              <w:ind w:left="210" w:hanging="210" w:hanging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1、开标开始时间：</w:t>
            </w:r>
            <w:r>
              <w:rPr>
                <w:rFonts w:hint="eastAsia" w:ascii="宋体" w:hAnsi="宋体" w:eastAsia="宋体" w:cs="宋体"/>
                <w:color w:val="auto"/>
                <w:sz w:val="21"/>
                <w:szCs w:val="21"/>
                <w:highlight w:val="none"/>
                <w:u w:val="single"/>
                <w:lang w:eastAsia="zh-CN"/>
              </w:rPr>
              <w:t>2023年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日</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分</w:t>
            </w:r>
            <w:r>
              <w:rPr>
                <w:rFonts w:hint="eastAsia" w:ascii="宋体" w:hAnsi="宋体" w:eastAsia="宋体" w:cs="宋体"/>
                <w:color w:val="auto"/>
                <w:sz w:val="21"/>
                <w:szCs w:val="21"/>
                <w:highlight w:val="none"/>
              </w:rPr>
              <w:t>（与投标截止时间为同一时间），地点：递交地点详见交易中心日程安排。投标人也可选择参加在线开标，具体按照交易平台相关指南进行操作。详见：</w:t>
            </w:r>
            <w:r>
              <w:rPr>
                <w:rFonts w:hint="eastAsia" w:ascii="宋体" w:hAnsi="宋体" w:eastAsia="宋体" w:cs="宋体"/>
                <w:color w:val="auto"/>
                <w:sz w:val="21"/>
                <w:szCs w:val="21"/>
                <w:highlight w:val="none"/>
                <w:u w:val="single"/>
              </w:rPr>
              <w:t>广州公共资源交易中心</w:t>
            </w:r>
            <w:r>
              <w:rPr>
                <w:rFonts w:hint="eastAsia" w:ascii="宋体" w:hAnsi="宋体" w:eastAsia="宋体" w:cs="宋体"/>
                <w:color w:val="auto"/>
                <w:sz w:val="21"/>
                <w:szCs w:val="21"/>
                <w:highlight w:val="none"/>
                <w:u w:val="single"/>
                <w:lang w:val="en-US" w:eastAsia="zh-CN"/>
              </w:rPr>
              <w:t>网站</w:t>
            </w:r>
            <w:r>
              <w:rPr>
                <w:rFonts w:hint="eastAsia" w:ascii="宋体" w:hAnsi="宋体" w:eastAsia="宋体" w:cs="宋体"/>
                <w:color w:val="auto"/>
                <w:sz w:val="21"/>
                <w:szCs w:val="21"/>
                <w:highlight w:val="none"/>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注：投标文件解密问题。投标人只用执行一次解密，招标人执行解密次数根据招标文件开标次数确定。</w:t>
            </w:r>
          </w:p>
          <w:p>
            <w:pPr>
              <w:ind w:left="210" w:hanging="210" w:hanging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2、递交投标文件备用光盘时间：</w:t>
            </w:r>
            <w:r>
              <w:rPr>
                <w:rFonts w:hint="eastAsia" w:ascii="宋体" w:hAnsi="宋体" w:eastAsia="宋体" w:cs="宋体"/>
                <w:color w:val="auto"/>
                <w:sz w:val="21"/>
                <w:szCs w:val="21"/>
                <w:highlight w:val="none"/>
                <w:u w:val="single"/>
                <w:lang w:eastAsia="zh-CN"/>
              </w:rPr>
              <w:t>2023年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日</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分</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u w:val="single"/>
                <w:lang w:eastAsia="zh-CN"/>
              </w:rPr>
              <w:t>2023年</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分</w:t>
            </w:r>
            <w:r>
              <w:rPr>
                <w:rFonts w:hint="eastAsia" w:ascii="宋体" w:hAnsi="宋体" w:eastAsia="宋体" w:cs="宋体"/>
                <w:color w:val="auto"/>
                <w:sz w:val="21"/>
                <w:szCs w:val="21"/>
                <w:highlight w:val="none"/>
              </w:rPr>
              <w:t>；递交地点详见交易中心日程安排。(建议安排在投标文件截止时间前15分钟至投标文件截止时间）</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上述时间及地点是否有改变，请密切留意招标答疑纪要的相关信息。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开标评标办法</w:t>
            </w:r>
          </w:p>
        </w:tc>
        <w:tc>
          <w:tcPr>
            <w:tcW w:w="6241" w:type="dxa"/>
            <w:tcBorders>
              <w:top w:val="single" w:color="auto" w:sz="4" w:space="0"/>
              <w:left w:val="single" w:color="auto" w:sz="4" w:space="0"/>
              <w:bottom w:val="single" w:color="auto" w:sz="4" w:space="0"/>
              <w:right w:val="double" w:color="auto" w:sz="4" w:space="0"/>
            </w:tcBorders>
            <w:vAlign w:val="center"/>
          </w:tcPr>
          <w:p>
            <w:pPr>
              <w:spacing w:after="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方式一：选取方法</w:t>
            </w:r>
            <w:r>
              <w:rPr>
                <w:rFonts w:hint="eastAsia" w:ascii="宋体" w:hAnsi="宋体" w:eastAsia="宋体" w:cs="宋体"/>
                <w:color w:val="auto"/>
                <w:szCs w:val="21"/>
                <w:highlight w:val="none"/>
                <w:u w:val="single"/>
              </w:rPr>
              <w:t>办法七（适合综合评分法四，技术标与经济标同时开启）</w:t>
            </w:r>
            <w:r>
              <w:rPr>
                <w:rFonts w:hint="eastAsia" w:ascii="宋体" w:hAnsi="宋体" w:eastAsia="宋体" w:cs="宋体"/>
                <w:color w:val="auto"/>
                <w:szCs w:val="21"/>
                <w:highlight w:val="none"/>
              </w:rPr>
              <w:t>；</w:t>
            </w:r>
          </w:p>
          <w:p>
            <w:pPr>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投标人总得分=技术得分×技术得分权重（</w:t>
            </w:r>
            <w:r>
              <w:rPr>
                <w:rFonts w:hint="eastAsia" w:ascii="宋体" w:hAnsi="宋体" w:cs="宋体"/>
                <w:b/>
                <w:color w:val="auto"/>
                <w:szCs w:val="21"/>
                <w:highlight w:val="none"/>
                <w:u w:val="single"/>
                <w:lang w:val="en-US" w:eastAsia="zh-CN"/>
              </w:rPr>
              <w:t>4</w:t>
            </w:r>
            <w:r>
              <w:rPr>
                <w:rFonts w:hint="eastAsia" w:ascii="宋体" w:hAnsi="宋体" w:eastAsia="宋体" w:cs="宋体"/>
                <w:b/>
                <w:color w:val="auto"/>
                <w:szCs w:val="21"/>
                <w:highlight w:val="none"/>
                <w:u w:val="single"/>
              </w:rPr>
              <w:t>0%）＋经济得分×经济得分权重（</w:t>
            </w:r>
            <w:r>
              <w:rPr>
                <w:rFonts w:hint="eastAsia" w:ascii="宋体" w:hAnsi="宋体" w:cs="宋体"/>
                <w:b/>
                <w:color w:val="auto"/>
                <w:szCs w:val="21"/>
                <w:highlight w:val="none"/>
                <w:u w:val="single"/>
                <w:lang w:val="en-US" w:eastAsia="zh-CN"/>
              </w:rPr>
              <w:t>6</w:t>
            </w:r>
            <w:r>
              <w:rPr>
                <w:rFonts w:hint="eastAsia" w:ascii="宋体" w:hAnsi="宋体" w:eastAsia="宋体" w:cs="宋体"/>
                <w:b/>
                <w:color w:val="auto"/>
                <w:szCs w:val="21"/>
                <w:highlight w:val="none"/>
                <w:u w:val="single"/>
              </w:rPr>
              <w:t>0%）</w:t>
            </w:r>
          </w:p>
          <w:p>
            <w:pPr>
              <w:spacing w:after="120"/>
              <w:ind w:firstLine="420" w:firstLineChars="200"/>
              <w:rPr>
                <w:rFonts w:hint="eastAsia" w:ascii="宋体" w:hAnsi="宋体" w:eastAsia="宋体" w:cs="宋体"/>
                <w:strike/>
                <w:color w:val="auto"/>
                <w:szCs w:val="21"/>
                <w:highlight w:val="none"/>
              </w:rPr>
            </w:pPr>
            <w:r>
              <w:rPr>
                <w:rFonts w:hint="eastAsia" w:ascii="宋体" w:hAnsi="宋体" w:eastAsia="宋体" w:cs="宋体"/>
                <w:color w:val="auto"/>
                <w:szCs w:val="21"/>
                <w:highlight w:val="none"/>
              </w:rPr>
              <w:t>总得分相同的，以经济分较高的排前；总得分及经济分均相同的，以报价较低的排前；总得分、经济分及报价均相同的，以技术分较高的排前；如仍存在相同情况，则由评标委员会采用记名投票方式，以得票多的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履约担保</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方式一：中标人提供的履约</w:t>
            </w:r>
            <w:r>
              <w:rPr>
                <w:rFonts w:hint="eastAsia" w:ascii="宋体" w:hAnsi="宋体" w:eastAsia="宋体" w:cs="宋体"/>
                <w:color w:val="auto"/>
                <w:highlight w:val="none"/>
                <w:lang w:val="en-US" w:eastAsia="zh-CN"/>
              </w:rPr>
              <w:t>担保金额</w:t>
            </w:r>
            <w:r>
              <w:rPr>
                <w:rFonts w:hint="eastAsia" w:ascii="宋体" w:hAnsi="宋体" w:eastAsia="宋体" w:cs="宋体"/>
                <w:color w:val="auto"/>
                <w:highlight w:val="none"/>
              </w:rPr>
              <w:t>为中标价款的10%。</w:t>
            </w:r>
            <w:r>
              <w:rPr>
                <w:rFonts w:hint="eastAsia" w:ascii="宋体" w:hAnsi="宋体" w:eastAsia="宋体" w:cs="宋体"/>
                <w:color w:val="auto"/>
                <w:szCs w:val="21"/>
                <w:highlight w:val="none"/>
                <w:u w:val="single"/>
              </w:rPr>
              <w:t>（具体形式详见合同）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最高投标限价</w:t>
            </w:r>
          </w:p>
        </w:tc>
        <w:tc>
          <w:tcPr>
            <w:tcW w:w="6241" w:type="dxa"/>
            <w:tcBorders>
              <w:top w:val="single" w:color="auto" w:sz="4" w:space="0"/>
              <w:left w:val="single" w:color="auto" w:sz="4" w:space="0"/>
              <w:bottom w:val="single" w:color="auto" w:sz="4" w:space="0"/>
              <w:right w:val="double" w:color="auto" w:sz="4" w:space="0"/>
            </w:tcBorders>
            <w:vAlign w:val="center"/>
          </w:tcPr>
          <w:p>
            <w:pPr>
              <w:spacing w:line="276" w:lineRule="auto"/>
              <w:rPr>
                <w:rFonts w:hint="eastAsia" w:ascii="宋体" w:hAnsi="宋体" w:eastAsia="宋体" w:cs="宋体"/>
                <w:color w:val="auto"/>
                <w:sz w:val="24"/>
                <w:highlight w:val="none"/>
              </w:rPr>
            </w:pPr>
            <w:r>
              <w:rPr>
                <w:rFonts w:hint="eastAsia" w:ascii="宋体" w:hAnsi="宋体" w:eastAsia="宋体" w:cs="宋体"/>
                <w:b/>
                <w:color w:val="auto"/>
                <w:szCs w:val="21"/>
                <w:highlight w:val="none"/>
              </w:rPr>
              <w:t>本项目最高投标限价为：人民币</w:t>
            </w:r>
            <w:r>
              <w:rPr>
                <w:rFonts w:hint="eastAsia" w:ascii="宋体" w:hAnsi="宋体" w:eastAsia="宋体" w:cs="宋体"/>
                <w:b/>
                <w:color w:val="auto"/>
                <w:szCs w:val="21"/>
                <w:highlight w:val="none"/>
                <w:u w:val="single"/>
                <w:lang w:val="en-US" w:eastAsia="zh-CN"/>
              </w:rPr>
              <w:t xml:space="preserve"> 5599620.14</w:t>
            </w:r>
            <w:r>
              <w:rPr>
                <w:rFonts w:hint="eastAsia" w:ascii="宋体" w:hAnsi="宋体" w:cs="宋体"/>
                <w:b/>
                <w:color w:val="auto"/>
                <w:szCs w:val="21"/>
                <w:highlight w:val="none"/>
                <w:u w:val="single"/>
                <w:lang w:val="en-US" w:eastAsia="zh-CN"/>
              </w:rPr>
              <w:t xml:space="preserve"> </w:t>
            </w:r>
            <w:r>
              <w:rPr>
                <w:rFonts w:hint="eastAsia" w:ascii="宋体" w:hAnsi="宋体" w:eastAsia="宋体" w:cs="宋体"/>
                <w:b/>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3"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非竞争费用</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田心调压站扩容改造工程施工项目</w:t>
            </w:r>
            <w:r>
              <w:rPr>
                <w:rFonts w:hint="eastAsia" w:ascii="宋体" w:hAnsi="宋体" w:eastAsia="宋体" w:cs="宋体"/>
                <w:bCs/>
                <w:color w:val="auto"/>
                <w:highlight w:val="none"/>
              </w:rPr>
              <w:t>：</w:t>
            </w:r>
            <w:r>
              <w:rPr>
                <w:rFonts w:hint="eastAsia" w:ascii="宋体" w:hAnsi="宋体" w:eastAsia="宋体" w:cs="宋体"/>
                <w:color w:val="auto"/>
                <w:szCs w:val="21"/>
                <w:highlight w:val="none"/>
              </w:rPr>
              <w:t>绿色施工安全防护措施费为：人民币</w:t>
            </w:r>
            <w:r>
              <w:rPr>
                <w:rFonts w:hint="eastAsia" w:ascii="宋体" w:hAnsi="宋体" w:cs="宋体"/>
                <w:color w:val="auto"/>
                <w:szCs w:val="21"/>
                <w:highlight w:val="none"/>
                <w:u w:val="single"/>
                <w:lang w:val="en-US" w:eastAsia="zh-CN"/>
              </w:rPr>
              <w:t>316738.67</w:t>
            </w:r>
            <w:r>
              <w:rPr>
                <w:rFonts w:hint="eastAsia" w:ascii="宋体" w:hAnsi="宋体" w:eastAsia="宋体" w:cs="宋体"/>
                <w:color w:val="auto"/>
                <w:szCs w:val="21"/>
                <w:highlight w:val="none"/>
              </w:rPr>
              <w:t>元，暂列金额为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元，暂估价为</w:t>
            </w:r>
            <w:r>
              <w:rPr>
                <w:rFonts w:hint="eastAsia" w:ascii="宋体" w:hAnsi="宋体" w:eastAsia="宋体" w:cs="宋体"/>
                <w:color w:val="auto"/>
                <w:szCs w:val="21"/>
                <w:highlight w:val="none"/>
                <w:u w:val="single"/>
              </w:rPr>
              <w:t xml:space="preserve"> / </w:t>
            </w:r>
            <w:r>
              <w:rPr>
                <w:rFonts w:hint="eastAsia" w:ascii="宋体" w:hAnsi="宋体" w:eastAsia="宋体" w:cs="宋体"/>
                <w:color w:val="auto"/>
                <w:szCs w:val="21"/>
                <w:highlight w:val="none"/>
              </w:rPr>
              <w:t>元。</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（未按招标文件规定的金额填写的，由评标委员会按照招标文件规定的金额进行修正）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保修期</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按照《建设工程质量管理条例》规定。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计算评标参考价的等分点值</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ind w:firstLine="458"/>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进入第二阶段评审的家数</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strike/>
                <w:color w:val="auto"/>
                <w:szCs w:val="21"/>
                <w:highlight w:val="none"/>
              </w:rPr>
            </w:pPr>
            <w:r>
              <w:rPr>
                <w:rFonts w:hint="eastAsia" w:ascii="宋体" w:hAnsi="宋体" w:eastAsia="宋体" w:cs="宋体"/>
                <w:color w:val="auto"/>
                <w:szCs w:val="21"/>
                <w:highlight w:val="none"/>
              </w:rPr>
              <w:t>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工程成本警戒价</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u w:val="single"/>
                <w:lang w:val="en-US" w:eastAsia="zh-CN"/>
              </w:rPr>
              <w:t>无。</w:t>
            </w:r>
            <w:r>
              <w:rPr>
                <w:rFonts w:hint="eastAsia" w:ascii="宋体" w:hAnsi="宋体" w:cs="宋体"/>
                <w:color w:val="auto"/>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第一阶段各分值的权重</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评标委员会人数</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企业综合诚信评价分数</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本项目不采用企业诚信综合评价分数</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第二阶段投标人名次的排序方法（适用于办法一、办法二）</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strike/>
                <w:color w:val="auto"/>
                <w:szCs w:val="21"/>
                <w:highlight w:val="none"/>
              </w:rPr>
            </w:pPr>
            <w:r>
              <w:rPr>
                <w:rFonts w:hint="eastAsia" w:ascii="宋体" w:hAnsi="宋体" w:eastAsia="宋体" w:cs="宋体"/>
                <w:color w:val="auto"/>
                <w:szCs w:val="21"/>
                <w:highlight w:val="none"/>
                <w:u w:val="single"/>
              </w:rPr>
              <w:t>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经济分相同情况下的排序方法（适用于办法三、办法四）</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strike/>
                <w:color w:val="auto"/>
                <w:szCs w:val="21"/>
                <w:highlight w:val="none"/>
              </w:rPr>
            </w:pPr>
            <w:r>
              <w:rPr>
                <w:rFonts w:hint="eastAsia" w:ascii="宋体" w:hAnsi="宋体" w:eastAsia="宋体" w:cs="宋体"/>
                <w:color w:val="auto"/>
                <w:szCs w:val="21"/>
                <w:highlight w:val="none"/>
                <w:u w:val="single"/>
              </w:rPr>
              <w:t>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第二阶段投标人名次的排序方法（适用于办法五、办法六）</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strike/>
                <w:color w:val="auto"/>
                <w:szCs w:val="21"/>
                <w:highlight w:val="none"/>
              </w:rPr>
            </w:pPr>
            <w:r>
              <w:rPr>
                <w:rFonts w:hint="eastAsia" w:ascii="宋体" w:hAnsi="宋体" w:eastAsia="宋体" w:cs="宋体"/>
                <w:color w:val="auto"/>
                <w:szCs w:val="21"/>
                <w:highlight w:val="none"/>
                <w:u w:val="single"/>
              </w:rPr>
              <w:t>本项目不适用。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13.4、13.5.2</w:t>
            </w: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合同价款的调整办法</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按合同条款相关约定调整。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2"/>
                <w:highlight w:val="none"/>
              </w:rPr>
            </w:pPr>
            <w:r>
              <w:rPr>
                <w:rFonts w:hint="eastAsia" w:ascii="宋体" w:hAnsi="宋体" w:eastAsia="宋体" w:cs="宋体"/>
                <w:color w:val="auto"/>
                <w:szCs w:val="22"/>
                <w:highlight w:val="none"/>
              </w:rPr>
              <w:t>建设工程质量检测单位</w:t>
            </w:r>
          </w:p>
        </w:tc>
        <w:tc>
          <w:tcPr>
            <w:tcW w:w="6241" w:type="dxa"/>
            <w:tcBorders>
              <w:top w:val="single" w:color="auto" w:sz="4" w:space="0"/>
              <w:left w:val="single" w:color="auto" w:sz="4" w:space="0"/>
              <w:bottom w:val="single" w:color="auto" w:sz="4" w:space="0"/>
              <w:right w:val="double" w:color="auto" w:sz="4" w:space="0"/>
            </w:tcBorders>
            <w:vAlign w:val="center"/>
          </w:tcPr>
          <w:p>
            <w:pPr>
              <w:jc w:val="left"/>
              <w:rPr>
                <w:rFonts w:hint="eastAsia" w:ascii="宋体" w:hAnsi="宋体" w:eastAsia="宋体" w:cs="宋体"/>
                <w:color w:val="auto"/>
                <w:kern w:val="2"/>
                <w:szCs w:val="22"/>
                <w:highlight w:val="none"/>
                <w:lang w:val="zh-CN"/>
              </w:rPr>
            </w:pPr>
            <w:r>
              <w:rPr>
                <w:rFonts w:hint="eastAsia" w:ascii="宋体" w:hAnsi="宋体" w:eastAsia="宋体" w:cs="宋体"/>
                <w:bCs w:val="0"/>
                <w:color w:val="000000"/>
                <w:kern w:val="2"/>
                <w:sz w:val="21"/>
                <w:highlight w:val="none"/>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分包</w:t>
            </w:r>
          </w:p>
        </w:tc>
        <w:tc>
          <w:tcPr>
            <w:tcW w:w="6241" w:type="dxa"/>
            <w:tcBorders>
              <w:top w:val="single" w:color="auto" w:sz="4" w:space="0"/>
              <w:left w:val="single" w:color="auto" w:sz="4" w:space="0"/>
              <w:bottom w:val="single" w:color="auto" w:sz="4" w:space="0"/>
              <w:right w:val="double" w:color="auto" w:sz="4" w:space="0"/>
            </w:tcBorders>
            <w:vAlign w:val="center"/>
          </w:tcPr>
          <w:p>
            <w:pPr>
              <w:spacing w:after="12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□不允许；</w:t>
            </w:r>
          </w:p>
          <w:p>
            <w:pPr>
              <w:rPr>
                <w:rFonts w:hint="eastAsia" w:ascii="宋体" w:hAnsi="宋体" w:eastAsia="宋体" w:cs="宋体"/>
                <w:color w:val="auto"/>
                <w:kern w:val="0"/>
                <w:szCs w:val="21"/>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kern w:val="0"/>
                <w:szCs w:val="21"/>
                <w:highlight w:val="none"/>
                <w:lang w:val="zh-CN"/>
              </w:rPr>
              <w:t>允许：分包内容要要求：</w:t>
            </w:r>
            <w:r>
              <w:rPr>
                <w:rFonts w:hint="eastAsia" w:ascii="宋体" w:hAnsi="宋体" w:eastAsia="宋体" w:cs="宋体"/>
                <w:color w:val="auto"/>
                <w:kern w:val="0"/>
                <w:szCs w:val="21"/>
                <w:highlight w:val="none"/>
                <w:u w:val="single"/>
                <w:lang w:val="zh-CN"/>
              </w:rPr>
              <w:t>按合同</w:t>
            </w:r>
          </w:p>
          <w:p>
            <w:pPr>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lang w:val="zh-CN"/>
              </w:rPr>
              <w:t xml:space="preserve">        分包金额要求：</w:t>
            </w:r>
            <w:r>
              <w:rPr>
                <w:rFonts w:hint="eastAsia" w:ascii="宋体" w:hAnsi="宋体" w:eastAsia="宋体" w:cs="宋体"/>
                <w:color w:val="auto"/>
                <w:kern w:val="0"/>
                <w:szCs w:val="21"/>
                <w:highlight w:val="none"/>
                <w:u w:val="single"/>
                <w:lang w:val="zh-CN"/>
              </w:rPr>
              <w:t>按合同</w:t>
            </w:r>
          </w:p>
          <w:p>
            <w:pPr>
              <w:rPr>
                <w:rFonts w:hint="eastAsia" w:ascii="宋体" w:hAnsi="宋体" w:eastAsia="宋体" w:cs="宋体"/>
                <w:color w:val="auto"/>
                <w:kern w:val="0"/>
                <w:szCs w:val="21"/>
                <w:highlight w:val="none"/>
                <w:u w:val="single"/>
                <w:lang w:val="zh-CN"/>
              </w:rPr>
            </w:pPr>
            <w:r>
              <w:rPr>
                <w:rFonts w:hint="eastAsia" w:ascii="宋体" w:hAnsi="宋体" w:eastAsia="宋体" w:cs="宋体"/>
                <w:color w:val="auto"/>
                <w:kern w:val="0"/>
                <w:szCs w:val="21"/>
                <w:highlight w:val="none"/>
                <w:lang w:val="zh-CN"/>
              </w:rPr>
              <w:t xml:space="preserve">        对分包人的资质要求：</w:t>
            </w:r>
            <w:r>
              <w:rPr>
                <w:rFonts w:hint="eastAsia" w:ascii="宋体" w:hAnsi="宋体" w:eastAsia="宋体" w:cs="宋体"/>
                <w:color w:val="auto"/>
                <w:kern w:val="0"/>
                <w:szCs w:val="21"/>
                <w:highlight w:val="none"/>
                <w:u w:val="single"/>
                <w:lang w:val="zh-CN"/>
              </w:rPr>
              <w:t>按合同</w:t>
            </w:r>
          </w:p>
          <w:p>
            <w:pPr>
              <w:ind w:firstLine="840" w:firstLineChars="4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对分包人的其他要求：</w:t>
            </w:r>
            <w:r>
              <w:rPr>
                <w:rFonts w:hint="eastAsia" w:ascii="宋体" w:hAnsi="宋体" w:eastAsia="宋体" w:cs="宋体"/>
                <w:color w:val="auto"/>
                <w:kern w:val="0"/>
                <w:szCs w:val="21"/>
                <w:highlight w:val="none"/>
                <w:u w:val="single"/>
                <w:lang w:val="zh-CN"/>
              </w:rPr>
              <w:t>按合同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电子招标投标解密失败及突发情况的补救</w:t>
            </w:r>
          </w:p>
        </w:tc>
        <w:tc>
          <w:tcPr>
            <w:tcW w:w="6241" w:type="dxa"/>
            <w:tcBorders>
              <w:top w:val="single" w:color="auto" w:sz="4" w:space="0"/>
              <w:left w:val="single" w:color="auto" w:sz="4" w:space="0"/>
              <w:bottom w:val="single" w:color="auto" w:sz="4" w:space="0"/>
              <w:right w:val="doub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1、按照交易平台关于全流程电子化项目的相关指南进行操作。详见：</w:t>
            </w:r>
            <w:r>
              <w:rPr>
                <w:rFonts w:hint="eastAsia" w:ascii="宋体" w:hAnsi="宋体" w:eastAsia="宋体" w:cs="宋体"/>
                <w:color w:val="auto"/>
                <w:szCs w:val="21"/>
                <w:highlight w:val="none"/>
                <w:u w:val="single"/>
              </w:rPr>
              <w:t>广州公共资源交易中心网站</w:t>
            </w:r>
            <w:r>
              <w:rPr>
                <w:rFonts w:hint="eastAsia" w:ascii="宋体" w:hAnsi="宋体" w:eastAsia="宋体" w:cs="宋体"/>
                <w:color w:val="auto"/>
                <w:szCs w:val="21"/>
                <w:highlight w:val="none"/>
              </w:rPr>
              <w:t xml:space="preserve">。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2、提交投标文件光盘备用</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3、补救方案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（1）投标文件解密失败的补救方案：</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（2）评标时突发情况的补救方案</w:t>
            </w:r>
            <w:r>
              <w:rPr>
                <w:rFonts w:hint="eastAsia" w:ascii="宋体" w:hAnsi="宋体" w:eastAsia="宋体" w:cs="宋体"/>
                <w:color w:val="auto"/>
                <w:szCs w:val="21"/>
                <w:highlight w:val="none"/>
                <w:lang w:eastAsia="zh-CN"/>
              </w:rPr>
              <w:t>：</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若遇不可抗力发生（指网络瘫痪、服务器损坏、交易系统故障短期无法恢复等因素），由评标委员会开启投标人递交的全部投标文件光盘，并按光盘内容进行评审。</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（3）除发生上述情况外，开标评标均以投标人通过交易平台网上递交的电子投标文件为准。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8"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before="0" w:beforeAutospacing="0" w:after="0" w:afterAutospacing="0" w:line="320" w:lineRule="exact"/>
              <w:rPr>
                <w:rFonts w:hint="eastAsia" w:ascii="宋体" w:hAnsi="宋体" w:eastAsia="宋体" w:cs="宋体"/>
                <w:bCs/>
                <w:snapToGrid w:val="0"/>
                <w:color w:val="auto"/>
                <w:sz w:val="21"/>
                <w:szCs w:val="21"/>
                <w:highlight w:val="none"/>
                <w:lang w:val="zh-CN"/>
              </w:rPr>
            </w:pPr>
            <w:r>
              <w:rPr>
                <w:rFonts w:hint="eastAsia" w:ascii="宋体" w:hAnsi="宋体" w:eastAsia="宋体" w:cs="宋体"/>
                <w:color w:val="auto"/>
                <w:sz w:val="21"/>
                <w:szCs w:val="21"/>
                <w:highlight w:val="none"/>
                <w:u w:val="single"/>
              </w:rPr>
              <w:t>其它说明</w:t>
            </w:r>
          </w:p>
        </w:tc>
        <w:tc>
          <w:tcPr>
            <w:tcW w:w="6241" w:type="dxa"/>
            <w:tcBorders>
              <w:top w:val="single" w:color="auto" w:sz="4" w:space="0"/>
              <w:left w:val="single" w:color="auto" w:sz="4" w:space="0"/>
              <w:bottom w:val="single" w:color="auto" w:sz="4" w:space="0"/>
              <w:right w:val="double" w:color="auto" w:sz="4" w:space="0"/>
            </w:tcBorders>
            <w:vAlign w:val="center"/>
          </w:tcPr>
          <w:p>
            <w:pPr>
              <w:pStyle w:val="36"/>
              <w:adjustRightInd w:val="0"/>
              <w:snapToGrid w:val="0"/>
              <w:spacing w:before="0" w:beforeAutospacing="0" w:after="0" w:afterAutospacing="0" w:line="320" w:lineRule="exact"/>
              <w:rPr>
                <w:rFonts w:hint="eastAsia" w:ascii="宋体" w:hAnsi="宋体" w:eastAsia="宋体" w:cs="宋体"/>
                <w:bCs/>
                <w:snapToGrid w:val="0"/>
                <w:color w:val="auto"/>
                <w:sz w:val="21"/>
                <w:szCs w:val="21"/>
                <w:highlight w:val="none"/>
                <w:lang w:val="zh-CN"/>
              </w:rPr>
            </w:pPr>
            <w:r>
              <w:rPr>
                <w:rFonts w:hint="eastAsia" w:ascii="宋体" w:hAnsi="宋体" w:eastAsia="宋体" w:cs="宋体"/>
                <w:color w:val="auto"/>
                <w:sz w:val="21"/>
                <w:szCs w:val="21"/>
                <w:highlight w:val="none"/>
                <w:u w:val="single"/>
              </w:rPr>
              <w:t>中标人在签订合同前需向招标人另行提供与投标递交的电子标书一致且加盖单位公章的纸质投标文件（含投标人须知11.3列表明细包含的所有工程量清单报价表）3份及电子文件1份（不用生成投标书；包括用Microsoft Excel 软件或广州公共资源交易中心提供的投标书制作软件制作的工程量清单报价表和综合单价分析表，用 Microsoft Word 软件或广州公共资源交易中心提供的投标书制作软件制作的经济投标文件其他部分。电子文件介质使用CD-R光盘，所有电子文件不能采用压缩处理）。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3" w:hRule="atLeast"/>
        </w:trPr>
        <w:tc>
          <w:tcPr>
            <w:tcW w:w="694" w:type="dxa"/>
            <w:tcBorders>
              <w:top w:val="single" w:color="auto" w:sz="4" w:space="0"/>
              <w:left w:val="double" w:color="auto" w:sz="4" w:space="0"/>
              <w:bottom w:val="single" w:color="auto" w:sz="4" w:space="0"/>
              <w:right w:val="single" w:color="auto" w:sz="4" w:space="0"/>
            </w:tcBorders>
            <w:vAlign w:val="center"/>
          </w:tcPr>
          <w:p>
            <w:pPr>
              <w:numPr>
                <w:ilvl w:val="0"/>
                <w:numId w:val="3"/>
              </w:numPr>
              <w:rPr>
                <w:rFonts w:hint="eastAsia" w:ascii="宋体" w:hAnsi="宋体" w:eastAsia="宋体" w:cs="宋体"/>
                <w:color w:val="auto"/>
                <w:szCs w:val="21"/>
                <w:highlight w:val="none"/>
              </w:rPr>
            </w:pPr>
          </w:p>
        </w:tc>
        <w:tc>
          <w:tcPr>
            <w:tcW w:w="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before="0" w:beforeAutospacing="0" w:after="0" w:afterAutospacing="0" w:line="320" w:lineRule="exact"/>
              <w:rPr>
                <w:rFonts w:hint="eastAsia" w:ascii="宋体" w:hAnsi="宋体" w:eastAsia="宋体" w:cs="宋体"/>
                <w:color w:val="auto"/>
                <w:sz w:val="21"/>
                <w:szCs w:val="21"/>
                <w:highlight w:val="none"/>
                <w:u w:val="single"/>
              </w:rPr>
            </w:pPr>
          </w:p>
        </w:tc>
        <w:tc>
          <w:tcPr>
            <w:tcW w:w="6241" w:type="dxa"/>
            <w:tcBorders>
              <w:top w:val="single" w:color="auto" w:sz="4" w:space="0"/>
              <w:left w:val="single" w:color="auto" w:sz="4" w:space="0"/>
              <w:bottom w:val="single" w:color="auto" w:sz="4" w:space="0"/>
              <w:right w:val="double" w:color="auto" w:sz="4" w:space="0"/>
            </w:tcBorders>
            <w:vAlign w:val="center"/>
          </w:tcPr>
          <w:p>
            <w:pPr>
              <w:pStyle w:val="36"/>
              <w:adjustRightInd w:val="0"/>
              <w:snapToGrid w:val="0"/>
              <w:spacing w:before="0" w:beforeAutospacing="0" w:after="0" w:afterAutospacing="0" w:line="3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合同签订：本项目合同名称为《</w:t>
            </w:r>
            <w:r>
              <w:rPr>
                <w:rFonts w:hint="eastAsia" w:cs="宋体"/>
                <w:color w:val="auto"/>
                <w:sz w:val="21"/>
                <w:szCs w:val="21"/>
                <w:highlight w:val="none"/>
                <w:u w:val="single"/>
              </w:rPr>
              <w:t>广州市建设工程施工合同</w:t>
            </w:r>
            <w:r>
              <w:rPr>
                <w:rFonts w:hint="eastAsia" w:cs="宋体"/>
                <w:color w:val="auto"/>
                <w:sz w:val="21"/>
                <w:szCs w:val="21"/>
                <w:highlight w:val="none"/>
                <w:u w:val="single"/>
                <w:lang w:val="en-US" w:eastAsia="zh-CN"/>
              </w:rPr>
              <w:t>-</w:t>
            </w:r>
            <w:r>
              <w:rPr>
                <w:rFonts w:hint="eastAsia" w:cs="宋体"/>
                <w:color w:val="auto"/>
                <w:sz w:val="21"/>
                <w:szCs w:val="21"/>
                <w:highlight w:val="none"/>
                <w:u w:val="single"/>
                <w:lang w:eastAsia="zh-CN"/>
              </w:rPr>
              <w:t>田心调压站扩容改造工程施工项目</w:t>
            </w:r>
            <w:r>
              <w:rPr>
                <w:rFonts w:hint="eastAsia" w:ascii="宋体" w:hAnsi="宋体" w:eastAsia="宋体" w:cs="宋体"/>
                <w:color w:val="auto"/>
                <w:sz w:val="21"/>
                <w:szCs w:val="21"/>
                <w:highlight w:val="none"/>
                <w:u w:val="single"/>
              </w:rPr>
              <w:t>》，由中标单位与广州燃气集团有限公司签订合同。</w:t>
            </w:r>
          </w:p>
        </w:tc>
      </w:tr>
    </w:tbl>
    <w:p>
      <w:pPr>
        <w:rPr>
          <w:rFonts w:hint="eastAsia" w:ascii="宋体" w:hAnsi="宋体" w:eastAsia="宋体" w:cs="宋体"/>
          <w:color w:val="auto"/>
          <w:highlight w:val="none"/>
        </w:rPr>
      </w:pPr>
      <w:bookmarkStart w:id="2" w:name="_Toc5975573"/>
    </w:p>
    <w:p>
      <w:pPr>
        <w:pStyle w:val="8"/>
        <w:keepLines w:val="0"/>
        <w:pageBreakBefore/>
        <w:spacing w:line="416" w:lineRule="auto"/>
        <w:ind w:left="0" w:firstLine="0"/>
        <w:rPr>
          <w:rFonts w:hint="eastAsia" w:ascii="宋体" w:hAnsi="宋体" w:eastAsia="宋体" w:cs="宋体"/>
          <w:color w:val="auto"/>
          <w:highlight w:val="none"/>
        </w:rPr>
      </w:pPr>
      <w:bookmarkStart w:id="3" w:name="_Toc28338"/>
      <w:r>
        <w:rPr>
          <w:rFonts w:hint="eastAsia" w:ascii="宋体" w:hAnsi="宋体" w:eastAsia="宋体" w:cs="宋体"/>
          <w:color w:val="auto"/>
          <w:highlight w:val="none"/>
        </w:rPr>
        <w:t>二、投标须知修改表</w:t>
      </w:r>
      <w:bookmarkEnd w:id="2"/>
      <w:bookmarkEnd w:id="3"/>
    </w:p>
    <w:p>
      <w:pPr>
        <w:pStyle w:val="156"/>
        <w:spacing w:line="360" w:lineRule="auto"/>
        <w:ind w:firstLine="42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网址：http://zfcj.gz.gov.cn/）下载查阅。</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条款号：5.1       修改类型：修改</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投标人应按本投标须知前附表第15项所述时间和要求对工程现场及周围环境进行踏勘，</w:t>
      </w:r>
      <w:r>
        <w:rPr>
          <w:rFonts w:hint="eastAsia" w:ascii="宋体" w:hAnsi="宋体" w:eastAsia="宋体" w:cs="宋体"/>
          <w:color w:val="auto"/>
          <w:szCs w:val="21"/>
          <w:highlight w:val="none"/>
        </w:rPr>
        <w:t>投标人应充分重视和仔细地进行这种考察，</w:t>
      </w:r>
      <w:r>
        <w:rPr>
          <w:rFonts w:hint="eastAsia" w:ascii="宋体" w:hAnsi="宋体" w:eastAsia="宋体" w:cs="宋体"/>
          <w:bCs/>
          <w:color w:val="auto"/>
          <w:szCs w:val="21"/>
          <w:highlight w:val="none"/>
        </w:rPr>
        <w:t>以便投标人获取</w:t>
      </w:r>
      <w:r>
        <w:rPr>
          <w:rFonts w:hint="eastAsia" w:ascii="宋体" w:hAnsi="宋体" w:eastAsia="宋体" w:cs="宋体"/>
          <w:color w:val="auto"/>
          <w:szCs w:val="21"/>
          <w:highlight w:val="none"/>
        </w:rPr>
        <w:t>那些须投标人自己负责的</w:t>
      </w:r>
      <w:r>
        <w:rPr>
          <w:rFonts w:hint="eastAsia" w:ascii="宋体" w:hAnsi="宋体" w:eastAsia="宋体" w:cs="宋体"/>
          <w:bCs/>
          <w:color w:val="auto"/>
          <w:szCs w:val="21"/>
          <w:highlight w:val="none"/>
        </w:rPr>
        <w:t>有关编制投标文件和签署合同所涉及现场所有的资料。</w:t>
      </w:r>
      <w:r>
        <w:rPr>
          <w:rFonts w:hint="eastAsia" w:ascii="宋体" w:hAnsi="宋体" w:eastAsia="宋体" w:cs="宋体"/>
          <w:color w:val="auto"/>
          <w:szCs w:val="21"/>
          <w:highlight w:val="none"/>
        </w:rPr>
        <w:t>一旦中标，这种考察即被认为其结果已在中标文件中得到充分反映。考察现场的费用由投标人自己承担。</w:t>
      </w:r>
    </w:p>
    <w:p>
      <w:pPr>
        <w:pBdr>
          <w:bottom w:val="single" w:color="auto" w:sz="6" w:space="1"/>
        </w:pBd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投标人应按本投标须知前附表第15项所述时间和要求对工程现场及周围环境进行踏勘，</w:t>
      </w:r>
      <w:r>
        <w:rPr>
          <w:rFonts w:hint="eastAsia" w:ascii="宋体" w:hAnsi="宋体" w:eastAsia="宋体" w:cs="宋体"/>
          <w:color w:val="auto"/>
          <w:szCs w:val="21"/>
          <w:highlight w:val="none"/>
        </w:rPr>
        <w:t>投标人应充分重视和仔细地进行这种考察，</w:t>
      </w:r>
      <w:r>
        <w:rPr>
          <w:rFonts w:hint="eastAsia" w:ascii="宋体" w:hAnsi="宋体" w:eastAsia="宋体" w:cs="宋体"/>
          <w:bCs/>
          <w:color w:val="auto"/>
          <w:szCs w:val="21"/>
          <w:highlight w:val="none"/>
        </w:rPr>
        <w:t>以便投标人获取</w:t>
      </w:r>
      <w:r>
        <w:rPr>
          <w:rFonts w:hint="eastAsia" w:ascii="宋体" w:hAnsi="宋体" w:eastAsia="宋体" w:cs="宋体"/>
          <w:color w:val="auto"/>
          <w:szCs w:val="21"/>
          <w:highlight w:val="none"/>
        </w:rPr>
        <w:t>那些须投标人自己负责的</w:t>
      </w:r>
      <w:r>
        <w:rPr>
          <w:rFonts w:hint="eastAsia" w:ascii="宋体" w:hAnsi="宋体" w:eastAsia="宋体" w:cs="宋体"/>
          <w:bCs/>
          <w:color w:val="auto"/>
          <w:szCs w:val="21"/>
          <w:highlight w:val="none"/>
        </w:rPr>
        <w:t>有关编制投标文件和签署合同所涉及现场所有的资料。</w:t>
      </w:r>
      <w:r>
        <w:rPr>
          <w:rFonts w:hint="eastAsia" w:ascii="宋体" w:hAnsi="宋体" w:eastAsia="宋体" w:cs="宋体"/>
          <w:bCs/>
          <w:color w:val="auto"/>
          <w:szCs w:val="21"/>
          <w:highlight w:val="none"/>
          <w:u w:val="single"/>
        </w:rPr>
        <w:t>投标人不进行踏勘的，视为已熟知现场条件，自行承担相关风险。</w:t>
      </w:r>
      <w:r>
        <w:rPr>
          <w:rFonts w:hint="eastAsia" w:ascii="宋体" w:hAnsi="宋体" w:eastAsia="宋体" w:cs="宋体"/>
          <w:color w:val="auto"/>
          <w:szCs w:val="21"/>
          <w:highlight w:val="none"/>
        </w:rPr>
        <w:t>一旦中标，这种考察即被认为其结果已在中标文件中得到充分反映。考察现场的费用由投标人自己承担。</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条款号：8.1        修改类型：修改</w:t>
      </w:r>
    </w:p>
    <w:p>
      <w:pPr>
        <w:pBdr>
          <w:bottom w:val="single" w:color="auto" w:sz="6" w:space="1"/>
        </w:pBdr>
        <w:spacing w:line="440" w:lineRule="exact"/>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color w:val="auto"/>
          <w:sz w:val="21"/>
          <w:szCs w:val="21"/>
          <w:highlight w:val="none"/>
        </w:rPr>
        <w:t>投标人若对招标文件（包括招标图纸）中有疑问，可以书面形式</w:t>
      </w:r>
      <w:r>
        <w:rPr>
          <w:rFonts w:hint="eastAsia"/>
          <w:color w:val="auto"/>
          <w:sz w:val="21"/>
          <w:szCs w:val="21"/>
          <w:highlight w:val="none"/>
        </w:rPr>
        <w:t>通过</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color w:val="auto"/>
          <w:sz w:val="21"/>
          <w:szCs w:val="21"/>
          <w:highlight w:val="none"/>
        </w:rPr>
        <w:t>提交</w:t>
      </w:r>
      <w:r>
        <w:rPr>
          <w:rFonts w:hint="eastAsia" w:ascii="宋体" w:hAnsi="宋体"/>
          <w:color w:val="auto"/>
          <w:sz w:val="21"/>
          <w:szCs w:val="21"/>
          <w:highlight w:val="none"/>
        </w:rPr>
        <w:t>给招标人或招标代理人，提交形式见本须知前附表第</w:t>
      </w:r>
      <w:r>
        <w:rPr>
          <w:rFonts w:ascii="宋体" w:hAnsi="宋体"/>
          <w:color w:val="auto"/>
          <w:sz w:val="21"/>
          <w:szCs w:val="21"/>
          <w:highlight w:val="none"/>
        </w:rPr>
        <w:t>16</w:t>
      </w:r>
      <w:r>
        <w:rPr>
          <w:rFonts w:hint="eastAsia" w:ascii="宋体" w:hAnsi="宋体"/>
          <w:color w:val="auto"/>
          <w:sz w:val="21"/>
          <w:szCs w:val="21"/>
          <w:highlight w:val="none"/>
        </w:rPr>
        <w:t>项</w:t>
      </w:r>
      <w:r>
        <w:rPr>
          <w:rFonts w:hint="eastAsia" w:ascii="宋体" w:hAnsi="宋体" w:eastAsia="宋体" w:cs="宋体"/>
          <w:color w:val="auto"/>
          <w:szCs w:val="21"/>
          <w:highlight w:val="none"/>
        </w:rPr>
        <w:t>。</w:t>
      </w:r>
    </w:p>
    <w:p>
      <w:pPr>
        <w:pBdr>
          <w:bottom w:val="single" w:color="auto" w:sz="6" w:space="1"/>
        </w:pBdr>
        <w:spacing w:line="360" w:lineRule="auto"/>
        <w:ind w:firstLine="527" w:firstLineChars="250"/>
        <w:rPr>
          <w:rFonts w:hint="eastAsia" w:ascii="宋体" w:hAnsi="宋体" w:eastAsia="宋体" w:cs="宋体"/>
          <w:bCs/>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u w:val="single"/>
        </w:rPr>
        <w:t>项目答疑纪要采用网上答疑方式进行。投标人若对招标文件（包括招标图纸、清单、最高投标限价、合同条款）有疑问的，可在规定的时间内通过广州公共资源交易中心网站进入提问区域将问题提交给招标人或招标代理人，提交问题时一律不得署名。</w:t>
      </w:r>
    </w:p>
    <w:p>
      <w:pPr>
        <w:pBdr>
          <w:bottom w:val="single" w:color="auto" w:sz="6" w:space="1"/>
        </w:pBdr>
        <w:spacing w:line="440" w:lineRule="exact"/>
        <w:ind w:firstLine="470" w:firstLineChars="224"/>
        <w:rPr>
          <w:rFonts w:hint="eastAsia" w:ascii="宋体" w:hAnsi="宋体" w:eastAsia="宋体" w:cs="宋体"/>
          <w:b/>
          <w:color w:val="auto"/>
          <w:szCs w:val="21"/>
          <w:highlight w:val="none"/>
        </w:rPr>
      </w:pPr>
      <w:r>
        <w:rPr>
          <w:rFonts w:hint="eastAsia" w:ascii="宋体" w:hAnsi="宋体" w:eastAsia="宋体" w:cs="宋体"/>
          <w:bCs/>
          <w:color w:val="auto"/>
          <w:szCs w:val="21"/>
          <w:highlight w:val="none"/>
          <w:u w:val="single"/>
        </w:rPr>
        <w:t>网上答疑的操作指南为：登陆广州公共资源交易中心网站→进入“建设工程”专栏中的“网上答疑”通过项目编号或名称找到所需的项目→在上述的答疑时间内点击“提问”→进入到提问区域→提出问题以及查看所有的问题。</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条款号：8.2       修改类型：修改</w:t>
      </w:r>
    </w:p>
    <w:p>
      <w:pPr>
        <w:pStyle w:val="156"/>
        <w:spacing w:line="440" w:lineRule="exact"/>
        <w:ind w:firstLine="422"/>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color w:val="auto"/>
          <w:sz w:val="21"/>
          <w:szCs w:val="21"/>
          <w:highlight w:val="none"/>
        </w:rPr>
        <w:t>招标答疑会会议纪要将在提交投标文件截止时间15日前在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 xml:space="preserve"> “项目答疑纪要”专区公开发布。答疑纪要一经在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发布，视作已发放给所有投标人。</w:t>
      </w:r>
    </w:p>
    <w:p>
      <w:pPr>
        <w:pBdr>
          <w:bottom w:val="single" w:color="auto" w:sz="6" w:space="1"/>
        </w:pBd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u w:val="single"/>
        </w:rPr>
        <w:t>招标答疑纪要</w:t>
      </w:r>
      <w:r>
        <w:rPr>
          <w:rFonts w:hint="eastAsia" w:ascii="宋体" w:hAnsi="宋体" w:eastAsia="宋体" w:cs="宋体"/>
          <w:color w:val="auto"/>
          <w:szCs w:val="21"/>
          <w:highlight w:val="none"/>
        </w:rPr>
        <w:t>将在提交投标文件截止时间15日前在</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 “项目答疑纪要”专区公开发布。答疑纪要一经在</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交易平台发布，视作已发放给所有投标人。</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条款号：8.3       修改类型：修改</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答疑会会议纪要为招标文件的一部分。</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u w:val="single"/>
        </w:rPr>
        <w:t>招标答疑纪要</w:t>
      </w:r>
      <w:r>
        <w:rPr>
          <w:rFonts w:hint="eastAsia" w:ascii="宋体" w:hAnsi="宋体" w:eastAsia="宋体" w:cs="宋体"/>
          <w:bCs/>
          <w:color w:val="auto"/>
          <w:szCs w:val="21"/>
          <w:highlight w:val="none"/>
        </w:rPr>
        <w:t>为招标文件的一部分</w:t>
      </w:r>
      <w:r>
        <w:rPr>
          <w:rFonts w:hint="eastAsia" w:ascii="宋体" w:hAnsi="宋体" w:eastAsia="宋体" w:cs="宋体"/>
          <w:color w:val="auto"/>
          <w:szCs w:val="20"/>
          <w:highlight w:val="none"/>
        </w:rPr>
        <w:t>。</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条款号：8.4        修改类型：修改</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若招标答疑会会议纪要与招标文件有矛盾，以答疑会议纪要最后发出的书面形式的文件为准。</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highlight w:val="none"/>
        </w:rPr>
        <w:t>若</w:t>
      </w:r>
      <w:r>
        <w:rPr>
          <w:rFonts w:hint="eastAsia" w:ascii="宋体" w:hAnsi="宋体" w:eastAsia="宋体" w:cs="宋体"/>
          <w:color w:val="auto"/>
          <w:highlight w:val="none"/>
          <w:u w:val="single"/>
        </w:rPr>
        <w:t>招标答疑纪要</w:t>
      </w:r>
      <w:r>
        <w:rPr>
          <w:rFonts w:hint="eastAsia" w:ascii="宋体" w:hAnsi="宋体" w:eastAsia="宋体" w:cs="宋体"/>
          <w:color w:val="auto"/>
          <w:highlight w:val="none"/>
        </w:rPr>
        <w:t>与招标文件有矛盾，以</w:t>
      </w:r>
      <w:r>
        <w:rPr>
          <w:rFonts w:hint="eastAsia" w:ascii="宋体" w:hAnsi="宋体" w:eastAsia="宋体" w:cs="宋体"/>
          <w:color w:val="auto"/>
          <w:highlight w:val="none"/>
          <w:u w:val="single"/>
        </w:rPr>
        <w:t>广州公共资源交易中心交易平台最后发布的答疑纪要</w:t>
      </w:r>
      <w:r>
        <w:rPr>
          <w:rFonts w:hint="eastAsia" w:ascii="宋体" w:hAnsi="宋体" w:eastAsia="宋体" w:cs="宋体"/>
          <w:color w:val="auto"/>
          <w:highlight w:val="none"/>
        </w:rPr>
        <w:t>为准</w:t>
      </w:r>
      <w:r>
        <w:rPr>
          <w:rFonts w:hint="eastAsia" w:ascii="宋体" w:hAnsi="宋体" w:eastAsia="宋体" w:cs="宋体"/>
          <w:color w:val="auto"/>
          <w:szCs w:val="20"/>
          <w:highlight w:val="none"/>
        </w:rPr>
        <w:t>。</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条款号：9.2       修改类型：修改</w:t>
      </w:r>
    </w:p>
    <w:p>
      <w:pPr>
        <w:pBdr>
          <w:bottom w:val="single" w:color="auto" w:sz="6" w:space="1"/>
        </w:pBdr>
        <w:spacing w:line="440" w:lineRule="exact"/>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color w:val="auto"/>
          <w:sz w:val="21"/>
          <w:szCs w:val="21"/>
          <w:highlight w:val="none"/>
        </w:rPr>
        <w:t>招标文件的澄清或修改将在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“项目答疑纪要”专区公开发布。答疑纪要一经在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发布，视作已发放给所有投标人，以</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上网发布时间作为送达时间。</w:t>
      </w:r>
    </w:p>
    <w:p>
      <w:pPr>
        <w:pBdr>
          <w:bottom w:val="single" w:color="auto" w:sz="6" w:space="1"/>
        </w:pBdr>
        <w:spacing w:line="440" w:lineRule="exact"/>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招标文件的澄清或修改将在</w:t>
      </w:r>
      <w:r>
        <w:rPr>
          <w:rFonts w:hint="eastAsia" w:ascii="宋体" w:hAnsi="宋体" w:eastAsia="宋体" w:cs="宋体"/>
          <w:color w:val="auto"/>
          <w:szCs w:val="21"/>
          <w:highlight w:val="none"/>
          <w:u w:val="single"/>
        </w:rPr>
        <w:t xml:space="preserve">广州公共资源交易中心 </w:t>
      </w:r>
      <w:r>
        <w:rPr>
          <w:rFonts w:hint="eastAsia" w:ascii="宋体" w:hAnsi="宋体" w:eastAsia="宋体" w:cs="宋体"/>
          <w:color w:val="auto"/>
          <w:szCs w:val="21"/>
          <w:highlight w:val="none"/>
        </w:rPr>
        <w:t>交易平台“项目答疑纪要”专区公开发布。答疑纪要一经在</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交易平台发布，视作已发放给所有投标人，以</w:t>
      </w:r>
      <w:r>
        <w:rPr>
          <w:rFonts w:hint="eastAsia" w:ascii="宋体" w:hAnsi="宋体" w:eastAsia="宋体" w:cs="宋体"/>
          <w:color w:val="auto"/>
          <w:szCs w:val="21"/>
          <w:highlight w:val="none"/>
          <w:u w:val="single"/>
        </w:rPr>
        <w:t xml:space="preserve">广州公共资源交易中心 </w:t>
      </w:r>
      <w:r>
        <w:rPr>
          <w:rFonts w:hint="eastAsia" w:ascii="宋体" w:hAnsi="宋体" w:eastAsia="宋体" w:cs="宋体"/>
          <w:color w:val="auto"/>
          <w:szCs w:val="21"/>
          <w:highlight w:val="none"/>
        </w:rPr>
        <w:t>交易平台上网发布时间作为送达时间。</w:t>
      </w:r>
    </w:p>
    <w:p>
      <w:pPr>
        <w:spacing w:line="36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条款号：9.4       修改类型：修改</w:t>
      </w:r>
    </w:p>
    <w:p>
      <w:pPr>
        <w:spacing w:line="36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招标文件的澄清或修改均以书面形式明确的内容为准。当招标文件的澄清、修改、补充等在同一内容的表述不一致时，以最后发出的书面形式的文件为准。</w:t>
      </w:r>
    </w:p>
    <w:p>
      <w:pPr>
        <w:pBdr>
          <w:bottom w:val="single" w:color="auto" w:sz="6" w:space="1"/>
        </w:pBdr>
        <w:spacing w:line="360" w:lineRule="auto"/>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highlight w:val="none"/>
        </w:rPr>
        <w:t>招标文件的澄清或修改</w:t>
      </w:r>
      <w:r>
        <w:rPr>
          <w:rFonts w:hint="eastAsia" w:ascii="宋体" w:hAnsi="宋体" w:eastAsia="宋体" w:cs="宋体"/>
          <w:color w:val="auto"/>
          <w:highlight w:val="none"/>
          <w:u w:val="single"/>
        </w:rPr>
        <w:t>在广州公共资源交易中心交易平台“建设工程→项目查询（日程安排、答疑纪要）”专区公开发布</w:t>
      </w:r>
      <w:r>
        <w:rPr>
          <w:rFonts w:hint="eastAsia" w:ascii="宋体" w:hAnsi="宋体" w:eastAsia="宋体" w:cs="宋体"/>
          <w:color w:val="auto"/>
          <w:highlight w:val="none"/>
        </w:rPr>
        <w:t>。当招标文件的澄清、修改、补充等在同一内容的表述不一致时，</w:t>
      </w:r>
      <w:r>
        <w:rPr>
          <w:rFonts w:hint="eastAsia" w:ascii="宋体" w:hAnsi="宋体" w:eastAsia="宋体" w:cs="宋体"/>
          <w:color w:val="auto"/>
          <w:szCs w:val="21"/>
          <w:highlight w:val="none"/>
        </w:rPr>
        <w:t>以最后发出的文件为准。</w:t>
      </w:r>
    </w:p>
    <w:p>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条款号：11.2       修改类型：修改</w:t>
      </w:r>
    </w:p>
    <w:p>
      <w:pPr>
        <w:spacing w:line="360" w:lineRule="auto"/>
        <w:ind w:firstLine="472" w:firstLineChars="224"/>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投标文件技术标部分主要包括下列内容:</w:t>
      </w:r>
    </w:p>
    <w:p>
      <w:pPr>
        <w:spacing w:line="360" w:lineRule="auto"/>
        <w:ind w:firstLine="470" w:firstLineChars="224"/>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11.2.1 技术投标文件(按招标文件的要求填写)；</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11.2.2 资格审查文件：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（1）投标人声明； </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（2）法定代表人证明书、法定代表人签字或盖章的本投标文件授权委托证明书；</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（3）企业营业执照（取自平台内上传件）；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（4）企业资质证书（取自平台内上传件）；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（5）建筑施工企业安全生产许可证（取自平台内上传件）；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（6）项目负责人（按网上投标登记时选择拟投标的项目负责人）</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（7）专职安全员（按网上投标登记时选择拟投标的专职安全员）</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（8）拟委托技术负责人的相关证书、资料（具体要求由招标人明确）</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（9）拟委派项目负责人的建造师注册证书或小型项目负责人相关证明（取自平台内上传件）； </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（10）项目负责人</w:t>
      </w:r>
      <w:r>
        <w:rPr>
          <w:rFonts w:hint="eastAsia" w:ascii="宋体" w:hAnsi="宋体" w:eastAsia="宋体" w:cs="宋体"/>
          <w:bCs/>
          <w:color w:val="auto"/>
          <w:szCs w:val="21"/>
          <w:highlight w:val="none"/>
          <w:lang w:eastAsia="zh-CN"/>
        </w:rPr>
        <w:t>安全生产</w:t>
      </w:r>
      <w:r>
        <w:rPr>
          <w:rFonts w:hint="eastAsia" w:ascii="宋体" w:hAnsi="宋体" w:eastAsia="宋体" w:cs="宋体"/>
          <w:bCs/>
          <w:color w:val="auto"/>
          <w:szCs w:val="21"/>
          <w:highlight w:val="none"/>
        </w:rPr>
        <w:t>考核合格证明或在有效期内的安全考核合格证书（B类）或建筑施工企业项目负责人安全生产考核合格证书（取自平台内上传件）；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（11）专职安全员须具有在有效期内的安全考核合格证书（</w:t>
      </w:r>
      <w:r>
        <w:rPr>
          <w:rFonts w:hint="eastAsia" w:ascii="宋体" w:hAnsi="宋体" w:eastAsia="宋体" w:cs="宋体"/>
          <w:bCs/>
          <w:color w:val="auto"/>
          <w:szCs w:val="21"/>
          <w:highlight w:val="none"/>
          <w:lang w:val="en-US" w:eastAsia="zh-CN"/>
        </w:rPr>
        <w:t>C类</w:t>
      </w:r>
      <w:r>
        <w:rPr>
          <w:rFonts w:hint="eastAsia" w:ascii="宋体" w:hAnsi="宋体" w:eastAsia="宋体" w:cs="宋体"/>
          <w:bCs/>
          <w:color w:val="auto"/>
          <w:szCs w:val="21"/>
          <w:highlight w:val="none"/>
        </w:rPr>
        <w:t>）或建筑施工企业专职安全生产管理人员安全生产考核合格证书（取自平台内上传件）；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（12）用于资格审查的业绩（设置业绩要求时选择此项，投标人</w:t>
      </w:r>
      <w:r>
        <w:rPr>
          <w:rFonts w:hint="eastAsia" w:ascii="宋体" w:hAnsi="宋体" w:eastAsia="宋体" w:cs="宋体"/>
          <w:color w:val="auto"/>
          <w:szCs w:val="21"/>
          <w:highlight w:val="none"/>
        </w:rPr>
        <w:t>须提供类似工程业绩的项目名称及项目编号，具体格式由招标人自定</w:t>
      </w:r>
      <w:r>
        <w:rPr>
          <w:rFonts w:hint="eastAsia" w:ascii="宋体" w:hAnsi="宋体" w:eastAsia="宋体" w:cs="宋体"/>
          <w:bCs/>
          <w:color w:val="auto"/>
          <w:szCs w:val="21"/>
          <w:highlight w:val="none"/>
        </w:rPr>
        <w:t>）；</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（13）资格审查前，投标人须在广州市住房和城乡建设局建立企业信用档案，拟担任本工程项目负责人、专职安全员须是本企业信用档案中的在册人员。</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（14）列明主办单位的联合体工作协议（采用联合体投标时需递交，投标人拟任本工程项目负责人应为联合体主办方诚信档案中的在册人员，</w:t>
      </w:r>
      <w:r>
        <w:rPr>
          <w:rFonts w:hint="eastAsia" w:ascii="宋体" w:hAnsi="宋体" w:eastAsia="宋体" w:cs="宋体"/>
          <w:color w:val="auto"/>
          <w:szCs w:val="21"/>
          <w:highlight w:val="none"/>
        </w:rPr>
        <w:t>联合体工作协议应明确约定各方拟承担的工作和责任</w:t>
      </w:r>
      <w:r>
        <w:rPr>
          <w:rFonts w:hint="eastAsia" w:ascii="宋体" w:hAnsi="宋体" w:eastAsia="宋体" w:cs="宋体"/>
          <w:bCs/>
          <w:color w:val="auto"/>
          <w:szCs w:val="21"/>
          <w:highlight w:val="none"/>
        </w:rPr>
        <w:t xml:space="preserve">）； </w:t>
      </w:r>
    </w:p>
    <w:p>
      <w:pPr>
        <w:spacing w:line="360" w:lineRule="auto"/>
        <w:ind w:firstLine="470" w:firstLineChars="224"/>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（15）</w:t>
      </w:r>
      <w:r>
        <w:rPr>
          <w:rFonts w:hint="eastAsia" w:ascii="宋体" w:hAnsi="宋体" w:eastAsia="宋体" w:cs="宋体"/>
          <w:color w:val="auto"/>
          <w:szCs w:val="21"/>
          <w:highlight w:val="none"/>
        </w:rPr>
        <w:t>投标人具有在广州地区可使用适合本工程的机械设备的证明文件（提供沥青摊铺机自有发票或权属证明及设备现场全貌彩照（彩照须能反映其规格型号））。（含有市政道路面层沥青摊铺且沥青摊铺占预计发包价50%或以上的大、中修市政公用工程需提供该项内容的证明文件）。</w:t>
      </w:r>
    </w:p>
    <w:p>
      <w:pPr>
        <w:spacing w:line="360" w:lineRule="auto"/>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投标文件技术标部分（含资格审查文件）主要包括下列内容:</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11.2.1 </w:t>
      </w:r>
      <w:r>
        <w:rPr>
          <w:rFonts w:hint="eastAsia" w:ascii="宋体" w:hAnsi="宋体" w:eastAsia="宋体" w:cs="宋体"/>
          <w:bCs/>
          <w:color w:val="auto"/>
          <w:szCs w:val="21"/>
          <w:highlight w:val="none"/>
          <w:lang w:val="zh-CN"/>
        </w:rPr>
        <w:t>广州建设工程施工招标投标书</w:t>
      </w:r>
      <w:r>
        <w:rPr>
          <w:rFonts w:hint="eastAsia" w:ascii="宋体" w:hAnsi="宋体" w:eastAsia="宋体" w:cs="宋体"/>
          <w:color w:val="auto"/>
          <w:szCs w:val="21"/>
          <w:highlight w:val="none"/>
        </w:rPr>
        <w:t>(格式见第四章投标文件格式)</w:t>
      </w:r>
      <w:r>
        <w:rPr>
          <w:rFonts w:hint="eastAsia" w:ascii="宋体" w:hAnsi="宋体" w:eastAsia="宋体" w:cs="宋体"/>
          <w:bCs/>
          <w:color w:val="auto"/>
          <w:szCs w:val="21"/>
          <w:highlight w:val="none"/>
        </w:rPr>
        <w:t>；</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11.2.2 资格审查文件：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（1）投标人声明</w:t>
      </w:r>
      <w:r>
        <w:rPr>
          <w:rFonts w:hint="eastAsia" w:ascii="宋体" w:hAnsi="宋体" w:eastAsia="宋体" w:cs="宋体"/>
          <w:bCs/>
          <w:color w:val="auto"/>
          <w:szCs w:val="21"/>
          <w:highlight w:val="none"/>
          <w:u w:val="single"/>
        </w:rPr>
        <w:t>（见招标公告附件一）</w:t>
      </w:r>
      <w:r>
        <w:rPr>
          <w:rFonts w:hint="eastAsia" w:ascii="宋体" w:hAnsi="宋体" w:eastAsia="宋体" w:cs="宋体"/>
          <w:bCs/>
          <w:color w:val="auto"/>
          <w:szCs w:val="21"/>
          <w:highlight w:val="none"/>
        </w:rPr>
        <w:t xml:space="preserve">； </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（2）法定代表人证明书、法定代表人签字或盖章的本投标文件授权委托证明书；</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（3）企业营业执照（取自平台内上传件）；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（4）企业资质证书（取自平台内上传件）</w:t>
      </w:r>
      <w:r>
        <w:rPr>
          <w:rFonts w:hint="eastAsia" w:ascii="宋体" w:hAnsi="宋体" w:eastAsia="宋体" w:cs="宋体"/>
          <w:bCs/>
          <w:color w:val="auto"/>
          <w:szCs w:val="21"/>
          <w:highlight w:val="none"/>
          <w:u w:val="single"/>
        </w:rPr>
        <w:t>、压力管道安装许可证GB1、GC</w:t>
      </w:r>
      <w:r>
        <w:rPr>
          <w:rFonts w:hint="eastAsia" w:ascii="宋体" w:hAnsi="宋体" w:cs="宋体"/>
          <w:bCs/>
          <w:color w:val="auto"/>
          <w:szCs w:val="21"/>
          <w:highlight w:val="none"/>
          <w:u w:val="single"/>
          <w:lang w:val="en-US" w:eastAsia="zh-CN"/>
        </w:rPr>
        <w:t>1</w:t>
      </w:r>
      <w:r>
        <w:rPr>
          <w:rFonts w:hint="eastAsia" w:ascii="宋体" w:hAnsi="宋体" w:eastAsia="宋体" w:cs="宋体"/>
          <w:bCs/>
          <w:color w:val="auto"/>
          <w:szCs w:val="21"/>
          <w:highlight w:val="none"/>
          <w:u w:val="single"/>
        </w:rPr>
        <w:t>（原件扫描件）</w:t>
      </w:r>
      <w:r>
        <w:rPr>
          <w:rFonts w:hint="eastAsia" w:ascii="宋体" w:hAnsi="宋体" w:eastAsia="宋体" w:cs="宋体"/>
          <w:color w:val="auto"/>
          <w:szCs w:val="21"/>
          <w:highlight w:val="none"/>
        </w:rPr>
        <w:t>；</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（5）建筑施工企业安全生产许可证（取自平台内上传件）；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（6）项目负责人（按网上投标登记时选择拟投标的项目负责人）；</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（7）专职安全员（按网上投标登记时选择拟投标的专职安全员）；</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（8）自201</w:t>
      </w:r>
      <w:r>
        <w:rPr>
          <w:rFonts w:hint="eastAsia" w:ascii="宋体" w:hAnsi="宋体" w:eastAsia="宋体" w:cs="宋体"/>
          <w:bCs/>
          <w:color w:val="auto"/>
          <w:szCs w:val="21"/>
          <w:highlight w:val="none"/>
          <w:lang w:val="en-US" w:eastAsia="zh-CN"/>
        </w:rPr>
        <w:t>8</w:t>
      </w:r>
      <w:r>
        <w:rPr>
          <w:rFonts w:hint="eastAsia" w:ascii="宋体" w:hAnsi="宋体" w:eastAsia="宋体" w:cs="宋体"/>
          <w:bCs/>
          <w:color w:val="auto"/>
          <w:szCs w:val="21"/>
          <w:highlight w:val="none"/>
        </w:rPr>
        <w:t>年1月1日至今完成过质量合格的类似工程业绩</w:t>
      </w:r>
      <w:r>
        <w:rPr>
          <w:rFonts w:hint="eastAsia" w:ascii="宋体" w:hAnsi="宋体" w:eastAsia="宋体" w:cs="宋体"/>
          <w:color w:val="auto"/>
          <w:szCs w:val="21"/>
          <w:highlight w:val="none"/>
        </w:rPr>
        <w:t>；</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（9）拟委派项目负责人的证书相关证明（取自平台内上传件）； </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（10）项目负责人</w:t>
      </w:r>
      <w:r>
        <w:rPr>
          <w:rFonts w:hint="eastAsia" w:ascii="宋体" w:hAnsi="宋体" w:eastAsia="宋体" w:cs="宋体"/>
          <w:bCs/>
          <w:color w:val="auto"/>
          <w:szCs w:val="21"/>
          <w:highlight w:val="none"/>
          <w:lang w:eastAsia="zh-CN"/>
        </w:rPr>
        <w:t>安全生产</w:t>
      </w:r>
      <w:r>
        <w:rPr>
          <w:rFonts w:hint="eastAsia" w:ascii="宋体" w:hAnsi="宋体" w:eastAsia="宋体" w:cs="宋体"/>
          <w:bCs/>
          <w:color w:val="auto"/>
          <w:szCs w:val="21"/>
          <w:highlight w:val="none"/>
        </w:rPr>
        <w:t>考核合格证明或在有效期内的安全考核合格证书（B类）或建筑施工企业项目负责人安全生产考核合格证书（取自平台内上传件）；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（11）</w:t>
      </w:r>
      <w:r>
        <w:rPr>
          <w:rFonts w:hint="eastAsia" w:ascii="宋体" w:hAnsi="宋体" w:eastAsia="宋体" w:cs="宋体"/>
          <w:bCs/>
          <w:color w:val="auto"/>
          <w:szCs w:val="21"/>
          <w:highlight w:val="none"/>
          <w:u w:val="single"/>
        </w:rPr>
        <w:t>专职安全员须具有安全生产考核合格证（C类）或建筑施工企业专职安全生产管理人员安全生产考核合格证书（C3类）（取自平台内上传件）；</w:t>
      </w:r>
    </w:p>
    <w:p>
      <w:pPr>
        <w:spacing w:line="360" w:lineRule="auto"/>
        <w:ind w:firstLine="470" w:firstLineChars="224"/>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rPr>
        <w:t>（12）</w:t>
      </w:r>
      <w:r>
        <w:rPr>
          <w:rFonts w:hint="eastAsia" w:ascii="宋体" w:hAnsi="宋体" w:eastAsia="宋体" w:cs="宋体"/>
          <w:bCs/>
          <w:color w:val="auto"/>
          <w:szCs w:val="21"/>
          <w:highlight w:val="none"/>
          <w:u w:val="single"/>
        </w:rPr>
        <w:t>资格审查前，投标人须在广州市住房和城乡建设局建立企业信用档案，拟担任本工程项目负责人、专职安全员须是本企业信用档案中的在册人员。企业信用档案取自投标截止时间投标人在信用管理平台内的信息，投标人无需提交相关资料，若招标人延长递交投标文件截止时间的，信用档案信息的评审时点也相应延长。（信用档案办理详见《广州市住建行业信用管理平台施工企业信息录入指引 》</w:t>
      </w:r>
      <w:r>
        <w:rPr>
          <w:rFonts w:hint="eastAsia" w:ascii="宋体" w:hAnsi="宋体" w:eastAsia="宋体" w:cs="宋体"/>
          <w:bCs/>
          <w:color w:val="auto"/>
          <w:szCs w:val="21"/>
          <w:highlight w:val="none"/>
          <w:u w:val="single"/>
          <w:lang w:eastAsia="zh-CN"/>
        </w:rPr>
        <w:t>。</w:t>
      </w:r>
    </w:p>
    <w:p>
      <w:pPr>
        <w:pBdr>
          <w:bottom w:val="single" w:color="auto" w:sz="6" w:space="0"/>
        </w:pBd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（13）投标人认为应提供的其他资料。</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条款号：11.2.3（2）       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投标人应详细列出该施工组织机构中主要成员的名单、简历资料、职务职称和在本项目中拟担任的职务等资料，并附上有关证明材料扫描件；</w:t>
      </w:r>
    </w:p>
    <w:p>
      <w:pPr>
        <w:pBdr>
          <w:bottom w:val="single" w:color="auto" w:sz="6" w:space="0"/>
        </w:pBdr>
        <w:spacing w:line="44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投标人应详细列出该施工组织机构中主要成员的名单</w:t>
      </w:r>
      <w:r>
        <w:rPr>
          <w:rFonts w:hint="eastAsia" w:ascii="宋体" w:hAnsi="宋体" w:eastAsia="宋体" w:cs="宋体"/>
          <w:bCs/>
          <w:color w:val="auto"/>
          <w:szCs w:val="21"/>
          <w:highlight w:val="none"/>
          <w:u w:val="single"/>
        </w:rPr>
        <w:t>《施工项目管理团队人员信息表》（见招标文件第四章 “技术标投标文件格式”格式五）</w:t>
      </w:r>
      <w:r>
        <w:rPr>
          <w:rFonts w:hint="eastAsia" w:ascii="宋体" w:hAnsi="宋体" w:eastAsia="宋体" w:cs="宋体"/>
          <w:color w:val="auto"/>
          <w:szCs w:val="21"/>
          <w:highlight w:val="none"/>
        </w:rPr>
        <w:t>、简历资料</w:t>
      </w:r>
      <w:r>
        <w:rPr>
          <w:rFonts w:hint="eastAsia" w:ascii="宋体" w:hAnsi="宋体" w:eastAsia="宋体" w:cs="宋体"/>
          <w:bCs/>
          <w:color w:val="auto"/>
          <w:szCs w:val="21"/>
          <w:highlight w:val="none"/>
          <w:u w:val="single"/>
        </w:rPr>
        <w:t>《主要人员简历表》（见招标文件第四章 “技术标投标文件格式”格式六）</w:t>
      </w:r>
      <w:r>
        <w:rPr>
          <w:rFonts w:hint="eastAsia" w:ascii="宋体" w:hAnsi="宋体" w:eastAsia="宋体" w:cs="宋体"/>
          <w:color w:val="auto"/>
          <w:szCs w:val="21"/>
          <w:highlight w:val="none"/>
        </w:rPr>
        <w:t>、职务职称和在本项目中拟担任的职务等资料，并附上有关证明材料扫描件；</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条款号：11.2.6       修改类型：修改</w:t>
      </w:r>
    </w:p>
    <w:p>
      <w:pPr>
        <w:pBdr>
          <w:bottom w:val="single" w:color="auto" w:sz="6" w:space="1"/>
        </w:pBdr>
        <w:spacing w:line="440" w:lineRule="exact"/>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按照</w:t>
      </w:r>
      <w:r>
        <w:rPr>
          <w:rFonts w:hint="eastAsia" w:ascii="宋体" w:hAnsi="宋体" w:eastAsia="宋体" w:cs="宋体"/>
          <w:bCs/>
          <w:color w:val="auto"/>
          <w:szCs w:val="21"/>
          <w:highlight w:val="none"/>
        </w:rPr>
        <w:t>招标文件要求</w:t>
      </w:r>
      <w:r>
        <w:rPr>
          <w:rFonts w:hint="eastAsia" w:ascii="宋体" w:hAnsi="宋体" w:eastAsia="宋体" w:cs="宋体"/>
          <w:color w:val="auto"/>
          <w:szCs w:val="21"/>
          <w:highlight w:val="none"/>
        </w:rPr>
        <w:t>填写的《参与编制技术标投标文件人员名单》。</w:t>
      </w:r>
    </w:p>
    <w:p>
      <w:pPr>
        <w:pBdr>
          <w:bottom w:val="single" w:color="auto" w:sz="6" w:space="1"/>
        </w:pBdr>
        <w:spacing w:line="440" w:lineRule="exact"/>
        <w:ind w:firstLine="472" w:firstLineChars="224"/>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按照</w:t>
      </w:r>
      <w:r>
        <w:rPr>
          <w:rFonts w:hint="eastAsia" w:ascii="宋体" w:hAnsi="宋体" w:eastAsia="宋体" w:cs="宋体"/>
          <w:bCs/>
          <w:color w:val="auto"/>
          <w:szCs w:val="21"/>
          <w:highlight w:val="none"/>
        </w:rPr>
        <w:t>招标文件要求</w:t>
      </w:r>
      <w:r>
        <w:rPr>
          <w:rFonts w:hint="eastAsia" w:ascii="宋体" w:hAnsi="宋体" w:eastAsia="宋体" w:cs="宋体"/>
          <w:color w:val="auto"/>
          <w:szCs w:val="21"/>
          <w:highlight w:val="none"/>
        </w:rPr>
        <w:t>填写的《参与编制技术标投标文件人员名单》。</w:t>
      </w:r>
      <w:r>
        <w:rPr>
          <w:rFonts w:hint="eastAsia" w:ascii="宋体" w:hAnsi="宋体" w:eastAsia="宋体" w:cs="宋体"/>
          <w:bCs/>
          <w:color w:val="auto"/>
          <w:szCs w:val="21"/>
          <w:highlight w:val="none"/>
          <w:u w:val="single"/>
        </w:rPr>
        <w:t>（见招标文件第四章 “技术标投标文件格式”格式三）</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条款号：11.2.7       修改类型：增加</w:t>
      </w:r>
    </w:p>
    <w:p>
      <w:pPr>
        <w:pBdr>
          <w:bottom w:val="single" w:color="auto" w:sz="6" w:space="0"/>
        </w:pBdr>
        <w:spacing w:line="44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投标函》、《承诺书》（</w:t>
      </w:r>
      <w:r>
        <w:rPr>
          <w:rFonts w:hint="eastAsia" w:ascii="宋体" w:hAnsi="宋体" w:eastAsia="宋体" w:cs="宋体"/>
          <w:bCs/>
          <w:color w:val="auto"/>
          <w:szCs w:val="21"/>
          <w:highlight w:val="none"/>
          <w:u w:val="single"/>
        </w:rPr>
        <w:t>见招标文件第四章 “技术标投标文件格式”格式四）</w:t>
      </w:r>
      <w:r>
        <w:rPr>
          <w:rFonts w:hint="eastAsia" w:ascii="宋体" w:hAnsi="宋体" w:eastAsia="宋体" w:cs="宋体"/>
          <w:color w:val="auto"/>
          <w:szCs w:val="21"/>
          <w:highlight w:val="none"/>
          <w:u w:val="single"/>
        </w:rPr>
        <w:t>。</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条款号：11.2.8       修改类型：增加</w:t>
      </w:r>
    </w:p>
    <w:p>
      <w:pPr>
        <w:pBdr>
          <w:bottom w:val="single" w:color="auto" w:sz="6" w:space="1"/>
        </w:pBdr>
        <w:spacing w:line="440" w:lineRule="exact"/>
        <w:ind w:firstLine="472" w:firstLineChars="224"/>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用于技术标评分的业绩</w:t>
      </w:r>
      <w:r>
        <w:rPr>
          <w:rFonts w:hint="eastAsia" w:ascii="宋体" w:hAnsi="宋体" w:eastAsia="宋体" w:cs="宋体"/>
          <w:bCs/>
          <w:color w:val="auto"/>
          <w:szCs w:val="21"/>
          <w:highlight w:val="none"/>
          <w:u w:val="single"/>
        </w:rPr>
        <w:t>扫描件（见招标文件第四章 “技术标投标文件格式”格式七）</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条款号：11.2.9       修改类型：增加</w:t>
      </w:r>
    </w:p>
    <w:p>
      <w:pPr>
        <w:pBdr>
          <w:bottom w:val="single" w:color="auto" w:sz="6" w:space="1"/>
        </w:pBdr>
        <w:spacing w:line="440" w:lineRule="exact"/>
        <w:ind w:firstLine="472" w:firstLineChars="224"/>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u w:val="single"/>
        </w:rPr>
        <w:t>企业相关资料：如证书复印等。</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条款号：11.2.10       修改类型：增加</w:t>
      </w:r>
    </w:p>
    <w:p>
      <w:pPr>
        <w:pBdr>
          <w:bottom w:val="single" w:color="auto" w:sz="6" w:space="1"/>
        </w:pBdr>
        <w:spacing w:line="440" w:lineRule="exact"/>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u w:val="single"/>
        </w:rPr>
        <w:t>其他投标人认为应该提供的资料。</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条款号：11.3.1       修改类型：修改</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11.3.1 经济投标文件(按招标文件的要求填写)；</w:t>
      </w:r>
    </w:p>
    <w:p>
      <w:pPr>
        <w:pBdr>
          <w:bottom w:val="single" w:color="auto" w:sz="6" w:space="1"/>
        </w:pBdr>
        <w:spacing w:line="360" w:lineRule="auto"/>
        <w:ind w:firstLine="527" w:firstLineChars="25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11.3.1 经济投标文件(按招标文件的要求填写)。</w:t>
      </w:r>
    </w:p>
    <w:p>
      <w:pPr>
        <w:pBdr>
          <w:bottom w:val="single" w:color="auto" w:sz="6" w:space="1"/>
        </w:pBdr>
        <w:spacing w:line="360" w:lineRule="auto"/>
        <w:ind w:firstLine="525" w:firstLineChars="250"/>
        <w:rPr>
          <w:rFonts w:hint="eastAsia" w:ascii="宋体" w:hAnsi="宋体" w:eastAsia="宋体" w:cs="宋体"/>
          <w:b/>
          <w:color w:val="auto"/>
          <w:szCs w:val="21"/>
          <w:highlight w:val="none"/>
        </w:rPr>
      </w:pPr>
      <w:r>
        <w:rPr>
          <w:rFonts w:hint="eastAsia" w:ascii="宋体" w:hAnsi="宋体" w:eastAsia="宋体" w:cs="宋体"/>
          <w:bCs/>
          <w:color w:val="auto"/>
          <w:szCs w:val="21"/>
          <w:highlight w:val="none"/>
          <w:u w:val="single"/>
        </w:rPr>
        <w:t>（1）《经济标封面》（见招标文件第四章 “经济标投标文件格式”格式一）；</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条款号：11.3.2       修改类型：修改</w:t>
      </w:r>
    </w:p>
    <w:p>
      <w:pPr>
        <w:spacing w:line="360" w:lineRule="auto"/>
        <w:ind w:firstLine="422" w:firstLineChars="200"/>
        <w:rPr>
          <w:rFonts w:hint="eastAsia" w:ascii="宋体" w:hAnsi="宋体" w:eastAsia="宋体" w:cs="宋体"/>
          <w:color w:val="auto"/>
          <w:szCs w:val="20"/>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0"/>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eastAsia="宋体" w:cs="宋体"/>
          <w:color w:val="auto"/>
          <w:szCs w:val="21"/>
          <w:highlight w:val="none"/>
        </w:rPr>
        <w:t>其中包括如下：</w:t>
      </w:r>
    </w:p>
    <w:p>
      <w:pPr>
        <w:spacing w:line="360" w:lineRule="auto"/>
        <w:ind w:firstLine="495" w:firstLineChars="236"/>
        <w:rPr>
          <w:rFonts w:hint="eastAsia" w:ascii="宋体" w:hAnsi="宋体" w:eastAsia="宋体" w:cs="宋体"/>
          <w:color w:val="auto"/>
          <w:szCs w:val="20"/>
          <w:highlight w:val="none"/>
        </w:rPr>
      </w:pPr>
      <w:r>
        <w:rPr>
          <w:rFonts w:hint="eastAsia" w:ascii="宋体" w:hAnsi="宋体" w:eastAsia="宋体" w:cs="宋体"/>
          <w:color w:val="auto"/>
          <w:szCs w:val="20"/>
          <w:highlight w:val="none"/>
        </w:rPr>
        <w:t>（1）投标总价封面、扉页；</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（2）总说明</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（3）工程项目投标报价汇总表；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（4）单项工程投标报价汇总表；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（5）单位工程投标报价汇总表；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（6）分部分项工程清单与计价表；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（7）单价措施项目清单与计价表；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（8）总价措施项目清单与计价表；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（9）综合单价分析表；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（10）其他项目清单与计价汇总表；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（11）暂列金额明细表；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（12）材料（工程设备）暂估价明细表；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（13）专业工程暂估价明细表；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（14）计日工表；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（15）总承包服务计价表；</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（16）规费和税金项目计价表；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（17）人工、主要材料和设备一览表</w:t>
      </w:r>
    </w:p>
    <w:p>
      <w:pPr>
        <w:spacing w:line="360" w:lineRule="auto"/>
        <w:ind w:firstLine="422" w:firstLineChars="200"/>
        <w:rPr>
          <w:rFonts w:hint="eastAsia" w:ascii="宋体" w:hAnsi="宋体" w:eastAsia="宋体" w:cs="宋体"/>
          <w:color w:val="auto"/>
          <w:szCs w:val="20"/>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0"/>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eastAsia="宋体" w:cs="宋体"/>
          <w:color w:val="auto"/>
          <w:szCs w:val="21"/>
          <w:highlight w:val="none"/>
        </w:rPr>
        <w:t>其中包括如下：</w:t>
      </w:r>
    </w:p>
    <w:p>
      <w:pPr>
        <w:spacing w:line="360" w:lineRule="auto"/>
        <w:ind w:firstLine="495" w:firstLineChars="236"/>
        <w:rPr>
          <w:rFonts w:hint="eastAsia" w:ascii="宋体" w:hAnsi="宋体" w:eastAsia="宋体" w:cs="宋体"/>
          <w:color w:val="auto"/>
          <w:szCs w:val="20"/>
          <w:highlight w:val="none"/>
        </w:rPr>
      </w:pPr>
      <w:r>
        <w:rPr>
          <w:rFonts w:hint="eastAsia" w:ascii="宋体" w:hAnsi="宋体" w:eastAsia="宋体" w:cs="宋体"/>
          <w:color w:val="auto"/>
          <w:szCs w:val="20"/>
          <w:highlight w:val="none"/>
        </w:rPr>
        <w:t>（1）投标总价封面、扉页；</w:t>
      </w:r>
    </w:p>
    <w:p>
      <w:pPr>
        <w:spacing w:line="360" w:lineRule="auto"/>
        <w:ind w:firstLine="495" w:firstLineChars="236"/>
        <w:rPr>
          <w:rFonts w:hint="eastAsia" w:ascii="宋体" w:hAnsi="宋体" w:eastAsia="宋体" w:cs="宋体"/>
          <w:color w:val="auto"/>
          <w:szCs w:val="21"/>
          <w:highlight w:val="none"/>
        </w:rPr>
      </w:pPr>
      <w:r>
        <w:rPr>
          <w:rFonts w:hint="eastAsia" w:ascii="宋体" w:hAnsi="宋体" w:eastAsia="宋体" w:cs="宋体"/>
          <w:color w:val="auto"/>
          <w:szCs w:val="21"/>
          <w:highlight w:val="none"/>
        </w:rPr>
        <w:t>（2）总说明</w:t>
      </w:r>
    </w:p>
    <w:p>
      <w:pPr>
        <w:spacing w:line="360" w:lineRule="auto"/>
        <w:ind w:firstLine="495" w:firstLineChars="236"/>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（3）</w:t>
      </w:r>
      <w:r>
        <w:rPr>
          <w:rFonts w:hint="eastAsia" w:ascii="宋体" w:hAnsi="宋体" w:eastAsia="宋体" w:cs="宋体"/>
          <w:bCs/>
          <w:color w:val="auto"/>
          <w:szCs w:val="21"/>
          <w:highlight w:val="none"/>
          <w:u w:val="single"/>
        </w:rPr>
        <w:t>工程量清单报价表及综合单价分析表的相关内容及格式要求（相关表格的内容及格式要求以招标人发出的最新版电子招标文件中的相应内容及格式为准）；</w:t>
      </w:r>
    </w:p>
    <w:p>
      <w:pPr>
        <w:pBdr>
          <w:bottom w:val="single" w:color="auto" w:sz="6" w:space="1"/>
        </w:pBdr>
        <w:spacing w:line="440" w:lineRule="exact"/>
        <w:ind w:firstLine="470" w:firstLineChars="224"/>
        <w:rPr>
          <w:rFonts w:hint="eastAsia" w:ascii="宋体" w:hAnsi="宋体" w:eastAsia="宋体" w:cs="宋体"/>
          <w:b/>
          <w:color w:val="auto"/>
          <w:szCs w:val="21"/>
          <w:highlight w:val="none"/>
        </w:rPr>
      </w:pPr>
      <w:r>
        <w:rPr>
          <w:rFonts w:hint="eastAsia" w:ascii="宋体" w:hAnsi="宋体" w:eastAsia="宋体" w:cs="宋体"/>
          <w:bCs/>
          <w:color w:val="auto"/>
          <w:szCs w:val="21"/>
          <w:highlight w:val="none"/>
          <w:u w:val="single"/>
        </w:rPr>
        <w:t>（4）其它辅助说明资料。</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条款号：11.3.3       修改类型：修改</w:t>
      </w:r>
    </w:p>
    <w:p>
      <w:pPr>
        <w:pBdr>
          <w:bottom w:val="single" w:color="auto" w:sz="6" w:space="1"/>
        </w:pBdr>
        <w:spacing w:line="440" w:lineRule="exact"/>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按照</w:t>
      </w:r>
      <w:r>
        <w:rPr>
          <w:rFonts w:hint="eastAsia" w:ascii="宋体" w:hAnsi="宋体" w:eastAsia="宋体" w:cs="宋体"/>
          <w:bCs/>
          <w:color w:val="auto"/>
          <w:szCs w:val="21"/>
          <w:highlight w:val="none"/>
        </w:rPr>
        <w:t>招标文件要求</w:t>
      </w:r>
      <w:r>
        <w:rPr>
          <w:rFonts w:hint="eastAsia" w:ascii="宋体" w:hAnsi="宋体" w:eastAsia="宋体" w:cs="宋体"/>
          <w:color w:val="auto"/>
          <w:szCs w:val="21"/>
          <w:highlight w:val="none"/>
        </w:rPr>
        <w:t>填写的《参与编制经济标投标文件人员名单》。</w:t>
      </w:r>
    </w:p>
    <w:p>
      <w:pPr>
        <w:pBdr>
          <w:bottom w:val="single" w:color="auto" w:sz="6" w:space="1"/>
        </w:pBdr>
        <w:spacing w:line="440" w:lineRule="exact"/>
        <w:ind w:firstLine="472" w:firstLineChars="224"/>
        <w:rPr>
          <w:rFonts w:hint="eastAsia" w:ascii="宋体" w:hAnsi="宋体" w:eastAsia="宋体" w:cs="宋体"/>
          <w:bCs/>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按照</w:t>
      </w:r>
      <w:r>
        <w:rPr>
          <w:rFonts w:hint="eastAsia" w:ascii="宋体" w:hAnsi="宋体" w:eastAsia="宋体" w:cs="宋体"/>
          <w:bCs/>
          <w:color w:val="auto"/>
          <w:szCs w:val="21"/>
          <w:highlight w:val="none"/>
        </w:rPr>
        <w:t>招标文件要求</w:t>
      </w:r>
      <w:r>
        <w:rPr>
          <w:rFonts w:hint="eastAsia" w:ascii="宋体" w:hAnsi="宋体" w:eastAsia="宋体" w:cs="宋体"/>
          <w:color w:val="auto"/>
          <w:szCs w:val="21"/>
          <w:highlight w:val="none"/>
        </w:rPr>
        <w:t>填写的《参与编制经济标投标文件人员名单》。</w:t>
      </w:r>
      <w:r>
        <w:rPr>
          <w:rFonts w:hint="eastAsia" w:ascii="宋体" w:hAnsi="宋体" w:eastAsia="宋体" w:cs="宋体"/>
          <w:bCs/>
          <w:color w:val="auto"/>
          <w:szCs w:val="21"/>
          <w:highlight w:val="none"/>
          <w:u w:val="single"/>
        </w:rPr>
        <w:t>（见招标文件第四章 “经济标投标文件格式”格式三）</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条款号：11.3.5       修改类型：增加</w:t>
      </w:r>
    </w:p>
    <w:p>
      <w:pPr>
        <w:pBdr>
          <w:bottom w:val="single" w:color="auto" w:sz="6" w:space="1"/>
        </w:pBdr>
        <w:spacing w:line="440" w:lineRule="exact"/>
        <w:ind w:firstLine="472" w:firstLineChars="224"/>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u w:val="single"/>
        </w:rPr>
        <w:t>《对投标文件编制的承诺》（见招标文件第四章 “经济标投标文件格式”格式四）。</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条款号：12.2        修改类型：修改</w:t>
      </w:r>
    </w:p>
    <w:p>
      <w:pPr>
        <w:pStyle w:val="156"/>
        <w:spacing w:line="440" w:lineRule="exact"/>
        <w:ind w:firstLine="422"/>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w:t>
      </w:r>
      <w:r>
        <w:rPr>
          <w:rFonts w:hint="eastAsia"/>
          <w:color w:val="auto"/>
          <w:sz w:val="21"/>
          <w:szCs w:val="21"/>
          <w:highlight w:val="none"/>
        </w:rPr>
        <w:t>详见：</w:t>
      </w:r>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u w:val="single"/>
        </w:rPr>
        <w:t xml:space="preserve">  </w:t>
      </w:r>
      <w:r>
        <w:rPr>
          <w:rFonts w:hint="eastAsia"/>
          <w:color w:val="auto"/>
          <w:sz w:val="21"/>
          <w:szCs w:val="21"/>
          <w:highlight w:val="none"/>
        </w:rPr>
        <w:t xml:space="preserve"> 。</w:t>
      </w:r>
    </w:p>
    <w:p>
      <w:pPr>
        <w:pBdr>
          <w:bottom w:val="single" w:color="auto" w:sz="6" w:space="1"/>
        </w:pBdr>
        <w:spacing w:line="44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投</w:t>
      </w:r>
      <w:r>
        <w:rPr>
          <w:rFonts w:hint="eastAsia" w:ascii="宋体" w:hAnsi="宋体" w:eastAsia="宋体" w:cs="宋体"/>
          <w:bCs/>
          <w:color w:val="auto"/>
          <w:szCs w:val="21"/>
          <w:highlight w:val="none"/>
        </w:rPr>
        <w:t>标文件全部采用电子文档，投标文件所附证书证件均为原件扫描件，并采用单位数字证书，按招标文件要求在相应位置加盖电子印章。投标文件中需个人签字或盖章的，应手签后扫描上传。按照交易平台关于全流程电子化项目的相关指南进行操作。</w:t>
      </w:r>
      <w:r>
        <w:rPr>
          <w:rFonts w:hint="eastAsia" w:ascii="宋体" w:hAnsi="宋体" w:eastAsia="宋体" w:cs="宋体"/>
          <w:color w:val="auto"/>
          <w:szCs w:val="21"/>
          <w:highlight w:val="none"/>
        </w:rPr>
        <w:t>详见：</w:t>
      </w:r>
      <w:r>
        <w:rPr>
          <w:rFonts w:hint="eastAsia" w:ascii="宋体" w:hAnsi="宋体" w:eastAsia="宋体" w:cs="宋体"/>
          <w:bCs/>
          <w:color w:val="auto"/>
          <w:kern w:val="0"/>
          <w:szCs w:val="21"/>
          <w:highlight w:val="none"/>
          <w:u w:val="single"/>
        </w:rPr>
        <w:t>广州公共资源交易中心网站。</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12.3</w:t>
      </w:r>
      <w:r>
        <w:rPr>
          <w:rFonts w:hint="eastAsia" w:ascii="宋体" w:hAnsi="宋体" w:eastAsia="宋体" w:cs="宋体"/>
          <w:b/>
          <w:color w:val="auto"/>
          <w:szCs w:val="21"/>
          <w:highlight w:val="none"/>
        </w:rPr>
        <w:t xml:space="preserve">       修改类型：修改</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投标文件应按</w:t>
      </w:r>
      <w:r>
        <w:rPr>
          <w:rFonts w:hint="eastAsia" w:ascii="宋体" w:hAnsi="宋体" w:eastAsia="宋体" w:cs="宋体"/>
          <w:color w:val="auto"/>
          <w:szCs w:val="21"/>
          <w:highlight w:val="none"/>
        </w:rPr>
        <w:t>照交易平台关于全流程电子化项目的相关指南进行编制，详见：。</w:t>
      </w:r>
    </w:p>
    <w:p>
      <w:pPr>
        <w:pBdr>
          <w:bottom w:val="single" w:color="auto" w:sz="6" w:space="1"/>
        </w:pBdr>
        <w:spacing w:line="44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投标文件应按</w:t>
      </w:r>
      <w:r>
        <w:rPr>
          <w:rFonts w:hint="eastAsia" w:ascii="宋体" w:hAnsi="宋体" w:eastAsia="宋体" w:cs="宋体"/>
          <w:color w:val="auto"/>
          <w:szCs w:val="21"/>
          <w:highlight w:val="none"/>
        </w:rPr>
        <w:t>照交易平台关于全流程电子化项目的相关指南进行编制，详见：</w:t>
      </w:r>
      <w:r>
        <w:rPr>
          <w:rFonts w:hint="eastAsia" w:ascii="宋体" w:hAnsi="宋体" w:eastAsia="宋体" w:cs="宋体"/>
          <w:bCs/>
          <w:color w:val="auto"/>
          <w:kern w:val="0"/>
          <w:szCs w:val="21"/>
          <w:highlight w:val="none"/>
          <w:u w:val="single"/>
        </w:rPr>
        <w:t>广州公共资源交易中心网站</w:t>
      </w:r>
      <w:r>
        <w:rPr>
          <w:rFonts w:hint="eastAsia" w:ascii="宋体" w:hAnsi="宋体" w:eastAsia="宋体" w:cs="宋体"/>
          <w:color w:val="auto"/>
          <w:szCs w:val="21"/>
          <w:highlight w:val="none"/>
        </w:rPr>
        <w:t>。</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条款号：13.1       修改类型：修改</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0"/>
          <w:highlight w:val="none"/>
        </w:rPr>
        <w:t>本工程的投标报价采用投标须知前附表第12项所规定的方式。投标报价（含单价及总价）精确到“分”。</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0"/>
          <w:highlight w:val="none"/>
        </w:rPr>
        <w:t>本工程的投标报价采用投标须知前附表第12项所规定的方式。</w:t>
      </w:r>
      <w:r>
        <w:rPr>
          <w:rFonts w:hint="eastAsia" w:ascii="宋体" w:hAnsi="宋体" w:eastAsia="宋体" w:cs="宋体"/>
          <w:color w:val="auto"/>
          <w:szCs w:val="20"/>
          <w:highlight w:val="none"/>
          <w:u w:val="single"/>
        </w:rPr>
        <w:t>投标文件中的大写金额和小写金额不一致的，以大写金额为准。</w:t>
      </w:r>
      <w:r>
        <w:rPr>
          <w:rFonts w:hint="eastAsia" w:ascii="宋体" w:hAnsi="宋体" w:eastAsia="宋体" w:cs="宋体"/>
          <w:color w:val="auto"/>
          <w:szCs w:val="20"/>
          <w:highlight w:val="none"/>
        </w:rPr>
        <w:t>投标报价（含单价及总价）精确到“分”。</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条款号：13.5       修改类型：修改</w:t>
      </w:r>
    </w:p>
    <w:p>
      <w:pPr>
        <w:pStyle w:val="156"/>
        <w:pBdr>
          <w:bottom w:val="single" w:color="auto" w:sz="6" w:space="1"/>
        </w:pBdr>
        <w:spacing w:line="360" w:lineRule="auto"/>
        <w:ind w:firstLine="422"/>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13.5工程项目实施期间和结算时，招标文件工程量清单中漏列而由监理单位和招标人现场签证确认的工程项目、原设计没有而由招标人批准设计变更产生的工程项目，视为新增项目，按以下顺序确定价格：</w:t>
      </w:r>
    </w:p>
    <w:p>
      <w:pPr>
        <w:pStyle w:val="156"/>
        <w:pBdr>
          <w:bottom w:val="single" w:color="auto" w:sz="6" w:space="1"/>
        </w:pBdr>
        <w:spacing w:line="360" w:lineRule="auto"/>
        <w:ind w:firstLine="422"/>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13.5.1中标的投标文件工程量清单中已有相同项目的适用综合单价，则沿用；</w:t>
      </w:r>
    </w:p>
    <w:p>
      <w:pPr>
        <w:pStyle w:val="156"/>
        <w:pBdr>
          <w:bottom w:val="single" w:color="auto" w:sz="6" w:space="1"/>
        </w:pBdr>
        <w:spacing w:line="360" w:lineRule="auto"/>
        <w:ind w:firstLine="422"/>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13.5.2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pStyle w:val="156"/>
        <w:pBdr>
          <w:bottom w:val="single" w:color="auto" w:sz="6" w:space="1"/>
        </w:pBdr>
        <w:spacing w:line="360" w:lineRule="auto"/>
        <w:ind w:firstLine="422"/>
        <w:rPr>
          <w:rFonts w:hint="eastAsia" w:ascii="宋体" w:hAnsi="宋体" w:eastAsia="宋体" w:cs="宋体"/>
          <w:color w:val="auto"/>
          <w:szCs w:val="21"/>
          <w:highlight w:val="none"/>
        </w:rPr>
      </w:pPr>
      <w:r>
        <w:rPr>
          <w:rFonts w:hint="eastAsia" w:ascii="宋体" w:hAnsi="宋体" w:eastAsia="宋体" w:cs="宋体"/>
          <w:color w:val="auto"/>
          <w:szCs w:val="21"/>
          <w:highlight w:val="none"/>
        </w:rPr>
        <w:t>13.5.3 中标的投标文件工程量清单中没有相同项目或类似项目的，如可套取相关定额，则以相关定额为基数下浮计算单价,下浮率为中标价相对于最高投标限价的下浮率（下浮率=(最高投标限价-中标价)/ 最高投标限价）。</w:t>
      </w:r>
    </w:p>
    <w:p>
      <w:pPr>
        <w:pStyle w:val="156"/>
        <w:pBdr>
          <w:bottom w:val="single" w:color="auto" w:sz="6" w:space="1"/>
        </w:pBdr>
        <w:spacing w:line="360" w:lineRule="auto"/>
        <w:ind w:firstLine="422"/>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13.5.4 如相关定额没有相应子目的，其计价方式由招标人在本招标文件第三章中另行规定。未规定的，中标后双方协商约定。</w:t>
      </w:r>
    </w:p>
    <w:p>
      <w:pPr>
        <w:pStyle w:val="156"/>
        <w:pBdr>
          <w:bottom w:val="single" w:color="auto" w:sz="6" w:space="1"/>
        </w:pBdr>
        <w:spacing w:line="360" w:lineRule="auto"/>
        <w:ind w:firstLine="422"/>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13.5</w:t>
      </w:r>
      <w:r>
        <w:rPr>
          <w:rFonts w:hint="eastAsia" w:ascii="宋体" w:hAnsi="宋体" w:eastAsia="宋体" w:cs="宋体"/>
          <w:color w:val="auto"/>
          <w:szCs w:val="21"/>
          <w:highlight w:val="none"/>
          <w:u w:val="single"/>
        </w:rPr>
        <w:t>变更结算方式按招标文件及施工合同相关规定执行。</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16</w:t>
      </w:r>
      <w:r>
        <w:rPr>
          <w:rFonts w:hint="eastAsia" w:ascii="宋体" w:hAnsi="宋体" w:eastAsia="宋体" w:cs="宋体"/>
          <w:b/>
          <w:color w:val="auto"/>
          <w:szCs w:val="21"/>
          <w:highlight w:val="none"/>
        </w:rPr>
        <w:t>修改类型：修改</w:t>
      </w:r>
    </w:p>
    <w:p>
      <w:pPr>
        <w:spacing w:line="360" w:lineRule="auto"/>
        <w:ind w:firstLine="424" w:firstLineChars="201"/>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p>
    <w:p>
      <w:pPr>
        <w:pStyle w:val="39"/>
        <w:spacing w:after="0"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16．投标保证金</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16.1投标人应按投标须知前附表第14项所述金额和时间递交投标保证金。招标人应当允许投标人自主选择现金、银行保函、保证保险、专业工程担保公司担保等方式缴纳投标保证金。</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16.1.1采用现金或者支票形式提交的，投标保证金须从投标人的银行基本账户转出。</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16.1.2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16.1.3采用电子形式的保函、担保或保证保险提交投标保证金的，应在招标文件中明确电子递交途径。</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16.3投标保证金应依据法律法规的相关规定退还。</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16.4如有下列情况之一的，招标人可以不予退还投标保证金（是否退还投标保证金由招标人在招标文件中规定）：</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16.4.1因投标人原因造成投标文件未解密的；</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16.4.2投标人在投标有效期内撤销投标文件；</w:t>
      </w:r>
    </w:p>
    <w:p>
      <w:pPr>
        <w:pStyle w:val="39"/>
        <w:spacing w:after="0" w:line="360" w:lineRule="auto"/>
        <w:ind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16.4.3中标人未能在规定期限内按要求提交履约担保；</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16.4.4中标人未能在规定期限内签署合同协议。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16.5投标人如存在下列情况之一的，将被拒绝在一定时期内参与招标人后续工程投标（拒绝时限需在招标文件中明确）：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16.5.1投标人存在16.4条款所列情形且投标人提交的保函、担保或保证保险无法兑付的；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16.5.2采用非电子形式提交投标保证金的投标人存在16.4条款所列情形，且未按招标人要求补交银行保函、专业工程担保公司担保或保证保险原件的；</w:t>
      </w:r>
    </w:p>
    <w:p>
      <w:pP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16.5.3按招标文件要求免于提供投标保证金的投标人存在16.4条款所列情形的。</w:t>
      </w:r>
    </w:p>
    <w:p>
      <w:pPr>
        <w:pBdr>
          <w:bottom w:val="single" w:color="auto" w:sz="6" w:space="1"/>
        </w:pBdr>
        <w:spacing w:line="360" w:lineRule="auto"/>
        <w:ind w:firstLine="424" w:firstLineChars="201"/>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p>
    <w:p>
      <w:pPr>
        <w:pBdr>
          <w:bottom w:val="single" w:color="auto" w:sz="6" w:space="1"/>
        </w:pBdr>
        <w:spacing w:line="360" w:lineRule="auto"/>
        <w:ind w:firstLine="424" w:firstLineChars="201"/>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16．投标保证金</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16.1投标人应按投标须知前附表第14项所述金额和时间递交投标保证金。招标人应当允许投标人自主选择现金、银行保函、保证保险、专业工程担保公司担保等方式缴纳投标保证金。</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16.1.1采用现金或者支票形式提交的，投标保证金须从投标人的银行基本账户转出</w:t>
      </w:r>
      <w:r>
        <w:rPr>
          <w:rFonts w:hint="eastAsia" w:ascii="宋体" w:hAnsi="宋体" w:eastAsia="宋体" w:cs="宋体"/>
          <w:color w:val="auto"/>
          <w:szCs w:val="21"/>
          <w:highlight w:val="none"/>
          <w:u w:val="single"/>
        </w:rPr>
        <w:t>，由广州公共资源交易中心代收，缴纳情况以交易平台数据库记录的信息为准。具体操作要求详见广州公共资源交易中心有关指引，递交事宜请自行咨询交易中心。</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16.1.2依法必须招标的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16.1.3采用电子形式的保函、担保或保证保险提交投标保证金的</w:t>
      </w:r>
      <w:r>
        <w:rPr>
          <w:rFonts w:hint="eastAsia" w:ascii="宋体" w:hAnsi="宋体" w:eastAsia="宋体" w:cs="宋体"/>
          <w:color w:val="auto"/>
          <w:szCs w:val="21"/>
          <w:highlight w:val="none"/>
          <w:u w:val="single"/>
        </w:rPr>
        <w:t>，具体操作要求详见广州公共资源交易中心有关指引，递交事宜请自行咨询交易中心。</w:t>
      </w:r>
    </w:p>
    <w:p>
      <w:pPr>
        <w:pBdr>
          <w:bottom w:val="single" w:color="auto" w:sz="6" w:space="1"/>
        </w:pBdr>
        <w:spacing w:line="360" w:lineRule="auto"/>
        <w:ind w:firstLine="422" w:firstLineChars="201"/>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16.2开标时投标人没有按要求提供投标保证金的，其投标文件将被否决。</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16.3投标保证金应依据法律法规的相关规定退还。</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16.4如有下列情况之一的，招标人可以不予退还投标保证金：</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16.4.1因投标人原因造成投标文件未解密的；</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16.4.2投标人在投标有效期内撤销投标文件；</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16.4.3中标人未能在规定期限内按要求提交履约担保；</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16.4.4中标人未能在规定期限内签署合同协议。</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16.5投标人如存在下列情况之一的，将被拒绝在</w:t>
      </w:r>
      <w:r>
        <w:rPr>
          <w:rFonts w:hint="eastAsia" w:ascii="宋体" w:hAnsi="宋体" w:eastAsia="宋体" w:cs="宋体"/>
          <w:color w:val="auto"/>
          <w:szCs w:val="21"/>
          <w:highlight w:val="none"/>
          <w:u w:val="single"/>
        </w:rPr>
        <w:t>24个月</w:t>
      </w:r>
      <w:r>
        <w:rPr>
          <w:rFonts w:hint="eastAsia" w:ascii="宋体" w:hAnsi="宋体" w:eastAsia="宋体" w:cs="宋体"/>
          <w:color w:val="auto"/>
          <w:szCs w:val="21"/>
          <w:highlight w:val="none"/>
          <w:u w:val="single"/>
          <w:lang w:val="en-US" w:eastAsia="zh-CN"/>
        </w:rPr>
        <w:t>内</w:t>
      </w:r>
      <w:r>
        <w:rPr>
          <w:rFonts w:hint="eastAsia" w:ascii="宋体" w:hAnsi="宋体" w:eastAsia="宋体" w:cs="宋体"/>
          <w:color w:val="auto"/>
          <w:szCs w:val="21"/>
          <w:highlight w:val="none"/>
        </w:rPr>
        <w:t>参与招标人后续工程投标：</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16.5.1投标人存在16.4条款所列情形且投标人提交的保函、担保或保证保险无法兑付的；</w:t>
      </w:r>
    </w:p>
    <w:p>
      <w:pPr>
        <w:pBdr>
          <w:bottom w:val="single" w:color="auto" w:sz="6" w:space="1"/>
        </w:pBdr>
        <w:spacing w:line="360" w:lineRule="auto"/>
        <w:ind w:firstLine="422" w:firstLine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16.5.2采用非电子形式提交投标保证金的投标人存在16.4条款所列情形，且未按招标人要求补交银行保函、专业工程担保公司担保或保证保险原件的。</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17.1</w:t>
      </w:r>
      <w:r>
        <w:rPr>
          <w:rFonts w:hint="eastAsia" w:ascii="宋体" w:hAnsi="宋体" w:eastAsia="宋体" w:cs="宋体"/>
          <w:b/>
          <w:color w:val="auto"/>
          <w:szCs w:val="21"/>
          <w:highlight w:val="none"/>
        </w:rPr>
        <w:t xml:space="preserve">       修改类型：修改</w:t>
      </w:r>
    </w:p>
    <w:p>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投标人应采用单位数字证书，按招标文件要求在相应位置加盖电子印章。投标文件中需个人签字或盖章的，应手签后扫描上传。按照交易平台关于全流程电子化项目的相关指南进行操作。详见：。</w:t>
      </w:r>
    </w:p>
    <w:p>
      <w:pPr>
        <w:pBdr>
          <w:bottom w:val="single" w:color="auto" w:sz="6" w:space="1"/>
        </w:pBdr>
        <w:spacing w:line="440" w:lineRule="exact"/>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w:t>
      </w:r>
      <w:r>
        <w:rPr>
          <w:rFonts w:hint="eastAsia" w:ascii="宋体" w:hAnsi="宋体" w:eastAsia="宋体" w:cs="宋体"/>
          <w:color w:val="auto"/>
          <w:szCs w:val="21"/>
          <w:highlight w:val="none"/>
        </w:rPr>
        <w:t>详见：</w:t>
      </w:r>
      <w:r>
        <w:rPr>
          <w:rFonts w:hint="eastAsia" w:ascii="宋体" w:hAnsi="宋体" w:eastAsia="宋体" w:cs="宋体"/>
          <w:bCs/>
          <w:color w:val="auto"/>
          <w:kern w:val="0"/>
          <w:szCs w:val="21"/>
          <w:highlight w:val="none"/>
          <w:u w:val="single"/>
        </w:rPr>
        <w:t>广州公共资源交易中心网站。</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bCs/>
          <w:color w:val="auto"/>
          <w:szCs w:val="21"/>
          <w:highlight w:val="none"/>
        </w:rPr>
        <w:t>18.1</w:t>
      </w:r>
      <w:r>
        <w:rPr>
          <w:rFonts w:hint="eastAsia" w:ascii="宋体" w:hAnsi="宋体" w:eastAsia="宋体" w:cs="宋体"/>
          <w:b/>
          <w:color w:val="auto"/>
          <w:szCs w:val="21"/>
          <w:highlight w:val="none"/>
        </w:rPr>
        <w:t xml:space="preserve">       修改类型：修改</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递交的电子投标文件（不含备用光盘）必须进行加密。按照交易平台关于</w:t>
      </w:r>
      <w:r>
        <w:rPr>
          <w:rFonts w:hint="eastAsia" w:ascii="宋体" w:hAnsi="宋体" w:eastAsia="宋体" w:cs="宋体"/>
          <w:color w:val="auto"/>
          <w:szCs w:val="21"/>
          <w:highlight w:val="none"/>
        </w:rPr>
        <w:t>全流程电子化项目的相关指南进行操作。详见：。</w:t>
      </w:r>
    </w:p>
    <w:p>
      <w:pPr>
        <w:pBdr>
          <w:bottom w:val="single" w:color="auto" w:sz="6" w:space="1"/>
        </w:pBdr>
        <w:spacing w:line="440" w:lineRule="exact"/>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18.1递交的电子投标文件（不含备用光盘）必须进行加密。按照交易平台关于</w:t>
      </w:r>
      <w:r>
        <w:rPr>
          <w:rFonts w:hint="eastAsia" w:ascii="宋体" w:hAnsi="宋体" w:eastAsia="宋体" w:cs="宋体"/>
          <w:color w:val="auto"/>
          <w:szCs w:val="21"/>
          <w:highlight w:val="none"/>
        </w:rPr>
        <w:t>全流程电子化项目的相关指南进行操作。详见：</w:t>
      </w:r>
      <w:r>
        <w:rPr>
          <w:rFonts w:hint="eastAsia" w:ascii="宋体" w:hAnsi="宋体" w:eastAsia="宋体" w:cs="宋体"/>
          <w:bCs/>
          <w:color w:val="auto"/>
          <w:kern w:val="0"/>
          <w:szCs w:val="21"/>
          <w:highlight w:val="none"/>
          <w:u w:val="single"/>
        </w:rPr>
        <w:t>广州公共资源交易中心网站</w:t>
      </w:r>
      <w:r>
        <w:rPr>
          <w:rFonts w:hint="eastAsia" w:ascii="宋体" w:hAnsi="宋体" w:eastAsia="宋体" w:cs="宋体"/>
          <w:color w:val="auto"/>
          <w:szCs w:val="21"/>
          <w:highlight w:val="none"/>
        </w:rPr>
        <w:t>。</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条款号：18.2       修改类型：修改</w:t>
      </w:r>
    </w:p>
    <w:p>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未按要求加密的投标文件，</w:t>
      </w:r>
      <w:r>
        <w:rPr>
          <w:rFonts w:hint="eastAsia" w:ascii="宋体" w:hAnsi="宋体" w:eastAsia="宋体" w:cs="宋体"/>
          <w:color w:val="auto"/>
          <w:szCs w:val="21"/>
          <w:highlight w:val="none"/>
        </w:rPr>
        <w:t>交易平台</w:t>
      </w:r>
      <w:r>
        <w:rPr>
          <w:rFonts w:hint="eastAsia" w:ascii="宋体" w:hAnsi="宋体" w:eastAsia="宋体" w:cs="宋体"/>
          <w:bCs/>
          <w:color w:val="auto"/>
          <w:szCs w:val="21"/>
          <w:highlight w:val="none"/>
        </w:rPr>
        <w:t>将予以拒收。</w:t>
      </w:r>
    </w:p>
    <w:p>
      <w:pPr>
        <w:pBdr>
          <w:bottom w:val="single" w:color="auto" w:sz="6" w:space="1"/>
        </w:pBdr>
        <w:spacing w:line="44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未按要求加密的投标文件，</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w:t>
      </w:r>
      <w:r>
        <w:rPr>
          <w:rFonts w:hint="eastAsia" w:ascii="宋体" w:hAnsi="宋体" w:eastAsia="宋体" w:cs="宋体"/>
          <w:bCs/>
          <w:color w:val="auto"/>
          <w:szCs w:val="21"/>
          <w:highlight w:val="none"/>
        </w:rPr>
        <w:t>将予以拒收。</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b/>
          <w:bCs/>
          <w:color w:val="auto"/>
          <w:szCs w:val="21"/>
          <w:highlight w:val="none"/>
        </w:rPr>
        <w:t>19．</w:t>
      </w:r>
      <w:r>
        <w:rPr>
          <w:rFonts w:hint="eastAsia" w:ascii="宋体" w:hAnsi="宋体" w:eastAsia="宋体" w:cs="宋体"/>
          <w:b/>
          <w:color w:val="auto"/>
          <w:szCs w:val="21"/>
          <w:highlight w:val="none"/>
        </w:rPr>
        <w:t xml:space="preserve">       修改类型：修改</w:t>
      </w:r>
    </w:p>
    <w:p>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投标文件的递交和接收</w:t>
      </w:r>
    </w:p>
    <w:p>
      <w:pPr>
        <w:spacing w:line="360" w:lineRule="auto"/>
        <w:ind w:firstLine="420" w:firstLineChars="200"/>
        <w:rPr>
          <w:rFonts w:ascii="宋体"/>
          <w:bCs/>
          <w:color w:val="auto"/>
          <w:sz w:val="21"/>
          <w:szCs w:val="20"/>
          <w:highlight w:val="none"/>
        </w:rPr>
      </w:pPr>
      <w:r>
        <w:rPr>
          <w:rFonts w:ascii="宋体" w:hAnsi="宋体"/>
          <w:bCs/>
          <w:color w:val="auto"/>
          <w:sz w:val="21"/>
          <w:szCs w:val="20"/>
          <w:highlight w:val="none"/>
        </w:rPr>
        <w:t>1</w:t>
      </w:r>
      <w:r>
        <w:rPr>
          <w:rFonts w:hint="eastAsia" w:ascii="宋体" w:hAnsi="宋体"/>
          <w:bCs/>
          <w:color w:val="auto"/>
          <w:sz w:val="21"/>
          <w:szCs w:val="20"/>
          <w:highlight w:val="none"/>
        </w:rPr>
        <w:t>9</w:t>
      </w:r>
      <w:r>
        <w:rPr>
          <w:rFonts w:ascii="宋体" w:hAnsi="宋体"/>
          <w:bCs/>
          <w:color w:val="auto"/>
          <w:sz w:val="21"/>
          <w:szCs w:val="20"/>
          <w:highlight w:val="none"/>
        </w:rPr>
        <w:t>.</w:t>
      </w:r>
      <w:r>
        <w:rPr>
          <w:rFonts w:hint="eastAsia" w:ascii="宋体" w:hAnsi="宋体"/>
          <w:bCs/>
          <w:color w:val="auto"/>
          <w:sz w:val="21"/>
          <w:szCs w:val="20"/>
          <w:highlight w:val="none"/>
        </w:rPr>
        <w:t>1投标人通过</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hAnsi="宋体"/>
          <w:color w:val="auto"/>
          <w:sz w:val="21"/>
          <w:szCs w:val="20"/>
          <w:highlight w:val="none"/>
        </w:rPr>
        <w:t>递交电子投标文件。</w:t>
      </w:r>
    </w:p>
    <w:p>
      <w:pPr>
        <w:spacing w:line="360" w:lineRule="auto"/>
        <w:ind w:firstLine="420" w:firstLineChars="200"/>
        <w:rPr>
          <w:rFonts w:ascii="宋体"/>
          <w:bCs/>
          <w:color w:val="auto"/>
          <w:sz w:val="21"/>
          <w:szCs w:val="20"/>
          <w:highlight w:val="none"/>
        </w:rPr>
      </w:pPr>
      <w:r>
        <w:rPr>
          <w:rFonts w:ascii="宋体" w:hAnsi="宋体"/>
          <w:bCs/>
          <w:color w:val="auto"/>
          <w:sz w:val="21"/>
          <w:szCs w:val="20"/>
          <w:highlight w:val="none"/>
        </w:rPr>
        <w:t>1</w:t>
      </w:r>
      <w:r>
        <w:rPr>
          <w:rFonts w:hint="eastAsia" w:ascii="宋体" w:hAnsi="宋体"/>
          <w:bCs/>
          <w:color w:val="auto"/>
          <w:sz w:val="21"/>
          <w:szCs w:val="20"/>
          <w:highlight w:val="none"/>
        </w:rPr>
        <w:t>9</w:t>
      </w:r>
      <w:r>
        <w:rPr>
          <w:rFonts w:ascii="宋体" w:hAnsi="宋体"/>
          <w:bCs/>
          <w:color w:val="auto"/>
          <w:sz w:val="21"/>
          <w:szCs w:val="20"/>
          <w:highlight w:val="none"/>
        </w:rPr>
        <w:t>.</w:t>
      </w:r>
      <w:r>
        <w:rPr>
          <w:rFonts w:hint="eastAsia" w:ascii="宋体" w:hAnsi="宋体"/>
          <w:bCs/>
          <w:color w:val="auto"/>
          <w:sz w:val="21"/>
          <w:szCs w:val="20"/>
          <w:highlight w:val="none"/>
        </w:rPr>
        <w:t>2投标人完成电子</w:t>
      </w:r>
      <w:r>
        <w:rPr>
          <w:rFonts w:hint="eastAsia" w:ascii="宋体" w:hAnsi="宋体"/>
          <w:color w:val="auto"/>
          <w:sz w:val="21"/>
          <w:szCs w:val="20"/>
          <w:highlight w:val="none"/>
        </w:rPr>
        <w:t>投标文件</w:t>
      </w:r>
      <w:r>
        <w:rPr>
          <w:rFonts w:hint="eastAsia" w:ascii="宋体" w:hAnsi="宋体"/>
          <w:bCs/>
          <w:color w:val="auto"/>
          <w:sz w:val="21"/>
          <w:szCs w:val="20"/>
          <w:highlight w:val="none"/>
        </w:rPr>
        <w:t>上传后，</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hAnsi="宋体"/>
          <w:color w:val="auto"/>
          <w:sz w:val="21"/>
          <w:szCs w:val="20"/>
          <w:highlight w:val="none"/>
        </w:rPr>
        <w:t>即时向投标人发出递交回执通知。递交时间以递交回执通知载明的传输完成时间为准。</w:t>
      </w:r>
    </w:p>
    <w:p>
      <w:pPr>
        <w:spacing w:line="360" w:lineRule="auto"/>
        <w:ind w:firstLine="420" w:firstLineChars="200"/>
        <w:rPr>
          <w:rFonts w:ascii="宋体" w:hAnsi="宋体"/>
          <w:color w:val="auto"/>
          <w:sz w:val="21"/>
          <w:szCs w:val="20"/>
          <w:highlight w:val="none"/>
        </w:rPr>
      </w:pPr>
      <w:r>
        <w:rPr>
          <w:rFonts w:ascii="宋体" w:hAnsi="宋体"/>
          <w:bCs/>
          <w:color w:val="auto"/>
          <w:sz w:val="21"/>
          <w:szCs w:val="20"/>
          <w:highlight w:val="none"/>
        </w:rPr>
        <w:t>1</w:t>
      </w:r>
      <w:r>
        <w:rPr>
          <w:rFonts w:hint="eastAsia" w:ascii="宋体" w:hAnsi="宋体"/>
          <w:bCs/>
          <w:color w:val="auto"/>
          <w:sz w:val="21"/>
          <w:szCs w:val="20"/>
          <w:highlight w:val="none"/>
        </w:rPr>
        <w:t>9</w:t>
      </w:r>
      <w:r>
        <w:rPr>
          <w:rFonts w:ascii="宋体" w:hAnsi="宋体"/>
          <w:bCs/>
          <w:color w:val="auto"/>
          <w:sz w:val="21"/>
          <w:szCs w:val="20"/>
          <w:highlight w:val="none"/>
        </w:rPr>
        <w:t>.</w:t>
      </w:r>
      <w:r>
        <w:rPr>
          <w:rFonts w:hint="eastAsia" w:ascii="宋体" w:hAnsi="宋体"/>
          <w:bCs/>
          <w:color w:val="auto"/>
          <w:sz w:val="21"/>
          <w:szCs w:val="20"/>
          <w:highlight w:val="none"/>
        </w:rPr>
        <w:t>3</w:t>
      </w:r>
      <w:r>
        <w:rPr>
          <w:rFonts w:hint="eastAsia"/>
          <w:bCs/>
          <w:color w:val="auto"/>
          <w:sz w:val="21"/>
          <w:szCs w:val="21"/>
          <w:highlight w:val="none"/>
        </w:rPr>
        <w:t>逾期送达的</w:t>
      </w:r>
      <w:r>
        <w:rPr>
          <w:rFonts w:hint="eastAsia" w:ascii="宋体" w:hAnsi="宋体"/>
          <w:bCs/>
          <w:color w:val="auto"/>
          <w:sz w:val="21"/>
          <w:szCs w:val="20"/>
          <w:highlight w:val="none"/>
        </w:rPr>
        <w:t>电子投标文件，</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hAnsi="宋体"/>
          <w:color w:val="auto"/>
          <w:sz w:val="21"/>
          <w:szCs w:val="20"/>
          <w:highlight w:val="none"/>
        </w:rPr>
        <w:t>将予以拒收。</w:t>
      </w:r>
    </w:p>
    <w:p>
      <w:pPr>
        <w:spacing w:line="360" w:lineRule="auto"/>
        <w:ind w:firstLine="420" w:firstLineChars="200"/>
        <w:rPr>
          <w:rFonts w:ascii="宋体"/>
          <w:color w:val="auto"/>
          <w:sz w:val="21"/>
          <w:szCs w:val="20"/>
          <w:highlight w:val="none"/>
        </w:rPr>
      </w:pPr>
      <w:r>
        <w:rPr>
          <w:rFonts w:ascii="宋体" w:hAnsi="宋体"/>
          <w:color w:val="auto"/>
          <w:sz w:val="21"/>
          <w:szCs w:val="20"/>
          <w:highlight w:val="none"/>
        </w:rPr>
        <w:t>19.</w:t>
      </w:r>
      <w:r>
        <w:rPr>
          <w:rFonts w:hint="eastAsia" w:ascii="宋体" w:hAnsi="宋体"/>
          <w:color w:val="auto"/>
          <w:sz w:val="21"/>
          <w:szCs w:val="20"/>
          <w:highlight w:val="none"/>
        </w:rPr>
        <w:t>4</w:t>
      </w:r>
      <w:r>
        <w:rPr>
          <w:rFonts w:ascii="宋体" w:hAnsi="宋体"/>
          <w:color w:val="auto"/>
          <w:sz w:val="21"/>
          <w:szCs w:val="20"/>
          <w:highlight w:val="none"/>
        </w:rPr>
        <w:t xml:space="preserve"> </w:t>
      </w:r>
      <w:r>
        <w:rPr>
          <w:rFonts w:hint="eastAsia" w:ascii="宋体" w:hAnsi="宋体"/>
          <w:color w:val="auto"/>
          <w:sz w:val="21"/>
          <w:szCs w:val="21"/>
          <w:highlight w:val="none"/>
        </w:rPr>
        <w:t>投标截止前，</w:t>
      </w:r>
      <w:r>
        <w:rPr>
          <w:rFonts w:hint="eastAsia"/>
          <w:color w:val="auto"/>
          <w:sz w:val="21"/>
          <w:szCs w:val="21"/>
          <w:highlight w:val="none"/>
        </w:rPr>
        <w:t>招标人拒绝接收符合条件的投标文件，投标人可向招标投标监督机构投诉。</w:t>
      </w:r>
    </w:p>
    <w:p>
      <w:pPr>
        <w:spacing w:line="360" w:lineRule="auto"/>
        <w:ind w:firstLine="420" w:firstLineChars="200"/>
        <w:rPr>
          <w:rFonts w:ascii="宋体" w:hAnsi="宋体"/>
          <w:color w:val="auto"/>
          <w:sz w:val="21"/>
          <w:szCs w:val="20"/>
          <w:highlight w:val="none"/>
        </w:rPr>
      </w:pPr>
      <w:r>
        <w:rPr>
          <w:rFonts w:ascii="宋体" w:hAnsi="宋体"/>
          <w:color w:val="auto"/>
          <w:sz w:val="21"/>
          <w:szCs w:val="20"/>
          <w:highlight w:val="none"/>
        </w:rPr>
        <w:t>19.</w:t>
      </w:r>
      <w:r>
        <w:rPr>
          <w:rFonts w:hint="eastAsia" w:ascii="宋体" w:hAnsi="宋体"/>
          <w:color w:val="auto"/>
          <w:sz w:val="21"/>
          <w:szCs w:val="20"/>
          <w:highlight w:val="none"/>
        </w:rPr>
        <w:t>5如技术标和经济标先后分别开启，</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hAnsi="宋体"/>
          <w:color w:val="auto"/>
          <w:sz w:val="21"/>
          <w:szCs w:val="20"/>
          <w:highlight w:val="none"/>
        </w:rPr>
        <w:t>将按招标文件规定的时间分别开启技术标和经济标。</w:t>
      </w:r>
    </w:p>
    <w:p>
      <w:pPr>
        <w:spacing w:line="440" w:lineRule="exact"/>
        <w:ind w:firstLine="470" w:firstLineChars="224"/>
        <w:rPr>
          <w:rFonts w:hint="eastAsia" w:ascii="宋体" w:hAnsi="宋体" w:eastAsia="宋体" w:cs="宋体"/>
          <w:b/>
          <w:color w:val="auto"/>
          <w:szCs w:val="21"/>
          <w:highlight w:val="none"/>
        </w:rPr>
      </w:pPr>
      <w:r>
        <w:rPr>
          <w:rFonts w:ascii="宋体" w:hAnsi="宋体"/>
          <w:color w:val="auto"/>
          <w:sz w:val="21"/>
          <w:szCs w:val="21"/>
          <w:highlight w:val="none"/>
        </w:rPr>
        <w:t>19.6</w:t>
      </w:r>
      <w:r>
        <w:rPr>
          <w:rFonts w:hint="eastAsia" w:ascii="宋体" w:hAnsi="宋体"/>
          <w:color w:val="auto"/>
          <w:sz w:val="21"/>
          <w:szCs w:val="21"/>
          <w:highlight w:val="none"/>
        </w:rPr>
        <w:t>在规定的时间内，项目负责人须到自助签到。按照交易平台有关项目负责人自助签到流程进行操作。项目负责人凡未凭身份证按时到达指定地点签到的，</w:t>
      </w:r>
      <w:r>
        <w:rPr>
          <w:rFonts w:hint="eastAsia" w:ascii="宋体" w:hAnsi="宋体"/>
          <w:color w:val="auto"/>
          <w:sz w:val="21"/>
          <w:szCs w:val="20"/>
          <w:highlight w:val="none"/>
        </w:rPr>
        <w:t>该投标文件将不能参与资格审查和评标</w:t>
      </w:r>
      <w:r>
        <w:rPr>
          <w:rFonts w:hint="eastAsia" w:ascii="宋体" w:hAnsi="宋体"/>
          <w:color w:val="auto"/>
          <w:sz w:val="21"/>
          <w:szCs w:val="21"/>
          <w:highlight w:val="none"/>
        </w:rPr>
        <w:t>（选择性条款）。</w:t>
      </w:r>
    </w:p>
    <w:p>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
          <w:bCs/>
          <w:color w:val="auto"/>
          <w:szCs w:val="21"/>
          <w:highlight w:val="none"/>
        </w:rPr>
        <w:t>投标文件的递交和接收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19.1投标人通过</w:t>
      </w:r>
      <w:r>
        <w:rPr>
          <w:rFonts w:hint="eastAsia" w:ascii="宋体" w:hAnsi="宋体" w:eastAsia="宋体" w:cs="宋体"/>
          <w:color w:val="auto"/>
          <w:szCs w:val="21"/>
          <w:highlight w:val="none"/>
          <w:u w:val="single"/>
        </w:rPr>
        <w:t xml:space="preserve">广州公共资源交易中心 </w:t>
      </w:r>
      <w:r>
        <w:rPr>
          <w:rFonts w:hint="eastAsia" w:ascii="宋体" w:hAnsi="宋体" w:eastAsia="宋体" w:cs="宋体"/>
          <w:color w:val="auto"/>
          <w:szCs w:val="21"/>
          <w:highlight w:val="none"/>
        </w:rPr>
        <w:t>交易平台递交电子投标文件。</w:t>
      </w:r>
    </w:p>
    <w:p>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19.2投标人完成电子</w:t>
      </w:r>
      <w:r>
        <w:rPr>
          <w:rFonts w:hint="eastAsia" w:ascii="宋体" w:hAnsi="宋体" w:eastAsia="宋体" w:cs="宋体"/>
          <w:color w:val="auto"/>
          <w:szCs w:val="21"/>
          <w:highlight w:val="none"/>
        </w:rPr>
        <w:t>投标文件</w:t>
      </w:r>
      <w:r>
        <w:rPr>
          <w:rFonts w:hint="eastAsia" w:ascii="宋体" w:hAnsi="宋体" w:eastAsia="宋体" w:cs="宋体"/>
          <w:bCs/>
          <w:color w:val="auto"/>
          <w:szCs w:val="21"/>
          <w:highlight w:val="none"/>
        </w:rPr>
        <w:t>上传后，</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交易平台即时向投标人发出递交回执通知。递交时间以递交回执通知载明的传输完成时间为准。</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19.3逾期送达的电子投标文件，</w:t>
      </w:r>
      <w:r>
        <w:rPr>
          <w:rFonts w:hint="eastAsia" w:ascii="宋体" w:hAnsi="宋体" w:eastAsia="宋体" w:cs="宋体"/>
          <w:color w:val="auto"/>
          <w:szCs w:val="21"/>
          <w:highlight w:val="none"/>
          <w:u w:val="single"/>
        </w:rPr>
        <w:t xml:space="preserve">广州公共资源交易中心 </w:t>
      </w:r>
      <w:r>
        <w:rPr>
          <w:rFonts w:hint="eastAsia" w:ascii="宋体" w:hAnsi="宋体" w:eastAsia="宋体" w:cs="宋体"/>
          <w:color w:val="auto"/>
          <w:szCs w:val="21"/>
          <w:highlight w:val="none"/>
        </w:rPr>
        <w:t>交易平台将予以拒收。</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19.4投标截止前，招标人拒绝接收符合条件的投标文件，投标人可向招标投标监督机构投诉。</w:t>
      </w:r>
    </w:p>
    <w:p>
      <w:pPr>
        <w:spacing w:line="44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19.5</w:t>
      </w:r>
      <w:r>
        <w:rPr>
          <w:rFonts w:hint="eastAsia" w:ascii="宋体" w:hAnsi="宋体" w:eastAsia="宋体" w:cs="宋体"/>
          <w:color w:val="auto"/>
          <w:szCs w:val="21"/>
          <w:highlight w:val="none"/>
          <w:u w:val="single"/>
        </w:rPr>
        <w:t>技术标和经济标同时开启，广州公共资源交易中心 交易平台将按招标文件规定的时间同时开启技术标和经济标。</w:t>
      </w:r>
    </w:p>
    <w:p>
      <w:pPr>
        <w:pBdr>
          <w:bottom w:val="single" w:color="auto" w:sz="6" w:space="1"/>
        </w:pBdr>
        <w:spacing w:line="440" w:lineRule="exact"/>
        <w:ind w:firstLine="525"/>
        <w:rPr>
          <w:rFonts w:hint="eastAsia" w:ascii="宋体" w:hAnsi="宋体" w:eastAsia="宋体" w:cs="宋体"/>
          <w:color w:val="auto"/>
          <w:szCs w:val="21"/>
          <w:highlight w:val="none"/>
        </w:rPr>
      </w:pP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21.1</w:t>
      </w:r>
      <w:r>
        <w:rPr>
          <w:rFonts w:hint="eastAsia" w:ascii="宋体" w:hAnsi="宋体" w:eastAsia="宋体" w:cs="宋体"/>
          <w:b/>
          <w:color w:val="auto"/>
          <w:szCs w:val="21"/>
          <w:highlight w:val="none"/>
        </w:rPr>
        <w:t xml:space="preserve">       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color w:val="auto"/>
          <w:sz w:val="21"/>
          <w:szCs w:val="21"/>
          <w:highlight w:val="none"/>
        </w:rPr>
        <w:t>本须知前附表第</w:t>
      </w:r>
      <w:r>
        <w:rPr>
          <w:rFonts w:ascii="宋体" w:hAnsi="宋体"/>
          <w:color w:val="auto"/>
          <w:sz w:val="21"/>
          <w:szCs w:val="21"/>
          <w:highlight w:val="none"/>
        </w:rPr>
        <w:t>1</w:t>
      </w:r>
      <w:r>
        <w:rPr>
          <w:rFonts w:hint="eastAsia" w:ascii="宋体" w:hAnsi="宋体"/>
          <w:color w:val="auto"/>
          <w:sz w:val="21"/>
          <w:szCs w:val="21"/>
          <w:highlight w:val="none"/>
        </w:rPr>
        <w:t>7项规定的投标截止时间</w:t>
      </w:r>
      <w:r>
        <w:rPr>
          <w:rFonts w:hint="eastAsia"/>
          <w:bCs/>
          <w:color w:val="auto"/>
          <w:sz w:val="21"/>
          <w:szCs w:val="21"/>
          <w:highlight w:val="none"/>
        </w:rPr>
        <w:t>后送达的</w:t>
      </w:r>
      <w:r>
        <w:rPr>
          <w:rFonts w:hint="eastAsia" w:ascii="宋体" w:hAnsi="宋体"/>
          <w:bCs/>
          <w:color w:val="auto"/>
          <w:sz w:val="21"/>
          <w:szCs w:val="21"/>
          <w:highlight w:val="none"/>
        </w:rPr>
        <w:t>电子投标文件，</w:t>
      </w:r>
      <w:r>
        <w:rPr>
          <w:color w:val="auto"/>
          <w:sz w:val="21"/>
          <w:szCs w:val="21"/>
          <w:highlight w:val="none"/>
          <w:u w:val="single"/>
        </w:rPr>
        <w:t xml:space="preserve">       </w:t>
      </w:r>
      <w:r>
        <w:rPr>
          <w:rFonts w:hint="eastAsia" w:ascii="宋体" w:hAnsi="宋体"/>
          <w:color w:val="auto"/>
          <w:sz w:val="21"/>
          <w:szCs w:val="21"/>
          <w:highlight w:val="none"/>
        </w:rPr>
        <w:t>交易平台将予以拒收。</w:t>
      </w:r>
    </w:p>
    <w:p>
      <w:pPr>
        <w:pBdr>
          <w:bottom w:val="single" w:color="auto" w:sz="6" w:space="1"/>
        </w:pBdr>
        <w:spacing w:line="44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本须知前附表第17项规定的投标截止时间</w:t>
      </w:r>
      <w:r>
        <w:rPr>
          <w:rFonts w:hint="eastAsia" w:ascii="宋体" w:hAnsi="宋体" w:eastAsia="宋体" w:cs="宋体"/>
          <w:bCs/>
          <w:color w:val="auto"/>
          <w:szCs w:val="21"/>
          <w:highlight w:val="none"/>
        </w:rPr>
        <w:t>后送达的电子投标文件，</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交易平台将予以拒收。</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27.1</w:t>
      </w:r>
      <w:r>
        <w:rPr>
          <w:rFonts w:hint="eastAsia" w:ascii="宋体" w:hAnsi="宋体" w:eastAsia="宋体" w:cs="宋体"/>
          <w:b/>
          <w:color w:val="auto"/>
          <w:szCs w:val="21"/>
          <w:highlight w:val="none"/>
        </w:rPr>
        <w:t xml:space="preserve">       修改类型：修改</w:t>
      </w:r>
    </w:p>
    <w:p>
      <w:pPr>
        <w:spacing w:line="440" w:lineRule="exact"/>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color w:val="auto"/>
          <w:sz w:val="21"/>
          <w:szCs w:val="21"/>
          <w:highlight w:val="none"/>
        </w:rPr>
        <w:t>招标人将在</w:t>
      </w:r>
      <w:r>
        <w:rPr>
          <w:color w:val="auto"/>
          <w:sz w:val="21"/>
          <w:szCs w:val="21"/>
          <w:highlight w:val="none"/>
          <w:u w:val="single"/>
        </w:rPr>
        <w:t xml:space="preserve">        </w:t>
      </w:r>
      <w:r>
        <w:rPr>
          <w:rFonts w:hint="eastAsia" w:ascii="宋体" w:hAnsi="宋体"/>
          <w:color w:val="auto"/>
          <w:sz w:val="21"/>
          <w:szCs w:val="21"/>
          <w:highlight w:val="none"/>
        </w:rPr>
        <w:t>交易平台、广东省招标投标监管网和中国招标投标公共服务平台公示中标候选人，公示期为三天。</w:t>
      </w:r>
    </w:p>
    <w:p>
      <w:pPr>
        <w:pBdr>
          <w:top w:val="none" w:color="auto" w:sz="0" w:space="0"/>
          <w:left w:val="none" w:color="auto" w:sz="0" w:space="0"/>
          <w:bottom w:val="none" w:color="auto" w:sz="0" w:space="0"/>
          <w:right w:val="none" w:color="auto" w:sz="0" w:space="0"/>
          <w:between w:val="none" w:color="auto" w:sz="0" w:space="0"/>
        </w:pBdr>
        <w:spacing w:line="360" w:lineRule="auto"/>
        <w:ind w:firstLine="422" w:firstLineChars="200"/>
        <w:rPr>
          <w:rFonts w:hint="eastAsia"/>
          <w:color w:val="auto"/>
          <w:highlight w:val="none"/>
        </w:rPr>
      </w:pPr>
      <w:r>
        <w:rPr>
          <w:rFonts w:hint="eastAsia" w:ascii="宋体" w:hAnsi="宋体" w:eastAsia="宋体" w:cs="宋体"/>
          <w:b/>
          <w:bCs/>
          <w:color w:val="auto"/>
          <w:szCs w:val="21"/>
          <w:highlight w:val="none"/>
          <w:lang w:val="en-US" w:eastAsia="zh-CN"/>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pBdr>
          <w:top w:val="none" w:color="auto" w:sz="0" w:space="0"/>
          <w:left w:val="none" w:color="auto" w:sz="0" w:space="0"/>
          <w:bottom w:val="none" w:color="auto" w:sz="0" w:space="0"/>
          <w:right w:val="none" w:color="auto" w:sz="0" w:space="0"/>
          <w:between w:val="none" w:color="auto" w:sz="0" w:space="0"/>
        </w:pBdr>
        <w:spacing w:line="360" w:lineRule="auto"/>
        <w:ind w:firstLine="422" w:firstLineChars="200"/>
        <w:rPr>
          <w:rFonts w:hint="eastAsia" w:ascii="宋体" w:hAnsi="宋体" w:eastAsia="宋体" w:cs="宋体"/>
          <w:b/>
          <w:bCs/>
          <w:color w:val="auto"/>
          <w:szCs w:val="21"/>
          <w:highlight w:val="none"/>
          <w:lang w:val="en-US" w:eastAsia="zh-CN"/>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招标人将在</w:t>
      </w:r>
      <w:r>
        <w:rPr>
          <w:rFonts w:hint="eastAsia" w:ascii="宋体" w:hAnsi="宋体" w:eastAsia="宋体" w:cs="宋体"/>
          <w:color w:val="auto"/>
          <w:szCs w:val="21"/>
          <w:highlight w:val="none"/>
          <w:u w:val="single"/>
        </w:rPr>
        <w:t xml:space="preserve">广州公共资源交易中心 </w:t>
      </w:r>
      <w:r>
        <w:rPr>
          <w:rFonts w:hint="eastAsia" w:ascii="宋体" w:hAnsi="宋体" w:eastAsia="宋体" w:cs="宋体"/>
          <w:color w:val="auto"/>
          <w:szCs w:val="21"/>
          <w:highlight w:val="none"/>
        </w:rPr>
        <w:t>交易平台、广东省招标投标监管网和中国招标投标公共服务平台公示中标候选人，公示期为三天。</w:t>
      </w:r>
      <w:r>
        <w:rPr>
          <w:rFonts w:hint="eastAsia" w:ascii="宋体" w:hAnsi="宋体" w:eastAsia="宋体" w:cs="宋体"/>
          <w:b/>
          <w:bCs/>
          <w:color w:val="auto"/>
          <w:szCs w:val="21"/>
          <w:highlight w:val="none"/>
          <w:lang w:val="en-US" w:eastAsia="zh-CN"/>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pBdr>
          <w:bottom w:val="single" w:color="auto" w:sz="6" w:space="1"/>
        </w:pBdr>
        <w:spacing w:line="440" w:lineRule="exact"/>
        <w:ind w:firstLine="525" w:firstLineChars="250"/>
        <w:rPr>
          <w:rFonts w:hint="eastAsia" w:ascii="宋体" w:hAnsi="宋体" w:eastAsia="宋体" w:cs="宋体"/>
          <w:color w:val="auto"/>
          <w:szCs w:val="21"/>
          <w:highlight w:val="none"/>
        </w:rPr>
      </w:pP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27.4</w:t>
      </w:r>
      <w:r>
        <w:rPr>
          <w:rFonts w:hint="eastAsia" w:ascii="宋体" w:hAnsi="宋体" w:eastAsia="宋体" w:cs="宋体"/>
          <w:b/>
          <w:color w:val="auto"/>
          <w:szCs w:val="21"/>
          <w:highlight w:val="none"/>
        </w:rPr>
        <w:t xml:space="preserve">       修改类型：修改</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在产生中标候选人后，招标人将中标候选人的投标文件商务部分文件的所有内容（包括人员、业绩、奖项等资料）在</w:t>
      </w:r>
      <w:r>
        <w:rPr>
          <w:rFonts w:hint="eastAsia" w:ascii="宋体" w:hAnsi="宋体" w:eastAsia="宋体" w:cs="宋体"/>
          <w:bCs/>
          <w:color w:val="auto"/>
          <w:kern w:val="0"/>
          <w:sz w:val="22"/>
          <w:highlight w:val="none"/>
          <w:u w:val="single"/>
        </w:rPr>
        <w:t xml:space="preserve">        </w:t>
      </w:r>
      <w:r>
        <w:rPr>
          <w:rFonts w:hint="eastAsia" w:ascii="宋体" w:hAnsi="宋体" w:eastAsia="宋体" w:cs="宋体"/>
          <w:bCs/>
          <w:color w:val="auto"/>
          <w:kern w:val="0"/>
          <w:sz w:val="22"/>
          <w:highlight w:val="none"/>
        </w:rPr>
        <w:t>交易平台</w:t>
      </w:r>
      <w:r>
        <w:rPr>
          <w:rFonts w:hint="eastAsia" w:ascii="宋体" w:hAnsi="宋体" w:eastAsia="宋体" w:cs="宋体"/>
          <w:color w:val="auto"/>
          <w:szCs w:val="21"/>
          <w:highlight w:val="none"/>
        </w:rPr>
        <w:t>和广东省招标投标监管网公开。</w:t>
      </w:r>
    </w:p>
    <w:p>
      <w:pPr>
        <w:pBdr>
          <w:bottom w:val="single" w:color="auto" w:sz="6" w:space="1"/>
        </w:pBdr>
        <w:spacing w:line="44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在产生中标候选人后，招标人将中标候选人的投标文件商务部分文件的所有内容（包括人员、业绩、奖项等资料）在</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交易平台和广东省招标投标监管网公开。</w:t>
      </w:r>
    </w:p>
    <w:p>
      <w:pPr>
        <w:spacing w:line="440" w:lineRule="exact"/>
        <w:ind w:firstLine="472" w:firstLineChars="224"/>
        <w:rPr>
          <w:rFonts w:hint="eastAsia" w:ascii="宋体" w:hAnsi="宋体" w:cs="宋体"/>
          <w:b/>
          <w:color w:val="auto"/>
          <w:sz w:val="21"/>
          <w:szCs w:val="21"/>
          <w:highlight w:val="none"/>
        </w:rPr>
      </w:pPr>
      <w:r>
        <w:rPr>
          <w:rFonts w:hint="eastAsia" w:ascii="宋体" w:hAnsi="宋体" w:cs="宋体"/>
          <w:b/>
          <w:color w:val="auto"/>
          <w:sz w:val="21"/>
          <w:szCs w:val="21"/>
          <w:highlight w:val="none"/>
        </w:rPr>
        <w:t xml:space="preserve">条款号：29 </w:t>
      </w:r>
      <w:r>
        <w:rPr>
          <w:rFonts w:hint="eastAsia" w:ascii="宋体" w:hAnsi="宋体" w:eastAsia="宋体" w:cs="宋体"/>
          <w:b/>
          <w:color w:val="auto"/>
          <w:sz w:val="21"/>
          <w:szCs w:val="21"/>
          <w:highlight w:val="none"/>
          <w:lang w:val="en-US" w:eastAsia="zh-CN"/>
        </w:rPr>
        <w:t xml:space="preserve">      </w:t>
      </w:r>
      <w:r>
        <w:rPr>
          <w:rFonts w:hint="eastAsia" w:ascii="宋体" w:hAnsi="宋体" w:cs="宋体"/>
          <w:b/>
          <w:color w:val="auto"/>
          <w:sz w:val="21"/>
          <w:szCs w:val="21"/>
          <w:highlight w:val="none"/>
        </w:rPr>
        <w:t>修改类型：修改</w:t>
      </w:r>
    </w:p>
    <w:p>
      <w:pPr>
        <w:spacing w:line="360" w:lineRule="auto"/>
        <w:ind w:firstLine="472" w:firstLineChars="224"/>
        <w:rPr>
          <w:rFonts w:hint="eastAsia" w:ascii="宋体" w:hAnsi="宋体" w:cs="宋体"/>
          <w:b w:val="0"/>
          <w:bCs w:val="0"/>
          <w:color w:val="auto"/>
          <w:sz w:val="21"/>
          <w:szCs w:val="21"/>
          <w:highlight w:val="none"/>
        </w:rPr>
      </w:pPr>
      <w:r>
        <w:rPr>
          <w:rFonts w:hint="eastAsia" w:ascii="宋体" w:hAnsi="宋体" w:cs="宋体"/>
          <w:b/>
          <w:bCs w:val="0"/>
          <w:color w:val="auto"/>
          <w:sz w:val="21"/>
          <w:szCs w:val="21"/>
          <w:highlight w:val="none"/>
        </w:rPr>
        <w:t>原文：</w:t>
      </w:r>
      <w:r>
        <w:rPr>
          <w:rFonts w:hint="eastAsia" w:ascii="宋体" w:hAnsi="宋体" w:cs="宋体"/>
          <w:color w:val="auto"/>
          <w:sz w:val="21"/>
          <w:szCs w:val="21"/>
          <w:highlight w:val="none"/>
        </w:rPr>
        <w:t>29．履约担保</w:t>
      </w:r>
    </w:p>
    <w:p>
      <w:pPr>
        <w:snapToGrid w:val="0"/>
        <w:spacing w:line="360" w:lineRule="auto"/>
        <w:ind w:firstLine="420" w:firstLineChars="200"/>
        <w:rPr>
          <w:rFonts w:ascii="宋体"/>
          <w:color w:val="auto"/>
          <w:sz w:val="21"/>
          <w:szCs w:val="21"/>
          <w:highlight w:val="none"/>
        </w:rPr>
      </w:pPr>
      <w:r>
        <w:rPr>
          <w:rFonts w:ascii="宋体" w:hAnsi="宋体"/>
          <w:color w:val="auto"/>
          <w:sz w:val="21"/>
          <w:szCs w:val="21"/>
          <w:highlight w:val="none"/>
        </w:rPr>
        <w:t xml:space="preserve">29.1 </w:t>
      </w:r>
      <w:r>
        <w:rPr>
          <w:rFonts w:hint="eastAsia" w:ascii="宋体" w:hAnsi="宋体"/>
          <w:color w:val="auto"/>
          <w:sz w:val="21"/>
          <w:szCs w:val="21"/>
          <w:highlight w:val="none"/>
        </w:rPr>
        <w:t>在收到中标通知书后的</w:t>
      </w:r>
      <w:r>
        <w:rPr>
          <w:rFonts w:ascii="宋体" w:hAnsi="宋体"/>
          <w:b/>
          <w:color w:val="auto"/>
          <w:sz w:val="21"/>
          <w:szCs w:val="21"/>
          <w:highlight w:val="none"/>
        </w:rPr>
        <w:t>15</w:t>
      </w:r>
      <w:r>
        <w:rPr>
          <w:rFonts w:hint="eastAsia" w:ascii="宋体" w:hAnsi="宋体"/>
          <w:b/>
          <w:color w:val="auto"/>
          <w:sz w:val="21"/>
          <w:szCs w:val="21"/>
          <w:highlight w:val="none"/>
        </w:rPr>
        <w:t>日</w:t>
      </w:r>
      <w:r>
        <w:rPr>
          <w:rFonts w:hint="eastAsia" w:ascii="宋体" w:hAnsi="宋体"/>
          <w:color w:val="auto"/>
          <w:sz w:val="21"/>
          <w:szCs w:val="21"/>
          <w:highlight w:val="none"/>
        </w:rPr>
        <w:t>内，中标人应按本须知前附表第</w:t>
      </w:r>
      <w:r>
        <w:rPr>
          <w:rFonts w:ascii="宋体" w:hAnsi="宋体"/>
          <w:color w:val="auto"/>
          <w:sz w:val="21"/>
          <w:szCs w:val="21"/>
          <w:highlight w:val="none"/>
        </w:rPr>
        <w:t>2</w:t>
      </w:r>
      <w:r>
        <w:rPr>
          <w:rFonts w:hint="eastAsia" w:ascii="宋体" w:hAnsi="宋体"/>
          <w:color w:val="auto"/>
          <w:sz w:val="21"/>
          <w:szCs w:val="21"/>
          <w:highlight w:val="none"/>
        </w:rPr>
        <w:t>0项的规定向招标人提交履约担保。</w:t>
      </w:r>
    </w:p>
    <w:p>
      <w:pPr>
        <w:spacing w:line="360" w:lineRule="auto"/>
        <w:ind w:firstLine="470" w:firstLineChars="224"/>
        <w:rPr>
          <w:rFonts w:hint="eastAsia" w:ascii="宋体" w:hAnsi="宋体" w:eastAsia="宋体" w:cs="宋体"/>
          <w:b/>
          <w:color w:val="auto"/>
          <w:sz w:val="21"/>
          <w:szCs w:val="21"/>
          <w:highlight w:val="none"/>
        </w:rPr>
      </w:pPr>
      <w:r>
        <w:rPr>
          <w:rFonts w:ascii="宋体" w:hAnsi="宋体"/>
          <w:color w:val="auto"/>
          <w:sz w:val="21"/>
          <w:szCs w:val="21"/>
          <w:highlight w:val="none"/>
        </w:rPr>
        <w:t>29.2</w:t>
      </w:r>
      <w:r>
        <w:rPr>
          <w:rFonts w:hint="eastAsia" w:ascii="宋体" w:hAnsi="宋体"/>
          <w:color w:val="auto"/>
          <w:sz w:val="21"/>
          <w:szCs w:val="21"/>
          <w:highlight w:val="none"/>
        </w:rPr>
        <w:t>中标通知书发出之日起</w:t>
      </w:r>
      <w:r>
        <w:rPr>
          <w:rFonts w:ascii="宋体" w:hAnsi="宋体"/>
          <w:color w:val="auto"/>
          <w:sz w:val="21"/>
          <w:szCs w:val="21"/>
          <w:highlight w:val="none"/>
        </w:rPr>
        <w:t>15</w:t>
      </w:r>
      <w:r>
        <w:rPr>
          <w:rFonts w:hint="eastAsia" w:ascii="宋体" w:hAnsi="宋体"/>
          <w:color w:val="auto"/>
          <w:sz w:val="21"/>
          <w:szCs w:val="21"/>
          <w:highlight w:val="none"/>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440" w:lineRule="exact"/>
        <w:ind w:firstLine="472" w:firstLineChars="224"/>
        <w:rPr>
          <w:rFonts w:hint="eastAsia" w:ascii="宋体" w:hAnsi="宋体" w:cs="宋体"/>
          <w:b/>
          <w:bCs w:val="0"/>
          <w:color w:val="auto"/>
          <w:szCs w:val="21"/>
          <w:highlight w:val="none"/>
        </w:rPr>
      </w:pPr>
      <w:r>
        <w:rPr>
          <w:rFonts w:hint="eastAsia" w:ascii="宋体" w:hAnsi="宋体" w:cs="宋体"/>
          <w:b/>
          <w:bCs w:val="0"/>
          <w:color w:val="auto"/>
          <w:sz w:val="21"/>
          <w:szCs w:val="21"/>
          <w:highlight w:val="none"/>
        </w:rPr>
        <w:t>现文：</w:t>
      </w:r>
      <w:r>
        <w:rPr>
          <w:rFonts w:hint="eastAsia" w:ascii="宋体" w:hAnsi="宋体" w:cs="宋体"/>
          <w:b w:val="0"/>
          <w:bCs/>
          <w:color w:val="auto"/>
          <w:sz w:val="21"/>
          <w:szCs w:val="21"/>
          <w:highlight w:val="none"/>
        </w:rPr>
        <w:t>29．履约担保</w:t>
      </w:r>
    </w:p>
    <w:p>
      <w:pPr>
        <w:pBdr>
          <w:bottom w:val="none" w:color="auto" w:sz="0" w:space="0"/>
        </w:pBdr>
        <w:spacing w:line="440" w:lineRule="exact"/>
        <w:ind w:firstLine="470" w:firstLineChars="224"/>
        <w:rPr>
          <w:rFonts w:ascii="宋体" w:hAnsi="宋体"/>
          <w:color w:val="auto"/>
          <w:sz w:val="21"/>
          <w:szCs w:val="21"/>
          <w:highlight w:val="none"/>
          <w:u w:val="single"/>
        </w:rPr>
      </w:pPr>
      <w:r>
        <w:rPr>
          <w:rFonts w:ascii="宋体" w:hAnsi="宋体"/>
          <w:color w:val="auto"/>
          <w:sz w:val="21"/>
          <w:szCs w:val="21"/>
          <w:highlight w:val="none"/>
          <w:u w:val="single"/>
        </w:rPr>
        <w:t xml:space="preserve">29.1 </w:t>
      </w:r>
      <w:r>
        <w:rPr>
          <w:rFonts w:hint="eastAsia" w:ascii="宋体" w:hAnsi="宋体"/>
          <w:color w:val="auto"/>
          <w:sz w:val="21"/>
          <w:szCs w:val="21"/>
          <w:highlight w:val="none"/>
          <w:u w:val="single"/>
        </w:rPr>
        <w:t>在收到中标通知书之日起</w:t>
      </w:r>
      <w:r>
        <w:rPr>
          <w:rFonts w:hint="eastAsia" w:ascii="宋体" w:hAnsi="宋体"/>
          <w:color w:val="auto"/>
          <w:sz w:val="21"/>
          <w:szCs w:val="21"/>
          <w:highlight w:val="none"/>
          <w:u w:val="single"/>
          <w:lang w:val="en-US" w:eastAsia="zh-CN"/>
        </w:rPr>
        <w:t>3</w:t>
      </w:r>
      <w:r>
        <w:rPr>
          <w:rFonts w:ascii="宋体" w:hAnsi="宋体"/>
          <w:color w:val="auto"/>
          <w:sz w:val="21"/>
          <w:szCs w:val="21"/>
          <w:highlight w:val="none"/>
          <w:u w:val="single"/>
        </w:rPr>
        <w:t>5</w:t>
      </w:r>
      <w:r>
        <w:rPr>
          <w:rFonts w:hint="eastAsia" w:ascii="宋体" w:hAnsi="宋体"/>
          <w:color w:val="auto"/>
          <w:sz w:val="21"/>
          <w:szCs w:val="21"/>
          <w:highlight w:val="none"/>
          <w:u w:val="single"/>
        </w:rPr>
        <w:t>日内</w:t>
      </w:r>
      <w:r>
        <w:rPr>
          <w:rFonts w:hint="eastAsia" w:ascii="宋体" w:hAnsi="宋体"/>
          <w:color w:val="auto"/>
          <w:sz w:val="21"/>
          <w:szCs w:val="21"/>
          <w:highlight w:val="none"/>
          <w:u w:val="single"/>
          <w:lang w:val="en-US" w:eastAsia="zh-CN"/>
        </w:rPr>
        <w:t>或合同签订后5日内（两种情形以时间先到为准）</w:t>
      </w:r>
      <w:r>
        <w:rPr>
          <w:rFonts w:hint="eastAsia" w:ascii="宋体" w:hAnsi="宋体"/>
          <w:color w:val="auto"/>
          <w:sz w:val="21"/>
          <w:szCs w:val="21"/>
          <w:highlight w:val="none"/>
          <w:u w:val="single"/>
        </w:rPr>
        <w:t>，中标人应按本须知前附表第</w:t>
      </w:r>
      <w:r>
        <w:rPr>
          <w:rFonts w:ascii="宋体" w:hAnsi="宋体"/>
          <w:color w:val="auto"/>
          <w:sz w:val="21"/>
          <w:szCs w:val="21"/>
          <w:highlight w:val="none"/>
          <w:u w:val="single"/>
        </w:rPr>
        <w:t>20项的规定向招标人提交履约担保；如果中标人的履约担保是以银行保函的形式提供，则该银行保函应由在中国注册且营业地点在广州行政辖区内的银行开具。</w:t>
      </w:r>
    </w:p>
    <w:p>
      <w:pPr>
        <w:pBdr>
          <w:bottom w:val="none" w:color="auto" w:sz="0" w:space="0"/>
        </w:pBdr>
        <w:spacing w:line="440" w:lineRule="exact"/>
        <w:ind w:firstLine="470" w:firstLineChars="224"/>
        <w:rPr>
          <w:rFonts w:hint="eastAsia" w:ascii="宋体" w:hAnsi="宋体" w:cs="宋体"/>
          <w:color w:val="auto"/>
          <w:sz w:val="21"/>
          <w:szCs w:val="21"/>
          <w:highlight w:val="none"/>
        </w:rPr>
      </w:pPr>
      <w:r>
        <w:rPr>
          <w:rFonts w:ascii="宋体" w:hAnsi="宋体"/>
          <w:color w:val="auto"/>
          <w:sz w:val="21"/>
          <w:szCs w:val="21"/>
          <w:highlight w:val="none"/>
          <w:u w:val="single"/>
        </w:rPr>
        <w:t>29.2</w:t>
      </w:r>
      <w:r>
        <w:rPr>
          <w:rFonts w:hint="eastAsia" w:ascii="宋体" w:hAnsi="宋体"/>
          <w:color w:val="auto"/>
          <w:sz w:val="21"/>
          <w:szCs w:val="21"/>
          <w:highlight w:val="none"/>
          <w:u w:val="single"/>
        </w:rPr>
        <w:t>收到中标通知书之日起35日后，中标人未按上款的规定提交履约担保，原中标人的投标保证金可不予退还，且依法承担相应法律责任。原中标人给招标人造成的损失超过投标保证金数额的，还应当对超过部分予以赔偿。原中标人有异议的，可以向人民法院起诉。</w:t>
      </w:r>
    </w:p>
    <w:p>
      <w:pPr>
        <w:pBdr>
          <w:bottom w:val="single" w:color="auto" w:sz="6" w:space="1"/>
        </w:pBdr>
        <w:spacing w:line="440" w:lineRule="exact"/>
        <w:ind w:firstLine="0" w:firstLineChars="0"/>
        <w:rPr>
          <w:rFonts w:ascii="宋体" w:hAnsi="宋体"/>
          <w:color w:val="auto"/>
          <w:sz w:val="21"/>
          <w:szCs w:val="21"/>
          <w:highlight w:val="none"/>
          <w:u w:val="single"/>
        </w:rPr>
      </w:pP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30.1</w:t>
      </w:r>
      <w:r>
        <w:rPr>
          <w:rFonts w:hint="eastAsia" w:ascii="宋体" w:hAnsi="宋体" w:eastAsia="宋体" w:cs="宋体"/>
          <w:b/>
          <w:color w:val="auto"/>
          <w:szCs w:val="21"/>
          <w:highlight w:val="none"/>
        </w:rPr>
        <w:t xml:space="preserve">       修改类型：修改</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在合同双方全权代表在合同协议书上签字，并分别加盖双方单位的公章后，合同正式生效</w:t>
      </w:r>
    </w:p>
    <w:p>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u w:val="single"/>
        </w:rPr>
        <w:t>合同自发包人、承包人双方法定代表人或委托代理人签字并加盖公章之日起生效。</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条款号：31       修改类型：修改</w:t>
      </w:r>
    </w:p>
    <w:p>
      <w:pPr>
        <w:spacing w:line="480" w:lineRule="auto"/>
        <w:ind w:firstLine="472" w:firstLineChars="224"/>
        <w:rPr>
          <w:rFonts w:hint="eastAsia" w:ascii="宋体" w:hAnsi="宋体" w:eastAsia="宋体" w:cs="宋体"/>
          <w:b/>
          <w:color w:val="auto"/>
          <w:sz w:val="18"/>
          <w:szCs w:val="18"/>
          <w:highlight w:val="none"/>
        </w:rPr>
      </w:pPr>
      <w:r>
        <w:rPr>
          <w:rFonts w:hint="eastAsia" w:ascii="宋体" w:hAnsi="宋体" w:eastAsia="宋体" w:cs="宋体"/>
          <w:b/>
          <w:color w:val="auto"/>
          <w:szCs w:val="21"/>
          <w:highlight w:val="none"/>
        </w:rPr>
        <w:t>原文：</w:t>
      </w:r>
      <w:r>
        <w:rPr>
          <w:rFonts w:hint="eastAsia" w:ascii="宋体" w:hAnsi="宋体" w:eastAsia="宋体" w:cs="宋体"/>
          <w:b/>
          <w:bCs/>
          <w:color w:val="auto"/>
          <w:szCs w:val="20"/>
          <w:highlight w:val="none"/>
        </w:rPr>
        <w:t>其它费用</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
          <w:bCs/>
          <w:color w:val="auto"/>
          <w:szCs w:val="20"/>
          <w:highlight w:val="none"/>
        </w:rPr>
        <w:t>其它费用</w:t>
      </w:r>
      <w:r>
        <w:rPr>
          <w:rFonts w:hint="eastAsia" w:ascii="宋体" w:hAnsi="宋体" w:eastAsia="宋体" w:cs="宋体"/>
          <w:b/>
          <w:bCs/>
          <w:color w:val="auto"/>
          <w:szCs w:val="20"/>
          <w:highlight w:val="none"/>
          <w:u w:val="single"/>
        </w:rPr>
        <w:t>：中标人应交纳交易服务费。</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3</w:t>
      </w:r>
      <w:r>
        <w:rPr>
          <w:rFonts w:hint="eastAsia" w:ascii="宋体" w:hAnsi="宋体" w:eastAsia="宋体" w:cs="宋体"/>
          <w:b/>
          <w:color w:val="auto"/>
          <w:szCs w:val="21"/>
          <w:highlight w:val="none"/>
        </w:rPr>
        <w:t xml:space="preserve">       修改类型：增加</w:t>
      </w:r>
    </w:p>
    <w:p>
      <w:pPr>
        <w:pBdr>
          <w:bottom w:val="single" w:color="auto" w:sz="6" w:space="1"/>
        </w:pBdr>
        <w:spacing w:line="440" w:lineRule="exact"/>
        <w:ind w:firstLine="527" w:firstLineChars="25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u w:val="single"/>
        </w:rPr>
        <w:t>中标单位在中标公示后，须提供与所递交投标电子标书内容一致且加盖单位公章的纸质文件三套及电子文件一套（不用生成投标书；包括用Microsoft Excel 软件或广州公共资源交易中心提供的投标书制作软件制作的工程量清单报价表和综合单价分析表，用Microsoft Word软件或广州公共资源交易中心提供的投标书制作软件制作的经济投标文件其他部分。电子文件介质使用CD-R光盘，所有电子文件不能采用压缩处理）给招标单位。</w:t>
      </w:r>
    </w:p>
    <w:p>
      <w:pPr>
        <w:spacing w:line="44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 3</w:t>
      </w: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rPr>
        <w:t xml:space="preserve">        修改类型：增加</w:t>
      </w:r>
    </w:p>
    <w:p>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u w:val="single"/>
        </w:rPr>
        <w:t>在招标人与中标人签订合同或办理施工许可前，招标人将会核查中标人委派的项目负责人在建项目任职情况，如发现委派的项目负责人在其他在建项目中任职的，承包人应以书面形式向监理单位提出更换项目负责人意向（附前任和后任人员的详细履历资料），经总监理工程师签署意见后向发包人提出申请，征得发包人同意后更换项目负责人。承包人必须保证后任人员的资质、资历、业绩、实际工作能力不低于前任人员的素质。即使征得发包人同意更换的，承包人仍需承担严重违约责任1次，且自撤换之日起一年内，该项目负责人不得再作为发包人后续招标项目时拟委派项目管理机构的项目负责人。</w:t>
      </w:r>
    </w:p>
    <w:p>
      <w:pPr>
        <w:spacing w:line="360" w:lineRule="auto"/>
        <w:ind w:firstLine="211" w:firstLineChars="1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注：以上修改，仅限于本范本中有可供选择条款的情形。</w:t>
      </w:r>
    </w:p>
    <w:p>
      <w:pPr>
        <w:spacing w:line="360" w:lineRule="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（以下无正文）</w:t>
      </w:r>
    </w:p>
    <w:p>
      <w:pPr>
        <w:pStyle w:val="8"/>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4" w:name="_Toc6077"/>
      <w:bookmarkStart w:id="5" w:name="_Toc5975574"/>
      <w:r>
        <w:rPr>
          <w:rFonts w:hint="eastAsia" w:ascii="宋体" w:hAnsi="宋体" w:eastAsia="宋体" w:cs="宋体"/>
          <w:color w:val="auto"/>
          <w:highlight w:val="none"/>
        </w:rPr>
        <w:t>三、投标须知通用条款（见范本）</w:t>
      </w:r>
      <w:bookmarkEnd w:id="4"/>
      <w:bookmarkEnd w:id="5"/>
    </w:p>
    <w:p>
      <w:pPr>
        <w:pStyle w:val="9"/>
        <w:spacing w:before="156" w:after="156"/>
        <w:rPr>
          <w:color w:val="auto"/>
          <w:highlight w:val="none"/>
        </w:rPr>
      </w:pPr>
      <w:bookmarkStart w:id="6" w:name="_Toc32390"/>
      <w:bookmarkStart w:id="7" w:name="_Toc21525493"/>
      <w:bookmarkStart w:id="8" w:name="_Toc2272549"/>
      <w:r>
        <w:rPr>
          <w:rFonts w:hint="eastAsia"/>
          <w:color w:val="auto"/>
          <w:highlight w:val="none"/>
        </w:rPr>
        <w:t>（一）总则</w:t>
      </w:r>
      <w:bookmarkEnd w:id="6"/>
      <w:bookmarkEnd w:id="7"/>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w:t>
      </w:r>
      <w:r>
        <w:rPr>
          <w:rFonts w:hint="eastAsia" w:ascii="宋体" w:hAnsi="宋体"/>
          <w:b/>
          <w:bCs/>
          <w:color w:val="auto"/>
          <w:sz w:val="24"/>
          <w:highlight w:val="none"/>
        </w:rPr>
        <w:t>、定义</w:t>
      </w:r>
    </w:p>
    <w:p>
      <w:pPr>
        <w:pStyle w:val="39"/>
        <w:spacing w:after="0" w:line="360" w:lineRule="auto"/>
        <w:ind w:firstLine="480" w:firstLineChars="200"/>
        <w:rPr>
          <w:rFonts w:ascii="宋体"/>
          <w:b/>
          <w:bCs/>
          <w:color w:val="auto"/>
          <w:sz w:val="24"/>
          <w:highlight w:val="none"/>
        </w:rPr>
      </w:pPr>
      <w:r>
        <w:rPr>
          <w:rFonts w:hint="eastAsia" w:ascii="宋体" w:hAnsi="宋体"/>
          <w:color w:val="auto"/>
          <w:sz w:val="24"/>
          <w:highlight w:val="none"/>
        </w:rPr>
        <w:t>本招标文件使用的下列词语具有如下规定的意义：</w:t>
      </w:r>
    </w:p>
    <w:p>
      <w:pPr>
        <w:pStyle w:val="39"/>
        <w:spacing w:after="0" w:line="360" w:lineRule="auto"/>
        <w:ind w:firstLine="480" w:firstLineChars="200"/>
        <w:rPr>
          <w:rFonts w:ascii="宋体"/>
          <w:b/>
          <w:bCs/>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）“招标人”（即发包人）、“项目建设管理单位</w:t>
      </w:r>
      <w:r>
        <w:rPr>
          <w:rFonts w:hint="eastAsia" w:ascii="宋体"/>
          <w:color w:val="auto"/>
          <w:sz w:val="24"/>
          <w:highlight w:val="none"/>
        </w:rPr>
        <w:t>”</w:t>
      </w:r>
      <w:r>
        <w:rPr>
          <w:rFonts w:hint="eastAsia" w:ascii="宋体" w:hAnsi="宋体"/>
          <w:color w:val="auto"/>
          <w:sz w:val="24"/>
          <w:highlight w:val="none"/>
        </w:rPr>
        <w:t>（或称“项目代建单位”）、“招标代理”、“设计单位”、“监理单位”均已在投标须知前附表中列明。</w:t>
      </w:r>
    </w:p>
    <w:p>
      <w:pPr>
        <w:pStyle w:val="39"/>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）“投标人”指向招标人提交投标文件的当事人。</w:t>
      </w:r>
      <w:r>
        <w:rPr>
          <w:rFonts w:ascii="宋体" w:hAnsi="宋体"/>
          <w:color w:val="auto"/>
          <w:sz w:val="24"/>
          <w:highlight w:val="none"/>
        </w:rPr>
        <w:t xml:space="preserve">   </w:t>
      </w:r>
    </w:p>
    <w:p>
      <w:pPr>
        <w:pStyle w:val="39"/>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）“承包人”指其投标被招标人接受并与其签订承包合同的当事人。</w:t>
      </w:r>
    </w:p>
    <w:p>
      <w:pPr>
        <w:pStyle w:val="39"/>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）“招标文件”指由招标代理发出的本文件（包括全部章节、附件）及招标答疑会会议纪要和</w:t>
      </w:r>
      <w:r>
        <w:rPr>
          <w:rFonts w:hint="eastAsia" w:ascii="宋体" w:hAnsi="宋体"/>
          <w:bCs/>
          <w:color w:val="auto"/>
          <w:sz w:val="24"/>
          <w:highlight w:val="none"/>
        </w:rPr>
        <w:t>招标文件的澄清与修改</w:t>
      </w:r>
      <w:r>
        <w:rPr>
          <w:rFonts w:hint="eastAsia" w:ascii="宋体" w:hAnsi="宋体"/>
          <w:color w:val="auto"/>
          <w:sz w:val="24"/>
          <w:highlight w:val="none"/>
        </w:rPr>
        <w:t>文件。</w:t>
      </w:r>
    </w:p>
    <w:p>
      <w:pPr>
        <w:pStyle w:val="39"/>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）“投标文件”指投标人根据本项目招标文件向招标人提交的全部文件。</w:t>
      </w:r>
    </w:p>
    <w:p>
      <w:pPr>
        <w:pStyle w:val="39"/>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）“书面形式”指打字或印刷的文件和数据电文（包括电报、电传、传真、电子数据交换和电子邮件）。</w:t>
      </w:r>
    </w:p>
    <w:p>
      <w:pPr>
        <w:spacing w:line="360" w:lineRule="auto"/>
        <w:ind w:firstLine="482" w:firstLineChars="200"/>
        <w:rPr>
          <w:rFonts w:asci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、招标说明</w:t>
      </w:r>
    </w:p>
    <w:p>
      <w:pPr>
        <w:spacing w:line="360" w:lineRule="auto"/>
        <w:ind w:firstLine="480" w:firstLineChars="200"/>
        <w:rPr>
          <w:rFonts w:ascii="宋体"/>
          <w:bCs/>
          <w:color w:val="auto"/>
          <w:sz w:val="24"/>
          <w:highlight w:val="none"/>
        </w:rPr>
      </w:pPr>
      <w:r>
        <w:rPr>
          <w:rFonts w:ascii="宋体" w:hAnsi="宋体"/>
          <w:bCs/>
          <w:color w:val="auto"/>
          <w:sz w:val="24"/>
          <w:highlight w:val="none"/>
        </w:rPr>
        <w:t>2.1</w:t>
      </w:r>
      <w:r>
        <w:rPr>
          <w:rFonts w:hint="eastAsia" w:ascii="宋体" w:hAnsi="宋体"/>
          <w:bCs/>
          <w:color w:val="auto"/>
          <w:sz w:val="24"/>
          <w:highlight w:val="none"/>
        </w:rPr>
        <w:t>本招标工程项目按照《中华人民共和国招标投标法》等有关法律、行政法规、规章和规范性文件，通过招标方式选定承包人。</w:t>
      </w:r>
    </w:p>
    <w:p>
      <w:pPr>
        <w:spacing w:line="360" w:lineRule="auto"/>
        <w:ind w:firstLine="480" w:firstLineChars="200"/>
        <w:rPr>
          <w:rFonts w:ascii="宋体"/>
          <w:bCs/>
          <w:color w:val="auto"/>
          <w:sz w:val="24"/>
          <w:highlight w:val="none"/>
        </w:rPr>
      </w:pPr>
      <w:r>
        <w:rPr>
          <w:rFonts w:ascii="宋体" w:hAnsi="宋体"/>
          <w:bCs/>
          <w:color w:val="auto"/>
          <w:sz w:val="24"/>
          <w:highlight w:val="none"/>
        </w:rPr>
        <w:t>2.2</w:t>
      </w:r>
      <w:r>
        <w:rPr>
          <w:rFonts w:hint="eastAsia" w:ascii="宋体" w:hAnsi="宋体"/>
          <w:bCs/>
          <w:color w:val="auto"/>
          <w:sz w:val="24"/>
          <w:highlight w:val="none"/>
        </w:rPr>
        <w:t>工程名称、建设地点、建设规模、承包方式、质量标准、招标范围、工期要求等均在投标须知前附表中列明。</w:t>
      </w:r>
    </w:p>
    <w:p>
      <w:pPr>
        <w:spacing w:line="360" w:lineRule="auto"/>
        <w:ind w:firstLine="480" w:firstLineChars="200"/>
        <w:rPr>
          <w:rFonts w:ascii="宋体"/>
          <w:bCs/>
          <w:color w:val="auto"/>
          <w:sz w:val="24"/>
          <w:highlight w:val="none"/>
        </w:rPr>
      </w:pPr>
      <w:r>
        <w:rPr>
          <w:rFonts w:ascii="宋体" w:hAnsi="宋体"/>
          <w:bCs/>
          <w:color w:val="auto"/>
          <w:sz w:val="24"/>
          <w:highlight w:val="none"/>
        </w:rPr>
        <w:t>2.3</w:t>
      </w:r>
      <w:r>
        <w:rPr>
          <w:rFonts w:hint="eastAsia" w:ascii="宋体" w:hAnsi="宋体"/>
          <w:bCs/>
          <w:color w:val="auto"/>
          <w:sz w:val="24"/>
          <w:highlight w:val="none"/>
        </w:rPr>
        <w:t>设计说明：详见招标图纸。</w:t>
      </w:r>
    </w:p>
    <w:p>
      <w:pPr>
        <w:spacing w:line="360" w:lineRule="auto"/>
        <w:ind w:firstLine="480" w:firstLineChars="200"/>
        <w:rPr>
          <w:rFonts w:ascii="宋体"/>
          <w:bCs/>
          <w:color w:val="auto"/>
          <w:sz w:val="24"/>
          <w:highlight w:val="none"/>
        </w:rPr>
      </w:pPr>
      <w:r>
        <w:rPr>
          <w:rFonts w:ascii="宋体" w:hAnsi="宋体"/>
          <w:bCs/>
          <w:color w:val="auto"/>
          <w:sz w:val="24"/>
          <w:highlight w:val="none"/>
        </w:rPr>
        <w:t>2.4</w:t>
      </w:r>
      <w:r>
        <w:rPr>
          <w:rFonts w:hint="eastAsia" w:ascii="宋体" w:hAnsi="宋体"/>
          <w:bCs/>
          <w:color w:val="auto"/>
          <w:sz w:val="24"/>
          <w:highlight w:val="none"/>
        </w:rPr>
        <w:t>工程施工特点：详见招标图纸。</w:t>
      </w:r>
    </w:p>
    <w:p>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rPr>
        <w:t>．资金来源</w:t>
      </w:r>
    </w:p>
    <w:p>
      <w:pPr>
        <w:spacing w:line="360" w:lineRule="auto"/>
        <w:ind w:firstLine="480" w:firstLineChars="200"/>
        <w:rPr>
          <w:rFonts w:ascii="宋体"/>
          <w:bCs/>
          <w:color w:val="auto"/>
          <w:sz w:val="24"/>
          <w:highlight w:val="none"/>
        </w:rPr>
      </w:pPr>
      <w:r>
        <w:rPr>
          <w:rFonts w:ascii="宋体" w:hAnsi="宋体"/>
          <w:bCs/>
          <w:color w:val="auto"/>
          <w:sz w:val="24"/>
          <w:highlight w:val="none"/>
        </w:rPr>
        <w:t>3.1</w:t>
      </w:r>
      <w:r>
        <w:rPr>
          <w:rFonts w:hint="eastAsia" w:ascii="宋体" w:hAnsi="宋体"/>
          <w:bCs/>
          <w:color w:val="auto"/>
          <w:sz w:val="24"/>
          <w:highlight w:val="none"/>
        </w:rPr>
        <w:t>本招标工程项目资金来源见投标须知前附表第</w:t>
      </w:r>
      <w:r>
        <w:rPr>
          <w:rFonts w:ascii="宋体" w:hAnsi="宋体"/>
          <w:bCs/>
          <w:color w:val="auto"/>
          <w:sz w:val="24"/>
          <w:highlight w:val="none"/>
        </w:rPr>
        <w:t>9</w:t>
      </w:r>
      <w:r>
        <w:rPr>
          <w:rFonts w:hint="eastAsia" w:ascii="宋体" w:hAnsi="宋体"/>
          <w:bCs/>
          <w:color w:val="auto"/>
          <w:sz w:val="24"/>
          <w:highlight w:val="none"/>
        </w:rPr>
        <w:t>项</w:t>
      </w:r>
    </w:p>
    <w:p>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4</w:t>
      </w:r>
      <w:r>
        <w:rPr>
          <w:rFonts w:hint="eastAsia" w:ascii="宋体" w:hAnsi="宋体"/>
          <w:b/>
          <w:color w:val="auto"/>
          <w:sz w:val="24"/>
          <w:highlight w:val="none"/>
        </w:rPr>
        <w:t>．合格投标人的条件</w:t>
      </w:r>
    </w:p>
    <w:p>
      <w:pPr>
        <w:spacing w:line="360" w:lineRule="auto"/>
        <w:ind w:firstLine="480" w:firstLineChars="200"/>
        <w:rPr>
          <w:rFonts w:ascii="宋体"/>
          <w:bCs/>
          <w:color w:val="auto"/>
          <w:sz w:val="24"/>
          <w:highlight w:val="none"/>
        </w:rPr>
      </w:pPr>
      <w:r>
        <w:rPr>
          <w:rFonts w:ascii="宋体" w:hAnsi="宋体"/>
          <w:bCs/>
          <w:color w:val="auto"/>
          <w:sz w:val="24"/>
          <w:highlight w:val="none"/>
        </w:rPr>
        <w:t>4.1</w:t>
      </w:r>
      <w:r>
        <w:rPr>
          <w:rFonts w:hint="eastAsia" w:ascii="宋体" w:hAnsi="宋体"/>
          <w:bCs/>
          <w:color w:val="auto"/>
          <w:sz w:val="24"/>
          <w:highlight w:val="none"/>
        </w:rPr>
        <w:t>详见本项目招标公告</w:t>
      </w:r>
    </w:p>
    <w:p>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5</w:t>
      </w:r>
      <w:r>
        <w:rPr>
          <w:rFonts w:hint="eastAsia" w:ascii="宋体" w:hAnsi="宋体"/>
          <w:b/>
          <w:color w:val="auto"/>
          <w:sz w:val="24"/>
          <w:highlight w:val="none"/>
        </w:rPr>
        <w:t>．踏勘现场</w:t>
      </w:r>
    </w:p>
    <w:p>
      <w:pPr>
        <w:spacing w:line="360" w:lineRule="auto"/>
        <w:ind w:firstLine="480" w:firstLineChars="200"/>
        <w:rPr>
          <w:rFonts w:ascii="宋体"/>
          <w:bCs/>
          <w:color w:val="auto"/>
          <w:sz w:val="24"/>
          <w:highlight w:val="none"/>
          <w:u w:val="single"/>
        </w:rPr>
      </w:pPr>
      <w:r>
        <w:rPr>
          <w:rFonts w:ascii="宋体" w:hAnsi="宋体"/>
          <w:bCs/>
          <w:color w:val="auto"/>
          <w:sz w:val="24"/>
          <w:highlight w:val="none"/>
        </w:rPr>
        <w:t xml:space="preserve">5.1 </w:t>
      </w:r>
      <w:r>
        <w:rPr>
          <w:rFonts w:hint="eastAsia" w:ascii="宋体" w:hAnsi="宋体"/>
          <w:bCs/>
          <w:color w:val="auto"/>
          <w:sz w:val="24"/>
          <w:highlight w:val="none"/>
        </w:rPr>
        <w:t>投标人应按本投标须知前附表第</w:t>
      </w:r>
      <w:r>
        <w:rPr>
          <w:rFonts w:ascii="宋体" w:hAnsi="宋体"/>
          <w:bCs/>
          <w:color w:val="auto"/>
          <w:sz w:val="24"/>
          <w:highlight w:val="none"/>
        </w:rPr>
        <w:t>15</w:t>
      </w:r>
      <w:r>
        <w:rPr>
          <w:rFonts w:hint="eastAsia" w:ascii="宋体" w:hAnsi="宋体"/>
          <w:bCs/>
          <w:color w:val="auto"/>
          <w:sz w:val="24"/>
          <w:highlight w:val="none"/>
        </w:rPr>
        <w:t>项所述时间和要求对工程现场及周围环境进行踏勘，</w:t>
      </w:r>
      <w:r>
        <w:rPr>
          <w:rFonts w:hint="eastAsia" w:ascii="宋体" w:hAnsi="宋体"/>
          <w:color w:val="auto"/>
          <w:sz w:val="24"/>
          <w:highlight w:val="none"/>
        </w:rPr>
        <w:t>投标人应充分重视和仔细地进行这种考察，</w:t>
      </w:r>
      <w:r>
        <w:rPr>
          <w:rFonts w:hint="eastAsia" w:ascii="宋体" w:hAnsi="宋体"/>
          <w:bCs/>
          <w:color w:val="auto"/>
          <w:sz w:val="24"/>
          <w:highlight w:val="none"/>
        </w:rPr>
        <w:t>以便投标人获取</w:t>
      </w:r>
      <w:r>
        <w:rPr>
          <w:rFonts w:hint="eastAsia" w:ascii="宋体" w:hAnsi="宋体"/>
          <w:color w:val="auto"/>
          <w:sz w:val="24"/>
          <w:highlight w:val="none"/>
        </w:rPr>
        <w:t>那些须投标人自己负责的</w:t>
      </w:r>
      <w:r>
        <w:rPr>
          <w:rFonts w:hint="eastAsia" w:ascii="宋体" w:hAnsi="宋体"/>
          <w:bCs/>
          <w:color w:val="auto"/>
          <w:sz w:val="24"/>
          <w:highlight w:val="none"/>
        </w:rPr>
        <w:t>有关编制投标文件和签署合同所涉及现场所有的资料。</w:t>
      </w:r>
      <w:r>
        <w:rPr>
          <w:rFonts w:hint="eastAsia" w:ascii="宋体" w:hAnsi="宋体"/>
          <w:color w:val="auto"/>
          <w:sz w:val="24"/>
          <w:highlight w:val="none"/>
        </w:rPr>
        <w:t>一旦中标，这种考察即被认为其结果已在中标文件中得到充分反映。考察现场的费用由投标人自己承担。</w:t>
      </w:r>
    </w:p>
    <w:p>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 xml:space="preserve">5.2 </w:t>
      </w:r>
      <w:r>
        <w:rPr>
          <w:rFonts w:hint="eastAsia" w:ascii="宋体" w:hAnsi="宋体"/>
          <w:bCs/>
          <w:color w:val="auto"/>
          <w:sz w:val="24"/>
          <w:highlight w:val="none"/>
        </w:rPr>
        <w:t>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bCs/>
          <w:color w:val="auto"/>
          <w:sz w:val="24"/>
          <w:highlight w:val="none"/>
        </w:rPr>
      </w:pPr>
      <w:r>
        <w:rPr>
          <w:rFonts w:ascii="宋体" w:hAnsi="宋体"/>
          <w:bCs/>
          <w:color w:val="auto"/>
          <w:sz w:val="24"/>
          <w:highlight w:val="none"/>
        </w:rPr>
        <w:t xml:space="preserve">5.3 </w:t>
      </w:r>
      <w:r>
        <w:rPr>
          <w:rFonts w:hint="eastAsia" w:ascii="宋体" w:hAnsi="宋体"/>
          <w:bCs/>
          <w:color w:val="auto"/>
          <w:sz w:val="24"/>
          <w:highlight w:val="none"/>
        </w:rPr>
        <w:t>经招标人允许，投标人可为踏勘目的进入招标人的项目现场。</w:t>
      </w:r>
      <w:r>
        <w:rPr>
          <w:rFonts w:hint="eastAsia" w:ascii="宋体" w:hAnsi="宋体"/>
          <w:color w:val="auto"/>
          <w:sz w:val="24"/>
          <w:highlight w:val="none"/>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bCs/>
          <w:color w:val="auto"/>
          <w:sz w:val="24"/>
          <w:highlight w:val="none"/>
        </w:rPr>
        <w:t>投标人不得因此使招标人承担有关的责任和蒙受损失。</w:t>
      </w:r>
    </w:p>
    <w:p>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6</w:t>
      </w:r>
      <w:r>
        <w:rPr>
          <w:rFonts w:hint="eastAsia" w:ascii="宋体" w:hAnsi="宋体"/>
          <w:b/>
          <w:color w:val="auto"/>
          <w:sz w:val="24"/>
          <w:highlight w:val="none"/>
        </w:rPr>
        <w:t>．投标费用</w:t>
      </w:r>
    </w:p>
    <w:p>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6.1</w:t>
      </w:r>
      <w:r>
        <w:rPr>
          <w:rFonts w:hint="eastAsia" w:ascii="宋体" w:hAnsi="宋体"/>
          <w:color w:val="auto"/>
          <w:sz w:val="24"/>
          <w:highlight w:val="none"/>
        </w:rPr>
        <w:t>不论投标结果如何，投标人应承担</w:t>
      </w:r>
      <w:r>
        <w:rPr>
          <w:rFonts w:hint="eastAsia" w:ascii="宋体" w:hAnsi="宋体"/>
          <w:bCs/>
          <w:color w:val="auto"/>
          <w:sz w:val="24"/>
          <w:highlight w:val="none"/>
        </w:rPr>
        <w:t>自身</w:t>
      </w:r>
      <w:r>
        <w:rPr>
          <w:rFonts w:hint="eastAsia" w:ascii="宋体" w:hAnsi="宋体"/>
          <w:color w:val="auto"/>
          <w:sz w:val="24"/>
          <w:highlight w:val="none"/>
        </w:rPr>
        <w:t>因投标文件编制、递交及其他</w:t>
      </w:r>
      <w:r>
        <w:rPr>
          <w:rFonts w:hint="eastAsia" w:ascii="宋体" w:hAnsi="宋体"/>
          <w:bCs/>
          <w:color w:val="auto"/>
          <w:sz w:val="24"/>
          <w:highlight w:val="none"/>
        </w:rPr>
        <w:t>参加本招标活动</w:t>
      </w:r>
      <w:r>
        <w:rPr>
          <w:rFonts w:hint="eastAsia" w:ascii="宋体" w:hAnsi="宋体"/>
          <w:color w:val="auto"/>
          <w:sz w:val="24"/>
          <w:highlight w:val="none"/>
        </w:rPr>
        <w:t>所涉及的一切费用，招标人对上述费用不负任何责任。</w:t>
      </w:r>
    </w:p>
    <w:p>
      <w:pPr>
        <w:pStyle w:val="9"/>
        <w:spacing w:before="156" w:after="156"/>
        <w:rPr>
          <w:color w:val="auto"/>
          <w:highlight w:val="none"/>
        </w:rPr>
      </w:pPr>
      <w:bookmarkStart w:id="9" w:name="_Toc1502"/>
      <w:bookmarkStart w:id="10" w:name="_Toc21525494"/>
      <w:r>
        <w:rPr>
          <w:rFonts w:hint="eastAsia"/>
          <w:color w:val="auto"/>
          <w:highlight w:val="none"/>
        </w:rPr>
        <w:t>（二）招标文件</w:t>
      </w:r>
      <w:bookmarkEnd w:id="9"/>
      <w:bookmarkEnd w:id="10"/>
    </w:p>
    <w:p>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7.</w:t>
      </w:r>
      <w:r>
        <w:rPr>
          <w:rFonts w:hint="eastAsia" w:ascii="宋体" w:hAnsi="宋体"/>
          <w:b/>
          <w:color w:val="auto"/>
          <w:sz w:val="24"/>
          <w:highlight w:val="none"/>
        </w:rPr>
        <w:t>招标文件的组成</w:t>
      </w:r>
    </w:p>
    <w:p>
      <w:pPr>
        <w:spacing w:line="360" w:lineRule="auto"/>
        <w:ind w:firstLine="480" w:firstLineChars="200"/>
        <w:rPr>
          <w:rFonts w:ascii="宋体"/>
          <w:color w:val="auto"/>
          <w:sz w:val="24"/>
          <w:highlight w:val="none"/>
        </w:rPr>
      </w:pPr>
      <w:r>
        <w:rPr>
          <w:rFonts w:ascii="宋体" w:hAnsi="宋体"/>
          <w:bCs/>
          <w:color w:val="auto"/>
          <w:sz w:val="24"/>
          <w:highlight w:val="none"/>
        </w:rPr>
        <w:t>7.1</w:t>
      </w:r>
      <w:r>
        <w:rPr>
          <w:rFonts w:hint="eastAsia" w:ascii="宋体" w:hAnsi="宋体"/>
          <w:color w:val="auto"/>
          <w:sz w:val="24"/>
          <w:highlight w:val="none"/>
        </w:rPr>
        <w:t>本招标文件包括下列文件，以及所有按本须知第</w:t>
      </w:r>
      <w:r>
        <w:rPr>
          <w:rFonts w:ascii="宋体" w:hAnsi="宋体"/>
          <w:color w:val="auto"/>
          <w:sz w:val="24"/>
          <w:highlight w:val="none"/>
        </w:rPr>
        <w:t>8</w:t>
      </w:r>
      <w:r>
        <w:rPr>
          <w:rFonts w:hint="eastAsia" w:ascii="宋体" w:hAnsi="宋体"/>
          <w:color w:val="auto"/>
          <w:sz w:val="24"/>
          <w:highlight w:val="none"/>
        </w:rPr>
        <w:t>条发出的招标答疑会会议纪要和按本须知第</w:t>
      </w:r>
      <w:r>
        <w:rPr>
          <w:rFonts w:ascii="宋体" w:hAnsi="宋体"/>
          <w:color w:val="auto"/>
          <w:sz w:val="24"/>
          <w:highlight w:val="none"/>
        </w:rPr>
        <w:t>9</w:t>
      </w:r>
      <w:r>
        <w:rPr>
          <w:rFonts w:hint="eastAsia" w:ascii="宋体" w:hAnsi="宋体"/>
          <w:color w:val="auto"/>
          <w:sz w:val="24"/>
          <w:highlight w:val="none"/>
        </w:rPr>
        <w:t>条发出的澄清或修改：</w:t>
      </w:r>
    </w:p>
    <w:p>
      <w:pPr>
        <w:pStyle w:val="39"/>
        <w:spacing w:after="0" w:line="360" w:lineRule="auto"/>
        <w:ind w:left="-2" w:firstLine="480" w:firstLineChars="200"/>
        <w:rPr>
          <w:rFonts w:ascii="宋体"/>
          <w:color w:val="auto"/>
          <w:sz w:val="24"/>
          <w:highlight w:val="none"/>
        </w:rPr>
      </w:pPr>
      <w:r>
        <w:rPr>
          <w:rFonts w:hint="eastAsia" w:ascii="宋体" w:hAnsi="宋体"/>
          <w:bCs/>
          <w:color w:val="auto"/>
          <w:sz w:val="24"/>
          <w:highlight w:val="none"/>
        </w:rPr>
        <w:t>第一章</w:t>
      </w:r>
      <w:r>
        <w:rPr>
          <w:rFonts w:ascii="宋体" w:hAnsi="宋体"/>
          <w:bCs/>
          <w:color w:val="auto"/>
          <w:sz w:val="24"/>
          <w:highlight w:val="none"/>
        </w:rPr>
        <w:t xml:space="preserve">  </w:t>
      </w:r>
      <w:r>
        <w:rPr>
          <w:rFonts w:hint="eastAsia" w:ascii="宋体" w:hAnsi="宋体"/>
          <w:color w:val="auto"/>
          <w:sz w:val="24"/>
          <w:highlight w:val="none"/>
        </w:rPr>
        <w:t>投标须知</w:t>
      </w:r>
    </w:p>
    <w:p>
      <w:pPr>
        <w:pStyle w:val="39"/>
        <w:spacing w:after="0" w:line="360" w:lineRule="auto"/>
        <w:ind w:left="-2" w:firstLine="480" w:firstLineChars="200"/>
        <w:rPr>
          <w:rFonts w:ascii="宋体"/>
          <w:color w:val="auto"/>
          <w:sz w:val="24"/>
          <w:highlight w:val="none"/>
        </w:rPr>
      </w:pPr>
      <w:r>
        <w:rPr>
          <w:rFonts w:hint="eastAsia" w:ascii="宋体" w:hAnsi="宋体"/>
          <w:bCs/>
          <w:color w:val="auto"/>
          <w:sz w:val="24"/>
          <w:highlight w:val="none"/>
        </w:rPr>
        <w:t>第二章</w:t>
      </w:r>
      <w:r>
        <w:rPr>
          <w:rFonts w:ascii="宋体" w:hAnsi="宋体"/>
          <w:bCs/>
          <w:color w:val="auto"/>
          <w:sz w:val="24"/>
          <w:highlight w:val="none"/>
        </w:rPr>
        <w:t xml:space="preserve">  </w:t>
      </w:r>
      <w:r>
        <w:rPr>
          <w:rFonts w:hint="eastAsia" w:ascii="宋体" w:hAnsi="宋体"/>
          <w:color w:val="auto"/>
          <w:sz w:val="24"/>
          <w:highlight w:val="none"/>
        </w:rPr>
        <w:t>开标、评标及定标办法</w:t>
      </w:r>
    </w:p>
    <w:p>
      <w:pPr>
        <w:pStyle w:val="39"/>
        <w:spacing w:after="0" w:line="360" w:lineRule="auto"/>
        <w:ind w:firstLine="480" w:firstLineChars="200"/>
        <w:rPr>
          <w:rFonts w:ascii="宋体"/>
          <w:color w:val="auto"/>
          <w:sz w:val="24"/>
          <w:highlight w:val="none"/>
        </w:rPr>
      </w:pPr>
      <w:r>
        <w:rPr>
          <w:rFonts w:hint="eastAsia" w:ascii="宋体" w:hAnsi="宋体"/>
          <w:color w:val="auto"/>
          <w:sz w:val="24"/>
          <w:highlight w:val="none"/>
        </w:rPr>
        <w:t>第三章</w:t>
      </w:r>
      <w:r>
        <w:rPr>
          <w:rFonts w:ascii="宋体" w:hAnsi="宋体"/>
          <w:color w:val="auto"/>
          <w:sz w:val="24"/>
          <w:highlight w:val="none"/>
        </w:rPr>
        <w:t xml:space="preserve">  </w:t>
      </w:r>
      <w:r>
        <w:rPr>
          <w:rFonts w:hint="eastAsia" w:ascii="宋体" w:hAnsi="宋体"/>
          <w:color w:val="auto"/>
          <w:sz w:val="24"/>
          <w:highlight w:val="none"/>
        </w:rPr>
        <w:t>合同条款</w:t>
      </w:r>
    </w:p>
    <w:p>
      <w:pPr>
        <w:pStyle w:val="39"/>
        <w:spacing w:after="0" w:line="360" w:lineRule="auto"/>
        <w:ind w:firstLine="480" w:firstLineChars="200"/>
        <w:rPr>
          <w:rFonts w:ascii="宋体"/>
          <w:color w:val="auto"/>
          <w:sz w:val="24"/>
          <w:highlight w:val="none"/>
        </w:rPr>
      </w:pPr>
      <w:r>
        <w:rPr>
          <w:rFonts w:hint="eastAsia" w:ascii="宋体" w:hAnsi="宋体"/>
          <w:bCs/>
          <w:color w:val="auto"/>
          <w:sz w:val="24"/>
          <w:highlight w:val="none"/>
        </w:rPr>
        <w:t>第四章</w:t>
      </w:r>
      <w:r>
        <w:rPr>
          <w:rFonts w:ascii="宋体" w:hAnsi="宋体"/>
          <w:bCs/>
          <w:color w:val="auto"/>
          <w:sz w:val="24"/>
          <w:highlight w:val="none"/>
        </w:rPr>
        <w:t xml:space="preserve">  </w:t>
      </w:r>
      <w:r>
        <w:rPr>
          <w:rFonts w:hint="eastAsia" w:ascii="宋体" w:hAnsi="宋体"/>
          <w:color w:val="auto"/>
          <w:sz w:val="24"/>
          <w:highlight w:val="none"/>
        </w:rPr>
        <w:t>投标文件格式</w:t>
      </w:r>
    </w:p>
    <w:p>
      <w:pPr>
        <w:pStyle w:val="39"/>
        <w:spacing w:after="0" w:line="360" w:lineRule="auto"/>
        <w:ind w:left="-2" w:firstLine="480" w:firstLineChars="200"/>
        <w:rPr>
          <w:rFonts w:ascii="宋体"/>
          <w:color w:val="auto"/>
          <w:sz w:val="24"/>
          <w:highlight w:val="none"/>
        </w:rPr>
      </w:pPr>
      <w:r>
        <w:rPr>
          <w:rFonts w:hint="eastAsia" w:ascii="宋体" w:hAnsi="宋体"/>
          <w:bCs/>
          <w:color w:val="auto"/>
          <w:sz w:val="24"/>
          <w:highlight w:val="none"/>
        </w:rPr>
        <w:t>第五章</w:t>
      </w:r>
      <w:r>
        <w:rPr>
          <w:rFonts w:ascii="宋体" w:hAnsi="宋体"/>
          <w:bCs/>
          <w:color w:val="auto"/>
          <w:sz w:val="24"/>
          <w:highlight w:val="none"/>
        </w:rPr>
        <w:t xml:space="preserve">  </w:t>
      </w:r>
      <w:r>
        <w:rPr>
          <w:rFonts w:hint="eastAsia" w:ascii="宋体" w:hAnsi="宋体"/>
          <w:color w:val="auto"/>
          <w:sz w:val="24"/>
          <w:highlight w:val="none"/>
        </w:rPr>
        <w:t>技术条件（工程建设标准）（另册）</w:t>
      </w:r>
    </w:p>
    <w:p>
      <w:pPr>
        <w:pStyle w:val="39"/>
        <w:spacing w:after="0" w:line="360" w:lineRule="auto"/>
        <w:ind w:left="-2" w:firstLine="480" w:firstLineChars="200"/>
        <w:rPr>
          <w:rFonts w:ascii="宋体"/>
          <w:color w:val="auto"/>
          <w:sz w:val="24"/>
          <w:highlight w:val="none"/>
        </w:rPr>
      </w:pPr>
      <w:r>
        <w:rPr>
          <w:rFonts w:hint="eastAsia" w:ascii="宋体" w:hAnsi="宋体"/>
          <w:bCs/>
          <w:color w:val="auto"/>
          <w:sz w:val="24"/>
          <w:highlight w:val="none"/>
        </w:rPr>
        <w:t>第六章</w:t>
      </w:r>
      <w:r>
        <w:rPr>
          <w:rFonts w:ascii="宋体" w:hAnsi="宋体"/>
          <w:bCs/>
          <w:color w:val="auto"/>
          <w:sz w:val="24"/>
          <w:highlight w:val="none"/>
        </w:rPr>
        <w:t xml:space="preserve">  </w:t>
      </w:r>
      <w:r>
        <w:rPr>
          <w:rFonts w:hint="eastAsia" w:ascii="宋体" w:hAnsi="宋体"/>
          <w:color w:val="auto"/>
          <w:sz w:val="24"/>
          <w:highlight w:val="none"/>
        </w:rPr>
        <w:t>图纸及勘察资料（另册）</w:t>
      </w:r>
    </w:p>
    <w:p>
      <w:pPr>
        <w:pStyle w:val="39"/>
        <w:spacing w:after="0" w:line="360" w:lineRule="auto"/>
        <w:ind w:left="-2" w:firstLine="480" w:firstLineChars="200"/>
        <w:rPr>
          <w:rFonts w:ascii="宋体"/>
          <w:color w:val="auto"/>
          <w:sz w:val="24"/>
          <w:highlight w:val="none"/>
        </w:rPr>
      </w:pPr>
      <w:r>
        <w:rPr>
          <w:rFonts w:hint="eastAsia" w:ascii="宋体" w:hAnsi="宋体"/>
          <w:bCs/>
          <w:color w:val="auto"/>
          <w:sz w:val="24"/>
          <w:highlight w:val="none"/>
        </w:rPr>
        <w:t>第七章</w:t>
      </w:r>
      <w:r>
        <w:rPr>
          <w:rFonts w:ascii="宋体" w:hAnsi="宋体"/>
          <w:bCs/>
          <w:color w:val="auto"/>
          <w:sz w:val="24"/>
          <w:highlight w:val="none"/>
        </w:rPr>
        <w:t xml:space="preserve">  </w:t>
      </w:r>
      <w:r>
        <w:rPr>
          <w:rFonts w:hint="eastAsia" w:ascii="宋体" w:hAnsi="宋体"/>
          <w:bCs/>
          <w:color w:val="auto"/>
          <w:sz w:val="24"/>
          <w:highlight w:val="none"/>
        </w:rPr>
        <w:t>招标</w:t>
      </w:r>
      <w:r>
        <w:rPr>
          <w:rFonts w:hint="eastAsia" w:ascii="宋体" w:hAnsi="宋体"/>
          <w:color w:val="auto"/>
          <w:sz w:val="24"/>
          <w:highlight w:val="none"/>
        </w:rPr>
        <w:t>工程量清单（另册）</w:t>
      </w:r>
    </w:p>
    <w:p>
      <w:pPr>
        <w:pStyle w:val="39"/>
        <w:spacing w:after="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注</w:t>
      </w:r>
      <w:r>
        <w:rPr>
          <w:rFonts w:ascii="宋体" w:hAnsi="宋体"/>
          <w:color w:val="auto"/>
          <w:sz w:val="24"/>
          <w:highlight w:val="none"/>
        </w:rPr>
        <w:t>：招标人应在</w:t>
      </w:r>
      <w:r>
        <w:rPr>
          <w:rFonts w:hint="eastAsia" w:ascii="宋体" w:hAnsi="宋体"/>
          <w:color w:val="auto"/>
          <w:sz w:val="24"/>
          <w:highlight w:val="none"/>
        </w:rPr>
        <w:t>技术条件（工程建设标准）中</w:t>
      </w:r>
      <w:r>
        <w:rPr>
          <w:rFonts w:ascii="宋体" w:hAnsi="宋体"/>
          <w:color w:val="auto"/>
          <w:sz w:val="24"/>
          <w:highlight w:val="none"/>
        </w:rPr>
        <w:t>明确</w:t>
      </w:r>
      <w:r>
        <w:rPr>
          <w:rFonts w:hint="eastAsia" w:ascii="宋体" w:hAnsi="宋体"/>
          <w:color w:val="auto"/>
          <w:sz w:val="24"/>
          <w:highlight w:val="none"/>
        </w:rPr>
        <w:t>施工现场建筑垃圾源头减量的具体要求和建筑垃圾综合利用产品的使用要求。</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7.2 </w:t>
      </w:r>
      <w:r>
        <w:rPr>
          <w:rFonts w:hint="eastAsia" w:ascii="宋体" w:hAnsi="宋体"/>
          <w:color w:val="auto"/>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7.3 </w:t>
      </w:r>
      <w:r>
        <w:rPr>
          <w:rFonts w:hint="eastAsia" w:ascii="宋体" w:hAnsi="宋体"/>
          <w:color w:val="auto"/>
          <w:sz w:val="24"/>
          <w:highlight w:val="none"/>
        </w:rPr>
        <w:t>投标人一旦中标，招标文件的内容对招标人和中标人双方均有约束力。</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8</w:t>
      </w:r>
      <w:r>
        <w:rPr>
          <w:rFonts w:hint="eastAsia" w:ascii="宋体" w:hAnsi="宋体"/>
          <w:b/>
          <w:bCs/>
          <w:color w:val="auto"/>
          <w:sz w:val="24"/>
          <w:highlight w:val="none"/>
        </w:rPr>
        <w:t>．招标答疑</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8.1 </w:t>
      </w:r>
      <w:r>
        <w:rPr>
          <w:rFonts w:hint="eastAsia" w:ascii="宋体" w:hAnsi="宋体"/>
          <w:color w:val="auto"/>
          <w:sz w:val="24"/>
          <w:highlight w:val="none"/>
        </w:rPr>
        <w:t>投标人若对招标文件（包括招标图纸）中有疑问，可以书面形式</w:t>
      </w:r>
      <w:r>
        <w:rPr>
          <w:rFonts w:hint="eastAsia"/>
          <w:color w:val="auto"/>
          <w:sz w:val="24"/>
          <w:szCs w:val="24"/>
          <w:highlight w:val="none"/>
        </w:rPr>
        <w:t>通过</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color w:val="auto"/>
          <w:sz w:val="24"/>
          <w:szCs w:val="24"/>
          <w:highlight w:val="none"/>
        </w:rPr>
        <w:t>提交</w:t>
      </w:r>
      <w:r>
        <w:rPr>
          <w:rFonts w:hint="eastAsia" w:ascii="宋体" w:hAnsi="宋体"/>
          <w:color w:val="auto"/>
          <w:sz w:val="24"/>
          <w:highlight w:val="none"/>
        </w:rPr>
        <w:t>给招标人或招标代理人，提交形式见本须知前附表第</w:t>
      </w:r>
      <w:r>
        <w:rPr>
          <w:rFonts w:ascii="宋体" w:hAnsi="宋体"/>
          <w:color w:val="auto"/>
          <w:sz w:val="24"/>
          <w:highlight w:val="none"/>
        </w:rPr>
        <w:t>16</w:t>
      </w:r>
      <w:r>
        <w:rPr>
          <w:rFonts w:hint="eastAsia" w:ascii="宋体" w:hAnsi="宋体"/>
          <w:color w:val="auto"/>
          <w:sz w:val="24"/>
          <w:highlight w:val="none"/>
        </w:rPr>
        <w:t>项。</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8.2</w:t>
      </w:r>
      <w:r>
        <w:rPr>
          <w:rFonts w:hint="eastAsia" w:ascii="宋体"/>
          <w:color w:val="auto"/>
          <w:sz w:val="24"/>
          <w:highlight w:val="none"/>
        </w:rPr>
        <w:t>招标答疑会会议纪要将在提交投标文件截止时间15日前在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 xml:space="preserve"> “项目答疑纪要”专区公开发布。答疑纪要一经在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8.3</w:t>
      </w:r>
      <w:r>
        <w:rPr>
          <w:rFonts w:hint="eastAsia" w:ascii="宋体" w:hAnsi="宋体"/>
          <w:color w:val="auto"/>
          <w:sz w:val="24"/>
          <w:highlight w:val="none"/>
        </w:rPr>
        <w:t>答疑会会议纪要为招标文件的一部分。</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8.4</w:t>
      </w:r>
      <w:r>
        <w:rPr>
          <w:rFonts w:hint="eastAsia" w:ascii="宋体" w:hAnsi="宋体"/>
          <w:color w:val="auto"/>
          <w:sz w:val="24"/>
          <w:highlight w:val="none"/>
        </w:rPr>
        <w:t>若招标答疑会会议纪要与招标文件有矛盾，以答疑会议纪要最后发出的书面形式的文件为准。</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9.</w:t>
      </w:r>
      <w:r>
        <w:rPr>
          <w:rFonts w:hint="eastAsia" w:ascii="宋体" w:hAnsi="宋体"/>
          <w:b/>
          <w:bCs/>
          <w:color w:val="auto"/>
          <w:sz w:val="24"/>
          <w:highlight w:val="none"/>
        </w:rPr>
        <w:t>招标文件的澄清与修改</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9.1</w:t>
      </w:r>
      <w:r>
        <w:rPr>
          <w:rFonts w:hint="eastAsia" w:ascii="宋体" w:hAnsi="宋体"/>
          <w:color w:val="auto"/>
          <w:sz w:val="24"/>
          <w:highlight w:val="none"/>
        </w:rPr>
        <w:t>招标文件发出后</w:t>
      </w:r>
      <w:r>
        <w:rPr>
          <w:rFonts w:ascii="宋体"/>
          <w:color w:val="auto"/>
          <w:sz w:val="24"/>
          <w:highlight w:val="none"/>
        </w:rPr>
        <w:t>,</w:t>
      </w:r>
      <w:r>
        <w:rPr>
          <w:rFonts w:hint="eastAsia" w:ascii="宋体" w:hAnsi="宋体"/>
          <w:color w:val="auto"/>
          <w:sz w:val="24"/>
          <w:highlight w:val="none"/>
        </w:rPr>
        <w:t>在提交投标文件截止时间15日前，招标人可对招标文件进行必要的澄清或修改。</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9.2</w:t>
      </w:r>
      <w:r>
        <w:rPr>
          <w:rFonts w:hint="eastAsia" w:ascii="宋体"/>
          <w:color w:val="auto"/>
          <w:sz w:val="24"/>
          <w:highlight w:val="none"/>
        </w:rPr>
        <w:t>招标文件的澄清或修改将在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“项目答疑纪要”专区公开发布。答疑纪要一经在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发布，视作已发放给所有投标人，以</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上网发布时间作为送达时间。</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9.3</w:t>
      </w:r>
      <w:r>
        <w:rPr>
          <w:rFonts w:hint="eastAsia" w:ascii="宋体" w:hAnsi="宋体"/>
          <w:color w:val="auto"/>
          <w:sz w:val="24"/>
          <w:highlight w:val="none"/>
        </w:rPr>
        <w:t>招标文件的修改内容为招标文件的组成部分。</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9.4</w:t>
      </w:r>
      <w:r>
        <w:rPr>
          <w:rFonts w:hint="eastAsia" w:ascii="宋体" w:hAnsi="宋体"/>
          <w:color w:val="auto"/>
          <w:sz w:val="24"/>
          <w:highlight w:val="none"/>
        </w:rPr>
        <w:t>招标文件的澄清或修改均以书面形式明确的内容为准。当招标文件的澄清、修改、补充等在同一内容的表述不一致时，以最后发出的书面形式的文件为准。</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9.5</w:t>
      </w:r>
      <w:r>
        <w:rPr>
          <w:rFonts w:hint="eastAsia" w:ascii="宋体" w:hAnsi="宋体"/>
          <w:color w:val="auto"/>
          <w:sz w:val="24"/>
          <w:highlight w:val="none"/>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pPr>
        <w:pStyle w:val="9"/>
        <w:spacing w:before="156" w:after="156"/>
        <w:rPr>
          <w:color w:val="auto"/>
          <w:highlight w:val="none"/>
        </w:rPr>
      </w:pPr>
      <w:bookmarkStart w:id="11" w:name="_Toc22637"/>
      <w:bookmarkStart w:id="12" w:name="_Toc21525495"/>
      <w:r>
        <w:rPr>
          <w:rFonts w:hint="eastAsia"/>
          <w:color w:val="auto"/>
          <w:highlight w:val="none"/>
        </w:rPr>
        <w:t>（三）投标文件的编制</w:t>
      </w:r>
      <w:bookmarkEnd w:id="11"/>
      <w:bookmarkEnd w:id="12"/>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10</w:t>
      </w:r>
      <w:r>
        <w:rPr>
          <w:rFonts w:hint="eastAsia" w:ascii="宋体" w:hAnsi="宋体"/>
          <w:b/>
          <w:bCs/>
          <w:color w:val="auto"/>
          <w:sz w:val="24"/>
          <w:highlight w:val="none"/>
        </w:rPr>
        <w:t>．投标文件的语言及度量衡单位</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10.1 </w:t>
      </w:r>
      <w:r>
        <w:rPr>
          <w:rFonts w:hint="eastAsia" w:ascii="宋体" w:hAnsi="宋体"/>
          <w:color w:val="auto"/>
          <w:sz w:val="24"/>
          <w:highlight w:val="none"/>
        </w:rPr>
        <w:t>投标文件和与投标有关的所有文件均应使用中文。</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10.2 </w:t>
      </w:r>
      <w:r>
        <w:rPr>
          <w:rFonts w:hint="eastAsia" w:ascii="宋体" w:hAnsi="宋体"/>
          <w:color w:val="auto"/>
          <w:sz w:val="24"/>
          <w:highlight w:val="none"/>
        </w:rPr>
        <w:t>除工程规范另有规定外，投标文件使用的度量衡单位，均采用中华人民共和国法定计量单位。</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11</w:t>
      </w:r>
      <w:r>
        <w:rPr>
          <w:rFonts w:hint="eastAsia" w:ascii="宋体" w:hAnsi="宋体"/>
          <w:b/>
          <w:bCs/>
          <w:color w:val="auto"/>
          <w:sz w:val="24"/>
          <w:highlight w:val="none"/>
        </w:rPr>
        <w:t>．投标文件的组成</w:t>
      </w:r>
    </w:p>
    <w:p>
      <w:pPr>
        <w:pStyle w:val="39"/>
        <w:spacing w:after="0" w:line="360" w:lineRule="auto"/>
        <w:ind w:firstLine="480" w:firstLineChars="200"/>
        <w:rPr>
          <w:rFonts w:ascii="宋体"/>
          <w:b/>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投标文件由技术部分（含资格审查文件）和经济部分二部分投标文件组成</w:t>
      </w:r>
      <w:r>
        <w:rPr>
          <w:rFonts w:hint="eastAsia" w:ascii="宋体" w:hAnsi="宋体"/>
          <w:b/>
          <w:color w:val="auto"/>
          <w:sz w:val="24"/>
          <w:highlight w:val="none"/>
        </w:rPr>
        <w:t>。</w:t>
      </w:r>
    </w:p>
    <w:p>
      <w:pPr>
        <w:spacing w:line="360" w:lineRule="auto"/>
        <w:ind w:firstLine="480" w:firstLineChars="200"/>
        <w:rPr>
          <w:rFonts w:ascii="宋体" w:hAnsi="宋体"/>
          <w:bCs/>
          <w:color w:val="auto"/>
          <w:sz w:val="24"/>
          <w:highlight w:val="none"/>
        </w:rPr>
      </w:pPr>
      <w:r>
        <w:rPr>
          <w:rFonts w:ascii="宋体" w:hAnsi="宋体"/>
          <w:bCs/>
          <w:color w:val="auto"/>
          <w:sz w:val="24"/>
          <w:highlight w:val="none"/>
        </w:rPr>
        <w:t>11.2</w:t>
      </w:r>
      <w:r>
        <w:rPr>
          <w:rFonts w:hint="eastAsia" w:ascii="宋体" w:hAnsi="宋体"/>
          <w:bCs/>
          <w:color w:val="auto"/>
          <w:sz w:val="24"/>
          <w:highlight w:val="none"/>
        </w:rPr>
        <w:t>投标文件技术标部分主要包括下列内容</w:t>
      </w:r>
      <w:r>
        <w:rPr>
          <w:rFonts w:ascii="宋体" w:hAnsi="宋体"/>
          <w:bCs/>
          <w:color w:val="auto"/>
          <w:sz w:val="24"/>
          <w:highlight w:val="none"/>
        </w:rPr>
        <w:t>:</w:t>
      </w:r>
    </w:p>
    <w:p>
      <w:pPr>
        <w:spacing w:line="360" w:lineRule="auto"/>
        <w:ind w:firstLine="480" w:firstLineChars="200"/>
        <w:rPr>
          <w:rFonts w:ascii="宋体"/>
          <w:bCs/>
          <w:color w:val="auto"/>
          <w:sz w:val="24"/>
          <w:highlight w:val="none"/>
        </w:rPr>
      </w:pPr>
      <w:r>
        <w:rPr>
          <w:rFonts w:hint="eastAsia" w:ascii="宋体"/>
          <w:bCs/>
          <w:color w:val="auto"/>
          <w:sz w:val="24"/>
          <w:highlight w:val="none"/>
        </w:rPr>
        <w:t>11.2.1 技术投标文件</w:t>
      </w:r>
      <w:r>
        <w:rPr>
          <w:rFonts w:ascii="宋体" w:hAnsi="宋体"/>
          <w:color w:val="auto"/>
          <w:sz w:val="24"/>
          <w:highlight w:val="none"/>
        </w:rPr>
        <w:t>(</w:t>
      </w:r>
      <w:r>
        <w:rPr>
          <w:rFonts w:hint="eastAsia" w:ascii="宋体" w:hAnsi="宋体"/>
          <w:color w:val="auto"/>
          <w:sz w:val="24"/>
          <w:highlight w:val="none"/>
        </w:rPr>
        <w:t>按招标文件的要求填写</w:t>
      </w:r>
      <w:r>
        <w:rPr>
          <w:rFonts w:ascii="宋体" w:hAnsi="宋体"/>
          <w:color w:val="auto"/>
          <w:sz w:val="24"/>
          <w:highlight w:val="none"/>
        </w:rPr>
        <w:t>)</w:t>
      </w:r>
      <w:r>
        <w:rPr>
          <w:rFonts w:hint="eastAsia" w:ascii="宋体"/>
          <w:bCs/>
          <w:color w:val="auto"/>
          <w:sz w:val="24"/>
          <w:highlight w:val="none"/>
        </w:rPr>
        <w:t>；</w:t>
      </w:r>
    </w:p>
    <w:p>
      <w:pPr>
        <w:spacing w:line="360" w:lineRule="auto"/>
        <w:ind w:firstLine="480" w:firstLineChars="200"/>
        <w:rPr>
          <w:rFonts w:ascii="宋体"/>
          <w:bCs/>
          <w:color w:val="auto"/>
          <w:sz w:val="24"/>
          <w:highlight w:val="none"/>
        </w:rPr>
      </w:pPr>
      <w:r>
        <w:rPr>
          <w:rFonts w:hint="eastAsia" w:ascii="宋体"/>
          <w:bCs/>
          <w:color w:val="auto"/>
          <w:sz w:val="24"/>
          <w:highlight w:val="none"/>
        </w:rPr>
        <w:t>11.2.2 资格审查文件：</w:t>
      </w:r>
    </w:p>
    <w:p>
      <w:pPr>
        <w:spacing w:line="360" w:lineRule="auto"/>
        <w:ind w:firstLine="480" w:firstLineChars="200"/>
        <w:rPr>
          <w:rFonts w:ascii="宋体"/>
          <w:bCs/>
          <w:color w:val="auto"/>
          <w:sz w:val="24"/>
          <w:highlight w:val="none"/>
        </w:rPr>
      </w:pPr>
      <w:r>
        <w:rPr>
          <w:rFonts w:hint="eastAsia" w:ascii="宋体"/>
          <w:bCs/>
          <w:color w:val="auto"/>
          <w:sz w:val="24"/>
          <w:highlight w:val="none"/>
        </w:rPr>
        <w:t xml:space="preserve">（1）投标人声明； </w:t>
      </w:r>
    </w:p>
    <w:p>
      <w:pPr>
        <w:spacing w:line="360" w:lineRule="auto"/>
        <w:ind w:firstLine="480" w:firstLineChars="200"/>
        <w:rPr>
          <w:rFonts w:ascii="宋体"/>
          <w:bCs/>
          <w:color w:val="auto"/>
          <w:sz w:val="24"/>
          <w:highlight w:val="none"/>
        </w:rPr>
      </w:pPr>
      <w:r>
        <w:rPr>
          <w:rFonts w:hint="eastAsia" w:ascii="宋体"/>
          <w:bCs/>
          <w:color w:val="auto"/>
          <w:sz w:val="24"/>
          <w:highlight w:val="none"/>
        </w:rPr>
        <w:t>（2）法定代表人证明书、法定代表人签字或盖章的本投标文件授权委托证明书；</w:t>
      </w:r>
    </w:p>
    <w:p>
      <w:pPr>
        <w:spacing w:line="360" w:lineRule="auto"/>
        <w:ind w:firstLine="480" w:firstLineChars="200"/>
        <w:rPr>
          <w:rFonts w:ascii="宋体"/>
          <w:bCs/>
          <w:color w:val="auto"/>
          <w:sz w:val="24"/>
          <w:highlight w:val="none"/>
        </w:rPr>
      </w:pPr>
      <w:r>
        <w:rPr>
          <w:rFonts w:hint="eastAsia" w:ascii="宋体"/>
          <w:bCs/>
          <w:color w:val="auto"/>
          <w:sz w:val="24"/>
          <w:highlight w:val="none"/>
        </w:rPr>
        <w:t>（3）企业营业执照（取自平台内上传件）；</w:t>
      </w:r>
    </w:p>
    <w:p>
      <w:pPr>
        <w:spacing w:line="360" w:lineRule="auto"/>
        <w:ind w:firstLine="480" w:firstLineChars="200"/>
        <w:rPr>
          <w:rFonts w:ascii="宋体"/>
          <w:bCs/>
          <w:color w:val="auto"/>
          <w:sz w:val="24"/>
          <w:highlight w:val="none"/>
        </w:rPr>
      </w:pPr>
      <w:r>
        <w:rPr>
          <w:rFonts w:hint="eastAsia" w:ascii="宋体"/>
          <w:bCs/>
          <w:color w:val="auto"/>
          <w:sz w:val="24"/>
          <w:highlight w:val="none"/>
        </w:rPr>
        <w:t>（4）企业资质证书（取自平台内上传件）；</w:t>
      </w:r>
    </w:p>
    <w:p>
      <w:pPr>
        <w:spacing w:line="360" w:lineRule="auto"/>
        <w:ind w:firstLine="480" w:firstLineChars="200"/>
        <w:rPr>
          <w:rFonts w:ascii="宋体"/>
          <w:bCs/>
          <w:color w:val="auto"/>
          <w:sz w:val="24"/>
          <w:highlight w:val="none"/>
        </w:rPr>
      </w:pPr>
      <w:r>
        <w:rPr>
          <w:rFonts w:hint="eastAsia" w:ascii="宋体"/>
          <w:bCs/>
          <w:color w:val="auto"/>
          <w:sz w:val="24"/>
          <w:highlight w:val="none"/>
        </w:rPr>
        <w:t>（5）建筑施工企业安全生产许可证（取自平台内上传件）；</w:t>
      </w:r>
    </w:p>
    <w:p>
      <w:pPr>
        <w:spacing w:line="360" w:lineRule="auto"/>
        <w:ind w:firstLine="480" w:firstLineChars="200"/>
        <w:rPr>
          <w:rFonts w:ascii="宋体" w:hAnsi="宋体"/>
          <w:bCs/>
          <w:color w:val="auto"/>
          <w:sz w:val="24"/>
          <w:szCs w:val="24"/>
          <w:highlight w:val="none"/>
        </w:rPr>
      </w:pPr>
      <w:r>
        <w:rPr>
          <w:rFonts w:hint="eastAsia" w:ascii="宋体"/>
          <w:bCs/>
          <w:color w:val="auto"/>
          <w:sz w:val="24"/>
          <w:highlight w:val="none"/>
        </w:rPr>
        <w:t>（6）</w:t>
      </w:r>
      <w:r>
        <w:rPr>
          <w:rFonts w:hint="eastAsia" w:ascii="宋体" w:hAnsi="宋体"/>
          <w:bCs/>
          <w:color w:val="auto"/>
          <w:sz w:val="24"/>
          <w:szCs w:val="24"/>
          <w:highlight w:val="none"/>
        </w:rPr>
        <w:t>项目负责人（按网上投标登记时选择拟投标的项目负责人）</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（7）专职安全员（按网上投标登记时选择拟投标的专职安全员）</w:t>
      </w:r>
    </w:p>
    <w:p>
      <w:pPr>
        <w:spacing w:line="360" w:lineRule="auto"/>
        <w:ind w:firstLine="480" w:firstLineChars="200"/>
        <w:rPr>
          <w:rFonts w:ascii="宋体"/>
          <w:bCs/>
          <w:color w:val="auto"/>
          <w:sz w:val="24"/>
          <w:highlight w:val="none"/>
        </w:rPr>
      </w:pPr>
      <w:r>
        <w:rPr>
          <w:rFonts w:hint="eastAsia" w:ascii="宋体"/>
          <w:bCs/>
          <w:color w:val="auto"/>
          <w:sz w:val="24"/>
          <w:highlight w:val="none"/>
        </w:rPr>
        <w:t>（8）拟委托技术负责人的相关证书、资料（具体要求由招标人明确）</w:t>
      </w:r>
    </w:p>
    <w:p>
      <w:pPr>
        <w:spacing w:line="360" w:lineRule="auto"/>
        <w:ind w:firstLine="480" w:firstLineChars="200"/>
        <w:rPr>
          <w:rFonts w:ascii="宋体"/>
          <w:bCs/>
          <w:color w:val="auto"/>
          <w:sz w:val="24"/>
          <w:highlight w:val="none"/>
        </w:rPr>
      </w:pPr>
      <w:r>
        <w:rPr>
          <w:rFonts w:hint="eastAsia" w:ascii="宋体"/>
          <w:bCs/>
          <w:color w:val="auto"/>
          <w:sz w:val="24"/>
          <w:highlight w:val="none"/>
        </w:rPr>
        <w:t xml:space="preserve">（9）拟委派项目负责人的建造师注册证书或小型项目负责人相关证明（取自平台内上传件）； </w:t>
      </w:r>
    </w:p>
    <w:p>
      <w:pPr>
        <w:spacing w:line="360" w:lineRule="auto"/>
        <w:ind w:firstLine="480" w:firstLineChars="200"/>
        <w:rPr>
          <w:rFonts w:ascii="宋体"/>
          <w:bCs/>
          <w:color w:val="auto"/>
          <w:sz w:val="24"/>
          <w:highlight w:val="none"/>
        </w:rPr>
      </w:pPr>
      <w:r>
        <w:rPr>
          <w:rFonts w:hint="eastAsia" w:ascii="宋体"/>
          <w:bCs/>
          <w:color w:val="auto"/>
          <w:sz w:val="24"/>
          <w:highlight w:val="none"/>
        </w:rPr>
        <w:t>（10）项目负责人安全培训考核合格证明或在有效期内的安全考核合格证书（B类）或建筑施工企业项目负责人安全生产考核合格证书（取自平台内上传件）</w:t>
      </w:r>
      <w:r>
        <w:rPr>
          <w:rFonts w:hint="eastAsia" w:ascii="宋体"/>
          <w:bCs/>
          <w:color w:val="auto"/>
          <w:sz w:val="24"/>
          <w:szCs w:val="24"/>
          <w:highlight w:val="none"/>
        </w:rPr>
        <w:t>；</w:t>
      </w:r>
    </w:p>
    <w:p>
      <w:pPr>
        <w:spacing w:line="360" w:lineRule="auto"/>
        <w:ind w:firstLine="480" w:firstLineChars="200"/>
        <w:rPr>
          <w:rFonts w:ascii="宋体"/>
          <w:bCs/>
          <w:color w:val="auto"/>
          <w:sz w:val="24"/>
          <w:szCs w:val="24"/>
          <w:highlight w:val="none"/>
        </w:rPr>
      </w:pPr>
      <w:r>
        <w:rPr>
          <w:rFonts w:hint="eastAsia" w:ascii="宋体"/>
          <w:bCs/>
          <w:color w:val="auto"/>
          <w:sz w:val="24"/>
          <w:highlight w:val="none"/>
        </w:rPr>
        <w:t>（11）专职安全员须具有在有效期内的安全考核合格证书（C类）或建筑施工企业专职安全生产管理人员安全生产考核合格证书</w:t>
      </w:r>
      <w:r>
        <w:rPr>
          <w:rFonts w:hint="eastAsia" w:ascii="宋体"/>
          <w:bCs/>
          <w:color w:val="auto"/>
          <w:sz w:val="24"/>
          <w:szCs w:val="24"/>
          <w:highlight w:val="none"/>
        </w:rPr>
        <w:t>（取自平台内上传件）；</w:t>
      </w:r>
    </w:p>
    <w:p>
      <w:pPr>
        <w:spacing w:line="360" w:lineRule="auto"/>
        <w:ind w:firstLine="480" w:firstLineChars="200"/>
        <w:rPr>
          <w:rFonts w:ascii="宋体"/>
          <w:bCs/>
          <w:color w:val="auto"/>
          <w:sz w:val="24"/>
          <w:szCs w:val="24"/>
          <w:highlight w:val="none"/>
        </w:rPr>
      </w:pPr>
      <w:r>
        <w:rPr>
          <w:rFonts w:hint="eastAsia" w:ascii="宋体"/>
          <w:bCs/>
          <w:color w:val="auto"/>
          <w:sz w:val="24"/>
          <w:szCs w:val="24"/>
          <w:highlight w:val="none"/>
        </w:rPr>
        <w:t>（12）</w:t>
      </w:r>
      <w:r>
        <w:rPr>
          <w:rFonts w:hint="eastAsia" w:ascii="宋体" w:hAnsi="宋体"/>
          <w:bCs/>
          <w:color w:val="auto"/>
          <w:sz w:val="24"/>
          <w:szCs w:val="24"/>
          <w:highlight w:val="none"/>
        </w:rPr>
        <w:t>用于资格审查的业绩（设置业绩要求时选择此项，投标人</w:t>
      </w:r>
      <w:r>
        <w:rPr>
          <w:rFonts w:hint="eastAsia" w:ascii="宋体" w:hAnsi="宋体"/>
          <w:color w:val="auto"/>
          <w:sz w:val="24"/>
          <w:highlight w:val="none"/>
        </w:rPr>
        <w:t>须提供类似工程业绩的项目名称及项目编号，具体格式由招标人自定</w:t>
      </w:r>
      <w:r>
        <w:rPr>
          <w:rFonts w:hint="eastAsia" w:ascii="宋体" w:hAnsi="宋体"/>
          <w:bCs/>
          <w:color w:val="auto"/>
          <w:sz w:val="24"/>
          <w:szCs w:val="24"/>
          <w:highlight w:val="none"/>
        </w:rPr>
        <w:t>）；</w:t>
      </w:r>
    </w:p>
    <w:p>
      <w:pPr>
        <w:spacing w:line="360" w:lineRule="auto"/>
        <w:ind w:firstLine="480" w:firstLineChars="200"/>
        <w:rPr>
          <w:rFonts w:ascii="宋体"/>
          <w:bCs/>
          <w:color w:val="auto"/>
          <w:sz w:val="24"/>
          <w:highlight w:val="none"/>
        </w:rPr>
      </w:pPr>
      <w:r>
        <w:rPr>
          <w:rFonts w:hint="eastAsia" w:ascii="宋体"/>
          <w:bCs/>
          <w:color w:val="auto"/>
          <w:sz w:val="24"/>
          <w:highlight w:val="none"/>
        </w:rPr>
        <w:t>（13）资格审查前，投标人须在广州市住房和城乡建设局建立企业信用档案，拟担任本工程项目负责人、专职安全员须是本企业信用档案中的在册人员。</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（14）列明主办单位的联合体工作协议（采用联合体投标时需递交，投标人拟任本工程项目负责人应为联合体主办方信用档案中的在册人员，</w:t>
      </w:r>
      <w:r>
        <w:rPr>
          <w:rFonts w:hint="eastAsia" w:ascii="宋体" w:hAnsi="宋体"/>
          <w:color w:val="auto"/>
          <w:sz w:val="24"/>
          <w:szCs w:val="24"/>
          <w:highlight w:val="none"/>
        </w:rPr>
        <w:t>联合体工作协议应明确约定各方拟承担的工作和责任</w:t>
      </w:r>
      <w:r>
        <w:rPr>
          <w:rFonts w:hint="eastAsia" w:ascii="宋体" w:hAnsi="宋体"/>
          <w:bCs/>
          <w:color w:val="auto"/>
          <w:sz w:val="24"/>
          <w:szCs w:val="24"/>
          <w:highlight w:val="none"/>
        </w:rPr>
        <w:t xml:space="preserve">）； </w:t>
      </w:r>
    </w:p>
    <w:p>
      <w:pPr>
        <w:spacing w:line="360" w:lineRule="auto"/>
        <w:ind w:firstLine="480" w:firstLineChars="200"/>
        <w:rPr>
          <w:rFonts w:ascii="宋体"/>
          <w:bCs/>
          <w:color w:val="auto"/>
          <w:sz w:val="24"/>
          <w:highlight w:val="none"/>
        </w:rPr>
      </w:pPr>
      <w:r>
        <w:rPr>
          <w:rFonts w:hint="eastAsia" w:ascii="宋体" w:hAnsi="宋体"/>
          <w:bCs/>
          <w:color w:val="auto"/>
          <w:sz w:val="24"/>
          <w:szCs w:val="24"/>
          <w:highlight w:val="none"/>
        </w:rPr>
        <w:t>（15）</w:t>
      </w:r>
      <w:r>
        <w:rPr>
          <w:rFonts w:hint="eastAsia" w:ascii="宋体" w:hAnsi="宋体"/>
          <w:color w:val="auto"/>
          <w:sz w:val="24"/>
          <w:szCs w:val="24"/>
          <w:highlight w:val="none"/>
        </w:rPr>
        <w:t>投标人具有在广州地区可使用适合本工程的机械设备的证明文件（</w:t>
      </w:r>
      <w:r>
        <w:rPr>
          <w:rFonts w:hint="eastAsia" w:ascii="宋体" w:hAnsi="宋体"/>
          <w:color w:val="auto"/>
          <w:sz w:val="24"/>
          <w:highlight w:val="none"/>
        </w:rPr>
        <w:t>提供沥青摊铺机自有发票或权属证明及设备现场全貌彩照（彩照须能反映其规格型号）</w:t>
      </w:r>
      <w:r>
        <w:rPr>
          <w:rFonts w:hint="eastAsia" w:ascii="宋体" w:hAnsi="宋体"/>
          <w:color w:val="auto"/>
          <w:sz w:val="24"/>
          <w:szCs w:val="24"/>
          <w:highlight w:val="none"/>
        </w:rPr>
        <w:t>）。（含有市政道路面层沥青摊铺且沥青摊铺占预计发包价50%或以上的大、中修市政公用工程需提供该项内容的证明文件）。</w:t>
      </w:r>
    </w:p>
    <w:p>
      <w:pPr>
        <w:spacing w:line="360" w:lineRule="auto"/>
        <w:ind w:firstLine="480" w:firstLineChars="200"/>
        <w:rPr>
          <w:rFonts w:ascii="宋体"/>
          <w:color w:val="auto"/>
          <w:sz w:val="24"/>
          <w:highlight w:val="none"/>
        </w:rPr>
      </w:pPr>
      <w:r>
        <w:rPr>
          <w:rFonts w:ascii="宋体" w:hAnsi="宋体"/>
          <w:color w:val="auto"/>
          <w:sz w:val="24"/>
          <w:highlight w:val="none"/>
        </w:rPr>
        <w:t>11.2.3</w:t>
      </w:r>
      <w:r>
        <w:rPr>
          <w:rFonts w:hint="eastAsia" w:ascii="宋体" w:hAnsi="宋体"/>
          <w:color w:val="auto"/>
          <w:sz w:val="24"/>
          <w:highlight w:val="none"/>
        </w:rPr>
        <w:t>项目管理机构配备。</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）投标人应列出该项目工程的施工组织机构构成和画出机构框架图及其负责人；</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）投标人应详细列出该施工组织机构中主要成员的名单、简历资料、职务职称和在本项目中拟担任的职务等资料，并附上有关证明材料扫描件；</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）其他辅助说明资料。</w:t>
      </w:r>
    </w:p>
    <w:p>
      <w:pPr>
        <w:spacing w:line="360" w:lineRule="auto"/>
        <w:ind w:firstLine="480" w:firstLineChars="200"/>
        <w:rPr>
          <w:rFonts w:ascii="宋体"/>
          <w:color w:val="auto"/>
          <w:sz w:val="24"/>
          <w:highlight w:val="none"/>
        </w:rPr>
      </w:pPr>
      <w:r>
        <w:rPr>
          <w:rFonts w:ascii="宋体" w:hAnsi="宋体"/>
          <w:color w:val="auto"/>
          <w:sz w:val="24"/>
          <w:highlight w:val="none"/>
        </w:rPr>
        <w:t>11.2.4</w:t>
      </w:r>
      <w:r>
        <w:rPr>
          <w:rFonts w:hint="eastAsia" w:ascii="宋体" w:hAnsi="宋体"/>
          <w:color w:val="auto"/>
          <w:sz w:val="24"/>
          <w:highlight w:val="none"/>
        </w:rPr>
        <w:t>投标人在广州市可使用适合本工程的机械设备（附：机械设备为自有或租赁的说明；及承诺机械设备如属于租赁的，其租赁是不属于重复租赁）。</w:t>
      </w:r>
    </w:p>
    <w:p>
      <w:pPr>
        <w:tabs>
          <w:tab w:val="left" w:pos="1125"/>
        </w:tabs>
        <w:spacing w:line="360" w:lineRule="auto"/>
        <w:ind w:firstLine="480" w:firstLineChars="200"/>
        <w:rPr>
          <w:rFonts w:ascii="宋体"/>
          <w:color w:val="auto"/>
          <w:sz w:val="24"/>
          <w:highlight w:val="none"/>
        </w:rPr>
      </w:pPr>
      <w:r>
        <w:rPr>
          <w:rFonts w:ascii="宋体" w:hAnsi="宋体"/>
          <w:color w:val="auto"/>
          <w:sz w:val="24"/>
          <w:highlight w:val="none"/>
        </w:rPr>
        <w:t>11.2.5</w:t>
      </w:r>
      <w:r>
        <w:rPr>
          <w:rFonts w:hint="eastAsia" w:ascii="宋体" w:hAnsi="宋体"/>
          <w:color w:val="auto"/>
          <w:sz w:val="24"/>
          <w:highlight w:val="none"/>
        </w:rPr>
        <w:t>施工组织设计或施工方案。（投标人在编制施工组织设计或施工方案时应按照招标人提出的施工现场建筑垃圾源头减量的具体要求以及建筑垃圾综合利用产品的使用要求提供相应措施。）</w:t>
      </w:r>
    </w:p>
    <w:p>
      <w:pPr>
        <w:tabs>
          <w:tab w:val="left" w:pos="1125"/>
        </w:tabs>
        <w:spacing w:line="360" w:lineRule="auto"/>
        <w:ind w:firstLine="480" w:firstLineChars="200"/>
        <w:rPr>
          <w:rFonts w:ascii="宋体"/>
          <w:color w:val="auto"/>
          <w:sz w:val="24"/>
          <w:highlight w:val="none"/>
        </w:rPr>
      </w:pPr>
      <w:r>
        <w:rPr>
          <w:rFonts w:ascii="宋体" w:hAnsi="宋体"/>
          <w:color w:val="auto"/>
          <w:sz w:val="24"/>
          <w:highlight w:val="none"/>
        </w:rPr>
        <w:t>11.2.</w:t>
      </w:r>
      <w:r>
        <w:rPr>
          <w:rFonts w:hint="eastAsia" w:ascii="宋体" w:hAnsi="宋体"/>
          <w:color w:val="auto"/>
          <w:sz w:val="24"/>
          <w:highlight w:val="none"/>
        </w:rPr>
        <w:t>6按照</w:t>
      </w:r>
      <w:r>
        <w:rPr>
          <w:rFonts w:hint="eastAsia" w:ascii="宋体" w:hAnsi="宋体"/>
          <w:bCs/>
          <w:color w:val="auto"/>
          <w:sz w:val="24"/>
          <w:highlight w:val="none"/>
        </w:rPr>
        <w:t>招标文件要求</w:t>
      </w:r>
      <w:r>
        <w:rPr>
          <w:rFonts w:hint="eastAsia" w:ascii="宋体" w:hAnsi="宋体"/>
          <w:color w:val="auto"/>
          <w:sz w:val="24"/>
          <w:highlight w:val="none"/>
        </w:rPr>
        <w:t>填写的《参与编制技术标投标文件人员名单》。</w:t>
      </w:r>
    </w:p>
    <w:p>
      <w:pPr>
        <w:spacing w:line="360" w:lineRule="auto"/>
        <w:ind w:firstLine="480" w:firstLineChars="200"/>
        <w:rPr>
          <w:rFonts w:ascii="宋体"/>
          <w:bCs/>
          <w:color w:val="auto"/>
          <w:sz w:val="24"/>
          <w:highlight w:val="none"/>
        </w:rPr>
      </w:pPr>
      <w:r>
        <w:rPr>
          <w:rFonts w:ascii="宋体" w:hAnsi="宋体"/>
          <w:bCs/>
          <w:color w:val="auto"/>
          <w:sz w:val="24"/>
          <w:highlight w:val="none"/>
        </w:rPr>
        <w:t xml:space="preserve">11.3 </w:t>
      </w:r>
      <w:r>
        <w:rPr>
          <w:rFonts w:hint="eastAsia" w:ascii="宋体" w:hAnsi="宋体"/>
          <w:bCs/>
          <w:color w:val="auto"/>
          <w:sz w:val="24"/>
          <w:highlight w:val="none"/>
        </w:rPr>
        <w:t>经济部分投标文件主要包括下列内容：</w:t>
      </w:r>
    </w:p>
    <w:p>
      <w:pPr>
        <w:spacing w:line="360" w:lineRule="auto"/>
        <w:ind w:firstLine="480" w:firstLineChars="200"/>
        <w:rPr>
          <w:rFonts w:ascii="宋体"/>
          <w:color w:val="auto"/>
          <w:sz w:val="24"/>
          <w:highlight w:val="none"/>
        </w:rPr>
      </w:pPr>
      <w:r>
        <w:rPr>
          <w:rFonts w:ascii="宋体" w:hAnsi="宋体"/>
          <w:color w:val="auto"/>
          <w:sz w:val="24"/>
          <w:highlight w:val="none"/>
        </w:rPr>
        <w:t xml:space="preserve">11.3.1 </w:t>
      </w:r>
      <w:r>
        <w:rPr>
          <w:rFonts w:hint="eastAsia" w:ascii="宋体" w:hAnsi="宋体"/>
          <w:color w:val="auto"/>
          <w:sz w:val="24"/>
          <w:highlight w:val="none"/>
        </w:rPr>
        <w:t>经济投标文件</w:t>
      </w:r>
      <w:r>
        <w:rPr>
          <w:rFonts w:ascii="宋体" w:hAnsi="宋体"/>
          <w:color w:val="auto"/>
          <w:sz w:val="24"/>
          <w:highlight w:val="none"/>
        </w:rPr>
        <w:t>(</w:t>
      </w:r>
      <w:r>
        <w:rPr>
          <w:rFonts w:hint="eastAsia" w:ascii="宋体" w:hAnsi="宋体"/>
          <w:color w:val="auto"/>
          <w:sz w:val="24"/>
          <w:highlight w:val="none"/>
        </w:rPr>
        <w:t>按招标文件的要求填写</w:t>
      </w:r>
      <w:r>
        <w:rPr>
          <w:rFonts w:ascii="宋体" w:hAnsi="宋体"/>
          <w:color w:val="auto"/>
          <w:sz w:val="24"/>
          <w:highlight w:val="none"/>
        </w:rPr>
        <w:t>)</w:t>
      </w:r>
      <w:r>
        <w:rPr>
          <w:rFonts w:hint="eastAsia" w:ascii="宋体" w:hAnsi="宋体"/>
          <w:color w:val="auto"/>
          <w:sz w:val="24"/>
          <w:highlight w:val="none"/>
        </w:rPr>
        <w:t>。</w:t>
      </w:r>
    </w:p>
    <w:p>
      <w:pPr>
        <w:spacing w:line="360" w:lineRule="auto"/>
        <w:ind w:firstLine="480" w:firstLineChars="200"/>
        <w:rPr>
          <w:rFonts w:ascii="宋体"/>
          <w:color w:val="auto"/>
          <w:sz w:val="24"/>
          <w:highlight w:val="none"/>
        </w:rPr>
      </w:pPr>
      <w:r>
        <w:rPr>
          <w:rFonts w:ascii="宋体" w:hAnsi="宋体"/>
          <w:color w:val="auto"/>
          <w:sz w:val="24"/>
          <w:highlight w:val="none"/>
        </w:rPr>
        <w:t>11.3.2</w:t>
      </w:r>
      <w:r>
        <w:rPr>
          <w:rFonts w:hint="eastAsia" w:ascii="宋体" w:hAnsi="宋体"/>
          <w:color w:val="auto"/>
          <w:sz w:val="24"/>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color w:val="auto"/>
          <w:sz w:val="24"/>
          <w:szCs w:val="24"/>
          <w:highlight w:val="none"/>
        </w:rPr>
        <w:t>其中包括如下：</w:t>
      </w:r>
      <w:r>
        <w:rPr>
          <w:rFonts w:ascii="宋体"/>
          <w:color w:val="auto"/>
          <w:sz w:val="24"/>
          <w:highlight w:val="none"/>
        </w:rPr>
        <w:t xml:space="preserve"> </w:t>
      </w:r>
    </w:p>
    <w:p>
      <w:pPr>
        <w:spacing w:line="360" w:lineRule="auto"/>
        <w:ind w:firstLine="566" w:firstLineChars="236"/>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）投标总价封面、扉页；</w:t>
      </w:r>
    </w:p>
    <w:p>
      <w:pPr>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）总说明</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（3）工程项目投标报价汇总表；</w:t>
      </w:r>
    </w:p>
    <w:p>
      <w:pPr>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（4）单项工程投标报价汇总表；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（5）单位工程投标报价汇总表；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（6）分部分项工程清单与计价表；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（7）单价措施项目清单与计价表；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（8）总价措施项目清单与计价表；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（9）综合单价分析表；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（10）其他项目清单与计价汇总表；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（11）暂列金额明细表；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（12）材料（工程设备）暂估价明细表；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（13）专业工程暂估价明细表；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（14）计日工表；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（15）总承包服务计价表；</w:t>
      </w:r>
    </w:p>
    <w:p>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（16）规费和税金项目计价表；</w:t>
      </w:r>
    </w:p>
    <w:p>
      <w:pPr>
        <w:spacing w:line="360" w:lineRule="auto"/>
        <w:ind w:firstLine="480" w:firstLineChars="200"/>
        <w:rPr>
          <w:rFonts w:ascii="宋体"/>
          <w:color w:val="auto"/>
          <w:sz w:val="24"/>
          <w:highlight w:val="none"/>
        </w:rPr>
      </w:pPr>
      <w:r>
        <w:rPr>
          <w:rFonts w:hint="eastAsia" w:ascii="宋体" w:hAnsi="宋体"/>
          <w:color w:val="auto"/>
          <w:sz w:val="24"/>
          <w:szCs w:val="24"/>
          <w:highlight w:val="none"/>
        </w:rPr>
        <w:t xml:space="preserve"> （17）人工、主要材料和设备一览表</w:t>
      </w:r>
    </w:p>
    <w:p>
      <w:pPr>
        <w:tabs>
          <w:tab w:val="left" w:pos="1125"/>
        </w:tabs>
        <w:spacing w:line="360" w:lineRule="auto"/>
        <w:ind w:firstLine="480" w:firstLineChars="200"/>
        <w:rPr>
          <w:rFonts w:ascii="宋体" w:hAnsi="宋体"/>
          <w:color w:val="auto"/>
          <w:sz w:val="24"/>
          <w:highlight w:val="none"/>
        </w:rPr>
      </w:pPr>
      <w:r>
        <w:rPr>
          <w:rFonts w:ascii="宋体" w:hAnsi="宋体"/>
          <w:color w:val="auto"/>
          <w:sz w:val="24"/>
          <w:highlight w:val="none"/>
        </w:rPr>
        <w:t>11.3.</w:t>
      </w:r>
      <w:r>
        <w:rPr>
          <w:rFonts w:hint="eastAsia" w:ascii="宋体" w:hAnsi="宋体"/>
          <w:color w:val="auto"/>
          <w:sz w:val="24"/>
          <w:highlight w:val="none"/>
        </w:rPr>
        <w:t>3按照</w:t>
      </w:r>
      <w:r>
        <w:rPr>
          <w:rFonts w:hint="eastAsia" w:ascii="宋体" w:hAnsi="宋体"/>
          <w:bCs/>
          <w:color w:val="auto"/>
          <w:sz w:val="24"/>
          <w:highlight w:val="none"/>
        </w:rPr>
        <w:t>招标文件要求</w:t>
      </w:r>
      <w:r>
        <w:rPr>
          <w:rFonts w:hint="eastAsia" w:ascii="宋体" w:hAnsi="宋体"/>
          <w:color w:val="auto"/>
          <w:sz w:val="24"/>
          <w:highlight w:val="none"/>
        </w:rPr>
        <w:t>填写的《参与编制经济标投标文件人员名单》。</w:t>
      </w:r>
    </w:p>
    <w:p>
      <w:pPr>
        <w:tabs>
          <w:tab w:val="left" w:pos="112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11.3.4若投标人的投标报价低于工程成本警戒价的，投标人还须提供详细的施工组织设计、单价、措施性费用、单价分析表、主要材料价格表、投标人成本分析供评标委员会评审。</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12</w:t>
      </w:r>
      <w:r>
        <w:rPr>
          <w:rFonts w:hint="eastAsia" w:ascii="宋体" w:hAnsi="宋体"/>
          <w:b/>
          <w:bCs/>
          <w:color w:val="auto"/>
          <w:sz w:val="24"/>
          <w:highlight w:val="none"/>
        </w:rPr>
        <w:t>．投标文件格式</w:t>
      </w:r>
    </w:p>
    <w:p>
      <w:pPr>
        <w:pStyle w:val="39"/>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12.1 </w:t>
      </w:r>
      <w:r>
        <w:rPr>
          <w:rFonts w:hint="eastAsia" w:ascii="宋体" w:hAnsi="宋体"/>
          <w:color w:val="auto"/>
          <w:sz w:val="24"/>
          <w:highlight w:val="none"/>
        </w:rPr>
        <w:t>投标文件包括本须知第</w:t>
      </w:r>
      <w:r>
        <w:rPr>
          <w:rFonts w:ascii="宋体" w:hAnsi="宋体"/>
          <w:color w:val="auto"/>
          <w:sz w:val="24"/>
          <w:highlight w:val="none"/>
        </w:rPr>
        <w:t>11</w:t>
      </w:r>
      <w:r>
        <w:rPr>
          <w:rFonts w:hint="eastAsia" w:ascii="宋体" w:hAnsi="宋体"/>
          <w:color w:val="auto"/>
          <w:sz w:val="24"/>
          <w:highlight w:val="none"/>
        </w:rPr>
        <w:t>条中规定的内容，投标人提交的投标文件应当使用招标文件所提供的投标文件全部格式（表格可以按同样格式扩展）。</w:t>
      </w:r>
    </w:p>
    <w:p>
      <w:pPr>
        <w:pStyle w:val="39"/>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w:t>
      </w:r>
      <w:r>
        <w:rPr>
          <w:rFonts w:hint="eastAsia"/>
          <w:color w:val="auto"/>
          <w:sz w:val="24"/>
          <w:szCs w:val="24"/>
          <w:highlight w:val="none"/>
        </w:rPr>
        <w:t>全流程电子化项目的相关指南进行操作。详见：</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rPr>
        <w:t xml:space="preserve"> 。</w:t>
      </w:r>
    </w:p>
    <w:p>
      <w:pPr>
        <w:pStyle w:val="39"/>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12.3 </w:t>
      </w:r>
      <w:r>
        <w:rPr>
          <w:rFonts w:hint="eastAsia" w:ascii="宋体" w:hAnsi="宋体"/>
          <w:bCs/>
          <w:color w:val="auto"/>
          <w:sz w:val="24"/>
          <w:szCs w:val="24"/>
          <w:highlight w:val="none"/>
        </w:rPr>
        <w:t>投标文件应按</w:t>
      </w:r>
      <w:r>
        <w:rPr>
          <w:rFonts w:hint="eastAsia" w:ascii="宋体" w:hAnsi="宋体"/>
          <w:color w:val="auto"/>
          <w:sz w:val="24"/>
          <w:highlight w:val="none"/>
        </w:rPr>
        <w:t>照交易平台关于全流程电子化项目的相关指南进行编制，详见：</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ascii="宋体" w:hAnsi="宋体"/>
          <w:color w:val="auto"/>
          <w:sz w:val="24"/>
          <w:highlight w:val="none"/>
        </w:rPr>
        <w:t xml:space="preserve">。               </w:t>
      </w:r>
    </w:p>
    <w:p>
      <w:pPr>
        <w:pStyle w:val="39"/>
        <w:spacing w:after="0" w:line="360" w:lineRule="auto"/>
        <w:ind w:firstLine="240"/>
        <w:rPr>
          <w:rFonts w:ascii="宋体" w:hAnsi="宋体"/>
          <w:color w:val="auto"/>
          <w:sz w:val="24"/>
          <w:highlight w:val="none"/>
        </w:rPr>
      </w:pPr>
      <w:r>
        <w:rPr>
          <w:rFonts w:hint="eastAsia" w:ascii="宋体" w:hAnsi="宋体"/>
          <w:bCs/>
          <w:color w:val="auto"/>
          <w:sz w:val="24"/>
          <w:szCs w:val="24"/>
          <w:highlight w:val="none"/>
        </w:rPr>
        <w:t>如不按上述要求编制引起系统无法检索、读取相关信息的，其后果由投标人承担。</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13</w:t>
      </w:r>
      <w:r>
        <w:rPr>
          <w:rFonts w:hint="eastAsia" w:ascii="宋体" w:hAnsi="宋体"/>
          <w:b/>
          <w:bCs/>
          <w:color w:val="auto"/>
          <w:sz w:val="24"/>
          <w:highlight w:val="none"/>
        </w:rPr>
        <w:t>．投标报价及造价承包和变更结算方式</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13.1 </w:t>
      </w:r>
      <w:r>
        <w:rPr>
          <w:rFonts w:hint="eastAsia" w:ascii="宋体" w:hAnsi="宋体"/>
          <w:color w:val="auto"/>
          <w:sz w:val="24"/>
          <w:highlight w:val="none"/>
        </w:rPr>
        <w:t>本工程的投标报价采用投标须知前附表第</w:t>
      </w:r>
      <w:r>
        <w:rPr>
          <w:rFonts w:ascii="宋体" w:hAnsi="宋体"/>
          <w:color w:val="auto"/>
          <w:sz w:val="24"/>
          <w:highlight w:val="none"/>
        </w:rPr>
        <w:t>12</w:t>
      </w:r>
      <w:r>
        <w:rPr>
          <w:rFonts w:hint="eastAsia" w:ascii="宋体" w:hAnsi="宋体"/>
          <w:color w:val="auto"/>
          <w:sz w:val="24"/>
          <w:highlight w:val="none"/>
        </w:rPr>
        <w:t>项所规定的方式。投标报价（含单价及总价）精确到“分”。</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13.2</w:t>
      </w:r>
      <w:r>
        <w:rPr>
          <w:rFonts w:hint="eastAsia" w:ascii="宋体" w:hAnsi="宋体"/>
          <w:color w:val="auto"/>
          <w:sz w:val="24"/>
          <w:highlight w:val="none"/>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13.3</w:t>
      </w:r>
      <w:r>
        <w:rPr>
          <w:rFonts w:hint="eastAsia" w:ascii="宋体" w:hAnsi="宋体"/>
          <w:color w:val="auto"/>
          <w:sz w:val="24"/>
          <w:highlight w:val="none"/>
        </w:rPr>
        <w:t>投标人的投标报价，应是按照投标须知前附表第</w:t>
      </w:r>
      <w:r>
        <w:rPr>
          <w:rFonts w:ascii="宋体" w:hAnsi="宋体"/>
          <w:color w:val="auto"/>
          <w:sz w:val="24"/>
          <w:highlight w:val="none"/>
        </w:rPr>
        <w:t>8</w:t>
      </w:r>
      <w:r>
        <w:rPr>
          <w:rFonts w:hint="eastAsia" w:ascii="宋体" w:hAnsi="宋体"/>
          <w:color w:val="auto"/>
          <w:sz w:val="24"/>
          <w:highlight w:val="none"/>
        </w:rPr>
        <w:t>项的工期要求，在投标须知前附表第</w:t>
      </w:r>
      <w:r>
        <w:rPr>
          <w:rFonts w:ascii="宋体" w:hAnsi="宋体"/>
          <w:color w:val="auto"/>
          <w:sz w:val="24"/>
          <w:highlight w:val="none"/>
        </w:rPr>
        <w:t>3</w:t>
      </w:r>
      <w:r>
        <w:rPr>
          <w:rFonts w:hint="eastAsia" w:ascii="宋体" w:hAnsi="宋体"/>
          <w:color w:val="auto"/>
          <w:sz w:val="24"/>
          <w:highlight w:val="none"/>
        </w:rPr>
        <w:t>项的建设地点，完成投标须知前附表第</w:t>
      </w:r>
      <w:r>
        <w:rPr>
          <w:rFonts w:ascii="宋体" w:hAnsi="宋体"/>
          <w:color w:val="auto"/>
          <w:sz w:val="24"/>
          <w:highlight w:val="none"/>
        </w:rPr>
        <w:t>7</w:t>
      </w:r>
      <w:r>
        <w:rPr>
          <w:rFonts w:hint="eastAsia" w:ascii="宋体" w:hAnsi="宋体"/>
          <w:color w:val="auto"/>
          <w:sz w:val="24"/>
          <w:highlight w:val="none"/>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color w:val="auto"/>
          <w:sz w:val="24"/>
          <w:szCs w:val="24"/>
          <w:highlight w:val="none"/>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13.4</w:t>
      </w:r>
      <w:r>
        <w:rPr>
          <w:rFonts w:hint="eastAsia" w:ascii="宋体" w:hAnsi="宋体"/>
          <w:color w:val="auto"/>
          <w:sz w:val="24"/>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13.5</w:t>
      </w:r>
      <w:r>
        <w:rPr>
          <w:rFonts w:hint="eastAsia" w:ascii="宋体" w:hAnsi="宋体"/>
          <w:color w:val="auto"/>
          <w:sz w:val="24"/>
          <w:highlight w:val="none"/>
        </w:rPr>
        <w:t>工程项目实施期间和结算时，招标文件工程量清单中漏列而由监理单位和招标人现场签证确认的工程项目、原设计没有而由招标人批准设计变更产生的工程项目，视为新增项目，按以下顺序确定价格：</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13.5.1</w:t>
      </w:r>
      <w:r>
        <w:rPr>
          <w:rFonts w:hint="eastAsia" w:ascii="宋体" w:hAnsi="宋体"/>
          <w:color w:val="auto"/>
          <w:sz w:val="24"/>
          <w:highlight w:val="none"/>
        </w:rPr>
        <w:t>中标的投标文件工程量清单中已有相同项目的适用综合单价，则沿用；</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13.5.2</w:t>
      </w:r>
      <w:r>
        <w:rPr>
          <w:rFonts w:hint="eastAsia" w:ascii="宋体" w:hAnsi="宋体"/>
          <w:color w:val="auto"/>
          <w:sz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13.5.3 </w:t>
      </w:r>
      <w:r>
        <w:rPr>
          <w:rFonts w:hint="eastAsia" w:ascii="宋体" w:hAnsi="宋体"/>
          <w:color w:val="auto"/>
          <w:sz w:val="24"/>
          <w:highlight w:val="none"/>
        </w:rPr>
        <w:t>中标的投标文件工程量清单中没有相同项目或类似项目的，如可套取相关定额，则以相关定额为基数下浮计算单价</w:t>
      </w:r>
      <w:r>
        <w:rPr>
          <w:rFonts w:ascii="宋体"/>
          <w:color w:val="auto"/>
          <w:sz w:val="24"/>
          <w:highlight w:val="none"/>
        </w:rPr>
        <w:t>,</w:t>
      </w:r>
      <w:r>
        <w:rPr>
          <w:rFonts w:hint="eastAsia" w:ascii="宋体" w:hAnsi="宋体"/>
          <w:color w:val="auto"/>
          <w:sz w:val="24"/>
          <w:highlight w:val="none"/>
        </w:rPr>
        <w:t>下浮率为中标价</w:t>
      </w:r>
      <w:r>
        <w:rPr>
          <w:rFonts w:hint="eastAsia" w:ascii="宋体" w:hAnsi="宋体"/>
          <w:color w:val="auto"/>
          <w:sz w:val="24"/>
          <w:szCs w:val="24"/>
          <w:highlight w:val="none"/>
        </w:rPr>
        <w:t>相对于最高投标限价的下</w:t>
      </w:r>
      <w:r>
        <w:rPr>
          <w:rFonts w:hint="eastAsia" w:ascii="宋体" w:hAnsi="宋体"/>
          <w:color w:val="auto"/>
          <w:sz w:val="24"/>
          <w:highlight w:val="none"/>
        </w:rPr>
        <w:t>浮率（下浮率</w:t>
      </w:r>
      <w:r>
        <w:rPr>
          <w:rFonts w:ascii="宋体" w:hAnsi="宋体"/>
          <w:color w:val="auto"/>
          <w:sz w:val="24"/>
          <w:highlight w:val="none"/>
        </w:rPr>
        <w:t>=(</w:t>
      </w:r>
      <w:r>
        <w:rPr>
          <w:rFonts w:hint="eastAsia" w:ascii="宋体" w:hAnsi="宋体"/>
          <w:color w:val="auto"/>
          <w:sz w:val="24"/>
          <w:szCs w:val="24"/>
          <w:highlight w:val="none"/>
        </w:rPr>
        <w:t>最高投标限价</w:t>
      </w:r>
      <w:r>
        <w:rPr>
          <w:rFonts w:ascii="宋体"/>
          <w:color w:val="auto"/>
          <w:sz w:val="24"/>
          <w:highlight w:val="none"/>
        </w:rPr>
        <w:t>-</w:t>
      </w:r>
      <w:r>
        <w:rPr>
          <w:rFonts w:hint="eastAsia" w:ascii="宋体" w:hAnsi="宋体"/>
          <w:color w:val="auto"/>
          <w:sz w:val="24"/>
          <w:highlight w:val="none"/>
        </w:rPr>
        <w:t>中标价</w:t>
      </w:r>
      <w:r>
        <w:rPr>
          <w:rFonts w:ascii="宋体" w:hAnsi="宋体"/>
          <w:color w:val="auto"/>
          <w:sz w:val="24"/>
          <w:highlight w:val="none"/>
        </w:rPr>
        <w:t>)/</w:t>
      </w:r>
      <w:r>
        <w:rPr>
          <w:rFonts w:ascii="宋体" w:hAnsi="宋体"/>
          <w:color w:val="auto"/>
          <w:sz w:val="24"/>
          <w:szCs w:val="24"/>
          <w:highlight w:val="none"/>
        </w:rPr>
        <w:t xml:space="preserve"> </w:t>
      </w:r>
      <w:r>
        <w:rPr>
          <w:rFonts w:hint="eastAsia" w:ascii="宋体" w:hAnsi="宋体"/>
          <w:color w:val="auto"/>
          <w:sz w:val="24"/>
          <w:szCs w:val="24"/>
          <w:highlight w:val="none"/>
        </w:rPr>
        <w:t>最高投标限价</w:t>
      </w:r>
      <w:r>
        <w:rPr>
          <w:rFonts w:hint="eastAsia" w:ascii="宋体" w:hAnsi="宋体"/>
          <w:color w:val="auto"/>
          <w:sz w:val="24"/>
          <w:highlight w:val="none"/>
        </w:rPr>
        <w:t>）。</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13.5.4 </w:t>
      </w:r>
      <w:r>
        <w:rPr>
          <w:rFonts w:hint="eastAsia" w:ascii="宋体" w:hAnsi="宋体"/>
          <w:color w:val="auto"/>
          <w:sz w:val="24"/>
          <w:highlight w:val="none"/>
        </w:rPr>
        <w:t>如相关定额没有相应子目的，其计价方式由招标人在本招标文件第三章中另行规定。未规定的，中标后双方协商约定。</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13.6</w:t>
      </w:r>
      <w:r>
        <w:rPr>
          <w:rFonts w:hint="eastAsia" w:ascii="宋体" w:hAnsi="宋体"/>
          <w:color w:val="auto"/>
          <w:sz w:val="24"/>
          <w:highlight w:val="none"/>
        </w:rPr>
        <w:t>暂列金额、暂估价</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13.6.1</w:t>
      </w:r>
      <w:r>
        <w:rPr>
          <w:rFonts w:hint="eastAsia" w:ascii="宋体" w:hAnsi="宋体"/>
          <w:color w:val="auto"/>
          <w:sz w:val="24"/>
          <w:highlight w:val="none"/>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pPr>
        <w:pStyle w:val="39"/>
        <w:spacing w:after="0" w:line="360" w:lineRule="auto"/>
        <w:ind w:firstLine="480" w:firstLineChars="200"/>
        <w:rPr>
          <w:rFonts w:ascii="宋体"/>
          <w:color w:val="auto"/>
          <w:sz w:val="24"/>
          <w:highlight w:val="none"/>
        </w:rPr>
      </w:pPr>
      <w:r>
        <w:rPr>
          <w:rFonts w:hint="eastAsia" w:ascii="宋体" w:hAnsi="宋体"/>
          <w:color w:val="auto"/>
          <w:sz w:val="24"/>
          <w:highlight w:val="none"/>
        </w:rPr>
        <w:t>暂估价是指招标人在工程量清单中提供的用于支付必然发生但暂时不能确定价格的材料的单价以及专业工程的金额。</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13.6.2</w:t>
      </w:r>
      <w:r>
        <w:rPr>
          <w:rFonts w:hint="eastAsia" w:ascii="宋体" w:hAnsi="宋体"/>
          <w:color w:val="auto"/>
          <w:sz w:val="24"/>
          <w:highlight w:val="none"/>
        </w:rPr>
        <w:t>在工程实施中，暂列金额、暂估价所包含的工作范围和图纸、标准深化固定后，按照工程专业、设备、材料类别等分类汇总的金额，达到法定招标范围标准的，应由招标人同中标人联合招标，确定承包人和承包价格。</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13.6.3</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13.6.4</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ascii="宋体" w:hAnsi="宋体"/>
          <w:color w:val="auto"/>
          <w:sz w:val="24"/>
          <w:highlight w:val="none"/>
        </w:rPr>
        <w:t>13.5</w:t>
      </w:r>
      <w:r>
        <w:rPr>
          <w:rFonts w:hint="eastAsia" w:ascii="宋体" w:hAnsi="宋体"/>
          <w:color w:val="auto"/>
          <w:sz w:val="24"/>
          <w:highlight w:val="none"/>
        </w:rPr>
        <w:t>款规定确定。</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13.6.5</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13.6.6 </w:t>
      </w:r>
      <w:r>
        <w:rPr>
          <w:rFonts w:hint="eastAsia" w:ascii="宋体" w:hAnsi="宋体"/>
          <w:color w:val="auto"/>
          <w:sz w:val="24"/>
          <w:highlight w:val="none"/>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13.7</w:t>
      </w:r>
      <w:r>
        <w:rPr>
          <w:rFonts w:hint="eastAsia" w:ascii="宋体" w:hAnsi="宋体"/>
          <w:color w:val="auto"/>
          <w:sz w:val="24"/>
          <w:highlight w:val="none"/>
        </w:rPr>
        <w:t>投标人可先到工地踏勘以充分了解工地位置、情况、道路、储存空间、装卸限制及任何其他足以影响承包价的情况，任何因忽视或误解工地情况而导致的索赔或工期延长申请将不被批准。</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13.8</w:t>
      </w:r>
      <w:r>
        <w:rPr>
          <w:rFonts w:hint="eastAsia" w:ascii="宋体" w:hAnsi="宋体"/>
          <w:color w:val="auto"/>
          <w:sz w:val="24"/>
          <w:highlight w:val="none"/>
        </w:rPr>
        <w:t>属于承包人自行采购的主要材料、设备，招标人应当在招标文件中提出材料、设备的技术标准或者质量要求，或者提出不少于</w:t>
      </w:r>
      <w:r>
        <w:rPr>
          <w:rFonts w:ascii="宋体" w:hAnsi="宋体"/>
          <w:color w:val="auto"/>
          <w:sz w:val="24"/>
          <w:highlight w:val="none"/>
        </w:rPr>
        <w:t>3</w:t>
      </w:r>
      <w:r>
        <w:rPr>
          <w:rFonts w:hint="eastAsia" w:ascii="宋体" w:hAnsi="宋体"/>
          <w:color w:val="auto"/>
          <w:sz w:val="24"/>
          <w:highlight w:val="none"/>
        </w:rPr>
        <w:t>个同等档次品牌或分包商供投标人报价时选择</w:t>
      </w:r>
      <w:r>
        <w:rPr>
          <w:rFonts w:ascii="宋体"/>
          <w:color w:val="auto"/>
          <w:sz w:val="24"/>
          <w:highlight w:val="none"/>
        </w:rPr>
        <w:t>,</w:t>
      </w:r>
      <w:r>
        <w:rPr>
          <w:rFonts w:hint="eastAsia" w:ascii="宋体" w:hAnsi="宋体"/>
          <w:color w:val="auto"/>
          <w:sz w:val="24"/>
          <w:highlight w:val="none"/>
        </w:rPr>
        <w:t>凡招标人在招标文件中提出参考品牌的，必须在参考品牌后面加上“或相当于”字样。投标人在投标文件中应明确所选用主要材料、设备的品牌、厂家以及质量等级，并且应当符合招标文件的要求。</w:t>
      </w:r>
    </w:p>
    <w:p>
      <w:pPr>
        <w:pStyle w:val="39"/>
        <w:spacing w:after="0" w:line="360" w:lineRule="auto"/>
        <w:ind w:firstLine="480" w:firstLineChars="200"/>
        <w:rPr>
          <w:rFonts w:ascii="宋体"/>
          <w:color w:val="auto"/>
          <w:sz w:val="24"/>
          <w:szCs w:val="24"/>
          <w:highlight w:val="none"/>
        </w:rPr>
      </w:pPr>
      <w:r>
        <w:rPr>
          <w:rFonts w:ascii="宋体" w:hAnsi="宋体"/>
          <w:color w:val="auto"/>
          <w:sz w:val="24"/>
          <w:highlight w:val="none"/>
        </w:rPr>
        <w:t>13.9</w:t>
      </w:r>
      <w:r>
        <w:rPr>
          <w:rFonts w:hint="eastAsia" w:ascii="宋体"/>
          <w:color w:val="auto"/>
          <w:sz w:val="24"/>
          <w:szCs w:val="24"/>
          <w:highlight w:val="none"/>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14</w:t>
      </w:r>
      <w:r>
        <w:rPr>
          <w:rFonts w:hint="eastAsia" w:ascii="宋体" w:hAnsi="宋体"/>
          <w:b/>
          <w:bCs/>
          <w:color w:val="auto"/>
          <w:sz w:val="24"/>
          <w:highlight w:val="none"/>
        </w:rPr>
        <w:t>．投标货币</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14.1 </w:t>
      </w:r>
      <w:r>
        <w:rPr>
          <w:rFonts w:hint="eastAsia" w:ascii="宋体" w:hAnsi="宋体"/>
          <w:color w:val="auto"/>
          <w:sz w:val="24"/>
          <w:highlight w:val="none"/>
        </w:rPr>
        <w:t>本工程投标报价采用的币种为人民币。</w:t>
      </w:r>
    </w:p>
    <w:p>
      <w:pPr>
        <w:pStyle w:val="39"/>
        <w:spacing w:after="0" w:line="360" w:lineRule="auto"/>
        <w:ind w:firstLine="482" w:firstLineChars="200"/>
        <w:rPr>
          <w:rFonts w:ascii="宋体"/>
          <w:color w:val="auto"/>
          <w:sz w:val="24"/>
          <w:highlight w:val="none"/>
        </w:rPr>
      </w:pPr>
      <w:r>
        <w:rPr>
          <w:rFonts w:ascii="宋体" w:hAnsi="宋体"/>
          <w:b/>
          <w:bCs/>
          <w:color w:val="auto"/>
          <w:sz w:val="24"/>
          <w:highlight w:val="none"/>
        </w:rPr>
        <w:t>15</w:t>
      </w:r>
      <w:r>
        <w:rPr>
          <w:rFonts w:hint="eastAsia" w:ascii="宋体" w:hAnsi="宋体"/>
          <w:b/>
          <w:bCs/>
          <w:color w:val="auto"/>
          <w:sz w:val="24"/>
          <w:highlight w:val="none"/>
        </w:rPr>
        <w:t>．投标有效期</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15.1 </w:t>
      </w:r>
      <w:r>
        <w:rPr>
          <w:rFonts w:hint="eastAsia" w:ascii="宋体" w:hAnsi="宋体"/>
          <w:color w:val="auto"/>
          <w:sz w:val="24"/>
          <w:highlight w:val="none"/>
        </w:rPr>
        <w:t>投标有效期见投标须知前附表第</w:t>
      </w:r>
      <w:r>
        <w:rPr>
          <w:rFonts w:ascii="宋体" w:hAnsi="宋体"/>
          <w:color w:val="auto"/>
          <w:sz w:val="24"/>
          <w:highlight w:val="none"/>
        </w:rPr>
        <w:t>13</w:t>
      </w:r>
      <w:r>
        <w:rPr>
          <w:rFonts w:hint="eastAsia" w:ascii="宋体" w:hAnsi="宋体"/>
          <w:color w:val="auto"/>
          <w:sz w:val="24"/>
          <w:highlight w:val="none"/>
        </w:rPr>
        <w:t>项所规定的期限，在此期限内，凡符合本招标文件要求的投标文件均保持有效。</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 xml:space="preserve">15.2 </w:t>
      </w:r>
      <w:r>
        <w:rPr>
          <w:rFonts w:hint="eastAsia" w:ascii="宋体" w:hAnsi="宋体"/>
          <w:color w:val="auto"/>
          <w:sz w:val="24"/>
          <w:highlight w:val="none"/>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ascii="宋体" w:hAnsi="宋体"/>
          <w:color w:val="auto"/>
          <w:sz w:val="24"/>
          <w:highlight w:val="none"/>
        </w:rPr>
        <w:t>16</w:t>
      </w:r>
      <w:r>
        <w:rPr>
          <w:rFonts w:hint="eastAsia" w:ascii="宋体" w:hAnsi="宋体"/>
          <w:color w:val="auto"/>
          <w:sz w:val="24"/>
          <w:highlight w:val="none"/>
        </w:rPr>
        <w:t>条关于投标保证金的退还与不予退还的规定仍然适用。</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16</w:t>
      </w:r>
      <w:r>
        <w:rPr>
          <w:rFonts w:hint="eastAsia" w:ascii="宋体" w:hAnsi="宋体"/>
          <w:b/>
          <w:bCs/>
          <w:color w:val="auto"/>
          <w:sz w:val="24"/>
          <w:highlight w:val="none"/>
        </w:rPr>
        <w:t>．投标保证金</w:t>
      </w:r>
    </w:p>
    <w:p>
      <w:pPr>
        <w:spacing w:line="360" w:lineRule="auto"/>
        <w:ind w:firstLine="480" w:firstLineChars="200"/>
        <w:rPr>
          <w:rFonts w:ascii="宋体" w:hAnsi="宋体"/>
          <w:color w:val="auto"/>
          <w:sz w:val="24"/>
          <w:highlight w:val="none"/>
        </w:rPr>
      </w:pPr>
      <w:r>
        <w:rPr>
          <w:rFonts w:ascii="宋体" w:hAnsi="宋体"/>
          <w:color w:val="auto"/>
          <w:sz w:val="24"/>
          <w:highlight w:val="none"/>
        </w:rPr>
        <w:t>16.1</w:t>
      </w:r>
      <w:r>
        <w:rPr>
          <w:rFonts w:hint="eastAsia" w:ascii="宋体" w:hAnsi="宋体"/>
          <w:color w:val="auto"/>
          <w:sz w:val="24"/>
          <w:highlight w:val="none"/>
        </w:rPr>
        <w:t>投标人应按投标须知前附表第</w:t>
      </w:r>
      <w:r>
        <w:rPr>
          <w:rFonts w:ascii="宋体" w:hAnsi="宋体"/>
          <w:color w:val="auto"/>
          <w:sz w:val="24"/>
          <w:highlight w:val="none"/>
        </w:rPr>
        <w:t>14</w:t>
      </w:r>
      <w:r>
        <w:rPr>
          <w:rFonts w:hint="eastAsia" w:ascii="宋体" w:hAnsi="宋体"/>
          <w:color w:val="auto"/>
          <w:sz w:val="24"/>
          <w:highlight w:val="none"/>
        </w:rPr>
        <w:t>项所述金额和时间递交</w:t>
      </w:r>
      <w:r>
        <w:rPr>
          <w:rFonts w:hint="eastAsia" w:ascii="宋体" w:hAnsi="宋体"/>
          <w:bCs/>
          <w:color w:val="auto"/>
          <w:sz w:val="24"/>
          <w:highlight w:val="none"/>
        </w:rPr>
        <w:t>投标保证金</w:t>
      </w:r>
      <w:r>
        <w:rPr>
          <w:rFonts w:hint="eastAsia" w:ascii="宋体" w:hAnsi="宋体"/>
          <w:color w:val="auto"/>
          <w:sz w:val="24"/>
          <w:highlight w:val="none"/>
        </w:rPr>
        <w:t>。招标人应当允许投标人自主选择现金、银行保函、保证保险、专业工程担保公司担保等方式缴纳投标保证金。</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16.1.1 采用现金或者支票形式提交的，投标保证金须从投标人的银行基本账户转出。</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16.1.3 采用电子形式的保函、担保或保证保险提交投标保证金的，应在招标文件中明确电子递交途径。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16.3投标保证金应依据法律法规的相关规定退还。</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16.4如有下列情况之一的，招标人可以不予退还投标保证金（是否退还投标保证金由招标人在招标文件中规定）：</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16.4.1因投标人原因造成投标文件未解密的；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16.4.2投标人在投标有效期内撤销投标文件；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16.4.3中标人未能在规定期限内按要求提交履约担保；</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16.4.4中标人未能在规定期限内签署合同协议。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16.5投标人如存在下列情况之一的，将被拒绝在一定时期内参与招标人后续工程投标（拒绝时限需在招标文件中明确）：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16.5.1投标人存在16.4条款所列情形且投标人提交的保函、担保或保证保险无法兑付的；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16.5.2采用非电子形式提交投标保证金的投标人存在16.4条款所列情形，且未按招标人要求补交银行保函、专业工程担保公司担保或保证保险原件的；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16.5.3按招标文件要求免于提供投标保证金的投标人存在16.4条款所列情形，且未按招标人要求补交投标保证金的；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16.5.3按招标文件要求免于提供投标保证金的投标人存在16.4条款所列情形的。</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注：16.5.3款由招标人二选一，需在招标文件中明确。</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17</w:t>
      </w:r>
      <w:r>
        <w:rPr>
          <w:rFonts w:hint="eastAsia" w:ascii="宋体" w:hAnsi="宋体"/>
          <w:b/>
          <w:bCs/>
          <w:color w:val="auto"/>
          <w:sz w:val="24"/>
          <w:highlight w:val="none"/>
        </w:rPr>
        <w:t>．投标文件的签署</w:t>
      </w:r>
    </w:p>
    <w:p>
      <w:pPr>
        <w:spacing w:line="360" w:lineRule="auto"/>
        <w:ind w:firstLine="480" w:firstLineChars="200"/>
        <w:rPr>
          <w:rFonts w:ascii="宋体" w:hAnsi="宋体"/>
          <w:color w:val="auto"/>
          <w:sz w:val="24"/>
          <w:highlight w:val="none"/>
        </w:rPr>
      </w:pPr>
      <w:r>
        <w:rPr>
          <w:rFonts w:ascii="宋体" w:hAnsi="宋体"/>
          <w:color w:val="auto"/>
          <w:sz w:val="24"/>
          <w:highlight w:val="none"/>
        </w:rPr>
        <w:t>17.1</w:t>
      </w:r>
      <w:r>
        <w:rPr>
          <w:rFonts w:hint="eastAsia" w:ascii="宋体" w:hAnsi="宋体"/>
          <w:color w:val="auto"/>
          <w:sz w:val="24"/>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pPr>
        <w:pStyle w:val="9"/>
        <w:spacing w:before="156" w:after="156"/>
        <w:rPr>
          <w:color w:val="auto"/>
          <w:highlight w:val="none"/>
        </w:rPr>
      </w:pPr>
      <w:bookmarkStart w:id="13" w:name="_Toc21525496"/>
      <w:bookmarkStart w:id="14" w:name="_Toc5101"/>
      <w:r>
        <w:rPr>
          <w:rFonts w:hint="eastAsia"/>
          <w:color w:val="auto"/>
          <w:highlight w:val="none"/>
        </w:rPr>
        <w:t>（四）投标文件的提交</w:t>
      </w:r>
      <w:bookmarkEnd w:id="13"/>
      <w:bookmarkEnd w:id="14"/>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18</w:t>
      </w:r>
      <w:r>
        <w:rPr>
          <w:rFonts w:hint="eastAsia" w:ascii="宋体" w:hAnsi="宋体"/>
          <w:b/>
          <w:bCs/>
          <w:color w:val="auto"/>
          <w:sz w:val="24"/>
          <w:highlight w:val="none"/>
        </w:rPr>
        <w:t>．</w:t>
      </w:r>
      <w:r>
        <w:rPr>
          <w:rFonts w:hint="eastAsia"/>
          <w:b/>
          <w:color w:val="auto"/>
          <w:sz w:val="24"/>
          <w:szCs w:val="24"/>
          <w:highlight w:val="none"/>
        </w:rPr>
        <w:t>投标文件的密封和标记</w:t>
      </w:r>
    </w:p>
    <w:p>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.1</w:t>
      </w:r>
      <w:r>
        <w:rPr>
          <w:rFonts w:hint="eastAsia" w:ascii="宋体" w:hAnsi="宋体"/>
          <w:bCs/>
          <w:color w:val="auto"/>
          <w:sz w:val="24"/>
          <w:highlight w:val="none"/>
        </w:rPr>
        <w:t>递交的电子投标文件（不含备用光盘）必须进行加密。按照交易平台关于</w:t>
      </w:r>
      <w:r>
        <w:rPr>
          <w:rFonts w:hint="eastAsia"/>
          <w:color w:val="auto"/>
          <w:sz w:val="24"/>
          <w:szCs w:val="24"/>
          <w:highlight w:val="none"/>
        </w:rPr>
        <w:t>全流程电子化项目的相关指南进行操作。详见：</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rPr>
        <w:t xml:space="preserve"> 。</w:t>
      </w:r>
    </w:p>
    <w:p>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.2</w:t>
      </w:r>
      <w:r>
        <w:rPr>
          <w:rFonts w:ascii="宋体"/>
          <w:bCs/>
          <w:color w:val="auto"/>
          <w:sz w:val="24"/>
          <w:highlight w:val="none"/>
        </w:rPr>
        <w:t xml:space="preserve"> </w:t>
      </w:r>
      <w:r>
        <w:rPr>
          <w:rFonts w:hint="eastAsia" w:ascii="宋体"/>
          <w:bCs/>
          <w:color w:val="auto"/>
          <w:sz w:val="24"/>
          <w:highlight w:val="none"/>
        </w:rPr>
        <w:t>未按要求加密的投标文件，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bCs/>
          <w:color w:val="auto"/>
          <w:sz w:val="24"/>
          <w:highlight w:val="none"/>
        </w:rPr>
        <w:t>将予以拒收。</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19</w:t>
      </w:r>
      <w:r>
        <w:rPr>
          <w:rFonts w:hint="eastAsia" w:ascii="宋体" w:hAnsi="宋体"/>
          <w:b/>
          <w:bCs/>
          <w:color w:val="auto"/>
          <w:sz w:val="24"/>
          <w:highlight w:val="none"/>
        </w:rPr>
        <w:t>．投标文件的递交和接收</w:t>
      </w:r>
    </w:p>
    <w:p>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1投标人通过</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递交电子投标文件。</w:t>
      </w:r>
    </w:p>
    <w:p>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2投标人完成电子</w:t>
      </w:r>
      <w:r>
        <w:rPr>
          <w:rFonts w:hint="eastAsia" w:ascii="宋体" w:hAnsi="宋体"/>
          <w:color w:val="auto"/>
          <w:sz w:val="24"/>
          <w:highlight w:val="none"/>
        </w:rPr>
        <w:t>投标文件</w:t>
      </w:r>
      <w:r>
        <w:rPr>
          <w:rFonts w:hint="eastAsia" w:ascii="宋体" w:hAnsi="宋体"/>
          <w:bCs/>
          <w:color w:val="auto"/>
          <w:sz w:val="24"/>
          <w:highlight w:val="none"/>
        </w:rPr>
        <w:t>上传后，</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即时向投标人发出递交回执通知。递交时间以递交回执通知载明的传输完成时间为准。</w:t>
      </w:r>
    </w:p>
    <w:p>
      <w:pPr>
        <w:spacing w:line="360" w:lineRule="auto"/>
        <w:ind w:firstLine="480" w:firstLineChars="200"/>
        <w:rPr>
          <w:rFonts w:ascii="宋体" w:hAnsi="宋体"/>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3</w:t>
      </w:r>
      <w:r>
        <w:rPr>
          <w:rFonts w:hint="eastAsia"/>
          <w:bCs/>
          <w:color w:val="auto"/>
          <w:sz w:val="24"/>
          <w:szCs w:val="24"/>
          <w:highlight w:val="none"/>
        </w:rPr>
        <w:t>逾期送达的</w:t>
      </w:r>
      <w:r>
        <w:rPr>
          <w:rFonts w:hint="eastAsia" w:ascii="宋体" w:hAnsi="宋体"/>
          <w:bCs/>
          <w:color w:val="auto"/>
          <w:sz w:val="24"/>
          <w:highlight w:val="none"/>
        </w:rPr>
        <w:t>电子投标文件，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pPr>
        <w:spacing w:line="360" w:lineRule="auto"/>
        <w:ind w:firstLine="480" w:firstLineChars="200"/>
        <w:rPr>
          <w:rFonts w:ascii="宋体"/>
          <w:color w:val="auto"/>
          <w:sz w:val="24"/>
          <w:highlight w:val="none"/>
        </w:rPr>
      </w:pPr>
      <w:r>
        <w:rPr>
          <w:rFonts w:ascii="宋体" w:hAnsi="宋体"/>
          <w:color w:val="auto"/>
          <w:sz w:val="24"/>
          <w:highlight w:val="none"/>
        </w:rPr>
        <w:t>19.</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szCs w:val="24"/>
          <w:highlight w:val="none"/>
        </w:rPr>
        <w:t>投标截止前，</w:t>
      </w:r>
      <w:r>
        <w:rPr>
          <w:rFonts w:hint="eastAsia"/>
          <w:color w:val="auto"/>
          <w:sz w:val="24"/>
          <w:szCs w:val="24"/>
          <w:highlight w:val="none"/>
        </w:rPr>
        <w:t>招标人拒绝接收符合条件的投标文件，投标人可向招标投标监督机构投诉。</w:t>
      </w:r>
    </w:p>
    <w:p>
      <w:pPr>
        <w:spacing w:line="360" w:lineRule="auto"/>
        <w:ind w:firstLine="480" w:firstLineChars="200"/>
        <w:rPr>
          <w:rFonts w:ascii="宋体" w:hAnsi="宋体"/>
          <w:color w:val="auto"/>
          <w:sz w:val="24"/>
          <w:highlight w:val="none"/>
        </w:rPr>
      </w:pPr>
      <w:r>
        <w:rPr>
          <w:rFonts w:ascii="宋体" w:hAnsi="宋体"/>
          <w:color w:val="auto"/>
          <w:sz w:val="24"/>
          <w:highlight w:val="none"/>
        </w:rPr>
        <w:t>19.</w:t>
      </w:r>
      <w:r>
        <w:rPr>
          <w:rFonts w:hint="eastAsia" w:ascii="宋体" w:hAnsi="宋体"/>
          <w:color w:val="auto"/>
          <w:sz w:val="24"/>
          <w:highlight w:val="none"/>
        </w:rPr>
        <w:t>5如技术标和经济标先后分别开启，</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将按招标文件规定的时间分别开启技术标和经济标。</w:t>
      </w:r>
    </w:p>
    <w:p>
      <w:pPr>
        <w:spacing w:line="360" w:lineRule="auto"/>
        <w:ind w:firstLine="480" w:firstLineChars="200"/>
        <w:rPr>
          <w:rFonts w:ascii="宋体"/>
          <w:color w:val="auto"/>
          <w:sz w:val="24"/>
          <w:highlight w:val="none"/>
        </w:rPr>
      </w:pPr>
      <w:r>
        <w:rPr>
          <w:rFonts w:ascii="宋体" w:hAnsi="宋体"/>
          <w:color w:val="auto"/>
          <w:sz w:val="24"/>
          <w:szCs w:val="24"/>
          <w:highlight w:val="none"/>
        </w:rPr>
        <w:t>19.6</w:t>
      </w:r>
      <w:r>
        <w:rPr>
          <w:rFonts w:hint="eastAsia" w:ascii="宋体" w:hAnsi="宋体"/>
          <w:color w:val="auto"/>
          <w:sz w:val="24"/>
          <w:szCs w:val="24"/>
          <w:highlight w:val="none"/>
        </w:rPr>
        <w:t>在规定的时间内，项目负责人须到自助签到。按照交易平台有关项目负责人自助签到流程进行操作。项目负责人凡未凭身份证按时到达指定地点签到的，</w:t>
      </w:r>
      <w:r>
        <w:rPr>
          <w:rFonts w:hint="eastAsia" w:ascii="宋体" w:hAnsi="宋体"/>
          <w:color w:val="auto"/>
          <w:sz w:val="24"/>
          <w:highlight w:val="none"/>
        </w:rPr>
        <w:t>该投标文件将不能参与资格审查和评标</w:t>
      </w:r>
      <w:r>
        <w:rPr>
          <w:rFonts w:hint="eastAsia" w:ascii="宋体" w:hAnsi="宋体"/>
          <w:color w:val="auto"/>
          <w:sz w:val="24"/>
          <w:szCs w:val="24"/>
          <w:highlight w:val="none"/>
        </w:rPr>
        <w:t>（选择性条款）。</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20</w:t>
      </w:r>
      <w:r>
        <w:rPr>
          <w:rFonts w:hint="eastAsia" w:ascii="宋体" w:hAnsi="宋体"/>
          <w:b/>
          <w:bCs/>
          <w:color w:val="auto"/>
          <w:sz w:val="24"/>
          <w:highlight w:val="none"/>
        </w:rPr>
        <w:t>．投标文件提交的截止时间</w:t>
      </w:r>
    </w:p>
    <w:p>
      <w:pPr>
        <w:spacing w:line="360" w:lineRule="auto"/>
        <w:ind w:firstLine="480" w:firstLineChars="200"/>
        <w:rPr>
          <w:rFonts w:ascii="宋体"/>
          <w:b/>
          <w:bCs/>
          <w:color w:val="auto"/>
          <w:sz w:val="24"/>
          <w:highlight w:val="none"/>
        </w:rPr>
      </w:pPr>
      <w:r>
        <w:rPr>
          <w:rFonts w:ascii="宋体" w:hAnsi="宋体"/>
          <w:color w:val="auto"/>
          <w:sz w:val="24"/>
          <w:highlight w:val="none"/>
        </w:rPr>
        <w:t>20.1</w:t>
      </w:r>
      <w:r>
        <w:rPr>
          <w:rFonts w:hint="eastAsia" w:ascii="宋体" w:hAnsi="宋体"/>
          <w:color w:val="auto"/>
          <w:sz w:val="24"/>
          <w:highlight w:val="none"/>
        </w:rPr>
        <w:t>投标人应在投标须知前附表第17项所述的时间前提交投标文件。</w:t>
      </w:r>
    </w:p>
    <w:p>
      <w:pPr>
        <w:spacing w:line="360" w:lineRule="auto"/>
        <w:ind w:firstLine="480" w:firstLineChars="200"/>
        <w:rPr>
          <w:rFonts w:ascii="宋体"/>
          <w:color w:val="auto"/>
          <w:sz w:val="24"/>
          <w:highlight w:val="none"/>
        </w:rPr>
      </w:pPr>
      <w:r>
        <w:rPr>
          <w:rFonts w:ascii="宋体" w:hAnsi="宋体"/>
          <w:color w:val="auto"/>
          <w:sz w:val="24"/>
          <w:highlight w:val="none"/>
        </w:rPr>
        <w:t>20.2</w:t>
      </w:r>
      <w:r>
        <w:rPr>
          <w:rFonts w:hint="eastAsia" w:ascii="宋体" w:hAnsi="宋体"/>
          <w:color w:val="auto"/>
          <w:sz w:val="24"/>
          <w:highlight w:val="none"/>
        </w:rPr>
        <w:t>招标人可按本须知第</w:t>
      </w:r>
      <w:r>
        <w:rPr>
          <w:rFonts w:ascii="宋体" w:hAnsi="宋体"/>
          <w:color w:val="auto"/>
          <w:sz w:val="24"/>
          <w:highlight w:val="none"/>
        </w:rPr>
        <w:t>9</w:t>
      </w:r>
      <w:r>
        <w:rPr>
          <w:rFonts w:hint="eastAsia" w:ascii="宋体" w:hAnsi="宋体"/>
          <w:color w:val="auto"/>
          <w:sz w:val="24"/>
          <w:highlight w:val="none"/>
        </w:rPr>
        <w:t>条规定以招标文件修改的方式，酌情延长提交投标文件的截止时间。在此情况下，投标人的所有权利和义务以及投标人受制约的截止时间，均以延长后新的投标截止时间为准。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color w:val="auto"/>
          <w:sz w:val="24"/>
          <w:highlight w:val="none"/>
        </w:rPr>
      </w:pPr>
      <w:r>
        <w:rPr>
          <w:rFonts w:ascii="宋体" w:hAnsi="宋体"/>
          <w:color w:val="auto"/>
          <w:sz w:val="24"/>
          <w:highlight w:val="none"/>
        </w:rPr>
        <w:t xml:space="preserve">20.3 </w:t>
      </w:r>
      <w:r>
        <w:rPr>
          <w:rFonts w:hint="eastAsia" w:ascii="宋体" w:hAnsi="宋体"/>
          <w:color w:val="auto"/>
          <w:sz w:val="24"/>
          <w:highlight w:val="none"/>
        </w:rPr>
        <w:t>到投标截止时间止，招标人收到的投标文件少于3家的，招标人将重新组织招标</w:t>
      </w:r>
      <w:r>
        <w:rPr>
          <w:rFonts w:hint="eastAsia" w:ascii="宋体" w:hAnsi="宋体"/>
          <w:color w:val="auto"/>
          <w:sz w:val="24"/>
          <w:szCs w:val="24"/>
          <w:highlight w:val="none"/>
        </w:rPr>
        <w:t>（当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r>
        <w:rPr>
          <w:rFonts w:hint="eastAsia" w:ascii="宋体" w:hAnsi="宋体"/>
          <w:color w:val="auto"/>
          <w:sz w:val="24"/>
          <w:highlight w:val="none"/>
        </w:rPr>
        <w:t>。</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21</w:t>
      </w:r>
      <w:r>
        <w:rPr>
          <w:rFonts w:hint="eastAsia" w:ascii="宋体" w:hAnsi="宋体"/>
          <w:b/>
          <w:bCs/>
          <w:color w:val="auto"/>
          <w:sz w:val="24"/>
          <w:highlight w:val="none"/>
        </w:rPr>
        <w:t>．迟交的投标文件</w:t>
      </w:r>
    </w:p>
    <w:p>
      <w:pPr>
        <w:spacing w:line="360" w:lineRule="auto"/>
        <w:ind w:firstLine="480" w:firstLineChars="200"/>
        <w:rPr>
          <w:rFonts w:ascii="宋体"/>
          <w:color w:val="auto"/>
          <w:sz w:val="24"/>
          <w:highlight w:val="none"/>
        </w:rPr>
      </w:pPr>
      <w:r>
        <w:rPr>
          <w:rFonts w:ascii="宋体" w:hAnsi="宋体"/>
          <w:color w:val="auto"/>
          <w:sz w:val="24"/>
          <w:highlight w:val="none"/>
        </w:rPr>
        <w:t xml:space="preserve">21.1 </w:t>
      </w:r>
      <w:r>
        <w:rPr>
          <w:rFonts w:hint="eastAsia" w:ascii="宋体" w:hAnsi="宋体"/>
          <w:color w:val="auto"/>
          <w:sz w:val="24"/>
          <w:highlight w:val="none"/>
        </w:rPr>
        <w:t>本须知前附表第</w:t>
      </w:r>
      <w:r>
        <w:rPr>
          <w:rFonts w:ascii="宋体" w:hAnsi="宋体"/>
          <w:color w:val="auto"/>
          <w:sz w:val="24"/>
          <w:highlight w:val="none"/>
        </w:rPr>
        <w:t>1</w:t>
      </w:r>
      <w:r>
        <w:rPr>
          <w:rFonts w:hint="eastAsia" w:ascii="宋体" w:hAnsi="宋体"/>
          <w:color w:val="auto"/>
          <w:sz w:val="24"/>
          <w:highlight w:val="none"/>
        </w:rPr>
        <w:t>7项规定的投标截止时间</w:t>
      </w:r>
      <w:r>
        <w:rPr>
          <w:rFonts w:hint="eastAsia"/>
          <w:bCs/>
          <w:color w:val="auto"/>
          <w:sz w:val="24"/>
          <w:szCs w:val="24"/>
          <w:highlight w:val="none"/>
        </w:rPr>
        <w:t>后送达的</w:t>
      </w:r>
      <w:r>
        <w:rPr>
          <w:rFonts w:hint="eastAsia" w:ascii="宋体" w:hAnsi="宋体"/>
          <w:bCs/>
          <w:color w:val="auto"/>
          <w:sz w:val="24"/>
          <w:highlight w:val="none"/>
        </w:rPr>
        <w:t>电子投标文件，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22</w:t>
      </w:r>
      <w:r>
        <w:rPr>
          <w:rFonts w:hint="eastAsia" w:ascii="宋体" w:hAnsi="宋体"/>
          <w:b/>
          <w:bCs/>
          <w:color w:val="auto"/>
          <w:sz w:val="24"/>
          <w:highlight w:val="none"/>
        </w:rPr>
        <w:t>．投标文件的修改与撤回</w:t>
      </w:r>
    </w:p>
    <w:p>
      <w:pPr>
        <w:spacing w:line="360" w:lineRule="auto"/>
        <w:ind w:firstLine="480" w:firstLineChars="200"/>
        <w:rPr>
          <w:rFonts w:ascii="宋体"/>
          <w:color w:val="auto"/>
          <w:sz w:val="24"/>
          <w:highlight w:val="none"/>
        </w:rPr>
      </w:pPr>
      <w:r>
        <w:rPr>
          <w:rFonts w:ascii="宋体" w:hAnsi="宋体"/>
          <w:color w:val="auto"/>
          <w:sz w:val="24"/>
          <w:highlight w:val="none"/>
        </w:rPr>
        <w:t>22.1</w:t>
      </w:r>
      <w:r>
        <w:rPr>
          <w:rFonts w:hint="eastAsia" w:ascii="宋体" w:hAnsi="宋体"/>
          <w:color w:val="auto"/>
          <w:sz w:val="24"/>
          <w:highlight w:val="none"/>
        </w:rPr>
        <w:t>在规定的投标截止时间前，投标人可以修改或撤回已递交的投标文件，但应以书面形式通知招标人。</w:t>
      </w:r>
    </w:p>
    <w:p>
      <w:pPr>
        <w:spacing w:line="360" w:lineRule="auto"/>
        <w:ind w:firstLine="480" w:firstLineChars="200"/>
        <w:rPr>
          <w:color w:val="auto"/>
          <w:sz w:val="24"/>
          <w:szCs w:val="24"/>
          <w:highlight w:val="none"/>
        </w:rPr>
      </w:pPr>
      <w:r>
        <w:rPr>
          <w:rFonts w:ascii="宋体" w:hAnsi="宋体"/>
          <w:color w:val="auto"/>
          <w:sz w:val="24"/>
          <w:szCs w:val="24"/>
          <w:highlight w:val="none"/>
        </w:rPr>
        <w:t>22.2</w:t>
      </w:r>
      <w:r>
        <w:rPr>
          <w:color w:val="auto"/>
          <w:sz w:val="24"/>
          <w:szCs w:val="24"/>
          <w:highlight w:val="none"/>
        </w:rPr>
        <w:t>投标人修改或撤回已递交</w:t>
      </w:r>
      <w:r>
        <w:rPr>
          <w:rFonts w:hint="eastAsia"/>
          <w:color w:val="auto"/>
          <w:sz w:val="24"/>
          <w:szCs w:val="24"/>
          <w:highlight w:val="none"/>
        </w:rPr>
        <w:t>的</w:t>
      </w:r>
      <w:r>
        <w:rPr>
          <w:color w:val="auto"/>
          <w:sz w:val="24"/>
          <w:szCs w:val="24"/>
          <w:highlight w:val="none"/>
        </w:rPr>
        <w:t>投标文件</w:t>
      </w:r>
      <w:r>
        <w:rPr>
          <w:rFonts w:hint="eastAsia"/>
          <w:color w:val="auto"/>
          <w:sz w:val="24"/>
          <w:szCs w:val="24"/>
          <w:highlight w:val="none"/>
        </w:rPr>
        <w:t>，需在</w:t>
      </w:r>
      <w:r>
        <w:rPr>
          <w:rFonts w:hint="eastAsia" w:ascii="宋体" w:hAnsi="宋体"/>
          <w:color w:val="auto"/>
          <w:sz w:val="24"/>
          <w:highlight w:val="none"/>
        </w:rPr>
        <w:t>交易平台发出修改或撤回</w:t>
      </w:r>
      <w:r>
        <w:rPr>
          <w:color w:val="auto"/>
          <w:sz w:val="24"/>
          <w:szCs w:val="24"/>
          <w:highlight w:val="none"/>
        </w:rPr>
        <w:t>通知，</w:t>
      </w:r>
      <w:r>
        <w:rPr>
          <w:rFonts w:hint="eastAsia"/>
          <w:color w:val="auto"/>
          <w:sz w:val="24"/>
          <w:szCs w:val="24"/>
          <w:highlight w:val="none"/>
        </w:rPr>
        <w:t>并按</w:t>
      </w:r>
      <w:r>
        <w:rPr>
          <w:color w:val="auto"/>
          <w:sz w:val="24"/>
          <w:szCs w:val="24"/>
          <w:highlight w:val="none"/>
        </w:rPr>
        <w:t>要求加盖电子印章。</w:t>
      </w:r>
      <w:r>
        <w:rPr>
          <w:bCs/>
          <w:iCs/>
          <w:color w:val="auto"/>
          <w:sz w:val="24"/>
          <w:szCs w:val="24"/>
          <w:highlight w:val="none"/>
        </w:rPr>
        <w:t>电子招标投标交易平台收到通知后，</w:t>
      </w:r>
      <w:r>
        <w:rPr>
          <w:color w:val="auto"/>
          <w:sz w:val="24"/>
          <w:szCs w:val="24"/>
          <w:highlight w:val="none"/>
        </w:rPr>
        <w:t>即时向投标人发出确认回执通知。</w:t>
      </w:r>
    </w:p>
    <w:p>
      <w:pPr>
        <w:spacing w:line="360" w:lineRule="auto"/>
        <w:ind w:firstLine="480" w:firstLineChars="200"/>
        <w:rPr>
          <w:color w:val="auto"/>
          <w:sz w:val="24"/>
          <w:szCs w:val="24"/>
          <w:highlight w:val="none"/>
        </w:rPr>
      </w:pPr>
      <w:r>
        <w:rPr>
          <w:rFonts w:hint="eastAsia" w:ascii="宋体" w:hAnsi="宋体"/>
          <w:color w:val="auto"/>
          <w:sz w:val="24"/>
          <w:szCs w:val="24"/>
          <w:highlight w:val="none"/>
        </w:rPr>
        <w:t>22.3</w:t>
      </w:r>
      <w:r>
        <w:rPr>
          <w:rFonts w:hint="eastAsia"/>
          <w:color w:val="auto"/>
          <w:sz w:val="24"/>
          <w:szCs w:val="24"/>
          <w:highlight w:val="none"/>
        </w:rPr>
        <w:t>修改后再次递交的，按19点的规定执行。</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highlight w:val="none"/>
        </w:rPr>
        <w:t>在投标截止时间之后，投标人不得补充、修改和更换投标文件。</w:t>
      </w:r>
    </w:p>
    <w:p>
      <w:pPr>
        <w:pStyle w:val="9"/>
        <w:spacing w:before="156" w:after="156"/>
        <w:rPr>
          <w:color w:val="auto"/>
          <w:highlight w:val="none"/>
        </w:rPr>
      </w:pPr>
      <w:bookmarkStart w:id="15" w:name="_Toc16664"/>
      <w:bookmarkStart w:id="16" w:name="_Toc21525497"/>
      <w:r>
        <w:rPr>
          <w:rFonts w:hint="eastAsia"/>
          <w:color w:val="auto"/>
          <w:highlight w:val="none"/>
        </w:rPr>
        <w:t>（五）开标、评标、定标及合同签定</w:t>
      </w:r>
      <w:bookmarkEnd w:id="15"/>
      <w:bookmarkEnd w:id="16"/>
    </w:p>
    <w:p>
      <w:pPr>
        <w:spacing w:line="360" w:lineRule="auto"/>
        <w:ind w:firstLine="482" w:firstLineChars="200"/>
        <w:rPr>
          <w:rFonts w:ascii="宋体"/>
          <w:b/>
          <w:bCs/>
          <w:color w:val="auto"/>
          <w:sz w:val="24"/>
          <w:highlight w:val="none"/>
        </w:rPr>
      </w:pPr>
      <w:r>
        <w:rPr>
          <w:rFonts w:ascii="宋体" w:hAnsi="宋体"/>
          <w:b/>
          <w:bCs/>
          <w:color w:val="auto"/>
          <w:sz w:val="24"/>
          <w:highlight w:val="none"/>
        </w:rPr>
        <w:t>23</w:t>
      </w:r>
      <w:r>
        <w:rPr>
          <w:rFonts w:hint="eastAsia" w:ascii="宋体" w:hAnsi="宋体"/>
          <w:b/>
          <w:bCs/>
          <w:color w:val="auto"/>
          <w:sz w:val="24"/>
          <w:highlight w:val="none"/>
        </w:rPr>
        <w:t>、开标。</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详见第二章开标、评标及定标办法</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24</w:t>
      </w:r>
      <w:r>
        <w:rPr>
          <w:rFonts w:hint="eastAsia" w:ascii="宋体" w:hAnsi="宋体"/>
          <w:b/>
          <w:bCs/>
          <w:color w:val="auto"/>
          <w:sz w:val="24"/>
          <w:highlight w:val="none"/>
        </w:rPr>
        <w:t>．评标过程的保密</w:t>
      </w:r>
    </w:p>
    <w:p>
      <w:pPr>
        <w:spacing w:line="360" w:lineRule="auto"/>
        <w:ind w:firstLine="480" w:firstLineChars="200"/>
        <w:rPr>
          <w:rFonts w:ascii="宋体"/>
          <w:color w:val="auto"/>
          <w:sz w:val="24"/>
          <w:highlight w:val="none"/>
        </w:rPr>
      </w:pPr>
      <w:r>
        <w:rPr>
          <w:rFonts w:ascii="宋体" w:hAnsi="宋体"/>
          <w:color w:val="auto"/>
          <w:sz w:val="24"/>
          <w:highlight w:val="none"/>
        </w:rPr>
        <w:t xml:space="preserve">24.1 </w:t>
      </w:r>
      <w:r>
        <w:rPr>
          <w:rFonts w:hint="eastAsia" w:ascii="宋体" w:hAnsi="宋体"/>
          <w:color w:val="auto"/>
          <w:sz w:val="24"/>
          <w:highlight w:val="none"/>
        </w:rPr>
        <w:t>开标后，直至中标公示为止，凡属于对投标文件的审查、澄清、评价和比较有关的资料以及中标候选人的推荐情况，与评标有关的其他任何情况均严格保密。</w:t>
      </w:r>
    </w:p>
    <w:p>
      <w:pPr>
        <w:spacing w:line="360" w:lineRule="auto"/>
        <w:ind w:firstLine="480" w:firstLineChars="200"/>
        <w:rPr>
          <w:rFonts w:asci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在投标文件的评审和比较、中标候选人推荐以及授予合同的过程中，投标人向招标人和评标委员会施加不公正影响的任何行为，都将会导致其投标被拒绝。</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25</w:t>
      </w:r>
      <w:r>
        <w:rPr>
          <w:rFonts w:hint="eastAsia" w:ascii="宋体" w:hAnsi="宋体"/>
          <w:b/>
          <w:bCs/>
          <w:color w:val="auto"/>
          <w:sz w:val="24"/>
          <w:highlight w:val="none"/>
        </w:rPr>
        <w:t>．投标文件的澄清，计算错误的修正</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详见招标文件第二章开标、评标及定标办法</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26</w:t>
      </w:r>
      <w:r>
        <w:rPr>
          <w:rFonts w:hint="eastAsia" w:ascii="宋体" w:hAnsi="宋体"/>
          <w:b/>
          <w:bCs/>
          <w:color w:val="auto"/>
          <w:sz w:val="24"/>
          <w:highlight w:val="none"/>
        </w:rPr>
        <w:t>．投标文件的评审、比较和否决</w:t>
      </w:r>
    </w:p>
    <w:p>
      <w:pPr>
        <w:spacing w:line="360" w:lineRule="auto"/>
        <w:ind w:firstLine="480" w:firstLineChars="200"/>
        <w:rPr>
          <w:rFonts w:ascii="宋体"/>
          <w:bCs/>
          <w:color w:val="auto"/>
          <w:sz w:val="24"/>
          <w:szCs w:val="24"/>
          <w:highlight w:val="none"/>
        </w:rPr>
      </w:pPr>
      <w:r>
        <w:rPr>
          <w:rFonts w:hint="eastAsia" w:ascii="宋体" w:hAnsi="宋体"/>
          <w:color w:val="auto"/>
          <w:sz w:val="24"/>
          <w:highlight w:val="none"/>
        </w:rPr>
        <w:t>详见招标文件第二章开标、评标及定标办法。</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27</w:t>
      </w:r>
      <w:r>
        <w:rPr>
          <w:rFonts w:hint="eastAsia" w:ascii="宋体" w:hAnsi="宋体"/>
          <w:b/>
          <w:bCs/>
          <w:color w:val="auto"/>
          <w:sz w:val="24"/>
          <w:highlight w:val="none"/>
        </w:rPr>
        <w:t>．中标通知书</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27.1</w:t>
      </w:r>
      <w:r>
        <w:rPr>
          <w:rFonts w:hint="eastAsia" w:ascii="宋体" w:hAnsi="宋体"/>
          <w:color w:val="auto"/>
          <w:sz w:val="24"/>
          <w:highlight w:val="none"/>
        </w:rPr>
        <w:t>招标人将在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、广东省招标投标监管网和中国招标投标公共服务平台公示中标候选人，公示期为三天。</w:t>
      </w:r>
    </w:p>
    <w:p>
      <w:pPr>
        <w:spacing w:line="360" w:lineRule="auto"/>
        <w:ind w:firstLine="482" w:firstLineChars="200"/>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szCs w:val="22"/>
          <w:highlight w:val="none"/>
          <w:lang w:val="en-US" w:eastAsia="zh-CN"/>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spacing w:line="360" w:lineRule="auto"/>
        <w:ind w:firstLine="480" w:firstLineChars="200"/>
        <w:rPr>
          <w:rFonts w:ascii="仿宋_GB2312" w:hAnsi="宋体" w:eastAsia="仿宋_GB2312"/>
          <w:color w:val="auto"/>
          <w:sz w:val="24"/>
          <w:highlight w:val="none"/>
        </w:rPr>
      </w:pPr>
      <w:r>
        <w:rPr>
          <w:rFonts w:ascii="宋体" w:hAnsi="宋体"/>
          <w:color w:val="auto"/>
          <w:sz w:val="24"/>
          <w:highlight w:val="none"/>
        </w:rPr>
        <w:t>27.2</w:t>
      </w:r>
      <w:r>
        <w:rPr>
          <w:rFonts w:hint="eastAsia" w:ascii="宋体" w:hAnsi="宋体"/>
          <w:color w:val="auto"/>
          <w:sz w:val="24"/>
          <w:highlight w:val="none"/>
        </w:rPr>
        <w:t>招标人应当自确定中标人后，向招标投标监管机构提交招标投标情况的书面报告；经招投标监管机构备案后，方可发出中标通知书。</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27.3</w:t>
      </w:r>
      <w:r>
        <w:rPr>
          <w:rFonts w:hint="eastAsia" w:ascii="宋体" w:hAnsi="宋体"/>
          <w:color w:val="auto"/>
          <w:sz w:val="24"/>
          <w:highlight w:val="none"/>
        </w:rPr>
        <w:t>中标人必须在收到中标通知书后</w:t>
      </w:r>
      <w:r>
        <w:rPr>
          <w:rFonts w:ascii="宋体" w:hAnsi="宋体"/>
          <w:color w:val="auto"/>
          <w:sz w:val="24"/>
          <w:highlight w:val="none"/>
        </w:rPr>
        <w:t>24</w:t>
      </w:r>
      <w:r>
        <w:rPr>
          <w:rFonts w:hint="eastAsia" w:ascii="宋体" w:hAnsi="宋体"/>
          <w:color w:val="auto"/>
          <w:sz w:val="24"/>
          <w:highlight w:val="none"/>
        </w:rPr>
        <w:t>小时之内以书面形式回复招标人，确认收到。</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27.4在产生中标候选人后，招标人将中标候选人的投标文件商务部分文件的所有内容（包括人员、业绩、奖项等资料）在</w:t>
      </w:r>
      <w:r>
        <w:rPr>
          <w:color w:val="auto"/>
          <w:sz w:val="24"/>
          <w:szCs w:val="24"/>
          <w:highlight w:val="none"/>
          <w:u w:val="single"/>
        </w:rPr>
        <w:t xml:space="preserve">        </w:t>
      </w:r>
      <w:r>
        <w:rPr>
          <w:rFonts w:hint="eastAsia" w:ascii="宋体" w:hAnsi="宋体"/>
          <w:color w:val="auto"/>
          <w:sz w:val="24"/>
          <w:szCs w:val="24"/>
          <w:highlight w:val="none"/>
        </w:rPr>
        <w:t>交易平台和广东省招标投标监管网</w:t>
      </w:r>
      <w:r>
        <w:rPr>
          <w:rFonts w:hint="eastAsia" w:ascii="宋体" w:hAnsi="宋体"/>
          <w:color w:val="auto"/>
          <w:sz w:val="24"/>
          <w:highlight w:val="none"/>
        </w:rPr>
        <w:t>公开。</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28</w:t>
      </w:r>
      <w:r>
        <w:rPr>
          <w:rFonts w:hint="eastAsia" w:ascii="宋体" w:hAnsi="宋体"/>
          <w:b/>
          <w:bCs/>
          <w:color w:val="auto"/>
          <w:sz w:val="24"/>
          <w:highlight w:val="none"/>
        </w:rPr>
        <w:t>．合同协议书的签订</w:t>
      </w:r>
    </w:p>
    <w:p>
      <w:pPr>
        <w:spacing w:line="360" w:lineRule="auto"/>
        <w:ind w:firstLine="480" w:firstLineChars="200"/>
        <w:rPr>
          <w:rFonts w:ascii="宋体"/>
          <w:color w:val="auto"/>
          <w:sz w:val="24"/>
          <w:highlight w:val="none"/>
        </w:rPr>
      </w:pPr>
      <w:r>
        <w:rPr>
          <w:rFonts w:ascii="宋体" w:hAnsi="宋体"/>
          <w:color w:val="auto"/>
          <w:sz w:val="24"/>
          <w:highlight w:val="none"/>
        </w:rPr>
        <w:t xml:space="preserve">28.1 </w:t>
      </w:r>
      <w:r>
        <w:rPr>
          <w:rFonts w:hint="eastAsia" w:ascii="宋体" w:hAnsi="宋体"/>
          <w:color w:val="auto"/>
          <w:sz w:val="24"/>
          <w:highlight w:val="none"/>
        </w:rPr>
        <w:t>招标人与中标人将于中标通知书发出之日起</w:t>
      </w:r>
      <w:r>
        <w:rPr>
          <w:rFonts w:ascii="宋体" w:hAnsi="宋体"/>
          <w:color w:val="auto"/>
          <w:sz w:val="24"/>
          <w:highlight w:val="none"/>
        </w:rPr>
        <w:t>30</w:t>
      </w:r>
      <w:r>
        <w:rPr>
          <w:rFonts w:hint="eastAsia" w:ascii="宋体" w:hAnsi="宋体"/>
          <w:color w:val="auto"/>
          <w:sz w:val="24"/>
          <w:highlight w:val="none"/>
        </w:rPr>
        <w:t>日内，按照招标文件和中标人的投标文件商定和签订合同，招标人和中标人不得再行订立背离合同实质性内容的其他协议。</w:t>
      </w:r>
    </w:p>
    <w:p>
      <w:pPr>
        <w:spacing w:line="360" w:lineRule="auto"/>
        <w:ind w:firstLine="480" w:firstLineChars="200"/>
        <w:rPr>
          <w:rFonts w:ascii="宋体"/>
          <w:color w:val="auto"/>
          <w:sz w:val="24"/>
          <w:highlight w:val="none"/>
        </w:rPr>
      </w:pPr>
      <w:r>
        <w:rPr>
          <w:rFonts w:ascii="宋体" w:hAnsi="宋体"/>
          <w:color w:val="auto"/>
          <w:sz w:val="24"/>
          <w:highlight w:val="none"/>
        </w:rPr>
        <w:t>28.2</w:t>
      </w:r>
      <w:r>
        <w:rPr>
          <w:rFonts w:hint="eastAsia" w:ascii="宋体" w:hAnsi="宋体"/>
          <w:color w:val="auto"/>
          <w:sz w:val="24"/>
          <w:highlight w:val="none"/>
        </w:rPr>
        <w:t>中标通知书发出之日起</w:t>
      </w:r>
      <w:r>
        <w:rPr>
          <w:rFonts w:ascii="宋体" w:hAnsi="宋体"/>
          <w:color w:val="auto"/>
          <w:sz w:val="24"/>
          <w:highlight w:val="none"/>
        </w:rPr>
        <w:t>30</w:t>
      </w:r>
      <w:r>
        <w:rPr>
          <w:rFonts w:hint="eastAsia" w:ascii="宋体" w:hAnsi="宋体"/>
          <w:color w:val="auto"/>
          <w:sz w:val="24"/>
          <w:highlight w:val="none"/>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0" w:firstLineChars="200"/>
        <w:rPr>
          <w:rFonts w:ascii="宋体"/>
          <w:color w:val="auto"/>
          <w:sz w:val="24"/>
          <w:highlight w:val="none"/>
        </w:rPr>
      </w:pPr>
      <w:r>
        <w:rPr>
          <w:rFonts w:ascii="宋体" w:hAnsi="宋体"/>
          <w:color w:val="auto"/>
          <w:sz w:val="24"/>
          <w:highlight w:val="none"/>
        </w:rPr>
        <w:t>28.3</w:t>
      </w:r>
      <w:r>
        <w:rPr>
          <w:rFonts w:hint="eastAsia" w:ascii="宋体" w:hAnsi="宋体"/>
          <w:color w:val="auto"/>
          <w:sz w:val="24"/>
          <w:highlight w:val="none"/>
        </w:rPr>
        <w:t>非经招标人同意，中标人在投标过程中使用的银行名称及帐号至完成竣工结算不得变更，否则招标人有权停止工程款项的拔付及至解除合同，由此造成的一切责任由中标人承担。</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28.4</w:t>
      </w:r>
      <w:r>
        <w:rPr>
          <w:rFonts w:hint="eastAsia" w:ascii="宋体" w:hAnsi="宋体"/>
          <w:color w:val="auto"/>
          <w:sz w:val="24"/>
          <w:highlight w:val="none"/>
        </w:rPr>
        <w:t>招标人支付工程款时，中标人应按规定开具发票。</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29</w:t>
      </w:r>
      <w:r>
        <w:rPr>
          <w:rFonts w:hint="eastAsia" w:ascii="宋体" w:hAnsi="宋体"/>
          <w:b/>
          <w:bCs/>
          <w:color w:val="auto"/>
          <w:sz w:val="24"/>
          <w:highlight w:val="none"/>
        </w:rPr>
        <w:t>．履约担保</w:t>
      </w:r>
    </w:p>
    <w:p>
      <w:pPr>
        <w:snapToGrid w:val="0"/>
        <w:spacing w:line="360" w:lineRule="auto"/>
        <w:ind w:firstLine="480" w:firstLineChars="200"/>
        <w:rPr>
          <w:rFonts w:ascii="宋体"/>
          <w:color w:val="000000"/>
          <w:sz w:val="24"/>
          <w:highlight w:val="none"/>
        </w:rPr>
      </w:pPr>
      <w:r>
        <w:rPr>
          <w:rFonts w:ascii="宋体" w:hAnsi="宋体"/>
          <w:color w:val="000000"/>
          <w:sz w:val="24"/>
          <w:highlight w:val="none"/>
        </w:rPr>
        <w:t xml:space="preserve">29.1 </w:t>
      </w:r>
      <w:r>
        <w:rPr>
          <w:rFonts w:hint="eastAsia" w:ascii="宋体" w:hAnsi="宋体"/>
          <w:color w:val="000000"/>
          <w:sz w:val="24"/>
          <w:highlight w:val="none"/>
        </w:rPr>
        <w:t>在收到中标通知书后的</w:t>
      </w:r>
      <w:r>
        <w:rPr>
          <w:rFonts w:ascii="宋体" w:hAnsi="宋体"/>
          <w:b/>
          <w:color w:val="000000"/>
          <w:sz w:val="24"/>
          <w:highlight w:val="none"/>
        </w:rPr>
        <w:t>15</w:t>
      </w:r>
      <w:r>
        <w:rPr>
          <w:rFonts w:hint="eastAsia" w:ascii="宋体" w:hAnsi="宋体"/>
          <w:b/>
          <w:color w:val="000000"/>
          <w:sz w:val="24"/>
          <w:highlight w:val="none"/>
        </w:rPr>
        <w:t>日</w:t>
      </w:r>
      <w:r>
        <w:rPr>
          <w:rFonts w:hint="eastAsia" w:ascii="宋体" w:hAnsi="宋体"/>
          <w:color w:val="000000"/>
          <w:sz w:val="24"/>
          <w:highlight w:val="none"/>
        </w:rPr>
        <w:t>内，中标人应按本须知前附表第</w:t>
      </w:r>
      <w:r>
        <w:rPr>
          <w:rFonts w:ascii="宋体" w:hAnsi="宋体"/>
          <w:color w:val="000000"/>
          <w:sz w:val="24"/>
          <w:highlight w:val="none"/>
        </w:rPr>
        <w:t>2</w:t>
      </w:r>
      <w:r>
        <w:rPr>
          <w:rFonts w:hint="eastAsia" w:ascii="宋体" w:hAnsi="宋体"/>
          <w:color w:val="000000"/>
          <w:sz w:val="24"/>
          <w:highlight w:val="none"/>
        </w:rPr>
        <w:t>0项的规定向招标人提交履约担保。</w:t>
      </w:r>
    </w:p>
    <w:p>
      <w:pPr>
        <w:snapToGrid w:val="0"/>
        <w:spacing w:line="360" w:lineRule="auto"/>
        <w:ind w:firstLine="480" w:firstLineChars="200"/>
        <w:rPr>
          <w:rFonts w:hint="eastAsia" w:ascii="宋体" w:hAnsi="宋体"/>
          <w:color w:val="000000"/>
          <w:sz w:val="24"/>
          <w:highlight w:val="none"/>
        </w:rPr>
      </w:pPr>
      <w:r>
        <w:rPr>
          <w:rFonts w:ascii="宋体" w:hAnsi="宋体"/>
          <w:color w:val="000000"/>
          <w:sz w:val="24"/>
          <w:highlight w:val="none"/>
        </w:rPr>
        <w:t>29.2</w:t>
      </w:r>
      <w:r>
        <w:rPr>
          <w:rFonts w:hint="eastAsia" w:ascii="宋体" w:hAnsi="宋体"/>
          <w:color w:val="000000"/>
          <w:sz w:val="24"/>
          <w:highlight w:val="none"/>
        </w:rPr>
        <w:t>中标通知书发出之日起</w:t>
      </w:r>
      <w:r>
        <w:rPr>
          <w:rFonts w:ascii="宋体" w:hAnsi="宋体"/>
          <w:color w:val="000000"/>
          <w:sz w:val="24"/>
          <w:highlight w:val="none"/>
        </w:rPr>
        <w:t>15</w:t>
      </w:r>
      <w:r>
        <w:rPr>
          <w:rFonts w:hint="eastAsia" w:ascii="宋体" w:hAnsi="宋体"/>
          <w:color w:val="000000"/>
          <w:sz w:val="24"/>
          <w:highlight w:val="none"/>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30</w:t>
      </w:r>
      <w:r>
        <w:rPr>
          <w:rFonts w:hint="eastAsia" w:ascii="宋体" w:hAnsi="宋体"/>
          <w:b/>
          <w:bCs/>
          <w:color w:val="auto"/>
          <w:sz w:val="24"/>
          <w:highlight w:val="none"/>
        </w:rPr>
        <w:t>．合同生效</w:t>
      </w:r>
    </w:p>
    <w:p>
      <w:pPr>
        <w:spacing w:line="360" w:lineRule="auto"/>
        <w:ind w:firstLine="480" w:firstLineChars="200"/>
        <w:rPr>
          <w:rFonts w:ascii="宋体"/>
          <w:color w:val="auto"/>
          <w:sz w:val="24"/>
          <w:highlight w:val="none"/>
        </w:rPr>
      </w:pPr>
      <w:r>
        <w:rPr>
          <w:rFonts w:ascii="宋体" w:hAnsi="宋体"/>
          <w:color w:val="auto"/>
          <w:sz w:val="24"/>
          <w:highlight w:val="none"/>
        </w:rPr>
        <w:t>30.1</w:t>
      </w:r>
      <w:r>
        <w:rPr>
          <w:rFonts w:hint="eastAsia" w:ascii="宋体" w:hAnsi="宋体"/>
          <w:color w:val="auto"/>
          <w:sz w:val="24"/>
          <w:highlight w:val="none"/>
        </w:rPr>
        <w:t>在合同双方全权代表在合同协议书上签字，并分别加盖双方单位的公章</w:t>
      </w:r>
      <w:r>
        <w:rPr>
          <w:rFonts w:hint="eastAsia" w:ascii="宋体" w:hAnsi="宋体"/>
          <w:color w:val="auto"/>
          <w:sz w:val="24"/>
          <w:highlight w:val="none"/>
          <w:lang w:val="en-US" w:eastAsia="zh-CN"/>
        </w:rPr>
        <w:t>或合同专用章</w:t>
      </w:r>
      <w:r>
        <w:rPr>
          <w:rFonts w:hint="eastAsia" w:ascii="宋体" w:hAnsi="宋体"/>
          <w:color w:val="auto"/>
          <w:sz w:val="24"/>
          <w:highlight w:val="none"/>
        </w:rPr>
        <w:t>后，合同正式生效。</w:t>
      </w:r>
    </w:p>
    <w:p>
      <w:pPr>
        <w:spacing w:line="360" w:lineRule="auto"/>
        <w:ind w:firstLine="482" w:firstLineChars="200"/>
        <w:rPr>
          <w:rFonts w:ascii="宋体"/>
          <w:b/>
          <w:bCs/>
          <w:color w:val="auto"/>
          <w:sz w:val="24"/>
          <w:highlight w:val="none"/>
        </w:rPr>
      </w:pPr>
      <w:r>
        <w:rPr>
          <w:rFonts w:ascii="宋体" w:hAnsi="宋体"/>
          <w:b/>
          <w:bCs/>
          <w:color w:val="auto"/>
          <w:sz w:val="24"/>
          <w:highlight w:val="none"/>
        </w:rPr>
        <w:t>31</w:t>
      </w:r>
      <w:r>
        <w:rPr>
          <w:rFonts w:hint="eastAsia" w:ascii="宋体" w:hAnsi="宋体"/>
          <w:b/>
          <w:bCs/>
          <w:color w:val="auto"/>
          <w:sz w:val="24"/>
          <w:highlight w:val="none"/>
        </w:rPr>
        <w:t>．其它费用</w:t>
      </w:r>
    </w:p>
    <w:p>
      <w:pPr>
        <w:pStyle w:val="39"/>
        <w:spacing w:after="0" w:line="360" w:lineRule="auto"/>
        <w:ind w:firstLine="482" w:firstLineChars="200"/>
        <w:rPr>
          <w:rFonts w:ascii="宋体"/>
          <w:b/>
          <w:bCs/>
          <w:color w:val="auto"/>
          <w:sz w:val="24"/>
          <w:highlight w:val="none"/>
        </w:rPr>
      </w:pPr>
      <w:r>
        <w:rPr>
          <w:rFonts w:ascii="宋体" w:hAnsi="宋体"/>
          <w:b/>
          <w:bCs/>
          <w:color w:val="auto"/>
          <w:sz w:val="24"/>
          <w:highlight w:val="none"/>
        </w:rPr>
        <w:t>32</w:t>
      </w:r>
      <w:r>
        <w:rPr>
          <w:rFonts w:hint="eastAsia" w:ascii="宋体" w:hAnsi="宋体"/>
          <w:b/>
          <w:bCs/>
          <w:color w:val="auto"/>
          <w:sz w:val="24"/>
          <w:highlight w:val="none"/>
        </w:rPr>
        <w:t>．腐败与欺诈行为</w:t>
      </w:r>
    </w:p>
    <w:p>
      <w:pPr>
        <w:pStyle w:val="39"/>
        <w:spacing w:after="0" w:line="360" w:lineRule="auto"/>
        <w:ind w:firstLine="480" w:firstLineChars="200"/>
        <w:rPr>
          <w:rFonts w:ascii="宋体"/>
          <w:color w:val="auto"/>
          <w:sz w:val="24"/>
          <w:highlight w:val="none"/>
        </w:rPr>
      </w:pPr>
      <w:r>
        <w:rPr>
          <w:rFonts w:hint="eastAsia" w:ascii="宋体" w:hAnsi="宋体"/>
          <w:color w:val="auto"/>
          <w:sz w:val="24"/>
          <w:highlight w:val="none"/>
        </w:rPr>
        <w:t>在招标和合同实施期间，招标人要求投标人和承包人遵守最高的道德标准。</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对本条款的规定，特定义如下词汇：</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）、“腐败行为”是指在招标或合同执行期间，通过提供、给予、接受或索要任何有价值的东西，从而影响招标人有关人员工作的行为；</w:t>
      </w:r>
    </w:p>
    <w:p>
      <w:pPr>
        <w:pStyle w:val="39"/>
        <w:spacing w:after="0" w:line="360" w:lineRule="auto"/>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pStyle w:val="39"/>
        <w:spacing w:after="0" w:line="360" w:lineRule="auto"/>
        <w:ind w:firstLine="480" w:firstLineChars="200"/>
        <w:rPr>
          <w:rFonts w:ascii="宋体" w:hAns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如果投标人被认定在本招标的竞争中有腐败或欺诈行为，则会被取消投标资格。</w:t>
      </w:r>
    </w:p>
    <w:p>
      <w:pPr>
        <w:pStyle w:val="39"/>
        <w:spacing w:after="0" w:line="360" w:lineRule="auto"/>
        <w:ind w:firstLine="480" w:firstLineChars="200"/>
        <w:rPr>
          <w:rFonts w:ascii="宋体"/>
          <w:color w:val="auto"/>
          <w:sz w:val="24"/>
          <w:highlight w:val="none"/>
        </w:rPr>
      </w:pPr>
      <w:r>
        <w:rPr>
          <w:rFonts w:hint="eastAsia" w:ascii="宋体"/>
          <w:color w:val="auto"/>
          <w:sz w:val="24"/>
          <w:highlight w:val="none"/>
        </w:rPr>
        <w:t>32.3投标人如在本项目中存在串通投标、弄虚作假</w:t>
      </w:r>
      <w:r>
        <w:rPr>
          <w:rFonts w:hint="eastAsia" w:ascii="宋体"/>
          <w:color w:val="auto"/>
          <w:sz w:val="24"/>
          <w:highlight w:val="none"/>
          <w:lang w:val="en-US" w:eastAsia="zh-CN"/>
        </w:rPr>
        <w:t>骗取中标</w:t>
      </w:r>
      <w:r>
        <w:rPr>
          <w:rFonts w:hint="eastAsia" w:ascii="宋体"/>
          <w:color w:val="auto"/>
          <w:sz w:val="24"/>
          <w:highlight w:val="none"/>
        </w:rPr>
        <w:t>、行贿情形的，中标无效，行政监督部门将对其违法行为进行政处罚。该投标人将被招标人列入黑名单并限制其参与招标人后续项目的投标。</w:t>
      </w:r>
    </w:p>
    <w:bookmarkEnd w:id="8"/>
    <w:p>
      <w:pPr>
        <w:pStyle w:val="156"/>
        <w:spacing w:line="360" w:lineRule="auto"/>
        <w:ind w:firstLine="480"/>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157"/>
        <w:rPr>
          <w:rFonts w:hint="eastAsia" w:ascii="宋体" w:hAnsi="宋体" w:eastAsia="宋体" w:cs="宋体"/>
          <w:color w:val="auto"/>
          <w:sz w:val="24"/>
          <w:highlight w:val="none"/>
        </w:rPr>
      </w:pPr>
    </w:p>
    <w:p>
      <w:pPr>
        <w:pStyle w:val="4"/>
        <w:rPr>
          <w:rFonts w:hint="eastAsia" w:ascii="宋体" w:hAnsi="宋体" w:eastAsia="宋体" w:cs="宋体"/>
          <w:color w:val="auto"/>
          <w:highlight w:val="none"/>
        </w:rPr>
      </w:pPr>
      <w:bookmarkStart w:id="17" w:name="_Toc28424"/>
      <w:bookmarkStart w:id="18" w:name="_Toc5975575"/>
      <w:r>
        <w:rPr>
          <w:rFonts w:hint="eastAsia" w:ascii="宋体" w:hAnsi="宋体" w:eastAsia="宋体" w:cs="宋体"/>
          <w:color w:val="auto"/>
          <w:highlight w:val="none"/>
        </w:rPr>
        <w:t>第二章开标、评标及定标办法</w:t>
      </w:r>
      <w:bookmarkEnd w:id="17"/>
      <w:bookmarkEnd w:id="18"/>
    </w:p>
    <w:p>
      <w:pPr>
        <w:pStyle w:val="8"/>
        <w:spacing w:line="416" w:lineRule="auto"/>
        <w:ind w:left="0" w:firstLine="0"/>
        <w:rPr>
          <w:rFonts w:hint="eastAsia" w:ascii="宋体" w:hAnsi="宋体" w:eastAsia="宋体" w:cs="宋体"/>
          <w:color w:val="auto"/>
          <w:highlight w:val="none"/>
        </w:rPr>
      </w:pPr>
      <w:bookmarkStart w:id="19" w:name="_Toc5975576"/>
      <w:bookmarkStart w:id="20" w:name="_Toc1941"/>
      <w:r>
        <w:rPr>
          <w:rFonts w:hint="eastAsia" w:ascii="宋体" w:hAnsi="宋体" w:eastAsia="宋体" w:cs="宋体"/>
          <w:color w:val="auto"/>
          <w:sz w:val="28"/>
          <w:szCs w:val="28"/>
          <w:highlight w:val="none"/>
        </w:rPr>
        <w:t>一、</w:t>
      </w:r>
      <w:r>
        <w:rPr>
          <w:rFonts w:hint="eastAsia" w:ascii="宋体" w:hAnsi="宋体" w:eastAsia="宋体" w:cs="宋体"/>
          <w:color w:val="auto"/>
          <w:highlight w:val="none"/>
        </w:rPr>
        <w:t>开标、评标及定标办法修改表</w:t>
      </w:r>
      <w:bookmarkEnd w:id="19"/>
      <w:bookmarkEnd w:id="20"/>
    </w:p>
    <w:p>
      <w:pPr>
        <w:pStyle w:val="156"/>
        <w:spacing w:line="400" w:lineRule="exact"/>
        <w:ind w:firstLine="42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声明：本</w:t>
      </w:r>
      <w:r>
        <w:rPr>
          <w:rFonts w:hint="eastAsia" w:ascii="宋体" w:hAnsi="宋体" w:eastAsia="宋体" w:cs="宋体"/>
          <w:b/>
          <w:color w:val="auto"/>
          <w:highlight w:val="none"/>
        </w:rPr>
        <w:t>开标、评标及定标办法使用GZZB2018-3招标文件范本的开标、评标及定标办法通用条款，与该通用条款不同之处，均在本表中列明，并以现文为准，原</w:t>
      </w:r>
      <w:r>
        <w:rPr>
          <w:rFonts w:hint="eastAsia" w:ascii="宋体" w:hAnsi="宋体" w:eastAsia="宋体" w:cs="宋体"/>
          <w:b/>
          <w:color w:val="auto"/>
          <w:szCs w:val="21"/>
          <w:highlight w:val="none"/>
        </w:rPr>
        <w:t>文不再有效。本招标文件中不再转录</w:t>
      </w:r>
      <w:r>
        <w:rPr>
          <w:rFonts w:hint="eastAsia" w:ascii="宋体" w:hAnsi="宋体" w:eastAsia="宋体" w:cs="宋体"/>
          <w:b/>
          <w:color w:val="auto"/>
          <w:highlight w:val="none"/>
        </w:rPr>
        <w:t>开标、评标及定标办法</w:t>
      </w:r>
      <w:r>
        <w:rPr>
          <w:rFonts w:hint="eastAsia" w:ascii="宋体" w:hAnsi="宋体" w:eastAsia="宋体" w:cs="宋体"/>
          <w:b/>
          <w:color w:val="auto"/>
          <w:szCs w:val="21"/>
          <w:highlight w:val="none"/>
        </w:rPr>
        <w:t>通用条款，请投标人自行到广州市住房和城乡建设局网站（网址：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"http://www.gzcc.gov.cn/）下载GZZB2018-3" </w:instrText>
      </w:r>
      <w:r>
        <w:rPr>
          <w:rFonts w:hint="eastAsia" w:ascii="宋体" w:hAnsi="宋体" w:eastAsia="宋体" w:cs="宋体"/>
          <w:color w:val="auto"/>
          <w:highlight w:val="none"/>
        </w:rPr>
        <w:fldChar w:fldCharType="separate"/>
      </w:r>
      <w:r>
        <w:rPr>
          <w:rFonts w:hint="eastAsia" w:ascii="宋体" w:hAnsi="宋体" w:eastAsia="宋体" w:cs="宋体"/>
          <w:b/>
          <w:color w:val="auto"/>
          <w:szCs w:val="21"/>
          <w:highlight w:val="none"/>
        </w:rPr>
        <w:t>http://zfcj.gz.gov.cn/</w:t>
      </w:r>
      <w:r>
        <w:rPr>
          <w:rStyle w:val="50"/>
          <w:rFonts w:hint="eastAsia" w:ascii="宋体" w:hAnsi="宋体" w:eastAsia="宋体" w:cs="宋体"/>
          <w:b/>
          <w:color w:val="auto"/>
          <w:szCs w:val="21"/>
          <w:highlight w:val="none"/>
        </w:rPr>
        <w:t>）下载GZZB2018-3</w:t>
      </w:r>
      <w:r>
        <w:rPr>
          <w:rStyle w:val="50"/>
          <w:rFonts w:hint="eastAsia" w:ascii="宋体" w:hAnsi="宋体" w:eastAsia="宋体" w:cs="宋体"/>
          <w:b/>
          <w:color w:val="auto"/>
          <w:szCs w:val="21"/>
          <w:highlight w:val="none"/>
        </w:rPr>
        <w:fldChar w:fldCharType="end"/>
      </w:r>
      <w:r>
        <w:rPr>
          <w:rFonts w:hint="eastAsia" w:ascii="宋体" w:hAnsi="宋体" w:eastAsia="宋体" w:cs="宋体"/>
          <w:b/>
          <w:color w:val="auto"/>
          <w:szCs w:val="21"/>
          <w:highlight w:val="none"/>
        </w:rPr>
        <w:t>范本查阅。</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条款号：36.1修改类型：修改</w:t>
      </w:r>
    </w:p>
    <w:p>
      <w:pPr>
        <w:spacing w:line="36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招标人按投标须知前附表第18项所规定的时间和地点公开开标，并邀请所有投标人参加。截标后，开标开始时间因故推迟的，相关评标信息仍以原定的开标开始时间的信息为准。</w:t>
      </w:r>
    </w:p>
    <w:p>
      <w:pPr>
        <w:pBdr>
          <w:bottom w:val="single" w:color="auto" w:sz="6" w:space="1"/>
        </w:pBdr>
        <w:spacing w:line="360" w:lineRule="auto"/>
        <w:ind w:firstLine="527" w:firstLineChars="250"/>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招标人按投标须知前附表第18项所规定的时间和地点公开开标，并邀请所有投标人参加。截标后，开标开始时间因故推迟的，相关评标信息仍以原定的开标开始时间的信息为准。</w:t>
      </w:r>
      <w:r>
        <w:rPr>
          <w:rFonts w:hint="eastAsia" w:ascii="宋体" w:hAnsi="宋体" w:eastAsia="宋体" w:cs="宋体"/>
          <w:color w:val="auto"/>
          <w:szCs w:val="21"/>
          <w:highlight w:val="none"/>
          <w:u w:val="single"/>
        </w:rPr>
        <w:t>若投标人不参加开标会的，其投标文件在开标现场的投标人或招标人代表、招标代理机构代表及交易中心代表见证下公开开启、解密、公布，并视同该投标人认可开标结果。</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条款号：36.3修改类型：删除</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根据投标须知前附表第19项，如需抽取某一种评标办法供评标时使用的，应在开标前抽取。首先对招标文件中约定的若干种评标方法进行编号，再随机抽取某一编号，该编号所对应的评标办法供评标时使用。</w:t>
      </w:r>
    </w:p>
    <w:p>
      <w:pPr>
        <w:pBdr>
          <w:bottom w:val="single" w:color="auto" w:sz="6" w:space="1"/>
        </w:pBdr>
        <w:spacing w:line="480" w:lineRule="auto"/>
        <w:ind w:firstLine="472"/>
        <w:rPr>
          <w:rFonts w:hint="eastAsia" w:ascii="宋体" w:hAnsi="宋体" w:eastAsia="宋体" w:cs="宋体"/>
          <w:b/>
          <w:color w:val="auto"/>
          <w:szCs w:val="21"/>
          <w:highlight w:val="none"/>
        </w:rPr>
      </w:pPr>
    </w:p>
    <w:p>
      <w:pPr>
        <w:spacing w:line="4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36.5.1</w:t>
      </w:r>
      <w:r>
        <w:rPr>
          <w:rFonts w:hint="eastAsia" w:ascii="宋体" w:hAnsi="宋体" w:eastAsia="宋体" w:cs="宋体"/>
          <w:b/>
          <w:color w:val="auto"/>
          <w:szCs w:val="21"/>
          <w:highlight w:val="none"/>
        </w:rPr>
        <w:t>修改类型：修改</w:t>
      </w:r>
    </w:p>
    <w:p>
      <w:pPr>
        <w:spacing w:line="40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color w:val="auto"/>
          <w:sz w:val="21"/>
          <w:szCs w:val="21"/>
          <w:highlight w:val="none"/>
        </w:rPr>
        <w:t>在投标截止时间后半小时内，投标人通过</w:t>
      </w:r>
      <w:r>
        <w:rPr>
          <w:color w:val="auto"/>
          <w:sz w:val="21"/>
          <w:szCs w:val="21"/>
          <w:highlight w:val="none"/>
          <w:u w:val="single"/>
        </w:rPr>
        <w:t xml:space="preserve">        </w:t>
      </w:r>
      <w:r>
        <w:rPr>
          <w:rFonts w:hint="eastAsia" w:ascii="宋体" w:hAnsi="宋体"/>
          <w:color w:val="auto"/>
          <w:sz w:val="21"/>
          <w:szCs w:val="21"/>
          <w:highlight w:val="none"/>
        </w:rPr>
        <w:t>交易平台对已递交的电子投标文件进行解密。投标人完成解密后，再由招标人进行解密（如有项目负责人签到环节，应在项目负责人签到完成后，招标人再进行解密）。解密完成后，公布招标项目名称、投标人名称、投标保证金的递交情况、投标报价、工期及其他内容；</w:t>
      </w:r>
    </w:p>
    <w:p>
      <w:pPr>
        <w:pBdr>
          <w:bottom w:val="single" w:color="auto" w:sz="6" w:space="1"/>
        </w:pBdr>
        <w:spacing w:line="4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在投标截止时间后半小时内，投标人通过</w:t>
      </w:r>
      <w:r>
        <w:rPr>
          <w:rFonts w:hint="eastAsia" w:ascii="宋体" w:hAnsi="宋体" w:eastAsia="宋体" w:cs="宋体"/>
          <w:color w:val="auto"/>
          <w:szCs w:val="21"/>
          <w:highlight w:val="none"/>
          <w:u w:val="single"/>
        </w:rPr>
        <w:t xml:space="preserve">广州公共资源交易中心 </w:t>
      </w:r>
      <w:r>
        <w:rPr>
          <w:rFonts w:hint="eastAsia" w:ascii="宋体" w:hAnsi="宋体" w:eastAsia="宋体" w:cs="宋体"/>
          <w:color w:val="auto"/>
          <w:szCs w:val="21"/>
          <w:highlight w:val="none"/>
        </w:rPr>
        <w:t>交易平台对已递交的电子投标文件进行解密。投标人完成解密后，再由招标人</w:t>
      </w:r>
      <w:r>
        <w:rPr>
          <w:rFonts w:hint="eastAsia" w:ascii="宋体" w:hAnsi="宋体" w:eastAsia="宋体" w:cs="宋体"/>
          <w:color w:val="auto"/>
          <w:szCs w:val="21"/>
          <w:highlight w:val="none"/>
          <w:u w:val="single"/>
        </w:rPr>
        <w:t>或招标代理机构</w:t>
      </w:r>
      <w:r>
        <w:rPr>
          <w:rFonts w:hint="eastAsia" w:ascii="宋体" w:hAnsi="宋体" w:eastAsia="宋体" w:cs="宋体"/>
          <w:color w:val="auto"/>
          <w:szCs w:val="21"/>
          <w:highlight w:val="none"/>
        </w:rPr>
        <w:t>进行解密。解密完成后，公布招标项目名称、投标人名称、投标保证金的递交情况、投标报价、工期及其他内容；</w:t>
      </w:r>
    </w:p>
    <w:p>
      <w:pPr>
        <w:spacing w:line="36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 xml:space="preserve">36.5.3           </w:t>
      </w:r>
      <w:r>
        <w:rPr>
          <w:rFonts w:hint="eastAsia" w:ascii="宋体" w:hAnsi="宋体" w:eastAsia="宋体" w:cs="宋体"/>
          <w:b/>
          <w:color w:val="auto"/>
          <w:szCs w:val="21"/>
          <w:highlight w:val="none"/>
        </w:rPr>
        <w:t>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投标人代表、招标人代表、监标人、记录人等有关人员在开标记录上签字确认；若有关人员不签字的，不影响开标程序；</w:t>
      </w:r>
    </w:p>
    <w:p>
      <w:pPr>
        <w:pBdr>
          <w:bottom w:val="single" w:color="auto" w:sz="6" w:space="1"/>
        </w:pBdr>
        <w:spacing w:line="36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投标人代表、招标人代表、监标人、记录人等有关人员在开标记录上签字确认；若有关人员不签字的，不影响开标程序；</w:t>
      </w:r>
      <w:r>
        <w:rPr>
          <w:rFonts w:hint="eastAsia" w:ascii="宋体" w:hAnsi="宋体" w:eastAsia="宋体" w:cs="宋体"/>
          <w:color w:val="auto"/>
          <w:szCs w:val="21"/>
          <w:highlight w:val="none"/>
          <w:u w:val="single"/>
        </w:rPr>
        <w:t>若投标人不参加开标会的，或不签字确认的，视同该投标人认可开标结果。</w:t>
      </w:r>
    </w:p>
    <w:p>
      <w:pPr>
        <w:spacing w:line="400" w:lineRule="exact"/>
        <w:ind w:firstLine="472" w:firstLineChars="224"/>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条款号：38.1                    修改类型：修改</w:t>
      </w:r>
    </w:p>
    <w:p>
      <w:pPr>
        <w:spacing w:line="400" w:lineRule="exact"/>
        <w:ind w:firstLine="470" w:firstLineChars="224"/>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原文：</w:t>
      </w:r>
      <w:r>
        <w:rPr>
          <w:rFonts w:hint="eastAsia" w:ascii="宋体" w:hAnsi="宋体" w:eastAsia="宋体" w:cs="宋体"/>
          <w:color w:val="auto"/>
          <w:szCs w:val="21"/>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spacing w:line="400" w:lineRule="exact"/>
        <w:ind w:firstLine="470" w:firstLineChars="224"/>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现文：</w:t>
      </w:r>
      <w:r>
        <w:rPr>
          <w:rFonts w:hint="eastAsia" w:ascii="宋体" w:hAnsi="宋体" w:eastAsia="宋体" w:cs="宋体"/>
          <w:color w:val="auto"/>
          <w:szCs w:val="21"/>
          <w:highlight w:val="none"/>
        </w:rPr>
        <w:t>为有助于投标文件的审查、评价和比较，评标期间，经</w:t>
      </w:r>
      <w:r>
        <w:rPr>
          <w:rFonts w:hint="eastAsia" w:ascii="宋体" w:hAnsi="宋体" w:eastAsia="宋体" w:cs="宋体"/>
          <w:color w:val="auto"/>
          <w:szCs w:val="21"/>
          <w:highlight w:val="none"/>
          <w:u w:val="single"/>
        </w:rPr>
        <w:t>综合评标委员</w:t>
      </w:r>
      <w:r>
        <w:rPr>
          <w:rFonts w:hint="eastAsia" w:ascii="宋体" w:hAnsi="宋体" w:eastAsia="宋体" w:cs="宋体"/>
          <w:color w:val="auto"/>
          <w:szCs w:val="21"/>
          <w:highlight w:val="none"/>
        </w:rPr>
        <w:t>会中两人以上（含两人）的成员以书面形式提出动议，</w:t>
      </w:r>
      <w:r>
        <w:rPr>
          <w:rFonts w:hint="eastAsia" w:ascii="宋体" w:hAnsi="宋体" w:eastAsia="宋体" w:cs="宋体"/>
          <w:color w:val="auto"/>
          <w:szCs w:val="21"/>
          <w:highlight w:val="none"/>
          <w:u w:val="single"/>
        </w:rPr>
        <w:t>综合评标委员</w:t>
      </w:r>
      <w:r>
        <w:rPr>
          <w:rFonts w:hint="eastAsia" w:ascii="宋体" w:hAnsi="宋体" w:eastAsia="宋体" w:cs="宋体"/>
          <w:color w:val="auto"/>
          <w:szCs w:val="21"/>
          <w:highlight w:val="none"/>
        </w:rPr>
        <w:t>会应当书面发出澄清通知，要求投标人</w:t>
      </w:r>
      <w:r>
        <w:rPr>
          <w:rFonts w:hint="eastAsia" w:ascii="宋体" w:hAnsi="宋体" w:eastAsia="宋体" w:cs="宋体"/>
          <w:color w:val="auto"/>
          <w:szCs w:val="21"/>
          <w:highlight w:val="none"/>
          <w:u w:val="single"/>
        </w:rPr>
        <w:t>对投标文件含义不明确、对同类问题表述不一致、有明显文字和计算错误的内容以及细微偏差的内容</w:t>
      </w:r>
      <w:r>
        <w:rPr>
          <w:rFonts w:hint="eastAsia" w:ascii="宋体" w:hAnsi="宋体" w:eastAsia="宋体" w:cs="宋体"/>
          <w:color w:val="auto"/>
          <w:szCs w:val="21"/>
          <w:highlight w:val="none"/>
        </w:rPr>
        <w:t>作出澄清。</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条款号：39.2修改类型：修改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依法必须进行公开招标的项目，招标人应当确定排名第一的中标候选人为中标人；</w:t>
      </w:r>
    </w:p>
    <w:p>
      <w:pPr>
        <w:pBdr>
          <w:bottom w:val="single" w:color="auto" w:sz="6" w:space="1"/>
        </w:pBdr>
        <w:spacing w:line="480" w:lineRule="auto"/>
        <w:ind w:firstLine="472" w:firstLineChars="22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依法必须进行公开招标的项目，招标人应当确定排名第一的中标候选人</w:t>
      </w:r>
      <w:r>
        <w:rPr>
          <w:rFonts w:hint="eastAsia" w:ascii="宋体" w:hAnsi="宋体" w:eastAsia="宋体" w:cs="宋体"/>
          <w:color w:val="auto"/>
          <w:szCs w:val="21"/>
          <w:highlight w:val="none"/>
          <w:u w:val="single"/>
        </w:rPr>
        <w:t>，若在填报中标候选人公示信息时被发现委派的项目负责人已在其他在建项目中任职的，则不能进行中标候选人公示，招标人可以确定排名第二的中标候选人为中标人。</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条款号：39. 3修改类型：修改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排名第一的中标候选人放弃中标、或因不可抗力提出不能履行合同，或者招标文件规定应当提交履约担保而在规定的期限内未能提交的，招标人可以确定排名第二的中标候选人为中标人。</w:t>
      </w:r>
    </w:p>
    <w:p>
      <w:pPr>
        <w:pBdr>
          <w:bottom w:val="single" w:color="auto" w:sz="6" w:space="1"/>
        </w:pBd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排名第一的中标候选人放弃中标、或因不可抗力提出不能履行合同，或者招标文件规定应当提交履约担保而在规定的期限内未能提交的，或经核查发现委派的项目负责人已在其他在建项目中</w:t>
      </w:r>
      <w:r>
        <w:rPr>
          <w:rFonts w:hint="eastAsia" w:ascii="宋体" w:hAnsi="宋体" w:eastAsia="宋体" w:cs="宋体"/>
          <w:color w:val="auto"/>
          <w:szCs w:val="21"/>
          <w:highlight w:val="none"/>
          <w:lang w:val="en-US" w:eastAsia="zh-CN"/>
        </w:rPr>
        <w:t>担任本职务</w:t>
      </w:r>
      <w:r>
        <w:rPr>
          <w:rFonts w:hint="eastAsia" w:ascii="宋体" w:hAnsi="宋体" w:eastAsia="宋体" w:cs="宋体"/>
          <w:color w:val="auto"/>
          <w:szCs w:val="21"/>
          <w:highlight w:val="none"/>
        </w:rPr>
        <w:t>的，招标人可以确定排名第二的中标候选人为中标人。</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条款号：41.1修改类型：修改</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开标由招标人主持；</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开标由招标人</w:t>
      </w:r>
      <w:r>
        <w:rPr>
          <w:rFonts w:hint="eastAsia" w:ascii="宋体" w:hAnsi="宋体" w:eastAsia="宋体" w:cs="宋体"/>
          <w:color w:val="auto"/>
          <w:szCs w:val="21"/>
          <w:highlight w:val="none"/>
          <w:u w:val="single"/>
        </w:rPr>
        <w:t>或招标代理</w:t>
      </w:r>
      <w:r>
        <w:rPr>
          <w:rFonts w:hint="eastAsia" w:ascii="宋体" w:hAnsi="宋体" w:eastAsia="宋体" w:cs="宋体"/>
          <w:color w:val="auto"/>
          <w:szCs w:val="21"/>
          <w:highlight w:val="none"/>
        </w:rPr>
        <w:t>主持；</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条款号：41.2.1修改类型：修改</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color w:val="auto"/>
          <w:sz w:val="21"/>
          <w:szCs w:val="21"/>
          <w:highlight w:val="none"/>
        </w:rPr>
        <w:t>投标截止期前，各投标人递交投标文件（包括技术标投标文件、经济标投标文件）至</w:t>
      </w:r>
      <w:r>
        <w:rPr>
          <w:rFonts w:hint="eastAsia" w:ascii="宋体"/>
          <w:color w:val="auto"/>
          <w:sz w:val="21"/>
          <w:szCs w:val="21"/>
          <w:highlight w:val="none"/>
          <w:u w:val="single"/>
        </w:rPr>
        <w:t xml:space="preserve">        </w:t>
      </w:r>
      <w:r>
        <w:rPr>
          <w:rFonts w:hint="eastAsia" w:ascii="宋体"/>
          <w:color w:val="auto"/>
          <w:sz w:val="21"/>
          <w:szCs w:val="21"/>
          <w:highlight w:val="none"/>
        </w:rPr>
        <w:t>交易平台。有关投标文件提交的事项详见第一章投标须知</w:t>
      </w:r>
      <w:r>
        <w:rPr>
          <w:rFonts w:hint="eastAsia" w:ascii="宋体" w:hAnsi="宋体" w:eastAsia="宋体" w:cs="宋体"/>
          <w:color w:val="auto"/>
          <w:szCs w:val="21"/>
          <w:highlight w:val="none"/>
        </w:rPr>
        <w:t>。</w:t>
      </w:r>
    </w:p>
    <w:p>
      <w:pPr>
        <w:pBdr>
          <w:bottom w:val="single" w:color="auto" w:sz="6" w:space="1"/>
        </w:pBd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投标截止期前，各投标人递交投标文件（包括技术标投标文件（含资格审查文件）、经济标投标文件）至</w:t>
      </w:r>
      <w:r>
        <w:rPr>
          <w:rFonts w:hint="eastAsia" w:ascii="宋体" w:hAnsi="宋体" w:eastAsia="宋体" w:cs="宋体"/>
          <w:color w:val="auto"/>
          <w:szCs w:val="21"/>
          <w:highlight w:val="none"/>
          <w:u w:val="single"/>
        </w:rPr>
        <w:t xml:space="preserve">广州公共资源交易中心 </w:t>
      </w:r>
      <w:r>
        <w:rPr>
          <w:rFonts w:hint="eastAsia" w:ascii="宋体" w:hAnsi="宋体" w:eastAsia="宋体" w:cs="宋体"/>
          <w:color w:val="auto"/>
          <w:szCs w:val="21"/>
          <w:highlight w:val="none"/>
        </w:rPr>
        <w:t>交易平台。有关投标文件提交的事项详见第一章投标须知。</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条款号：41.2.2修改类型：删除</w:t>
      </w:r>
    </w:p>
    <w:p>
      <w:pPr>
        <w:pBdr>
          <w:bottom w:val="single" w:color="auto" w:sz="6" w:space="1"/>
        </w:pBdr>
        <w:spacing w:line="360" w:lineRule="auto"/>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开标前，首先由招标人随机抽取确定该工程计算评标参考价的等分点值X。</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strike/>
          <w:color w:val="auto"/>
          <w:szCs w:val="21"/>
          <w:highlight w:val="none"/>
        </w:rPr>
        <w:t>开标前，首先由招标人随机抽取确定该工程计算评标参考价的等分点值X</w:t>
      </w:r>
      <w:r>
        <w:rPr>
          <w:rFonts w:hint="eastAsia" w:ascii="宋体" w:hAnsi="宋体" w:eastAsia="宋体" w:cs="宋体"/>
          <w:strike/>
          <w:color w:val="auto"/>
          <w:sz w:val="24"/>
          <w:szCs w:val="24"/>
          <w:highlight w:val="none"/>
        </w:rPr>
        <w:t>。</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条款号：41.3             修改类型：修改</w:t>
      </w:r>
    </w:p>
    <w:p>
      <w:pPr>
        <w:spacing w:line="360" w:lineRule="auto"/>
        <w:ind w:firstLine="472" w:firstLineChars="224"/>
        <w:rPr>
          <w:rFonts w:hint="eastAsia" w:ascii="宋体" w:hAnsi="宋体" w:eastAsia="宋体" w:cs="宋体"/>
          <w:b/>
          <w:color w:val="auto"/>
          <w:sz w:val="18"/>
          <w:szCs w:val="18"/>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41.3招标人对开标过程进行记录，并存档备查，投标人在技术标开标记录上签字。</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41.3招标人</w:t>
      </w:r>
      <w:r>
        <w:rPr>
          <w:rFonts w:hint="eastAsia" w:ascii="宋体" w:hAnsi="宋体" w:eastAsia="宋体" w:cs="宋体"/>
          <w:color w:val="auto"/>
          <w:szCs w:val="21"/>
          <w:highlight w:val="none"/>
          <w:u w:val="single"/>
        </w:rPr>
        <w:t>或招标代理</w:t>
      </w:r>
      <w:r>
        <w:rPr>
          <w:rFonts w:hint="eastAsia" w:ascii="宋体" w:hAnsi="宋体" w:eastAsia="宋体" w:cs="宋体"/>
          <w:color w:val="auto"/>
          <w:szCs w:val="21"/>
          <w:highlight w:val="none"/>
        </w:rPr>
        <w:t>对开标过程进行记录，并存档备查，投标人在开标记录上签字</w:t>
      </w:r>
      <w:r>
        <w:rPr>
          <w:rFonts w:hint="eastAsia" w:ascii="宋体" w:hAnsi="宋体" w:eastAsia="宋体" w:cs="宋体"/>
          <w:color w:val="auto"/>
          <w:szCs w:val="21"/>
          <w:highlight w:val="none"/>
          <w:u w:val="single"/>
        </w:rPr>
        <w:t>，投标人未签字且未提出异议的将被视为默认开标结果</w:t>
      </w:r>
      <w:r>
        <w:rPr>
          <w:rFonts w:hint="eastAsia" w:ascii="宋体" w:hAnsi="宋体" w:eastAsia="宋体" w:cs="宋体"/>
          <w:color w:val="auto"/>
          <w:szCs w:val="21"/>
          <w:highlight w:val="none"/>
        </w:rPr>
        <w:t>。</w:t>
      </w: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条款号：42.2修改类型：修改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评标委员会的组成：方式。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方式一：评标委员会为综合评标委员会，负责资格审查及评标工作。</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方式二：评标委员会由技术评审组和经济评审组组成。其中：资格审查及技术评审由技术评标组负责，经济评审由经济评审组负责。</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评标委员会的组成：方式</w:t>
      </w:r>
      <w:r>
        <w:rPr>
          <w:rFonts w:hint="eastAsia" w:ascii="宋体" w:hAnsi="宋体" w:eastAsia="宋体" w:cs="宋体"/>
          <w:color w:val="auto"/>
          <w:szCs w:val="21"/>
          <w:highlight w:val="none"/>
          <w:u w:val="single"/>
        </w:rPr>
        <w:t>一</w:t>
      </w:r>
      <w:r>
        <w:rPr>
          <w:rFonts w:hint="eastAsia" w:ascii="宋体" w:hAnsi="宋体" w:eastAsia="宋体" w:cs="宋体"/>
          <w:color w:val="auto"/>
          <w:szCs w:val="21"/>
          <w:highlight w:val="none"/>
        </w:rPr>
        <w:t>。</w:t>
      </w:r>
    </w:p>
    <w:p>
      <w:pPr>
        <w:pBdr>
          <w:bottom w:val="single" w:color="auto" w:sz="4" w:space="1"/>
        </w:pBd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方式一：评标委员会为综合评标委员会，负责资格审查及评标工作。</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45.1</w:t>
      </w:r>
      <w:r>
        <w:rPr>
          <w:rFonts w:hint="eastAsia" w:ascii="宋体" w:hAnsi="宋体" w:eastAsia="宋体" w:cs="宋体"/>
          <w:b/>
          <w:color w:val="auto"/>
          <w:szCs w:val="21"/>
          <w:highlight w:val="none"/>
        </w:rPr>
        <w:t>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若通过技术标有效性审查的投标人中所有投标报价均大于等于最高投标限价*D%（D的取值范围为[94,100],由招标人自主确定）的（具体金额为：元），则本项目招标失败，由招标人依法重新招标。</w:t>
      </w:r>
    </w:p>
    <w:p>
      <w:pPr>
        <w:pBdr>
          <w:bottom w:val="single" w:color="auto" w:sz="4" w:space="1"/>
        </w:pBdr>
        <w:spacing w:line="360" w:lineRule="auto"/>
        <w:ind w:firstLine="422" w:firstLineChars="200"/>
        <w:rPr>
          <w:rFonts w:hint="eastAsia" w:ascii="宋体" w:hAnsi="宋体" w:eastAsia="宋体" w:cs="宋体"/>
          <w:bCs/>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若通过技术标有效性审查的投标人中所有投标报价均大于等于最高投标限价*</w:t>
      </w:r>
      <w:r>
        <w:rPr>
          <w:rFonts w:hint="eastAsia" w:ascii="宋体" w:hAnsi="宋体" w:eastAsia="宋体" w:cs="宋体"/>
          <w:color w:val="auto"/>
          <w:szCs w:val="21"/>
          <w:highlight w:val="none"/>
          <w:u w:val="single"/>
        </w:rPr>
        <w:t xml:space="preserve"> 100 %</w:t>
      </w:r>
      <w:r>
        <w:rPr>
          <w:rFonts w:hint="eastAsia" w:ascii="宋体" w:hAnsi="宋体" w:eastAsia="宋体" w:cs="宋体"/>
          <w:color w:val="auto"/>
          <w:szCs w:val="21"/>
          <w:highlight w:val="none"/>
        </w:rPr>
        <w:t>的</w:t>
      </w:r>
      <w:r>
        <w:rPr>
          <w:rFonts w:hint="eastAsia" w:ascii="宋体" w:hAnsi="宋体" w:eastAsia="宋体" w:cs="宋体"/>
          <w:bCs/>
          <w:strike/>
          <w:color w:val="auto"/>
          <w:szCs w:val="21"/>
          <w:highlight w:val="none"/>
        </w:rPr>
        <w:t>（</w:t>
      </w:r>
      <w:r>
        <w:rPr>
          <w:rFonts w:hint="eastAsia" w:ascii="宋体" w:hAnsi="宋体" w:eastAsia="宋体" w:cs="宋体"/>
          <w:strike/>
          <w:color w:val="auto"/>
          <w:szCs w:val="21"/>
          <w:highlight w:val="none"/>
        </w:rPr>
        <w:t>D的取值范围为[94,100],由招标人自主确定）的</w:t>
      </w:r>
      <w:r>
        <w:rPr>
          <w:rFonts w:hint="eastAsia" w:ascii="宋体" w:hAnsi="宋体" w:eastAsia="宋体" w:cs="宋体"/>
          <w:color w:val="auto"/>
          <w:szCs w:val="21"/>
          <w:highlight w:val="none"/>
        </w:rPr>
        <w:t>，则本项目招标失败，由招标人依法重新招标。</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45.2</w:t>
      </w:r>
      <w:r>
        <w:rPr>
          <w:rFonts w:hint="eastAsia" w:ascii="宋体" w:hAnsi="宋体" w:eastAsia="宋体" w:cs="宋体"/>
          <w:b/>
          <w:color w:val="auto"/>
          <w:szCs w:val="21"/>
          <w:highlight w:val="none"/>
        </w:rPr>
        <w:t>修改类型：修改</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按方法计算评标参考价：</w:t>
      </w:r>
    </w:p>
    <w:p>
      <w:pPr>
        <w:widowControl/>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方法一：加权平均法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技术标或技术标加诚信得分（具体由招标人自定）前N名（N≥5，具体由招标人自定）的经济报价加权平均，计算评标参考价。公式如下：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评标参考价=Σ（投标人的投标报价*报价权重）。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其中：报价权重的计算方法为：将N名投标人按技术分由高至低进行排序，第一名投标人的权重为（</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QUOTE </w:instrText>
      </w:r>
      <w:r>
        <w:rPr>
          <w:rFonts w:hint="eastAsia" w:ascii="宋体" w:hAnsi="宋体" w:eastAsia="宋体" w:cs="宋体"/>
          <w:color w:val="auto"/>
          <w:szCs w:val="21"/>
          <w:highlight w:val="none"/>
        </w:rPr>
        <w:drawing>
          <wp:inline distT="0" distB="0" distL="0" distR="0">
            <wp:extent cx="379730" cy="44831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9730" cy="448310"/>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drawing>
          <wp:inline distT="0" distB="0" distL="0" distR="0">
            <wp:extent cx="379730" cy="44831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9730" cy="448310"/>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），第二名投标人的权重为（</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QUOTE </w:instrText>
      </w:r>
      <w:r>
        <w:rPr>
          <w:rFonts w:hint="eastAsia" w:ascii="宋体" w:hAnsi="宋体" w:eastAsia="宋体" w:cs="宋体"/>
          <w:color w:val="auto"/>
          <w:position w:val="-23"/>
          <w:szCs w:val="21"/>
          <w:highlight w:val="none"/>
        </w:rPr>
        <w:drawing>
          <wp:inline distT="0" distB="0" distL="0" distR="0">
            <wp:extent cx="327660" cy="39687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separate"/>
      </w:r>
      <w:r>
        <w:rPr>
          <w:rFonts w:hint="eastAsia" w:ascii="宋体" w:hAnsi="宋体" w:eastAsia="宋体" w:cs="宋体"/>
          <w:color w:val="auto"/>
          <w:position w:val="-23"/>
          <w:szCs w:val="21"/>
          <w:highlight w:val="none"/>
        </w:rPr>
        <w:drawing>
          <wp:inline distT="0" distB="0" distL="0" distR="0">
            <wp:extent cx="327660" cy="39687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），以此类推，最后一名投标人的权重为（</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QUOTE </w:instrText>
      </w:r>
      <w:r>
        <w:rPr>
          <w:rFonts w:hint="eastAsia" w:ascii="宋体" w:hAnsi="宋体" w:eastAsia="宋体" w:cs="宋体"/>
          <w:color w:val="auto"/>
          <w:position w:val="-23"/>
          <w:szCs w:val="21"/>
          <w:highlight w:val="none"/>
        </w:rPr>
        <w:drawing>
          <wp:inline distT="0" distB="0" distL="0" distR="0">
            <wp:extent cx="327660" cy="39687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separate"/>
      </w:r>
      <w:r>
        <w:rPr>
          <w:rFonts w:hint="eastAsia" w:ascii="宋体" w:hAnsi="宋体" w:eastAsia="宋体" w:cs="宋体"/>
          <w:color w:val="auto"/>
          <w:position w:val="-23"/>
          <w:szCs w:val="21"/>
          <w:highlight w:val="none"/>
        </w:rPr>
        <w:drawing>
          <wp:inline distT="0" distB="0" distL="0" distR="0">
            <wp:extent cx="327660" cy="3968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pPr>
        <w:widowControl/>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方法二：区间抽取法</w:t>
      </w:r>
    </w:p>
    <w:p>
      <w:pPr>
        <w:widowControl/>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widowControl/>
        <w:snapToGrid w:val="0"/>
        <w:spacing w:line="360" w:lineRule="auto"/>
        <w:ind w:firstLine="420" w:firstLineChars="200"/>
        <w:rPr>
          <w:rFonts w:hint="eastAsia" w:ascii="宋体" w:hAnsi="宋体" w:eastAsia="宋体" w:cs="宋体"/>
          <w:color w:val="auto"/>
          <w:kern w:val="0"/>
          <w:szCs w:val="21"/>
          <w:highlight w:val="none"/>
          <w:vertAlign w:val="subscript"/>
        </w:rPr>
      </w:pPr>
      <w:r>
        <w:rPr>
          <w:rFonts w:hint="eastAsia" w:ascii="宋体" w:hAnsi="宋体" w:eastAsia="宋体" w:cs="宋体"/>
          <w:color w:val="auto"/>
          <w:kern w:val="0"/>
          <w:szCs w:val="21"/>
          <w:highlight w:val="none"/>
        </w:rPr>
        <w:t>评标参考价=（Q</w:t>
      </w:r>
      <w:r>
        <w:rPr>
          <w:rFonts w:hint="eastAsia" w:ascii="宋体" w:hAnsi="宋体" w:eastAsia="宋体" w:cs="宋体"/>
          <w:color w:val="auto"/>
          <w:kern w:val="0"/>
          <w:szCs w:val="21"/>
          <w:highlight w:val="none"/>
          <w:vertAlign w:val="subscript"/>
        </w:rPr>
        <w:t>高</w:t>
      </w:r>
      <w:r>
        <w:rPr>
          <w:rFonts w:hint="eastAsia" w:ascii="宋体" w:hAnsi="宋体" w:eastAsia="宋体" w:cs="宋体"/>
          <w:color w:val="auto"/>
          <w:kern w:val="0"/>
          <w:szCs w:val="21"/>
          <w:highlight w:val="none"/>
        </w:rPr>
        <w:t>-Q</w:t>
      </w:r>
      <w:r>
        <w:rPr>
          <w:rFonts w:hint="eastAsia" w:ascii="宋体" w:hAnsi="宋体" w:eastAsia="宋体" w:cs="宋体"/>
          <w:color w:val="auto"/>
          <w:kern w:val="0"/>
          <w:szCs w:val="21"/>
          <w:highlight w:val="none"/>
          <w:vertAlign w:val="subscript"/>
        </w:rPr>
        <w:t>低</w:t>
      </w:r>
      <w:r>
        <w:rPr>
          <w:rFonts w:hint="eastAsia" w:ascii="宋体" w:hAnsi="宋体" w:eastAsia="宋体" w:cs="宋体"/>
          <w:color w:val="auto"/>
          <w:kern w:val="0"/>
          <w:szCs w:val="21"/>
          <w:highlight w:val="none"/>
        </w:rPr>
        <w:t>）/100*Ｘ+Q</w:t>
      </w:r>
      <w:r>
        <w:rPr>
          <w:rFonts w:hint="eastAsia" w:ascii="宋体" w:hAnsi="宋体" w:eastAsia="宋体" w:cs="宋体"/>
          <w:color w:val="auto"/>
          <w:kern w:val="0"/>
          <w:szCs w:val="21"/>
          <w:highlight w:val="none"/>
          <w:vertAlign w:val="subscript"/>
        </w:rPr>
        <w:t>低</w:t>
      </w:r>
    </w:p>
    <w:p>
      <w:pPr>
        <w:widowControl/>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Q</w:t>
      </w:r>
      <w:r>
        <w:rPr>
          <w:rFonts w:hint="eastAsia" w:ascii="宋体" w:hAnsi="宋体" w:eastAsia="宋体" w:cs="宋体"/>
          <w:color w:val="auto"/>
          <w:szCs w:val="21"/>
          <w:highlight w:val="none"/>
          <w:vertAlign w:val="subscript"/>
        </w:rPr>
        <w:t>低</w:t>
      </w:r>
      <w:r>
        <w:rPr>
          <w:rFonts w:hint="eastAsia" w:ascii="宋体" w:hAnsi="宋体" w:eastAsia="宋体" w:cs="宋体"/>
          <w:color w:val="auto"/>
          <w:szCs w:val="21"/>
          <w:highlight w:val="none"/>
        </w:rPr>
        <w:t>：为达到或超过技术标及格分数线的投标人最低报价与工程成本警示价两者中的较高值；</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Q</w:t>
      </w:r>
      <w:r>
        <w:rPr>
          <w:rFonts w:hint="eastAsia" w:ascii="宋体" w:hAnsi="宋体" w:eastAsia="宋体" w:cs="宋体"/>
          <w:color w:val="auto"/>
          <w:kern w:val="0"/>
          <w:szCs w:val="21"/>
          <w:highlight w:val="none"/>
          <w:vertAlign w:val="subscript"/>
        </w:rPr>
        <w:t>高</w:t>
      </w:r>
      <w:r>
        <w:rPr>
          <w:rFonts w:hint="eastAsia" w:ascii="宋体" w:hAnsi="宋体" w:eastAsia="宋体" w:cs="宋体"/>
          <w:color w:val="auto"/>
          <w:szCs w:val="21"/>
          <w:highlight w:val="none"/>
        </w:rPr>
        <w:t>：为（最高投标限价*D%）（D的取值范围为[94,100],由招标人自定）</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X:为等分点值，在开标前从[0,100]整数中随机抽取</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按方法</w:t>
      </w:r>
      <w:r>
        <w:rPr>
          <w:rFonts w:hint="eastAsia" w:ascii="宋体" w:hAnsi="宋体" w:eastAsia="宋体" w:cs="宋体"/>
          <w:color w:val="auto"/>
          <w:szCs w:val="21"/>
          <w:highlight w:val="none"/>
          <w:u w:val="single"/>
        </w:rPr>
        <w:t>一</w:t>
      </w:r>
      <w:r>
        <w:rPr>
          <w:rFonts w:hint="eastAsia" w:ascii="宋体" w:hAnsi="宋体" w:eastAsia="宋体" w:cs="宋体"/>
          <w:color w:val="auto"/>
          <w:szCs w:val="21"/>
          <w:highlight w:val="none"/>
        </w:rPr>
        <w:t>计算评标参考价</w:t>
      </w:r>
    </w:p>
    <w:p>
      <w:pPr>
        <w:widowControl/>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方法一：加权平均法</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kern w:val="0"/>
          <w:szCs w:val="21"/>
          <w:highlight w:val="none"/>
        </w:rPr>
        <w:t>通过技术标有效性审查的</w:t>
      </w:r>
      <w:r>
        <w:rPr>
          <w:rFonts w:hint="eastAsia" w:ascii="宋体" w:hAnsi="宋体" w:eastAsia="宋体" w:cs="宋体"/>
          <w:color w:val="auto"/>
          <w:szCs w:val="21"/>
          <w:highlight w:val="none"/>
          <w:u w:val="single"/>
        </w:rPr>
        <w:t>投标人技术标得分由高至低排序后，得出的前N名(如满足前述条件的投标人大于等于5家，则N=5；如满足前述条件的投标人小于5家，则N为满足前述条件的投标人的数量)的投标人的经济报价加权平均，计算评标参考价。公式如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评标参考价=Σ（投标人的投标报价*报价权重）。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其中：报价权重的计算方法为：</w:t>
      </w:r>
      <w:r>
        <w:rPr>
          <w:rFonts w:hint="eastAsia" w:ascii="宋体" w:hAnsi="宋体" w:eastAsia="宋体" w:cs="宋体"/>
          <w:color w:val="auto"/>
          <w:szCs w:val="21"/>
          <w:highlight w:val="none"/>
          <w:u w:val="single"/>
        </w:rPr>
        <w:t>将按上述方法得出的N名投标人按技术分由高至低进行排序</w:t>
      </w:r>
      <w:r>
        <w:rPr>
          <w:rFonts w:hint="eastAsia" w:ascii="宋体" w:hAnsi="宋体" w:eastAsia="宋体" w:cs="宋体"/>
          <w:color w:val="auto"/>
          <w:szCs w:val="21"/>
          <w:highlight w:val="none"/>
        </w:rPr>
        <w:t>，第一名投标人的权重为（</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QUOTE </w:instrText>
      </w:r>
      <w:r>
        <w:rPr>
          <w:rFonts w:hint="eastAsia" w:ascii="宋体" w:hAnsi="宋体" w:eastAsia="宋体" w:cs="宋体"/>
          <w:color w:val="auto"/>
          <w:szCs w:val="21"/>
          <w:highlight w:val="none"/>
        </w:rPr>
        <w:drawing>
          <wp:inline distT="0" distB="0" distL="0" distR="0">
            <wp:extent cx="379730" cy="44831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9730" cy="448310"/>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drawing>
          <wp:inline distT="0" distB="0" distL="0" distR="0">
            <wp:extent cx="379730" cy="44831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9730" cy="448310"/>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），第二名投标人的权重为（</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QUOTE </w:instrText>
      </w:r>
      <w:r>
        <w:rPr>
          <w:rFonts w:hint="eastAsia" w:ascii="宋体" w:hAnsi="宋体" w:eastAsia="宋体" w:cs="宋体"/>
          <w:color w:val="auto"/>
          <w:position w:val="-23"/>
          <w:szCs w:val="21"/>
          <w:highlight w:val="none"/>
        </w:rPr>
        <w:drawing>
          <wp:inline distT="0" distB="0" distL="0" distR="0">
            <wp:extent cx="327660" cy="396875"/>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separate"/>
      </w:r>
      <w:r>
        <w:rPr>
          <w:rFonts w:hint="eastAsia" w:ascii="宋体" w:hAnsi="宋体" w:eastAsia="宋体" w:cs="宋体"/>
          <w:color w:val="auto"/>
          <w:position w:val="-23"/>
          <w:szCs w:val="21"/>
          <w:highlight w:val="none"/>
        </w:rPr>
        <w:drawing>
          <wp:inline distT="0" distB="0" distL="0" distR="0">
            <wp:extent cx="327660" cy="39687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），以此类推，最后一名投标人的权重为（</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QUOTE </w:instrText>
      </w:r>
      <w:r>
        <w:rPr>
          <w:rFonts w:hint="eastAsia" w:ascii="宋体" w:hAnsi="宋体" w:eastAsia="宋体" w:cs="宋体"/>
          <w:color w:val="auto"/>
          <w:position w:val="-23"/>
          <w:szCs w:val="21"/>
          <w:highlight w:val="none"/>
        </w:rPr>
        <w:drawing>
          <wp:inline distT="0" distB="0" distL="0" distR="0">
            <wp:extent cx="327660" cy="39687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separate"/>
      </w:r>
      <w:r>
        <w:rPr>
          <w:rFonts w:hint="eastAsia" w:ascii="宋体" w:hAnsi="宋体" w:eastAsia="宋体" w:cs="宋体"/>
          <w:color w:val="auto"/>
          <w:position w:val="-23"/>
          <w:szCs w:val="21"/>
          <w:highlight w:val="none"/>
        </w:rPr>
        <w:drawing>
          <wp:inline distT="0" distB="0" distL="0" distR="0">
            <wp:extent cx="327660" cy="39687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 cy="396875"/>
                    </a:xfrm>
                    <a:prstGeom prst="rect">
                      <a:avLst/>
                    </a:prstGeom>
                    <a:noFill/>
                    <a:ln>
                      <a:noFill/>
                    </a:ln>
                  </pic:spPr>
                </pic:pic>
              </a:graphicData>
            </a:graphic>
          </wp:inline>
        </w:drawing>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pPr>
        <w:pBdr>
          <w:bottom w:val="single" w:color="auto" w:sz="4" w:space="0"/>
        </w:pBdr>
        <w:spacing w:line="360" w:lineRule="auto"/>
        <w:ind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得分相同的，以投标总报价低的排名靠前；技术得分与投标总报价均相同的投标人，由评标委员会采用记名投票方式，确定技术得分的排名。记名投票方式确定技术得分排名的具体操作步骤为：由评标委员会对出现该情况的投标人进行编号，然后通过记名投票方式，以得票多的排前确定排名。</w:t>
      </w:r>
    </w:p>
    <w:p>
      <w:pPr>
        <w:spacing w:line="360" w:lineRule="auto"/>
        <w:ind w:firstLine="42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color w:val="auto"/>
          <w:szCs w:val="21"/>
          <w:highlight w:val="none"/>
        </w:rPr>
        <w:t>45.4</w:t>
      </w:r>
      <w:r>
        <w:rPr>
          <w:rFonts w:hint="eastAsia" w:ascii="宋体" w:hAnsi="宋体" w:eastAsia="宋体" w:cs="宋体"/>
          <w:b/>
          <w:color w:val="auto"/>
          <w:szCs w:val="21"/>
          <w:highlight w:val="none"/>
        </w:rPr>
        <w:t>修改类型：修改</w:t>
      </w:r>
    </w:p>
    <w:p>
      <w:pPr>
        <w:pStyle w:val="156"/>
        <w:tabs>
          <w:tab w:val="left" w:pos="7380"/>
        </w:tabs>
        <w:snapToGrid w:val="0"/>
        <w:spacing w:line="360" w:lineRule="auto"/>
        <w:ind w:firstLine="422"/>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pPr>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计算通过技术标有效性审查的投标人总得分。</w:t>
      </w:r>
      <w:r>
        <w:rPr>
          <w:rFonts w:hint="eastAsia" w:ascii="宋体" w:hAnsi="宋体" w:eastAsia="宋体" w:cs="宋体"/>
          <w:color w:val="auto"/>
          <w:szCs w:val="21"/>
          <w:highlight w:val="none"/>
          <w:u w:val="single"/>
        </w:rPr>
        <w:t>投标人总得分=技术得分×技术得分权重＋经济得分×经济得分权重</w:t>
      </w:r>
      <w:r>
        <w:rPr>
          <w:rFonts w:hint="eastAsia" w:ascii="宋体" w:hAnsi="宋体" w:eastAsia="宋体" w:cs="宋体"/>
          <w:color w:val="auto"/>
          <w:szCs w:val="21"/>
          <w:highlight w:val="none"/>
        </w:rPr>
        <w:t>。技术、经济得分权重按投标须知前附表的规定执行。总得分四舍五入保留两位小数。</w:t>
      </w:r>
    </w:p>
    <w:p>
      <w:pPr>
        <w:pBdr>
          <w:bottom w:val="single" w:color="auto" w:sz="4" w:space="1"/>
        </w:pBdr>
        <w:spacing w:line="360" w:lineRule="auto"/>
        <w:ind w:firstLine="420" w:firstLineChars="200"/>
        <w:rPr>
          <w:rFonts w:hint="eastAsia" w:ascii="宋体" w:hAnsi="宋体" w:eastAsia="宋体" w:cs="宋体"/>
          <w:color w:val="auto"/>
          <w:szCs w:val="21"/>
          <w:highlight w:val="none"/>
        </w:rPr>
      </w:pPr>
    </w:p>
    <w:p>
      <w:pPr>
        <w:pStyle w:val="156"/>
        <w:rPr>
          <w:rFonts w:hint="eastAsia" w:ascii="宋体" w:hAnsi="宋体" w:eastAsia="宋体" w:cs="宋体"/>
          <w:color w:val="auto"/>
          <w:szCs w:val="21"/>
          <w:highlight w:val="none"/>
        </w:rPr>
      </w:pPr>
    </w:p>
    <w:p>
      <w:pPr>
        <w:spacing w:line="48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条款号：48修改类型：修改</w:t>
      </w:r>
    </w:p>
    <w:p>
      <w:pPr>
        <w:spacing w:line="360" w:lineRule="auto"/>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评标委员会应在通过投标文件经济标有效性审查的投标人中，按步骤45.4确定的投标人第二阶段排序，推荐前3名依次为第一中标候选人至第三中标候选人,并编制评标报告。</w:t>
      </w:r>
    </w:p>
    <w:p>
      <w:pPr>
        <w:pBdr>
          <w:bottom w:val="single" w:color="auto" w:sz="6" w:space="1"/>
        </w:pBdr>
        <w:spacing w:line="360" w:lineRule="auto"/>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评标委员会应在通过投标文件经济标有效性审查的投标人中，按步骤45.4确定的投标人</w:t>
      </w:r>
      <w:r>
        <w:rPr>
          <w:rFonts w:hint="eastAsia" w:ascii="宋体" w:hAnsi="宋体" w:eastAsia="宋体" w:cs="宋体"/>
          <w:color w:val="auto"/>
          <w:szCs w:val="21"/>
          <w:highlight w:val="none"/>
          <w:u w:val="single"/>
        </w:rPr>
        <w:t>总得分排序</w:t>
      </w:r>
      <w:r>
        <w:rPr>
          <w:rFonts w:hint="eastAsia" w:ascii="宋体" w:hAnsi="宋体" w:eastAsia="宋体" w:cs="宋体"/>
          <w:color w:val="auto"/>
          <w:szCs w:val="21"/>
          <w:highlight w:val="none"/>
        </w:rPr>
        <w:t>，推荐前3名依次为第一中标候选人至第三中标候选人,并编制评标报告。</w:t>
      </w:r>
    </w:p>
    <w:p>
      <w:pPr>
        <w:spacing w:line="4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条款号：附表一《资格审查表》          修改类型：修改</w:t>
      </w:r>
    </w:p>
    <w:p>
      <w:pPr>
        <w:spacing w:line="400" w:lineRule="exact"/>
        <w:ind w:firstLine="472" w:firstLineChars="224"/>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详见《广州市建设工程施工公开招标项目招标文件范本GZZB2018-3》</w:t>
      </w:r>
    </w:p>
    <w:p>
      <w:pPr>
        <w:pBdr>
          <w:bottom w:val="single" w:color="auto" w:sz="6" w:space="1"/>
        </w:pBdr>
        <w:spacing w:line="40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详见附表一《资格审查表》</w:t>
      </w:r>
    </w:p>
    <w:p>
      <w:pPr>
        <w:spacing w:line="4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条款号：附表二《技术标有效性审查表》          修改类型：修改</w:t>
      </w:r>
    </w:p>
    <w:p>
      <w:pPr>
        <w:spacing w:line="400" w:lineRule="exact"/>
        <w:ind w:firstLine="472" w:firstLineChars="224"/>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详见《广州市建设工程施工公开招标项目招标文件范本GZZB2018-3》</w:t>
      </w:r>
    </w:p>
    <w:p>
      <w:pPr>
        <w:pBdr>
          <w:bottom w:val="single" w:color="auto" w:sz="6" w:space="1"/>
        </w:pBdr>
        <w:spacing w:line="40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详见附表二《技术标有效性审查表》</w:t>
      </w:r>
    </w:p>
    <w:p>
      <w:pPr>
        <w:spacing w:line="4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条款号：附表三《经济标有效性审查表》          修改类型：修改</w:t>
      </w:r>
    </w:p>
    <w:p>
      <w:pPr>
        <w:spacing w:line="400" w:lineRule="exact"/>
        <w:ind w:firstLine="472" w:firstLineChars="224"/>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详见《广州市建设工程施工公开招标项目招标文件范本GZZB2018-3》</w:t>
      </w:r>
    </w:p>
    <w:p>
      <w:pPr>
        <w:pBdr>
          <w:bottom w:val="single" w:color="auto" w:sz="6" w:space="1"/>
        </w:pBdr>
        <w:spacing w:line="40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详见附表三《经济标有效性审查表》</w:t>
      </w:r>
    </w:p>
    <w:p>
      <w:pPr>
        <w:spacing w:line="4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条款号：附表四《技术标详细审查评分表》          修改类型：修改</w:t>
      </w:r>
    </w:p>
    <w:p>
      <w:pPr>
        <w:spacing w:line="400" w:lineRule="exact"/>
        <w:ind w:firstLine="472" w:firstLineChars="224"/>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详见《广州市建设工程施工公开招标项目招标文件范本GZZB2018-3》</w:t>
      </w:r>
    </w:p>
    <w:p>
      <w:pPr>
        <w:pBdr>
          <w:bottom w:val="single" w:color="auto" w:sz="6" w:space="1"/>
        </w:pBdr>
        <w:spacing w:line="400" w:lineRule="exact"/>
        <w:ind w:firstLine="527" w:firstLineChars="25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bCs/>
          <w:color w:val="auto"/>
          <w:szCs w:val="21"/>
          <w:highlight w:val="none"/>
        </w:rPr>
        <w:t>详见附表四《技术标详细审查评分表》</w:t>
      </w:r>
    </w:p>
    <w:p>
      <w:pPr>
        <w:spacing w:line="400" w:lineRule="exact"/>
        <w:ind w:firstLine="540" w:firstLineChars="22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条款号：附表五（适用于区间抽取法）经济标评分表         修改类型：删除</w:t>
      </w:r>
    </w:p>
    <w:p>
      <w:pPr>
        <w:pBdr>
          <w:bottom w:val="single" w:color="auto" w:sz="6" w:space="1"/>
        </w:pBdr>
        <w:spacing w:line="400" w:lineRule="exact"/>
        <w:ind w:firstLine="540" w:firstLineChars="22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原文：</w:t>
      </w:r>
      <w:r>
        <w:rPr>
          <w:rFonts w:hint="eastAsia" w:ascii="宋体" w:hAnsi="宋体" w:eastAsia="宋体" w:cs="宋体"/>
          <w:bCs/>
          <w:color w:val="auto"/>
          <w:sz w:val="24"/>
          <w:szCs w:val="24"/>
          <w:highlight w:val="none"/>
        </w:rPr>
        <w:t>详见《广州市建设工程施工公开招标项目招标文件范本GZZB2018-3》</w:t>
      </w:r>
    </w:p>
    <w:p>
      <w:pPr>
        <w:pStyle w:val="2"/>
        <w:rPr>
          <w:rFonts w:hint="eastAsia" w:ascii="宋体" w:hAnsi="宋体" w:eastAsia="宋体" w:cs="宋体"/>
          <w:color w:val="auto"/>
          <w:highlight w:val="none"/>
        </w:rPr>
      </w:pPr>
    </w:p>
    <w:p>
      <w:pPr>
        <w:spacing w:line="360" w:lineRule="auto"/>
        <w:ind w:firstLine="211" w:firstLineChars="1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注：以上修改，仅限于本范本中有可供选择条款的情形。</w:t>
      </w:r>
    </w:p>
    <w:p>
      <w:pPr>
        <w:spacing w:line="360" w:lineRule="auto"/>
        <w:rPr>
          <w:rFonts w:hint="eastAsia" w:ascii="宋体" w:hAnsi="宋体" w:eastAsia="宋体" w:cs="宋体"/>
          <w:color w:val="auto"/>
          <w:highlight w:val="none"/>
        </w:rPr>
      </w:pPr>
      <w:r>
        <w:rPr>
          <w:rFonts w:hint="eastAsia" w:ascii="宋体" w:hAnsi="宋体" w:eastAsia="宋体" w:cs="宋体"/>
          <w:b/>
          <w:color w:val="auto"/>
          <w:szCs w:val="21"/>
          <w:highlight w:val="none"/>
        </w:rPr>
        <w:t>（以下无正文）</w:t>
      </w:r>
    </w:p>
    <w:p>
      <w:pPr>
        <w:pStyle w:val="1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8"/>
        <w:spacing w:line="416" w:lineRule="auto"/>
        <w:ind w:left="0" w:firstLine="0"/>
        <w:rPr>
          <w:rFonts w:hint="eastAsia" w:ascii="宋体" w:hAnsi="宋体" w:eastAsia="宋体" w:cs="宋体"/>
          <w:color w:val="auto"/>
          <w:highlight w:val="none"/>
        </w:rPr>
      </w:pPr>
      <w:bookmarkStart w:id="21" w:name="_Toc5975577"/>
      <w:bookmarkStart w:id="22" w:name="_Toc20166"/>
      <w:r>
        <w:rPr>
          <w:rFonts w:hint="eastAsia" w:ascii="宋体" w:hAnsi="宋体" w:eastAsia="宋体" w:cs="宋体"/>
          <w:color w:val="auto"/>
          <w:highlight w:val="none"/>
        </w:rPr>
        <w:t>二、开标、评标及定标办法</w:t>
      </w:r>
      <w:r>
        <w:rPr>
          <w:rFonts w:hint="eastAsia" w:ascii="宋体" w:hAnsi="宋体" w:eastAsia="宋体" w:cs="宋体"/>
          <w:color w:val="auto"/>
          <w:szCs w:val="30"/>
          <w:highlight w:val="none"/>
        </w:rPr>
        <w:t>通用条款</w:t>
      </w:r>
      <w:bookmarkEnd w:id="21"/>
      <w:bookmarkEnd w:id="22"/>
    </w:p>
    <w:p>
      <w:pPr>
        <w:pStyle w:val="9"/>
        <w:spacing w:before="156" w:after="156"/>
        <w:ind w:firstLine="540" w:firstLineChars="200"/>
        <w:rPr>
          <w:color w:val="auto"/>
          <w:highlight w:val="none"/>
        </w:rPr>
      </w:pPr>
      <w:bookmarkStart w:id="23" w:name="_Toc36568859"/>
      <w:bookmarkStart w:id="24" w:name="_Toc7896"/>
      <w:bookmarkStart w:id="25" w:name="_Toc2272557"/>
      <w:r>
        <w:rPr>
          <w:rFonts w:hint="eastAsia"/>
          <w:color w:val="auto"/>
          <w:highlight w:val="none"/>
        </w:rPr>
        <w:t>（一）总则</w:t>
      </w:r>
      <w:bookmarkEnd w:id="23"/>
      <w:bookmarkEnd w:id="24"/>
    </w:p>
    <w:p>
      <w:pPr>
        <w:spacing w:line="360" w:lineRule="auto"/>
        <w:ind w:firstLine="480" w:firstLineChars="200"/>
        <w:rPr>
          <w:rFonts w:ascii="宋体" w:hAnsi="宋体"/>
          <w:b/>
          <w:color w:val="auto"/>
          <w:sz w:val="24"/>
          <w:szCs w:val="24"/>
          <w:highlight w:val="none"/>
        </w:rPr>
      </w:pPr>
      <w:r>
        <w:rPr>
          <w:rFonts w:ascii="宋体" w:hAnsi="宋体"/>
          <w:color w:val="auto"/>
          <w:sz w:val="24"/>
          <w:szCs w:val="24"/>
          <w:highlight w:val="none"/>
        </w:rPr>
        <w:t xml:space="preserve">35 </w:t>
      </w:r>
      <w:r>
        <w:rPr>
          <w:rFonts w:hint="eastAsia" w:ascii="宋体" w:hAnsi="宋体"/>
          <w:color w:val="auto"/>
          <w:sz w:val="24"/>
          <w:szCs w:val="24"/>
          <w:highlight w:val="none"/>
        </w:rPr>
        <w:t>开标、评标及定标所依据的规则</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35.1</w:t>
      </w:r>
      <w:r>
        <w:rPr>
          <w:rFonts w:hint="eastAsia" w:ascii="宋体" w:hAnsi="宋体"/>
          <w:color w:val="auto"/>
          <w:sz w:val="24"/>
          <w:szCs w:val="24"/>
          <w:highlight w:val="none"/>
        </w:rPr>
        <w:t>《中华人民共和国招标投标法》；</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35.2</w:t>
      </w:r>
      <w:r>
        <w:rPr>
          <w:rFonts w:hint="eastAsia" w:ascii="宋体" w:hAnsi="宋体"/>
          <w:color w:val="auto"/>
          <w:sz w:val="24"/>
          <w:szCs w:val="24"/>
          <w:highlight w:val="none"/>
        </w:rPr>
        <w:t>《中华人民共和国招标投标法实施条例》；</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35.3</w:t>
      </w:r>
      <w:r>
        <w:rPr>
          <w:rFonts w:hint="eastAsia" w:ascii="宋体" w:hAnsi="宋体"/>
          <w:color w:val="auto"/>
          <w:sz w:val="24"/>
          <w:szCs w:val="24"/>
          <w:highlight w:val="none"/>
        </w:rPr>
        <w:t>《评标委员会和评标方法暂行规定》（七部委第</w:t>
      </w:r>
      <w:r>
        <w:rPr>
          <w:rFonts w:ascii="宋体" w:hAnsi="宋体"/>
          <w:color w:val="auto"/>
          <w:sz w:val="24"/>
          <w:szCs w:val="24"/>
          <w:highlight w:val="none"/>
        </w:rPr>
        <w:t>12</w:t>
      </w:r>
      <w:r>
        <w:rPr>
          <w:rFonts w:hint="eastAsia" w:ascii="宋体" w:hAnsi="宋体"/>
          <w:color w:val="auto"/>
          <w:sz w:val="24"/>
          <w:szCs w:val="24"/>
          <w:highlight w:val="none"/>
        </w:rPr>
        <w:t>号令）</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35.4</w:t>
      </w:r>
      <w:r>
        <w:rPr>
          <w:rFonts w:hint="eastAsia" w:ascii="宋体" w:hAnsi="宋体"/>
          <w:color w:val="auto"/>
          <w:sz w:val="24"/>
          <w:szCs w:val="24"/>
          <w:highlight w:val="none"/>
        </w:rPr>
        <w:t>《工程建设项目施工招标投标办法》（七部委</w:t>
      </w:r>
      <w:r>
        <w:rPr>
          <w:rFonts w:ascii="宋体" w:hAnsi="宋体"/>
          <w:color w:val="auto"/>
          <w:sz w:val="24"/>
          <w:szCs w:val="24"/>
          <w:highlight w:val="none"/>
        </w:rPr>
        <w:t>2003</w:t>
      </w:r>
      <w:r>
        <w:rPr>
          <w:rFonts w:hint="eastAsia" w:ascii="宋体" w:hAnsi="宋体"/>
          <w:color w:val="auto"/>
          <w:sz w:val="24"/>
          <w:szCs w:val="24"/>
          <w:highlight w:val="none"/>
        </w:rPr>
        <w:t>年第</w:t>
      </w:r>
      <w:r>
        <w:rPr>
          <w:rFonts w:ascii="宋体" w:hAnsi="宋体"/>
          <w:color w:val="auto"/>
          <w:sz w:val="24"/>
          <w:szCs w:val="24"/>
          <w:highlight w:val="none"/>
        </w:rPr>
        <w:t>30</w:t>
      </w:r>
      <w:r>
        <w:rPr>
          <w:rFonts w:hint="eastAsia" w:ascii="宋体" w:hAnsi="宋体"/>
          <w:color w:val="auto"/>
          <w:sz w:val="24"/>
          <w:szCs w:val="24"/>
          <w:highlight w:val="none"/>
        </w:rPr>
        <w:t>号令）</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35.5</w:t>
      </w:r>
      <w:r>
        <w:rPr>
          <w:rFonts w:hint="eastAsia" w:ascii="宋体" w:hAnsi="宋体"/>
          <w:color w:val="auto"/>
          <w:sz w:val="24"/>
          <w:szCs w:val="24"/>
          <w:highlight w:val="none"/>
        </w:rPr>
        <w:t>《广东省实施〈中华人民共和国招标投标法〉办法》；</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35.6</w:t>
      </w:r>
      <w:r>
        <w:rPr>
          <w:rFonts w:hint="eastAsia" w:ascii="宋体" w:hAnsi="宋体"/>
          <w:color w:val="auto"/>
          <w:sz w:val="24"/>
          <w:szCs w:val="24"/>
          <w:highlight w:val="none"/>
        </w:rPr>
        <w:t>《房屋建筑和市政基础设施工程施工招标投标管理办法》（建设部令第</w:t>
      </w:r>
      <w:r>
        <w:rPr>
          <w:rFonts w:ascii="宋体" w:hAnsi="宋体"/>
          <w:color w:val="auto"/>
          <w:sz w:val="24"/>
          <w:szCs w:val="24"/>
          <w:highlight w:val="none"/>
        </w:rPr>
        <w:t>89</w:t>
      </w:r>
      <w:r>
        <w:rPr>
          <w:rFonts w:hint="eastAsia" w:ascii="宋体" w:hAnsi="宋体"/>
          <w:color w:val="auto"/>
          <w:sz w:val="24"/>
          <w:szCs w:val="24"/>
          <w:highlight w:val="none"/>
        </w:rPr>
        <w:t>号）</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35.7</w:t>
      </w:r>
      <w:r>
        <w:rPr>
          <w:rFonts w:hint="eastAsia" w:ascii="宋体" w:hAnsi="宋体"/>
          <w:color w:val="auto"/>
          <w:sz w:val="24"/>
          <w:szCs w:val="24"/>
          <w:highlight w:val="none"/>
        </w:rPr>
        <w:t>《广东省加强建设工程招标投标监督管理的若干规定》（粤发[2004]4号）；</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w:t>
      </w:r>
      <w:r>
        <w:rPr>
          <w:rFonts w:hint="eastAsia" w:ascii="宋体" w:hAnsi="宋体"/>
          <w:color w:val="auto"/>
          <w:sz w:val="24"/>
          <w:szCs w:val="24"/>
          <w:highlight w:val="none"/>
        </w:rPr>
        <w:t>8《广州市工程建设项目招标投标管理办法》（穗府办规〔2017〕5号）。</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35.9本项目招标文件。</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w:t>
      </w:r>
      <w:r>
        <w:rPr>
          <w:rFonts w:hint="eastAsia" w:ascii="宋体" w:hAnsi="宋体"/>
          <w:color w:val="auto"/>
          <w:sz w:val="24"/>
          <w:szCs w:val="24"/>
          <w:highlight w:val="none"/>
        </w:rPr>
        <w:t>．开标</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36.1 </w:t>
      </w:r>
      <w:r>
        <w:rPr>
          <w:rFonts w:hint="eastAsia" w:ascii="宋体" w:hAnsi="宋体"/>
          <w:color w:val="auto"/>
          <w:sz w:val="24"/>
          <w:szCs w:val="24"/>
          <w:highlight w:val="none"/>
        </w:rPr>
        <w:t>招标人按投标须知前附表第18项所规定的时间和地点公开开标，并邀请所有投标人参加。截标后，开标开始时间因故推迟的，相关评标信息仍以原定的开标开始时间的信息为准。</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36.2</w:t>
      </w:r>
      <w:r>
        <w:rPr>
          <w:rFonts w:hint="eastAsia" w:ascii="宋体" w:hAnsi="宋体"/>
          <w:color w:val="auto"/>
          <w:sz w:val="24"/>
          <w:szCs w:val="24"/>
          <w:highlight w:val="none"/>
        </w:rPr>
        <w:t xml:space="preserve"> 招标人在招标文件要求提交投标文件的截止时间前收到的投标文件，开标时都当众予以解密、公布。</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36.4若递交投标文件的投标人不足3家，则重新组织招标。（当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36.5按下列程序进行开标：</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36.5.1在投标截止时间后半小时内，投标人通过</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对已递交的电子投标文件进行解密。投标人完成解密后，再由招标人进行解密（如有项目负责人签到环节，应在项目负责人签到完成后，招标人再进行解密）。解密完成后，公布招标项目名称、投标人名称、投标保证金的递交情况、投标报价、工期及其他内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36.5.2备用光盘的读取按投标须知前附表第36项的规定执行；</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36.5.3投标人代表、招标人代表、监标人、记录人等有关人员在开标记录上签字确认；若有关人员不签字的，不影响开标程序；</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36.5.4开标结束。</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36.7开标时，两个（含两个）以上的投标人加密打包投标文件电脑机器特征码一致的，不参与下一程序，并由评标委员会否决其投标。</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．评标</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37.1</w:t>
      </w:r>
      <w:r>
        <w:rPr>
          <w:rFonts w:hint="eastAsia" w:ascii="宋体" w:hAnsi="宋体"/>
          <w:color w:val="auto"/>
          <w:sz w:val="24"/>
          <w:szCs w:val="24"/>
          <w:highlight w:val="none"/>
        </w:rPr>
        <w:t>评标委员会由招标人依法组建。</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37.2</w:t>
      </w:r>
      <w:r>
        <w:rPr>
          <w:rFonts w:hint="eastAsia" w:ascii="宋体" w:hAnsi="宋体"/>
          <w:color w:val="auto"/>
          <w:sz w:val="24"/>
          <w:szCs w:val="24"/>
          <w:highlight w:val="none"/>
        </w:rPr>
        <w:t>评标委员会的职责及守则：</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37.2.1</w:t>
      </w:r>
      <w:r>
        <w:rPr>
          <w:rFonts w:hint="eastAsia" w:ascii="宋体" w:hAnsi="宋体"/>
          <w:color w:val="auto"/>
          <w:sz w:val="24"/>
          <w:szCs w:val="24"/>
          <w:highlight w:val="none"/>
        </w:rPr>
        <w:t>根据评标细则，对</w:t>
      </w:r>
      <w:r>
        <w:rPr>
          <w:rFonts w:hint="eastAsia" w:ascii="宋体" w:hAnsi="宋体"/>
          <w:color w:val="auto"/>
          <w:sz w:val="24"/>
          <w:highlight w:val="none"/>
        </w:rPr>
        <w:t>投标文件</w:t>
      </w:r>
      <w:r>
        <w:rPr>
          <w:rFonts w:hint="eastAsia" w:ascii="宋体" w:hAnsi="宋体"/>
          <w:color w:val="auto"/>
          <w:sz w:val="24"/>
          <w:szCs w:val="24"/>
          <w:highlight w:val="none"/>
        </w:rPr>
        <w:t>进行认真评审，完成评审报告；</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37.2.2</w:t>
      </w:r>
      <w:r>
        <w:rPr>
          <w:rFonts w:hint="eastAsia" w:ascii="宋体" w:hAnsi="宋体"/>
          <w:color w:val="auto"/>
          <w:sz w:val="24"/>
          <w:szCs w:val="24"/>
          <w:highlight w:val="none"/>
        </w:rPr>
        <w:t>向招标人报告评审意见，推荐合格的中标候选人。</w:t>
      </w:r>
    </w:p>
    <w:p>
      <w:pPr>
        <w:spacing w:line="360" w:lineRule="auto"/>
        <w:ind w:firstLine="480" w:firstLineChars="200"/>
        <w:rPr>
          <w:rFonts w:ascii="宋体" w:hAnsi="宋体"/>
          <w:color w:val="auto"/>
          <w:sz w:val="24"/>
          <w:szCs w:val="24"/>
          <w:highlight w:val="none"/>
        </w:rPr>
      </w:pPr>
      <w:r>
        <w:rPr>
          <w:rFonts w:ascii="宋体" w:hAnsi="宋体"/>
          <w:bCs/>
          <w:color w:val="auto"/>
          <w:sz w:val="24"/>
          <w:szCs w:val="24"/>
          <w:highlight w:val="none"/>
        </w:rPr>
        <w:t>37.2.3</w:t>
      </w:r>
      <w:r>
        <w:rPr>
          <w:rFonts w:hint="eastAsia" w:ascii="宋体" w:hAnsi="宋体"/>
          <w:color w:val="auto"/>
          <w:sz w:val="24"/>
          <w:szCs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37.2.4</w:t>
      </w:r>
      <w:r>
        <w:rPr>
          <w:rFonts w:hint="eastAsia" w:ascii="宋体" w:hAnsi="宋体"/>
          <w:color w:val="auto"/>
          <w:sz w:val="24"/>
          <w:szCs w:val="24"/>
          <w:highlight w:val="none"/>
        </w:rPr>
        <w:t>全体参与评标人员：</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37.2.4.1 </w:t>
      </w:r>
      <w:r>
        <w:rPr>
          <w:rFonts w:hint="eastAsia" w:ascii="宋体" w:hAnsi="宋体"/>
          <w:color w:val="auto"/>
          <w:sz w:val="24"/>
          <w:szCs w:val="24"/>
          <w:highlight w:val="none"/>
        </w:rPr>
        <w:t>必须遵守评标纪律、不得泄密；</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37.2.4.2 </w:t>
      </w:r>
      <w:r>
        <w:rPr>
          <w:rFonts w:hint="eastAsia" w:ascii="宋体" w:hAnsi="宋体"/>
          <w:color w:val="auto"/>
          <w:sz w:val="24"/>
          <w:szCs w:val="24"/>
          <w:highlight w:val="none"/>
        </w:rPr>
        <w:t>必须公正、不得循私；</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37.2.4.3 </w:t>
      </w:r>
      <w:r>
        <w:rPr>
          <w:rFonts w:hint="eastAsia" w:ascii="宋体" w:hAnsi="宋体"/>
          <w:color w:val="auto"/>
          <w:sz w:val="24"/>
          <w:szCs w:val="24"/>
          <w:highlight w:val="none"/>
        </w:rPr>
        <w:t>必须科学、不得草率；</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37.2.4.4 </w:t>
      </w:r>
      <w:r>
        <w:rPr>
          <w:rFonts w:hint="eastAsia" w:ascii="宋体" w:hAnsi="宋体"/>
          <w:color w:val="auto"/>
          <w:sz w:val="24"/>
          <w:szCs w:val="24"/>
          <w:highlight w:val="none"/>
        </w:rPr>
        <w:t>必须客观、不得带有成见；</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37.2.4.5 </w:t>
      </w:r>
      <w:r>
        <w:rPr>
          <w:rFonts w:hint="eastAsia" w:ascii="宋体" w:hAnsi="宋体"/>
          <w:color w:val="auto"/>
          <w:sz w:val="24"/>
          <w:szCs w:val="24"/>
          <w:highlight w:val="none"/>
        </w:rPr>
        <w:t>必须平等、不得强加于人；</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37.2.4.6 </w:t>
      </w:r>
      <w:r>
        <w:rPr>
          <w:rFonts w:hint="eastAsia" w:ascii="宋体" w:hAnsi="宋体"/>
          <w:color w:val="auto"/>
          <w:sz w:val="24"/>
          <w:szCs w:val="24"/>
          <w:highlight w:val="none"/>
        </w:rPr>
        <w:t>必须严谨、不得随意马虎。</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37.3 </w:t>
      </w:r>
      <w:r>
        <w:rPr>
          <w:rFonts w:hint="eastAsia" w:ascii="宋体" w:hAnsi="宋体"/>
          <w:color w:val="auto"/>
          <w:sz w:val="24"/>
          <w:szCs w:val="24"/>
          <w:highlight w:val="none"/>
        </w:rPr>
        <w:t>评标结束后，评标委员会递交评标报告并依法推荐中标候选人。</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w:t>
      </w:r>
      <w:r>
        <w:rPr>
          <w:rFonts w:hint="eastAsia" w:ascii="宋体" w:hAnsi="宋体"/>
          <w:color w:val="auto"/>
          <w:sz w:val="24"/>
          <w:szCs w:val="24"/>
          <w:highlight w:val="none"/>
        </w:rPr>
        <w:t>．投标文件的澄清</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38.1</w:t>
      </w:r>
      <w:r>
        <w:rPr>
          <w:rFonts w:hint="eastAsia" w:ascii="宋体" w:hAnsi="宋体"/>
          <w:color w:val="auto"/>
          <w:sz w:val="24"/>
          <w:szCs w:val="24"/>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38.2 </w:t>
      </w:r>
      <w:r>
        <w:rPr>
          <w:rFonts w:hint="eastAsia" w:ascii="宋体" w:hAnsi="宋体"/>
          <w:color w:val="auto"/>
          <w:sz w:val="24"/>
          <w:szCs w:val="24"/>
          <w:highlight w:val="none"/>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38.3 </w:t>
      </w:r>
      <w:r>
        <w:rPr>
          <w:rFonts w:hint="eastAsia" w:ascii="宋体" w:hAnsi="宋体"/>
          <w:color w:val="auto"/>
          <w:sz w:val="24"/>
          <w:szCs w:val="24"/>
          <w:highlight w:val="none"/>
        </w:rPr>
        <w:t>评标委员会或评标委员会专业评审组成员均应当阅读投标人的澄清，但应独立参考澄清对投标文件进行评审。</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38.4</w:t>
      </w:r>
      <w:r>
        <w:rPr>
          <w:rFonts w:hint="eastAsia" w:ascii="宋体" w:hAnsi="宋体"/>
          <w:color w:val="auto"/>
          <w:sz w:val="24"/>
          <w:szCs w:val="24"/>
          <w:highlight w:val="none"/>
        </w:rPr>
        <w:t>如果投标文件实质上不响应招标文件的各项要求，评标委员会将按照符合性审查标准予以拒绝，不接受投标人通过修改或撤销其不符合要求的差异或保留，使之成为具有响应性的投标。</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w:t>
      </w:r>
      <w:r>
        <w:rPr>
          <w:rFonts w:hint="eastAsia" w:ascii="宋体" w:hAnsi="宋体"/>
          <w:color w:val="auto"/>
          <w:sz w:val="24"/>
          <w:szCs w:val="24"/>
          <w:highlight w:val="none"/>
        </w:rPr>
        <w:t>．定标</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39.1 </w:t>
      </w:r>
      <w:r>
        <w:rPr>
          <w:rFonts w:hint="eastAsia" w:ascii="宋体" w:hAnsi="宋体"/>
          <w:color w:val="auto"/>
          <w:sz w:val="24"/>
          <w:szCs w:val="24"/>
          <w:highlight w:val="none"/>
        </w:rPr>
        <w:t>招标人根据评标委员会递交的评标报告，最终审定中标人。</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39.2 </w:t>
      </w:r>
      <w:r>
        <w:rPr>
          <w:rFonts w:hint="eastAsia" w:ascii="宋体" w:hAnsi="宋体"/>
          <w:color w:val="auto"/>
          <w:sz w:val="24"/>
          <w:szCs w:val="24"/>
          <w:highlight w:val="none"/>
        </w:rPr>
        <w:t>依法必须进行公开招标的项目，招标人应当确定排名第一的中标候选人为中标人。</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39.3</w:t>
      </w:r>
      <w:r>
        <w:rPr>
          <w:rFonts w:hint="eastAsia" w:ascii="宋体" w:hAnsi="宋体"/>
          <w:color w:val="auto"/>
          <w:sz w:val="24"/>
          <w:szCs w:val="24"/>
          <w:highlight w:val="none"/>
        </w:rPr>
        <w:t>排名第一的中标候选人放弃中标、或因不可抗力提出不能履行合同，或者招标文件规定应当提交履约担保而在规定的期限内未能提交的，招标人可以确定排名第二的中标候选人为中标人。</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39.4</w:t>
      </w:r>
      <w:r>
        <w:rPr>
          <w:rFonts w:hint="eastAsia" w:ascii="宋体" w:hAnsi="宋体"/>
          <w:color w:val="auto"/>
          <w:sz w:val="24"/>
          <w:szCs w:val="24"/>
          <w:highlight w:val="none"/>
        </w:rPr>
        <w:t>排名第二的中标候选人出现前款所列的情形的，招标人可以确定排名第三的中标候选人为中标人。以此类推，如所有中标候选人均出现前款所列的情形，为招标失败，招标人依法重新招标。</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39.5 重新评标的，评标信息（含业绩、奖项等）仍以投标截止时投标人的信息为准。因特殊原因需要延长投标有效期，投标人拒绝延长投标有效期的，仍参与评标，但不被推荐为中标候选人。</w:t>
      </w:r>
    </w:p>
    <w:p>
      <w:pPr>
        <w:pStyle w:val="9"/>
        <w:spacing w:before="156" w:after="156"/>
        <w:ind w:firstLine="540" w:firstLineChars="200"/>
        <w:rPr>
          <w:color w:val="auto"/>
          <w:highlight w:val="none"/>
        </w:rPr>
      </w:pPr>
      <w:bookmarkStart w:id="26" w:name="_Toc29981"/>
      <w:bookmarkStart w:id="27" w:name="_Toc36568860"/>
      <w:r>
        <w:rPr>
          <w:rFonts w:hint="eastAsia"/>
          <w:color w:val="auto"/>
          <w:highlight w:val="none"/>
        </w:rPr>
        <w:t>（二）开标评标办法程序和细则</w:t>
      </w:r>
      <w:bookmarkEnd w:id="26"/>
      <w:bookmarkEnd w:id="27"/>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注：以下八种评标办法所述企业综合诚信评价分数即投标截止当日</w:t>
      </w:r>
      <w:r>
        <w:rPr>
          <w:rFonts w:hint="eastAsia" w:ascii="宋体" w:hAnsi="宋体"/>
          <w:b/>
          <w:bCs/>
          <w:color w:val="auto"/>
          <w:sz w:val="24"/>
          <w:szCs w:val="24"/>
          <w:highlight w:val="none"/>
        </w:rPr>
        <w:t>广州市工程招标</w:t>
      </w:r>
      <w:r>
        <w:rPr>
          <w:rFonts w:ascii="宋体" w:hAnsi="宋体"/>
          <w:b/>
          <w:bCs/>
          <w:color w:val="auto"/>
          <w:sz w:val="24"/>
          <w:szCs w:val="24"/>
          <w:highlight w:val="none"/>
        </w:rPr>
        <w:t>行业协会</w:t>
      </w:r>
      <w:r>
        <w:rPr>
          <w:rFonts w:hint="eastAsia" w:ascii="宋体" w:hAnsi="宋体"/>
          <w:color w:val="auto"/>
          <w:sz w:val="24"/>
          <w:szCs w:val="24"/>
          <w:highlight w:val="none"/>
        </w:rPr>
        <w:t>网站上公布的企业综合诚信评价</w:t>
      </w:r>
      <w:r>
        <w:rPr>
          <w:rFonts w:ascii="宋体" w:hAnsi="宋体"/>
          <w:color w:val="auto"/>
          <w:sz w:val="24"/>
          <w:szCs w:val="24"/>
          <w:highlight w:val="none"/>
        </w:rPr>
        <w:t>60</w:t>
      </w:r>
      <w:r>
        <w:rPr>
          <w:rFonts w:hint="eastAsia" w:ascii="宋体" w:hAnsi="宋体"/>
          <w:color w:val="auto"/>
          <w:sz w:val="24"/>
          <w:szCs w:val="24"/>
          <w:highlight w:val="none"/>
        </w:rPr>
        <w:t>日诚信分。</w:t>
      </w:r>
    </w:p>
    <w:p>
      <w:pPr>
        <w:spacing w:line="360" w:lineRule="auto"/>
        <w:ind w:firstLine="480" w:firstLineChars="200"/>
        <w:rPr>
          <w:rFonts w:ascii="宋体" w:hAnsi="宋体"/>
          <w:color w:val="auto"/>
          <w:sz w:val="24"/>
          <w:szCs w:val="24"/>
          <w:highlight w:val="none"/>
        </w:rPr>
      </w:pPr>
    </w:p>
    <w:p>
      <w:pPr>
        <w:rPr>
          <w:color w:val="auto"/>
          <w:sz w:val="28"/>
          <w:szCs w:val="32"/>
          <w:highlight w:val="none"/>
        </w:rPr>
      </w:pPr>
      <w:bookmarkStart w:id="28" w:name="_Toc36568861"/>
      <w:r>
        <w:rPr>
          <w:rFonts w:hint="eastAsia"/>
          <w:color w:val="auto"/>
          <w:sz w:val="28"/>
          <w:szCs w:val="32"/>
          <w:highlight w:val="none"/>
        </w:rPr>
        <w:t>可选办法七（适合综合评分法四，技术标与经济标同时开启）</w:t>
      </w:r>
      <w:bookmarkEnd w:id="28"/>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40．开标和评标程序</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40.1技术标（含资格审查文件）与经济标投标文件同时公开开标；</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40.2由评标委员会对所有已公开开标的投标人进行资格审查；</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40.3技术标投标文件有效性审查；</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40.4技术标详细审查评分；</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40.5经济标详细审查评分；</w:t>
      </w:r>
      <w:r>
        <w:rPr>
          <w:rFonts w:ascii="宋体"/>
          <w:color w:val="auto"/>
          <w:sz w:val="24"/>
          <w:szCs w:val="24"/>
          <w:highlight w:val="none"/>
        </w:rPr>
        <w:t xml:space="preserve"> </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40.6评标委员会按照投标人总得分由高至低排序；</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40.7经济标投标文件有效性审查；</w:t>
      </w:r>
    </w:p>
    <w:p>
      <w:pPr>
        <w:snapToGrid w:val="0"/>
        <w:spacing w:line="360" w:lineRule="auto"/>
        <w:ind w:firstLine="480" w:firstLineChars="200"/>
        <w:rPr>
          <w:rFonts w:ascii="宋体"/>
          <w:color w:val="auto"/>
          <w:szCs w:val="21"/>
          <w:highlight w:val="none"/>
        </w:rPr>
      </w:pPr>
      <w:r>
        <w:rPr>
          <w:rFonts w:hint="eastAsia" w:ascii="宋体"/>
          <w:color w:val="auto"/>
          <w:sz w:val="24"/>
          <w:szCs w:val="24"/>
          <w:highlight w:val="none"/>
        </w:rPr>
        <w:t>40.8评标委员会按排序向招标人推荐中标候选人名单，并递交资格审查报告及评标报告。</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41．开标细则</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41.1开标由招标人主持；</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 细则</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41.2.1投标截止期前，各投标人递交投标文件（包括技术标投标文件、经济标投标文件）至</w:t>
      </w:r>
      <w:r>
        <w:rPr>
          <w:rFonts w:hint="eastAsia" w:ascii="宋体"/>
          <w:color w:val="auto"/>
          <w:sz w:val="24"/>
          <w:szCs w:val="24"/>
          <w:highlight w:val="none"/>
          <w:u w:val="single"/>
        </w:rPr>
        <w:t xml:space="preserve">        </w:t>
      </w:r>
      <w:r>
        <w:rPr>
          <w:rFonts w:hint="eastAsia" w:ascii="宋体"/>
          <w:color w:val="auto"/>
          <w:sz w:val="24"/>
          <w:szCs w:val="24"/>
          <w:highlight w:val="none"/>
        </w:rPr>
        <w:t xml:space="preserve">交易平台。有关投标文件提交的事项详见第一章投标须知。 </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41.2.2开标前，首先由招标人随机抽取确定该工程计算评标参考价的等分点值X。</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41.2.3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 xml:space="preserve">41.2.4按36.5.1的规定完成解密后，公布下列内容，并予以记录，记录提交评标委员会评审： </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41.2.4.1开标时，公布：a、投标人名称；b、</w:t>
      </w:r>
      <w:r>
        <w:rPr>
          <w:rFonts w:hint="eastAsia" w:ascii="宋体" w:hAnsi="宋体"/>
          <w:color w:val="auto"/>
          <w:sz w:val="24"/>
          <w:highlight w:val="none"/>
        </w:rPr>
        <w:t>投标文件</w:t>
      </w:r>
      <w:r>
        <w:rPr>
          <w:rFonts w:hint="eastAsia" w:ascii="宋体"/>
          <w:color w:val="auto"/>
          <w:sz w:val="24"/>
          <w:szCs w:val="24"/>
          <w:highlight w:val="none"/>
        </w:rPr>
        <w:t>密封情况；c、投标报价；d、投标保证金；e、项目经理（负责人）名称；f、法定代表人证明及授权委托等主要内容及开标记录表中的其他必要内容。投标报价以数字和文字两种方式表述的，应公布文字表述的投标报价。</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41.3招标人对开标过程进行记录，并存档备查，投标人在技术标开标记录上签字。</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41.4 招标人将上述符合要求的投标文件，送至评标委员会进行评审。</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 资格审查及评标细则</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42.1资格审查及评标均由招标人依法组建的评标委员会负责。</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42.2评标委员会的组成：方式</w:t>
      </w:r>
      <w:r>
        <w:rPr>
          <w:rFonts w:hint="eastAsia" w:ascii="宋体"/>
          <w:color w:val="auto"/>
          <w:sz w:val="24"/>
          <w:szCs w:val="24"/>
          <w:highlight w:val="none"/>
          <w:u w:val="single"/>
        </w:rPr>
        <w:t xml:space="preserve">   </w:t>
      </w:r>
      <w:r>
        <w:rPr>
          <w:rFonts w:hint="eastAsia" w:ascii="宋体"/>
          <w:color w:val="auto"/>
          <w:sz w:val="24"/>
          <w:szCs w:val="24"/>
          <w:highlight w:val="none"/>
        </w:rPr>
        <w:t>。</w:t>
      </w:r>
    </w:p>
    <w:p>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方式一：评标委员会为综合评标委员会，负责资格审查及评标工作。</w:t>
      </w:r>
    </w:p>
    <w:p>
      <w:pPr>
        <w:pStyle w:val="39"/>
        <w:tabs>
          <w:tab w:val="left" w:pos="7380"/>
        </w:tabs>
        <w:snapToGrid w:val="0"/>
        <w:spacing w:after="0" w:line="360" w:lineRule="auto"/>
        <w:ind w:firstLine="240"/>
        <w:rPr>
          <w:rFonts w:ascii="宋体"/>
          <w:color w:val="auto"/>
          <w:sz w:val="24"/>
          <w:szCs w:val="24"/>
          <w:highlight w:val="none"/>
        </w:rPr>
      </w:pPr>
      <w:r>
        <w:rPr>
          <w:rFonts w:hint="eastAsia" w:ascii="宋体"/>
          <w:color w:val="auto"/>
          <w:sz w:val="24"/>
          <w:szCs w:val="24"/>
          <w:highlight w:val="none"/>
        </w:rPr>
        <w:t>方式二：评标委员会由技术评审组和经济评审组组成。其中：资格审查及技术评审由技术评标组负责，经济评审由经济评审组负责。</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43．投标人资格审查</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43.2汇总资格审查情况，编写资格审查报告。</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43.3资格审查不合格的投标文件不参加下一阶段的评标，不参与评标参考价的计算。</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43.5资审合格后，投标人的资格发生变化而不满足投标人合格条件，在发出中标通知书前，资格问题仍未解决的，招标人将取消其中标资格。</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43.6资格审查合格的投标人少于3名的（当N个标段同时招标且不允许兼中时，资格审查合格的投标人少于N+2名），则本项目招标失败。</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44．技术标评审</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的评审意见不一致时，以评标委员会过半数成员的意见作为评标委员会对该情形的认定结论。若通过技术标有效性审查的投标人不足3名（当N个标段同时招标且不允许兼中时，若通过技术标有效性审查投标人不足N+2名），则本项目招标失败。评委发现投标文件中含义不明确、对同类问题表述不一致、有明显文字和计算错误的，应当要求投标人作必要的澄清、说明后再判定投标人是否通过有效性审查，不得直接否决投标。</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45．经济标评审和得分汇总</w:t>
      </w:r>
    </w:p>
    <w:p>
      <w:pPr>
        <w:pStyle w:val="39"/>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45.1若通过技术标有效性审查的投标人中所有投标报价均大于等于最高投标限价*D%（D的取值范围为[94,100],由招标人自主确定）的（具体金额为：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元），则本项目招标失败，由招标人依法重新招标。</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 xml:space="preserve"> 45.2按方法</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计算评标参考价：</w:t>
      </w:r>
    </w:p>
    <w:p>
      <w:pPr>
        <w:widowControl/>
        <w:spacing w:line="360" w:lineRule="auto"/>
        <w:ind w:firstLine="482" w:firstLineChars="200"/>
        <w:rPr>
          <w:rFonts w:ascii="宋体" w:hAnsi="宋体"/>
          <w:b/>
          <w:bCs/>
          <w:color w:val="auto"/>
          <w:kern w:val="0"/>
          <w:sz w:val="24"/>
          <w:szCs w:val="24"/>
          <w:highlight w:val="none"/>
        </w:rPr>
      </w:pPr>
      <w:r>
        <w:rPr>
          <w:rFonts w:hint="eastAsia" w:ascii="宋体" w:hAnsi="宋体" w:cs="仿宋"/>
          <w:b/>
          <w:bCs/>
          <w:color w:val="auto"/>
          <w:kern w:val="0"/>
          <w:sz w:val="24"/>
          <w:szCs w:val="24"/>
          <w:highlight w:val="none"/>
        </w:rPr>
        <w:t>方法一：加权平均法</w:t>
      </w:r>
    </w:p>
    <w:p>
      <w:pPr>
        <w:spacing w:line="360" w:lineRule="auto"/>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rPr>
        <w:t>技术标或技术标加诚信得分（具体由招标人自定）前</w:t>
      </w:r>
      <w:r>
        <w:rPr>
          <w:rFonts w:ascii="宋体" w:hAnsi="宋体" w:cs="仿宋"/>
          <w:color w:val="auto"/>
          <w:sz w:val="24"/>
          <w:szCs w:val="24"/>
          <w:highlight w:val="none"/>
        </w:rPr>
        <w:t>N</w:t>
      </w:r>
      <w:r>
        <w:rPr>
          <w:rFonts w:hint="eastAsia" w:ascii="宋体" w:hAnsi="宋体" w:cs="仿宋"/>
          <w:color w:val="auto"/>
          <w:sz w:val="24"/>
          <w:szCs w:val="24"/>
          <w:highlight w:val="none"/>
        </w:rPr>
        <w:t>名（N≥5，具体由招标人自定）的经济报价加权平均，计算评标参考价。公式如下：</w:t>
      </w:r>
    </w:p>
    <w:p>
      <w:pPr>
        <w:spacing w:line="360" w:lineRule="auto"/>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rPr>
        <w:t>评标参考价</w:t>
      </w:r>
      <w:r>
        <w:rPr>
          <w:rFonts w:ascii="宋体" w:hAnsi="宋体" w:cs="仿宋"/>
          <w:color w:val="auto"/>
          <w:sz w:val="24"/>
          <w:szCs w:val="24"/>
          <w:highlight w:val="none"/>
        </w:rPr>
        <w:t>=</w:t>
      </w:r>
      <w:r>
        <w:rPr>
          <w:rFonts w:hint="eastAsia" w:ascii="宋体" w:hAnsi="宋体" w:cs="仿宋"/>
          <w:color w:val="auto"/>
          <w:sz w:val="24"/>
          <w:szCs w:val="24"/>
          <w:highlight w:val="none"/>
        </w:rPr>
        <w:t>Σ（投标人的投标报价</w:t>
      </w:r>
      <w:r>
        <w:rPr>
          <w:rFonts w:ascii="宋体" w:hAnsi="宋体" w:cs="仿宋"/>
          <w:color w:val="auto"/>
          <w:sz w:val="24"/>
          <w:szCs w:val="24"/>
          <w:highlight w:val="none"/>
        </w:rPr>
        <w:t>*</w:t>
      </w:r>
      <w:r>
        <w:rPr>
          <w:rFonts w:hint="eastAsia" w:ascii="宋体" w:hAnsi="宋体" w:cs="仿宋"/>
          <w:color w:val="auto"/>
          <w:sz w:val="24"/>
          <w:szCs w:val="24"/>
          <w:highlight w:val="none"/>
        </w:rPr>
        <w:t>报价权重）。</w:t>
      </w:r>
    </w:p>
    <w:p>
      <w:pPr>
        <w:spacing w:line="360" w:lineRule="auto"/>
        <w:ind w:firstLine="480" w:firstLineChars="200"/>
        <w:rPr>
          <w:rFonts w:ascii="宋体" w:hAnsi="宋体" w:cs="仿宋"/>
          <w:color w:val="auto"/>
          <w:sz w:val="24"/>
          <w:szCs w:val="24"/>
          <w:highlight w:val="none"/>
        </w:rPr>
      </w:pPr>
      <w:r>
        <w:rPr>
          <w:rFonts w:hint="eastAsia" w:ascii="宋体" w:hAnsi="宋体" w:cs="仿宋"/>
          <w:color w:val="auto"/>
          <w:sz w:val="24"/>
          <w:szCs w:val="24"/>
          <w:highlight w:val="none"/>
        </w:rPr>
        <w:t>其中：报价权重的计算方法为：将</w:t>
      </w:r>
      <w:r>
        <w:rPr>
          <w:rFonts w:ascii="宋体" w:hAnsi="宋体" w:cs="仿宋"/>
          <w:color w:val="auto"/>
          <w:sz w:val="24"/>
          <w:szCs w:val="24"/>
          <w:highlight w:val="none"/>
        </w:rPr>
        <w:t>N</w:t>
      </w:r>
      <w:r>
        <w:rPr>
          <w:rFonts w:hint="eastAsia" w:ascii="宋体" w:hAnsi="宋体" w:cs="仿宋"/>
          <w:color w:val="auto"/>
          <w:sz w:val="24"/>
          <w:szCs w:val="24"/>
          <w:highlight w:val="none"/>
        </w:rPr>
        <w:t>名投标人按技术分由高至低进行排序，第一名投标人的权重为（</w:t>
      </w:r>
      <w:r>
        <w:rPr>
          <w:rFonts w:ascii="宋体" w:hAnsi="宋体" w:cs="仿宋"/>
          <w:color w:val="auto"/>
          <w:sz w:val="24"/>
          <w:szCs w:val="24"/>
          <w:highlight w:val="none"/>
        </w:rPr>
        <w:fldChar w:fldCharType="begin"/>
      </w:r>
      <w:r>
        <w:rPr>
          <w:rFonts w:ascii="宋体" w:hAnsi="宋体" w:cs="仿宋"/>
          <w:color w:val="auto"/>
          <w:sz w:val="24"/>
          <w:szCs w:val="24"/>
          <w:highlight w:val="none"/>
        </w:rPr>
        <w:instrText xml:space="preserve"> QUOTE </w:instrText>
      </w:r>
      <w:r>
        <w:rPr>
          <w:rFonts w:ascii="宋体" w:hAnsi="宋体"/>
          <w:color w:val="auto"/>
          <w:sz w:val="24"/>
          <w:szCs w:val="24"/>
          <w:highlight w:val="none"/>
        </w:rPr>
        <w:drawing>
          <wp:inline distT="0" distB="0" distL="0" distR="0">
            <wp:extent cx="381000" cy="447675"/>
            <wp:effectExtent l="0" t="0" r="0" b="8890"/>
            <wp:docPr id="4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81000" cy="447675"/>
                    </a:xfrm>
                    <a:prstGeom prst="rect">
                      <a:avLst/>
                    </a:prstGeom>
                    <a:noFill/>
                    <a:ln>
                      <a:noFill/>
                    </a:ln>
                  </pic:spPr>
                </pic:pic>
              </a:graphicData>
            </a:graphic>
          </wp:inline>
        </w:drawing>
      </w:r>
      <w:r>
        <w:rPr>
          <w:rFonts w:ascii="宋体" w:hAnsi="宋体" w:cs="仿宋"/>
          <w:color w:val="auto"/>
          <w:sz w:val="24"/>
          <w:szCs w:val="24"/>
          <w:highlight w:val="none"/>
        </w:rPr>
        <w:fldChar w:fldCharType="separate"/>
      </w:r>
      <w:r>
        <w:rPr>
          <w:rFonts w:ascii="宋体" w:hAnsi="宋体"/>
          <w:color w:val="auto"/>
          <w:sz w:val="24"/>
          <w:szCs w:val="24"/>
          <w:highlight w:val="none"/>
        </w:rPr>
        <w:drawing>
          <wp:inline distT="0" distB="0" distL="0" distR="0">
            <wp:extent cx="381000" cy="447675"/>
            <wp:effectExtent l="0" t="0" r="0" b="8890"/>
            <wp:docPr id="4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81000" cy="447675"/>
                    </a:xfrm>
                    <a:prstGeom prst="rect">
                      <a:avLst/>
                    </a:prstGeom>
                    <a:noFill/>
                    <a:ln>
                      <a:noFill/>
                    </a:ln>
                  </pic:spPr>
                </pic:pic>
              </a:graphicData>
            </a:graphic>
          </wp:inline>
        </w:drawing>
      </w:r>
      <w:r>
        <w:rPr>
          <w:rFonts w:ascii="宋体" w:hAnsi="宋体" w:cs="仿宋"/>
          <w:color w:val="auto"/>
          <w:sz w:val="24"/>
          <w:szCs w:val="24"/>
          <w:highlight w:val="none"/>
        </w:rPr>
        <w:fldChar w:fldCharType="end"/>
      </w:r>
      <w:r>
        <w:rPr>
          <w:rFonts w:hint="eastAsia" w:ascii="宋体" w:hAnsi="宋体" w:cs="仿宋"/>
          <w:color w:val="auto"/>
          <w:sz w:val="24"/>
          <w:szCs w:val="24"/>
          <w:highlight w:val="none"/>
        </w:rPr>
        <w:t>），第二名投标人的权重为（</w:t>
      </w:r>
      <w:r>
        <w:rPr>
          <w:rFonts w:ascii="宋体" w:hAnsi="宋体" w:cs="仿宋"/>
          <w:color w:val="auto"/>
          <w:sz w:val="24"/>
          <w:szCs w:val="24"/>
          <w:highlight w:val="none"/>
        </w:rPr>
        <w:fldChar w:fldCharType="begin"/>
      </w:r>
      <w:r>
        <w:rPr>
          <w:rFonts w:ascii="宋体" w:hAnsi="宋体" w:cs="仿宋"/>
          <w:color w:val="auto"/>
          <w:sz w:val="24"/>
          <w:szCs w:val="24"/>
          <w:highlight w:val="none"/>
        </w:rPr>
        <w:instrText xml:space="preserve"> QUOTE </w:instrText>
      </w:r>
      <w:r>
        <w:rPr>
          <w:rFonts w:ascii="宋体" w:hAnsi="宋体"/>
          <w:color w:val="auto"/>
          <w:position w:val="-23"/>
          <w:sz w:val="24"/>
          <w:szCs w:val="24"/>
          <w:highlight w:val="none"/>
        </w:rPr>
        <w:drawing>
          <wp:inline distT="0" distB="0" distL="0" distR="0">
            <wp:extent cx="323850" cy="400050"/>
            <wp:effectExtent l="0" t="0" r="0" b="0"/>
            <wp:docPr id="4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3850" cy="400050"/>
                    </a:xfrm>
                    <a:prstGeom prst="rect">
                      <a:avLst/>
                    </a:prstGeom>
                    <a:noFill/>
                    <a:ln>
                      <a:noFill/>
                    </a:ln>
                  </pic:spPr>
                </pic:pic>
              </a:graphicData>
            </a:graphic>
          </wp:inline>
        </w:drawing>
      </w:r>
      <w:r>
        <w:rPr>
          <w:rFonts w:ascii="宋体" w:hAnsi="宋体" w:cs="仿宋"/>
          <w:color w:val="auto"/>
          <w:sz w:val="24"/>
          <w:szCs w:val="24"/>
          <w:highlight w:val="none"/>
        </w:rPr>
        <w:fldChar w:fldCharType="separate"/>
      </w:r>
      <w:r>
        <w:rPr>
          <w:rFonts w:ascii="宋体" w:hAnsi="宋体"/>
          <w:color w:val="auto"/>
          <w:position w:val="-23"/>
          <w:sz w:val="24"/>
          <w:szCs w:val="24"/>
          <w:highlight w:val="none"/>
        </w:rPr>
        <w:drawing>
          <wp:inline distT="0" distB="0" distL="0" distR="0">
            <wp:extent cx="323850" cy="400050"/>
            <wp:effectExtent l="0" t="0" r="0" b="0"/>
            <wp:docPr id="4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3850" cy="400050"/>
                    </a:xfrm>
                    <a:prstGeom prst="rect">
                      <a:avLst/>
                    </a:prstGeom>
                    <a:noFill/>
                    <a:ln>
                      <a:noFill/>
                    </a:ln>
                  </pic:spPr>
                </pic:pic>
              </a:graphicData>
            </a:graphic>
          </wp:inline>
        </w:drawing>
      </w:r>
      <w:r>
        <w:rPr>
          <w:rFonts w:ascii="宋体" w:hAnsi="宋体" w:cs="仿宋"/>
          <w:color w:val="auto"/>
          <w:sz w:val="24"/>
          <w:szCs w:val="24"/>
          <w:highlight w:val="none"/>
        </w:rPr>
        <w:fldChar w:fldCharType="end"/>
      </w:r>
      <w:r>
        <w:rPr>
          <w:rFonts w:hint="eastAsia" w:ascii="宋体" w:hAnsi="宋体" w:cs="仿宋"/>
          <w:color w:val="auto"/>
          <w:sz w:val="24"/>
          <w:szCs w:val="24"/>
          <w:highlight w:val="none"/>
        </w:rPr>
        <w:t>），以此类推，最后一名投标人的权重为（</w:t>
      </w:r>
      <w:r>
        <w:rPr>
          <w:rFonts w:ascii="宋体" w:hAnsi="宋体" w:cs="仿宋"/>
          <w:color w:val="auto"/>
          <w:sz w:val="24"/>
          <w:szCs w:val="24"/>
          <w:highlight w:val="none"/>
        </w:rPr>
        <w:fldChar w:fldCharType="begin"/>
      </w:r>
      <w:r>
        <w:rPr>
          <w:rFonts w:ascii="宋体" w:hAnsi="宋体" w:cs="仿宋"/>
          <w:color w:val="auto"/>
          <w:sz w:val="24"/>
          <w:szCs w:val="24"/>
          <w:highlight w:val="none"/>
        </w:rPr>
        <w:instrText xml:space="preserve"> QUOTE </w:instrText>
      </w:r>
      <w:r>
        <w:rPr>
          <w:rFonts w:ascii="宋体" w:hAnsi="宋体"/>
          <w:color w:val="auto"/>
          <w:position w:val="-23"/>
          <w:sz w:val="24"/>
          <w:szCs w:val="24"/>
          <w:highlight w:val="none"/>
        </w:rPr>
        <w:drawing>
          <wp:inline distT="0" distB="0" distL="0" distR="0">
            <wp:extent cx="323850" cy="400050"/>
            <wp:effectExtent l="0" t="0" r="0" b="0"/>
            <wp:docPr id="4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3850" cy="400050"/>
                    </a:xfrm>
                    <a:prstGeom prst="rect">
                      <a:avLst/>
                    </a:prstGeom>
                    <a:noFill/>
                    <a:ln>
                      <a:noFill/>
                    </a:ln>
                  </pic:spPr>
                </pic:pic>
              </a:graphicData>
            </a:graphic>
          </wp:inline>
        </w:drawing>
      </w:r>
      <w:r>
        <w:rPr>
          <w:rFonts w:ascii="宋体" w:hAnsi="宋体" w:cs="仿宋"/>
          <w:color w:val="auto"/>
          <w:sz w:val="24"/>
          <w:szCs w:val="24"/>
          <w:highlight w:val="none"/>
        </w:rPr>
        <w:fldChar w:fldCharType="separate"/>
      </w:r>
      <w:r>
        <w:rPr>
          <w:rFonts w:ascii="宋体" w:hAnsi="宋体"/>
          <w:color w:val="auto"/>
          <w:position w:val="-23"/>
          <w:sz w:val="24"/>
          <w:szCs w:val="24"/>
          <w:highlight w:val="none"/>
        </w:rPr>
        <w:drawing>
          <wp:inline distT="0" distB="0" distL="0" distR="0">
            <wp:extent cx="323850" cy="400050"/>
            <wp:effectExtent l="0" t="0" r="0" b="0"/>
            <wp:docPr id="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3850" cy="400050"/>
                    </a:xfrm>
                    <a:prstGeom prst="rect">
                      <a:avLst/>
                    </a:prstGeom>
                    <a:noFill/>
                    <a:ln>
                      <a:noFill/>
                    </a:ln>
                  </pic:spPr>
                </pic:pic>
              </a:graphicData>
            </a:graphic>
          </wp:inline>
        </w:drawing>
      </w:r>
      <w:r>
        <w:rPr>
          <w:rFonts w:ascii="宋体" w:hAnsi="宋体" w:cs="仿宋"/>
          <w:color w:val="auto"/>
          <w:sz w:val="24"/>
          <w:szCs w:val="24"/>
          <w:highlight w:val="none"/>
        </w:rPr>
        <w:fldChar w:fldCharType="end"/>
      </w:r>
      <w:r>
        <w:rPr>
          <w:rFonts w:hint="eastAsia" w:ascii="宋体" w:hAnsi="宋体" w:cs="仿宋"/>
          <w:color w:val="auto"/>
          <w:sz w:val="24"/>
          <w:szCs w:val="24"/>
          <w:highlight w:val="none"/>
        </w:rPr>
        <w:t>）。</w:t>
      </w:r>
    </w:p>
    <w:p>
      <w:pPr>
        <w:widowControl/>
        <w:spacing w:line="360" w:lineRule="auto"/>
        <w:ind w:firstLine="482" w:firstLineChars="200"/>
        <w:rPr>
          <w:rFonts w:ascii="宋体" w:hAnsi="宋体"/>
          <w:b/>
          <w:bCs/>
          <w:color w:val="auto"/>
          <w:kern w:val="0"/>
          <w:sz w:val="24"/>
          <w:szCs w:val="24"/>
          <w:highlight w:val="none"/>
        </w:rPr>
      </w:pPr>
      <w:r>
        <w:rPr>
          <w:rFonts w:hint="eastAsia" w:ascii="宋体" w:hAnsi="宋体" w:cs="仿宋"/>
          <w:b/>
          <w:bCs/>
          <w:color w:val="auto"/>
          <w:kern w:val="0"/>
          <w:sz w:val="24"/>
          <w:szCs w:val="24"/>
          <w:highlight w:val="none"/>
        </w:rPr>
        <w:t>方法二：区间抽取法</w:t>
      </w:r>
    </w:p>
    <w:p>
      <w:pPr>
        <w:widowControl/>
        <w:snapToGrid w:val="0"/>
        <w:spacing w:line="360" w:lineRule="auto"/>
        <w:ind w:firstLine="480" w:firstLineChars="200"/>
        <w:rPr>
          <w:rFonts w:ascii="宋体" w:hAnsi="宋体"/>
          <w:color w:val="auto"/>
          <w:kern w:val="0"/>
          <w:sz w:val="24"/>
          <w:szCs w:val="24"/>
          <w:highlight w:val="none"/>
        </w:rPr>
      </w:pPr>
      <w:r>
        <w:rPr>
          <w:rFonts w:hint="eastAsia" w:ascii="宋体" w:hAnsi="宋体" w:cs="仿宋"/>
          <w:color w:val="auto"/>
          <w:sz w:val="24"/>
          <w:szCs w:val="24"/>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widowControl/>
        <w:snapToGrid w:val="0"/>
        <w:spacing w:line="360" w:lineRule="auto"/>
        <w:ind w:firstLine="480" w:firstLineChars="200"/>
        <w:rPr>
          <w:rFonts w:ascii="宋体" w:hAnsi="宋体"/>
          <w:color w:val="auto"/>
          <w:kern w:val="0"/>
          <w:sz w:val="24"/>
          <w:szCs w:val="24"/>
          <w:highlight w:val="none"/>
          <w:vertAlign w:val="subscript"/>
        </w:rPr>
      </w:pPr>
      <w:r>
        <w:rPr>
          <w:rFonts w:hint="eastAsia" w:ascii="宋体" w:hAnsi="宋体" w:cs="仿宋"/>
          <w:color w:val="auto"/>
          <w:kern w:val="0"/>
          <w:sz w:val="24"/>
          <w:szCs w:val="24"/>
          <w:highlight w:val="none"/>
        </w:rPr>
        <w:t>评标参考价</w:t>
      </w:r>
      <w:r>
        <w:rPr>
          <w:rFonts w:ascii="宋体" w:hAnsi="宋体" w:cs="仿宋"/>
          <w:color w:val="auto"/>
          <w:kern w:val="0"/>
          <w:sz w:val="24"/>
          <w:szCs w:val="24"/>
          <w:highlight w:val="none"/>
        </w:rPr>
        <w:t>=</w:t>
      </w:r>
      <w:r>
        <w:rPr>
          <w:rFonts w:hint="eastAsia" w:ascii="宋体" w:hAnsi="宋体" w:cs="仿宋"/>
          <w:color w:val="auto"/>
          <w:kern w:val="0"/>
          <w:sz w:val="24"/>
          <w:szCs w:val="24"/>
          <w:highlight w:val="none"/>
        </w:rPr>
        <w:t>（</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高</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低</w:t>
      </w:r>
      <w:r>
        <w:rPr>
          <w:rFonts w:hint="eastAsia" w:ascii="宋体" w:hAnsi="宋体" w:cs="仿宋"/>
          <w:color w:val="auto"/>
          <w:kern w:val="0"/>
          <w:sz w:val="24"/>
          <w:szCs w:val="24"/>
          <w:highlight w:val="none"/>
        </w:rPr>
        <w:t>）</w:t>
      </w:r>
      <w:r>
        <w:rPr>
          <w:rFonts w:ascii="宋体" w:hAnsi="宋体" w:cs="仿宋"/>
          <w:color w:val="auto"/>
          <w:kern w:val="0"/>
          <w:sz w:val="24"/>
          <w:szCs w:val="24"/>
          <w:highlight w:val="none"/>
        </w:rPr>
        <w:t>/100*</w:t>
      </w:r>
      <w:r>
        <w:rPr>
          <w:rFonts w:hint="eastAsia" w:ascii="宋体" w:hAnsi="宋体" w:cs="仿宋"/>
          <w:color w:val="auto"/>
          <w:kern w:val="0"/>
          <w:sz w:val="24"/>
          <w:szCs w:val="24"/>
          <w:highlight w:val="none"/>
        </w:rPr>
        <w:t>Ｘ</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低</w:t>
      </w:r>
    </w:p>
    <w:p>
      <w:pPr>
        <w:widowControl/>
        <w:snapToGrid w:val="0"/>
        <w:spacing w:line="360" w:lineRule="auto"/>
        <w:ind w:firstLine="480" w:firstLineChars="200"/>
        <w:rPr>
          <w:rFonts w:ascii="宋体" w:hAnsi="宋体"/>
          <w:color w:val="auto"/>
          <w:sz w:val="24"/>
          <w:szCs w:val="24"/>
          <w:highlight w:val="none"/>
        </w:rPr>
      </w:pPr>
      <w:r>
        <w:rPr>
          <w:rFonts w:ascii="宋体" w:hAnsi="宋体" w:cs="仿宋"/>
          <w:color w:val="auto"/>
          <w:sz w:val="24"/>
          <w:szCs w:val="24"/>
          <w:highlight w:val="none"/>
        </w:rPr>
        <w:t>Q</w:t>
      </w:r>
      <w:r>
        <w:rPr>
          <w:rFonts w:hint="eastAsia" w:ascii="宋体" w:hAnsi="宋体" w:cs="仿宋"/>
          <w:color w:val="auto"/>
          <w:sz w:val="24"/>
          <w:szCs w:val="24"/>
          <w:highlight w:val="none"/>
          <w:vertAlign w:val="subscript"/>
        </w:rPr>
        <w:t>低</w:t>
      </w:r>
      <w:r>
        <w:rPr>
          <w:rFonts w:hint="eastAsia" w:ascii="宋体" w:hAnsi="宋体" w:cs="仿宋"/>
          <w:color w:val="auto"/>
          <w:sz w:val="24"/>
          <w:szCs w:val="24"/>
          <w:highlight w:val="none"/>
        </w:rPr>
        <w:t>：为达到或超过技术标及格分数线的投标人最低报价与工程成本警示价两者中的较高值；</w:t>
      </w:r>
    </w:p>
    <w:p>
      <w:pPr>
        <w:spacing w:line="360" w:lineRule="auto"/>
        <w:ind w:firstLine="480" w:firstLineChars="200"/>
        <w:rPr>
          <w:rFonts w:ascii="宋体" w:hAnsi="宋体" w:cs="仿宋"/>
          <w:color w:val="auto"/>
          <w:sz w:val="24"/>
          <w:szCs w:val="24"/>
          <w:highlight w:val="none"/>
        </w:rPr>
      </w:pP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高</w:t>
      </w:r>
      <w:r>
        <w:rPr>
          <w:rFonts w:hint="eastAsia" w:ascii="宋体" w:hAnsi="宋体" w:cs="仿宋"/>
          <w:color w:val="auto"/>
          <w:sz w:val="24"/>
          <w:szCs w:val="24"/>
          <w:highlight w:val="none"/>
        </w:rPr>
        <w:t>：为（最高投标限价</w:t>
      </w:r>
      <w:r>
        <w:rPr>
          <w:rFonts w:ascii="宋体" w:hAnsi="宋体" w:cs="仿宋"/>
          <w:color w:val="auto"/>
          <w:sz w:val="24"/>
          <w:szCs w:val="24"/>
          <w:highlight w:val="none"/>
        </w:rPr>
        <w:t>*D%</w:t>
      </w:r>
      <w:r>
        <w:rPr>
          <w:rFonts w:hint="eastAsia" w:ascii="宋体" w:hAnsi="宋体" w:cs="仿宋"/>
          <w:color w:val="auto"/>
          <w:sz w:val="24"/>
          <w:szCs w:val="24"/>
          <w:highlight w:val="none"/>
        </w:rPr>
        <w:t>）（</w:t>
      </w:r>
      <w:r>
        <w:rPr>
          <w:rFonts w:ascii="宋体" w:hAnsi="宋体" w:cs="仿宋"/>
          <w:color w:val="auto"/>
          <w:sz w:val="24"/>
          <w:szCs w:val="24"/>
          <w:highlight w:val="none"/>
        </w:rPr>
        <w:t>D</w:t>
      </w:r>
      <w:r>
        <w:rPr>
          <w:rFonts w:hint="eastAsia" w:ascii="宋体" w:hAnsi="宋体" w:cs="仿宋"/>
          <w:color w:val="auto"/>
          <w:sz w:val="24"/>
          <w:szCs w:val="24"/>
          <w:highlight w:val="none"/>
        </w:rPr>
        <w:t>的取值范围为</w:t>
      </w:r>
      <w:r>
        <w:rPr>
          <w:rFonts w:ascii="宋体" w:hAnsi="宋体" w:cs="仿宋"/>
          <w:color w:val="auto"/>
          <w:sz w:val="24"/>
          <w:szCs w:val="24"/>
          <w:highlight w:val="none"/>
        </w:rPr>
        <w:t>[94,100],</w:t>
      </w:r>
      <w:r>
        <w:rPr>
          <w:rFonts w:hint="eastAsia" w:ascii="宋体" w:hAnsi="宋体" w:cs="仿宋"/>
          <w:color w:val="auto"/>
          <w:sz w:val="24"/>
          <w:szCs w:val="24"/>
          <w:highlight w:val="none"/>
        </w:rPr>
        <w:t>由招标人自定）</w:t>
      </w:r>
    </w:p>
    <w:p>
      <w:pPr>
        <w:spacing w:line="360" w:lineRule="auto"/>
        <w:ind w:firstLine="480" w:firstLineChars="200"/>
        <w:rPr>
          <w:rFonts w:ascii="宋体" w:hAnsi="宋体"/>
          <w:color w:val="auto"/>
          <w:sz w:val="24"/>
          <w:szCs w:val="24"/>
          <w:highlight w:val="none"/>
        </w:rPr>
      </w:pPr>
      <w:r>
        <w:rPr>
          <w:rFonts w:ascii="宋体" w:hAnsi="宋体" w:cs="仿宋"/>
          <w:color w:val="auto"/>
          <w:sz w:val="24"/>
          <w:szCs w:val="24"/>
          <w:highlight w:val="none"/>
        </w:rPr>
        <w:t>X:</w:t>
      </w:r>
      <w:r>
        <w:rPr>
          <w:rFonts w:hint="eastAsia" w:ascii="宋体" w:hAnsi="宋体" w:cs="仿宋"/>
          <w:color w:val="auto"/>
          <w:sz w:val="24"/>
          <w:szCs w:val="24"/>
          <w:highlight w:val="none"/>
        </w:rPr>
        <w:t>为等分点值，在开标前从</w:t>
      </w:r>
      <w:r>
        <w:rPr>
          <w:rFonts w:ascii="宋体" w:hAnsi="宋体" w:cs="仿宋"/>
          <w:color w:val="auto"/>
          <w:sz w:val="24"/>
          <w:szCs w:val="24"/>
          <w:highlight w:val="none"/>
        </w:rPr>
        <w:t>[0,100]</w:t>
      </w:r>
      <w:r>
        <w:rPr>
          <w:rFonts w:hint="eastAsia" w:ascii="宋体" w:hAnsi="宋体" w:cs="仿宋"/>
          <w:color w:val="auto"/>
          <w:sz w:val="24"/>
          <w:szCs w:val="24"/>
          <w:highlight w:val="none"/>
        </w:rPr>
        <w:t>整数中随机抽取</w:t>
      </w:r>
    </w:p>
    <w:p>
      <w:pPr>
        <w:spacing w:line="360" w:lineRule="auto"/>
        <w:ind w:firstLine="480" w:firstLineChars="200"/>
        <w:rPr>
          <w:rFonts w:ascii="宋体" w:hAnsi="宋体"/>
          <w:color w:val="auto"/>
          <w:sz w:val="24"/>
          <w:szCs w:val="24"/>
          <w:highlight w:val="none"/>
        </w:rPr>
      </w:pPr>
      <w:r>
        <w:rPr>
          <w:rFonts w:hint="eastAsia" w:ascii="宋体" w:hAnsi="宋体" w:cs="宋体"/>
          <w:color w:val="auto"/>
          <w:kern w:val="0"/>
          <w:sz w:val="24"/>
          <w:szCs w:val="24"/>
          <w:highlight w:val="none"/>
        </w:rPr>
        <w:t>45.3</w:t>
      </w:r>
      <w:r>
        <w:rPr>
          <w:rFonts w:hint="eastAsia" w:ascii="宋体" w:hAnsi="宋体"/>
          <w:color w:val="auto"/>
          <w:sz w:val="24"/>
          <w:szCs w:val="24"/>
          <w:highlight w:val="none"/>
        </w:rPr>
        <w:t>当标价等于评标参考价时得</w:t>
      </w:r>
      <w:r>
        <w:rPr>
          <w:rFonts w:ascii="宋体" w:hAnsi="宋体"/>
          <w:color w:val="auto"/>
          <w:sz w:val="24"/>
          <w:szCs w:val="24"/>
          <w:highlight w:val="none"/>
        </w:rPr>
        <w:t>100</w:t>
      </w:r>
      <w:r>
        <w:rPr>
          <w:rFonts w:hint="eastAsia" w:ascii="宋体" w:hAnsi="宋体"/>
          <w:color w:val="auto"/>
          <w:sz w:val="24"/>
          <w:szCs w:val="24"/>
          <w:highlight w:val="none"/>
        </w:rPr>
        <w:t>分，标价每高于评标参考价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1.5</w:t>
      </w:r>
      <w:r>
        <w:rPr>
          <w:rFonts w:hint="eastAsia" w:ascii="宋体" w:hAnsi="宋体"/>
          <w:color w:val="auto"/>
          <w:sz w:val="24"/>
          <w:szCs w:val="24"/>
          <w:highlight w:val="none"/>
        </w:rPr>
        <w:t>分，每低于评标参考价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w:t>
      </w:r>
      <w:r>
        <w:rPr>
          <w:rFonts w:hint="eastAsia" w:ascii="宋体" w:hAnsi="宋体"/>
          <w:color w:val="auto"/>
          <w:sz w:val="24"/>
          <w:szCs w:val="24"/>
          <w:highlight w:val="none"/>
        </w:rPr>
        <w:t>分，扣至</w:t>
      </w:r>
      <w:r>
        <w:rPr>
          <w:rFonts w:ascii="宋体" w:hAnsi="宋体"/>
          <w:color w:val="auto"/>
          <w:sz w:val="24"/>
          <w:szCs w:val="24"/>
          <w:highlight w:val="none"/>
        </w:rPr>
        <w:t>0</w:t>
      </w:r>
      <w:r>
        <w:rPr>
          <w:rFonts w:hint="eastAsia" w:ascii="宋体" w:hAnsi="宋体"/>
          <w:color w:val="auto"/>
          <w:sz w:val="24"/>
          <w:szCs w:val="24"/>
          <w:highlight w:val="none"/>
        </w:rPr>
        <w:t>分为止，得出经济分，精确到小数点后两位。</w:t>
      </w:r>
    </w:p>
    <w:p>
      <w:pPr>
        <w:pStyle w:val="39"/>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45.4</w:t>
      </w:r>
      <w:r>
        <w:rPr>
          <w:rFonts w:hint="eastAsia" w:ascii="宋体"/>
          <w:color w:val="auto"/>
          <w:sz w:val="24"/>
          <w:szCs w:val="24"/>
          <w:highlight w:val="none"/>
        </w:rPr>
        <w:t>计算通过技术标有效性审查的投标人总得分。投标人总得分=（技术得分×技术得分权重</w:t>
      </w:r>
      <w:r>
        <w:rPr>
          <w:rFonts w:hint="eastAsia" w:ascii="宋体" w:cs="宋体"/>
          <w:color w:val="auto"/>
          <w:sz w:val="24"/>
          <w:szCs w:val="24"/>
          <w:highlight w:val="none"/>
        </w:rPr>
        <w:t>＋</w:t>
      </w:r>
      <w:r>
        <w:rPr>
          <w:rFonts w:hint="eastAsia" w:ascii="宋体"/>
          <w:color w:val="auto"/>
          <w:sz w:val="24"/>
          <w:szCs w:val="24"/>
          <w:highlight w:val="none"/>
        </w:rPr>
        <w:t>经济得分×经济得分权重）×（1-综合诚信评价分数权重）</w:t>
      </w:r>
      <w:r>
        <w:rPr>
          <w:rFonts w:hint="eastAsia" w:ascii="宋体" w:cs="宋体"/>
          <w:color w:val="auto"/>
          <w:sz w:val="24"/>
          <w:szCs w:val="24"/>
          <w:highlight w:val="none"/>
        </w:rPr>
        <w:t>＋</w:t>
      </w:r>
      <w:r>
        <w:rPr>
          <w:rFonts w:hint="eastAsia" w:ascii="宋体"/>
          <w:color w:val="auto"/>
          <w:sz w:val="24"/>
          <w:szCs w:val="24"/>
          <w:highlight w:val="none"/>
        </w:rPr>
        <w:t>综合诚信评价排名得分×综合诚信评价分数权重）。技术、经济得分权重按投标须知前附表的规定执行。总得分四舍五入保留两位小数。</w:t>
      </w:r>
    </w:p>
    <w:p>
      <w:pPr>
        <w:pStyle w:val="39"/>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46.经济标的有效性审查</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46.1经济标的有效性审查：按照投标人总得分排序，依次对投标文件进行经济标有效性审查，投标文件中没有任一种列于本办法附表三《经济标有效性审查表》中情形的，为有效</w:t>
      </w:r>
      <w:r>
        <w:rPr>
          <w:rFonts w:hint="eastAsia" w:ascii="宋体" w:hAnsi="宋体"/>
          <w:color w:val="auto"/>
          <w:sz w:val="24"/>
          <w:highlight w:val="none"/>
        </w:rPr>
        <w:t>投标文件</w:t>
      </w:r>
      <w:r>
        <w:rPr>
          <w:rFonts w:hint="eastAsia" w:ascii="宋体" w:hAnsi="宋体"/>
          <w:color w:val="auto"/>
          <w:sz w:val="24"/>
          <w:szCs w:val="24"/>
          <w:highlight w:val="none"/>
        </w:rPr>
        <w:t>，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6.2经济标的算术校核。评标委员会对进行经济标有效性审查的投标文件投标报价按照就低不就高的原则进行算术校核，具体标准如下：</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6.2.1如果数字表示的金额和用文字表示的金额不一致时，应以文字表示的金额为准；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6.2.2经算术复核的投标人报价与其投标报价不一致时，按就低不就高原则确定其最终报价；</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4</w:t>
      </w:r>
      <w:r>
        <w:rPr>
          <w:rFonts w:hint="eastAsia" w:ascii="宋体" w:hAnsi="宋体"/>
          <w:color w:val="auto"/>
          <w:sz w:val="24"/>
          <w:szCs w:val="24"/>
          <w:highlight w:val="none"/>
        </w:rPr>
        <w:t>当合价、金额累加错误时，按就低不就高原则，如果累加修正值小于原累加值，则按累加修正值；如果累加修正值大于原累加值，则按原累加值；</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5</w:t>
      </w:r>
      <w:r>
        <w:rPr>
          <w:rFonts w:hint="eastAsia" w:ascii="宋体" w:hAnsi="宋体"/>
          <w:color w:val="auto"/>
          <w:sz w:val="24"/>
          <w:szCs w:val="24"/>
          <w:highlight w:val="none"/>
        </w:rPr>
        <w:t>如果投标人的有关规费、暂列金额、暂估价、绿色施工安全防护措施费等未按招标文件规定的金额填写的，由评标委员会按照招标文件规定的金额进行修正；</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6</w:t>
      </w:r>
      <w:r>
        <w:rPr>
          <w:rFonts w:hint="eastAsia" w:ascii="宋体" w:hAnsi="宋体"/>
          <w:color w:val="auto"/>
          <w:sz w:val="24"/>
          <w:szCs w:val="24"/>
          <w:highlight w:val="none"/>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7</w:t>
      </w:r>
      <w:r>
        <w:rPr>
          <w:rFonts w:hint="eastAsia" w:ascii="宋体" w:hAnsi="宋体"/>
          <w:color w:val="auto"/>
          <w:sz w:val="24"/>
          <w:szCs w:val="24"/>
          <w:highlight w:val="none"/>
        </w:rPr>
        <w:t>按就低不就高原则，当修正后报价小于原报价，总价按修正后报价；当修正后报价大于原报价，总价按原报价，并在签订合同时载明在结算价中扣除修正报价与原报价的差额。</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8</w:t>
      </w:r>
      <w:r>
        <w:rPr>
          <w:rFonts w:hint="eastAsia" w:ascii="宋体" w:hAnsi="宋体"/>
          <w:color w:val="auto"/>
          <w:sz w:val="24"/>
          <w:szCs w:val="24"/>
          <w:highlight w:val="none"/>
        </w:rPr>
        <w:t>按上述修正错误的原则及方法调整或修正投标文件的投标报价，调整后的投标报价对投标人起约束作用。如果投标人不接受修正后的报价，则取消其投标资格，并且其投标保证金也将不予退还。</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8.评标委员会应在通过投标文件经济标有效性审查的投标人中，按步骤45.4确定的投标人第二阶段排序，推荐前</w:t>
      </w:r>
      <w:r>
        <w:rPr>
          <w:rFonts w:ascii="宋体" w:hAnsi="宋体"/>
          <w:color w:val="auto"/>
          <w:sz w:val="24"/>
          <w:szCs w:val="24"/>
          <w:highlight w:val="none"/>
        </w:rPr>
        <w:t>3</w:t>
      </w:r>
      <w:r>
        <w:rPr>
          <w:rFonts w:hint="eastAsia" w:ascii="宋体" w:hAnsi="宋体"/>
          <w:color w:val="auto"/>
          <w:sz w:val="24"/>
          <w:szCs w:val="24"/>
          <w:highlight w:val="none"/>
        </w:rPr>
        <w:t>名依次为第一中标候选人至第三中标候选人</w:t>
      </w:r>
      <w:r>
        <w:rPr>
          <w:rFonts w:ascii="宋体" w:hAnsi="宋体"/>
          <w:color w:val="auto"/>
          <w:sz w:val="24"/>
          <w:szCs w:val="24"/>
          <w:highlight w:val="none"/>
        </w:rPr>
        <w:t>,</w:t>
      </w:r>
      <w:r>
        <w:rPr>
          <w:rFonts w:hint="eastAsia" w:ascii="宋体" w:hAnsi="宋体"/>
          <w:color w:val="auto"/>
          <w:sz w:val="24"/>
          <w:szCs w:val="24"/>
          <w:highlight w:val="none"/>
        </w:rPr>
        <w:t>并编制评标报告。</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9.若通过经济标有效性审查的投标人不足三家，应当依法重新招标。（当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N+2</w:t>
      </w:r>
      <w:r>
        <w:rPr>
          <w:rFonts w:hint="eastAsia" w:ascii="宋体" w:hAnsi="宋体"/>
          <w:color w:val="auto"/>
          <w:sz w:val="24"/>
          <w:szCs w:val="24"/>
          <w:highlight w:val="none"/>
        </w:rPr>
        <w:t>家，应当依法重新招标）</w:t>
      </w:r>
    </w:p>
    <w:p>
      <w:pPr>
        <w:spacing w:line="360" w:lineRule="auto"/>
        <w:ind w:firstLine="480" w:firstLineChars="200"/>
        <w:rPr>
          <w:rFonts w:ascii="宋体" w:hAnsi="宋体"/>
          <w:color w:val="auto"/>
          <w:sz w:val="24"/>
          <w:szCs w:val="24"/>
          <w:highlight w:val="none"/>
        </w:rPr>
      </w:pPr>
    </w:p>
    <w:bookmarkEnd w:id="25"/>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widowControl/>
        <w:snapToGrid w:val="0"/>
        <w:spacing w:line="360" w:lineRule="auto"/>
        <w:ind w:right="1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附表一：</w:t>
      </w:r>
    </w:p>
    <w:p>
      <w:pPr>
        <w:jc w:val="center"/>
        <w:outlineLvl w:val="2"/>
        <w:rPr>
          <w:rFonts w:hint="eastAsia" w:ascii="宋体" w:hAnsi="宋体" w:eastAsia="宋体" w:cs="宋体"/>
          <w:b/>
          <w:color w:val="auto"/>
          <w:sz w:val="32"/>
          <w:szCs w:val="32"/>
          <w:highlight w:val="none"/>
        </w:rPr>
      </w:pPr>
      <w:bookmarkStart w:id="29" w:name="_Toc14480"/>
      <w:r>
        <w:rPr>
          <w:rFonts w:hint="eastAsia" w:ascii="宋体" w:hAnsi="宋体" w:eastAsia="宋体" w:cs="宋体"/>
          <w:b/>
          <w:color w:val="auto"/>
          <w:sz w:val="32"/>
          <w:szCs w:val="32"/>
          <w:highlight w:val="none"/>
        </w:rPr>
        <w:t>资格审查表</w:t>
      </w:r>
      <w:bookmarkEnd w:id="29"/>
    </w:p>
    <w:p>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p>
      <w:pPr>
        <w:spacing w:line="48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t>投标人名称：</w:t>
      </w:r>
    </w:p>
    <w:tbl>
      <w:tblPr>
        <w:tblStyle w:val="40"/>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626"/>
        <w:gridCol w:w="3365"/>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审查项目</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须审查的资料</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投标人参加投标的意思表达清楚，投标人代表被授权有效</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投标人声明、法定代表人证明书；委托投标的还应提供法人授权委托证明书</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投标人均具有独立法人资格，按国家法律经营</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营业执照在广州市住建行业信用管理平台内上传件</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trPr>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投标人均持有建设行政主管部门颁发的企业资质证书及安全生产许可证；投标人资质符合公告要求</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highlight w:val="none"/>
                <w:u w:val="single"/>
              </w:rPr>
              <w:t>资质证书及安全生产许可证在广州市住建行业信用管理平台内上传件，</w:t>
            </w:r>
            <w:r>
              <w:rPr>
                <w:rFonts w:hint="eastAsia" w:ascii="宋体" w:hAnsi="宋体" w:eastAsia="宋体" w:cs="宋体"/>
                <w:color w:val="auto"/>
                <w:szCs w:val="24"/>
                <w:highlight w:val="none"/>
                <w:u w:val="single"/>
              </w:rPr>
              <w:t>压力管道安装许可证GB1</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GC1</w:t>
            </w:r>
            <w:r>
              <w:rPr>
                <w:rFonts w:hint="eastAsia" w:ascii="宋体" w:hAnsi="宋体" w:eastAsia="宋体" w:cs="宋体"/>
                <w:color w:val="auto"/>
                <w:szCs w:val="24"/>
                <w:highlight w:val="none"/>
                <w:u w:val="single"/>
              </w:rPr>
              <w:t>级</w:t>
            </w:r>
            <w:r>
              <w:rPr>
                <w:rFonts w:hint="eastAsia" w:ascii="宋体" w:hAnsi="宋体" w:cs="宋体"/>
                <w:color w:val="auto"/>
                <w:szCs w:val="24"/>
                <w:highlight w:val="none"/>
                <w:u w:val="single"/>
                <w:lang w:val="en-US" w:eastAsia="zh-CN"/>
              </w:rPr>
              <w:t>原件扫描件</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投标人拟担任本工程项目负责人符合公告要求</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使用有效期内的注册建造师证书在广州市住建行业信用管理平台内上传件（注：打印建造师电子证书后，应在个人签名处手写本人签名再上传广州市住建行业信用平台，上传件未手写签名或与签名图像笔迹不一致的，该电子证书无效。）</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持有项目负责人安全</w:t>
            </w:r>
            <w:r>
              <w:rPr>
                <w:rFonts w:hint="eastAsia" w:ascii="宋体" w:hAnsi="宋体" w:eastAsia="宋体" w:cs="宋体"/>
                <w:color w:val="auto"/>
                <w:szCs w:val="21"/>
                <w:highlight w:val="none"/>
                <w:lang w:val="en-US" w:eastAsia="zh-CN"/>
              </w:rPr>
              <w:t>生产</w:t>
            </w:r>
            <w:r>
              <w:rPr>
                <w:rFonts w:hint="eastAsia" w:ascii="宋体" w:hAnsi="宋体" w:eastAsia="宋体" w:cs="宋体"/>
                <w:color w:val="auto"/>
                <w:szCs w:val="21"/>
                <w:highlight w:val="none"/>
              </w:rPr>
              <w:t>考核合格证（B类）或建筑施工企业项目负责人安全生产考核合格证</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项目负责人安全</w:t>
            </w:r>
            <w:r>
              <w:rPr>
                <w:rFonts w:hint="eastAsia" w:ascii="宋体" w:hAnsi="宋体" w:eastAsia="宋体" w:cs="宋体"/>
                <w:color w:val="auto"/>
                <w:szCs w:val="21"/>
                <w:highlight w:val="none"/>
                <w:lang w:val="en-US" w:eastAsia="zh-CN"/>
              </w:rPr>
              <w:t>生产</w:t>
            </w:r>
            <w:r>
              <w:rPr>
                <w:rFonts w:hint="eastAsia" w:ascii="宋体" w:hAnsi="宋体" w:eastAsia="宋体" w:cs="宋体"/>
                <w:color w:val="auto"/>
                <w:szCs w:val="21"/>
                <w:highlight w:val="none"/>
              </w:rPr>
              <w:t>考核合格证（B证）或建筑施工企业项目负责人安全生产考核合格证在</w:t>
            </w:r>
            <w:r>
              <w:rPr>
                <w:rFonts w:hint="eastAsia" w:ascii="宋体" w:hAnsi="宋体" w:eastAsia="宋体" w:cs="宋体"/>
                <w:color w:val="auto"/>
                <w:szCs w:val="21"/>
                <w:highlight w:val="none"/>
                <w:u w:val="single"/>
              </w:rPr>
              <w:t>广州市住建行业信用管理平台内上传件</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专职安全员须具有安全生产考核合格证</w:t>
            </w:r>
            <w:r>
              <w:rPr>
                <w:rFonts w:hint="eastAsia" w:ascii="宋体" w:hAnsi="宋体" w:eastAsia="宋体" w:cs="宋体"/>
                <w:color w:val="auto"/>
                <w:szCs w:val="21"/>
                <w:highlight w:val="none"/>
                <w:u w:val="single"/>
              </w:rPr>
              <w:t>（C类）</w:t>
            </w:r>
            <w:r>
              <w:rPr>
                <w:rFonts w:hint="eastAsia" w:ascii="宋体" w:hAnsi="宋体" w:eastAsia="宋体" w:cs="宋体"/>
                <w:color w:val="auto"/>
                <w:szCs w:val="21"/>
                <w:highlight w:val="none"/>
              </w:rPr>
              <w:t>或建筑施工企业专职安全生产管理人员安全生产考核合格证</w:t>
            </w:r>
            <w:r>
              <w:rPr>
                <w:rFonts w:hint="eastAsia" w:ascii="宋体" w:hAnsi="宋体" w:eastAsia="宋体" w:cs="宋体"/>
                <w:color w:val="auto"/>
                <w:szCs w:val="21"/>
                <w:highlight w:val="none"/>
                <w:u w:val="single"/>
              </w:rPr>
              <w:t>（C3类）</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专职安全员的安全生产考核合格证（C类）或建筑施工企业专职安全生产管理人员安全生产考核合格证（C3类）在广州市住建行业信用管理平台内上传件</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szCs w:val="21"/>
                <w:highlight w:val="none"/>
                <w:u w:val="single"/>
              </w:rPr>
              <w:t>投标人完成过的类似业绩符合公告要求</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szCs w:val="21"/>
                <w:highlight w:val="none"/>
                <w:u w:val="single"/>
              </w:rPr>
              <w:t>业绩证明文件</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投标人提供的投标人声明符合公告要求</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投标人声明</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投标人声明中签字的项目负责人和技术负责人与本项目拟派的项目负责人和技术负责人一致</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网上投标时选择拟投标的项目负责人、资格审查文件中拟委派的技术负责人及投标人声明</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u w:val="single"/>
                <w:lang w:val="en-US" w:eastAsia="zh-CN"/>
              </w:rPr>
              <w:t>关于联合体投标：本项目不接受联合体</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u w:val="single"/>
                <w:lang w:eastAsia="zh-CN"/>
              </w:rPr>
              <w:t>未以联合体进行投标</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1</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资格审查前，投标人须在广州市住房和城乡建设局建立企业信用档案及拟担任本工程项目负责人、专职安全员须是本企业中的在册人员</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投标人在广州市住建行业信用管理平台内企业信用档案的企业和人员信息</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2</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投标人未出现以下情形：与其它投标人的单位负责人为同一人或者存在控股、管理关系的（按投标人提供的《投标人声明》第八条内容进行评审）。</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投标人声明</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3</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未被列入拖欠农民工工资失信联合惩戒对象名单</w:t>
            </w:r>
          </w:p>
        </w:tc>
        <w:tc>
          <w:tcPr>
            <w:tcW w:w="3365"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投标人无需提供资料，按交易系统比对的结果进行评审</w:t>
            </w:r>
          </w:p>
        </w:tc>
        <w:tc>
          <w:tcPr>
            <w:tcW w:w="582" w:type="dxa"/>
            <w:tcBorders>
              <w:top w:val="single" w:color="auto" w:sz="4" w:space="0"/>
              <w:left w:val="single" w:color="auto" w:sz="4" w:space="0"/>
              <w:bottom w:val="single" w:color="auto" w:sz="4" w:space="0"/>
              <w:right w:val="single" w:color="auto" w:sz="4" w:space="0"/>
            </w:tcBorders>
            <w:vAlign w:val="center"/>
          </w:tcPr>
          <w:p>
            <w:pPr>
              <w:spacing w:before="120" w:after="60"/>
              <w:jc w:val="center"/>
              <w:rPr>
                <w:rFonts w:hint="eastAsia" w:ascii="宋体" w:hAnsi="宋体" w:eastAsia="宋体" w:cs="宋体"/>
                <w:color w:val="auto"/>
                <w:szCs w:val="21"/>
                <w:highlight w:val="none"/>
              </w:rPr>
            </w:pPr>
          </w:p>
        </w:tc>
      </w:tr>
    </w:tbl>
    <w:p>
      <w:pPr>
        <w:spacing w:line="360" w:lineRule="auto"/>
        <w:ind w:firstLine="470" w:firstLineChars="224"/>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pPr>
        <w:spacing w:line="360" w:lineRule="auto"/>
        <w:ind w:firstLine="470" w:firstLineChars="224"/>
        <w:rPr>
          <w:rFonts w:hint="eastAsia" w:ascii="宋体" w:hAnsi="宋体" w:eastAsia="宋体" w:cs="宋体"/>
          <w:color w:val="auto"/>
          <w:szCs w:val="21"/>
          <w:highlight w:val="none"/>
        </w:rPr>
      </w:pPr>
      <w:r>
        <w:rPr>
          <w:rFonts w:hint="eastAsia" w:ascii="宋体" w:hAnsi="宋体" w:eastAsia="宋体" w:cs="宋体"/>
          <w:color w:val="auto"/>
          <w:szCs w:val="21"/>
          <w:highlight w:val="none"/>
        </w:rPr>
        <w:t>1、每一项目符合的打“○”，不符合的打“×”；</w:t>
      </w:r>
    </w:p>
    <w:p>
      <w:pPr>
        <w:spacing w:line="360" w:lineRule="auto"/>
        <w:ind w:firstLine="470" w:firstLineChars="224"/>
        <w:rPr>
          <w:rFonts w:hint="eastAsia" w:ascii="宋体" w:hAnsi="宋体" w:eastAsia="宋体" w:cs="宋体"/>
          <w:color w:val="auto"/>
          <w:highlight w:val="none"/>
        </w:rPr>
      </w:pPr>
      <w:r>
        <w:rPr>
          <w:rFonts w:hint="eastAsia" w:ascii="宋体" w:hAnsi="宋体" w:eastAsia="宋体" w:cs="宋体"/>
          <w:color w:val="auto"/>
          <w:szCs w:val="21"/>
          <w:highlight w:val="none"/>
        </w:rPr>
        <w:t>2、若评委意见不一致时，则按少数服从多数的原则，作出评审结论。汇总后，出现一个“×”的结论为“不通过”。</w:t>
      </w:r>
    </w:p>
    <w:p>
      <w:pPr>
        <w:spacing w:line="360" w:lineRule="auto"/>
        <w:ind w:firstLine="470" w:firstLineChars="224"/>
        <w:rPr>
          <w:rFonts w:hint="eastAsia" w:ascii="宋体" w:hAnsi="宋体" w:eastAsia="宋体" w:cs="宋体"/>
          <w:color w:val="auto"/>
          <w:szCs w:val="21"/>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1417" w:right="1417" w:bottom="1417" w:left="1417" w:header="850" w:footer="907" w:gutter="0"/>
          <w:pgNumType w:fmt="decimal"/>
          <w:cols w:space="0" w:num="1"/>
          <w:titlePg/>
          <w:docGrid w:type="lines" w:linePitch="312" w:charSpace="0"/>
        </w:sectPr>
      </w:pPr>
      <w:r>
        <w:rPr>
          <w:rFonts w:hint="eastAsia" w:ascii="宋体" w:hAnsi="宋体" w:eastAsia="宋体" w:cs="宋体"/>
          <w:color w:val="auto"/>
          <w:szCs w:val="21"/>
          <w:highlight w:val="none"/>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附表二</w:t>
      </w:r>
    </w:p>
    <w:p>
      <w:pPr>
        <w:jc w:val="center"/>
        <w:outlineLvl w:val="2"/>
        <w:rPr>
          <w:rFonts w:hint="eastAsia" w:ascii="宋体" w:hAnsi="宋体" w:eastAsia="宋体" w:cs="宋体"/>
          <w:b/>
          <w:color w:val="auto"/>
          <w:sz w:val="36"/>
          <w:szCs w:val="36"/>
          <w:highlight w:val="none"/>
        </w:rPr>
      </w:pPr>
      <w:bookmarkStart w:id="30" w:name="_Toc3686"/>
      <w:r>
        <w:rPr>
          <w:rFonts w:hint="eastAsia" w:ascii="宋体" w:hAnsi="宋体" w:eastAsia="宋体" w:cs="宋体"/>
          <w:b/>
          <w:color w:val="auto"/>
          <w:sz w:val="36"/>
          <w:szCs w:val="36"/>
          <w:highlight w:val="none"/>
        </w:rPr>
        <w:t>技术标有效性审查表</w:t>
      </w:r>
      <w:bookmarkEnd w:id="30"/>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p>
    <w:tbl>
      <w:tblPr>
        <w:tblStyle w:val="40"/>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4819"/>
        <w:gridCol w:w="1300"/>
        <w:gridCol w:w="1400"/>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4819" w:type="dxa"/>
            <w:tcBorders>
              <w:top w:val="single" w:color="auto" w:sz="4" w:space="0"/>
              <w:left w:val="single" w:color="auto" w:sz="4" w:space="0"/>
              <w:bottom w:val="single" w:color="auto" w:sz="4" w:space="0"/>
              <w:right w:val="single" w:color="auto" w:sz="4" w:space="0"/>
              <w:tl2br w:val="single" w:color="auto" w:sz="4" w:space="0"/>
            </w:tcBorders>
          </w:tcPr>
          <w:p>
            <w:pPr>
              <w:adjustRightInd w:val="0"/>
              <w:ind w:firstLine="3150" w:firstLineChars="15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p>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评审内容</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《广州建设工程施工招标投标书》中的投标总工期</w:t>
            </w:r>
            <w:r>
              <w:rPr>
                <w:rFonts w:hint="eastAsia" w:ascii="宋体" w:hAnsi="宋体" w:eastAsia="宋体" w:cs="宋体"/>
                <w:color w:val="auto"/>
                <w:szCs w:val="21"/>
                <w:highlight w:val="none"/>
              </w:rPr>
              <w:t>不能满足完成投标项目工期的；</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《广州建设工程施工招标投标书》中的工程质量标准不符合招标文件要求的；</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投标文件中没有有效的法定代表人证明书，或由委托代理人签署</w:t>
            </w:r>
            <w:r>
              <w:rPr>
                <w:rFonts w:hint="eastAsia" w:ascii="宋体" w:hAnsi="宋体" w:eastAsia="宋体" w:cs="宋体"/>
                <w:color w:val="auto"/>
                <w:szCs w:val="21"/>
                <w:highlight w:val="none"/>
                <w:u w:val="single"/>
              </w:rPr>
              <w:t>或盖章</w:t>
            </w:r>
            <w:r>
              <w:rPr>
                <w:rFonts w:hint="eastAsia" w:ascii="宋体" w:hAnsi="宋体" w:eastAsia="宋体" w:cs="宋体"/>
                <w:color w:val="auto"/>
                <w:szCs w:val="21"/>
                <w:highlight w:val="none"/>
              </w:rPr>
              <w:t>的投标文件中没有法定代表人授权书；</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投标文件存在下列问题之一：（1）未按招标文件第四章技术标投标文件格式（格式</w:t>
            </w:r>
            <w:r>
              <w:rPr>
                <w:rFonts w:hint="eastAsia" w:ascii="宋体" w:hAnsi="宋体" w:eastAsia="宋体" w:cs="宋体"/>
                <w:color w:val="auto"/>
                <w:szCs w:val="21"/>
                <w:highlight w:val="none"/>
                <w:u w:val="single"/>
                <w:lang w:val="en-US" w:eastAsia="zh-CN"/>
              </w:rPr>
              <w:t>二、</w:t>
            </w:r>
            <w:r>
              <w:rPr>
                <w:rFonts w:hint="eastAsia" w:ascii="宋体" w:hAnsi="宋体" w:eastAsia="宋体" w:cs="宋体"/>
                <w:color w:val="auto"/>
                <w:szCs w:val="21"/>
                <w:highlight w:val="none"/>
                <w:u w:val="single"/>
              </w:rPr>
              <w:t>格式</w:t>
            </w:r>
            <w:r>
              <w:rPr>
                <w:rFonts w:hint="eastAsia" w:ascii="宋体" w:hAnsi="宋体" w:eastAsia="宋体" w:cs="宋体"/>
                <w:color w:val="auto"/>
                <w:szCs w:val="21"/>
                <w:highlight w:val="none"/>
                <w:u w:val="single"/>
                <w:lang w:val="en-US" w:eastAsia="zh-CN"/>
              </w:rPr>
              <w:t>三、</w:t>
            </w:r>
            <w:r>
              <w:rPr>
                <w:rFonts w:hint="eastAsia" w:ascii="宋体" w:hAnsi="宋体" w:eastAsia="宋体" w:cs="宋体"/>
                <w:color w:val="auto"/>
                <w:szCs w:val="21"/>
                <w:highlight w:val="none"/>
                <w:u w:val="single"/>
              </w:rPr>
              <w:t>格式四）填写并提交；（2）主要内容不全，或关键字迹模糊、无法辨认的；</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投标人之间存在《广东省实施&lt;中华人民共和国招标投标法&gt;》第十六条所禁止的情形的；</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shd w:val="pct10" w:color="auto" w:fill="FFFFFF"/>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shd w:val="pct10" w:color="auto" w:fill="FFFFFF"/>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无《参与编制技术标投标文件人员名单》的</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投标人未按要求提交投标保证金的</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4819"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投标人与其他投标人加密打包投标文件电脑机器特征码一致的(以</w:t>
            </w:r>
            <w:r>
              <w:rPr>
                <w:rFonts w:hint="eastAsia" w:ascii="宋体" w:hAnsi="宋体" w:eastAsia="宋体" w:cs="宋体"/>
                <w:color w:val="auto"/>
                <w:szCs w:val="21"/>
                <w:highlight w:val="none"/>
                <w:u w:val="single"/>
              </w:rPr>
              <w:t xml:space="preserve"> 广州公共资源交易中心 </w:t>
            </w:r>
            <w:r>
              <w:rPr>
                <w:rFonts w:hint="eastAsia" w:ascii="宋体" w:hAnsi="宋体" w:eastAsia="宋体" w:cs="宋体"/>
                <w:color w:val="auto"/>
                <w:szCs w:val="21"/>
                <w:highlight w:val="none"/>
              </w:rPr>
              <w:t>交易平台评标系统的检索信息为准)</w:t>
            </w:r>
          </w:p>
        </w:tc>
        <w:tc>
          <w:tcPr>
            <w:tcW w:w="13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c>
          <w:tcPr>
            <w:tcW w:w="1272" w:type="dxa"/>
            <w:tcBorders>
              <w:top w:val="single" w:color="auto" w:sz="4" w:space="0"/>
              <w:left w:val="single" w:color="auto" w:sz="4" w:space="0"/>
              <w:bottom w:val="single" w:color="auto" w:sz="4" w:space="0"/>
              <w:right w:val="single" w:color="auto" w:sz="4" w:space="0"/>
            </w:tcBorders>
          </w:tcPr>
          <w:p>
            <w:pPr>
              <w:adjustRightInd w:val="0"/>
              <w:rPr>
                <w:rFonts w:hint="eastAsia" w:ascii="宋体" w:hAnsi="宋体" w:eastAsia="宋体" w:cs="宋体"/>
                <w:color w:val="auto"/>
                <w:szCs w:val="21"/>
                <w:highlight w:val="none"/>
              </w:rPr>
            </w:pPr>
          </w:p>
        </w:tc>
      </w:tr>
    </w:tbl>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注：1.本表使用GZZB2018-3招标文件范本，与范本内容不同之处均以下划线标明。技术标评审中，响应性、承诺性内容不应作为评分因素，可在该表中对上述内容进行符合性审查。审查标准须具备可操作性。</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3.凡出现以上任何一项情形，结论均为无效，否则就为有效。</w:t>
      </w:r>
    </w:p>
    <w:p>
      <w:pP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4.如对本表中某种情形的评审意见不一致时，以评标委员会过半数成员的意见作为评标委员会对该情形的认定结论。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评委签名：</w:t>
      </w:r>
    </w:p>
    <w:p>
      <w:pPr>
        <w:rPr>
          <w:rFonts w:hint="eastAsia" w:ascii="宋体" w:hAnsi="宋体" w:eastAsia="宋体" w:cs="宋体"/>
          <w:color w:val="auto"/>
          <w:szCs w:val="21"/>
          <w:highlight w:val="none"/>
        </w:rPr>
      </w:pPr>
      <w:r>
        <w:rPr>
          <w:rFonts w:hint="eastAsia" w:ascii="宋体" w:hAnsi="宋体" w:eastAsia="宋体" w:cs="宋体"/>
          <w:color w:val="auto"/>
          <w:highlight w:val="none"/>
        </w:rPr>
        <w:br w:type="page"/>
      </w:r>
      <w:r>
        <w:rPr>
          <w:rFonts w:hint="eastAsia" w:ascii="宋体" w:hAnsi="宋体" w:eastAsia="宋体" w:cs="宋体"/>
          <w:color w:val="auto"/>
          <w:szCs w:val="21"/>
          <w:highlight w:val="none"/>
        </w:rPr>
        <w:t>附表三</w:t>
      </w:r>
    </w:p>
    <w:p>
      <w:pPr>
        <w:jc w:val="center"/>
        <w:outlineLvl w:val="2"/>
        <w:rPr>
          <w:rFonts w:hint="eastAsia" w:ascii="宋体" w:hAnsi="宋体" w:eastAsia="宋体" w:cs="宋体"/>
          <w:b/>
          <w:color w:val="auto"/>
          <w:sz w:val="36"/>
          <w:szCs w:val="36"/>
          <w:highlight w:val="none"/>
        </w:rPr>
      </w:pPr>
      <w:bookmarkStart w:id="31" w:name="_Toc4996"/>
      <w:r>
        <w:rPr>
          <w:rFonts w:hint="eastAsia" w:ascii="宋体" w:hAnsi="宋体" w:eastAsia="宋体" w:cs="宋体"/>
          <w:b/>
          <w:color w:val="auto"/>
          <w:sz w:val="36"/>
          <w:szCs w:val="36"/>
          <w:highlight w:val="none"/>
        </w:rPr>
        <w:t>经济标有效性审查表</w:t>
      </w:r>
      <w:bookmarkEnd w:id="31"/>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p>
    <w:tbl>
      <w:tblPr>
        <w:tblStyle w:val="40"/>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5235"/>
        <w:gridCol w:w="1198"/>
        <w:gridCol w:w="1198"/>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5235" w:type="dxa"/>
            <w:tcBorders>
              <w:top w:val="single" w:color="auto" w:sz="4" w:space="0"/>
              <w:left w:val="single" w:color="auto" w:sz="4" w:space="0"/>
              <w:bottom w:val="single" w:color="auto" w:sz="4" w:space="0"/>
              <w:right w:val="single" w:color="auto" w:sz="4" w:space="0"/>
              <w:tl2br w:val="single" w:color="auto" w:sz="4" w:space="0"/>
            </w:tcBorders>
          </w:tcPr>
          <w:p>
            <w:pPr>
              <w:adjustRightInd w:val="0"/>
              <w:ind w:firstLine="2520" w:firstLineChars="1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评审内容</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对同一招标项目出现两个或以上的投标报价，且没有申明哪个有效；</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投标报价高于最高投标限价的；</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2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投标报价低于成本的；</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算术复核后的投标报价与原投标报价相比存在1%或以上误差的；</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投标文件未按</w:t>
            </w:r>
            <w:r>
              <w:rPr>
                <w:rFonts w:hint="eastAsia" w:ascii="宋体" w:hAnsi="宋体" w:eastAsia="宋体" w:cs="宋体"/>
                <w:color w:val="auto"/>
                <w:szCs w:val="21"/>
                <w:highlight w:val="none"/>
                <w:u w:val="single"/>
              </w:rPr>
              <w:t>招标文件第四章经济标投标文件格式（格式二</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rPr>
              <w:t>格式</w:t>
            </w:r>
            <w:r>
              <w:rPr>
                <w:rFonts w:hint="eastAsia" w:ascii="宋体" w:hAnsi="宋体" w:eastAsia="宋体" w:cs="宋体"/>
                <w:color w:val="auto"/>
                <w:szCs w:val="21"/>
                <w:highlight w:val="none"/>
                <w:u w:val="single"/>
                <w:lang w:val="en-US" w:eastAsia="zh-CN"/>
              </w:rPr>
              <w:t>三、</w:t>
            </w:r>
            <w:r>
              <w:rPr>
                <w:rFonts w:hint="eastAsia" w:ascii="宋体" w:hAnsi="宋体" w:eastAsia="宋体" w:cs="宋体"/>
                <w:color w:val="auto"/>
                <w:szCs w:val="21"/>
                <w:highlight w:val="none"/>
                <w:u w:val="single"/>
              </w:rPr>
              <w:t>格式四）</w:t>
            </w:r>
            <w:r>
              <w:rPr>
                <w:rFonts w:hint="eastAsia" w:ascii="宋体" w:hAnsi="宋体" w:eastAsia="宋体" w:cs="宋体"/>
                <w:color w:val="auto"/>
                <w:szCs w:val="21"/>
                <w:highlight w:val="none"/>
              </w:rPr>
              <w:t>填写，或主要内容不全，或关键字迹模糊、无法辨认的；</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不同投标人的投标报价中分部分项工程量清单综合单价相似度达到80%及以上的(以</w:t>
            </w:r>
            <w:r>
              <w:rPr>
                <w:rFonts w:hint="eastAsia" w:ascii="宋体" w:hAnsi="宋体" w:eastAsia="宋体" w:cs="宋体"/>
                <w:color w:val="auto"/>
                <w:szCs w:val="21"/>
                <w:highlight w:val="none"/>
                <w:u w:val="single"/>
              </w:rPr>
              <w:t xml:space="preserve"> 广州公共资源交易中心  </w:t>
            </w:r>
            <w:r>
              <w:rPr>
                <w:rFonts w:hint="eastAsia" w:ascii="宋体" w:hAnsi="宋体" w:eastAsia="宋体" w:cs="宋体"/>
                <w:color w:val="auto"/>
                <w:szCs w:val="21"/>
                <w:highlight w:val="none"/>
              </w:rPr>
              <w:t>交易平台评标系统的检索信息为准)</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投标人之间存在《广东省实施&lt;中华人民共和国招标投标法&gt;》第十六条所禁止的情形的；</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无《参与编制经济标投标文件人员名单》的；</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52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无《对投标文件编制的承诺》</w:t>
            </w: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Cs w:val="21"/>
                <w:highlight w:val="none"/>
              </w:rPr>
            </w:pPr>
          </w:p>
        </w:tc>
      </w:tr>
    </w:tbl>
    <w:p>
      <w:pPr>
        <w:ind w:firstLine="458"/>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注：1.本表使用GZZB2018-3招标文件范本，与范本内容不同之处均以下划线标明。</w:t>
      </w:r>
    </w:p>
    <w:p>
      <w:pPr>
        <w:ind w:firstLine="458"/>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2.凡出现以上任何一项情形，结论均为无效，否则就为有效。</w:t>
      </w:r>
    </w:p>
    <w:p>
      <w:pPr>
        <w:ind w:firstLine="458"/>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3.如对本表中某种情形的评审意见不一致时，以评标委员会过半数成员的意见作为评标委员会对该情形的认定结论。</w:t>
      </w:r>
    </w:p>
    <w:p>
      <w:pPr>
        <w:pStyle w:val="1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pStyle w:val="156"/>
        <w:rPr>
          <w:rFonts w:hint="eastAsia" w:ascii="宋体" w:hAnsi="宋体" w:eastAsia="宋体" w:cs="宋体"/>
          <w:color w:val="auto"/>
          <w:szCs w:val="21"/>
          <w:highlight w:val="none"/>
        </w:rPr>
        <w:sectPr>
          <w:endnotePr>
            <w:numFmt w:val="decimal"/>
          </w:endnotePr>
          <w:pgSz w:w="11906" w:h="16838"/>
          <w:pgMar w:top="1417" w:right="1417" w:bottom="1417" w:left="1417" w:header="850" w:footer="907" w:gutter="0"/>
          <w:pgNumType w:fmt="decimal"/>
          <w:cols w:space="0" w:num="1"/>
          <w:titlePg/>
          <w:docGrid w:type="lines" w:linePitch="312" w:charSpace="0"/>
        </w:sectPr>
      </w:pPr>
      <w:r>
        <w:rPr>
          <w:rFonts w:hint="eastAsia" w:ascii="宋体" w:hAnsi="宋体" w:eastAsia="宋体" w:cs="宋体"/>
          <w:color w:val="auto"/>
          <w:szCs w:val="21"/>
          <w:highlight w:val="none"/>
        </w:rPr>
        <w:t>评委签名：</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附表四 </w:t>
      </w:r>
    </w:p>
    <w:p>
      <w:pPr>
        <w:jc w:val="center"/>
        <w:outlineLvl w:val="2"/>
        <w:rPr>
          <w:rFonts w:hint="eastAsia" w:ascii="宋体" w:hAnsi="宋体" w:eastAsia="宋体" w:cs="宋体"/>
          <w:color w:val="auto"/>
          <w:highlight w:val="none"/>
        </w:rPr>
      </w:pPr>
      <w:bookmarkStart w:id="32" w:name="_Toc31419"/>
      <w:r>
        <w:rPr>
          <w:rFonts w:hint="eastAsia" w:ascii="宋体" w:hAnsi="宋体" w:eastAsia="宋体" w:cs="宋体"/>
          <w:b/>
          <w:color w:val="auto"/>
          <w:sz w:val="36"/>
          <w:szCs w:val="36"/>
          <w:highlight w:val="none"/>
        </w:rPr>
        <w:t>技术标详细审查评分表</w:t>
      </w:r>
      <w:bookmarkEnd w:id="32"/>
    </w:p>
    <w:tbl>
      <w:tblPr>
        <w:tblStyle w:val="40"/>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980"/>
        <w:gridCol w:w="638"/>
        <w:gridCol w:w="7540"/>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blHeader/>
        </w:trPr>
        <w:tc>
          <w:tcPr>
            <w:tcW w:w="1877" w:type="dxa"/>
            <w:gridSpan w:val="2"/>
            <w:shd w:val="clear" w:color="auto" w:fill="auto"/>
            <w:noWrap/>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评审项目</w:t>
            </w:r>
          </w:p>
        </w:tc>
        <w:tc>
          <w:tcPr>
            <w:tcW w:w="638" w:type="dxa"/>
            <w:shd w:val="clear" w:color="auto" w:fill="auto"/>
            <w:noWrap/>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分值</w:t>
            </w:r>
          </w:p>
        </w:tc>
        <w:tc>
          <w:tcPr>
            <w:tcW w:w="7540" w:type="dxa"/>
            <w:shd w:val="clear" w:color="auto" w:fill="auto"/>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评分标准</w:t>
            </w:r>
          </w:p>
        </w:tc>
        <w:tc>
          <w:tcPr>
            <w:tcW w:w="4165" w:type="dxa"/>
            <w:shd w:val="clear" w:color="auto" w:fill="auto"/>
            <w:noWrap/>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trPr>
        <w:tc>
          <w:tcPr>
            <w:tcW w:w="897" w:type="dxa"/>
            <w:vMerge w:val="restart"/>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企业资信评审</w:t>
            </w: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业绩</w:t>
            </w:r>
          </w:p>
        </w:tc>
        <w:tc>
          <w:tcPr>
            <w:tcW w:w="638" w:type="dxa"/>
            <w:shd w:val="clear" w:color="auto" w:fill="auto"/>
            <w:noWrap/>
            <w:vAlign w:val="center"/>
          </w:tcPr>
          <w:p>
            <w:pPr>
              <w:widowControl/>
              <w:jc w:val="center"/>
              <w:rPr>
                <w:rFonts w:ascii="宋体" w:hAnsi="宋体" w:cs="宋体"/>
                <w:kern w:val="0"/>
                <w:szCs w:val="21"/>
                <w:highlight w:val="none"/>
              </w:rPr>
            </w:pPr>
            <w:r>
              <w:rPr>
                <w:rFonts w:hint="eastAsia" w:ascii="宋体" w:hAnsi="宋体" w:cs="宋体"/>
                <w:kern w:val="0"/>
                <w:szCs w:val="21"/>
                <w:highlight w:val="none"/>
                <w:lang w:val="en-US" w:eastAsia="zh-CN"/>
              </w:rPr>
              <w:t>2</w:t>
            </w:r>
            <w:r>
              <w:rPr>
                <w:rFonts w:ascii="宋体" w:hAnsi="宋体" w:cs="宋体"/>
                <w:kern w:val="0"/>
                <w:szCs w:val="21"/>
                <w:highlight w:val="none"/>
              </w:rPr>
              <w:t>0</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投标人自20</w:t>
            </w:r>
            <w:r>
              <w:rPr>
                <w:rFonts w:hint="eastAsia" w:ascii="宋体" w:hAnsi="宋体" w:cs="宋体"/>
                <w:kern w:val="0"/>
                <w:szCs w:val="21"/>
                <w:highlight w:val="none"/>
                <w:lang w:val="en-US" w:eastAsia="zh-CN"/>
              </w:rPr>
              <w:t>18</w:t>
            </w:r>
            <w:r>
              <w:rPr>
                <w:rFonts w:hint="eastAsia" w:ascii="宋体" w:hAnsi="宋体" w:cs="宋体"/>
                <w:kern w:val="0"/>
                <w:szCs w:val="21"/>
                <w:highlight w:val="none"/>
              </w:rPr>
              <w:t>年1月1日至今完成符合以下任意一</w:t>
            </w:r>
            <w:r>
              <w:rPr>
                <w:rFonts w:hint="eastAsia" w:ascii="宋体" w:hAnsi="宋体" w:cs="宋体"/>
                <w:kern w:val="0"/>
                <w:szCs w:val="21"/>
                <w:highlight w:val="none"/>
                <w:lang w:val="en-US" w:eastAsia="zh-CN"/>
              </w:rPr>
              <w:t>项</w:t>
            </w:r>
            <w:r>
              <w:rPr>
                <w:rFonts w:hint="eastAsia" w:ascii="宋体" w:hAnsi="宋体" w:cs="宋体"/>
                <w:kern w:val="0"/>
                <w:szCs w:val="21"/>
                <w:highlight w:val="none"/>
              </w:rPr>
              <w:t>的施工业绩：1.进站设计压力≥</w:t>
            </w:r>
            <w:r>
              <w:rPr>
                <w:rFonts w:hint="eastAsia" w:ascii="宋体" w:hAnsi="宋体" w:cs="宋体"/>
                <w:kern w:val="0"/>
                <w:szCs w:val="21"/>
                <w:highlight w:val="none"/>
                <w:lang w:val="en-US" w:eastAsia="zh-CN"/>
              </w:rPr>
              <w:t>4.0</w:t>
            </w:r>
            <w:r>
              <w:rPr>
                <w:rFonts w:hint="eastAsia" w:ascii="宋体" w:hAnsi="宋体" w:cs="宋体"/>
                <w:kern w:val="0"/>
                <w:szCs w:val="21"/>
                <w:highlight w:val="none"/>
              </w:rPr>
              <w:t>MPa的天然气接收门站</w:t>
            </w:r>
            <w:r>
              <w:rPr>
                <w:rFonts w:hint="eastAsia" w:ascii="宋体" w:hAnsi="宋体" w:cs="宋体"/>
                <w:kern w:val="0"/>
                <w:szCs w:val="21"/>
                <w:highlight w:val="none"/>
                <w:lang w:val="en-US" w:eastAsia="zh-CN"/>
              </w:rPr>
              <w:t>新建或改扩建</w:t>
            </w:r>
            <w:r>
              <w:rPr>
                <w:rFonts w:hint="eastAsia" w:ascii="宋体" w:hAnsi="宋体" w:cs="宋体"/>
                <w:kern w:val="0"/>
                <w:szCs w:val="21"/>
                <w:highlight w:val="none"/>
              </w:rPr>
              <w:t>工程；2.进站设计压力≥</w:t>
            </w:r>
            <w:r>
              <w:rPr>
                <w:rFonts w:hint="eastAsia" w:ascii="宋体" w:hAnsi="宋体" w:cs="宋体"/>
                <w:kern w:val="0"/>
                <w:szCs w:val="21"/>
                <w:highlight w:val="none"/>
                <w:lang w:val="en-US" w:eastAsia="zh-CN"/>
              </w:rPr>
              <w:t>4.0</w:t>
            </w:r>
            <w:r>
              <w:rPr>
                <w:rFonts w:hint="eastAsia" w:ascii="宋体" w:hAnsi="宋体" w:cs="宋体"/>
                <w:kern w:val="0"/>
                <w:szCs w:val="21"/>
                <w:highlight w:val="none"/>
              </w:rPr>
              <w:t>MPa的调压站</w:t>
            </w:r>
            <w:r>
              <w:rPr>
                <w:rFonts w:hint="eastAsia" w:ascii="宋体" w:hAnsi="宋体" w:cs="宋体"/>
                <w:kern w:val="0"/>
                <w:szCs w:val="21"/>
                <w:highlight w:val="none"/>
                <w:lang w:val="en-US" w:eastAsia="zh-CN"/>
              </w:rPr>
              <w:t>新建或改扩建</w:t>
            </w:r>
            <w:r>
              <w:rPr>
                <w:rFonts w:hint="eastAsia" w:ascii="宋体" w:hAnsi="宋体" w:cs="宋体"/>
                <w:kern w:val="0"/>
                <w:szCs w:val="21"/>
                <w:highlight w:val="none"/>
              </w:rPr>
              <w:t>工程；</w:t>
            </w:r>
            <w:r>
              <w:rPr>
                <w:rFonts w:ascii="宋体" w:hAnsi="宋体" w:cs="宋体"/>
                <w:kern w:val="0"/>
                <w:szCs w:val="21"/>
                <w:highlight w:val="none"/>
              </w:rPr>
              <w:t>3.进站设计压力≥</w:t>
            </w:r>
            <w:r>
              <w:rPr>
                <w:rFonts w:hint="eastAsia" w:ascii="宋体" w:hAnsi="宋体" w:cs="宋体"/>
                <w:kern w:val="0"/>
                <w:szCs w:val="21"/>
                <w:highlight w:val="none"/>
                <w:lang w:val="en-US" w:eastAsia="zh-CN"/>
              </w:rPr>
              <w:t>4.0</w:t>
            </w:r>
            <w:r>
              <w:rPr>
                <w:rFonts w:ascii="宋体" w:hAnsi="宋体" w:cs="宋体"/>
                <w:kern w:val="0"/>
                <w:szCs w:val="21"/>
                <w:highlight w:val="none"/>
              </w:rPr>
              <w:t>MPa的天然气分输站</w:t>
            </w:r>
            <w:r>
              <w:rPr>
                <w:rFonts w:hint="eastAsia" w:ascii="宋体" w:hAnsi="宋体" w:cs="宋体"/>
                <w:kern w:val="0"/>
                <w:szCs w:val="21"/>
                <w:highlight w:val="none"/>
                <w:lang w:val="en-US" w:eastAsia="zh-CN"/>
              </w:rPr>
              <w:t>新建或改扩建</w:t>
            </w:r>
            <w:r>
              <w:rPr>
                <w:rFonts w:ascii="宋体" w:hAnsi="宋体" w:cs="宋体"/>
                <w:kern w:val="0"/>
                <w:szCs w:val="21"/>
                <w:highlight w:val="none"/>
              </w:rPr>
              <w:t>工程</w:t>
            </w:r>
            <w:r>
              <w:rPr>
                <w:rFonts w:hint="eastAsia" w:ascii="宋体" w:hAnsi="宋体" w:cs="宋体"/>
                <w:kern w:val="0"/>
                <w:szCs w:val="21"/>
                <w:highlight w:val="none"/>
              </w:rPr>
              <w:t>。</w:t>
            </w:r>
          </w:p>
          <w:p>
            <w:pPr>
              <w:widowControl/>
              <w:jc w:val="left"/>
              <w:rPr>
                <w:rFonts w:ascii="宋体" w:hAnsi="宋体" w:cs="宋体"/>
                <w:kern w:val="0"/>
                <w:szCs w:val="21"/>
                <w:highlight w:val="none"/>
              </w:rPr>
            </w:pPr>
            <w:r>
              <w:rPr>
                <w:rFonts w:hint="eastAsia" w:ascii="宋体" w:hAnsi="宋体" w:cs="宋体"/>
                <w:kern w:val="0"/>
                <w:szCs w:val="21"/>
                <w:highlight w:val="none"/>
              </w:rPr>
              <w:t>每</w:t>
            </w:r>
            <w:r>
              <w:rPr>
                <w:rFonts w:hint="eastAsia" w:ascii="宋体" w:hAnsi="宋体" w:cs="宋体"/>
                <w:kern w:val="0"/>
                <w:szCs w:val="21"/>
                <w:highlight w:val="none"/>
                <w:lang w:eastAsia="zh-CN"/>
              </w:rPr>
              <w:t>提供一</w:t>
            </w:r>
            <w:r>
              <w:rPr>
                <w:rFonts w:hint="eastAsia" w:ascii="宋体" w:hAnsi="宋体" w:cs="宋体"/>
                <w:kern w:val="0"/>
                <w:szCs w:val="21"/>
                <w:highlight w:val="none"/>
              </w:rPr>
              <w:t>个合同业绩</w:t>
            </w:r>
            <w:r>
              <w:rPr>
                <w:rFonts w:hint="eastAsia" w:ascii="宋体" w:hAnsi="宋体" w:cs="宋体"/>
                <w:kern w:val="0"/>
                <w:szCs w:val="21"/>
                <w:highlight w:val="none"/>
                <w:lang w:eastAsia="zh-CN"/>
              </w:rPr>
              <w:t>得</w:t>
            </w:r>
            <w:r>
              <w:rPr>
                <w:rFonts w:hint="eastAsia" w:ascii="宋体" w:hAnsi="宋体" w:cs="宋体"/>
                <w:kern w:val="0"/>
                <w:szCs w:val="21"/>
                <w:highlight w:val="none"/>
                <w:lang w:val="en-US" w:eastAsia="zh-CN"/>
              </w:rPr>
              <w:t>5</w:t>
            </w:r>
            <w:r>
              <w:rPr>
                <w:rFonts w:hint="eastAsia" w:ascii="宋体" w:hAnsi="宋体" w:cs="宋体"/>
                <w:kern w:val="0"/>
                <w:szCs w:val="21"/>
                <w:highlight w:val="none"/>
              </w:rPr>
              <w:t>分，本项最高得</w:t>
            </w:r>
            <w:r>
              <w:rPr>
                <w:rFonts w:hint="eastAsia" w:ascii="宋体" w:hAnsi="宋体" w:cs="宋体"/>
                <w:kern w:val="0"/>
                <w:szCs w:val="21"/>
                <w:highlight w:val="none"/>
                <w:lang w:val="en-US" w:eastAsia="zh-CN"/>
              </w:rPr>
              <w:t>2</w:t>
            </w:r>
            <w:r>
              <w:rPr>
                <w:rFonts w:hint="eastAsia" w:ascii="宋体" w:hAnsi="宋体" w:cs="宋体"/>
                <w:kern w:val="0"/>
                <w:szCs w:val="21"/>
                <w:highlight w:val="none"/>
              </w:rPr>
              <w:t>0分。</w:t>
            </w:r>
          </w:p>
        </w:tc>
        <w:tc>
          <w:tcPr>
            <w:tcW w:w="4165" w:type="dxa"/>
            <w:shd w:val="clear" w:color="auto" w:fill="auto"/>
            <w:vAlign w:val="center"/>
          </w:tcPr>
          <w:p>
            <w:pPr>
              <w:widowControl/>
              <w:jc w:val="left"/>
              <w:rPr>
                <w:rFonts w:ascii="宋体" w:hAnsi="宋体" w:cs="宋体"/>
                <w:kern w:val="0"/>
                <w:szCs w:val="21"/>
                <w:highlight w:val="none"/>
              </w:rPr>
            </w:pPr>
            <w:r>
              <w:rPr>
                <w:rFonts w:hint="eastAsia" w:ascii="宋体" w:hAnsi="宋体" w:cs="宋体"/>
                <w:b/>
                <w:bCs/>
                <w:kern w:val="0"/>
                <w:szCs w:val="21"/>
                <w:highlight w:val="none"/>
              </w:rPr>
              <w:t>同时提供</w:t>
            </w:r>
            <w:r>
              <w:rPr>
                <w:rFonts w:hint="eastAsia" w:ascii="宋体" w:hAnsi="宋体" w:cs="宋体"/>
                <w:kern w:val="0"/>
                <w:szCs w:val="21"/>
                <w:highlight w:val="none"/>
              </w:rPr>
              <w:t>以下资料：</w:t>
            </w:r>
            <w:r>
              <w:rPr>
                <w:rFonts w:ascii="宋体" w:hAnsi="宋体" w:cs="宋体"/>
                <w:kern w:val="0"/>
                <w:szCs w:val="21"/>
                <w:highlight w:val="none"/>
              </w:rPr>
              <w:br w:type="textWrapping"/>
            </w:r>
            <w:r>
              <w:rPr>
                <w:rFonts w:ascii="宋体" w:hAnsi="宋体" w:cs="宋体"/>
                <w:kern w:val="0"/>
                <w:szCs w:val="21"/>
                <w:highlight w:val="none"/>
              </w:rPr>
              <w:t>1.施工合同扫描件；</w:t>
            </w:r>
            <w:r>
              <w:rPr>
                <w:rFonts w:ascii="宋体" w:hAnsi="宋体" w:cs="宋体"/>
                <w:kern w:val="0"/>
                <w:szCs w:val="21"/>
                <w:highlight w:val="none"/>
              </w:rPr>
              <w:br w:type="textWrapping"/>
            </w:r>
            <w:r>
              <w:rPr>
                <w:rFonts w:ascii="宋体" w:hAnsi="宋体" w:cs="宋体"/>
                <w:kern w:val="0"/>
                <w:szCs w:val="21"/>
                <w:highlight w:val="none"/>
              </w:rPr>
              <w:t>2.竣工验收文件或业主出具验收投产证明扫描件。</w:t>
            </w:r>
          </w:p>
          <w:p>
            <w:pPr>
              <w:widowControl/>
              <w:jc w:val="left"/>
              <w:rPr>
                <w:rFonts w:ascii="宋体" w:hAnsi="宋体" w:cs="宋体"/>
                <w:kern w:val="0"/>
                <w:szCs w:val="21"/>
                <w:highlight w:val="none"/>
              </w:rPr>
            </w:pPr>
            <w:r>
              <w:rPr>
                <w:rFonts w:hint="eastAsia" w:ascii="宋体" w:hAnsi="宋体" w:cs="宋体"/>
                <w:kern w:val="0"/>
                <w:szCs w:val="21"/>
                <w:highlight w:val="none"/>
              </w:rPr>
              <w:t>注：时间以竣工验收文件或业主出具验收投产证明为准。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3" w:hRule="atLeast"/>
        </w:trPr>
        <w:tc>
          <w:tcPr>
            <w:tcW w:w="897" w:type="dxa"/>
            <w:vMerge w:val="continue"/>
            <w:vAlign w:val="center"/>
          </w:tcPr>
          <w:p>
            <w:pPr>
              <w:widowControl/>
              <w:jc w:val="left"/>
              <w:rPr>
                <w:rFonts w:ascii="宋体" w:hAnsi="宋体" w:cs="宋体"/>
                <w:kern w:val="0"/>
                <w:szCs w:val="21"/>
                <w:highlight w:val="none"/>
              </w:rPr>
            </w:pP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财务指标</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5</w:t>
            </w:r>
          </w:p>
        </w:tc>
        <w:tc>
          <w:tcPr>
            <w:tcW w:w="7540" w:type="dxa"/>
            <w:shd w:val="clear" w:color="auto" w:fill="auto"/>
            <w:vAlign w:val="center"/>
          </w:tcPr>
          <w:p>
            <w:pPr>
              <w:widowControl/>
              <w:jc w:val="left"/>
              <w:rPr>
                <w:rFonts w:ascii="宋体" w:hAnsi="宋体" w:cs="宋体"/>
                <w:kern w:val="0"/>
                <w:szCs w:val="21"/>
                <w:highlight w:val="none"/>
              </w:rPr>
            </w:pPr>
            <w:r>
              <w:rPr>
                <w:rFonts w:ascii="宋体" w:hAnsi="宋体" w:cs="宋体"/>
                <w:kern w:val="0"/>
                <w:szCs w:val="21"/>
                <w:highlight w:val="none"/>
              </w:rPr>
              <w:t>根据投标人近三年（20</w:t>
            </w:r>
            <w:r>
              <w:rPr>
                <w:rFonts w:hint="eastAsia" w:ascii="宋体" w:hAnsi="宋体" w:cs="宋体"/>
                <w:kern w:val="0"/>
                <w:szCs w:val="21"/>
                <w:highlight w:val="none"/>
                <w:lang w:eastAsia="zh-CN"/>
              </w:rPr>
              <w:t>2</w:t>
            </w:r>
            <w:r>
              <w:rPr>
                <w:rFonts w:hint="eastAsia" w:ascii="宋体" w:hAnsi="宋体" w:cs="宋体"/>
                <w:kern w:val="0"/>
                <w:szCs w:val="21"/>
                <w:highlight w:val="none"/>
                <w:lang w:val="en-US" w:eastAsia="zh-CN"/>
              </w:rPr>
              <w:t>0</w:t>
            </w:r>
            <w:r>
              <w:rPr>
                <w:rFonts w:ascii="宋体" w:hAnsi="宋体" w:cs="宋体"/>
                <w:kern w:val="0"/>
                <w:szCs w:val="21"/>
                <w:highlight w:val="none"/>
              </w:rPr>
              <w:t>、20</w:t>
            </w:r>
            <w:r>
              <w:rPr>
                <w:rFonts w:hint="eastAsia" w:ascii="宋体" w:hAnsi="宋体" w:cs="宋体"/>
                <w:kern w:val="0"/>
                <w:szCs w:val="21"/>
                <w:highlight w:val="none"/>
                <w:lang w:eastAsia="zh-CN"/>
              </w:rPr>
              <w:t>2</w:t>
            </w:r>
            <w:r>
              <w:rPr>
                <w:rFonts w:hint="eastAsia" w:ascii="宋体" w:hAnsi="宋体" w:cs="宋体"/>
                <w:kern w:val="0"/>
                <w:szCs w:val="21"/>
                <w:highlight w:val="none"/>
                <w:lang w:val="en-US" w:eastAsia="zh-CN"/>
              </w:rPr>
              <w:t>1</w:t>
            </w:r>
            <w:r>
              <w:rPr>
                <w:rFonts w:ascii="宋体" w:hAnsi="宋体" w:cs="宋体"/>
                <w:kern w:val="0"/>
                <w:szCs w:val="21"/>
                <w:highlight w:val="none"/>
              </w:rPr>
              <w:t>和20</w:t>
            </w:r>
            <w:r>
              <w:rPr>
                <w:rFonts w:hint="eastAsia" w:ascii="宋体" w:hAnsi="宋体" w:cs="宋体"/>
                <w:kern w:val="0"/>
                <w:szCs w:val="21"/>
                <w:highlight w:val="none"/>
                <w:lang w:eastAsia="zh-CN"/>
              </w:rPr>
              <w:t>2</w:t>
            </w:r>
            <w:r>
              <w:rPr>
                <w:rFonts w:hint="eastAsia" w:ascii="宋体" w:hAnsi="宋体" w:cs="宋体"/>
                <w:kern w:val="0"/>
                <w:szCs w:val="21"/>
                <w:highlight w:val="none"/>
                <w:lang w:val="en-US" w:eastAsia="zh-CN"/>
              </w:rPr>
              <w:t>2</w:t>
            </w:r>
            <w:r>
              <w:rPr>
                <w:rFonts w:ascii="宋体" w:hAnsi="宋体" w:cs="宋体"/>
                <w:kern w:val="0"/>
                <w:szCs w:val="21"/>
                <w:highlight w:val="none"/>
              </w:rPr>
              <w:t>年）平均资产负债率评分,</w:t>
            </w:r>
            <w:r>
              <w:rPr>
                <w:rFonts w:hint="eastAsia" w:ascii="宋体" w:hAnsi="宋体" w:cs="宋体"/>
                <w:kern w:val="0"/>
                <w:szCs w:val="21"/>
                <w:highlight w:val="none"/>
              </w:rPr>
              <w:t>平均</w:t>
            </w:r>
            <w:r>
              <w:rPr>
                <w:rFonts w:ascii="宋体" w:hAnsi="宋体" w:cs="宋体"/>
                <w:kern w:val="0"/>
                <w:szCs w:val="21"/>
                <w:highlight w:val="none"/>
              </w:rPr>
              <w:t>资产负债率</w:t>
            </w:r>
            <w:r>
              <w:rPr>
                <w:rFonts w:hint="eastAsia" w:ascii="宋体" w:hAnsi="宋体" w:cs="宋体"/>
                <w:kern w:val="0"/>
                <w:szCs w:val="21"/>
                <w:highlight w:val="none"/>
              </w:rPr>
              <w:t>4</w:t>
            </w:r>
            <w:r>
              <w:rPr>
                <w:rFonts w:ascii="宋体" w:hAnsi="宋体" w:cs="宋体"/>
                <w:kern w:val="0"/>
                <w:szCs w:val="21"/>
                <w:highlight w:val="none"/>
              </w:rPr>
              <w:t>0%以下的得</w:t>
            </w:r>
            <w:r>
              <w:rPr>
                <w:rFonts w:hint="eastAsia" w:ascii="宋体" w:hAnsi="宋体" w:cs="宋体"/>
                <w:kern w:val="0"/>
                <w:szCs w:val="21"/>
                <w:highlight w:val="none"/>
              </w:rPr>
              <w:t>5分；4</w:t>
            </w:r>
            <w:r>
              <w:rPr>
                <w:rFonts w:ascii="宋体" w:hAnsi="宋体" w:cs="宋体"/>
                <w:kern w:val="0"/>
                <w:szCs w:val="21"/>
                <w:highlight w:val="none"/>
              </w:rPr>
              <w:t>0%-</w:t>
            </w:r>
            <w:r>
              <w:rPr>
                <w:rFonts w:hint="eastAsia" w:ascii="宋体" w:hAnsi="宋体" w:cs="宋体"/>
                <w:kern w:val="0"/>
                <w:szCs w:val="21"/>
                <w:highlight w:val="none"/>
              </w:rPr>
              <w:t>5</w:t>
            </w:r>
            <w:r>
              <w:rPr>
                <w:rFonts w:ascii="宋体" w:hAnsi="宋体" w:cs="宋体"/>
                <w:kern w:val="0"/>
                <w:szCs w:val="21"/>
                <w:highlight w:val="none"/>
              </w:rPr>
              <w:t>0%的得3分</w:t>
            </w:r>
            <w:r>
              <w:rPr>
                <w:rFonts w:hint="eastAsia" w:ascii="宋体" w:hAnsi="宋体" w:cs="宋体"/>
                <w:kern w:val="0"/>
                <w:szCs w:val="21"/>
                <w:highlight w:val="none"/>
              </w:rPr>
              <w:t>；</w:t>
            </w:r>
            <w:r>
              <w:rPr>
                <w:rFonts w:ascii="宋体" w:hAnsi="宋体" w:cs="宋体"/>
                <w:kern w:val="0"/>
                <w:szCs w:val="21"/>
                <w:highlight w:val="none"/>
              </w:rPr>
              <w:t>50%-60%的得1分</w:t>
            </w:r>
            <w:r>
              <w:rPr>
                <w:rFonts w:hint="eastAsia" w:ascii="宋体" w:hAnsi="宋体" w:cs="宋体"/>
                <w:kern w:val="0"/>
                <w:szCs w:val="21"/>
                <w:highlight w:val="none"/>
              </w:rPr>
              <w:t>；</w:t>
            </w:r>
            <w:r>
              <w:rPr>
                <w:rFonts w:ascii="宋体" w:hAnsi="宋体" w:cs="宋体"/>
                <w:kern w:val="0"/>
                <w:szCs w:val="21"/>
                <w:highlight w:val="none"/>
              </w:rPr>
              <w:t>超过60%的不得分。</w:t>
            </w:r>
            <w:r>
              <w:rPr>
                <w:rFonts w:ascii="宋体" w:hAnsi="宋体" w:cs="宋体"/>
                <w:kern w:val="0"/>
                <w:szCs w:val="21"/>
                <w:highlight w:val="none"/>
              </w:rPr>
              <w:br w:type="textWrapping"/>
            </w:r>
            <w:r>
              <w:rPr>
                <w:rFonts w:ascii="宋体" w:hAnsi="宋体" w:cs="宋体"/>
                <w:kern w:val="0"/>
                <w:szCs w:val="21"/>
                <w:highlight w:val="none"/>
              </w:rPr>
              <w:t>（以第三方会计师事务所出具的近三年的财务审计报告中显示的数据为准）</w:t>
            </w:r>
          </w:p>
        </w:tc>
        <w:tc>
          <w:tcPr>
            <w:tcW w:w="4165"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须提供第三方会计师事务所出具的近三年的财务审计报告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97" w:type="dxa"/>
            <w:vMerge w:val="continue"/>
            <w:vAlign w:val="center"/>
          </w:tcPr>
          <w:p>
            <w:pPr>
              <w:widowControl/>
              <w:jc w:val="left"/>
              <w:rPr>
                <w:rFonts w:ascii="宋体" w:hAnsi="宋体" w:cs="宋体"/>
                <w:kern w:val="0"/>
                <w:szCs w:val="21"/>
                <w:highlight w:val="none"/>
              </w:rPr>
            </w:pP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机械设备</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5</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具有符合本工程基本施工需要的机械设备，包括发电机、电焊机、挖掘机、露点仪、接地电阻测量仪：</w:t>
            </w:r>
            <w:r>
              <w:rPr>
                <w:rFonts w:ascii="宋体" w:hAnsi="宋体" w:cs="宋体"/>
                <w:kern w:val="0"/>
                <w:szCs w:val="21"/>
                <w:highlight w:val="none"/>
              </w:rPr>
              <w:br w:type="textWrapping"/>
            </w:r>
            <w:r>
              <w:rPr>
                <w:rFonts w:ascii="宋体" w:hAnsi="宋体" w:cs="宋体"/>
                <w:kern w:val="0"/>
                <w:szCs w:val="21"/>
                <w:highlight w:val="none"/>
              </w:rPr>
              <w:t>1.满足上述要求且全部设备为自有的，得5分；</w:t>
            </w:r>
            <w:r>
              <w:rPr>
                <w:rFonts w:ascii="宋体" w:hAnsi="宋体" w:cs="宋体"/>
                <w:kern w:val="0"/>
                <w:szCs w:val="21"/>
                <w:highlight w:val="none"/>
              </w:rPr>
              <w:br w:type="textWrapping"/>
            </w:r>
            <w:r>
              <w:rPr>
                <w:rFonts w:ascii="宋体" w:hAnsi="宋体" w:cs="宋体"/>
                <w:kern w:val="0"/>
                <w:szCs w:val="21"/>
                <w:highlight w:val="none"/>
              </w:rPr>
              <w:t>2.满足上述要求，部分机械设备为租赁，能够提供租赁合同的，得2分；</w:t>
            </w:r>
            <w:r>
              <w:rPr>
                <w:rFonts w:ascii="宋体" w:hAnsi="宋体" w:cs="宋体"/>
                <w:kern w:val="0"/>
                <w:szCs w:val="21"/>
                <w:highlight w:val="none"/>
              </w:rPr>
              <w:br w:type="textWrapping"/>
            </w:r>
            <w:r>
              <w:rPr>
                <w:rFonts w:ascii="宋体" w:hAnsi="宋体" w:cs="宋体"/>
                <w:kern w:val="0"/>
                <w:szCs w:val="21"/>
                <w:highlight w:val="none"/>
              </w:rPr>
              <w:t>3.缺少以上任一套设备(即非自有又无租赁合同的)的此项不得分。</w:t>
            </w:r>
            <w:r>
              <w:rPr>
                <w:rFonts w:ascii="宋体" w:hAnsi="宋体" w:cs="宋体"/>
                <w:kern w:val="0"/>
                <w:szCs w:val="21"/>
                <w:highlight w:val="none"/>
              </w:rPr>
              <w:br w:type="textWrapping"/>
            </w:r>
            <w:r>
              <w:rPr>
                <w:rFonts w:hint="eastAsia" w:ascii="宋体" w:hAnsi="宋体" w:cs="宋体"/>
                <w:kern w:val="0"/>
                <w:szCs w:val="21"/>
                <w:highlight w:val="none"/>
              </w:rPr>
              <w:t>本项最高得</w:t>
            </w:r>
            <w:r>
              <w:rPr>
                <w:rFonts w:ascii="宋体" w:hAnsi="宋体" w:cs="宋体"/>
                <w:kern w:val="0"/>
                <w:szCs w:val="21"/>
                <w:highlight w:val="none"/>
              </w:rPr>
              <w:t>5分。</w:t>
            </w:r>
          </w:p>
        </w:tc>
        <w:tc>
          <w:tcPr>
            <w:tcW w:w="4165"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须提供拟投入设备清单及发票扫描件或租赁合同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897" w:type="dxa"/>
            <w:vMerge w:val="restart"/>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项目管理机构能力</w:t>
            </w: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项目负责人业绩</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5</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项目负责人：自201</w:t>
            </w:r>
            <w:r>
              <w:rPr>
                <w:rFonts w:hint="eastAsia" w:ascii="宋体" w:hAnsi="宋体" w:cs="宋体"/>
                <w:kern w:val="0"/>
                <w:szCs w:val="21"/>
                <w:highlight w:val="none"/>
                <w:lang w:val="en-US" w:eastAsia="zh-CN"/>
              </w:rPr>
              <w:t>8</w:t>
            </w:r>
            <w:r>
              <w:rPr>
                <w:rFonts w:hint="eastAsia" w:ascii="宋体" w:hAnsi="宋体" w:cs="宋体"/>
                <w:kern w:val="0"/>
                <w:szCs w:val="21"/>
                <w:highlight w:val="none"/>
              </w:rPr>
              <w:t>年1月1日至今以项目负责人身份完成符合以下任意一</w:t>
            </w:r>
            <w:r>
              <w:rPr>
                <w:rFonts w:hint="eastAsia" w:ascii="宋体" w:hAnsi="宋体" w:cs="宋体"/>
                <w:kern w:val="0"/>
                <w:szCs w:val="21"/>
                <w:highlight w:val="none"/>
                <w:lang w:val="en-US" w:eastAsia="zh-CN"/>
              </w:rPr>
              <w:t>项</w:t>
            </w:r>
            <w:r>
              <w:rPr>
                <w:rFonts w:hint="eastAsia" w:ascii="宋体" w:hAnsi="宋体" w:cs="宋体"/>
                <w:kern w:val="0"/>
                <w:szCs w:val="21"/>
                <w:highlight w:val="none"/>
              </w:rPr>
              <w:t>的施工业绩：1.进站设计压力≥</w:t>
            </w:r>
            <w:r>
              <w:rPr>
                <w:rFonts w:hint="eastAsia" w:ascii="宋体" w:hAnsi="宋体" w:cs="宋体"/>
                <w:kern w:val="0"/>
                <w:szCs w:val="21"/>
                <w:highlight w:val="none"/>
                <w:lang w:val="en-US" w:eastAsia="zh-CN"/>
              </w:rPr>
              <w:t>4.0</w:t>
            </w:r>
            <w:r>
              <w:rPr>
                <w:rFonts w:hint="eastAsia" w:ascii="宋体" w:hAnsi="宋体" w:cs="宋体"/>
                <w:kern w:val="0"/>
                <w:szCs w:val="21"/>
                <w:highlight w:val="none"/>
              </w:rPr>
              <w:t>MPa的天然气接收门站</w:t>
            </w:r>
            <w:r>
              <w:rPr>
                <w:rFonts w:hint="eastAsia" w:ascii="宋体" w:hAnsi="宋体" w:cs="宋体"/>
                <w:kern w:val="0"/>
                <w:szCs w:val="21"/>
                <w:highlight w:val="none"/>
                <w:lang w:val="en-US" w:eastAsia="zh-CN"/>
              </w:rPr>
              <w:t>新建或改扩建</w:t>
            </w:r>
            <w:r>
              <w:rPr>
                <w:rFonts w:hint="eastAsia" w:ascii="宋体" w:hAnsi="宋体" w:cs="宋体"/>
                <w:kern w:val="0"/>
                <w:szCs w:val="21"/>
                <w:highlight w:val="none"/>
              </w:rPr>
              <w:t>工程；2.进站设计压力≥</w:t>
            </w:r>
            <w:r>
              <w:rPr>
                <w:rFonts w:hint="eastAsia" w:ascii="宋体" w:hAnsi="宋体" w:cs="宋体"/>
                <w:kern w:val="0"/>
                <w:szCs w:val="21"/>
                <w:highlight w:val="none"/>
                <w:lang w:val="en-US" w:eastAsia="zh-CN"/>
              </w:rPr>
              <w:t>4.0</w:t>
            </w:r>
            <w:r>
              <w:rPr>
                <w:rFonts w:hint="eastAsia" w:ascii="宋体" w:hAnsi="宋体" w:cs="宋体"/>
                <w:kern w:val="0"/>
                <w:szCs w:val="21"/>
                <w:highlight w:val="none"/>
              </w:rPr>
              <w:t>MPa的调压站</w:t>
            </w:r>
            <w:r>
              <w:rPr>
                <w:rFonts w:hint="eastAsia" w:ascii="宋体" w:hAnsi="宋体" w:cs="宋体"/>
                <w:kern w:val="0"/>
                <w:szCs w:val="21"/>
                <w:highlight w:val="none"/>
                <w:lang w:val="en-US" w:eastAsia="zh-CN"/>
              </w:rPr>
              <w:t>新建或改扩建</w:t>
            </w:r>
            <w:r>
              <w:rPr>
                <w:rFonts w:hint="eastAsia" w:ascii="宋体" w:hAnsi="宋体" w:cs="宋体"/>
                <w:kern w:val="0"/>
                <w:szCs w:val="21"/>
                <w:highlight w:val="none"/>
              </w:rPr>
              <w:t>工程；</w:t>
            </w:r>
            <w:r>
              <w:rPr>
                <w:rFonts w:ascii="宋体" w:hAnsi="宋体" w:cs="宋体"/>
                <w:kern w:val="0"/>
                <w:szCs w:val="21"/>
                <w:highlight w:val="none"/>
              </w:rPr>
              <w:t>3.进站设计压力≥</w:t>
            </w:r>
            <w:r>
              <w:rPr>
                <w:rFonts w:hint="eastAsia" w:ascii="宋体" w:hAnsi="宋体" w:cs="宋体"/>
                <w:kern w:val="0"/>
                <w:szCs w:val="21"/>
                <w:highlight w:val="none"/>
                <w:lang w:val="en-US" w:eastAsia="zh-CN"/>
              </w:rPr>
              <w:t>4.0</w:t>
            </w:r>
            <w:r>
              <w:rPr>
                <w:rFonts w:ascii="宋体" w:hAnsi="宋体" w:cs="宋体"/>
                <w:kern w:val="0"/>
                <w:szCs w:val="21"/>
                <w:highlight w:val="none"/>
              </w:rPr>
              <w:t>MPa的天然气分输站</w:t>
            </w:r>
            <w:r>
              <w:rPr>
                <w:rFonts w:hint="eastAsia" w:ascii="宋体" w:hAnsi="宋体" w:cs="宋体"/>
                <w:kern w:val="0"/>
                <w:szCs w:val="21"/>
                <w:highlight w:val="none"/>
                <w:lang w:val="en-US" w:eastAsia="zh-CN"/>
              </w:rPr>
              <w:t>新建或改扩建</w:t>
            </w:r>
            <w:r>
              <w:rPr>
                <w:rFonts w:ascii="宋体" w:hAnsi="宋体" w:cs="宋体"/>
                <w:kern w:val="0"/>
                <w:szCs w:val="21"/>
                <w:highlight w:val="none"/>
              </w:rPr>
              <w:t>工程</w:t>
            </w:r>
            <w:r>
              <w:rPr>
                <w:rFonts w:hint="eastAsia" w:ascii="宋体" w:hAnsi="宋体" w:cs="宋体"/>
                <w:kern w:val="0"/>
                <w:szCs w:val="21"/>
                <w:highlight w:val="none"/>
              </w:rPr>
              <w:t>。</w:t>
            </w:r>
          </w:p>
          <w:p>
            <w:pPr>
              <w:widowControl/>
              <w:jc w:val="left"/>
              <w:rPr>
                <w:rFonts w:ascii="宋体" w:hAnsi="宋体" w:cs="宋体"/>
                <w:kern w:val="0"/>
                <w:szCs w:val="21"/>
                <w:highlight w:val="none"/>
              </w:rPr>
            </w:pPr>
            <w:r>
              <w:rPr>
                <w:rFonts w:hint="eastAsia" w:ascii="宋体" w:hAnsi="宋体" w:cs="宋体"/>
                <w:kern w:val="0"/>
                <w:szCs w:val="21"/>
                <w:highlight w:val="none"/>
              </w:rPr>
              <w:t>完成的合同业绩数量≥2项的得5分，完成的合同业绩数量1项的得3分，无完成的合同业绩不得分。</w:t>
            </w:r>
          </w:p>
        </w:tc>
        <w:tc>
          <w:tcPr>
            <w:tcW w:w="4165"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同时提供以下资料：</w:t>
            </w:r>
            <w:r>
              <w:rPr>
                <w:rFonts w:ascii="宋体" w:hAnsi="宋体" w:cs="宋体"/>
                <w:kern w:val="0"/>
                <w:szCs w:val="21"/>
                <w:highlight w:val="none"/>
              </w:rPr>
              <w:br w:type="textWrapping"/>
            </w:r>
            <w:r>
              <w:rPr>
                <w:rFonts w:ascii="宋体" w:hAnsi="宋体" w:cs="宋体"/>
                <w:kern w:val="0"/>
                <w:szCs w:val="21"/>
                <w:highlight w:val="none"/>
              </w:rPr>
              <w:t>1.</w:t>
            </w:r>
            <w:r>
              <w:rPr>
                <w:rFonts w:hint="eastAsia" w:ascii="宋体" w:hAnsi="宋体" w:cs="宋体"/>
                <w:kern w:val="0"/>
                <w:szCs w:val="21"/>
                <w:highlight w:val="none"/>
              </w:rPr>
              <w:t>业绩施工合同扫描件；</w:t>
            </w:r>
            <w:r>
              <w:rPr>
                <w:rFonts w:ascii="宋体" w:hAnsi="宋体" w:cs="宋体"/>
                <w:kern w:val="0"/>
                <w:szCs w:val="21"/>
                <w:highlight w:val="none"/>
              </w:rPr>
              <w:br w:type="textWrapping"/>
            </w:r>
            <w:r>
              <w:rPr>
                <w:rFonts w:ascii="宋体" w:hAnsi="宋体" w:cs="宋体"/>
                <w:kern w:val="0"/>
                <w:szCs w:val="21"/>
                <w:highlight w:val="none"/>
              </w:rPr>
              <w:t>2.业绩竣工验收文件或业主出具验收投产证明扫描件；</w:t>
            </w:r>
          </w:p>
          <w:p>
            <w:pPr>
              <w:widowControl/>
              <w:jc w:val="left"/>
              <w:rPr>
                <w:rFonts w:ascii="宋体" w:hAnsi="宋体" w:cs="宋体"/>
                <w:kern w:val="0"/>
                <w:szCs w:val="21"/>
                <w:highlight w:val="none"/>
              </w:rPr>
            </w:pPr>
            <w:r>
              <w:rPr>
                <w:rFonts w:ascii="宋体" w:hAnsi="宋体" w:cs="宋体"/>
                <w:kern w:val="0"/>
                <w:szCs w:val="21"/>
                <w:highlight w:val="none"/>
              </w:rPr>
              <w:t>3.项目负责人证明资料；</w:t>
            </w:r>
            <w:r>
              <w:rPr>
                <w:rFonts w:ascii="宋体" w:hAnsi="宋体" w:cs="宋体"/>
                <w:kern w:val="0"/>
                <w:szCs w:val="21"/>
                <w:highlight w:val="none"/>
              </w:rPr>
              <w:br w:type="textWrapping"/>
            </w:r>
            <w:r>
              <w:rPr>
                <w:rFonts w:ascii="宋体" w:hAnsi="宋体" w:cs="宋体"/>
                <w:kern w:val="0"/>
                <w:szCs w:val="21"/>
                <w:highlight w:val="none"/>
              </w:rPr>
              <w:t>4.项目负责人相关证件扫描件及近一个月（即</w:t>
            </w:r>
            <w:r>
              <w:rPr>
                <w:rFonts w:ascii="宋体" w:hAnsi="宋体" w:cs="宋体"/>
                <w:kern w:val="0"/>
                <w:szCs w:val="21"/>
                <w:highlight w:val="none"/>
                <w:u w:val="single"/>
              </w:rPr>
              <w:t>202</w:t>
            </w:r>
            <w:r>
              <w:rPr>
                <w:rFonts w:hint="eastAsia" w:ascii="宋体" w:hAnsi="宋体" w:cs="宋体"/>
                <w:kern w:val="0"/>
                <w:szCs w:val="21"/>
                <w:highlight w:val="none"/>
                <w:u w:val="single"/>
                <w:lang w:val="en-US" w:eastAsia="zh-CN"/>
              </w:rPr>
              <w:t>3</w:t>
            </w:r>
            <w:r>
              <w:rPr>
                <w:rFonts w:ascii="宋体" w:hAnsi="宋体" w:cs="宋体"/>
                <w:kern w:val="0"/>
                <w:szCs w:val="21"/>
                <w:highlight w:val="none"/>
              </w:rPr>
              <w:t>年</w:t>
            </w:r>
            <w:r>
              <w:rPr>
                <w:rFonts w:hint="eastAsia" w:ascii="宋体" w:hAnsi="宋体" w:cs="宋体"/>
                <w:kern w:val="0"/>
                <w:szCs w:val="21"/>
                <w:highlight w:val="none"/>
                <w:u w:val="single"/>
                <w:lang w:val="en-US" w:eastAsia="zh-CN"/>
              </w:rPr>
              <w:t>6</w:t>
            </w:r>
            <w:r>
              <w:rPr>
                <w:rFonts w:ascii="宋体" w:hAnsi="宋体" w:cs="宋体"/>
                <w:kern w:val="0"/>
                <w:szCs w:val="21"/>
                <w:highlight w:val="none"/>
              </w:rPr>
              <w:t>月</w:t>
            </w:r>
            <w:r>
              <w:rPr>
                <w:rFonts w:hint="eastAsia" w:ascii="宋体" w:hAnsi="宋体" w:cs="宋体"/>
                <w:kern w:val="0"/>
                <w:szCs w:val="21"/>
                <w:highlight w:val="none"/>
              </w:rPr>
              <w:t>）在投标人单位（不含投标人的子公司或母公司等）参保的社保缴纳记录证明。</w:t>
            </w:r>
          </w:p>
          <w:p>
            <w:pPr>
              <w:widowControl/>
              <w:jc w:val="left"/>
              <w:rPr>
                <w:rFonts w:ascii="宋体" w:hAnsi="宋体" w:cs="宋体"/>
                <w:kern w:val="0"/>
                <w:szCs w:val="21"/>
                <w:highlight w:val="none"/>
              </w:rPr>
            </w:pPr>
            <w:r>
              <w:rPr>
                <w:rFonts w:hint="eastAsia" w:ascii="宋体" w:hAnsi="宋体" w:cs="宋体"/>
                <w:kern w:val="0"/>
                <w:szCs w:val="21"/>
                <w:highlight w:val="none"/>
              </w:rPr>
              <w:t>注：</w:t>
            </w:r>
            <w:r>
              <w:rPr>
                <w:rFonts w:hint="eastAsia" w:ascii="宋体" w:hAnsi="宋体" w:cs="宋体"/>
                <w:kern w:val="0"/>
                <w:szCs w:val="21"/>
                <w:highlight w:val="none"/>
                <w:lang w:eastAsia="zh-CN"/>
              </w:rPr>
              <w:t>业绩</w:t>
            </w:r>
            <w:r>
              <w:rPr>
                <w:rFonts w:hint="eastAsia" w:ascii="宋体" w:hAnsi="宋体" w:cs="宋体"/>
                <w:kern w:val="0"/>
                <w:szCs w:val="21"/>
                <w:highlight w:val="none"/>
              </w:rPr>
              <w:t>时间以竣工验收文件或业主出具验收投产证明为准。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trPr>
        <w:tc>
          <w:tcPr>
            <w:tcW w:w="897" w:type="dxa"/>
            <w:vMerge w:val="continue"/>
            <w:vAlign w:val="center"/>
          </w:tcPr>
          <w:p>
            <w:pPr>
              <w:widowControl/>
              <w:jc w:val="left"/>
              <w:rPr>
                <w:rFonts w:ascii="宋体" w:hAnsi="宋体" w:cs="宋体"/>
                <w:kern w:val="0"/>
                <w:szCs w:val="21"/>
                <w:highlight w:val="none"/>
              </w:rPr>
            </w:pP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人员投入</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5</w:t>
            </w:r>
          </w:p>
        </w:tc>
        <w:tc>
          <w:tcPr>
            <w:tcW w:w="7540" w:type="dxa"/>
            <w:shd w:val="clear" w:color="auto" w:fill="auto"/>
            <w:vAlign w:val="center"/>
          </w:tcPr>
          <w:p>
            <w:pPr>
              <w:widowControl/>
              <w:jc w:val="left"/>
              <w:rPr>
                <w:rFonts w:ascii="宋体" w:hAnsi="宋体" w:cs="宋体"/>
                <w:kern w:val="0"/>
                <w:szCs w:val="21"/>
                <w:highlight w:val="none"/>
              </w:rPr>
            </w:pPr>
            <w:r>
              <w:rPr>
                <w:rFonts w:ascii="宋体" w:hAnsi="宋体" w:cs="宋体"/>
                <w:kern w:val="0"/>
                <w:szCs w:val="21"/>
                <w:highlight w:val="none"/>
              </w:rPr>
              <w:t>1.投入施工员2名、质检员1名、安全员1名、材料员1名、资料员1名或以上得5分</w:t>
            </w:r>
            <w:r>
              <w:rPr>
                <w:rFonts w:hint="eastAsia" w:ascii="宋体" w:hAnsi="宋体" w:cs="宋体"/>
                <w:kern w:val="0"/>
                <w:szCs w:val="21"/>
                <w:highlight w:val="none"/>
                <w:lang w:eastAsia="zh-CN"/>
              </w:rPr>
              <w:t>。</w:t>
            </w:r>
            <w:r>
              <w:rPr>
                <w:rFonts w:ascii="宋体" w:hAnsi="宋体" w:cs="宋体"/>
                <w:kern w:val="0"/>
                <w:szCs w:val="21"/>
                <w:highlight w:val="none"/>
              </w:rPr>
              <w:br w:type="textWrapping"/>
            </w:r>
            <w:r>
              <w:rPr>
                <w:rFonts w:ascii="宋体" w:hAnsi="宋体" w:cs="宋体"/>
                <w:kern w:val="0"/>
                <w:szCs w:val="21"/>
                <w:highlight w:val="none"/>
              </w:rPr>
              <w:t>2.投入施工员、质检员、安全员、材料员、资料员各1名或以上，但未能满足得分条件的，得2分。</w:t>
            </w:r>
          </w:p>
        </w:tc>
        <w:tc>
          <w:tcPr>
            <w:tcW w:w="4165"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须提供拟投入人员名单及近一个月（即</w:t>
            </w:r>
            <w:r>
              <w:rPr>
                <w:rFonts w:ascii="宋体" w:hAnsi="宋体" w:cs="宋体"/>
                <w:kern w:val="0"/>
                <w:szCs w:val="21"/>
                <w:highlight w:val="none"/>
                <w:u w:val="single"/>
              </w:rPr>
              <w:t>202</w:t>
            </w:r>
            <w:r>
              <w:rPr>
                <w:rFonts w:hint="eastAsia" w:ascii="宋体" w:hAnsi="宋体" w:cs="宋体"/>
                <w:kern w:val="0"/>
                <w:szCs w:val="21"/>
                <w:highlight w:val="none"/>
                <w:u w:val="single"/>
                <w:lang w:val="en-US" w:eastAsia="zh-CN"/>
              </w:rPr>
              <w:t>3</w:t>
            </w:r>
            <w:r>
              <w:rPr>
                <w:rFonts w:ascii="宋体" w:hAnsi="宋体" w:cs="宋体"/>
                <w:kern w:val="0"/>
                <w:szCs w:val="21"/>
                <w:highlight w:val="none"/>
              </w:rPr>
              <w:t>年</w:t>
            </w:r>
            <w:r>
              <w:rPr>
                <w:rFonts w:hint="eastAsia" w:ascii="宋体" w:hAnsi="宋体" w:cs="宋体"/>
                <w:kern w:val="0"/>
                <w:szCs w:val="21"/>
                <w:highlight w:val="none"/>
                <w:u w:val="single"/>
                <w:lang w:val="en-US" w:eastAsia="zh-CN"/>
              </w:rPr>
              <w:t>6</w:t>
            </w:r>
            <w:r>
              <w:rPr>
                <w:rFonts w:ascii="宋体" w:hAnsi="宋体" w:cs="宋体"/>
                <w:kern w:val="0"/>
                <w:szCs w:val="21"/>
                <w:highlight w:val="none"/>
              </w:rPr>
              <w:t>月</w:t>
            </w:r>
            <w:r>
              <w:rPr>
                <w:rFonts w:hint="eastAsia" w:ascii="宋体" w:hAnsi="宋体" w:cs="宋体"/>
                <w:kern w:val="0"/>
                <w:szCs w:val="21"/>
                <w:highlight w:val="none"/>
              </w:rPr>
              <w:t>）在投标人单位（不含投标人的子公司或母公司等）参保的社保缴纳记录证明。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trPr>
        <w:tc>
          <w:tcPr>
            <w:tcW w:w="897" w:type="dxa"/>
            <w:vMerge w:val="restart"/>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施工组织设计</w:t>
            </w: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实施方案</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10</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包括各类施工工艺流程、各类天气施工的技术措施、相关检测方案、对周边环境的影响分析及相应应对措施等。内容完整、详细，并针对重点、难点分析，提出的处理措施可行。</w:t>
            </w:r>
            <w:r>
              <w:rPr>
                <w:rFonts w:ascii="宋体" w:hAnsi="宋体" w:cs="宋体"/>
                <w:kern w:val="0"/>
                <w:szCs w:val="21"/>
                <w:highlight w:val="none"/>
              </w:rPr>
              <w:br w:type="textWrapping"/>
            </w:r>
            <w:r>
              <w:rPr>
                <w:rFonts w:hint="eastAsia" w:ascii="宋体" w:hAnsi="宋体" w:cs="宋体"/>
                <w:kern w:val="0"/>
                <w:szCs w:val="21"/>
                <w:highlight w:val="none"/>
              </w:rPr>
              <w:t>对投标人的方案进行从优到差排序，第一名得</w:t>
            </w:r>
            <w:r>
              <w:rPr>
                <w:rFonts w:ascii="宋体" w:hAnsi="宋体" w:cs="宋体"/>
                <w:kern w:val="0"/>
                <w:szCs w:val="21"/>
                <w:highlight w:val="none"/>
              </w:rPr>
              <w:t>10分，第二名得8分，第三名得6分，第四名得4分，第五名得2分，第6名及以后得0分。排序名次不能并列。</w:t>
            </w:r>
          </w:p>
        </w:tc>
        <w:tc>
          <w:tcPr>
            <w:tcW w:w="4165" w:type="dxa"/>
            <w:shd w:val="clear" w:color="auto" w:fill="auto"/>
            <w:noWrap/>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rPr>
        <w:tc>
          <w:tcPr>
            <w:tcW w:w="897" w:type="dxa"/>
            <w:vMerge w:val="continue"/>
            <w:vAlign w:val="center"/>
          </w:tcPr>
          <w:p>
            <w:pPr>
              <w:widowControl/>
              <w:jc w:val="left"/>
              <w:rPr>
                <w:rFonts w:ascii="宋体" w:hAnsi="宋体" w:cs="宋体"/>
                <w:kern w:val="0"/>
                <w:szCs w:val="21"/>
                <w:highlight w:val="none"/>
              </w:rPr>
            </w:pP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质量保证</w:t>
            </w:r>
            <w:r>
              <w:rPr>
                <w:rFonts w:ascii="宋体" w:hAnsi="宋体" w:cs="宋体"/>
                <w:kern w:val="0"/>
                <w:szCs w:val="21"/>
                <w:highlight w:val="none"/>
              </w:rPr>
              <w:br w:type="textWrapping"/>
            </w:r>
            <w:r>
              <w:rPr>
                <w:rFonts w:hint="eastAsia" w:ascii="宋体" w:hAnsi="宋体" w:cs="宋体"/>
                <w:kern w:val="0"/>
                <w:szCs w:val="21"/>
                <w:highlight w:val="none"/>
              </w:rPr>
              <w:t>措施</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10</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编制工程质量保证措施方案，工程质量的检测手段与保证措施明确、具体、先进、各项措施落实可行，针对性强。</w:t>
            </w:r>
            <w:r>
              <w:rPr>
                <w:rFonts w:ascii="宋体" w:hAnsi="宋体" w:cs="宋体"/>
                <w:kern w:val="0"/>
                <w:szCs w:val="21"/>
                <w:highlight w:val="none"/>
              </w:rPr>
              <w:br w:type="textWrapping"/>
            </w:r>
            <w:r>
              <w:rPr>
                <w:rFonts w:hint="eastAsia" w:ascii="宋体" w:hAnsi="宋体" w:cs="宋体"/>
                <w:kern w:val="0"/>
                <w:szCs w:val="21"/>
                <w:highlight w:val="none"/>
              </w:rPr>
              <w:t>对投标人的措施进行从优到差排序，第一名得</w:t>
            </w:r>
            <w:r>
              <w:rPr>
                <w:rFonts w:ascii="宋体" w:hAnsi="宋体" w:cs="宋体"/>
                <w:kern w:val="0"/>
                <w:szCs w:val="21"/>
                <w:highlight w:val="none"/>
              </w:rPr>
              <w:t>10分，第二名得8分，第三名得6分，第四名得4分，第五名得2分，第6名及以后得0分。排序名次不能并列。</w:t>
            </w:r>
          </w:p>
        </w:tc>
        <w:tc>
          <w:tcPr>
            <w:tcW w:w="4165" w:type="dxa"/>
            <w:shd w:val="clear" w:color="auto" w:fill="auto"/>
            <w:noWrap/>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trPr>
        <w:tc>
          <w:tcPr>
            <w:tcW w:w="897" w:type="dxa"/>
            <w:vMerge w:val="continue"/>
            <w:vAlign w:val="center"/>
          </w:tcPr>
          <w:p>
            <w:pPr>
              <w:widowControl/>
              <w:jc w:val="left"/>
              <w:rPr>
                <w:rFonts w:ascii="宋体" w:hAnsi="宋体" w:cs="宋体"/>
                <w:kern w:val="0"/>
                <w:szCs w:val="21"/>
                <w:highlight w:val="none"/>
              </w:rPr>
            </w:pP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进度保证</w:t>
            </w:r>
            <w:r>
              <w:rPr>
                <w:rFonts w:ascii="宋体" w:hAnsi="宋体" w:cs="宋体"/>
                <w:kern w:val="0"/>
                <w:szCs w:val="21"/>
                <w:highlight w:val="none"/>
              </w:rPr>
              <w:br w:type="textWrapping"/>
            </w:r>
            <w:r>
              <w:rPr>
                <w:rFonts w:hint="eastAsia" w:ascii="宋体" w:hAnsi="宋体" w:cs="宋体"/>
                <w:kern w:val="0"/>
                <w:szCs w:val="21"/>
                <w:highlight w:val="none"/>
              </w:rPr>
              <w:t>措施</w:t>
            </w:r>
          </w:p>
        </w:tc>
        <w:tc>
          <w:tcPr>
            <w:tcW w:w="638" w:type="dxa"/>
            <w:shd w:val="clear" w:color="auto" w:fill="auto"/>
            <w:noWrap/>
            <w:vAlign w:val="center"/>
          </w:tcPr>
          <w:p>
            <w:pPr>
              <w:widowControl/>
              <w:jc w:val="center"/>
              <w:rPr>
                <w:rFonts w:hint="eastAsia" w:ascii="宋体" w:hAnsi="宋体" w:eastAsia="宋体" w:cs="宋体"/>
                <w:kern w:val="0"/>
                <w:szCs w:val="21"/>
                <w:highlight w:val="none"/>
                <w:lang w:eastAsia="zh-CN"/>
              </w:rPr>
            </w:pPr>
            <w:r>
              <w:rPr>
                <w:rFonts w:ascii="宋体" w:hAnsi="宋体" w:cs="宋体"/>
                <w:kern w:val="0"/>
                <w:szCs w:val="21"/>
                <w:highlight w:val="none"/>
              </w:rPr>
              <w:t>1</w:t>
            </w:r>
            <w:r>
              <w:rPr>
                <w:rFonts w:hint="eastAsia" w:ascii="宋体" w:hAnsi="宋体" w:cs="宋体"/>
                <w:kern w:val="0"/>
                <w:szCs w:val="21"/>
                <w:highlight w:val="none"/>
                <w:lang w:val="en-US" w:eastAsia="zh-CN"/>
              </w:rPr>
              <w:t>5</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lang w:eastAsia="zh-CN"/>
              </w:rPr>
              <w:t>措施</w:t>
            </w:r>
            <w:r>
              <w:rPr>
                <w:rFonts w:hint="eastAsia" w:ascii="宋体" w:hAnsi="宋体" w:cs="宋体"/>
                <w:kern w:val="0"/>
                <w:szCs w:val="21"/>
                <w:highlight w:val="none"/>
              </w:rPr>
              <w:t>包括了招标文件中对施工进度计划编制要求的所有内容，编制依据充分，关键</w:t>
            </w:r>
            <w:r>
              <w:rPr>
                <w:rFonts w:hint="eastAsia" w:ascii="宋体" w:hAnsi="宋体" w:cs="宋体"/>
                <w:kern w:val="0"/>
                <w:szCs w:val="21"/>
                <w:highlight w:val="none"/>
                <w:lang w:val="en-US" w:eastAsia="zh-CN"/>
              </w:rPr>
              <w:t>节点</w:t>
            </w:r>
            <w:r>
              <w:rPr>
                <w:rFonts w:hint="eastAsia" w:ascii="宋体" w:hAnsi="宋体" w:cs="宋体"/>
                <w:kern w:val="0"/>
                <w:szCs w:val="21"/>
                <w:highlight w:val="none"/>
              </w:rPr>
              <w:t>清晰、准确、完整，计划编制合理、可行。控制措施有力、合理、可行。对施工中可能出现的影响进度计划实现的各方面因素作出了充分的预计分析并制订了切实可行的解决方案及保证措施。</w:t>
            </w:r>
            <w:r>
              <w:rPr>
                <w:rFonts w:ascii="宋体" w:hAnsi="宋体" w:cs="宋体"/>
                <w:kern w:val="0"/>
                <w:szCs w:val="21"/>
                <w:highlight w:val="none"/>
              </w:rPr>
              <w:br w:type="textWrapping"/>
            </w:r>
            <w:r>
              <w:rPr>
                <w:rFonts w:hint="eastAsia" w:ascii="宋体" w:hAnsi="宋体" w:cs="宋体"/>
                <w:kern w:val="0"/>
                <w:szCs w:val="21"/>
                <w:highlight w:val="none"/>
              </w:rPr>
              <w:t>对投标人的措施进行从优到差排序，第一名得</w:t>
            </w:r>
            <w:r>
              <w:rPr>
                <w:rFonts w:ascii="宋体" w:hAnsi="宋体" w:cs="宋体"/>
                <w:kern w:val="0"/>
                <w:szCs w:val="21"/>
                <w:highlight w:val="none"/>
              </w:rPr>
              <w:t>1</w:t>
            </w:r>
            <w:r>
              <w:rPr>
                <w:rFonts w:hint="eastAsia" w:ascii="宋体" w:hAnsi="宋体" w:cs="宋体"/>
                <w:kern w:val="0"/>
                <w:szCs w:val="21"/>
                <w:highlight w:val="none"/>
                <w:lang w:val="en-US" w:eastAsia="zh-CN"/>
              </w:rPr>
              <w:t>5</w:t>
            </w:r>
            <w:r>
              <w:rPr>
                <w:rFonts w:ascii="宋体" w:hAnsi="宋体" w:cs="宋体"/>
                <w:kern w:val="0"/>
                <w:szCs w:val="21"/>
                <w:highlight w:val="none"/>
              </w:rPr>
              <w:t>分，第二名得</w:t>
            </w:r>
            <w:r>
              <w:rPr>
                <w:rFonts w:hint="eastAsia" w:ascii="宋体" w:hAnsi="宋体" w:cs="宋体"/>
                <w:kern w:val="0"/>
                <w:szCs w:val="21"/>
                <w:highlight w:val="none"/>
                <w:lang w:val="en-US" w:eastAsia="zh-CN"/>
              </w:rPr>
              <w:t>10</w:t>
            </w:r>
            <w:r>
              <w:rPr>
                <w:rFonts w:ascii="宋体" w:hAnsi="宋体" w:cs="宋体"/>
                <w:kern w:val="0"/>
                <w:szCs w:val="21"/>
                <w:highlight w:val="none"/>
              </w:rPr>
              <w:t>分，第三名得</w:t>
            </w:r>
            <w:r>
              <w:rPr>
                <w:rFonts w:hint="eastAsia" w:ascii="宋体" w:hAnsi="宋体" w:cs="宋体"/>
                <w:kern w:val="0"/>
                <w:szCs w:val="21"/>
                <w:highlight w:val="none"/>
                <w:lang w:val="en-US" w:eastAsia="zh-CN"/>
              </w:rPr>
              <w:t>8</w:t>
            </w:r>
            <w:r>
              <w:rPr>
                <w:rFonts w:ascii="宋体" w:hAnsi="宋体" w:cs="宋体"/>
                <w:kern w:val="0"/>
                <w:szCs w:val="21"/>
                <w:highlight w:val="none"/>
              </w:rPr>
              <w:t>分，第四名得</w:t>
            </w:r>
            <w:r>
              <w:rPr>
                <w:rFonts w:hint="eastAsia" w:ascii="宋体" w:hAnsi="宋体" w:cs="宋体"/>
                <w:kern w:val="0"/>
                <w:szCs w:val="21"/>
                <w:highlight w:val="none"/>
                <w:lang w:val="en-US" w:eastAsia="zh-CN"/>
              </w:rPr>
              <w:t>5</w:t>
            </w:r>
            <w:r>
              <w:rPr>
                <w:rFonts w:ascii="宋体" w:hAnsi="宋体" w:cs="宋体"/>
                <w:kern w:val="0"/>
                <w:szCs w:val="21"/>
                <w:highlight w:val="none"/>
              </w:rPr>
              <w:t>分，第五名得</w:t>
            </w:r>
            <w:r>
              <w:rPr>
                <w:rFonts w:hint="eastAsia" w:ascii="宋体" w:hAnsi="宋体" w:cs="宋体"/>
                <w:kern w:val="0"/>
                <w:szCs w:val="21"/>
                <w:highlight w:val="none"/>
                <w:lang w:val="en-US" w:eastAsia="zh-CN"/>
              </w:rPr>
              <w:t>3</w:t>
            </w:r>
            <w:r>
              <w:rPr>
                <w:rFonts w:ascii="宋体" w:hAnsi="宋体" w:cs="宋体"/>
                <w:kern w:val="0"/>
                <w:szCs w:val="21"/>
                <w:highlight w:val="none"/>
              </w:rPr>
              <w:t>分，第6名及以后得0分。排序名次不能并列。</w:t>
            </w:r>
          </w:p>
        </w:tc>
        <w:tc>
          <w:tcPr>
            <w:tcW w:w="4165" w:type="dxa"/>
            <w:shd w:val="clear" w:color="auto" w:fill="auto"/>
            <w:noWrap/>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897" w:type="dxa"/>
            <w:vMerge w:val="continue"/>
            <w:vAlign w:val="center"/>
          </w:tcPr>
          <w:p>
            <w:pPr>
              <w:widowControl/>
              <w:jc w:val="left"/>
              <w:rPr>
                <w:rFonts w:ascii="宋体" w:hAnsi="宋体" w:cs="宋体"/>
                <w:kern w:val="0"/>
                <w:szCs w:val="21"/>
                <w:highlight w:val="none"/>
              </w:rPr>
            </w:pP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安全文明施工保证措施</w:t>
            </w:r>
          </w:p>
        </w:tc>
        <w:tc>
          <w:tcPr>
            <w:tcW w:w="638" w:type="dxa"/>
            <w:shd w:val="clear" w:color="auto" w:fill="auto"/>
            <w:noWrap/>
            <w:vAlign w:val="center"/>
          </w:tcPr>
          <w:p>
            <w:pPr>
              <w:widowControl/>
              <w:jc w:val="center"/>
              <w:rPr>
                <w:rFonts w:hint="eastAsia" w:ascii="宋体" w:hAnsi="宋体" w:eastAsia="宋体" w:cs="宋体"/>
                <w:kern w:val="0"/>
                <w:szCs w:val="21"/>
                <w:highlight w:val="none"/>
                <w:lang w:eastAsia="zh-CN"/>
              </w:rPr>
            </w:pPr>
            <w:r>
              <w:rPr>
                <w:rFonts w:ascii="宋体" w:hAnsi="宋体" w:cs="宋体"/>
                <w:kern w:val="0"/>
                <w:szCs w:val="21"/>
                <w:highlight w:val="none"/>
              </w:rPr>
              <w:t>1</w:t>
            </w:r>
            <w:r>
              <w:rPr>
                <w:rFonts w:hint="eastAsia" w:ascii="宋体" w:hAnsi="宋体" w:cs="宋体"/>
                <w:kern w:val="0"/>
                <w:szCs w:val="21"/>
                <w:highlight w:val="none"/>
                <w:lang w:val="en-US" w:eastAsia="zh-CN"/>
              </w:rPr>
              <w:t>5</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针对项目特点，从安全管理人员投入、施工人员安全培训、机械设备定期检查（保养或保修）、材料堆放保管、施工现场安全围挡、安全运输、安全知识宣传等方面提出切实可行的安全文明施工保证措施，制定的方案内容完整、详细，能够确保实现工程安全管理和环境管理目标。</w:t>
            </w:r>
            <w:r>
              <w:rPr>
                <w:rFonts w:ascii="宋体" w:hAnsi="宋体" w:cs="宋体"/>
                <w:kern w:val="0"/>
                <w:szCs w:val="21"/>
                <w:highlight w:val="none"/>
              </w:rPr>
              <w:br w:type="textWrapping"/>
            </w:r>
            <w:r>
              <w:rPr>
                <w:rFonts w:hint="eastAsia" w:ascii="宋体" w:hAnsi="宋体" w:cs="宋体"/>
                <w:kern w:val="0"/>
                <w:szCs w:val="21"/>
                <w:highlight w:val="none"/>
              </w:rPr>
              <w:t>对投标人的措施进行从优到差排序，第一名得</w:t>
            </w:r>
            <w:r>
              <w:rPr>
                <w:rFonts w:ascii="宋体" w:hAnsi="宋体" w:cs="宋体"/>
                <w:kern w:val="0"/>
                <w:szCs w:val="21"/>
                <w:highlight w:val="none"/>
              </w:rPr>
              <w:t>1</w:t>
            </w:r>
            <w:r>
              <w:rPr>
                <w:rFonts w:hint="eastAsia" w:ascii="宋体" w:hAnsi="宋体" w:cs="宋体"/>
                <w:kern w:val="0"/>
                <w:szCs w:val="21"/>
                <w:highlight w:val="none"/>
                <w:lang w:val="en-US" w:eastAsia="zh-CN"/>
              </w:rPr>
              <w:t>5</w:t>
            </w:r>
            <w:r>
              <w:rPr>
                <w:rFonts w:ascii="宋体" w:hAnsi="宋体" w:cs="宋体"/>
                <w:kern w:val="0"/>
                <w:szCs w:val="21"/>
                <w:highlight w:val="none"/>
              </w:rPr>
              <w:t>分，第二名得</w:t>
            </w:r>
            <w:r>
              <w:rPr>
                <w:rFonts w:hint="eastAsia" w:ascii="宋体" w:hAnsi="宋体" w:cs="宋体"/>
                <w:kern w:val="0"/>
                <w:szCs w:val="21"/>
                <w:highlight w:val="none"/>
                <w:lang w:val="en-US" w:eastAsia="zh-CN"/>
              </w:rPr>
              <w:t>10</w:t>
            </w:r>
            <w:r>
              <w:rPr>
                <w:rFonts w:ascii="宋体" w:hAnsi="宋体" w:cs="宋体"/>
                <w:kern w:val="0"/>
                <w:szCs w:val="21"/>
                <w:highlight w:val="none"/>
              </w:rPr>
              <w:t>分，第三名得</w:t>
            </w:r>
            <w:r>
              <w:rPr>
                <w:rFonts w:hint="eastAsia" w:ascii="宋体" w:hAnsi="宋体" w:cs="宋体"/>
                <w:kern w:val="0"/>
                <w:szCs w:val="21"/>
                <w:highlight w:val="none"/>
                <w:lang w:val="en-US" w:eastAsia="zh-CN"/>
              </w:rPr>
              <w:t>8</w:t>
            </w:r>
            <w:r>
              <w:rPr>
                <w:rFonts w:ascii="宋体" w:hAnsi="宋体" w:cs="宋体"/>
                <w:kern w:val="0"/>
                <w:szCs w:val="21"/>
                <w:highlight w:val="none"/>
              </w:rPr>
              <w:t>分，第四名得</w:t>
            </w:r>
            <w:r>
              <w:rPr>
                <w:rFonts w:hint="eastAsia" w:ascii="宋体" w:hAnsi="宋体" w:cs="宋体"/>
                <w:kern w:val="0"/>
                <w:szCs w:val="21"/>
                <w:highlight w:val="none"/>
                <w:lang w:val="en-US" w:eastAsia="zh-CN"/>
              </w:rPr>
              <w:t>5</w:t>
            </w:r>
            <w:r>
              <w:rPr>
                <w:rFonts w:ascii="宋体" w:hAnsi="宋体" w:cs="宋体"/>
                <w:kern w:val="0"/>
                <w:szCs w:val="21"/>
                <w:highlight w:val="none"/>
              </w:rPr>
              <w:t>分，第五名得</w:t>
            </w:r>
            <w:r>
              <w:rPr>
                <w:rFonts w:hint="eastAsia" w:ascii="宋体" w:hAnsi="宋体" w:cs="宋体"/>
                <w:kern w:val="0"/>
                <w:szCs w:val="21"/>
                <w:highlight w:val="none"/>
                <w:lang w:val="en-US" w:eastAsia="zh-CN"/>
              </w:rPr>
              <w:t>3</w:t>
            </w:r>
            <w:r>
              <w:rPr>
                <w:rFonts w:ascii="宋体" w:hAnsi="宋体" w:cs="宋体"/>
                <w:kern w:val="0"/>
                <w:szCs w:val="21"/>
                <w:highlight w:val="none"/>
              </w:rPr>
              <w:t>分，第6名及以后得0分。排序名次不能并列。</w:t>
            </w:r>
          </w:p>
        </w:tc>
        <w:tc>
          <w:tcPr>
            <w:tcW w:w="4165" w:type="dxa"/>
            <w:shd w:val="clear" w:color="auto" w:fill="auto"/>
            <w:noWrap/>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897" w:type="dxa"/>
            <w:vMerge w:val="continue"/>
            <w:vAlign w:val="center"/>
          </w:tcPr>
          <w:p>
            <w:pPr>
              <w:widowControl/>
              <w:jc w:val="left"/>
              <w:rPr>
                <w:rFonts w:ascii="宋体" w:hAnsi="宋体" w:cs="宋体"/>
                <w:kern w:val="0"/>
                <w:szCs w:val="21"/>
                <w:highlight w:val="none"/>
              </w:rPr>
            </w:pPr>
          </w:p>
        </w:tc>
        <w:tc>
          <w:tcPr>
            <w:tcW w:w="980" w:type="dxa"/>
            <w:shd w:val="clear" w:color="auto" w:fill="auto"/>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应急预案</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10</w:t>
            </w:r>
          </w:p>
        </w:tc>
        <w:tc>
          <w:tcPr>
            <w:tcW w:w="7540" w:type="dxa"/>
            <w:shd w:val="clear" w:color="auto" w:fill="auto"/>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针对本工程的</w:t>
            </w:r>
            <w:r>
              <w:rPr>
                <w:rFonts w:hint="eastAsia" w:ascii="宋体" w:hAnsi="宋体" w:cs="宋体"/>
                <w:kern w:val="0"/>
                <w:szCs w:val="21"/>
                <w:highlight w:val="none"/>
                <w:lang w:val="en-US" w:eastAsia="zh-CN"/>
              </w:rPr>
              <w:t>特点、重点、难点</w:t>
            </w:r>
            <w:r>
              <w:rPr>
                <w:rFonts w:hint="eastAsia" w:ascii="宋体" w:hAnsi="宋体" w:cs="宋体"/>
                <w:kern w:val="0"/>
                <w:szCs w:val="21"/>
                <w:highlight w:val="none"/>
              </w:rPr>
              <w:t>工作内容，有切实可行的应急预案。</w:t>
            </w:r>
            <w:r>
              <w:rPr>
                <w:rFonts w:ascii="宋体" w:hAnsi="宋体" w:cs="宋体"/>
                <w:kern w:val="0"/>
                <w:szCs w:val="21"/>
                <w:highlight w:val="none"/>
              </w:rPr>
              <w:br w:type="textWrapping"/>
            </w:r>
            <w:r>
              <w:rPr>
                <w:rFonts w:hint="eastAsia" w:ascii="宋体" w:hAnsi="宋体" w:cs="宋体"/>
                <w:kern w:val="0"/>
                <w:szCs w:val="21"/>
                <w:highlight w:val="none"/>
              </w:rPr>
              <w:t>对投标人的应急预案进行从优到差排序，第一名得</w:t>
            </w:r>
            <w:r>
              <w:rPr>
                <w:rFonts w:ascii="宋体" w:hAnsi="宋体" w:cs="宋体"/>
                <w:kern w:val="0"/>
                <w:szCs w:val="21"/>
                <w:highlight w:val="none"/>
              </w:rPr>
              <w:t>10分，第二名得8分，第三名得6分，第四名得4分，第五名得2分，第6名及以后得0分。排序名次不能并列。</w:t>
            </w:r>
          </w:p>
        </w:tc>
        <w:tc>
          <w:tcPr>
            <w:tcW w:w="4165" w:type="dxa"/>
            <w:shd w:val="clear" w:color="auto" w:fill="auto"/>
            <w:noWrap/>
            <w:vAlign w:val="center"/>
          </w:tcPr>
          <w:p>
            <w:pPr>
              <w:widowControl/>
              <w:jc w:val="left"/>
              <w:rPr>
                <w:rFonts w:ascii="宋体" w:hAnsi="宋体" w:cs="宋体"/>
                <w:kern w:val="0"/>
                <w:szCs w:val="21"/>
                <w:highlight w:val="none"/>
              </w:rPr>
            </w:pPr>
            <w:r>
              <w:rPr>
                <w:rFonts w:hint="eastAsia" w:ascii="宋体" w:hAnsi="宋体" w:cs="宋体"/>
                <w:kern w:val="0"/>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1877" w:type="dxa"/>
            <w:gridSpan w:val="2"/>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合计</w:t>
            </w:r>
          </w:p>
        </w:tc>
        <w:tc>
          <w:tcPr>
            <w:tcW w:w="638" w:type="dxa"/>
            <w:shd w:val="clear" w:color="auto" w:fill="auto"/>
            <w:noWrap/>
            <w:vAlign w:val="center"/>
          </w:tcPr>
          <w:p>
            <w:pPr>
              <w:widowControl/>
              <w:jc w:val="center"/>
              <w:rPr>
                <w:rFonts w:ascii="宋体" w:hAnsi="宋体" w:cs="宋体"/>
                <w:kern w:val="0"/>
                <w:szCs w:val="21"/>
                <w:highlight w:val="none"/>
              </w:rPr>
            </w:pPr>
            <w:r>
              <w:rPr>
                <w:rFonts w:ascii="宋体" w:hAnsi="宋体" w:cs="宋体"/>
                <w:kern w:val="0"/>
                <w:szCs w:val="21"/>
                <w:highlight w:val="none"/>
              </w:rPr>
              <w:t>100</w:t>
            </w:r>
          </w:p>
        </w:tc>
        <w:tc>
          <w:tcPr>
            <w:tcW w:w="7540" w:type="dxa"/>
            <w:shd w:val="clear" w:color="auto" w:fill="auto"/>
            <w:vAlign w:val="center"/>
          </w:tcPr>
          <w:p>
            <w:pPr>
              <w:widowControl/>
              <w:jc w:val="left"/>
              <w:rPr>
                <w:rFonts w:ascii="宋体" w:hAnsi="宋体" w:cs="宋体"/>
                <w:kern w:val="0"/>
                <w:szCs w:val="21"/>
                <w:highlight w:val="none"/>
              </w:rPr>
            </w:pPr>
          </w:p>
        </w:tc>
        <w:tc>
          <w:tcPr>
            <w:tcW w:w="4165" w:type="dxa"/>
            <w:shd w:val="clear" w:color="auto" w:fill="auto"/>
            <w:noWrap/>
            <w:vAlign w:val="center"/>
          </w:tcPr>
          <w:p>
            <w:pPr>
              <w:widowControl/>
              <w:jc w:val="left"/>
              <w:rPr>
                <w:rFonts w:ascii="宋体" w:hAnsi="宋体" w:cs="宋体"/>
                <w:kern w:val="0"/>
                <w:szCs w:val="21"/>
                <w:highlight w:val="none"/>
              </w:rPr>
            </w:pPr>
          </w:p>
        </w:tc>
      </w:tr>
    </w:tbl>
    <w:p>
      <w:pPr>
        <w:rPr>
          <w:color w:val="auto"/>
          <w:highlight w:val="none"/>
        </w:rPr>
      </w:pPr>
    </w:p>
    <w:p>
      <w:pPr>
        <w:snapToGrid w:val="0"/>
        <w:rPr>
          <w:rFonts w:hint="eastAsia" w:ascii="宋体" w:hAnsi="宋体"/>
          <w:color w:val="auto"/>
          <w:highlight w:val="none"/>
        </w:rPr>
      </w:pPr>
      <w:r>
        <w:rPr>
          <w:rFonts w:hint="eastAsia" w:ascii="宋体" w:hAnsi="宋体"/>
          <w:color w:val="auto"/>
          <w:highlight w:val="none"/>
        </w:rPr>
        <w:t>备注：</w:t>
      </w:r>
    </w:p>
    <w:p>
      <w:pPr>
        <w:snapToGrid w:val="0"/>
        <w:ind w:firstLine="420" w:firstLineChars="200"/>
        <w:rPr>
          <w:rFonts w:ascii="宋体" w:hAnsi="宋体"/>
          <w:szCs w:val="21"/>
          <w:highlight w:val="none"/>
        </w:rPr>
      </w:pPr>
      <w:r>
        <w:rPr>
          <w:rFonts w:hint="eastAsia" w:ascii="宋体" w:hAnsi="宋体"/>
          <w:szCs w:val="21"/>
          <w:highlight w:val="none"/>
        </w:rPr>
        <w:t>1、评委在得分区间打分时，保留小数点后1位。</w:t>
      </w:r>
    </w:p>
    <w:p>
      <w:pPr>
        <w:rPr>
          <w:rFonts w:hint="eastAsia" w:ascii="宋体" w:hAnsi="宋体" w:eastAsia="宋体" w:cs="宋体"/>
          <w:color w:val="auto"/>
          <w:highlight w:val="none"/>
        </w:rPr>
      </w:pPr>
      <w:r>
        <w:rPr>
          <w:rFonts w:hint="eastAsia" w:ascii="宋体" w:hAnsi="宋体"/>
          <w:szCs w:val="21"/>
          <w:highlight w:val="none"/>
        </w:rPr>
        <w:t xml:space="preserve">    2、投标人商务分为各评委的总评分的算术平均值，保留小数点后二位，第三位小数四舍五入</w:t>
      </w:r>
    </w:p>
    <w:p>
      <w:pPr>
        <w:jc w:val="left"/>
        <w:rPr>
          <w:rFonts w:hint="eastAsia" w:ascii="宋体" w:hAnsi="宋体" w:eastAsia="宋体" w:cs="宋体"/>
          <w:color w:val="auto"/>
          <w:highlight w:val="none"/>
        </w:rPr>
      </w:pPr>
      <w:r>
        <w:rPr>
          <w:rFonts w:hint="eastAsia" w:ascii="宋体" w:hAnsi="宋体" w:eastAsia="宋体" w:cs="宋体"/>
          <w:color w:val="auto"/>
          <w:highlight w:val="none"/>
        </w:rPr>
        <w:t>评委签名：                       日期：</w:t>
      </w:r>
    </w:p>
    <w:p>
      <w:pPr>
        <w:jc w:val="left"/>
        <w:rPr>
          <w:rFonts w:hint="eastAsia" w:ascii="宋体" w:hAnsi="宋体" w:eastAsia="宋体" w:cs="宋体"/>
          <w:color w:val="auto"/>
          <w:highlight w:val="none"/>
        </w:rPr>
        <w:sectPr>
          <w:headerReference r:id="rId11" w:type="first"/>
          <w:footerReference r:id="rId14" w:type="first"/>
          <w:headerReference r:id="rId9" w:type="default"/>
          <w:footerReference r:id="rId12" w:type="default"/>
          <w:headerReference r:id="rId10" w:type="even"/>
          <w:footerReference r:id="rId13" w:type="even"/>
          <w:endnotePr>
            <w:numFmt w:val="decimal"/>
          </w:endnotePr>
          <w:pgSz w:w="16838" w:h="11906" w:orient="landscape"/>
          <w:pgMar w:top="1417" w:right="1417" w:bottom="1417" w:left="1417" w:header="850" w:footer="907" w:gutter="0"/>
          <w:pgNumType w:fmt="decimal"/>
          <w:cols w:space="0" w:num="1"/>
          <w:titlePg/>
          <w:docGrid w:type="lines" w:linePitch="312" w:charSpace="0"/>
        </w:sectPr>
      </w:pPr>
      <w:r>
        <w:rPr>
          <w:rFonts w:hint="eastAsia" w:ascii="宋体" w:hAnsi="宋体" w:eastAsia="宋体" w:cs="宋体"/>
          <w:color w:val="auto"/>
          <w:highlight w:val="none"/>
        </w:rPr>
        <w:br w:type="page"/>
      </w:r>
    </w:p>
    <w:p>
      <w:pPr>
        <w:pStyle w:val="8"/>
        <w:rPr>
          <w:rFonts w:hint="eastAsia"/>
          <w:highlight w:val="none"/>
        </w:rPr>
      </w:pP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附表五（适用于加权平均法）</w:t>
      </w:r>
    </w:p>
    <w:p>
      <w:pPr>
        <w:jc w:val="center"/>
        <w:outlineLvl w:val="2"/>
        <w:rPr>
          <w:rFonts w:hint="eastAsia" w:ascii="宋体" w:hAnsi="宋体" w:eastAsia="宋体" w:cs="宋体"/>
          <w:b/>
          <w:color w:val="auto"/>
          <w:sz w:val="36"/>
          <w:szCs w:val="36"/>
          <w:highlight w:val="none"/>
        </w:rPr>
      </w:pPr>
      <w:bookmarkStart w:id="33" w:name="_Toc532"/>
      <w:r>
        <w:rPr>
          <w:rFonts w:hint="eastAsia" w:ascii="宋体" w:hAnsi="宋体" w:eastAsia="宋体" w:cs="宋体"/>
          <w:b/>
          <w:color w:val="auto"/>
          <w:sz w:val="36"/>
          <w:szCs w:val="36"/>
          <w:highlight w:val="none"/>
        </w:rPr>
        <w:t>经济标评分表</w:t>
      </w:r>
      <w:bookmarkEnd w:id="33"/>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p>
    <w:tbl>
      <w:tblPr>
        <w:tblStyle w:val="40"/>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983"/>
        <w:gridCol w:w="12"/>
        <w:gridCol w:w="1008"/>
        <w:gridCol w:w="1007"/>
        <w:gridCol w:w="1007"/>
        <w:gridCol w:w="1007"/>
        <w:gridCol w:w="1007"/>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投标报价PT（元）</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报价权重</w:t>
            </w:r>
          </w:p>
        </w:tc>
        <w:tc>
          <w:tcPr>
            <w:tcW w:w="98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20"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8"/>
          <w:wAfter w:w="7037" w:type="dxa"/>
          <w:trHeight w:val="728"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评标参考价PC（元）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偏差（（PT-PC）/PC）（%）</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减分（A）</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得分(I=100-A)</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200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得分排名次序</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bl>
    <w:p>
      <w:pP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评委签名：</w:t>
      </w: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附表六</w:t>
      </w:r>
    </w:p>
    <w:p>
      <w:pPr>
        <w:jc w:val="center"/>
        <w:outlineLvl w:val="2"/>
        <w:rPr>
          <w:rFonts w:hint="eastAsia" w:ascii="宋体" w:hAnsi="宋体" w:eastAsia="宋体" w:cs="宋体"/>
          <w:b/>
          <w:color w:val="auto"/>
          <w:sz w:val="36"/>
          <w:szCs w:val="36"/>
          <w:highlight w:val="none"/>
        </w:rPr>
      </w:pPr>
      <w:bookmarkStart w:id="34" w:name="_Toc4861"/>
      <w:r>
        <w:rPr>
          <w:rFonts w:hint="eastAsia" w:ascii="宋体" w:hAnsi="宋体" w:eastAsia="宋体" w:cs="宋体"/>
          <w:b/>
          <w:color w:val="auto"/>
          <w:sz w:val="36"/>
          <w:szCs w:val="36"/>
          <w:highlight w:val="none"/>
        </w:rPr>
        <w:t>算术复核表</w:t>
      </w:r>
      <w:bookmarkEnd w:id="34"/>
    </w:p>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工程名称：投标人:       单位：元</w:t>
      </w:r>
    </w:p>
    <w:tbl>
      <w:tblPr>
        <w:tblStyle w:val="40"/>
        <w:tblW w:w="9282" w:type="dxa"/>
        <w:tblInd w:w="0" w:type="dxa"/>
        <w:tblLayout w:type="fixed"/>
        <w:tblCellMar>
          <w:top w:w="0" w:type="dxa"/>
          <w:left w:w="108" w:type="dxa"/>
          <w:bottom w:w="0" w:type="dxa"/>
          <w:right w:w="108" w:type="dxa"/>
        </w:tblCellMar>
      </w:tblPr>
      <w:tblGrid>
        <w:gridCol w:w="426"/>
        <w:gridCol w:w="2299"/>
        <w:gridCol w:w="1225"/>
        <w:gridCol w:w="843"/>
        <w:gridCol w:w="1687"/>
        <w:gridCol w:w="775"/>
        <w:gridCol w:w="2027"/>
      </w:tblGrid>
      <w:tr>
        <w:tblPrEx>
          <w:tblLayout w:type="fixed"/>
          <w:tblCellMar>
            <w:top w:w="0" w:type="dxa"/>
            <w:left w:w="108" w:type="dxa"/>
            <w:bottom w:w="0" w:type="dxa"/>
            <w:right w:w="108" w:type="dxa"/>
          </w:tblCellMar>
        </w:tblPrEx>
        <w:trPr>
          <w:trHeight w:val="695" w:hRule="atLeast"/>
        </w:trPr>
        <w:tc>
          <w:tcPr>
            <w:tcW w:w="42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编号</w:t>
            </w:r>
          </w:p>
        </w:tc>
        <w:tc>
          <w:tcPr>
            <w:tcW w:w="2299"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算术校核项目</w:t>
            </w:r>
          </w:p>
        </w:tc>
        <w:tc>
          <w:tcPr>
            <w:tcW w:w="1225"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修正前投标报价A</w:t>
            </w:r>
          </w:p>
        </w:tc>
        <w:tc>
          <w:tcPr>
            <w:tcW w:w="843" w:type="dxa"/>
            <w:tcBorders>
              <w:top w:val="single" w:color="auto" w:sz="4" w:space="0"/>
              <w:left w:val="nil"/>
              <w:bottom w:val="single" w:color="auto" w:sz="4" w:space="0"/>
              <w:right w:val="single" w:color="auto" w:sz="4" w:space="0"/>
            </w:tcBorders>
            <w:vAlign w:val="center"/>
          </w:tcPr>
          <w:p>
            <w:pPr>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修正后投标</w:t>
            </w:r>
          </w:p>
          <w:p>
            <w:pPr>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报价B</w:t>
            </w:r>
          </w:p>
        </w:tc>
        <w:tc>
          <w:tcPr>
            <w:tcW w:w="168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修正率</w:t>
            </w:r>
            <w:r>
              <w:rPr>
                <w:rFonts w:hint="eastAsia" w:ascii="宋体" w:hAnsi="宋体" w:eastAsia="宋体" w:cs="宋体"/>
                <w:color w:val="auto"/>
                <w:kern w:val="0"/>
                <w:szCs w:val="21"/>
                <w:highlight w:val="none"/>
              </w:rPr>
              <w:br w:type="textWrapping"/>
            </w:r>
            <w:r>
              <w:rPr>
                <w:rFonts w:hint="eastAsia" w:ascii="宋体" w:hAnsi="宋体" w:eastAsia="宋体" w:cs="宋体"/>
                <w:color w:val="auto"/>
                <w:kern w:val="0"/>
                <w:szCs w:val="21"/>
                <w:highlight w:val="none"/>
              </w:rPr>
              <w:t>r=|A-B|/A*100%</w:t>
            </w:r>
          </w:p>
        </w:tc>
        <w:tc>
          <w:tcPr>
            <w:tcW w:w="775"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经评审的最终投标报价</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当B&gt;A时，修正后报价与原报价的差额；当B≤A时,R=0</w:t>
            </w:r>
          </w:p>
        </w:tc>
      </w:tr>
      <w:tr>
        <w:tblPrEx>
          <w:tblLayout w:type="fixed"/>
          <w:tblCellMar>
            <w:top w:w="0" w:type="dxa"/>
            <w:left w:w="108" w:type="dxa"/>
            <w:bottom w:w="0" w:type="dxa"/>
            <w:right w:w="108" w:type="dxa"/>
          </w:tblCellMar>
        </w:tblPrEx>
        <w:trPr>
          <w:trHeight w:val="591" w:hRule="atLeast"/>
        </w:trPr>
        <w:tc>
          <w:tcPr>
            <w:tcW w:w="42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2299"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[单位工程1]</w:t>
            </w:r>
          </w:p>
        </w:tc>
        <w:tc>
          <w:tcPr>
            <w:tcW w:w="122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43"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687"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77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p>
        </w:tc>
      </w:tr>
      <w:tr>
        <w:tblPrEx>
          <w:tblLayout w:type="fixed"/>
          <w:tblCellMar>
            <w:top w:w="0" w:type="dxa"/>
            <w:left w:w="108" w:type="dxa"/>
            <w:bottom w:w="0" w:type="dxa"/>
            <w:right w:w="108" w:type="dxa"/>
          </w:tblCellMar>
        </w:tblPrEx>
        <w:trPr>
          <w:trHeight w:val="591" w:hRule="atLeast"/>
        </w:trPr>
        <w:tc>
          <w:tcPr>
            <w:tcW w:w="42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2299"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[单位工程2]</w:t>
            </w:r>
          </w:p>
        </w:tc>
        <w:tc>
          <w:tcPr>
            <w:tcW w:w="122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43"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687"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77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p>
        </w:tc>
      </w:tr>
      <w:tr>
        <w:tblPrEx>
          <w:tblLayout w:type="fixed"/>
          <w:tblCellMar>
            <w:top w:w="0" w:type="dxa"/>
            <w:left w:w="108" w:type="dxa"/>
            <w:bottom w:w="0" w:type="dxa"/>
            <w:right w:w="108" w:type="dxa"/>
          </w:tblCellMar>
        </w:tblPrEx>
        <w:trPr>
          <w:trHeight w:val="591" w:hRule="atLeast"/>
        </w:trPr>
        <w:tc>
          <w:tcPr>
            <w:tcW w:w="42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2299"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122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43"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687"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77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p>
        </w:tc>
      </w:tr>
      <w:tr>
        <w:tblPrEx>
          <w:tblLayout w:type="fixed"/>
          <w:tblCellMar>
            <w:top w:w="0" w:type="dxa"/>
            <w:left w:w="108" w:type="dxa"/>
            <w:bottom w:w="0" w:type="dxa"/>
            <w:right w:w="108" w:type="dxa"/>
          </w:tblCellMar>
        </w:tblPrEx>
        <w:trPr>
          <w:trHeight w:val="591" w:hRule="atLeast"/>
        </w:trPr>
        <w:tc>
          <w:tcPr>
            <w:tcW w:w="42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2299"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122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43"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687"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77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p>
        </w:tc>
      </w:tr>
      <w:tr>
        <w:tblPrEx>
          <w:tblLayout w:type="fixed"/>
          <w:tblCellMar>
            <w:top w:w="0" w:type="dxa"/>
            <w:left w:w="108" w:type="dxa"/>
            <w:bottom w:w="0" w:type="dxa"/>
            <w:right w:w="108" w:type="dxa"/>
          </w:tblCellMar>
        </w:tblPrEx>
        <w:trPr>
          <w:trHeight w:val="591" w:hRule="atLeast"/>
        </w:trPr>
        <w:tc>
          <w:tcPr>
            <w:tcW w:w="42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2299"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122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43"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687"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77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p>
        </w:tc>
      </w:tr>
      <w:tr>
        <w:tblPrEx>
          <w:tblLayout w:type="fixed"/>
          <w:tblCellMar>
            <w:top w:w="0" w:type="dxa"/>
            <w:left w:w="108" w:type="dxa"/>
            <w:bottom w:w="0" w:type="dxa"/>
            <w:right w:w="108" w:type="dxa"/>
          </w:tblCellMar>
        </w:tblPrEx>
        <w:trPr>
          <w:trHeight w:val="591" w:hRule="atLeast"/>
        </w:trPr>
        <w:tc>
          <w:tcPr>
            <w:tcW w:w="42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n</w:t>
            </w:r>
          </w:p>
        </w:tc>
        <w:tc>
          <w:tcPr>
            <w:tcW w:w="2299"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[单位工程n]</w:t>
            </w:r>
          </w:p>
        </w:tc>
        <w:tc>
          <w:tcPr>
            <w:tcW w:w="122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43"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687"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77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p>
        </w:tc>
      </w:tr>
      <w:tr>
        <w:tblPrEx>
          <w:tblLayout w:type="fixed"/>
          <w:tblCellMar>
            <w:top w:w="0" w:type="dxa"/>
            <w:left w:w="108" w:type="dxa"/>
            <w:bottom w:w="0" w:type="dxa"/>
            <w:right w:w="108" w:type="dxa"/>
          </w:tblCellMar>
        </w:tblPrEx>
        <w:trPr>
          <w:trHeight w:val="591" w:hRule="atLeast"/>
        </w:trPr>
        <w:tc>
          <w:tcPr>
            <w:tcW w:w="426" w:type="dxa"/>
            <w:tcBorders>
              <w:top w:val="nil"/>
              <w:left w:val="single" w:color="auto" w:sz="4" w:space="0"/>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2299"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投标总报价</w:t>
            </w:r>
          </w:p>
        </w:tc>
        <w:tc>
          <w:tcPr>
            <w:tcW w:w="122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843"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687" w:type="dxa"/>
            <w:tcBorders>
              <w:top w:val="nil"/>
              <w:left w:val="nil"/>
              <w:bottom w:val="single" w:color="auto" w:sz="4" w:space="0"/>
              <w:right w:val="single" w:color="auto" w:sz="4" w:space="0"/>
              <w:tr2bl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775" w:type="dxa"/>
            <w:tcBorders>
              <w:top w:val="nil"/>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2027" w:type="dxa"/>
            <w:tcBorders>
              <w:top w:val="single" w:color="auto" w:sz="4" w:space="0"/>
              <w:left w:val="nil"/>
              <w:bottom w:val="single" w:color="auto" w:sz="4" w:space="0"/>
              <w:right w:val="single" w:color="auto" w:sz="4" w:space="0"/>
            </w:tcBorders>
            <w:vAlign w:val="center"/>
          </w:tcPr>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∑A=A</w:t>
            </w:r>
            <w:r>
              <w:rPr>
                <w:rFonts w:hint="eastAsia" w:ascii="宋体" w:hAnsi="宋体" w:eastAsia="宋体" w:cs="宋体"/>
                <w:color w:val="auto"/>
                <w:kern w:val="0"/>
                <w:szCs w:val="21"/>
                <w:highlight w:val="none"/>
                <w:vertAlign w:val="subscript"/>
              </w:rPr>
              <w:t>1</w:t>
            </w:r>
            <w:r>
              <w:rPr>
                <w:rFonts w:hint="eastAsia" w:ascii="宋体" w:hAnsi="宋体" w:eastAsia="宋体" w:cs="宋体"/>
                <w:color w:val="auto"/>
                <w:kern w:val="0"/>
                <w:szCs w:val="21"/>
                <w:highlight w:val="none"/>
              </w:rPr>
              <w:t>+A</w:t>
            </w:r>
            <w:r>
              <w:rPr>
                <w:rFonts w:hint="eastAsia" w:ascii="宋体" w:hAnsi="宋体" w:eastAsia="宋体" w:cs="宋体"/>
                <w:color w:val="auto"/>
                <w:kern w:val="0"/>
                <w:szCs w:val="21"/>
                <w:highlight w:val="none"/>
                <w:vertAlign w:val="subscript"/>
              </w:rPr>
              <w:t>2</w:t>
            </w:r>
            <w:r>
              <w:rPr>
                <w:rFonts w:hint="eastAsia" w:ascii="宋体" w:hAnsi="宋体" w:eastAsia="宋体" w:cs="宋体"/>
                <w:color w:val="auto"/>
                <w:kern w:val="0"/>
                <w:szCs w:val="21"/>
                <w:highlight w:val="none"/>
              </w:rPr>
              <w:t>+…An；∑B=B</w:t>
            </w:r>
            <w:r>
              <w:rPr>
                <w:rFonts w:hint="eastAsia" w:ascii="宋体" w:hAnsi="宋体" w:eastAsia="宋体" w:cs="宋体"/>
                <w:color w:val="auto"/>
                <w:kern w:val="0"/>
                <w:szCs w:val="21"/>
                <w:highlight w:val="none"/>
                <w:vertAlign w:val="subscript"/>
              </w:rPr>
              <w:t>1</w:t>
            </w:r>
            <w:r>
              <w:rPr>
                <w:rFonts w:hint="eastAsia" w:ascii="宋体" w:hAnsi="宋体" w:eastAsia="宋体" w:cs="宋体"/>
                <w:color w:val="auto"/>
                <w:kern w:val="0"/>
                <w:szCs w:val="21"/>
                <w:highlight w:val="none"/>
              </w:rPr>
              <w:t>+B</w:t>
            </w:r>
            <w:r>
              <w:rPr>
                <w:rFonts w:hint="eastAsia" w:ascii="宋体" w:hAnsi="宋体" w:eastAsia="宋体" w:cs="宋体"/>
                <w:color w:val="auto"/>
                <w:kern w:val="0"/>
                <w:szCs w:val="21"/>
                <w:highlight w:val="none"/>
                <w:vertAlign w:val="subscript"/>
              </w:rPr>
              <w:t>2</w:t>
            </w:r>
            <w:r>
              <w:rPr>
                <w:rFonts w:hint="eastAsia" w:ascii="宋体" w:hAnsi="宋体" w:eastAsia="宋体" w:cs="宋体"/>
                <w:color w:val="auto"/>
                <w:kern w:val="0"/>
                <w:szCs w:val="21"/>
                <w:highlight w:val="none"/>
              </w:rPr>
              <w:t>+…Bn</w:t>
            </w:r>
          </w:p>
        </w:tc>
      </w:tr>
    </w:tbl>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修正原则：</w:t>
      </w:r>
      <w:r>
        <w:rPr>
          <w:rFonts w:hint="eastAsia" w:ascii="宋体" w:hAnsi="宋体" w:eastAsia="宋体" w:cs="宋体"/>
          <w:color w:val="auto"/>
          <w:szCs w:val="21"/>
          <w:highlight w:val="none"/>
        </w:rPr>
        <w:t>按就低不就高原则，当修正后报价小于原报价，总价按修正后报价；当修正后报价大于原报价，总价按原报价，并在签订合同时载明在结算价中扣除修正报价与原报价的差额。</w:t>
      </w:r>
      <w:r>
        <w:rPr>
          <w:rFonts w:hint="eastAsia" w:ascii="宋体" w:hAnsi="宋体" w:eastAsia="宋体" w:cs="宋体"/>
          <w:color w:val="auto"/>
          <w:kern w:val="0"/>
          <w:szCs w:val="21"/>
          <w:highlight w:val="none"/>
        </w:rPr>
        <w:tab/>
      </w:r>
    </w:p>
    <w:p>
      <w:pP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评委签名：</w:t>
      </w:r>
      <w:r>
        <w:rPr>
          <w:rFonts w:hint="eastAsia" w:ascii="宋体" w:hAnsi="宋体" w:eastAsia="宋体" w:cs="宋体"/>
          <w:color w:val="auto"/>
          <w:kern w:val="0"/>
          <w:szCs w:val="21"/>
          <w:highlight w:val="none"/>
        </w:rPr>
        <w:tab/>
      </w:r>
      <w:r>
        <w:rPr>
          <w:rFonts w:hint="eastAsia" w:ascii="宋体" w:hAnsi="宋体" w:eastAsia="宋体" w:cs="宋体"/>
          <w:color w:val="auto"/>
          <w:kern w:val="0"/>
          <w:szCs w:val="21"/>
          <w:highlight w:val="none"/>
        </w:rPr>
        <w:tab/>
      </w:r>
      <w:r>
        <w:rPr>
          <w:rFonts w:hint="eastAsia" w:ascii="宋体" w:hAnsi="宋体" w:eastAsia="宋体" w:cs="宋体"/>
          <w:color w:val="auto"/>
          <w:kern w:val="0"/>
          <w:szCs w:val="21"/>
          <w:highlight w:val="none"/>
        </w:rPr>
        <w:tab/>
      </w:r>
      <w:r>
        <w:rPr>
          <w:rFonts w:hint="eastAsia" w:ascii="宋体" w:hAnsi="宋体" w:eastAsia="宋体" w:cs="宋体"/>
          <w:color w:val="auto"/>
          <w:kern w:val="0"/>
          <w:szCs w:val="21"/>
          <w:highlight w:val="none"/>
        </w:rPr>
        <w:tab/>
      </w:r>
      <w:r>
        <w:rPr>
          <w:rFonts w:hint="eastAsia" w:ascii="宋体" w:hAnsi="宋体" w:eastAsia="宋体" w:cs="宋体"/>
          <w:color w:val="auto"/>
          <w:kern w:val="0"/>
          <w:szCs w:val="21"/>
          <w:highlight w:val="none"/>
        </w:rPr>
        <w:tab/>
      </w:r>
      <w:r>
        <w:rPr>
          <w:rFonts w:hint="eastAsia" w:ascii="宋体" w:hAnsi="宋体" w:eastAsia="宋体" w:cs="宋体"/>
          <w:color w:val="auto"/>
          <w:kern w:val="0"/>
          <w:szCs w:val="21"/>
          <w:highlight w:val="none"/>
        </w:rPr>
        <w:t>日期：</w:t>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算术复核表</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工程名称：</w:t>
      </w:r>
    </w:p>
    <w:tbl>
      <w:tblPr>
        <w:tblStyle w:val="40"/>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678"/>
        <w:gridCol w:w="1389"/>
        <w:gridCol w:w="1897"/>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编号</w:t>
            </w: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投标人名称</w:t>
            </w: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原投标报价（A）</w:t>
            </w: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算数复核后投标报价（B）</w:t>
            </w: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误差率（r=|A-B|/A*100%）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67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389"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1897"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c>
          <w:tcPr>
            <w:tcW w:w="2788"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sz w:val="36"/>
                <w:szCs w:val="36"/>
                <w:highlight w:val="none"/>
              </w:rPr>
            </w:pPr>
          </w:p>
        </w:tc>
      </w:tr>
    </w:tbl>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评委签名：</w:t>
      </w:r>
    </w:p>
    <w:p>
      <w:pPr>
        <w:spacing w:line="360" w:lineRule="auto"/>
        <w:jc w:val="center"/>
        <w:rPr>
          <w:rFonts w:hint="eastAsia" w:ascii="宋体" w:hAnsi="宋体" w:eastAsia="宋体" w:cs="宋体"/>
          <w:color w:val="auto"/>
          <w:szCs w:val="21"/>
          <w:highlight w:val="none"/>
        </w:rPr>
        <w:sectPr>
          <w:endnotePr>
            <w:numFmt w:val="decimal"/>
          </w:endnotePr>
          <w:pgSz w:w="11906" w:h="16838"/>
          <w:pgMar w:top="1417" w:right="1417" w:bottom="1417" w:left="1417" w:header="850" w:footer="907" w:gutter="0"/>
          <w:pgNumType w:fmt="decimal"/>
          <w:cols w:space="0" w:num="1"/>
          <w:titlePg/>
          <w:docGrid w:type="lines" w:linePitch="312" w:charSpace="0"/>
        </w:sectPr>
      </w:pPr>
    </w:p>
    <w:p>
      <w:pPr>
        <w:pStyle w:val="4"/>
        <w:rPr>
          <w:rFonts w:hint="eastAsia" w:ascii="宋体" w:hAnsi="宋体" w:eastAsia="宋体" w:cs="宋体"/>
          <w:color w:val="auto"/>
          <w:highlight w:val="none"/>
        </w:rPr>
      </w:pPr>
      <w:bookmarkStart w:id="35" w:name="_Toc4501"/>
      <w:bookmarkStart w:id="36" w:name="_Toc5975578"/>
      <w:r>
        <w:rPr>
          <w:rFonts w:hint="eastAsia" w:ascii="宋体" w:hAnsi="宋体" w:eastAsia="宋体" w:cs="宋体"/>
          <w:color w:val="auto"/>
          <w:highlight w:val="none"/>
        </w:rPr>
        <w:t>第三章合同条款</w:t>
      </w:r>
      <w:bookmarkEnd w:id="35"/>
      <w:bookmarkEnd w:id="36"/>
    </w:p>
    <w:p>
      <w:pPr>
        <w:rPr>
          <w:rFonts w:hint="eastAsia" w:ascii="宋体" w:hAnsi="宋体" w:eastAsia="宋体" w:cs="宋体"/>
          <w:color w:val="auto"/>
          <w:highlight w:val="none"/>
        </w:rPr>
      </w:pPr>
      <w:bookmarkStart w:id="37" w:name="_Toc5975579"/>
      <w:bookmarkStart w:id="38" w:name="_Toc23502"/>
      <w:r>
        <w:rPr>
          <w:rFonts w:hint="eastAsia" w:ascii="宋体" w:hAnsi="宋体" w:eastAsia="宋体" w:cs="宋体"/>
          <w:color w:val="auto"/>
          <w:highlight w:val="none"/>
        </w:rPr>
        <w:br w:type="page"/>
      </w:r>
    </w:p>
    <w:p>
      <w:pPr>
        <w:widowControl/>
        <w:jc w:val="left"/>
        <w:rPr>
          <w:rFonts w:ascii="宋体" w:hAnsi="宋体" w:cs="仿宋_GB2312"/>
          <w:color w:val="auto"/>
          <w:sz w:val="32"/>
          <w:szCs w:val="32"/>
          <w:highlight w:val="none"/>
        </w:rPr>
      </w:pPr>
      <w:r>
        <w:rPr>
          <w:rFonts w:ascii="宋体" w:hAnsi="宋体" w:cs="仿宋_GB2312"/>
          <w:color w:val="auto"/>
          <w:sz w:val="32"/>
          <w:szCs w:val="32"/>
          <w:highlight w:val="none"/>
        </w:rPr>
        <w:t>SF-2019-0204</w:t>
      </w:r>
    </w:p>
    <w:p>
      <w:pPr>
        <w:pStyle w:val="57"/>
        <w:spacing w:line="640" w:lineRule="exact"/>
        <w:ind w:firstLine="5550" w:firstLineChars="1850"/>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p>
    <w:p>
      <w:pPr>
        <w:pStyle w:val="57"/>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p>
    <w:p>
      <w:pPr>
        <w:pStyle w:val="57"/>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p>
    <w:p>
      <w:pPr>
        <w:tabs>
          <w:tab w:val="left" w:pos="3900"/>
          <w:tab w:val="right" w:pos="10245"/>
        </w:tabs>
        <w:wordWrap w:val="0"/>
        <w:spacing w:line="360" w:lineRule="auto"/>
        <w:jc w:val="left"/>
        <w:rPr>
          <w:rFonts w:ascii="宋体"/>
          <w:color w:val="auto"/>
          <w:sz w:val="32"/>
          <w:szCs w:val="32"/>
          <w:highlight w:val="none"/>
          <w:u w:val="single"/>
        </w:rPr>
      </w:pPr>
    </w:p>
    <w:p>
      <w:pPr>
        <w:spacing w:line="360" w:lineRule="auto"/>
        <w:jc w:val="right"/>
        <w:rPr>
          <w:rFonts w:ascii="宋体"/>
          <w:color w:val="auto"/>
          <w:sz w:val="32"/>
          <w:szCs w:val="32"/>
          <w:highlight w:val="none"/>
          <w:u w:val="single"/>
        </w:rPr>
      </w:pPr>
    </w:p>
    <w:p>
      <w:pPr>
        <w:pStyle w:val="4"/>
        <w:rPr>
          <w:rFonts w:ascii="宋体"/>
          <w:b w:val="0"/>
          <w:bCs/>
          <w:color w:val="auto"/>
          <w:spacing w:val="-40"/>
          <w:kern w:val="0"/>
          <w:sz w:val="52"/>
          <w:szCs w:val="52"/>
          <w:highlight w:val="none"/>
        </w:rPr>
      </w:pPr>
      <w:bookmarkStart w:id="39" w:name="_Toc20289"/>
      <w:bookmarkStart w:id="40" w:name="_Toc8824"/>
      <w:r>
        <w:rPr>
          <w:rFonts w:hint="eastAsia" w:ascii="宋体" w:hAnsi="宋体" w:cs="宋体"/>
          <w:b w:val="0"/>
          <w:bCs/>
          <w:color w:val="auto"/>
          <w:spacing w:val="-40"/>
          <w:kern w:val="0"/>
          <w:sz w:val="52"/>
          <w:szCs w:val="52"/>
          <w:highlight w:val="none"/>
        </w:rPr>
        <w:t>广州市建设工程施工合同</w:t>
      </w:r>
      <w:bookmarkEnd w:id="39"/>
      <w:bookmarkEnd w:id="40"/>
    </w:p>
    <w:p>
      <w:pPr>
        <w:tabs>
          <w:tab w:val="left" w:pos="1380"/>
        </w:tabs>
        <w:spacing w:line="360" w:lineRule="auto"/>
        <w:rPr>
          <w:rFonts w:ascii="宋体"/>
          <w:color w:val="auto"/>
          <w:sz w:val="32"/>
          <w:szCs w:val="32"/>
          <w:highlight w:val="none"/>
        </w:rPr>
      </w:pPr>
    </w:p>
    <w:p>
      <w:pPr>
        <w:tabs>
          <w:tab w:val="left" w:pos="1380"/>
        </w:tabs>
        <w:spacing w:line="360" w:lineRule="auto"/>
        <w:rPr>
          <w:rFonts w:ascii="宋体"/>
          <w:color w:val="auto"/>
          <w:sz w:val="32"/>
          <w:szCs w:val="32"/>
          <w:highlight w:val="none"/>
        </w:rPr>
      </w:pPr>
      <w:r>
        <w:rPr>
          <w:rFonts w:ascii="宋体"/>
          <w:color w:val="auto"/>
          <w:sz w:val="32"/>
          <w:szCs w:val="32"/>
          <w:highlight w:val="none"/>
        </w:rPr>
        <w:tab/>
      </w:r>
    </w:p>
    <w:p>
      <w:pPr>
        <w:spacing w:line="640" w:lineRule="exact"/>
        <w:ind w:firstLine="1699" w:firstLineChars="531"/>
        <w:rPr>
          <w:rFonts w:ascii="仿宋" w:hAnsi="仿宋" w:eastAsia="仿宋"/>
          <w:color w:val="auto"/>
          <w:sz w:val="32"/>
          <w:szCs w:val="32"/>
          <w:highlight w:val="none"/>
          <w:u w:val="single"/>
        </w:rPr>
      </w:pPr>
    </w:p>
    <w:p>
      <w:pPr>
        <w:spacing w:line="640" w:lineRule="exact"/>
        <w:ind w:left="426" w:leftChars="203"/>
        <w:rPr>
          <w:rFonts w:hint="eastAsia" w:ascii="宋体" w:hAnsi="宋体" w:eastAsia="宋体" w:cs="仿宋"/>
          <w:color w:val="auto"/>
          <w:sz w:val="32"/>
          <w:szCs w:val="32"/>
          <w:highlight w:val="none"/>
          <w:u w:val="single"/>
          <w:lang w:eastAsia="zh-CN"/>
        </w:rPr>
      </w:pPr>
      <w:r>
        <w:rPr>
          <w:rFonts w:hint="eastAsia" w:ascii="宋体" w:hAnsi="宋体" w:cs="仿宋"/>
          <w:color w:val="auto"/>
          <w:sz w:val="32"/>
          <w:szCs w:val="32"/>
          <w:highlight w:val="none"/>
        </w:rPr>
        <w:t>工程名称：</w:t>
      </w:r>
      <w:r>
        <w:rPr>
          <w:rFonts w:hint="eastAsia" w:ascii="宋体" w:hAnsi="宋体" w:cs="仿宋"/>
          <w:color w:val="auto"/>
          <w:sz w:val="32"/>
          <w:szCs w:val="32"/>
          <w:highlight w:val="none"/>
          <w:u w:val="single"/>
          <w:lang w:eastAsia="zh-CN"/>
        </w:rPr>
        <w:t>田心调压站扩容改造工程施工项目</w:t>
      </w:r>
    </w:p>
    <w:p>
      <w:pPr>
        <w:spacing w:before="240" w:beforeLines="100" w:after="120" w:afterLines="50"/>
        <w:ind w:left="3443" w:leftChars="203" w:hanging="3017" w:hangingChars="943"/>
        <w:rPr>
          <w:rFonts w:ascii="宋体" w:hAnsi="宋体" w:cs="仿宋"/>
          <w:color w:val="auto"/>
          <w:sz w:val="32"/>
          <w:szCs w:val="32"/>
          <w:highlight w:val="none"/>
          <w:u w:val="single"/>
        </w:rPr>
      </w:pPr>
      <w:r>
        <w:rPr>
          <w:rFonts w:hint="eastAsia" w:ascii="宋体" w:hAnsi="宋体" w:cs="仿宋"/>
          <w:color w:val="auto"/>
          <w:sz w:val="32"/>
          <w:szCs w:val="32"/>
          <w:highlight w:val="none"/>
        </w:rPr>
        <w:t>工程地点：</w:t>
      </w:r>
      <w:r>
        <w:rPr>
          <w:rFonts w:hint="eastAsia" w:ascii="宋体" w:hAnsi="宋体" w:cs="仿宋"/>
          <w:color w:val="auto"/>
          <w:sz w:val="32"/>
          <w:szCs w:val="32"/>
          <w:highlight w:val="none"/>
          <w:u w:val="single"/>
        </w:rPr>
        <w:t>广州市白云区</w:t>
      </w:r>
    </w:p>
    <w:p>
      <w:pPr>
        <w:spacing w:before="240" w:beforeLines="100" w:after="120" w:afterLines="50"/>
        <w:ind w:left="3443" w:leftChars="203" w:hanging="3017" w:hangingChars="943"/>
        <w:rPr>
          <w:rFonts w:ascii="宋体" w:hAnsi="宋体" w:cs="仿宋"/>
          <w:color w:val="auto"/>
          <w:sz w:val="32"/>
          <w:szCs w:val="32"/>
          <w:highlight w:val="none"/>
        </w:rPr>
      </w:pPr>
      <w:r>
        <w:rPr>
          <w:rFonts w:hint="eastAsia" w:ascii="宋体" w:hAnsi="宋体" w:cs="仿宋"/>
          <w:color w:val="auto"/>
          <w:sz w:val="32"/>
          <w:szCs w:val="32"/>
          <w:highlight w:val="none"/>
        </w:rPr>
        <w:t>发包人：</w:t>
      </w:r>
      <w:r>
        <w:rPr>
          <w:rFonts w:hint="eastAsia" w:ascii="宋体" w:hAnsi="宋体" w:cs="仿宋"/>
          <w:color w:val="auto"/>
          <w:sz w:val="32"/>
          <w:szCs w:val="32"/>
          <w:highlight w:val="none"/>
          <w:u w:val="single"/>
        </w:rPr>
        <w:t>广州燃气集团有限公司</w:t>
      </w:r>
    </w:p>
    <w:p>
      <w:pPr>
        <w:spacing w:before="240" w:beforeLines="100" w:after="120" w:afterLines="50"/>
        <w:ind w:left="3443" w:leftChars="203" w:hanging="3017" w:hangingChars="943"/>
        <w:rPr>
          <w:rFonts w:ascii="宋体" w:hAnsi="宋体" w:cs="仿宋"/>
          <w:color w:val="auto"/>
          <w:sz w:val="32"/>
          <w:szCs w:val="32"/>
          <w:highlight w:val="none"/>
          <w:u w:val="single"/>
        </w:rPr>
      </w:pPr>
      <w:r>
        <w:rPr>
          <w:rFonts w:hint="eastAsia" w:ascii="宋体" w:hAnsi="宋体" w:cs="仿宋"/>
          <w:color w:val="auto"/>
          <w:sz w:val="32"/>
          <w:szCs w:val="32"/>
          <w:highlight w:val="none"/>
        </w:rPr>
        <w:t>承包人：</w:t>
      </w:r>
      <w:r>
        <w:rPr>
          <w:rFonts w:hint="eastAsia" w:ascii="宋体" w:hAnsi="宋体" w:cs="仿宋"/>
          <w:color w:val="auto"/>
          <w:sz w:val="32"/>
          <w:szCs w:val="32"/>
          <w:highlight w:val="none"/>
          <w:u w:val="single"/>
        </w:rPr>
        <w:t xml:space="preserve">                                   </w:t>
      </w:r>
    </w:p>
    <w:p>
      <w:pPr>
        <w:spacing w:line="360" w:lineRule="auto"/>
        <w:ind w:left="3255" w:leftChars="203" w:hanging="2829" w:hangingChars="943"/>
        <w:rPr>
          <w:rFonts w:ascii="宋体"/>
          <w:color w:val="auto"/>
          <w:sz w:val="30"/>
          <w:szCs w:val="30"/>
          <w:highlight w:val="none"/>
          <w:u w:val="single"/>
        </w:rPr>
      </w:pPr>
    </w:p>
    <w:p>
      <w:pPr>
        <w:spacing w:line="360" w:lineRule="auto"/>
        <w:ind w:firstLine="900" w:firstLineChars="300"/>
        <w:rPr>
          <w:rFonts w:ascii="宋体"/>
          <w:color w:val="auto"/>
          <w:sz w:val="30"/>
          <w:szCs w:val="30"/>
          <w:highlight w:val="none"/>
          <w:u w:val="single"/>
        </w:rPr>
      </w:pPr>
    </w:p>
    <w:p>
      <w:pPr>
        <w:spacing w:line="240" w:lineRule="atLeast"/>
        <w:jc w:val="center"/>
        <w:rPr>
          <w:rFonts w:ascii="宋体"/>
          <w:b/>
          <w:bCs/>
          <w:color w:val="auto"/>
          <w:spacing w:val="50"/>
          <w:sz w:val="32"/>
          <w:szCs w:val="32"/>
          <w:highlight w:val="none"/>
        </w:rPr>
      </w:pPr>
      <w:r>
        <w:rPr>
          <w:rFonts w:hint="eastAsia" w:ascii="宋体" w:hAnsi="宋体" w:cs="宋体"/>
          <w:b/>
          <w:bCs/>
          <w:color w:val="auto"/>
          <w:spacing w:val="50"/>
          <w:sz w:val="32"/>
          <w:szCs w:val="32"/>
          <w:highlight w:val="none"/>
        </w:rPr>
        <w:t>广州市住房和城乡建设局</w:t>
      </w:r>
    </w:p>
    <w:p>
      <w:pPr>
        <w:spacing w:line="240" w:lineRule="atLeast"/>
        <w:jc w:val="center"/>
        <w:rPr>
          <w:rFonts w:ascii="宋体"/>
          <w:b/>
          <w:bCs/>
          <w:color w:val="auto"/>
          <w:spacing w:val="20"/>
          <w:sz w:val="32"/>
          <w:szCs w:val="32"/>
          <w:highlight w:val="none"/>
        </w:rPr>
      </w:pPr>
      <w:r>
        <w:rPr>
          <w:rFonts w:hint="eastAsia" w:ascii="宋体" w:hAnsi="宋体" w:cs="宋体"/>
          <w:b/>
          <w:bCs/>
          <w:color w:val="auto"/>
          <w:spacing w:val="20"/>
          <w:sz w:val="32"/>
          <w:szCs w:val="32"/>
          <w:highlight w:val="none"/>
        </w:rPr>
        <w:t>制定</w:t>
      </w:r>
    </w:p>
    <w:p>
      <w:pPr>
        <w:spacing w:line="240" w:lineRule="atLeast"/>
        <w:ind w:firstLine="1869" w:firstLineChars="400"/>
        <w:rPr>
          <w:rFonts w:ascii="宋体"/>
          <w:b/>
          <w:bCs/>
          <w:color w:val="auto"/>
          <w:spacing w:val="73"/>
          <w:sz w:val="32"/>
          <w:szCs w:val="32"/>
          <w:highlight w:val="none"/>
        </w:rPr>
      </w:pPr>
      <w:r>
        <w:rPr>
          <w:rFonts w:hint="eastAsia" w:ascii="宋体" w:hAnsi="宋体" w:cs="宋体"/>
          <w:b/>
          <w:bCs/>
          <w:color w:val="auto"/>
          <w:spacing w:val="73"/>
          <w:sz w:val="32"/>
          <w:szCs w:val="32"/>
          <w:highlight w:val="none"/>
        </w:rPr>
        <w:t>广州市市场监督管理局</w:t>
      </w:r>
    </w:p>
    <w:p>
      <w:pPr>
        <w:spacing w:line="240" w:lineRule="atLeast"/>
        <w:jc w:val="center"/>
        <w:rPr>
          <w:rFonts w:ascii="宋体"/>
          <w:b/>
          <w:bCs/>
          <w:color w:val="auto"/>
          <w:spacing w:val="20"/>
          <w:sz w:val="32"/>
          <w:szCs w:val="32"/>
          <w:highlight w:val="none"/>
        </w:rPr>
      </w:pPr>
    </w:p>
    <w:p>
      <w:pPr>
        <w:spacing w:line="240" w:lineRule="atLeast"/>
        <w:jc w:val="center"/>
        <w:rPr>
          <w:rFonts w:ascii="宋体"/>
          <w:color w:val="auto"/>
          <w:sz w:val="32"/>
          <w:szCs w:val="32"/>
          <w:highlight w:val="none"/>
          <w:u w:val="single"/>
        </w:rPr>
      </w:pPr>
    </w:p>
    <w:p>
      <w:pPr>
        <w:widowControl/>
        <w:spacing w:line="360" w:lineRule="auto"/>
        <w:jc w:val="left"/>
        <w:rPr>
          <w:rFonts w:ascii="宋体"/>
          <w:b/>
          <w:bCs/>
          <w:color w:val="auto"/>
          <w:spacing w:val="80"/>
          <w:kern w:val="0"/>
          <w:sz w:val="36"/>
          <w:szCs w:val="36"/>
          <w:highlight w:val="none"/>
        </w:rPr>
        <w:sectPr>
          <w:footerReference r:id="rId15" w:type="default"/>
          <w:footerReference r:id="rId16" w:type="even"/>
          <w:endnotePr>
            <w:numFmt w:val="decimal"/>
          </w:endnotePr>
          <w:pgSz w:w="11906" w:h="16838"/>
          <w:pgMar w:top="1440" w:right="1800" w:bottom="1440" w:left="1800" w:header="0" w:footer="850" w:gutter="0"/>
          <w:pgNumType w:fmt="decimal"/>
          <w:cols w:space="720" w:num="1"/>
          <w:docGrid w:linePitch="286" w:charSpace="0"/>
        </w:sectPr>
      </w:pPr>
    </w:p>
    <w:p>
      <w:pPr>
        <w:pStyle w:val="29"/>
        <w:spacing w:before="120" w:after="120"/>
        <w:jc w:val="center"/>
        <w:rPr>
          <w:rFonts w:cs="宋体"/>
          <w:color w:val="auto"/>
          <w:sz w:val="36"/>
          <w:szCs w:val="36"/>
          <w:highlight w:val="none"/>
        </w:rPr>
      </w:pPr>
      <w:bookmarkStart w:id="41" w:name="_Toc18985581"/>
      <w:bookmarkStart w:id="42" w:name="_Toc18985535"/>
      <w:bookmarkStart w:id="43" w:name="_Toc18985701"/>
      <w:bookmarkStart w:id="44" w:name="_Toc18984943"/>
      <w:r>
        <w:rPr>
          <w:rFonts w:cs="宋体"/>
          <w:color w:val="auto"/>
          <w:sz w:val="36"/>
          <w:szCs w:val="36"/>
          <w:highlight w:val="none"/>
        </w:rPr>
        <w:br w:type="page"/>
      </w:r>
    </w:p>
    <w:p>
      <w:pPr>
        <w:pStyle w:val="29"/>
        <w:spacing w:before="120" w:after="120"/>
        <w:jc w:val="center"/>
        <w:rPr>
          <w:color w:val="auto"/>
          <w:sz w:val="36"/>
          <w:szCs w:val="36"/>
          <w:highlight w:val="none"/>
        </w:rPr>
      </w:pPr>
      <w:r>
        <w:rPr>
          <w:rFonts w:hint="eastAsia" w:cs="宋体"/>
          <w:color w:val="auto"/>
          <w:sz w:val="36"/>
          <w:szCs w:val="36"/>
          <w:highlight w:val="none"/>
        </w:rPr>
        <w:t>目录</w:t>
      </w:r>
    </w:p>
    <w:p>
      <w:pPr>
        <w:pStyle w:val="29"/>
        <w:tabs>
          <w:tab w:val="right" w:leader="dot" w:pos="10194"/>
        </w:tabs>
        <w:spacing w:before="120" w:after="120"/>
        <w:rPr>
          <w:rFonts w:ascii="等线" w:hAnsi="等线" w:eastAsia="等线"/>
          <w:b/>
          <w:bCs/>
          <w:caps/>
          <w:color w:val="auto"/>
          <w:highlight w:val="none"/>
        </w:rPr>
      </w:pPr>
      <w:r>
        <w:rPr>
          <w:caps/>
          <w:color w:val="auto"/>
          <w:kern w:val="0"/>
          <w:sz w:val="24"/>
          <w:szCs w:val="32"/>
          <w:highlight w:val="none"/>
        </w:rPr>
        <w:fldChar w:fldCharType="begin"/>
      </w:r>
      <w:r>
        <w:rPr>
          <w:color w:val="auto"/>
          <w:highlight w:val="none"/>
        </w:rPr>
        <w:instrText xml:space="preserve"> TOC \o "1-3" \h \z \u </w:instrText>
      </w:r>
      <w:r>
        <w:rPr>
          <w:caps/>
          <w:color w:val="auto"/>
          <w:kern w:val="0"/>
          <w:sz w:val="24"/>
          <w:szCs w:val="32"/>
          <w:highlight w:val="none"/>
        </w:rPr>
        <w:fldChar w:fldCharType="separate"/>
      </w:r>
      <w:r>
        <w:rPr>
          <w:color w:val="auto"/>
          <w:highlight w:val="none"/>
        </w:rPr>
        <w:fldChar w:fldCharType="begin"/>
      </w:r>
      <w:r>
        <w:rPr>
          <w:color w:val="auto"/>
          <w:highlight w:val="none"/>
        </w:rPr>
        <w:instrText xml:space="preserve"> HYPERLINK \l "_Toc25653593" </w:instrText>
      </w:r>
      <w:r>
        <w:rPr>
          <w:color w:val="auto"/>
          <w:highlight w:val="none"/>
        </w:rPr>
        <w:fldChar w:fldCharType="separate"/>
      </w:r>
      <w:r>
        <w:rPr>
          <w:rStyle w:val="50"/>
          <w:rFonts w:hint="eastAsia" w:cs="宋体"/>
          <w:color w:val="auto"/>
          <w:highlight w:val="none"/>
        </w:rPr>
        <w:t>第一部分</w:t>
      </w:r>
      <w:r>
        <w:rPr>
          <w:rStyle w:val="50"/>
          <w:rFonts w:cs="宋体"/>
          <w:color w:val="auto"/>
          <w:highlight w:val="none"/>
        </w:rPr>
        <w:t xml:space="preserve">  </w:t>
      </w:r>
      <w:r>
        <w:rPr>
          <w:rStyle w:val="50"/>
          <w:rFonts w:hint="eastAsia" w:cs="宋体"/>
          <w:color w:val="auto"/>
          <w:highlight w:val="none"/>
        </w:rPr>
        <w:t>协</w:t>
      </w:r>
      <w:r>
        <w:rPr>
          <w:rStyle w:val="50"/>
          <w:rFonts w:cs="宋体"/>
          <w:color w:val="auto"/>
          <w:highlight w:val="none"/>
        </w:rPr>
        <w:t xml:space="preserve">  </w:t>
      </w:r>
      <w:r>
        <w:rPr>
          <w:rStyle w:val="50"/>
          <w:rFonts w:hint="eastAsia" w:cs="宋体"/>
          <w:color w:val="auto"/>
          <w:highlight w:val="none"/>
        </w:rPr>
        <w:t>议</w:t>
      </w:r>
      <w:r>
        <w:rPr>
          <w:rStyle w:val="50"/>
          <w:rFonts w:cs="宋体"/>
          <w:color w:val="auto"/>
          <w:highlight w:val="none"/>
        </w:rPr>
        <w:t xml:space="preserve">  </w:t>
      </w:r>
      <w:r>
        <w:rPr>
          <w:rStyle w:val="50"/>
          <w:rFonts w:hint="eastAsia" w:cs="宋体"/>
          <w:color w:val="auto"/>
          <w:highlight w:val="none"/>
        </w:rPr>
        <w:t>书</w:t>
      </w:r>
      <w:r>
        <w:rPr>
          <w:rStyle w:val="50"/>
          <w:rFonts w:hint="eastAsia" w:cs="宋体"/>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"_Toc25653594" </w:instrText>
      </w:r>
      <w:r>
        <w:rPr>
          <w:color w:val="auto"/>
          <w:highlight w:val="none"/>
        </w:rPr>
        <w:fldChar w:fldCharType="separate"/>
      </w:r>
      <w:r>
        <w:rPr>
          <w:rStyle w:val="50"/>
          <w:rFonts w:ascii="仿宋" w:hAnsi="仿宋" w:eastAsia="仿宋" w:cs="仿宋"/>
          <w:b/>
          <w:bCs/>
          <w:color w:val="auto"/>
          <w:highlight w:val="none"/>
        </w:rPr>
        <w:t>一、工程概况</w:t>
      </w:r>
      <w:r>
        <w:rPr>
          <w:rStyle w:val="50"/>
          <w:rFonts w:ascii="仿宋" w:hAnsi="仿宋" w:eastAsia="仿宋" w:cs="仿宋"/>
          <w:b/>
          <w:bCs/>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"_Toc25653595" </w:instrText>
      </w:r>
      <w:r>
        <w:rPr>
          <w:color w:val="auto"/>
          <w:highlight w:val="none"/>
        </w:rPr>
        <w:fldChar w:fldCharType="separate"/>
      </w:r>
      <w:r>
        <w:rPr>
          <w:rStyle w:val="50"/>
          <w:rFonts w:ascii="仿宋" w:hAnsi="仿宋" w:eastAsia="仿宋" w:cs="仿宋"/>
          <w:b/>
          <w:bCs/>
          <w:color w:val="auto"/>
          <w:highlight w:val="none"/>
        </w:rPr>
        <w:t>二、工程内容与承包范围</w:t>
      </w:r>
      <w:r>
        <w:rPr>
          <w:rStyle w:val="50"/>
          <w:rFonts w:ascii="仿宋" w:hAnsi="仿宋" w:eastAsia="仿宋" w:cs="仿宋"/>
          <w:b/>
          <w:bCs/>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"_Toc25653596" </w:instrText>
      </w:r>
      <w:r>
        <w:rPr>
          <w:color w:val="auto"/>
          <w:highlight w:val="none"/>
        </w:rPr>
        <w:fldChar w:fldCharType="separate"/>
      </w:r>
      <w:r>
        <w:rPr>
          <w:rStyle w:val="50"/>
          <w:rFonts w:ascii="仿宋" w:hAnsi="仿宋" w:eastAsia="仿宋" w:cs="仿宋"/>
          <w:b/>
          <w:bCs/>
          <w:color w:val="auto"/>
          <w:highlight w:val="none"/>
        </w:rPr>
        <w:t>三、合同工期</w:t>
      </w:r>
      <w:r>
        <w:rPr>
          <w:rStyle w:val="50"/>
          <w:rFonts w:ascii="仿宋" w:hAnsi="仿宋" w:eastAsia="仿宋" w:cs="仿宋"/>
          <w:b/>
          <w:bCs/>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"_Toc25653597" </w:instrText>
      </w:r>
      <w:r>
        <w:rPr>
          <w:color w:val="auto"/>
          <w:highlight w:val="none"/>
        </w:rPr>
        <w:fldChar w:fldCharType="separate"/>
      </w:r>
      <w:r>
        <w:rPr>
          <w:rStyle w:val="50"/>
          <w:rFonts w:ascii="仿宋" w:hAnsi="仿宋" w:eastAsia="仿宋" w:cs="仿宋"/>
          <w:b/>
          <w:bCs/>
          <w:color w:val="auto"/>
          <w:highlight w:val="none"/>
        </w:rPr>
        <w:t>★四、质量标准</w:t>
      </w:r>
      <w:r>
        <w:rPr>
          <w:rStyle w:val="50"/>
          <w:rFonts w:ascii="仿宋" w:hAnsi="仿宋" w:eastAsia="仿宋" w:cs="仿宋"/>
          <w:b/>
          <w:bCs/>
          <w:color w:val="auto"/>
          <w:highlight w:val="none"/>
        </w:rPr>
        <w:fldChar w:fldCharType="end"/>
      </w:r>
    </w:p>
    <w:p>
      <w:pPr>
        <w:pStyle w:val="33"/>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"_Toc25653598" </w:instrText>
      </w:r>
      <w:r>
        <w:rPr>
          <w:color w:val="auto"/>
          <w:highlight w:val="none"/>
        </w:rPr>
        <w:fldChar w:fldCharType="separate"/>
      </w:r>
      <w:r>
        <w:rPr>
          <w:rStyle w:val="50"/>
          <w:rFonts w:ascii="仿宋" w:hAnsi="仿宋" w:eastAsia="仿宋" w:cs="仿宋"/>
          <w:b/>
          <w:bCs/>
          <w:color w:val="auto"/>
          <w:highlight w:val="none"/>
        </w:rPr>
        <w:t>五、合同价款</w:t>
      </w:r>
      <w:r>
        <w:rPr>
          <w:rStyle w:val="50"/>
          <w:rFonts w:ascii="仿宋" w:hAnsi="仿宋" w:eastAsia="仿宋" w:cs="仿宋"/>
          <w:b/>
          <w:bCs/>
          <w:color w:val="auto"/>
          <w:highlight w:val="none"/>
        </w:rPr>
        <w:fldChar w:fldCharType="end"/>
      </w:r>
    </w:p>
    <w:p>
      <w:pPr>
        <w:spacing w:line="360" w:lineRule="auto"/>
        <w:ind w:firstLine="482" w:firstLineChars="200"/>
        <w:rPr>
          <w:color w:val="auto"/>
          <w:highlight w:val="none"/>
        </w:rPr>
      </w:pPr>
      <w:r>
        <w:rPr>
          <w:rFonts w:hint="eastAsia" w:ascii="仿宋" w:hAnsi="仿宋" w:eastAsia="仿宋" w:cs="仿宋"/>
          <w:b/>
          <w:bCs/>
          <w:color w:val="auto"/>
          <w:sz w:val="24"/>
          <w:szCs w:val="24"/>
          <w:highlight w:val="none"/>
        </w:rPr>
        <w:t>★六、</w:t>
      </w:r>
      <w:r>
        <w:rPr>
          <w:rFonts w:hint="eastAsia" w:ascii="仿宋" w:hAnsi="仿宋" w:eastAsia="仿宋" w:cs="仿宋"/>
          <w:b/>
          <w:bCs/>
          <w:color w:val="auto"/>
          <w:kern w:val="0"/>
          <w:sz w:val="24"/>
          <w:szCs w:val="24"/>
          <w:highlight w:val="none"/>
        </w:rPr>
        <w:t>工人工资支付分账</w:t>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"_Toc25653599" </w:instrText>
      </w:r>
      <w:r>
        <w:rPr>
          <w:color w:val="auto"/>
          <w:highlight w:val="none"/>
        </w:rPr>
        <w:fldChar w:fldCharType="separate"/>
      </w:r>
      <w:r>
        <w:rPr>
          <w:rStyle w:val="50"/>
          <w:rFonts w:ascii="仿宋" w:hAnsi="仿宋" w:eastAsia="仿宋" w:cs="仿宋"/>
          <w:b/>
          <w:bCs/>
          <w:color w:val="auto"/>
          <w:highlight w:val="none"/>
        </w:rPr>
        <w:t>七、组成合同的文件</w:t>
      </w:r>
      <w:r>
        <w:rPr>
          <w:rStyle w:val="50"/>
          <w:rFonts w:ascii="仿宋" w:hAnsi="仿宋" w:eastAsia="仿宋" w:cs="仿宋"/>
          <w:b/>
          <w:bCs/>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"_Toc25653600" </w:instrText>
      </w:r>
      <w:r>
        <w:rPr>
          <w:color w:val="auto"/>
          <w:highlight w:val="none"/>
        </w:rPr>
        <w:fldChar w:fldCharType="separate"/>
      </w:r>
      <w:r>
        <w:rPr>
          <w:rStyle w:val="50"/>
          <w:rFonts w:ascii="仿宋" w:hAnsi="仿宋" w:eastAsia="仿宋" w:cs="仿宋"/>
          <w:b/>
          <w:bCs/>
          <w:color w:val="auto"/>
          <w:highlight w:val="none"/>
        </w:rPr>
        <w:t>八、词语含义</w:t>
      </w:r>
      <w:r>
        <w:rPr>
          <w:rStyle w:val="50"/>
          <w:rFonts w:ascii="仿宋" w:hAnsi="仿宋" w:eastAsia="仿宋" w:cs="仿宋"/>
          <w:b/>
          <w:bCs/>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"_Toc25653601" </w:instrText>
      </w:r>
      <w:r>
        <w:rPr>
          <w:color w:val="auto"/>
          <w:highlight w:val="none"/>
        </w:rPr>
        <w:fldChar w:fldCharType="separate"/>
      </w:r>
      <w:r>
        <w:rPr>
          <w:rStyle w:val="50"/>
          <w:rFonts w:ascii="仿宋" w:hAnsi="仿宋" w:eastAsia="仿宋" w:cs="仿宋"/>
          <w:b/>
          <w:bCs/>
          <w:color w:val="auto"/>
          <w:highlight w:val="none"/>
        </w:rPr>
        <w:t>九、承包人承诺</w:t>
      </w:r>
      <w:r>
        <w:rPr>
          <w:rStyle w:val="50"/>
          <w:rFonts w:ascii="仿宋" w:hAnsi="仿宋" w:eastAsia="仿宋" w:cs="仿宋"/>
          <w:b/>
          <w:bCs/>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"_Toc25653602" </w:instrText>
      </w:r>
      <w:r>
        <w:rPr>
          <w:color w:val="auto"/>
          <w:highlight w:val="none"/>
        </w:rPr>
        <w:fldChar w:fldCharType="separate"/>
      </w:r>
      <w:r>
        <w:rPr>
          <w:rStyle w:val="50"/>
          <w:rFonts w:ascii="仿宋" w:hAnsi="仿宋" w:eastAsia="仿宋" w:cs="仿宋"/>
          <w:b/>
          <w:bCs/>
          <w:color w:val="auto"/>
          <w:highlight w:val="none"/>
        </w:rPr>
        <w:t>十、发包人承诺</w:t>
      </w:r>
      <w:r>
        <w:rPr>
          <w:rStyle w:val="50"/>
          <w:rFonts w:ascii="仿宋" w:hAnsi="仿宋" w:eastAsia="仿宋" w:cs="仿宋"/>
          <w:b/>
          <w:bCs/>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"_Toc25653603" </w:instrText>
      </w:r>
      <w:r>
        <w:rPr>
          <w:color w:val="auto"/>
          <w:highlight w:val="none"/>
        </w:rPr>
        <w:fldChar w:fldCharType="separate"/>
      </w:r>
      <w:r>
        <w:rPr>
          <w:rStyle w:val="50"/>
          <w:rFonts w:ascii="仿宋" w:hAnsi="仿宋" w:eastAsia="仿宋" w:cs="仿宋"/>
          <w:b/>
          <w:bCs/>
          <w:color w:val="auto"/>
          <w:highlight w:val="none"/>
        </w:rPr>
        <w:t>十一、合同生效</w:t>
      </w:r>
      <w:r>
        <w:rPr>
          <w:rStyle w:val="50"/>
          <w:rFonts w:ascii="仿宋" w:hAnsi="仿宋" w:eastAsia="仿宋" w:cs="仿宋"/>
          <w:b/>
          <w:bCs/>
          <w:color w:val="auto"/>
          <w:highlight w:val="none"/>
        </w:rPr>
        <w:fldChar w:fldCharType="end"/>
      </w:r>
    </w:p>
    <w:p>
      <w:pPr>
        <w:pStyle w:val="29"/>
        <w:tabs>
          <w:tab w:val="right" w:leader="dot" w:pos="10194"/>
        </w:tabs>
        <w:spacing w:before="120" w:after="120"/>
        <w:rPr>
          <w:rFonts w:ascii="等线" w:hAnsi="等线" w:eastAsia="等线"/>
          <w:b/>
          <w:bCs/>
          <w:caps/>
          <w:color w:val="auto"/>
          <w:highlight w:val="none"/>
        </w:rPr>
      </w:pPr>
      <w:r>
        <w:rPr>
          <w:color w:val="auto"/>
          <w:highlight w:val="none"/>
        </w:rPr>
        <w:fldChar w:fldCharType="begin"/>
      </w:r>
      <w:r>
        <w:rPr>
          <w:color w:val="auto"/>
          <w:highlight w:val="none"/>
        </w:rPr>
        <w:instrText xml:space="preserve"> HYPERLINK \l "_Toc25653604" </w:instrText>
      </w:r>
      <w:r>
        <w:rPr>
          <w:color w:val="auto"/>
          <w:highlight w:val="none"/>
        </w:rPr>
        <w:fldChar w:fldCharType="separate"/>
      </w:r>
      <w:r>
        <w:rPr>
          <w:rStyle w:val="50"/>
          <w:rFonts w:hint="eastAsia" w:cs="宋体"/>
          <w:color w:val="auto"/>
          <w:highlight w:val="none"/>
        </w:rPr>
        <w:t>第二部分</w:t>
      </w:r>
      <w:r>
        <w:rPr>
          <w:rStyle w:val="50"/>
          <w:rFonts w:cs="宋体"/>
          <w:color w:val="auto"/>
          <w:highlight w:val="none"/>
        </w:rPr>
        <w:t xml:space="preserve">  </w:t>
      </w:r>
      <w:r>
        <w:rPr>
          <w:rStyle w:val="50"/>
          <w:rFonts w:hint="eastAsia" w:cs="宋体"/>
          <w:color w:val="auto"/>
          <w:highlight w:val="none"/>
        </w:rPr>
        <w:t>通用条款</w:t>
      </w:r>
      <w:r>
        <w:rPr>
          <w:rStyle w:val="50"/>
          <w:rFonts w:hint="eastAsia" w:cs="宋体"/>
          <w:color w:val="auto"/>
          <w:highlight w:val="none"/>
        </w:rPr>
        <w:fldChar w:fldCharType="end"/>
      </w:r>
    </w:p>
    <w:p>
      <w:pPr>
        <w:pStyle w:val="33"/>
        <w:tabs>
          <w:tab w:val="right" w:leader="dot" w:pos="10194"/>
        </w:tabs>
        <w:rPr>
          <w:rFonts w:ascii="等线" w:hAnsi="等线" w:eastAsia="等线"/>
          <w:smallCaps/>
          <w:color w:val="auto"/>
          <w:highlight w:val="none"/>
        </w:rPr>
      </w:pPr>
      <w:r>
        <w:rPr>
          <w:color w:val="auto"/>
          <w:highlight w:val="none"/>
        </w:rPr>
        <w:fldChar w:fldCharType="begin"/>
      </w:r>
      <w:r>
        <w:rPr>
          <w:color w:val="auto"/>
          <w:highlight w:val="none"/>
        </w:rPr>
        <w:instrText xml:space="preserve"> HYPERLINK \l "_Toc25653605" </w:instrText>
      </w:r>
      <w:r>
        <w:rPr>
          <w:color w:val="auto"/>
          <w:highlight w:val="none"/>
        </w:rPr>
        <w:fldChar w:fldCharType="separate"/>
      </w:r>
      <w:r>
        <w:rPr>
          <w:rStyle w:val="50"/>
          <w:rFonts w:hAnsi="宋体"/>
          <w:b/>
          <w:bCs/>
          <w:color w:val="auto"/>
          <w:highlight w:val="none"/>
        </w:rPr>
        <w:t>一、总  则</w:t>
      </w:r>
      <w:r>
        <w:rPr>
          <w:rStyle w:val="50"/>
          <w:rFonts w:hAnsi="宋体"/>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"_Toc25653606" </w:instrText>
      </w:r>
      <w:r>
        <w:rPr>
          <w:color w:val="auto"/>
          <w:highlight w:val="none"/>
        </w:rPr>
        <w:fldChar w:fldCharType="separate"/>
      </w:r>
      <w:r>
        <w:rPr>
          <w:rStyle w:val="50"/>
          <w:rFonts w:ascii="仿宋" w:hAnsi="仿宋" w:eastAsia="仿宋" w:cs="仿宋"/>
          <w:b/>
          <w:bCs/>
          <w:color w:val="auto"/>
          <w:highlight w:val="none"/>
        </w:rPr>
        <w:t>1  定义</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"_Toc25653607" </w:instrText>
      </w:r>
      <w:r>
        <w:rPr>
          <w:color w:val="auto"/>
          <w:highlight w:val="none"/>
        </w:rPr>
        <w:fldChar w:fldCharType="separate"/>
      </w:r>
      <w:r>
        <w:rPr>
          <w:rStyle w:val="50"/>
          <w:rFonts w:ascii="仿宋" w:hAnsi="仿宋" w:eastAsia="仿宋" w:cs="仿宋"/>
          <w:b/>
          <w:bCs/>
          <w:color w:val="auto"/>
          <w:highlight w:val="none"/>
        </w:rPr>
        <w:t>2  合同文件及解释</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"_Toc25653608" </w:instrText>
      </w:r>
      <w:r>
        <w:rPr>
          <w:color w:val="auto"/>
          <w:highlight w:val="none"/>
        </w:rPr>
        <w:fldChar w:fldCharType="separate"/>
      </w:r>
      <w:r>
        <w:rPr>
          <w:rStyle w:val="50"/>
          <w:rFonts w:ascii="仿宋" w:hAnsi="仿宋" w:eastAsia="仿宋" w:cs="仿宋"/>
          <w:b/>
          <w:bCs/>
          <w:color w:val="auto"/>
          <w:highlight w:val="none"/>
        </w:rPr>
        <w:t>3  阅读、理解与接受</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"_Toc25653609" </w:instrText>
      </w:r>
      <w:r>
        <w:rPr>
          <w:color w:val="auto"/>
          <w:highlight w:val="none"/>
        </w:rPr>
        <w:fldChar w:fldCharType="separate"/>
      </w:r>
      <w:r>
        <w:rPr>
          <w:rStyle w:val="50"/>
          <w:rFonts w:ascii="仿宋" w:hAnsi="仿宋" w:eastAsia="仿宋" w:cs="仿宋"/>
          <w:b/>
          <w:bCs/>
          <w:color w:val="auto"/>
          <w:highlight w:val="none"/>
        </w:rPr>
        <w:t>4  语言及适用的法律、标准与规范</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"_Toc25653610" </w:instrText>
      </w:r>
      <w:r>
        <w:rPr>
          <w:color w:val="auto"/>
          <w:highlight w:val="none"/>
        </w:rPr>
        <w:fldChar w:fldCharType="separate"/>
      </w:r>
      <w:r>
        <w:rPr>
          <w:rStyle w:val="50"/>
          <w:rFonts w:ascii="仿宋" w:hAnsi="仿宋" w:eastAsia="仿宋" w:cs="仿宋"/>
          <w:b/>
          <w:bCs/>
          <w:color w:val="auto"/>
          <w:highlight w:val="none"/>
        </w:rPr>
        <w:t>5  施工设计图纸</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"_Toc25653611" </w:instrText>
      </w:r>
      <w:r>
        <w:rPr>
          <w:color w:val="auto"/>
          <w:highlight w:val="none"/>
        </w:rPr>
        <w:fldChar w:fldCharType="separate"/>
      </w:r>
      <w:r>
        <w:rPr>
          <w:rStyle w:val="50"/>
          <w:rFonts w:ascii="仿宋" w:hAnsi="仿宋" w:eastAsia="仿宋" w:cs="仿宋"/>
          <w:b/>
          <w:bCs/>
          <w:color w:val="auto"/>
          <w:highlight w:val="none"/>
        </w:rPr>
        <w:t>6  通讯联络</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"_Toc25653612" </w:instrText>
      </w:r>
      <w:r>
        <w:rPr>
          <w:color w:val="auto"/>
          <w:highlight w:val="none"/>
        </w:rPr>
        <w:fldChar w:fldCharType="separate"/>
      </w:r>
      <w:r>
        <w:rPr>
          <w:rStyle w:val="50"/>
          <w:rFonts w:ascii="仿宋" w:hAnsi="仿宋" w:eastAsia="仿宋" w:cs="仿宋"/>
          <w:b/>
          <w:bCs/>
          <w:color w:val="auto"/>
          <w:highlight w:val="none"/>
        </w:rPr>
        <w:t>7  工程分包</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"_Toc25653613" </w:instrText>
      </w:r>
      <w:r>
        <w:rPr>
          <w:color w:val="auto"/>
          <w:highlight w:val="none"/>
        </w:rPr>
        <w:fldChar w:fldCharType="separate"/>
      </w:r>
      <w:r>
        <w:rPr>
          <w:rStyle w:val="50"/>
          <w:rFonts w:ascii="仿宋" w:hAnsi="仿宋" w:eastAsia="仿宋" w:cs="仿宋"/>
          <w:b/>
          <w:bCs/>
          <w:color w:val="auto"/>
          <w:highlight w:val="none"/>
        </w:rPr>
        <w:t>8  现场查勘</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"_Toc25653614" </w:instrText>
      </w:r>
      <w:r>
        <w:rPr>
          <w:color w:val="auto"/>
          <w:highlight w:val="none"/>
        </w:rPr>
        <w:fldChar w:fldCharType="separate"/>
      </w:r>
      <w:r>
        <w:rPr>
          <w:rStyle w:val="50"/>
          <w:rFonts w:ascii="仿宋" w:hAnsi="仿宋" w:eastAsia="仿宋" w:cs="仿宋"/>
          <w:b/>
          <w:bCs/>
          <w:color w:val="auto"/>
          <w:highlight w:val="none"/>
        </w:rPr>
        <w:t>9  招标错失的修正</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"_Toc25653615" </w:instrText>
      </w:r>
      <w:r>
        <w:rPr>
          <w:color w:val="auto"/>
          <w:highlight w:val="none"/>
        </w:rPr>
        <w:fldChar w:fldCharType="separate"/>
      </w:r>
      <w:r>
        <w:rPr>
          <w:rStyle w:val="50"/>
          <w:rFonts w:ascii="仿宋" w:hAnsi="仿宋" w:eastAsia="仿宋" w:cs="仿宋"/>
          <w:b/>
          <w:bCs/>
          <w:color w:val="auto"/>
          <w:highlight w:val="none"/>
        </w:rPr>
        <w:t>10  投标文件的完备性</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"_Toc25653616" </w:instrText>
      </w:r>
      <w:r>
        <w:rPr>
          <w:color w:val="auto"/>
          <w:highlight w:val="none"/>
        </w:rPr>
        <w:fldChar w:fldCharType="separate"/>
      </w:r>
      <w:r>
        <w:rPr>
          <w:rStyle w:val="50"/>
          <w:rFonts w:ascii="仿宋" w:hAnsi="仿宋" w:eastAsia="仿宋" w:cs="仿宋"/>
          <w:b/>
          <w:bCs/>
          <w:color w:val="auto"/>
          <w:highlight w:val="none"/>
        </w:rPr>
        <w:t>11  文物和地下障碍物</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"_Toc25653617" </w:instrText>
      </w:r>
      <w:r>
        <w:rPr>
          <w:color w:val="auto"/>
          <w:highlight w:val="none"/>
        </w:rPr>
        <w:fldChar w:fldCharType="separate"/>
      </w:r>
      <w:r>
        <w:rPr>
          <w:rStyle w:val="50"/>
          <w:rFonts w:ascii="仿宋" w:hAnsi="仿宋" w:eastAsia="仿宋" w:cs="仿宋"/>
          <w:b/>
          <w:bCs/>
          <w:color w:val="auto"/>
          <w:highlight w:val="none"/>
        </w:rPr>
        <w:t>12  事故处理</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"_Toc25653618" </w:instrText>
      </w:r>
      <w:r>
        <w:rPr>
          <w:color w:val="auto"/>
          <w:highlight w:val="none"/>
        </w:rPr>
        <w:fldChar w:fldCharType="separate"/>
      </w:r>
      <w:r>
        <w:rPr>
          <w:rStyle w:val="50"/>
          <w:rFonts w:ascii="仿宋" w:hAnsi="仿宋" w:eastAsia="仿宋" w:cs="仿宋"/>
          <w:b/>
          <w:bCs/>
          <w:color w:val="auto"/>
          <w:highlight w:val="none"/>
        </w:rPr>
        <w:t>13  交通运输</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"_Toc25653619" </w:instrText>
      </w:r>
      <w:r>
        <w:rPr>
          <w:color w:val="auto"/>
          <w:highlight w:val="none"/>
        </w:rPr>
        <w:fldChar w:fldCharType="separate"/>
      </w:r>
      <w:r>
        <w:rPr>
          <w:rStyle w:val="50"/>
          <w:rFonts w:ascii="仿宋" w:hAnsi="仿宋" w:eastAsia="仿宋" w:cs="仿宋"/>
          <w:b/>
          <w:bCs/>
          <w:color w:val="auto"/>
          <w:highlight w:val="none"/>
        </w:rPr>
        <w:t>14  专项批准事件的签认</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"_Toc25653620" </w:instrText>
      </w:r>
      <w:r>
        <w:rPr>
          <w:color w:val="auto"/>
          <w:highlight w:val="none"/>
        </w:rPr>
        <w:fldChar w:fldCharType="separate"/>
      </w:r>
      <w:r>
        <w:rPr>
          <w:rStyle w:val="50"/>
          <w:rFonts w:ascii="仿宋" w:hAnsi="仿宋" w:eastAsia="仿宋" w:cs="仿宋"/>
          <w:b/>
          <w:bCs/>
          <w:color w:val="auto"/>
          <w:highlight w:val="none"/>
        </w:rPr>
        <w:t>15  专利技术</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"_Toc25653621" </w:instrText>
      </w:r>
      <w:r>
        <w:rPr>
          <w:color w:val="auto"/>
          <w:highlight w:val="none"/>
        </w:rPr>
        <w:fldChar w:fldCharType="separate"/>
      </w:r>
      <w:r>
        <w:rPr>
          <w:rStyle w:val="50"/>
          <w:rFonts w:ascii="仿宋" w:hAnsi="仿宋" w:eastAsia="仿宋" w:cs="仿宋"/>
          <w:b/>
          <w:bCs/>
          <w:color w:val="auto"/>
          <w:highlight w:val="none"/>
        </w:rPr>
        <w:t>16  联合的责任</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"_Toc25653622" </w:instrText>
      </w:r>
      <w:r>
        <w:rPr>
          <w:color w:val="auto"/>
          <w:highlight w:val="none"/>
        </w:rPr>
        <w:fldChar w:fldCharType="separate"/>
      </w:r>
      <w:r>
        <w:rPr>
          <w:rStyle w:val="50"/>
          <w:rFonts w:ascii="仿宋" w:hAnsi="仿宋" w:eastAsia="仿宋" w:cs="仿宋"/>
          <w:b/>
          <w:bCs/>
          <w:color w:val="auto"/>
          <w:highlight w:val="none"/>
        </w:rPr>
        <w:t>17  保障</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"_Toc25653623" </w:instrText>
      </w:r>
      <w:r>
        <w:rPr>
          <w:color w:val="auto"/>
          <w:highlight w:val="none"/>
        </w:rPr>
        <w:fldChar w:fldCharType="separate"/>
      </w:r>
      <w:r>
        <w:rPr>
          <w:rStyle w:val="50"/>
          <w:rFonts w:ascii="仿宋" w:hAnsi="仿宋" w:eastAsia="仿宋" w:cs="仿宋"/>
          <w:b/>
          <w:bCs/>
          <w:color w:val="auto"/>
          <w:highlight w:val="none"/>
        </w:rPr>
        <w:t>18  财产</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"_Toc25653624" </w:instrText>
      </w:r>
      <w:r>
        <w:rPr>
          <w:color w:val="auto"/>
          <w:highlight w:val="none"/>
        </w:rPr>
        <w:fldChar w:fldCharType="separate"/>
      </w:r>
      <w:r>
        <w:rPr>
          <w:rStyle w:val="50"/>
          <w:rFonts w:ascii="仿宋" w:hAnsi="仿宋" w:eastAsia="仿宋" w:cs="仿宋"/>
          <w:b/>
          <w:bCs/>
          <w:color w:val="auto"/>
          <w:highlight w:val="none"/>
        </w:rPr>
        <w:t>二、合同主体</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"_Toc25653625" </w:instrText>
      </w:r>
      <w:r>
        <w:rPr>
          <w:color w:val="auto"/>
          <w:highlight w:val="none"/>
        </w:rPr>
        <w:fldChar w:fldCharType="separate"/>
      </w:r>
      <w:r>
        <w:rPr>
          <w:rStyle w:val="50"/>
          <w:rFonts w:ascii="仿宋" w:hAnsi="仿宋" w:eastAsia="仿宋" w:cs="仿宋"/>
          <w:b/>
          <w:bCs/>
          <w:color w:val="auto"/>
          <w:highlight w:val="none"/>
        </w:rPr>
        <w:t>19  发包人</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"_Toc25653626" </w:instrText>
      </w:r>
      <w:r>
        <w:rPr>
          <w:color w:val="auto"/>
          <w:highlight w:val="none"/>
        </w:rPr>
        <w:fldChar w:fldCharType="separate"/>
      </w:r>
      <w:r>
        <w:rPr>
          <w:rStyle w:val="50"/>
          <w:rFonts w:ascii="仿宋" w:hAnsi="仿宋" w:eastAsia="仿宋" w:cs="仿宋"/>
          <w:b/>
          <w:bCs/>
          <w:color w:val="auto"/>
          <w:highlight w:val="none"/>
        </w:rPr>
        <w:t>20  承包人</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"_Toc25653627" </w:instrText>
      </w:r>
      <w:r>
        <w:rPr>
          <w:color w:val="auto"/>
          <w:highlight w:val="none"/>
        </w:rPr>
        <w:fldChar w:fldCharType="separate"/>
      </w:r>
      <w:r>
        <w:rPr>
          <w:rStyle w:val="50"/>
          <w:rFonts w:ascii="仿宋" w:hAnsi="仿宋" w:eastAsia="仿宋" w:cs="仿宋"/>
          <w:b/>
          <w:bCs/>
          <w:color w:val="auto"/>
          <w:highlight w:val="none"/>
        </w:rPr>
        <w:t>21  现场管理人员任命和更换</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"_Toc25653628" </w:instrText>
      </w:r>
      <w:r>
        <w:rPr>
          <w:color w:val="auto"/>
          <w:highlight w:val="none"/>
        </w:rPr>
        <w:fldChar w:fldCharType="separate"/>
      </w:r>
      <w:r>
        <w:rPr>
          <w:rStyle w:val="50"/>
          <w:rFonts w:ascii="仿宋" w:hAnsi="仿宋" w:eastAsia="仿宋" w:cs="仿宋"/>
          <w:b/>
          <w:bCs/>
          <w:color w:val="auto"/>
          <w:highlight w:val="none"/>
        </w:rPr>
        <w:t>22  发包人代表</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"_Toc25653629" </w:instrText>
      </w:r>
      <w:r>
        <w:rPr>
          <w:color w:val="auto"/>
          <w:highlight w:val="none"/>
        </w:rPr>
        <w:fldChar w:fldCharType="separate"/>
      </w:r>
      <w:r>
        <w:rPr>
          <w:rStyle w:val="50"/>
          <w:rFonts w:ascii="仿宋" w:hAnsi="仿宋" w:eastAsia="仿宋" w:cs="仿宋"/>
          <w:b/>
          <w:bCs/>
          <w:color w:val="auto"/>
          <w:highlight w:val="none"/>
        </w:rPr>
        <w:t>23  监理工程师</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"_Toc25653630" </w:instrText>
      </w:r>
      <w:r>
        <w:rPr>
          <w:color w:val="auto"/>
          <w:highlight w:val="none"/>
        </w:rPr>
        <w:fldChar w:fldCharType="separate"/>
      </w:r>
      <w:r>
        <w:rPr>
          <w:rStyle w:val="50"/>
          <w:rFonts w:ascii="仿宋" w:hAnsi="仿宋" w:eastAsia="仿宋" w:cs="仿宋"/>
          <w:b/>
          <w:bCs/>
          <w:color w:val="auto"/>
          <w:highlight w:val="none"/>
        </w:rPr>
        <w:t>24  造价工程师</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"_Toc25653631" </w:instrText>
      </w:r>
      <w:r>
        <w:rPr>
          <w:color w:val="auto"/>
          <w:highlight w:val="none"/>
        </w:rPr>
        <w:fldChar w:fldCharType="separate"/>
      </w:r>
      <w:r>
        <w:rPr>
          <w:rStyle w:val="50"/>
          <w:rFonts w:ascii="仿宋" w:hAnsi="仿宋" w:eastAsia="仿宋" w:cs="仿宋"/>
          <w:b/>
          <w:bCs/>
          <w:color w:val="auto"/>
          <w:highlight w:val="none"/>
        </w:rPr>
        <w:t>25  承包人代表</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"_Toc25653632" </w:instrText>
      </w:r>
      <w:r>
        <w:rPr>
          <w:color w:val="auto"/>
          <w:highlight w:val="none"/>
        </w:rPr>
        <w:fldChar w:fldCharType="separate"/>
      </w:r>
      <w:r>
        <w:rPr>
          <w:rStyle w:val="50"/>
          <w:rFonts w:ascii="仿宋" w:hAnsi="仿宋" w:eastAsia="仿宋" w:cs="仿宋"/>
          <w:b/>
          <w:bCs/>
          <w:color w:val="auto"/>
          <w:highlight w:val="none"/>
        </w:rPr>
        <w:t>26  指定分包人</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"_Toc25653633" </w:instrText>
      </w:r>
      <w:r>
        <w:rPr>
          <w:color w:val="auto"/>
          <w:highlight w:val="none"/>
        </w:rPr>
        <w:fldChar w:fldCharType="separate"/>
      </w:r>
      <w:r>
        <w:rPr>
          <w:rStyle w:val="50"/>
          <w:rFonts w:ascii="仿宋" w:hAnsi="仿宋" w:eastAsia="仿宋" w:cs="仿宋"/>
          <w:b/>
          <w:bCs/>
          <w:color w:val="auto"/>
          <w:highlight w:val="none"/>
        </w:rPr>
        <w:t>27  承包人劳务</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"_Toc25653634" </w:instrText>
      </w:r>
      <w:r>
        <w:rPr>
          <w:color w:val="auto"/>
          <w:highlight w:val="none"/>
        </w:rPr>
        <w:fldChar w:fldCharType="separate"/>
      </w:r>
      <w:r>
        <w:rPr>
          <w:rStyle w:val="50"/>
          <w:rFonts w:ascii="仿宋" w:hAnsi="仿宋" w:eastAsia="仿宋" w:cs="仿宋"/>
          <w:b/>
          <w:bCs/>
          <w:color w:val="auto"/>
          <w:highlight w:val="none"/>
        </w:rPr>
        <w:t>三、担保、保险与风险</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"_Toc25653635" </w:instrText>
      </w:r>
      <w:r>
        <w:rPr>
          <w:color w:val="auto"/>
          <w:highlight w:val="none"/>
        </w:rPr>
        <w:fldChar w:fldCharType="separate"/>
      </w:r>
      <w:r>
        <w:rPr>
          <w:rStyle w:val="50"/>
          <w:rFonts w:ascii="仿宋" w:hAnsi="仿宋" w:eastAsia="仿宋" w:cs="仿宋"/>
          <w:b/>
          <w:bCs/>
          <w:color w:val="auto"/>
          <w:highlight w:val="none"/>
        </w:rPr>
        <w:t>28  工程担保</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"_Toc25653636" </w:instrText>
      </w:r>
      <w:r>
        <w:rPr>
          <w:color w:val="auto"/>
          <w:highlight w:val="none"/>
        </w:rPr>
        <w:fldChar w:fldCharType="separate"/>
      </w:r>
      <w:r>
        <w:rPr>
          <w:rStyle w:val="50"/>
          <w:rFonts w:ascii="仿宋" w:hAnsi="仿宋" w:eastAsia="仿宋" w:cs="仿宋"/>
          <w:b/>
          <w:bCs/>
          <w:color w:val="auto"/>
          <w:highlight w:val="none"/>
        </w:rPr>
        <w:t>29  发包人风险</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"_Toc25653637" </w:instrText>
      </w:r>
      <w:r>
        <w:rPr>
          <w:color w:val="auto"/>
          <w:highlight w:val="none"/>
        </w:rPr>
        <w:fldChar w:fldCharType="separate"/>
      </w:r>
      <w:r>
        <w:rPr>
          <w:rStyle w:val="50"/>
          <w:rFonts w:ascii="仿宋" w:hAnsi="仿宋" w:eastAsia="仿宋" w:cs="仿宋"/>
          <w:b/>
          <w:bCs/>
          <w:color w:val="auto"/>
          <w:highlight w:val="none"/>
        </w:rPr>
        <w:t>30  承包人风险</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"_Toc25653638" </w:instrText>
      </w:r>
      <w:r>
        <w:rPr>
          <w:color w:val="auto"/>
          <w:highlight w:val="none"/>
        </w:rPr>
        <w:fldChar w:fldCharType="separate"/>
      </w:r>
      <w:r>
        <w:rPr>
          <w:rStyle w:val="50"/>
          <w:rFonts w:ascii="仿宋" w:hAnsi="仿宋" w:eastAsia="仿宋" w:cs="仿宋"/>
          <w:b/>
          <w:bCs/>
          <w:color w:val="auto"/>
          <w:highlight w:val="none"/>
        </w:rPr>
        <w:t>31  不可抗力</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"_Toc25653639" </w:instrText>
      </w:r>
      <w:r>
        <w:rPr>
          <w:color w:val="auto"/>
          <w:highlight w:val="none"/>
        </w:rPr>
        <w:fldChar w:fldCharType="separate"/>
      </w:r>
      <w:r>
        <w:rPr>
          <w:rStyle w:val="50"/>
          <w:rFonts w:ascii="仿宋" w:hAnsi="仿宋" w:eastAsia="仿宋" w:cs="仿宋"/>
          <w:b/>
          <w:bCs/>
          <w:color w:val="auto"/>
          <w:highlight w:val="none"/>
        </w:rPr>
        <w:t>32  保险</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"_Toc25653640" </w:instrText>
      </w:r>
      <w:r>
        <w:rPr>
          <w:color w:val="auto"/>
          <w:highlight w:val="none"/>
        </w:rPr>
        <w:fldChar w:fldCharType="separate"/>
      </w:r>
      <w:r>
        <w:rPr>
          <w:rStyle w:val="50"/>
          <w:rFonts w:ascii="仿宋" w:hAnsi="仿宋" w:eastAsia="仿宋" w:cs="仿宋"/>
          <w:b/>
          <w:bCs/>
          <w:color w:val="auto"/>
          <w:highlight w:val="none"/>
        </w:rPr>
        <w:t>四、工  期</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"_Toc25653641" </w:instrText>
      </w:r>
      <w:r>
        <w:rPr>
          <w:color w:val="auto"/>
          <w:highlight w:val="none"/>
        </w:rPr>
        <w:fldChar w:fldCharType="separate"/>
      </w:r>
      <w:r>
        <w:rPr>
          <w:rStyle w:val="50"/>
          <w:rFonts w:ascii="仿宋" w:hAnsi="仿宋" w:eastAsia="仿宋" w:cs="仿宋"/>
          <w:b/>
          <w:bCs/>
          <w:color w:val="auto"/>
          <w:highlight w:val="none"/>
        </w:rPr>
        <w:t>33  进度计划和报告</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"_Toc25653642" </w:instrText>
      </w:r>
      <w:r>
        <w:rPr>
          <w:color w:val="auto"/>
          <w:highlight w:val="none"/>
        </w:rPr>
        <w:fldChar w:fldCharType="separate"/>
      </w:r>
      <w:r>
        <w:rPr>
          <w:rStyle w:val="50"/>
          <w:rFonts w:ascii="仿宋" w:hAnsi="仿宋" w:eastAsia="仿宋" w:cs="仿宋"/>
          <w:b/>
          <w:bCs/>
          <w:color w:val="auto"/>
          <w:highlight w:val="none"/>
        </w:rPr>
        <w:t>34  开工</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"_Toc25653643" </w:instrText>
      </w:r>
      <w:r>
        <w:rPr>
          <w:color w:val="auto"/>
          <w:highlight w:val="none"/>
        </w:rPr>
        <w:fldChar w:fldCharType="separate"/>
      </w:r>
      <w:r>
        <w:rPr>
          <w:rStyle w:val="50"/>
          <w:rFonts w:ascii="仿宋" w:hAnsi="仿宋" w:eastAsia="仿宋" w:cs="仿宋"/>
          <w:b/>
          <w:bCs/>
          <w:color w:val="auto"/>
          <w:highlight w:val="none"/>
        </w:rPr>
        <w:t>35  暂停施工和复工</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"_Toc25653644" </w:instrText>
      </w:r>
      <w:r>
        <w:rPr>
          <w:color w:val="auto"/>
          <w:highlight w:val="none"/>
        </w:rPr>
        <w:fldChar w:fldCharType="separate"/>
      </w:r>
      <w:r>
        <w:rPr>
          <w:rStyle w:val="50"/>
          <w:rFonts w:ascii="仿宋" w:hAnsi="仿宋" w:eastAsia="仿宋" w:cs="仿宋"/>
          <w:b/>
          <w:bCs/>
          <w:color w:val="auto"/>
          <w:highlight w:val="none"/>
        </w:rPr>
        <w:t>36  工期和工期延误</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"_Toc25653645" </w:instrText>
      </w:r>
      <w:r>
        <w:rPr>
          <w:color w:val="auto"/>
          <w:highlight w:val="none"/>
        </w:rPr>
        <w:fldChar w:fldCharType="separate"/>
      </w:r>
      <w:r>
        <w:rPr>
          <w:rStyle w:val="50"/>
          <w:rFonts w:ascii="仿宋" w:hAnsi="仿宋" w:eastAsia="仿宋" w:cs="仿宋"/>
          <w:b/>
          <w:bCs/>
          <w:color w:val="auto"/>
          <w:highlight w:val="none"/>
        </w:rPr>
        <w:t>37  加快进度</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"_Toc25653646" </w:instrText>
      </w:r>
      <w:r>
        <w:rPr>
          <w:color w:val="auto"/>
          <w:highlight w:val="none"/>
        </w:rPr>
        <w:fldChar w:fldCharType="separate"/>
      </w:r>
      <w:r>
        <w:rPr>
          <w:rStyle w:val="50"/>
          <w:rFonts w:ascii="仿宋" w:hAnsi="仿宋" w:eastAsia="仿宋" w:cs="仿宋"/>
          <w:b/>
          <w:bCs/>
          <w:color w:val="auto"/>
          <w:highlight w:val="none"/>
        </w:rPr>
        <w:t>38  竣工日期</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"_Toc25653647" </w:instrText>
      </w:r>
      <w:r>
        <w:rPr>
          <w:color w:val="auto"/>
          <w:highlight w:val="none"/>
        </w:rPr>
        <w:fldChar w:fldCharType="separate"/>
      </w:r>
      <w:r>
        <w:rPr>
          <w:rStyle w:val="50"/>
          <w:rFonts w:ascii="仿宋" w:hAnsi="仿宋" w:eastAsia="仿宋" w:cs="仿宋"/>
          <w:b/>
          <w:bCs/>
          <w:color w:val="auto"/>
          <w:highlight w:val="none"/>
        </w:rPr>
        <w:t>39  提前竣工</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"_Toc25653648" </w:instrText>
      </w:r>
      <w:r>
        <w:rPr>
          <w:color w:val="auto"/>
          <w:highlight w:val="none"/>
        </w:rPr>
        <w:fldChar w:fldCharType="separate"/>
      </w:r>
      <w:r>
        <w:rPr>
          <w:rStyle w:val="50"/>
          <w:rFonts w:ascii="仿宋" w:hAnsi="仿宋" w:eastAsia="仿宋" w:cs="仿宋"/>
          <w:b/>
          <w:bCs/>
          <w:color w:val="auto"/>
          <w:highlight w:val="none"/>
        </w:rPr>
        <w:t>40  误期赔偿</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"_Toc25653649" </w:instrText>
      </w:r>
      <w:r>
        <w:rPr>
          <w:color w:val="auto"/>
          <w:highlight w:val="none"/>
        </w:rPr>
        <w:fldChar w:fldCharType="separate"/>
      </w:r>
      <w:r>
        <w:rPr>
          <w:rStyle w:val="50"/>
          <w:rFonts w:ascii="仿宋" w:hAnsi="仿宋" w:eastAsia="仿宋" w:cs="仿宋"/>
          <w:b/>
          <w:bCs/>
          <w:color w:val="auto"/>
          <w:highlight w:val="none"/>
        </w:rPr>
        <w:t>五、质量与安全</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"_Toc25653650" </w:instrText>
      </w:r>
      <w:r>
        <w:rPr>
          <w:color w:val="auto"/>
          <w:highlight w:val="none"/>
        </w:rPr>
        <w:fldChar w:fldCharType="separate"/>
      </w:r>
      <w:r>
        <w:rPr>
          <w:rStyle w:val="50"/>
          <w:rFonts w:ascii="仿宋" w:hAnsi="仿宋" w:eastAsia="仿宋" w:cs="仿宋"/>
          <w:b/>
          <w:bCs/>
          <w:color w:val="auto"/>
          <w:highlight w:val="none"/>
        </w:rPr>
        <w:t>★41  质量与安全管理</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"_Toc25653651" </w:instrText>
      </w:r>
      <w:r>
        <w:rPr>
          <w:color w:val="auto"/>
          <w:highlight w:val="none"/>
        </w:rPr>
        <w:fldChar w:fldCharType="separate"/>
      </w:r>
      <w:r>
        <w:rPr>
          <w:rStyle w:val="50"/>
          <w:rFonts w:ascii="仿宋" w:hAnsi="仿宋" w:eastAsia="仿宋" w:cs="仿宋"/>
          <w:b/>
          <w:bCs/>
          <w:color w:val="auto"/>
          <w:highlight w:val="none"/>
        </w:rPr>
        <w:t>★42  质量标准</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"_Toc25653652" </w:instrText>
      </w:r>
      <w:r>
        <w:rPr>
          <w:color w:val="auto"/>
          <w:highlight w:val="none"/>
        </w:rPr>
        <w:fldChar w:fldCharType="separate"/>
      </w:r>
      <w:r>
        <w:rPr>
          <w:rStyle w:val="50"/>
          <w:rFonts w:ascii="仿宋" w:hAnsi="仿宋" w:eastAsia="仿宋" w:cs="仿宋"/>
          <w:b/>
          <w:bCs/>
          <w:color w:val="auto"/>
          <w:highlight w:val="none"/>
        </w:rPr>
        <w:t>★43  工程质量创优</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"_Toc25653653" </w:instrText>
      </w:r>
      <w:r>
        <w:rPr>
          <w:color w:val="auto"/>
          <w:highlight w:val="none"/>
        </w:rPr>
        <w:fldChar w:fldCharType="separate"/>
      </w:r>
      <w:r>
        <w:rPr>
          <w:rStyle w:val="50"/>
          <w:rFonts w:ascii="仿宋" w:hAnsi="仿宋" w:eastAsia="仿宋" w:cs="仿宋"/>
          <w:b/>
          <w:bCs/>
          <w:color w:val="auto"/>
          <w:highlight w:val="none"/>
        </w:rPr>
        <w:t>44  工程的照管</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"_Toc25653654" </w:instrText>
      </w:r>
      <w:r>
        <w:rPr>
          <w:color w:val="auto"/>
          <w:highlight w:val="none"/>
        </w:rPr>
        <w:fldChar w:fldCharType="separate"/>
      </w:r>
      <w:r>
        <w:rPr>
          <w:rStyle w:val="50"/>
          <w:rFonts w:ascii="仿宋" w:hAnsi="仿宋" w:eastAsia="仿宋" w:cs="仿宋"/>
          <w:b/>
          <w:bCs/>
          <w:color w:val="auto"/>
          <w:highlight w:val="none"/>
        </w:rPr>
        <w:t>★45  绿色施工安全防护</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"_Toc25653655" </w:instrText>
      </w:r>
      <w:r>
        <w:rPr>
          <w:color w:val="auto"/>
          <w:highlight w:val="none"/>
        </w:rPr>
        <w:fldChar w:fldCharType="separate"/>
      </w:r>
      <w:r>
        <w:rPr>
          <w:rStyle w:val="50"/>
          <w:rFonts w:ascii="仿宋" w:hAnsi="仿宋" w:eastAsia="仿宋" w:cs="仿宋"/>
          <w:b/>
          <w:bCs/>
          <w:color w:val="auto"/>
          <w:highlight w:val="none"/>
        </w:rPr>
        <w:t>46  测量放线</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"_Toc25653656" </w:instrText>
      </w:r>
      <w:r>
        <w:rPr>
          <w:color w:val="auto"/>
          <w:highlight w:val="none"/>
        </w:rPr>
        <w:fldChar w:fldCharType="separate"/>
      </w:r>
      <w:r>
        <w:rPr>
          <w:rStyle w:val="50"/>
          <w:rFonts w:ascii="仿宋" w:hAnsi="仿宋" w:eastAsia="仿宋" w:cs="仿宋"/>
          <w:b/>
          <w:bCs/>
          <w:color w:val="auto"/>
          <w:highlight w:val="none"/>
        </w:rPr>
        <w:t>47  钻孔与勘探性开挖</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"_Toc25653657" </w:instrText>
      </w:r>
      <w:r>
        <w:rPr>
          <w:color w:val="auto"/>
          <w:highlight w:val="none"/>
        </w:rPr>
        <w:fldChar w:fldCharType="separate"/>
      </w:r>
      <w:r>
        <w:rPr>
          <w:rStyle w:val="50"/>
          <w:rFonts w:ascii="仿宋" w:hAnsi="仿宋" w:eastAsia="仿宋" w:cs="仿宋"/>
          <w:b/>
          <w:bCs/>
          <w:color w:val="auto"/>
          <w:highlight w:val="none"/>
        </w:rPr>
        <w:t>48  发包人供应材料和工程设备</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"_Toc25653658" </w:instrText>
      </w:r>
      <w:r>
        <w:rPr>
          <w:color w:val="auto"/>
          <w:highlight w:val="none"/>
        </w:rPr>
        <w:fldChar w:fldCharType="separate"/>
      </w:r>
      <w:r>
        <w:rPr>
          <w:rStyle w:val="50"/>
          <w:rFonts w:ascii="仿宋" w:hAnsi="仿宋" w:eastAsia="仿宋" w:cs="仿宋"/>
          <w:b/>
          <w:bCs/>
          <w:color w:val="auto"/>
          <w:highlight w:val="none"/>
        </w:rPr>
        <w:t>49  承包人采购材料和工程设备</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"_Toc25653659" </w:instrText>
      </w:r>
      <w:r>
        <w:rPr>
          <w:color w:val="auto"/>
          <w:highlight w:val="none"/>
        </w:rPr>
        <w:fldChar w:fldCharType="separate"/>
      </w:r>
      <w:r>
        <w:rPr>
          <w:rStyle w:val="50"/>
          <w:rFonts w:ascii="仿宋" w:hAnsi="仿宋" w:eastAsia="仿宋" w:cs="仿宋"/>
          <w:b/>
          <w:bCs/>
          <w:color w:val="auto"/>
          <w:highlight w:val="none"/>
        </w:rPr>
        <w:t>50  材料和工程设备的检验试验</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"_Toc25653660" </w:instrText>
      </w:r>
      <w:r>
        <w:rPr>
          <w:color w:val="auto"/>
          <w:highlight w:val="none"/>
        </w:rPr>
        <w:fldChar w:fldCharType="separate"/>
      </w:r>
      <w:r>
        <w:rPr>
          <w:rStyle w:val="50"/>
          <w:rFonts w:ascii="仿宋" w:hAnsi="仿宋" w:eastAsia="仿宋" w:cs="仿宋"/>
          <w:b/>
          <w:bCs/>
          <w:color w:val="auto"/>
          <w:highlight w:val="none"/>
        </w:rPr>
        <w:t>51  施工设备和临时设施</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"_Toc25653661" </w:instrText>
      </w:r>
      <w:r>
        <w:rPr>
          <w:color w:val="auto"/>
          <w:highlight w:val="none"/>
        </w:rPr>
        <w:fldChar w:fldCharType="separate"/>
      </w:r>
      <w:r>
        <w:rPr>
          <w:rStyle w:val="50"/>
          <w:rFonts w:ascii="仿宋" w:hAnsi="仿宋" w:eastAsia="仿宋" w:cs="仿宋"/>
          <w:b/>
          <w:bCs/>
          <w:color w:val="auto"/>
          <w:highlight w:val="none"/>
        </w:rPr>
        <w:t>★52  工程质量检查</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"_Toc25653662" </w:instrText>
      </w:r>
      <w:r>
        <w:rPr>
          <w:color w:val="auto"/>
          <w:highlight w:val="none"/>
        </w:rPr>
        <w:fldChar w:fldCharType="separate"/>
      </w:r>
      <w:r>
        <w:rPr>
          <w:rStyle w:val="50"/>
          <w:rFonts w:ascii="仿宋" w:hAnsi="仿宋" w:eastAsia="仿宋" w:cs="仿宋"/>
          <w:b/>
          <w:bCs/>
          <w:color w:val="auto"/>
          <w:highlight w:val="none"/>
        </w:rPr>
        <w:t>★53  隐蔽工程和中间验收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"_Toc25653663" </w:instrText>
      </w:r>
      <w:r>
        <w:rPr>
          <w:color w:val="auto"/>
          <w:highlight w:val="none"/>
        </w:rPr>
        <w:fldChar w:fldCharType="separate"/>
      </w:r>
      <w:r>
        <w:rPr>
          <w:rStyle w:val="50"/>
          <w:rFonts w:ascii="仿宋" w:hAnsi="仿宋" w:eastAsia="仿宋" w:cs="仿宋"/>
          <w:b/>
          <w:bCs/>
          <w:color w:val="auto"/>
          <w:highlight w:val="none"/>
        </w:rPr>
        <w:t>★54  重新验收和额外检查检验</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"_Toc25653664" </w:instrText>
      </w:r>
      <w:r>
        <w:rPr>
          <w:color w:val="auto"/>
          <w:highlight w:val="none"/>
        </w:rPr>
        <w:fldChar w:fldCharType="separate"/>
      </w:r>
      <w:r>
        <w:rPr>
          <w:rStyle w:val="50"/>
          <w:rFonts w:ascii="仿宋" w:hAnsi="仿宋" w:eastAsia="仿宋" w:cs="仿宋"/>
          <w:b/>
          <w:bCs/>
          <w:color w:val="auto"/>
          <w:highlight w:val="none"/>
        </w:rPr>
        <w:t>55  工程试车</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"_Toc25653665" </w:instrText>
      </w:r>
      <w:r>
        <w:rPr>
          <w:color w:val="auto"/>
          <w:highlight w:val="none"/>
        </w:rPr>
        <w:fldChar w:fldCharType="separate"/>
      </w:r>
      <w:r>
        <w:rPr>
          <w:rStyle w:val="50"/>
          <w:rFonts w:ascii="仿宋" w:hAnsi="仿宋" w:eastAsia="仿宋" w:cs="仿宋"/>
          <w:b/>
          <w:bCs/>
          <w:color w:val="auto"/>
          <w:highlight w:val="none"/>
        </w:rPr>
        <w:t>★56  工程变更</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"_Toc25653666" </w:instrText>
      </w:r>
      <w:r>
        <w:rPr>
          <w:color w:val="auto"/>
          <w:highlight w:val="none"/>
        </w:rPr>
        <w:fldChar w:fldCharType="separate"/>
      </w:r>
      <w:r>
        <w:rPr>
          <w:rStyle w:val="50"/>
          <w:rFonts w:ascii="仿宋" w:hAnsi="仿宋" w:eastAsia="仿宋" w:cs="仿宋"/>
          <w:b/>
          <w:bCs/>
          <w:color w:val="auto"/>
          <w:highlight w:val="none"/>
        </w:rPr>
        <w:t>57  竣工验收条件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"_Toc25653667" </w:instrText>
      </w:r>
      <w:r>
        <w:rPr>
          <w:color w:val="auto"/>
          <w:highlight w:val="none"/>
        </w:rPr>
        <w:fldChar w:fldCharType="separate"/>
      </w:r>
      <w:r>
        <w:rPr>
          <w:rStyle w:val="50"/>
          <w:rFonts w:ascii="仿宋" w:hAnsi="仿宋" w:eastAsia="仿宋" w:cs="仿宋"/>
          <w:b/>
          <w:bCs/>
          <w:color w:val="auto"/>
          <w:highlight w:val="none"/>
        </w:rPr>
        <w:t>58  竣工验收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"_Toc25653668" </w:instrText>
      </w:r>
      <w:r>
        <w:rPr>
          <w:color w:val="auto"/>
          <w:highlight w:val="none"/>
        </w:rPr>
        <w:fldChar w:fldCharType="separate"/>
      </w:r>
      <w:r>
        <w:rPr>
          <w:rStyle w:val="50"/>
          <w:rFonts w:ascii="仿宋" w:hAnsi="仿宋" w:eastAsia="仿宋" w:cs="仿宋"/>
          <w:b/>
          <w:bCs/>
          <w:color w:val="auto"/>
          <w:highlight w:val="none"/>
        </w:rPr>
        <w:t>59  缺陷责任与质量保修</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"_Toc25653669" </w:instrText>
      </w:r>
      <w:r>
        <w:rPr>
          <w:color w:val="auto"/>
          <w:highlight w:val="none"/>
        </w:rPr>
        <w:fldChar w:fldCharType="separate"/>
      </w:r>
      <w:r>
        <w:rPr>
          <w:rStyle w:val="50"/>
          <w:rFonts w:ascii="仿宋" w:hAnsi="仿宋" w:eastAsia="仿宋" w:cs="仿宋"/>
          <w:b/>
          <w:bCs/>
          <w:color w:val="auto"/>
          <w:highlight w:val="none"/>
        </w:rPr>
        <w:t>六、造  价</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"_Toc25653670" </w:instrText>
      </w:r>
      <w:r>
        <w:rPr>
          <w:color w:val="auto"/>
          <w:highlight w:val="none"/>
        </w:rPr>
        <w:fldChar w:fldCharType="separate"/>
      </w:r>
      <w:r>
        <w:rPr>
          <w:rStyle w:val="50"/>
          <w:rFonts w:ascii="仿宋" w:hAnsi="仿宋" w:eastAsia="仿宋" w:cs="仿宋"/>
          <w:b/>
          <w:bCs/>
          <w:color w:val="auto"/>
          <w:highlight w:val="none"/>
        </w:rPr>
        <w:t>60  资金计划和安排</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"_Toc25653671" </w:instrText>
      </w:r>
      <w:r>
        <w:rPr>
          <w:color w:val="auto"/>
          <w:highlight w:val="none"/>
        </w:rPr>
        <w:fldChar w:fldCharType="separate"/>
      </w:r>
      <w:r>
        <w:rPr>
          <w:rStyle w:val="50"/>
          <w:rFonts w:ascii="仿宋" w:hAnsi="仿宋" w:eastAsia="仿宋" w:cs="仿宋"/>
          <w:b/>
          <w:bCs/>
          <w:color w:val="auto"/>
          <w:highlight w:val="none"/>
        </w:rPr>
        <w:t>★61  工程量</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"_Toc25653672" </w:instrText>
      </w:r>
      <w:r>
        <w:rPr>
          <w:color w:val="auto"/>
          <w:highlight w:val="none"/>
        </w:rPr>
        <w:fldChar w:fldCharType="separate"/>
      </w:r>
      <w:r>
        <w:rPr>
          <w:rStyle w:val="50"/>
          <w:rFonts w:ascii="仿宋" w:hAnsi="仿宋" w:eastAsia="仿宋" w:cs="仿宋"/>
          <w:b/>
          <w:bCs/>
          <w:color w:val="auto"/>
          <w:highlight w:val="none"/>
        </w:rPr>
        <w:t>★62  工程计量和计价</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"_Toc25653673" </w:instrText>
      </w:r>
      <w:r>
        <w:rPr>
          <w:color w:val="auto"/>
          <w:highlight w:val="none"/>
        </w:rPr>
        <w:fldChar w:fldCharType="separate"/>
      </w:r>
      <w:r>
        <w:rPr>
          <w:rStyle w:val="50"/>
          <w:rFonts w:ascii="仿宋" w:hAnsi="仿宋" w:eastAsia="仿宋" w:cs="仿宋"/>
          <w:b/>
          <w:bCs/>
          <w:color w:val="auto"/>
          <w:highlight w:val="none"/>
        </w:rPr>
        <w:t>★63  暂列金额</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"_Toc25653674" </w:instrText>
      </w:r>
      <w:r>
        <w:rPr>
          <w:color w:val="auto"/>
          <w:highlight w:val="none"/>
        </w:rPr>
        <w:fldChar w:fldCharType="separate"/>
      </w:r>
      <w:r>
        <w:rPr>
          <w:rStyle w:val="50"/>
          <w:rFonts w:ascii="仿宋" w:hAnsi="仿宋" w:eastAsia="仿宋" w:cs="仿宋"/>
          <w:b/>
          <w:bCs/>
          <w:color w:val="auto"/>
          <w:highlight w:val="none"/>
        </w:rPr>
        <w:t>★64  计日工</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"_Toc25653675" </w:instrText>
      </w:r>
      <w:r>
        <w:rPr>
          <w:color w:val="auto"/>
          <w:highlight w:val="none"/>
        </w:rPr>
        <w:fldChar w:fldCharType="separate"/>
      </w:r>
      <w:r>
        <w:rPr>
          <w:rStyle w:val="50"/>
          <w:rFonts w:ascii="仿宋" w:hAnsi="仿宋" w:eastAsia="仿宋" w:cs="仿宋"/>
          <w:b/>
          <w:bCs/>
          <w:color w:val="auto"/>
          <w:highlight w:val="none"/>
        </w:rPr>
        <w:t>★65  暂估价</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"_Toc25653676" </w:instrText>
      </w:r>
      <w:r>
        <w:rPr>
          <w:color w:val="auto"/>
          <w:highlight w:val="none"/>
        </w:rPr>
        <w:fldChar w:fldCharType="separate"/>
      </w:r>
      <w:r>
        <w:rPr>
          <w:rStyle w:val="50"/>
          <w:rFonts w:ascii="仿宋" w:hAnsi="仿宋" w:eastAsia="仿宋" w:cs="仿宋"/>
          <w:b/>
          <w:bCs/>
          <w:color w:val="auto"/>
          <w:highlight w:val="none"/>
        </w:rPr>
        <w:t>★66  提前竣工奖与误期赔偿费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"_Toc25653677" </w:instrText>
      </w:r>
      <w:r>
        <w:rPr>
          <w:color w:val="auto"/>
          <w:highlight w:val="none"/>
        </w:rPr>
        <w:fldChar w:fldCharType="separate"/>
      </w:r>
      <w:r>
        <w:rPr>
          <w:rStyle w:val="50"/>
          <w:rFonts w:ascii="仿宋" w:hAnsi="仿宋" w:eastAsia="仿宋" w:cs="仿宋"/>
          <w:b/>
          <w:bCs/>
          <w:color w:val="auto"/>
          <w:highlight w:val="none"/>
        </w:rPr>
        <w:t>★67  工程优质费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"_Toc25653678" </w:instrText>
      </w:r>
      <w:r>
        <w:rPr>
          <w:color w:val="auto"/>
          <w:highlight w:val="none"/>
        </w:rPr>
        <w:fldChar w:fldCharType="separate"/>
      </w:r>
      <w:r>
        <w:rPr>
          <w:rStyle w:val="50"/>
          <w:rFonts w:ascii="仿宋" w:hAnsi="仿宋" w:eastAsia="仿宋" w:cs="仿宋"/>
          <w:b/>
          <w:bCs/>
          <w:color w:val="auto"/>
          <w:highlight w:val="none"/>
        </w:rPr>
        <w:t>★68  合同价款的约定与调整</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"_Toc25653679" </w:instrText>
      </w:r>
      <w:r>
        <w:rPr>
          <w:color w:val="auto"/>
          <w:highlight w:val="none"/>
        </w:rPr>
        <w:fldChar w:fldCharType="separate"/>
      </w:r>
      <w:r>
        <w:rPr>
          <w:rStyle w:val="50"/>
          <w:rFonts w:ascii="仿宋" w:hAnsi="仿宋" w:eastAsia="仿宋" w:cs="仿宋"/>
          <w:b/>
          <w:bCs/>
          <w:color w:val="auto"/>
          <w:highlight w:val="none"/>
        </w:rPr>
        <w:t>★69  后继法律变化事件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"_Toc25653680" </w:instrText>
      </w:r>
      <w:r>
        <w:rPr>
          <w:color w:val="auto"/>
          <w:highlight w:val="none"/>
        </w:rPr>
        <w:fldChar w:fldCharType="separate"/>
      </w:r>
      <w:r>
        <w:rPr>
          <w:rStyle w:val="50"/>
          <w:rFonts w:ascii="仿宋" w:hAnsi="仿宋" w:eastAsia="仿宋" w:cs="仿宋"/>
          <w:b/>
          <w:bCs/>
          <w:color w:val="auto"/>
          <w:highlight w:val="none"/>
        </w:rPr>
        <w:t>★70  项目特征描述不符事件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"_Toc25653681" </w:instrText>
      </w:r>
      <w:r>
        <w:rPr>
          <w:color w:val="auto"/>
          <w:highlight w:val="none"/>
        </w:rPr>
        <w:fldChar w:fldCharType="separate"/>
      </w:r>
      <w:r>
        <w:rPr>
          <w:rStyle w:val="50"/>
          <w:rFonts w:ascii="仿宋" w:hAnsi="仿宋" w:eastAsia="仿宋" w:cs="仿宋"/>
          <w:b/>
          <w:bCs/>
          <w:color w:val="auto"/>
          <w:highlight w:val="none"/>
        </w:rPr>
        <w:t>★71  分部分项工程量清单缺项漏项事件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"_Toc25653682" </w:instrText>
      </w:r>
      <w:r>
        <w:rPr>
          <w:color w:val="auto"/>
          <w:highlight w:val="none"/>
        </w:rPr>
        <w:fldChar w:fldCharType="separate"/>
      </w:r>
      <w:r>
        <w:rPr>
          <w:rStyle w:val="50"/>
          <w:rFonts w:ascii="仿宋" w:hAnsi="仿宋" w:eastAsia="仿宋" w:cs="仿宋"/>
          <w:b/>
          <w:bCs/>
          <w:color w:val="auto"/>
          <w:highlight w:val="none"/>
        </w:rPr>
        <w:t>★72  工程变更事件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"_Toc25653683" </w:instrText>
      </w:r>
      <w:r>
        <w:rPr>
          <w:color w:val="auto"/>
          <w:highlight w:val="none"/>
        </w:rPr>
        <w:fldChar w:fldCharType="separate"/>
      </w:r>
      <w:r>
        <w:rPr>
          <w:rStyle w:val="50"/>
          <w:rFonts w:ascii="仿宋" w:hAnsi="仿宋" w:eastAsia="仿宋" w:cs="仿宋"/>
          <w:b/>
          <w:bCs/>
          <w:color w:val="auto"/>
          <w:highlight w:val="none"/>
        </w:rPr>
        <w:t>★73  工程量偏差事件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"_Toc25653684" </w:instrText>
      </w:r>
      <w:r>
        <w:rPr>
          <w:color w:val="auto"/>
          <w:highlight w:val="none"/>
        </w:rPr>
        <w:fldChar w:fldCharType="separate"/>
      </w:r>
      <w:r>
        <w:rPr>
          <w:rStyle w:val="50"/>
          <w:rFonts w:ascii="仿宋" w:hAnsi="仿宋" w:eastAsia="仿宋" w:cs="仿宋"/>
          <w:b/>
          <w:bCs/>
          <w:color w:val="auto"/>
          <w:highlight w:val="none"/>
        </w:rPr>
        <w:t>★74  费用索赔事件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"_Toc25653685" </w:instrText>
      </w:r>
      <w:r>
        <w:rPr>
          <w:color w:val="auto"/>
          <w:highlight w:val="none"/>
        </w:rPr>
        <w:fldChar w:fldCharType="separate"/>
      </w:r>
      <w:r>
        <w:rPr>
          <w:rStyle w:val="50"/>
          <w:rFonts w:ascii="仿宋" w:hAnsi="仿宋" w:eastAsia="仿宋" w:cs="仿宋"/>
          <w:b/>
          <w:bCs/>
          <w:color w:val="auto"/>
          <w:highlight w:val="none"/>
        </w:rPr>
        <w:t>★75  现场签证事件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"_Toc25653686" </w:instrText>
      </w:r>
      <w:r>
        <w:rPr>
          <w:color w:val="auto"/>
          <w:highlight w:val="none"/>
        </w:rPr>
        <w:fldChar w:fldCharType="separate"/>
      </w:r>
      <w:r>
        <w:rPr>
          <w:rStyle w:val="50"/>
          <w:rFonts w:ascii="仿宋" w:hAnsi="仿宋" w:eastAsia="仿宋" w:cs="仿宋"/>
          <w:b/>
          <w:bCs/>
          <w:color w:val="auto"/>
          <w:highlight w:val="none"/>
        </w:rPr>
        <w:t>★76  物价涨落事件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"_Toc25653687" </w:instrText>
      </w:r>
      <w:r>
        <w:rPr>
          <w:color w:val="auto"/>
          <w:highlight w:val="none"/>
        </w:rPr>
        <w:fldChar w:fldCharType="separate"/>
      </w:r>
      <w:r>
        <w:rPr>
          <w:rStyle w:val="50"/>
          <w:rFonts w:ascii="仿宋" w:hAnsi="仿宋" w:eastAsia="仿宋" w:cs="仿宋"/>
          <w:b/>
          <w:bCs/>
          <w:color w:val="auto"/>
          <w:highlight w:val="none"/>
        </w:rPr>
        <w:t>★77  合同价款调整程序</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"_Toc25653688" </w:instrText>
      </w:r>
      <w:r>
        <w:rPr>
          <w:color w:val="auto"/>
          <w:highlight w:val="none"/>
        </w:rPr>
        <w:fldChar w:fldCharType="separate"/>
      </w:r>
      <w:r>
        <w:rPr>
          <w:rStyle w:val="50"/>
          <w:rFonts w:ascii="仿宋" w:hAnsi="仿宋" w:eastAsia="仿宋" w:cs="仿宋"/>
          <w:b/>
          <w:bCs/>
          <w:color w:val="auto"/>
          <w:highlight w:val="none"/>
        </w:rPr>
        <w:t>★78  支付事项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"_Toc25653689" </w:instrText>
      </w:r>
      <w:r>
        <w:rPr>
          <w:color w:val="auto"/>
          <w:highlight w:val="none"/>
        </w:rPr>
        <w:fldChar w:fldCharType="separate"/>
      </w:r>
      <w:r>
        <w:rPr>
          <w:rStyle w:val="50"/>
          <w:rFonts w:ascii="仿宋" w:hAnsi="仿宋" w:eastAsia="仿宋" w:cs="仿宋"/>
          <w:b/>
          <w:bCs/>
          <w:color w:val="auto"/>
          <w:highlight w:val="none"/>
        </w:rPr>
        <w:t>★79  预付款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"_Toc25653690" </w:instrText>
      </w:r>
      <w:r>
        <w:rPr>
          <w:color w:val="auto"/>
          <w:highlight w:val="none"/>
        </w:rPr>
        <w:fldChar w:fldCharType="separate"/>
      </w:r>
      <w:r>
        <w:rPr>
          <w:rStyle w:val="50"/>
          <w:rFonts w:ascii="仿宋" w:hAnsi="仿宋" w:eastAsia="仿宋" w:cs="仿宋"/>
          <w:b/>
          <w:bCs/>
          <w:color w:val="auto"/>
          <w:highlight w:val="none"/>
        </w:rPr>
        <w:t>★80  绿色施工安全防护费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"_Toc25653691" </w:instrText>
      </w:r>
      <w:r>
        <w:rPr>
          <w:color w:val="auto"/>
          <w:highlight w:val="none"/>
        </w:rPr>
        <w:fldChar w:fldCharType="separate"/>
      </w:r>
      <w:r>
        <w:rPr>
          <w:rStyle w:val="50"/>
          <w:rFonts w:ascii="仿宋" w:hAnsi="仿宋" w:eastAsia="仿宋" w:cs="仿宋"/>
          <w:b/>
          <w:bCs/>
          <w:color w:val="auto"/>
          <w:highlight w:val="none"/>
        </w:rPr>
        <w:t>★81  进度款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"_Toc25653692" </w:instrText>
      </w:r>
      <w:r>
        <w:rPr>
          <w:color w:val="auto"/>
          <w:highlight w:val="none"/>
        </w:rPr>
        <w:fldChar w:fldCharType="separate"/>
      </w:r>
      <w:r>
        <w:rPr>
          <w:rStyle w:val="50"/>
          <w:rFonts w:ascii="仿宋" w:hAnsi="仿宋" w:eastAsia="仿宋" w:cs="仿宋"/>
          <w:b/>
          <w:bCs/>
          <w:color w:val="auto"/>
          <w:highlight w:val="none"/>
        </w:rPr>
        <w:t>★82  竣工结算</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"_Toc25653693" </w:instrText>
      </w:r>
      <w:r>
        <w:rPr>
          <w:color w:val="auto"/>
          <w:highlight w:val="none"/>
        </w:rPr>
        <w:fldChar w:fldCharType="separate"/>
      </w:r>
      <w:r>
        <w:rPr>
          <w:rStyle w:val="50"/>
          <w:rFonts w:ascii="仿宋" w:hAnsi="仿宋" w:eastAsia="仿宋" w:cs="仿宋"/>
          <w:b/>
          <w:bCs/>
          <w:color w:val="auto"/>
          <w:highlight w:val="none"/>
        </w:rPr>
        <w:t>★83  结算款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"_Toc25653694" </w:instrText>
      </w:r>
      <w:r>
        <w:rPr>
          <w:color w:val="auto"/>
          <w:highlight w:val="none"/>
        </w:rPr>
        <w:fldChar w:fldCharType="separate"/>
      </w:r>
      <w:r>
        <w:rPr>
          <w:rStyle w:val="50"/>
          <w:rFonts w:ascii="仿宋" w:hAnsi="仿宋" w:eastAsia="仿宋" w:cs="仿宋"/>
          <w:b/>
          <w:bCs/>
          <w:color w:val="auto"/>
          <w:highlight w:val="none"/>
        </w:rPr>
        <w:t>★84  质量保证金</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"_Toc25653695" </w:instrText>
      </w:r>
      <w:r>
        <w:rPr>
          <w:color w:val="auto"/>
          <w:highlight w:val="none"/>
        </w:rPr>
        <w:fldChar w:fldCharType="separate"/>
      </w:r>
      <w:r>
        <w:rPr>
          <w:rStyle w:val="50"/>
          <w:rFonts w:ascii="仿宋" w:hAnsi="仿宋" w:eastAsia="仿宋" w:cs="仿宋"/>
          <w:b/>
          <w:bCs/>
          <w:color w:val="auto"/>
          <w:highlight w:val="none"/>
        </w:rPr>
        <w:t>85  最终清算款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"_Toc25653696" </w:instrText>
      </w:r>
      <w:r>
        <w:rPr>
          <w:color w:val="auto"/>
          <w:highlight w:val="none"/>
        </w:rPr>
        <w:fldChar w:fldCharType="separate"/>
      </w:r>
      <w:r>
        <w:rPr>
          <w:rStyle w:val="50"/>
          <w:rFonts w:ascii="仿宋" w:hAnsi="仿宋" w:eastAsia="仿宋" w:cs="仿宋"/>
          <w:b/>
          <w:bCs/>
          <w:color w:val="auto"/>
          <w:highlight w:val="none"/>
        </w:rPr>
        <w:t>七、合同争议、解除与终止</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"_Toc25653697" </w:instrText>
      </w:r>
      <w:r>
        <w:rPr>
          <w:color w:val="auto"/>
          <w:highlight w:val="none"/>
        </w:rPr>
        <w:fldChar w:fldCharType="separate"/>
      </w:r>
      <w:r>
        <w:rPr>
          <w:rStyle w:val="50"/>
          <w:rFonts w:ascii="仿宋" w:hAnsi="仿宋" w:eastAsia="仿宋" w:cs="仿宋"/>
          <w:b/>
          <w:bCs/>
          <w:color w:val="auto"/>
          <w:highlight w:val="none"/>
        </w:rPr>
        <w:t>86  合同争议</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"_Toc25653698" </w:instrText>
      </w:r>
      <w:r>
        <w:rPr>
          <w:color w:val="auto"/>
          <w:highlight w:val="none"/>
        </w:rPr>
        <w:fldChar w:fldCharType="separate"/>
      </w:r>
      <w:r>
        <w:rPr>
          <w:rStyle w:val="50"/>
          <w:rFonts w:ascii="仿宋" w:hAnsi="仿宋" w:eastAsia="仿宋" w:cs="仿宋"/>
          <w:b/>
          <w:bCs/>
          <w:color w:val="auto"/>
          <w:highlight w:val="none"/>
        </w:rPr>
        <w:t>87  合同解除</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"_Toc25653699" </w:instrText>
      </w:r>
      <w:r>
        <w:rPr>
          <w:color w:val="auto"/>
          <w:highlight w:val="none"/>
        </w:rPr>
        <w:fldChar w:fldCharType="separate"/>
      </w:r>
      <w:r>
        <w:rPr>
          <w:rStyle w:val="50"/>
          <w:rFonts w:ascii="仿宋" w:hAnsi="仿宋" w:eastAsia="仿宋" w:cs="仿宋"/>
          <w:b/>
          <w:bCs/>
          <w:color w:val="auto"/>
          <w:highlight w:val="none"/>
        </w:rPr>
        <w:t>88  合同解除的支付</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"_Toc25653700" </w:instrText>
      </w:r>
      <w:r>
        <w:rPr>
          <w:color w:val="auto"/>
          <w:highlight w:val="none"/>
        </w:rPr>
        <w:fldChar w:fldCharType="separate"/>
      </w:r>
      <w:r>
        <w:rPr>
          <w:rStyle w:val="50"/>
          <w:rFonts w:ascii="仿宋" w:hAnsi="仿宋" w:eastAsia="仿宋" w:cs="仿宋"/>
          <w:b/>
          <w:bCs/>
          <w:color w:val="auto"/>
          <w:highlight w:val="none"/>
        </w:rPr>
        <w:t>89  合同终止</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"_Toc25653701" </w:instrText>
      </w:r>
      <w:r>
        <w:rPr>
          <w:color w:val="auto"/>
          <w:highlight w:val="none"/>
        </w:rPr>
        <w:fldChar w:fldCharType="separate"/>
      </w:r>
      <w:r>
        <w:rPr>
          <w:rStyle w:val="50"/>
          <w:rFonts w:ascii="仿宋" w:hAnsi="仿宋" w:eastAsia="仿宋" w:cs="仿宋"/>
          <w:b/>
          <w:bCs/>
          <w:color w:val="auto"/>
          <w:highlight w:val="none"/>
        </w:rPr>
        <w:t>★90  承包人的违约责任</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"_Toc25653702" </w:instrText>
      </w:r>
      <w:r>
        <w:rPr>
          <w:color w:val="auto"/>
          <w:highlight w:val="none"/>
        </w:rPr>
        <w:fldChar w:fldCharType="separate"/>
      </w:r>
      <w:r>
        <w:rPr>
          <w:rStyle w:val="50"/>
          <w:rFonts w:ascii="仿宋" w:hAnsi="仿宋" w:eastAsia="仿宋" w:cs="仿宋"/>
          <w:b/>
          <w:bCs/>
          <w:color w:val="auto"/>
          <w:highlight w:val="none"/>
        </w:rPr>
        <w:t>★91 发包人的违约责任</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"_Toc25653703" </w:instrText>
      </w:r>
      <w:r>
        <w:rPr>
          <w:color w:val="auto"/>
          <w:highlight w:val="none"/>
        </w:rPr>
        <w:fldChar w:fldCharType="separate"/>
      </w:r>
      <w:r>
        <w:rPr>
          <w:rStyle w:val="50"/>
          <w:rFonts w:ascii="仿宋" w:hAnsi="仿宋" w:eastAsia="仿宋" w:cs="仿宋"/>
          <w:b/>
          <w:bCs/>
          <w:color w:val="auto"/>
          <w:highlight w:val="none"/>
        </w:rPr>
        <w:t>★92  除外责任</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"_Toc25653704" </w:instrText>
      </w:r>
      <w:r>
        <w:rPr>
          <w:color w:val="auto"/>
          <w:highlight w:val="none"/>
        </w:rPr>
        <w:fldChar w:fldCharType="separate"/>
      </w:r>
      <w:r>
        <w:rPr>
          <w:rStyle w:val="50"/>
          <w:rFonts w:ascii="仿宋" w:hAnsi="仿宋" w:eastAsia="仿宋" w:cs="仿宋"/>
          <w:b/>
          <w:bCs/>
          <w:color w:val="auto"/>
          <w:highlight w:val="none"/>
        </w:rPr>
        <w:t>九、其  他</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"_Toc25653705" </w:instrText>
      </w:r>
      <w:r>
        <w:rPr>
          <w:color w:val="auto"/>
          <w:highlight w:val="none"/>
        </w:rPr>
        <w:fldChar w:fldCharType="separate"/>
      </w:r>
      <w:r>
        <w:rPr>
          <w:rStyle w:val="50"/>
          <w:rFonts w:ascii="仿宋" w:hAnsi="仿宋" w:eastAsia="仿宋" w:cs="仿宋"/>
          <w:b/>
          <w:bCs/>
          <w:color w:val="auto"/>
          <w:highlight w:val="none"/>
        </w:rPr>
        <w:t>93  缴纳税费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"_Toc25653706" </w:instrText>
      </w:r>
      <w:r>
        <w:rPr>
          <w:color w:val="auto"/>
          <w:highlight w:val="none"/>
        </w:rPr>
        <w:fldChar w:fldCharType="separate"/>
      </w:r>
      <w:r>
        <w:rPr>
          <w:rStyle w:val="50"/>
          <w:rFonts w:ascii="仿宋" w:hAnsi="仿宋" w:eastAsia="仿宋" w:cs="仿宋"/>
          <w:b/>
          <w:bCs/>
          <w:color w:val="auto"/>
          <w:highlight w:val="none"/>
        </w:rPr>
        <w:t>94  保密要求</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"_Toc25653707" </w:instrText>
      </w:r>
      <w:r>
        <w:rPr>
          <w:color w:val="auto"/>
          <w:highlight w:val="none"/>
        </w:rPr>
        <w:fldChar w:fldCharType="separate"/>
      </w:r>
      <w:r>
        <w:rPr>
          <w:rStyle w:val="50"/>
          <w:rFonts w:ascii="仿宋" w:hAnsi="仿宋" w:eastAsia="仿宋" w:cs="仿宋"/>
          <w:b/>
          <w:bCs/>
          <w:color w:val="auto"/>
          <w:highlight w:val="none"/>
        </w:rPr>
        <w:t>95 廉政建设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"_Toc25653708" </w:instrText>
      </w:r>
      <w:r>
        <w:rPr>
          <w:color w:val="auto"/>
          <w:highlight w:val="none"/>
        </w:rPr>
        <w:fldChar w:fldCharType="separate"/>
      </w:r>
      <w:r>
        <w:rPr>
          <w:rStyle w:val="50"/>
          <w:rFonts w:ascii="仿宋" w:hAnsi="仿宋" w:eastAsia="仿宋" w:cs="仿宋"/>
          <w:b/>
          <w:bCs/>
          <w:color w:val="auto"/>
          <w:highlight w:val="none"/>
        </w:rPr>
        <w:t>96  禁止转让</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"_Toc25653709" </w:instrText>
      </w:r>
      <w:r>
        <w:rPr>
          <w:color w:val="auto"/>
          <w:highlight w:val="none"/>
        </w:rPr>
        <w:fldChar w:fldCharType="separate"/>
      </w:r>
      <w:r>
        <w:rPr>
          <w:rStyle w:val="50"/>
          <w:rFonts w:ascii="仿宋" w:hAnsi="仿宋" w:eastAsia="仿宋" w:cs="仿宋"/>
          <w:b/>
          <w:bCs/>
          <w:color w:val="auto"/>
          <w:highlight w:val="none"/>
        </w:rPr>
        <w:t>97  合同份数</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"_Toc25653710" </w:instrText>
      </w:r>
      <w:r>
        <w:rPr>
          <w:color w:val="auto"/>
          <w:highlight w:val="none"/>
        </w:rPr>
        <w:fldChar w:fldCharType="separate"/>
      </w:r>
      <w:r>
        <w:rPr>
          <w:rStyle w:val="50"/>
          <w:rFonts w:ascii="仿宋" w:hAnsi="仿宋" w:eastAsia="仿宋" w:cs="仿宋"/>
          <w:b/>
          <w:bCs/>
          <w:color w:val="auto"/>
          <w:highlight w:val="none"/>
        </w:rPr>
        <w:t>98  合同管理</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"_Toc25653711" </w:instrText>
      </w:r>
      <w:r>
        <w:rPr>
          <w:color w:val="auto"/>
          <w:highlight w:val="none"/>
        </w:rPr>
        <w:fldChar w:fldCharType="separate"/>
      </w:r>
      <w:r>
        <w:rPr>
          <w:rStyle w:val="50"/>
          <w:rFonts w:hint="eastAsia" w:ascii="仿宋" w:hAnsi="仿宋" w:eastAsia="仿宋" w:cs="仿宋"/>
          <w:b/>
          <w:bCs/>
          <w:color w:val="auto"/>
          <w:highlight w:val="none"/>
        </w:rPr>
        <w:t>第三部分</w:t>
      </w:r>
      <w:r>
        <w:rPr>
          <w:rStyle w:val="50"/>
          <w:rFonts w:ascii="仿宋" w:hAnsi="仿宋" w:eastAsia="仿宋" w:cs="仿宋"/>
          <w:b/>
          <w:bCs/>
          <w:color w:val="auto"/>
          <w:highlight w:val="none"/>
        </w:rPr>
        <w:t xml:space="preserve">    </w:t>
      </w:r>
      <w:r>
        <w:rPr>
          <w:rStyle w:val="50"/>
          <w:rFonts w:hint="eastAsia" w:ascii="仿宋" w:hAnsi="仿宋" w:eastAsia="仿宋" w:cs="仿宋"/>
          <w:b/>
          <w:bCs/>
          <w:color w:val="auto"/>
          <w:highlight w:val="none"/>
        </w:rPr>
        <w:t>专用条款</w:t>
      </w:r>
      <w:r>
        <w:rPr>
          <w:rStyle w:val="50"/>
          <w:rFonts w:hint="eastAsia"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"_Toc25653712" </w:instrText>
      </w:r>
      <w:r>
        <w:rPr>
          <w:color w:val="auto"/>
          <w:highlight w:val="none"/>
        </w:rPr>
        <w:fldChar w:fldCharType="separate"/>
      </w:r>
      <w:r>
        <w:rPr>
          <w:rStyle w:val="50"/>
          <w:rFonts w:ascii="仿宋" w:hAnsi="仿宋" w:eastAsia="仿宋" w:cs="仿宋"/>
          <w:b/>
          <w:bCs/>
          <w:color w:val="auto"/>
          <w:highlight w:val="none"/>
        </w:rPr>
        <w:t>1．定义</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"_Toc25653713" </w:instrText>
      </w:r>
      <w:r>
        <w:rPr>
          <w:color w:val="auto"/>
          <w:highlight w:val="none"/>
        </w:rPr>
        <w:fldChar w:fldCharType="separate"/>
      </w:r>
      <w:r>
        <w:rPr>
          <w:rStyle w:val="50"/>
          <w:rFonts w:ascii="仿宋" w:hAnsi="仿宋" w:eastAsia="仿宋" w:cs="仿宋"/>
          <w:b/>
          <w:bCs/>
          <w:color w:val="auto"/>
          <w:highlight w:val="none"/>
        </w:rPr>
        <w:t>2．合同文件及解释</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"_Toc25653714" </w:instrText>
      </w:r>
      <w:r>
        <w:rPr>
          <w:color w:val="auto"/>
          <w:highlight w:val="none"/>
        </w:rPr>
        <w:fldChar w:fldCharType="separate"/>
      </w:r>
      <w:r>
        <w:rPr>
          <w:rStyle w:val="50"/>
          <w:rFonts w:ascii="仿宋" w:hAnsi="仿宋" w:eastAsia="仿宋" w:cs="仿宋"/>
          <w:b/>
          <w:bCs/>
          <w:color w:val="auto"/>
          <w:highlight w:val="none"/>
        </w:rPr>
        <w:t>4．语言及适用的法律、标准与规范</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"_Toc25653715" </w:instrText>
      </w:r>
      <w:r>
        <w:rPr>
          <w:color w:val="auto"/>
          <w:highlight w:val="none"/>
        </w:rPr>
        <w:fldChar w:fldCharType="separate"/>
      </w:r>
      <w:r>
        <w:rPr>
          <w:rStyle w:val="50"/>
          <w:rFonts w:ascii="仿宋" w:hAnsi="仿宋" w:eastAsia="仿宋" w:cs="仿宋"/>
          <w:b/>
          <w:bCs/>
          <w:color w:val="auto"/>
          <w:highlight w:val="none"/>
        </w:rPr>
        <w:t>5. 施工设计图纸</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"_Toc25653716" </w:instrText>
      </w:r>
      <w:r>
        <w:rPr>
          <w:color w:val="auto"/>
          <w:highlight w:val="none"/>
        </w:rPr>
        <w:fldChar w:fldCharType="separate"/>
      </w:r>
      <w:r>
        <w:rPr>
          <w:rStyle w:val="50"/>
          <w:rFonts w:ascii="仿宋" w:hAnsi="仿宋" w:eastAsia="仿宋" w:cs="仿宋"/>
          <w:b/>
          <w:bCs/>
          <w:color w:val="auto"/>
          <w:highlight w:val="none"/>
        </w:rPr>
        <w:t>6. 通信联络</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"_Toc25653717" </w:instrText>
      </w:r>
      <w:r>
        <w:rPr>
          <w:color w:val="auto"/>
          <w:highlight w:val="none"/>
        </w:rPr>
        <w:fldChar w:fldCharType="separate"/>
      </w:r>
      <w:r>
        <w:rPr>
          <w:rStyle w:val="50"/>
          <w:rFonts w:ascii="仿宋" w:hAnsi="仿宋" w:eastAsia="仿宋" w:cs="仿宋"/>
          <w:b/>
          <w:bCs/>
          <w:color w:val="auto"/>
          <w:highlight w:val="none"/>
        </w:rPr>
        <w:t>7. 工程</w:t>
      </w:r>
      <w:bookmarkStart w:id="45" w:name="_Hlt44492829"/>
      <w:bookmarkStart w:id="46" w:name="_Hlt44492828"/>
      <w:r>
        <w:rPr>
          <w:rStyle w:val="50"/>
          <w:rFonts w:ascii="仿宋" w:hAnsi="仿宋" w:eastAsia="仿宋" w:cs="仿宋"/>
          <w:b/>
          <w:bCs/>
          <w:color w:val="auto"/>
          <w:highlight w:val="none"/>
        </w:rPr>
        <w:t>分</w:t>
      </w:r>
      <w:bookmarkEnd w:id="45"/>
      <w:bookmarkEnd w:id="46"/>
      <w:r>
        <w:rPr>
          <w:rStyle w:val="50"/>
          <w:rFonts w:ascii="仿宋" w:hAnsi="仿宋" w:eastAsia="仿宋" w:cs="仿宋"/>
          <w:b/>
          <w:bCs/>
          <w:color w:val="auto"/>
          <w:highlight w:val="none"/>
        </w:rPr>
        <w:t>包</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"_Toc25653718" </w:instrText>
      </w:r>
      <w:r>
        <w:rPr>
          <w:color w:val="auto"/>
          <w:highlight w:val="none"/>
        </w:rPr>
        <w:fldChar w:fldCharType="separate"/>
      </w:r>
      <w:r>
        <w:rPr>
          <w:rStyle w:val="50"/>
          <w:rFonts w:ascii="仿宋" w:hAnsi="仿宋" w:eastAsia="仿宋" w:cs="仿宋"/>
          <w:b/>
          <w:bCs/>
          <w:color w:val="auto"/>
          <w:highlight w:val="none"/>
        </w:rPr>
        <w:t>13. 交通运输</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"_Toc25653719" </w:instrText>
      </w:r>
      <w:r>
        <w:rPr>
          <w:color w:val="auto"/>
          <w:highlight w:val="none"/>
        </w:rPr>
        <w:fldChar w:fldCharType="separate"/>
      </w:r>
      <w:r>
        <w:rPr>
          <w:rStyle w:val="50"/>
          <w:rFonts w:ascii="仿宋" w:hAnsi="仿宋" w:eastAsia="仿宋" w:cs="仿宋"/>
          <w:b/>
          <w:bCs/>
          <w:color w:val="auto"/>
          <w:highlight w:val="none"/>
        </w:rPr>
        <w:t>14. 专项批准事件的签认</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"_Toc25653720" </w:instrText>
      </w:r>
      <w:r>
        <w:rPr>
          <w:color w:val="auto"/>
          <w:highlight w:val="none"/>
        </w:rPr>
        <w:fldChar w:fldCharType="separate"/>
      </w:r>
      <w:r>
        <w:rPr>
          <w:rStyle w:val="50"/>
          <w:rFonts w:ascii="仿宋" w:hAnsi="仿宋" w:eastAsia="仿宋" w:cs="仿宋"/>
          <w:b/>
          <w:bCs/>
          <w:color w:val="auto"/>
          <w:highlight w:val="none"/>
        </w:rPr>
        <w:t>19. 发包人</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"_Toc25653721" </w:instrText>
      </w:r>
      <w:r>
        <w:rPr>
          <w:color w:val="auto"/>
          <w:highlight w:val="none"/>
        </w:rPr>
        <w:fldChar w:fldCharType="separate"/>
      </w:r>
      <w:r>
        <w:rPr>
          <w:rStyle w:val="50"/>
          <w:rFonts w:ascii="仿宋" w:hAnsi="仿宋" w:eastAsia="仿宋" w:cs="仿宋"/>
          <w:b/>
          <w:bCs/>
          <w:color w:val="auto"/>
          <w:highlight w:val="none"/>
        </w:rPr>
        <w:t>20. 承包人</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"_Toc25653722" </w:instrText>
      </w:r>
      <w:r>
        <w:rPr>
          <w:color w:val="auto"/>
          <w:highlight w:val="none"/>
        </w:rPr>
        <w:fldChar w:fldCharType="separate"/>
      </w:r>
      <w:r>
        <w:rPr>
          <w:rStyle w:val="50"/>
          <w:rFonts w:ascii="仿宋" w:hAnsi="仿宋" w:eastAsia="仿宋" w:cs="仿宋"/>
          <w:b/>
          <w:bCs/>
          <w:color w:val="auto"/>
          <w:highlight w:val="none"/>
        </w:rPr>
        <w:t>21. 现场管理人员任命和更换</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"_Toc25653723" </w:instrText>
      </w:r>
      <w:r>
        <w:rPr>
          <w:color w:val="auto"/>
          <w:highlight w:val="none"/>
        </w:rPr>
        <w:fldChar w:fldCharType="separate"/>
      </w:r>
      <w:r>
        <w:rPr>
          <w:rStyle w:val="50"/>
          <w:rFonts w:ascii="仿宋" w:hAnsi="仿宋" w:eastAsia="仿宋" w:cs="仿宋"/>
          <w:b/>
          <w:bCs/>
          <w:color w:val="auto"/>
          <w:highlight w:val="none"/>
        </w:rPr>
        <w:t>22. 发包人代表</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"_Toc25653724" </w:instrText>
      </w:r>
      <w:r>
        <w:rPr>
          <w:color w:val="auto"/>
          <w:highlight w:val="none"/>
        </w:rPr>
        <w:fldChar w:fldCharType="separate"/>
      </w:r>
      <w:r>
        <w:rPr>
          <w:rStyle w:val="50"/>
          <w:rFonts w:ascii="仿宋" w:hAnsi="仿宋" w:eastAsia="仿宋" w:cs="仿宋"/>
          <w:b/>
          <w:bCs/>
          <w:color w:val="auto"/>
          <w:highlight w:val="none"/>
        </w:rPr>
        <w:t>23. 监理工程师</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"_Toc25653725" </w:instrText>
      </w:r>
      <w:r>
        <w:rPr>
          <w:color w:val="auto"/>
          <w:highlight w:val="none"/>
        </w:rPr>
        <w:fldChar w:fldCharType="separate"/>
      </w:r>
      <w:r>
        <w:rPr>
          <w:rStyle w:val="50"/>
          <w:rFonts w:ascii="仿宋" w:hAnsi="仿宋" w:eastAsia="仿宋" w:cs="仿宋"/>
          <w:b/>
          <w:bCs/>
          <w:color w:val="auto"/>
          <w:highlight w:val="none"/>
        </w:rPr>
        <w:t>24. 造价工程师</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"_Toc25653726" </w:instrText>
      </w:r>
      <w:r>
        <w:rPr>
          <w:color w:val="auto"/>
          <w:highlight w:val="none"/>
        </w:rPr>
        <w:fldChar w:fldCharType="separate"/>
      </w:r>
      <w:r>
        <w:rPr>
          <w:rStyle w:val="50"/>
          <w:rFonts w:ascii="仿宋" w:hAnsi="仿宋" w:eastAsia="仿宋" w:cs="仿宋"/>
          <w:b/>
          <w:bCs/>
          <w:color w:val="auto"/>
          <w:highlight w:val="none"/>
        </w:rPr>
        <w:t>25. 承包人代表</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"_Toc25653727" </w:instrText>
      </w:r>
      <w:r>
        <w:rPr>
          <w:color w:val="auto"/>
          <w:highlight w:val="none"/>
        </w:rPr>
        <w:fldChar w:fldCharType="separate"/>
      </w:r>
      <w:r>
        <w:rPr>
          <w:rStyle w:val="50"/>
          <w:rFonts w:ascii="仿宋" w:hAnsi="仿宋" w:eastAsia="仿宋" w:cs="仿宋"/>
          <w:b/>
          <w:bCs/>
          <w:color w:val="auto"/>
          <w:highlight w:val="none"/>
        </w:rPr>
        <w:t>26. 指定分包人</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"_Toc25653728" </w:instrText>
      </w:r>
      <w:r>
        <w:rPr>
          <w:color w:val="auto"/>
          <w:highlight w:val="none"/>
        </w:rPr>
        <w:fldChar w:fldCharType="separate"/>
      </w:r>
      <w:r>
        <w:rPr>
          <w:rStyle w:val="50"/>
          <w:rFonts w:ascii="仿宋" w:hAnsi="仿宋" w:eastAsia="仿宋" w:cs="仿宋"/>
          <w:b/>
          <w:bCs/>
          <w:color w:val="auto"/>
          <w:highlight w:val="none"/>
        </w:rPr>
        <w:t>28. 工程担保</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"_Toc25653729" </w:instrText>
      </w:r>
      <w:r>
        <w:rPr>
          <w:color w:val="auto"/>
          <w:highlight w:val="none"/>
        </w:rPr>
        <w:fldChar w:fldCharType="separate"/>
      </w:r>
      <w:r>
        <w:rPr>
          <w:rStyle w:val="50"/>
          <w:rFonts w:ascii="仿宋" w:hAnsi="仿宋" w:eastAsia="仿宋" w:cs="仿宋"/>
          <w:b/>
          <w:bCs/>
          <w:color w:val="auto"/>
          <w:highlight w:val="none"/>
        </w:rPr>
        <w:t>32. 保险</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"_Toc25653730" </w:instrText>
      </w:r>
      <w:r>
        <w:rPr>
          <w:color w:val="auto"/>
          <w:highlight w:val="none"/>
        </w:rPr>
        <w:fldChar w:fldCharType="separate"/>
      </w:r>
      <w:r>
        <w:rPr>
          <w:rStyle w:val="50"/>
          <w:rFonts w:ascii="仿宋" w:hAnsi="仿宋" w:eastAsia="仿宋" w:cs="仿宋"/>
          <w:b/>
          <w:bCs/>
          <w:color w:val="auto"/>
          <w:highlight w:val="none"/>
        </w:rPr>
        <w:t>33. 进度计划和报告</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"_Toc25653731" </w:instrText>
      </w:r>
      <w:r>
        <w:rPr>
          <w:color w:val="auto"/>
          <w:highlight w:val="none"/>
        </w:rPr>
        <w:fldChar w:fldCharType="separate"/>
      </w:r>
      <w:r>
        <w:rPr>
          <w:rStyle w:val="50"/>
          <w:rFonts w:ascii="仿宋" w:hAnsi="仿宋" w:eastAsia="仿宋" w:cs="仿宋"/>
          <w:b/>
          <w:bCs/>
          <w:color w:val="auto"/>
          <w:highlight w:val="none"/>
        </w:rPr>
        <w:t>34. 开工</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"_Toc25653732" </w:instrText>
      </w:r>
      <w:r>
        <w:rPr>
          <w:color w:val="auto"/>
          <w:highlight w:val="none"/>
        </w:rPr>
        <w:fldChar w:fldCharType="separate"/>
      </w:r>
      <w:r>
        <w:rPr>
          <w:rStyle w:val="50"/>
          <w:rFonts w:ascii="仿宋" w:hAnsi="仿宋" w:eastAsia="仿宋" w:cs="仿宋"/>
          <w:b/>
          <w:bCs/>
          <w:color w:val="auto"/>
          <w:highlight w:val="none"/>
        </w:rPr>
        <w:t>35.暂停施工和复工</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"_Toc25653733" </w:instrText>
      </w:r>
      <w:r>
        <w:rPr>
          <w:color w:val="auto"/>
          <w:highlight w:val="none"/>
        </w:rPr>
        <w:fldChar w:fldCharType="separate"/>
      </w:r>
      <w:r>
        <w:rPr>
          <w:rStyle w:val="50"/>
          <w:rFonts w:ascii="仿宋" w:hAnsi="仿宋" w:eastAsia="仿宋" w:cs="仿宋"/>
          <w:b/>
          <w:bCs/>
          <w:color w:val="auto"/>
          <w:highlight w:val="none"/>
        </w:rPr>
        <w:t>36. 工期及工期延误</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"_Toc25653734" </w:instrText>
      </w:r>
      <w:r>
        <w:rPr>
          <w:color w:val="auto"/>
          <w:highlight w:val="none"/>
        </w:rPr>
        <w:fldChar w:fldCharType="separate"/>
      </w:r>
      <w:r>
        <w:rPr>
          <w:rStyle w:val="50"/>
          <w:rFonts w:ascii="仿宋" w:hAnsi="仿宋" w:eastAsia="仿宋" w:cs="仿宋"/>
          <w:b/>
          <w:bCs/>
          <w:color w:val="auto"/>
          <w:highlight w:val="none"/>
        </w:rPr>
        <w:t>38. 竣工日期</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"_Toc25653735" </w:instrText>
      </w:r>
      <w:r>
        <w:rPr>
          <w:color w:val="auto"/>
          <w:highlight w:val="none"/>
        </w:rPr>
        <w:fldChar w:fldCharType="separate"/>
      </w:r>
      <w:r>
        <w:rPr>
          <w:rStyle w:val="50"/>
          <w:rFonts w:ascii="仿宋" w:hAnsi="仿宋" w:eastAsia="仿宋" w:cs="仿宋"/>
          <w:b/>
          <w:bCs/>
          <w:color w:val="auto"/>
          <w:highlight w:val="none"/>
        </w:rPr>
        <w:t>★42. 质量标准、目标</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"_Toc25653736" </w:instrText>
      </w:r>
      <w:r>
        <w:rPr>
          <w:color w:val="auto"/>
          <w:highlight w:val="none"/>
        </w:rPr>
        <w:fldChar w:fldCharType="separate"/>
      </w:r>
      <w:r>
        <w:rPr>
          <w:rStyle w:val="50"/>
          <w:rFonts w:ascii="仿宋" w:hAnsi="仿宋" w:eastAsia="仿宋" w:cs="仿宋"/>
          <w:b/>
          <w:bCs/>
          <w:color w:val="auto"/>
          <w:highlight w:val="none"/>
        </w:rPr>
        <w:t>★45. 绿色施工安全防护</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"_Toc25653737" </w:instrText>
      </w:r>
      <w:r>
        <w:rPr>
          <w:color w:val="auto"/>
          <w:highlight w:val="none"/>
        </w:rPr>
        <w:fldChar w:fldCharType="separate"/>
      </w:r>
      <w:r>
        <w:rPr>
          <w:rStyle w:val="50"/>
          <w:rFonts w:ascii="仿宋" w:hAnsi="仿宋" w:eastAsia="仿宋" w:cs="仿宋"/>
          <w:b/>
          <w:bCs/>
          <w:color w:val="auto"/>
          <w:highlight w:val="none"/>
        </w:rPr>
        <w:t>46. 测量放线</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"_Toc25653738" </w:instrText>
      </w:r>
      <w:r>
        <w:rPr>
          <w:color w:val="auto"/>
          <w:highlight w:val="none"/>
        </w:rPr>
        <w:fldChar w:fldCharType="separate"/>
      </w:r>
      <w:r>
        <w:rPr>
          <w:rStyle w:val="50"/>
          <w:rFonts w:ascii="仿宋" w:hAnsi="仿宋" w:eastAsia="仿宋" w:cs="仿宋"/>
          <w:b/>
          <w:bCs/>
          <w:color w:val="auto"/>
          <w:highlight w:val="none"/>
        </w:rPr>
        <w:t>48.发包人供应材料和工程设备</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"_Toc25653739" </w:instrText>
      </w:r>
      <w:r>
        <w:rPr>
          <w:color w:val="auto"/>
          <w:highlight w:val="none"/>
        </w:rPr>
        <w:fldChar w:fldCharType="separate"/>
      </w:r>
      <w:r>
        <w:rPr>
          <w:rStyle w:val="50"/>
          <w:rFonts w:ascii="仿宋" w:hAnsi="仿宋" w:eastAsia="仿宋" w:cs="仿宋"/>
          <w:b/>
          <w:bCs/>
          <w:color w:val="auto"/>
          <w:highlight w:val="none"/>
        </w:rPr>
        <w:t>49. 承包人采购材料和工程设备</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"_Toc25653740" </w:instrText>
      </w:r>
      <w:r>
        <w:rPr>
          <w:color w:val="auto"/>
          <w:highlight w:val="none"/>
        </w:rPr>
        <w:fldChar w:fldCharType="separate"/>
      </w:r>
      <w:r>
        <w:rPr>
          <w:rStyle w:val="50"/>
          <w:rFonts w:ascii="仿宋" w:hAnsi="仿宋" w:eastAsia="仿宋" w:cs="仿宋"/>
          <w:b/>
          <w:bCs/>
          <w:color w:val="auto"/>
          <w:highlight w:val="none"/>
        </w:rPr>
        <w:t>50. 材料和工程设备的检验试验</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"_Toc25653741" </w:instrText>
      </w:r>
      <w:r>
        <w:rPr>
          <w:color w:val="auto"/>
          <w:highlight w:val="none"/>
        </w:rPr>
        <w:fldChar w:fldCharType="separate"/>
      </w:r>
      <w:r>
        <w:rPr>
          <w:rStyle w:val="50"/>
          <w:rFonts w:ascii="仿宋" w:hAnsi="仿宋" w:eastAsia="仿宋" w:cs="仿宋"/>
          <w:b/>
          <w:bCs/>
          <w:color w:val="auto"/>
          <w:highlight w:val="none"/>
        </w:rPr>
        <w:t>51. 施工设备和临时设施</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"_Toc25653742" </w:instrText>
      </w:r>
      <w:r>
        <w:rPr>
          <w:color w:val="auto"/>
          <w:highlight w:val="none"/>
        </w:rPr>
        <w:fldChar w:fldCharType="separate"/>
      </w:r>
      <w:r>
        <w:rPr>
          <w:rStyle w:val="50"/>
          <w:rFonts w:ascii="仿宋" w:hAnsi="仿宋" w:eastAsia="仿宋" w:cs="仿宋"/>
          <w:b/>
          <w:bCs/>
          <w:color w:val="auto"/>
          <w:highlight w:val="none"/>
        </w:rPr>
        <w:t>53. 隐蔽工程和中间验收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"_Toc25653743" </w:instrText>
      </w:r>
      <w:r>
        <w:rPr>
          <w:color w:val="auto"/>
          <w:highlight w:val="none"/>
        </w:rPr>
        <w:fldChar w:fldCharType="separate"/>
      </w:r>
      <w:r>
        <w:rPr>
          <w:rStyle w:val="50"/>
          <w:rFonts w:ascii="仿宋" w:hAnsi="仿宋" w:eastAsia="仿宋" w:cs="仿宋"/>
          <w:b/>
          <w:bCs/>
          <w:color w:val="auto"/>
          <w:highlight w:val="none"/>
        </w:rPr>
        <w:t>55. 工程试车</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"_Toc25653744" </w:instrText>
      </w:r>
      <w:r>
        <w:rPr>
          <w:color w:val="auto"/>
          <w:highlight w:val="none"/>
        </w:rPr>
        <w:fldChar w:fldCharType="separate"/>
      </w:r>
      <w:r>
        <w:rPr>
          <w:rStyle w:val="50"/>
          <w:rFonts w:ascii="仿宋" w:hAnsi="仿宋" w:eastAsia="仿宋" w:cs="仿宋"/>
          <w:b/>
          <w:bCs/>
          <w:color w:val="auto"/>
          <w:highlight w:val="none"/>
        </w:rPr>
        <w:t>56．工程变更</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"_Toc25653745" </w:instrText>
      </w:r>
      <w:r>
        <w:rPr>
          <w:color w:val="auto"/>
          <w:highlight w:val="none"/>
        </w:rPr>
        <w:fldChar w:fldCharType="separate"/>
      </w:r>
      <w:r>
        <w:rPr>
          <w:rStyle w:val="50"/>
          <w:rFonts w:ascii="仿宋" w:hAnsi="仿宋" w:eastAsia="仿宋" w:cs="仿宋"/>
          <w:b/>
          <w:bCs/>
          <w:color w:val="auto"/>
          <w:highlight w:val="none"/>
        </w:rPr>
        <w:t>★58. 竣工验收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"_Toc25653746" </w:instrText>
      </w:r>
      <w:r>
        <w:rPr>
          <w:color w:val="auto"/>
          <w:highlight w:val="none"/>
        </w:rPr>
        <w:fldChar w:fldCharType="separate"/>
      </w:r>
      <w:r>
        <w:rPr>
          <w:rStyle w:val="50"/>
          <w:rFonts w:ascii="仿宋" w:hAnsi="仿宋" w:eastAsia="仿宋" w:cs="仿宋"/>
          <w:b/>
          <w:bCs/>
          <w:color w:val="auto"/>
          <w:highlight w:val="none"/>
        </w:rPr>
        <w:t>59. 缺陷责任与质量保修</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"_Toc25653747" </w:instrText>
      </w:r>
      <w:r>
        <w:rPr>
          <w:color w:val="auto"/>
          <w:highlight w:val="none"/>
        </w:rPr>
        <w:fldChar w:fldCharType="separate"/>
      </w:r>
      <w:r>
        <w:rPr>
          <w:rStyle w:val="50"/>
          <w:rFonts w:ascii="仿宋" w:hAnsi="仿宋" w:eastAsia="仿宋" w:cs="仿宋"/>
          <w:b/>
          <w:bCs/>
          <w:color w:val="auto"/>
          <w:highlight w:val="none"/>
        </w:rPr>
        <w:t>60. 资金计划和安排</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"_Toc25653748" </w:instrText>
      </w:r>
      <w:r>
        <w:rPr>
          <w:color w:val="auto"/>
          <w:highlight w:val="none"/>
        </w:rPr>
        <w:fldChar w:fldCharType="separate"/>
      </w:r>
      <w:r>
        <w:rPr>
          <w:rStyle w:val="50"/>
          <w:rFonts w:ascii="仿宋" w:hAnsi="仿宋" w:eastAsia="仿宋" w:cs="仿宋"/>
          <w:b/>
          <w:bCs/>
          <w:color w:val="auto"/>
          <w:highlight w:val="none"/>
        </w:rPr>
        <w:t>61. 工程量</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"_Toc25653749" </w:instrText>
      </w:r>
      <w:r>
        <w:rPr>
          <w:color w:val="auto"/>
          <w:highlight w:val="none"/>
        </w:rPr>
        <w:fldChar w:fldCharType="separate"/>
      </w:r>
      <w:r>
        <w:rPr>
          <w:rStyle w:val="50"/>
          <w:rFonts w:ascii="仿宋" w:hAnsi="仿宋" w:eastAsia="仿宋" w:cs="仿宋"/>
          <w:b/>
          <w:bCs/>
          <w:color w:val="auto"/>
          <w:highlight w:val="none"/>
        </w:rPr>
        <w:t>★62. 工程计量和计价</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"_Toc25653750" </w:instrText>
      </w:r>
      <w:r>
        <w:rPr>
          <w:color w:val="auto"/>
          <w:highlight w:val="none"/>
        </w:rPr>
        <w:fldChar w:fldCharType="separate"/>
      </w:r>
      <w:r>
        <w:rPr>
          <w:rStyle w:val="50"/>
          <w:rFonts w:ascii="仿宋" w:hAnsi="仿宋" w:eastAsia="仿宋" w:cs="仿宋"/>
          <w:b/>
          <w:bCs/>
          <w:color w:val="auto"/>
          <w:highlight w:val="none"/>
        </w:rPr>
        <w:t>★63. 暂列金额</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"_Toc25653751" </w:instrText>
      </w:r>
      <w:r>
        <w:rPr>
          <w:color w:val="auto"/>
          <w:highlight w:val="none"/>
        </w:rPr>
        <w:fldChar w:fldCharType="separate"/>
      </w:r>
      <w:r>
        <w:rPr>
          <w:rStyle w:val="50"/>
          <w:rFonts w:ascii="仿宋" w:hAnsi="仿宋" w:eastAsia="仿宋" w:cs="仿宋"/>
          <w:b/>
          <w:bCs/>
          <w:color w:val="auto"/>
          <w:highlight w:val="none"/>
        </w:rPr>
        <w:t>★65. 暂估价</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"_Toc25653752" </w:instrText>
      </w:r>
      <w:r>
        <w:rPr>
          <w:color w:val="auto"/>
          <w:highlight w:val="none"/>
        </w:rPr>
        <w:fldChar w:fldCharType="separate"/>
      </w:r>
      <w:r>
        <w:rPr>
          <w:rStyle w:val="50"/>
          <w:rFonts w:ascii="仿宋" w:hAnsi="仿宋" w:eastAsia="仿宋" w:cs="仿宋"/>
          <w:b/>
          <w:bCs/>
          <w:color w:val="auto"/>
          <w:highlight w:val="none"/>
        </w:rPr>
        <w:t>★66. 提前竣工奖与误期赔偿费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"_Toc25653753" </w:instrText>
      </w:r>
      <w:r>
        <w:rPr>
          <w:color w:val="auto"/>
          <w:highlight w:val="none"/>
        </w:rPr>
        <w:fldChar w:fldCharType="separate"/>
      </w:r>
      <w:r>
        <w:rPr>
          <w:rStyle w:val="50"/>
          <w:rFonts w:ascii="仿宋" w:hAnsi="仿宋" w:eastAsia="仿宋" w:cs="仿宋"/>
          <w:b/>
          <w:bCs/>
          <w:color w:val="auto"/>
          <w:highlight w:val="none"/>
        </w:rPr>
        <w:t>★67. 工程优质费、工程建设标准费用</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"_Toc25653754" </w:instrText>
      </w:r>
      <w:r>
        <w:rPr>
          <w:color w:val="auto"/>
          <w:highlight w:val="none"/>
        </w:rPr>
        <w:fldChar w:fldCharType="separate"/>
      </w:r>
      <w:r>
        <w:rPr>
          <w:rStyle w:val="50"/>
          <w:rFonts w:ascii="仿宋" w:hAnsi="仿宋" w:eastAsia="仿宋" w:cs="仿宋"/>
          <w:b/>
          <w:bCs/>
          <w:color w:val="auto"/>
          <w:highlight w:val="none"/>
        </w:rPr>
        <w:t>★68. 合同价款的约定与调整</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"_Toc25653755" </w:instrText>
      </w:r>
      <w:r>
        <w:rPr>
          <w:color w:val="auto"/>
          <w:highlight w:val="none"/>
        </w:rPr>
        <w:fldChar w:fldCharType="separate"/>
      </w:r>
      <w:r>
        <w:rPr>
          <w:rStyle w:val="50"/>
          <w:rFonts w:ascii="仿宋" w:hAnsi="仿宋" w:eastAsia="仿宋" w:cs="仿宋"/>
          <w:b/>
          <w:bCs/>
          <w:color w:val="auto"/>
          <w:highlight w:val="none"/>
        </w:rPr>
        <w:t>★71  分部分项工程量清单缺项漏项事件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"_Toc25653756" </w:instrText>
      </w:r>
      <w:r>
        <w:rPr>
          <w:color w:val="auto"/>
          <w:highlight w:val="none"/>
        </w:rPr>
        <w:fldChar w:fldCharType="separate"/>
      </w:r>
      <w:r>
        <w:rPr>
          <w:rStyle w:val="50"/>
          <w:rFonts w:ascii="仿宋" w:hAnsi="仿宋" w:eastAsia="仿宋" w:cs="仿宋"/>
          <w:b/>
          <w:bCs/>
          <w:color w:val="auto"/>
          <w:highlight w:val="none"/>
        </w:rPr>
        <w:t>72. 工程变更事件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"_Toc25653757" </w:instrText>
      </w:r>
      <w:r>
        <w:rPr>
          <w:color w:val="auto"/>
          <w:highlight w:val="none"/>
        </w:rPr>
        <w:fldChar w:fldCharType="separate"/>
      </w:r>
      <w:r>
        <w:rPr>
          <w:rStyle w:val="50"/>
          <w:rFonts w:ascii="仿宋" w:hAnsi="仿宋" w:eastAsia="仿宋" w:cs="仿宋"/>
          <w:b/>
          <w:bCs/>
          <w:color w:val="auto"/>
          <w:highlight w:val="none"/>
        </w:rPr>
        <w:t>73. 工程量偏差事件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"_Toc25653758" </w:instrText>
      </w:r>
      <w:r>
        <w:rPr>
          <w:color w:val="auto"/>
          <w:highlight w:val="none"/>
        </w:rPr>
        <w:fldChar w:fldCharType="separate"/>
      </w:r>
      <w:r>
        <w:rPr>
          <w:rStyle w:val="50"/>
          <w:rFonts w:ascii="仿宋" w:hAnsi="仿宋" w:eastAsia="仿宋" w:cs="仿宋"/>
          <w:b/>
          <w:bCs/>
          <w:color w:val="auto"/>
          <w:highlight w:val="none"/>
        </w:rPr>
        <w:t>75. 现场签证事件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"_Toc25653759" </w:instrText>
      </w:r>
      <w:r>
        <w:rPr>
          <w:color w:val="auto"/>
          <w:highlight w:val="none"/>
        </w:rPr>
        <w:fldChar w:fldCharType="separate"/>
      </w:r>
      <w:r>
        <w:rPr>
          <w:rStyle w:val="50"/>
          <w:rFonts w:ascii="仿宋" w:hAnsi="仿宋" w:eastAsia="仿宋" w:cs="仿宋"/>
          <w:b/>
          <w:bCs/>
          <w:color w:val="auto"/>
          <w:highlight w:val="none"/>
        </w:rPr>
        <w:t>★76. 物价涨落事件</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"_Toc25653760" </w:instrText>
      </w:r>
      <w:r>
        <w:rPr>
          <w:color w:val="auto"/>
          <w:highlight w:val="none"/>
        </w:rPr>
        <w:fldChar w:fldCharType="separate"/>
      </w:r>
      <w:r>
        <w:rPr>
          <w:rStyle w:val="50"/>
          <w:rFonts w:ascii="仿宋" w:hAnsi="仿宋" w:eastAsia="仿宋" w:cs="仿宋"/>
          <w:b/>
          <w:bCs/>
          <w:color w:val="auto"/>
          <w:highlight w:val="none"/>
        </w:rPr>
        <w:t>★77  合同价款调整程序</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"_Toc25653761" </w:instrText>
      </w:r>
      <w:r>
        <w:rPr>
          <w:color w:val="auto"/>
          <w:highlight w:val="none"/>
        </w:rPr>
        <w:fldChar w:fldCharType="separate"/>
      </w:r>
      <w:r>
        <w:rPr>
          <w:rStyle w:val="50"/>
          <w:rFonts w:ascii="仿宋" w:hAnsi="仿宋" w:eastAsia="仿宋" w:cs="仿宋"/>
          <w:b/>
          <w:bCs/>
          <w:color w:val="auto"/>
          <w:highlight w:val="none"/>
        </w:rPr>
        <w:t>78. 支付事项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"_Toc25653762" </w:instrText>
      </w:r>
      <w:r>
        <w:rPr>
          <w:color w:val="auto"/>
          <w:highlight w:val="none"/>
        </w:rPr>
        <w:fldChar w:fldCharType="separate"/>
      </w:r>
      <w:r>
        <w:rPr>
          <w:rStyle w:val="50"/>
          <w:rFonts w:ascii="仿宋" w:hAnsi="仿宋" w:eastAsia="仿宋" w:cs="仿宋"/>
          <w:b/>
          <w:bCs/>
          <w:color w:val="auto"/>
          <w:highlight w:val="none"/>
        </w:rPr>
        <w:t>★79. 预付款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"_Toc25653763" </w:instrText>
      </w:r>
      <w:r>
        <w:rPr>
          <w:color w:val="auto"/>
          <w:highlight w:val="none"/>
        </w:rPr>
        <w:fldChar w:fldCharType="separate"/>
      </w:r>
      <w:r>
        <w:rPr>
          <w:rStyle w:val="50"/>
          <w:rFonts w:ascii="仿宋" w:hAnsi="仿宋" w:eastAsia="仿宋" w:cs="仿宋"/>
          <w:b/>
          <w:bCs/>
          <w:color w:val="auto"/>
          <w:highlight w:val="none"/>
        </w:rPr>
        <w:t>★80. 绿色施工安全防护费</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"_Toc25653764" </w:instrText>
      </w:r>
      <w:r>
        <w:rPr>
          <w:color w:val="auto"/>
          <w:highlight w:val="none"/>
        </w:rPr>
        <w:fldChar w:fldCharType="separate"/>
      </w:r>
      <w:r>
        <w:rPr>
          <w:rStyle w:val="50"/>
          <w:rFonts w:ascii="仿宋" w:hAnsi="仿宋" w:eastAsia="仿宋" w:cs="仿宋"/>
          <w:b/>
          <w:bCs/>
          <w:color w:val="auto"/>
          <w:highlight w:val="none"/>
        </w:rPr>
        <w:t>★81. 进度款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"_Toc25653765" </w:instrText>
      </w:r>
      <w:r>
        <w:rPr>
          <w:color w:val="auto"/>
          <w:highlight w:val="none"/>
        </w:rPr>
        <w:fldChar w:fldCharType="separate"/>
      </w:r>
      <w:r>
        <w:rPr>
          <w:rStyle w:val="50"/>
          <w:rFonts w:ascii="仿宋" w:hAnsi="仿宋" w:eastAsia="仿宋" w:cs="仿宋"/>
          <w:b/>
          <w:bCs/>
          <w:color w:val="auto"/>
          <w:highlight w:val="none"/>
        </w:rPr>
        <w:t>82. 竣工结算</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"_Toc25653766" </w:instrText>
      </w:r>
      <w:r>
        <w:rPr>
          <w:color w:val="auto"/>
          <w:highlight w:val="none"/>
        </w:rPr>
        <w:fldChar w:fldCharType="separate"/>
      </w:r>
      <w:r>
        <w:rPr>
          <w:rStyle w:val="50"/>
          <w:rFonts w:ascii="仿宋" w:hAnsi="仿宋" w:eastAsia="仿宋" w:cs="仿宋"/>
          <w:b/>
          <w:bCs/>
          <w:color w:val="auto"/>
          <w:highlight w:val="none"/>
        </w:rPr>
        <w:t>★83. 结算款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"_Toc25653767" </w:instrText>
      </w:r>
      <w:r>
        <w:rPr>
          <w:color w:val="auto"/>
          <w:highlight w:val="none"/>
        </w:rPr>
        <w:fldChar w:fldCharType="separate"/>
      </w:r>
      <w:r>
        <w:rPr>
          <w:rStyle w:val="50"/>
          <w:rFonts w:ascii="仿宋" w:hAnsi="仿宋" w:eastAsia="仿宋" w:cs="仿宋"/>
          <w:b/>
          <w:bCs/>
          <w:color w:val="auto"/>
          <w:highlight w:val="none"/>
        </w:rPr>
        <w:t>★84. 质量保证金</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"_Toc25653768" </w:instrText>
      </w:r>
      <w:r>
        <w:rPr>
          <w:color w:val="auto"/>
          <w:highlight w:val="none"/>
        </w:rPr>
        <w:fldChar w:fldCharType="separate"/>
      </w:r>
      <w:r>
        <w:rPr>
          <w:rStyle w:val="50"/>
          <w:rFonts w:ascii="仿宋" w:hAnsi="仿宋" w:eastAsia="仿宋" w:cs="仿宋"/>
          <w:b/>
          <w:bCs/>
          <w:color w:val="auto"/>
          <w:highlight w:val="none"/>
        </w:rPr>
        <w:t>85. 最终清算款</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"_Toc25653769" </w:instrText>
      </w:r>
      <w:r>
        <w:rPr>
          <w:color w:val="auto"/>
          <w:highlight w:val="none"/>
        </w:rPr>
        <w:fldChar w:fldCharType="separate"/>
      </w:r>
      <w:r>
        <w:rPr>
          <w:rStyle w:val="50"/>
          <w:rFonts w:ascii="仿宋" w:hAnsi="仿宋" w:eastAsia="仿宋" w:cs="仿宋"/>
          <w:b/>
          <w:bCs/>
          <w:color w:val="auto"/>
          <w:highlight w:val="none"/>
        </w:rPr>
        <w:t>86. 合同争议</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"_Toc25653770" </w:instrText>
      </w:r>
      <w:r>
        <w:rPr>
          <w:color w:val="auto"/>
          <w:highlight w:val="none"/>
        </w:rPr>
        <w:fldChar w:fldCharType="separate"/>
      </w:r>
      <w:r>
        <w:rPr>
          <w:rStyle w:val="50"/>
          <w:rFonts w:ascii="仿宋" w:hAnsi="仿宋" w:eastAsia="仿宋" w:cs="仿宋"/>
          <w:b/>
          <w:bCs/>
          <w:color w:val="auto"/>
          <w:highlight w:val="none"/>
        </w:rPr>
        <w:t>★90  承包人的违约责任</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"_Toc25653771" </w:instrText>
      </w:r>
      <w:r>
        <w:rPr>
          <w:color w:val="auto"/>
          <w:highlight w:val="none"/>
        </w:rPr>
        <w:fldChar w:fldCharType="separate"/>
      </w:r>
      <w:r>
        <w:rPr>
          <w:rStyle w:val="50"/>
          <w:rFonts w:ascii="仿宋" w:hAnsi="仿宋" w:eastAsia="仿宋" w:cs="仿宋"/>
          <w:b/>
          <w:bCs/>
          <w:color w:val="auto"/>
          <w:highlight w:val="none"/>
        </w:rPr>
        <w:t>★91 发包人的违约责任</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"_Toc25653772" </w:instrText>
      </w:r>
      <w:r>
        <w:rPr>
          <w:color w:val="auto"/>
          <w:highlight w:val="none"/>
        </w:rPr>
        <w:fldChar w:fldCharType="separate"/>
      </w:r>
      <w:r>
        <w:rPr>
          <w:rStyle w:val="50"/>
          <w:rFonts w:ascii="仿宋" w:hAnsi="仿宋" w:eastAsia="仿宋" w:cs="仿宋"/>
          <w:b/>
          <w:bCs/>
          <w:color w:val="auto"/>
          <w:highlight w:val="none"/>
        </w:rPr>
        <w:t>94. 保密要求</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"_Toc25653773" </w:instrText>
      </w:r>
      <w:r>
        <w:rPr>
          <w:color w:val="auto"/>
          <w:highlight w:val="none"/>
        </w:rPr>
        <w:fldChar w:fldCharType="separate"/>
      </w:r>
      <w:r>
        <w:rPr>
          <w:rStyle w:val="50"/>
          <w:rFonts w:ascii="仿宋" w:hAnsi="仿宋" w:eastAsia="仿宋" w:cs="仿宋"/>
          <w:b/>
          <w:bCs/>
          <w:color w:val="auto"/>
          <w:highlight w:val="none"/>
        </w:rPr>
        <w:t>97. 合同份数</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"_Toc25653773" </w:instrText>
      </w:r>
      <w:r>
        <w:rPr>
          <w:color w:val="auto"/>
          <w:highlight w:val="none"/>
        </w:rPr>
        <w:fldChar w:fldCharType="separate"/>
      </w:r>
      <w:r>
        <w:rPr>
          <w:rStyle w:val="50"/>
          <w:rFonts w:ascii="仿宋" w:hAnsi="仿宋" w:eastAsia="仿宋" w:cs="仿宋"/>
          <w:b/>
          <w:bCs/>
          <w:color w:val="auto"/>
          <w:highlight w:val="none"/>
        </w:rPr>
        <w:t xml:space="preserve">99. </w:t>
      </w:r>
      <w:r>
        <w:rPr>
          <w:rStyle w:val="50"/>
          <w:rFonts w:ascii="仿宋" w:hAnsi="仿宋" w:eastAsia="仿宋" w:cs="仿宋"/>
          <w:b/>
          <w:bCs/>
          <w:color w:val="auto"/>
          <w:highlight w:val="none"/>
        </w:rPr>
        <w:fldChar w:fldCharType="end"/>
      </w:r>
      <w:r>
        <w:rPr>
          <w:rStyle w:val="50"/>
          <w:rFonts w:hint="eastAsia" w:ascii="仿宋" w:hAnsi="仿宋" w:eastAsia="仿宋" w:cs="仿宋"/>
          <w:b/>
          <w:bCs/>
          <w:color w:val="auto"/>
          <w:highlight w:val="none"/>
        </w:rPr>
        <w:t>疫情防控条款</w:t>
      </w:r>
    </w:p>
    <w:p>
      <w:pPr>
        <w:pStyle w:val="21"/>
        <w:tabs>
          <w:tab w:val="right" w:leader="dot" w:pos="10194"/>
        </w:tabs>
        <w:rPr>
          <w:rStyle w:val="50"/>
          <w:rFonts w:ascii="仿宋" w:hAnsi="仿宋" w:eastAsia="仿宋" w:cs="仿宋"/>
          <w:b/>
          <w:bCs/>
          <w:color w:val="auto"/>
          <w:highlight w:val="none"/>
        </w:rPr>
      </w:pPr>
    </w:p>
    <w:p>
      <w:pPr>
        <w:pStyle w:val="21"/>
        <w:tabs>
          <w:tab w:val="right" w:leader="dot" w:pos="10194"/>
        </w:tabs>
        <w:rPr>
          <w:rStyle w:val="50"/>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"_Toc25653774" </w:instrText>
      </w:r>
      <w:r>
        <w:rPr>
          <w:color w:val="auto"/>
          <w:highlight w:val="none"/>
        </w:rPr>
        <w:fldChar w:fldCharType="separate"/>
      </w:r>
      <w:r>
        <w:rPr>
          <w:rStyle w:val="50"/>
          <w:rFonts w:hint="eastAsia" w:ascii="仿宋" w:hAnsi="仿宋" w:eastAsia="仿宋" w:cs="仿宋"/>
          <w:b/>
          <w:bCs/>
          <w:color w:val="auto"/>
          <w:highlight w:val="none"/>
        </w:rPr>
        <w:t>第四部分</w:t>
      </w:r>
      <w:r>
        <w:rPr>
          <w:rStyle w:val="50"/>
          <w:rFonts w:ascii="仿宋" w:hAnsi="仿宋" w:eastAsia="仿宋" w:cs="仿宋"/>
          <w:b/>
          <w:bCs/>
          <w:color w:val="auto"/>
          <w:highlight w:val="none"/>
        </w:rPr>
        <w:t xml:space="preserve">  </w:t>
      </w:r>
      <w:r>
        <w:rPr>
          <w:rStyle w:val="50"/>
          <w:rFonts w:hint="eastAsia" w:ascii="仿宋" w:hAnsi="仿宋" w:eastAsia="仿宋" w:cs="仿宋"/>
          <w:b/>
          <w:bCs/>
          <w:color w:val="auto"/>
          <w:highlight w:val="none"/>
        </w:rPr>
        <w:t>附件</w:t>
      </w:r>
      <w:r>
        <w:rPr>
          <w:rStyle w:val="50"/>
          <w:rFonts w:hint="eastAsia"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"_Toc25653775" </w:instrText>
      </w:r>
      <w:r>
        <w:rPr>
          <w:color w:val="auto"/>
          <w:highlight w:val="none"/>
        </w:rPr>
        <w:fldChar w:fldCharType="separate"/>
      </w:r>
      <w:r>
        <w:rPr>
          <w:rStyle w:val="50"/>
          <w:rFonts w:ascii="仿宋" w:hAnsi="仿宋" w:eastAsia="仿宋" w:cs="仿宋"/>
          <w:b/>
          <w:bCs/>
          <w:color w:val="auto"/>
          <w:highlight w:val="none"/>
        </w:rPr>
        <w:t>附件1：发包人供应材料设备一览表</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"_Toc25653776" </w:instrText>
      </w:r>
      <w:r>
        <w:rPr>
          <w:color w:val="auto"/>
          <w:highlight w:val="none"/>
        </w:rPr>
        <w:fldChar w:fldCharType="separate"/>
      </w:r>
      <w:r>
        <w:rPr>
          <w:rStyle w:val="50"/>
          <w:rFonts w:ascii="仿宋" w:hAnsi="仿宋" w:eastAsia="仿宋" w:cs="仿宋"/>
          <w:b/>
          <w:bCs/>
          <w:color w:val="auto"/>
          <w:highlight w:val="none"/>
        </w:rPr>
        <w:t>附件2：工程质量保修书</w:t>
      </w:r>
      <w:r>
        <w:rPr>
          <w:rStyle w:val="50"/>
          <w:rFonts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"_Toc25653777" </w:instrText>
      </w:r>
      <w:r>
        <w:rPr>
          <w:color w:val="auto"/>
          <w:highlight w:val="none"/>
        </w:rPr>
        <w:fldChar w:fldCharType="separate"/>
      </w:r>
      <w:r>
        <w:rPr>
          <w:rStyle w:val="50"/>
          <w:rFonts w:ascii="仿宋" w:hAnsi="仿宋" w:eastAsia="仿宋" w:cs="仿宋"/>
          <w:b/>
          <w:bCs/>
          <w:color w:val="auto"/>
          <w:highlight w:val="none"/>
        </w:rPr>
        <w:t>附件3：</w:t>
      </w:r>
      <w:r>
        <w:rPr>
          <w:rStyle w:val="50"/>
          <w:rFonts w:hint="eastAsia" w:ascii="仿宋" w:hAnsi="仿宋" w:eastAsia="仿宋" w:cs="仿宋"/>
          <w:b/>
          <w:bCs/>
          <w:color w:val="auto"/>
          <w:highlight w:val="none"/>
        </w:rPr>
        <w:t>履约保函</w:t>
      </w:r>
      <w:r>
        <w:rPr>
          <w:rStyle w:val="50"/>
          <w:rFonts w:hint="eastAsia"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"_Toc25653778" </w:instrText>
      </w:r>
      <w:r>
        <w:rPr>
          <w:color w:val="auto"/>
          <w:highlight w:val="none"/>
        </w:rPr>
        <w:fldChar w:fldCharType="separate"/>
      </w:r>
      <w:r>
        <w:rPr>
          <w:rStyle w:val="50"/>
          <w:rFonts w:ascii="仿宋" w:hAnsi="仿宋" w:eastAsia="仿宋" w:cs="仿宋"/>
          <w:b/>
          <w:bCs/>
          <w:color w:val="auto"/>
          <w:highlight w:val="none"/>
        </w:rPr>
        <w:t>附件4：</w:t>
      </w:r>
      <w:r>
        <w:rPr>
          <w:rStyle w:val="50"/>
          <w:rFonts w:hint="eastAsia" w:ascii="仿宋" w:hAnsi="仿宋" w:eastAsia="仿宋" w:cs="仿宋"/>
          <w:b/>
          <w:bCs/>
          <w:color w:val="auto"/>
          <w:highlight w:val="none"/>
        </w:rPr>
        <w:t>预付款银行保函</w:t>
      </w:r>
      <w:r>
        <w:rPr>
          <w:rStyle w:val="50"/>
          <w:rFonts w:hint="eastAsia"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"_Toc25653779" </w:instrText>
      </w:r>
      <w:r>
        <w:rPr>
          <w:color w:val="auto"/>
          <w:highlight w:val="none"/>
        </w:rPr>
        <w:fldChar w:fldCharType="separate"/>
      </w:r>
      <w:r>
        <w:rPr>
          <w:rStyle w:val="50"/>
          <w:rFonts w:ascii="仿宋" w:hAnsi="仿宋" w:eastAsia="仿宋" w:cs="仿宋"/>
          <w:b/>
          <w:bCs/>
          <w:color w:val="auto"/>
          <w:highlight w:val="none"/>
        </w:rPr>
        <w:t>附件5：</w:t>
      </w:r>
      <w:r>
        <w:rPr>
          <w:rStyle w:val="50"/>
          <w:rFonts w:hint="eastAsia" w:ascii="仿宋" w:hAnsi="仿宋" w:eastAsia="仿宋" w:cs="仿宋"/>
          <w:b/>
          <w:bCs/>
          <w:color w:val="auto"/>
          <w:highlight w:val="none"/>
        </w:rPr>
        <w:t>工程项目一览表</w:t>
      </w:r>
      <w:r>
        <w:rPr>
          <w:rStyle w:val="50"/>
          <w:rFonts w:hint="eastAsia"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"_Toc25653780" </w:instrText>
      </w:r>
      <w:r>
        <w:rPr>
          <w:color w:val="auto"/>
          <w:highlight w:val="none"/>
        </w:rPr>
        <w:fldChar w:fldCharType="separate"/>
      </w:r>
      <w:r>
        <w:rPr>
          <w:rStyle w:val="50"/>
          <w:rFonts w:ascii="仿宋" w:hAnsi="仿宋" w:eastAsia="仿宋" w:cs="仿宋"/>
          <w:b/>
          <w:bCs/>
          <w:color w:val="auto"/>
          <w:highlight w:val="none"/>
        </w:rPr>
        <w:t>附件6：</w:t>
      </w:r>
      <w:r>
        <w:rPr>
          <w:rStyle w:val="50"/>
          <w:rFonts w:hint="eastAsia" w:ascii="仿宋" w:hAnsi="仿宋" w:eastAsia="仿宋" w:cs="仿宋"/>
          <w:b/>
          <w:bCs/>
          <w:color w:val="auto"/>
          <w:highlight w:val="none"/>
        </w:rPr>
        <w:t>承包人派驻现场主要管理人员及技术骨干名单</w:t>
      </w:r>
      <w:r>
        <w:rPr>
          <w:rStyle w:val="50"/>
          <w:rFonts w:hint="eastAsia"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"_Toc25653781" </w:instrText>
      </w:r>
      <w:r>
        <w:rPr>
          <w:color w:val="auto"/>
          <w:highlight w:val="none"/>
        </w:rPr>
        <w:fldChar w:fldCharType="separate"/>
      </w:r>
      <w:r>
        <w:rPr>
          <w:rStyle w:val="50"/>
          <w:rFonts w:ascii="仿宋" w:hAnsi="仿宋" w:eastAsia="仿宋" w:cs="仿宋"/>
          <w:b/>
          <w:bCs/>
          <w:color w:val="auto"/>
          <w:highlight w:val="none"/>
        </w:rPr>
        <w:t>附件7：</w:t>
      </w:r>
      <w:r>
        <w:rPr>
          <w:rStyle w:val="50"/>
          <w:rFonts w:hint="eastAsia" w:ascii="仿宋" w:hAnsi="仿宋" w:eastAsia="仿宋" w:cs="仿宋"/>
          <w:b/>
          <w:bCs/>
          <w:color w:val="auto"/>
          <w:highlight w:val="none"/>
        </w:rPr>
        <w:t>廉洁协议</w:t>
      </w:r>
      <w:r>
        <w:rPr>
          <w:rStyle w:val="50"/>
          <w:rFonts w:hint="eastAsia" w:ascii="仿宋" w:hAnsi="仿宋" w:eastAsia="仿宋" w:cs="仿宋"/>
          <w:b/>
          <w:bCs/>
          <w:color w:val="auto"/>
          <w:highlight w:val="none"/>
        </w:rPr>
        <w:fldChar w:fldCharType="end"/>
      </w:r>
    </w:p>
    <w:p>
      <w:pPr>
        <w:pStyle w:val="21"/>
        <w:tabs>
          <w:tab w:val="right" w:leader="dot" w:pos="10194"/>
        </w:tabs>
        <w:rPr>
          <w:rStyle w:val="50"/>
          <w:rFonts w:ascii="仿宋" w:hAnsi="仿宋" w:eastAsia="仿宋" w:cs="仿宋"/>
          <w:b/>
          <w:bCs/>
          <w:color w:val="auto"/>
          <w:highlight w:val="none"/>
        </w:rPr>
      </w:pPr>
      <w:r>
        <w:rPr>
          <w:color w:val="auto"/>
          <w:highlight w:val="none"/>
        </w:rPr>
        <w:fldChar w:fldCharType="begin"/>
      </w:r>
      <w:r>
        <w:rPr>
          <w:color w:val="auto"/>
          <w:highlight w:val="none"/>
        </w:rPr>
        <w:instrText xml:space="preserve"> HYPERLINK \l "_Toc25653788" </w:instrText>
      </w:r>
      <w:r>
        <w:rPr>
          <w:color w:val="auto"/>
          <w:highlight w:val="none"/>
        </w:rPr>
        <w:fldChar w:fldCharType="separate"/>
      </w:r>
      <w:r>
        <w:rPr>
          <w:rStyle w:val="50"/>
          <w:rFonts w:ascii="仿宋" w:hAnsi="仿宋" w:eastAsia="仿宋" w:cs="仿宋"/>
          <w:b/>
          <w:bCs/>
          <w:color w:val="auto"/>
          <w:highlight w:val="none"/>
        </w:rPr>
        <w:t>附件8：</w:t>
      </w:r>
      <w:r>
        <w:rPr>
          <w:rStyle w:val="50"/>
          <w:rFonts w:hint="eastAsia" w:ascii="仿宋" w:hAnsi="仿宋" w:eastAsia="仿宋" w:cs="仿宋"/>
          <w:b/>
          <w:bCs/>
          <w:color w:val="auto"/>
          <w:highlight w:val="none"/>
        </w:rPr>
        <w:t>安健环协议</w:t>
      </w:r>
      <w:r>
        <w:rPr>
          <w:rStyle w:val="50"/>
          <w:rFonts w:hint="eastAsia" w:ascii="仿宋" w:hAnsi="仿宋" w:eastAsia="仿宋" w:cs="仿宋"/>
          <w:b/>
          <w:bCs/>
          <w:color w:val="auto"/>
          <w:highlight w:val="none"/>
        </w:rPr>
        <w:fldChar w:fldCharType="end"/>
      </w:r>
    </w:p>
    <w:p>
      <w:pPr>
        <w:rPr>
          <w:b/>
          <w:bCs/>
          <w:color w:val="auto"/>
          <w:highlight w:val="none"/>
        </w:rPr>
      </w:pPr>
      <w:r>
        <w:rPr>
          <w:color w:val="auto"/>
          <w:highlight w:val="none"/>
        </w:rPr>
        <w:fldChar w:fldCharType="end"/>
      </w:r>
    </w:p>
    <w:p>
      <w:pPr>
        <w:widowControl/>
        <w:jc w:val="left"/>
        <w:rPr>
          <w:rFonts w:ascii="宋体"/>
          <w:color w:val="auto"/>
          <w:kern w:val="0"/>
          <w:sz w:val="36"/>
          <w:szCs w:val="36"/>
          <w:highlight w:val="none"/>
        </w:rPr>
      </w:pPr>
      <w:bookmarkStart w:id="47" w:name="_Toc266892751"/>
      <w:r>
        <w:rPr>
          <w:rFonts w:ascii="宋体"/>
          <w:color w:val="auto"/>
          <w:kern w:val="0"/>
          <w:sz w:val="36"/>
          <w:szCs w:val="36"/>
          <w:highlight w:val="none"/>
        </w:rPr>
        <w:br w:type="page"/>
      </w:r>
    </w:p>
    <w:p>
      <w:pPr>
        <w:rPr>
          <w:rFonts w:ascii="宋体"/>
          <w:color w:val="auto"/>
          <w:sz w:val="36"/>
          <w:szCs w:val="36"/>
          <w:highlight w:val="none"/>
        </w:rPr>
      </w:pPr>
    </w:p>
    <w:bookmarkEnd w:id="41"/>
    <w:bookmarkEnd w:id="42"/>
    <w:bookmarkEnd w:id="43"/>
    <w:bookmarkEnd w:id="44"/>
    <w:bookmarkEnd w:id="47"/>
    <w:p>
      <w:pPr>
        <w:spacing w:line="360" w:lineRule="auto"/>
        <w:jc w:val="center"/>
        <w:outlineLvl w:val="0"/>
        <w:rPr>
          <w:rFonts w:ascii="宋体"/>
          <w:b/>
          <w:bCs/>
          <w:color w:val="auto"/>
          <w:sz w:val="36"/>
          <w:szCs w:val="36"/>
          <w:highlight w:val="none"/>
        </w:rPr>
      </w:pPr>
      <w:bookmarkStart w:id="48" w:name="_Toc16791"/>
      <w:bookmarkStart w:id="49" w:name="_Toc29878"/>
      <w:bookmarkStart w:id="50" w:name="_Toc469383967"/>
      <w:bookmarkStart w:id="51" w:name="_Toc25653593"/>
      <w:r>
        <w:rPr>
          <w:rFonts w:hint="eastAsia" w:ascii="宋体" w:hAnsi="宋体" w:cs="宋体"/>
          <w:b/>
          <w:bCs/>
          <w:color w:val="auto"/>
          <w:sz w:val="36"/>
          <w:szCs w:val="36"/>
          <w:highlight w:val="none"/>
        </w:rPr>
        <w:t>第一部分协议书</w:t>
      </w:r>
      <w:bookmarkEnd w:id="48"/>
      <w:bookmarkEnd w:id="49"/>
      <w:bookmarkEnd w:id="50"/>
      <w:bookmarkEnd w:id="51"/>
    </w:p>
    <w:p>
      <w:pPr>
        <w:spacing w:line="360" w:lineRule="auto"/>
        <w:jc w:val="center"/>
        <w:rPr>
          <w:rFonts w:ascii="宋体"/>
          <w:color w:val="auto"/>
          <w:sz w:val="36"/>
          <w:szCs w:val="36"/>
          <w:highlight w:val="none"/>
        </w:rPr>
      </w:pPr>
    </w:p>
    <w:p>
      <w:pPr>
        <w:spacing w:line="360" w:lineRule="auto"/>
        <w:jc w:val="center"/>
        <w:rPr>
          <w:rFonts w:ascii="宋体"/>
          <w:color w:val="auto"/>
          <w:sz w:val="36"/>
          <w:szCs w:val="36"/>
          <w:highlight w:val="none"/>
        </w:rPr>
      </w:pPr>
    </w:p>
    <w:p>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广州燃气集团有限公司</w:t>
      </w:r>
    </w:p>
    <w:p>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p>
    <w:p>
      <w:pPr>
        <w:spacing w:line="360" w:lineRule="auto"/>
        <w:rPr>
          <w:rFonts w:ascii="仿宋" w:hAnsi="仿宋" w:eastAsia="仿宋"/>
          <w:color w:val="auto"/>
          <w:sz w:val="24"/>
          <w:szCs w:val="24"/>
          <w:highlight w:val="none"/>
        </w:rPr>
      </w:pPr>
    </w:p>
    <w:p>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发包人于2023年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日经公开招标确定承包人为</w:t>
      </w:r>
      <w:r>
        <w:rPr>
          <w:rFonts w:hint="eastAsia" w:ascii="仿宋" w:hAnsi="仿宋" w:eastAsia="仿宋" w:cs="仿宋"/>
          <w:color w:val="auto"/>
          <w:sz w:val="24"/>
          <w:szCs w:val="24"/>
          <w:highlight w:val="none"/>
          <w:u w:val="single"/>
          <w:lang w:eastAsia="zh-CN"/>
        </w:rPr>
        <w:t>田心调压站扩容改造工程施工项目</w:t>
      </w:r>
      <w:r>
        <w:rPr>
          <w:rFonts w:ascii="仿宋" w:hAnsi="仿宋" w:eastAsia="仿宋" w:cs="仿宋"/>
          <w:color w:val="auto"/>
          <w:sz w:val="24"/>
          <w:szCs w:val="24"/>
          <w:highlight w:val="none"/>
        </w:rPr>
        <w:t>项目的中标人（项目编号：</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）。依照《中华人民共和国民法典》、《中华人民共和国建筑法》及其他有关法律法规，遵循平等、自愿、公平和诚实信用的原则，双方就合同工程施工有关事项达成一致意见，订立本合同。</w:t>
      </w:r>
    </w:p>
    <w:p>
      <w:pPr>
        <w:spacing w:line="360" w:lineRule="auto"/>
        <w:rPr>
          <w:rFonts w:ascii="仿宋" w:hAnsi="仿宋" w:eastAsia="仿宋"/>
          <w:color w:val="auto"/>
          <w:sz w:val="24"/>
          <w:szCs w:val="24"/>
          <w:highlight w:val="none"/>
        </w:rPr>
      </w:pPr>
    </w:p>
    <w:p>
      <w:pPr>
        <w:spacing w:line="360" w:lineRule="auto"/>
        <w:outlineLvl w:val="1"/>
        <w:rPr>
          <w:rFonts w:ascii="仿宋" w:hAnsi="仿宋" w:eastAsia="仿宋"/>
          <w:b/>
          <w:bCs/>
          <w:color w:val="auto"/>
          <w:sz w:val="24"/>
          <w:szCs w:val="24"/>
          <w:highlight w:val="none"/>
        </w:rPr>
      </w:pPr>
      <w:bookmarkStart w:id="52" w:name="_Toc24636"/>
      <w:bookmarkStart w:id="53" w:name="_Toc266892752"/>
      <w:bookmarkStart w:id="54" w:name="_Toc25653594"/>
      <w:bookmarkStart w:id="55" w:name="_Toc469383968"/>
      <w:bookmarkStart w:id="56" w:name="_Toc8567"/>
      <w:r>
        <w:rPr>
          <w:rFonts w:hint="eastAsia" w:ascii="仿宋" w:hAnsi="仿宋" w:eastAsia="仿宋" w:cs="仿宋"/>
          <w:b/>
          <w:bCs/>
          <w:color w:val="auto"/>
          <w:sz w:val="24"/>
          <w:szCs w:val="24"/>
          <w:highlight w:val="none"/>
        </w:rPr>
        <w:t>一、工程概况</w:t>
      </w:r>
      <w:bookmarkEnd w:id="52"/>
      <w:bookmarkEnd w:id="53"/>
      <w:bookmarkEnd w:id="54"/>
      <w:bookmarkEnd w:id="55"/>
      <w:bookmarkEnd w:id="56"/>
    </w:p>
    <w:p>
      <w:pPr>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立项批文编号或广东省企业基本建设投资项目备案证备案项目编号：</w:t>
      </w:r>
      <w:r>
        <w:rPr>
          <w:rFonts w:hint="eastAsia" w:ascii="仿宋" w:hAnsi="仿宋" w:eastAsia="仿宋" w:cs="仿宋"/>
          <w:color w:val="auto"/>
          <w:sz w:val="24"/>
          <w:szCs w:val="24"/>
          <w:highlight w:val="none"/>
          <w:u w:val="single"/>
          <w:lang w:eastAsia="zh-CN"/>
        </w:rPr>
        <w:t xml:space="preserve">2305-440111-17-02-271854 </w:t>
      </w:r>
    </w:p>
    <w:p>
      <w:pPr>
        <w:spacing w:line="360" w:lineRule="auto"/>
        <w:ind w:firstLine="46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lang w:eastAsia="zh-CN"/>
        </w:rPr>
        <w:t>田心调压站扩容改造工程施工项目</w:t>
      </w:r>
      <w:r>
        <w:rPr>
          <w:rFonts w:ascii="仿宋" w:hAnsi="仿宋" w:eastAsia="仿宋" w:cs="仿宋"/>
          <w:color w:val="auto"/>
          <w:sz w:val="24"/>
          <w:szCs w:val="24"/>
          <w:highlight w:val="none"/>
          <w:u w:val="single"/>
        </w:rPr>
        <w:t xml:space="preserve"> </w:t>
      </w:r>
    </w:p>
    <w:p>
      <w:pPr>
        <w:spacing w:line="360" w:lineRule="auto"/>
        <w:ind w:firstLine="46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合同类型：</w:t>
      </w:r>
      <w:r>
        <w:rPr>
          <w:rFonts w:ascii="仿宋" w:hAnsi="仿宋" w:eastAsia="仿宋" w:cs="仿宋"/>
          <w:color w:val="auto"/>
          <w:sz w:val="24"/>
          <w:szCs w:val="24"/>
          <w:highlight w:val="none"/>
        </w:rPr>
        <w:sym w:font="Wingdings 2" w:char="F052"/>
      </w:r>
      <w:r>
        <w:rPr>
          <w:rFonts w:hint="eastAsia" w:ascii="仿宋" w:hAnsi="仿宋" w:eastAsia="仿宋" w:cs="仿宋"/>
          <w:color w:val="auto"/>
          <w:sz w:val="24"/>
          <w:szCs w:val="24"/>
          <w:highlight w:val="none"/>
        </w:rPr>
        <w:t>总承包施工合同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□专业分包施工合同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□其它：</w:t>
      </w:r>
    </w:p>
    <w:p>
      <w:pPr>
        <w:spacing w:line="360" w:lineRule="auto"/>
        <w:ind w:firstLine="46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工程概况：</w:t>
      </w:r>
      <w:r>
        <w:rPr>
          <w:rFonts w:hint="eastAsia" w:ascii="仿宋" w:hAnsi="仿宋" w:eastAsia="仿宋" w:cs="仿宋"/>
          <w:color w:val="auto"/>
          <w:sz w:val="24"/>
          <w:szCs w:val="24"/>
          <w:highlight w:val="none"/>
          <w:u w:val="single"/>
          <w:lang w:val="en-US" w:eastAsia="zh-CN"/>
        </w:rPr>
        <w:t>本次工程拆除站内原有城市中压过滤计量调压装置，并对太和调压站来气收球装置进行改造，在广州市天然气利用工程四期工程田心调压站在建工艺装置区北部新增相应的工艺装置用于给城市中压和佛山南海中压用户供气。扩容改造后田心调压站设计规模将达到近期12×10</w:t>
      </w:r>
      <w:r>
        <w:rPr>
          <w:rFonts w:hint="eastAsia" w:ascii="仿宋" w:hAnsi="仿宋" w:eastAsia="仿宋" w:cs="仿宋"/>
          <w:color w:val="auto"/>
          <w:sz w:val="24"/>
          <w:szCs w:val="24"/>
          <w:highlight w:val="none"/>
          <w:u w:val="single"/>
          <w:vertAlign w:val="superscript"/>
          <w:lang w:val="en-US" w:eastAsia="zh-CN"/>
        </w:rPr>
        <w:t>4</w:t>
      </w:r>
      <w:r>
        <w:rPr>
          <w:rFonts w:hint="eastAsia" w:ascii="仿宋" w:hAnsi="仿宋" w:eastAsia="仿宋" w:cs="仿宋"/>
          <w:color w:val="auto"/>
          <w:sz w:val="24"/>
          <w:szCs w:val="24"/>
          <w:highlight w:val="none"/>
          <w:u w:val="single"/>
          <w:lang w:val="en-US" w:eastAsia="zh-CN"/>
        </w:rPr>
        <w:t>Nm³/h，远期16×10</w:t>
      </w:r>
      <w:r>
        <w:rPr>
          <w:rFonts w:hint="eastAsia" w:ascii="仿宋" w:hAnsi="仿宋" w:eastAsia="仿宋" w:cs="仿宋"/>
          <w:color w:val="auto"/>
          <w:sz w:val="24"/>
          <w:szCs w:val="24"/>
          <w:highlight w:val="none"/>
          <w:u w:val="single"/>
          <w:vertAlign w:val="superscript"/>
          <w:lang w:val="en-US" w:eastAsia="zh-CN"/>
        </w:rPr>
        <w:t>4</w:t>
      </w:r>
      <w:r>
        <w:rPr>
          <w:rFonts w:hint="eastAsia" w:ascii="仿宋" w:hAnsi="仿宋" w:eastAsia="仿宋" w:cs="仿宋"/>
          <w:color w:val="auto"/>
          <w:sz w:val="24"/>
          <w:szCs w:val="24"/>
          <w:highlight w:val="none"/>
          <w:u w:val="single"/>
          <w:lang w:val="en-US" w:eastAsia="zh-CN"/>
        </w:rPr>
        <w:t>Nm³/h，其中佛山南海供气规模8×10</w:t>
      </w:r>
      <w:r>
        <w:rPr>
          <w:rFonts w:hint="eastAsia" w:ascii="仿宋" w:hAnsi="仿宋" w:eastAsia="仿宋" w:cs="仿宋"/>
          <w:color w:val="auto"/>
          <w:sz w:val="24"/>
          <w:szCs w:val="24"/>
          <w:highlight w:val="none"/>
          <w:u w:val="single"/>
          <w:vertAlign w:val="superscript"/>
          <w:lang w:val="en-US" w:eastAsia="zh-CN"/>
        </w:rPr>
        <w:t>4</w:t>
      </w:r>
      <w:r>
        <w:rPr>
          <w:rFonts w:hint="eastAsia" w:ascii="仿宋" w:hAnsi="仿宋" w:eastAsia="仿宋" w:cs="仿宋"/>
          <w:color w:val="auto"/>
          <w:sz w:val="24"/>
          <w:szCs w:val="24"/>
          <w:highlight w:val="none"/>
          <w:u w:val="single"/>
          <w:lang w:val="en-US" w:eastAsia="zh-CN"/>
        </w:rPr>
        <w:t>Nm³/h，原有城市中压供气规模近期4×10</w:t>
      </w:r>
      <w:r>
        <w:rPr>
          <w:rFonts w:hint="eastAsia" w:ascii="仿宋" w:hAnsi="仿宋" w:eastAsia="仿宋" w:cs="仿宋"/>
          <w:color w:val="auto"/>
          <w:sz w:val="24"/>
          <w:szCs w:val="24"/>
          <w:highlight w:val="none"/>
          <w:u w:val="single"/>
          <w:vertAlign w:val="superscript"/>
          <w:lang w:val="en-US" w:eastAsia="zh-CN"/>
        </w:rPr>
        <w:t>4</w:t>
      </w:r>
      <w:r>
        <w:rPr>
          <w:rFonts w:hint="eastAsia" w:ascii="仿宋" w:hAnsi="仿宋" w:eastAsia="仿宋" w:cs="仿宋"/>
          <w:color w:val="auto"/>
          <w:sz w:val="24"/>
          <w:szCs w:val="24"/>
          <w:highlight w:val="none"/>
          <w:u w:val="single"/>
          <w:lang w:val="en-US" w:eastAsia="zh-CN"/>
        </w:rPr>
        <w:t>Nm³/h，远期8×10</w:t>
      </w:r>
      <w:r>
        <w:rPr>
          <w:rFonts w:hint="eastAsia" w:ascii="仿宋" w:hAnsi="仿宋" w:eastAsia="仿宋" w:cs="仿宋"/>
          <w:color w:val="auto"/>
          <w:sz w:val="24"/>
          <w:szCs w:val="24"/>
          <w:highlight w:val="none"/>
          <w:u w:val="single"/>
          <w:vertAlign w:val="superscript"/>
          <w:lang w:val="en-US" w:eastAsia="zh-CN"/>
        </w:rPr>
        <w:t>4</w:t>
      </w:r>
      <w:r>
        <w:rPr>
          <w:rFonts w:hint="eastAsia" w:ascii="仿宋" w:hAnsi="仿宋" w:eastAsia="仿宋" w:cs="仿宋"/>
          <w:color w:val="auto"/>
          <w:sz w:val="24"/>
          <w:szCs w:val="24"/>
          <w:highlight w:val="none"/>
          <w:u w:val="single"/>
          <w:lang w:val="en-US" w:eastAsia="zh-CN"/>
        </w:rPr>
        <w:t>Nm³/h</w:t>
      </w:r>
      <w:r>
        <w:rPr>
          <w:rFonts w:hint="eastAsia" w:ascii="仿宋" w:hAnsi="仿宋" w:eastAsia="仿宋" w:cs="仿宋"/>
          <w:color w:val="auto"/>
          <w:sz w:val="24"/>
          <w:szCs w:val="24"/>
          <w:highlight w:val="none"/>
          <w:u w:val="single"/>
          <w:lang w:eastAsia="zh-CN"/>
        </w:rPr>
        <w:t>。</w:t>
      </w:r>
    </w:p>
    <w:p>
      <w:pPr>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结构形式：</w:t>
      </w:r>
      <w:r>
        <w:rPr>
          <w:rFonts w:ascii="仿宋" w:hAnsi="仿宋" w:eastAsia="仿宋" w:cs="仿宋"/>
          <w:color w:val="auto"/>
          <w:sz w:val="24"/>
          <w:szCs w:val="24"/>
          <w:highlight w:val="none"/>
          <w:u w:val="single"/>
        </w:rPr>
        <w:t xml:space="preserve"> /。</w:t>
      </w:r>
    </w:p>
    <w:p>
      <w:pPr>
        <w:spacing w:line="360" w:lineRule="auto"/>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资金来源：</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val="en-US" w:eastAsia="zh-CN"/>
        </w:rPr>
        <w:t>企业自筹</w:t>
      </w:r>
      <w:r>
        <w:rPr>
          <w:rFonts w:hint="eastAsia" w:ascii="仿宋" w:hAnsi="仿宋" w:eastAsia="仿宋" w:cs="仿宋"/>
          <w:color w:val="auto"/>
          <w:sz w:val="24"/>
          <w:szCs w:val="24"/>
          <w:highlight w:val="none"/>
          <w:u w:val="single"/>
          <w:lang w:eastAsia="zh-CN"/>
        </w:rPr>
        <w:t>。</w:t>
      </w:r>
    </w:p>
    <w:p>
      <w:pPr>
        <w:spacing w:line="360" w:lineRule="auto"/>
        <w:ind w:firstLine="480"/>
        <w:rPr>
          <w:rFonts w:ascii="仿宋" w:hAnsi="仿宋" w:eastAsia="仿宋"/>
          <w:color w:val="auto"/>
          <w:sz w:val="24"/>
          <w:szCs w:val="24"/>
          <w:highlight w:val="none"/>
        </w:rPr>
      </w:pPr>
      <w:r>
        <w:rPr>
          <w:rFonts w:hint="eastAsia" w:ascii="仿宋" w:hAnsi="仿宋" w:eastAsia="仿宋" w:cs="仿宋"/>
          <w:color w:val="auto"/>
          <w:sz w:val="24"/>
          <w:szCs w:val="24"/>
          <w:highlight w:val="none"/>
        </w:rPr>
        <w:t>其他：</w:t>
      </w:r>
      <w:r>
        <w:rPr>
          <w:rFonts w:ascii="仿宋" w:hAnsi="仿宋" w:eastAsia="仿宋" w:cs="仿宋"/>
          <w:color w:val="auto"/>
          <w:sz w:val="24"/>
          <w:szCs w:val="24"/>
          <w:highlight w:val="none"/>
          <w:u w:val="single"/>
        </w:rPr>
        <w:t xml:space="preserve"> /。</w:t>
      </w:r>
    </w:p>
    <w:p>
      <w:pPr>
        <w:spacing w:line="360" w:lineRule="auto"/>
        <w:rPr>
          <w:rFonts w:ascii="仿宋" w:hAnsi="仿宋" w:eastAsia="仿宋"/>
          <w:color w:val="auto"/>
          <w:sz w:val="24"/>
          <w:szCs w:val="24"/>
          <w:highlight w:val="none"/>
          <w:u w:val="single"/>
        </w:rPr>
      </w:pPr>
    </w:p>
    <w:p>
      <w:pPr>
        <w:spacing w:line="360" w:lineRule="auto"/>
        <w:outlineLvl w:val="1"/>
        <w:rPr>
          <w:rFonts w:ascii="仿宋" w:hAnsi="仿宋" w:eastAsia="仿宋"/>
          <w:b/>
          <w:bCs/>
          <w:color w:val="auto"/>
          <w:sz w:val="24"/>
          <w:szCs w:val="24"/>
          <w:highlight w:val="none"/>
        </w:rPr>
      </w:pPr>
      <w:bookmarkStart w:id="57" w:name="_Toc21081"/>
      <w:bookmarkStart w:id="58" w:name="_Toc29276"/>
      <w:bookmarkStart w:id="59" w:name="_Toc25653595"/>
      <w:bookmarkStart w:id="60" w:name="_Toc469383969"/>
      <w:bookmarkStart w:id="61" w:name="_Toc266892753"/>
      <w:r>
        <w:rPr>
          <w:rFonts w:hint="eastAsia" w:ascii="仿宋" w:hAnsi="仿宋" w:eastAsia="仿宋" w:cs="仿宋"/>
          <w:b/>
          <w:bCs/>
          <w:color w:val="auto"/>
          <w:sz w:val="24"/>
          <w:szCs w:val="24"/>
          <w:highlight w:val="none"/>
        </w:rPr>
        <w:t>二、工程内容与承包范围</w:t>
      </w:r>
      <w:bookmarkEnd w:id="57"/>
      <w:bookmarkEnd w:id="58"/>
      <w:bookmarkEnd w:id="59"/>
      <w:bookmarkEnd w:id="60"/>
      <w:bookmarkEnd w:id="61"/>
    </w:p>
    <w:p>
      <w:pPr>
        <w:pStyle w:val="233"/>
        <w:numPr>
          <w:ilvl w:val="-1"/>
          <w:numId w:val="0"/>
        </w:numPr>
        <w:tabs>
          <w:tab w:val="left" w:pos="840"/>
        </w:tabs>
        <w:adjustRightInd w:val="0"/>
        <w:snapToGrid w:val="0"/>
        <w:spacing w:line="500" w:lineRule="exact"/>
        <w:ind w:left="0" w:firstLine="480"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rPr>
        <w:t>1</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工程</w:t>
      </w:r>
      <w:r>
        <w:rPr>
          <w:rFonts w:hint="eastAsia" w:ascii="仿宋" w:hAnsi="仿宋" w:eastAsia="仿宋" w:cs="仿宋"/>
          <w:color w:val="auto"/>
          <w:sz w:val="24"/>
          <w:highlight w:val="none"/>
          <w:u w:val="single"/>
        </w:rPr>
        <w:t>内容：</w:t>
      </w:r>
      <w:r>
        <w:rPr>
          <w:rFonts w:hint="eastAsia" w:ascii="仿宋" w:hAnsi="仿宋" w:eastAsia="仿宋" w:cs="仿宋"/>
          <w:color w:val="auto"/>
          <w:sz w:val="24"/>
          <w:highlight w:val="none"/>
          <w:u w:val="single"/>
          <w:lang w:val="en-US" w:eastAsia="zh-CN"/>
        </w:rPr>
        <w:t>本次工程拆除站内原有城市中压过滤计量调压装置，并对太和调压站来气收球装置进行改造，在广州市天然气利用工程四期工程田心调压站在建工艺装置区北部新增相应的工艺装置用于给城市中压和佛山南海中压用户供气。扩容改造后田心调压站设计规模将达到近期12×10</w:t>
      </w:r>
      <w:r>
        <w:rPr>
          <w:rFonts w:hint="eastAsia" w:ascii="仿宋" w:hAnsi="仿宋" w:eastAsia="仿宋" w:cs="仿宋"/>
          <w:color w:val="auto"/>
          <w:sz w:val="24"/>
          <w:highlight w:val="none"/>
          <w:u w:val="single"/>
          <w:vertAlign w:val="superscript"/>
          <w:lang w:val="en-US" w:eastAsia="zh-CN"/>
        </w:rPr>
        <w:t>4</w:t>
      </w:r>
      <w:r>
        <w:rPr>
          <w:rFonts w:hint="eastAsia" w:ascii="仿宋" w:hAnsi="仿宋" w:eastAsia="仿宋" w:cs="仿宋"/>
          <w:color w:val="auto"/>
          <w:sz w:val="24"/>
          <w:highlight w:val="none"/>
          <w:u w:val="single"/>
          <w:lang w:val="en-US" w:eastAsia="zh-CN"/>
        </w:rPr>
        <w:t>Nm³/h，远期16×10</w:t>
      </w:r>
      <w:r>
        <w:rPr>
          <w:rFonts w:hint="eastAsia" w:ascii="仿宋" w:hAnsi="仿宋" w:eastAsia="仿宋" w:cs="仿宋"/>
          <w:color w:val="auto"/>
          <w:sz w:val="24"/>
          <w:highlight w:val="none"/>
          <w:u w:val="single"/>
          <w:vertAlign w:val="superscript"/>
          <w:lang w:val="en-US" w:eastAsia="zh-CN"/>
        </w:rPr>
        <w:t>4</w:t>
      </w:r>
      <w:r>
        <w:rPr>
          <w:rFonts w:hint="eastAsia" w:ascii="仿宋" w:hAnsi="仿宋" w:eastAsia="仿宋" w:cs="仿宋"/>
          <w:color w:val="auto"/>
          <w:sz w:val="24"/>
          <w:highlight w:val="none"/>
          <w:u w:val="single"/>
          <w:lang w:val="en-US" w:eastAsia="zh-CN"/>
        </w:rPr>
        <w:t>Nm³/h，其中佛山南海供气规模8×10</w:t>
      </w:r>
      <w:r>
        <w:rPr>
          <w:rFonts w:hint="eastAsia" w:ascii="仿宋" w:hAnsi="仿宋" w:eastAsia="仿宋" w:cs="仿宋"/>
          <w:color w:val="auto"/>
          <w:sz w:val="24"/>
          <w:highlight w:val="none"/>
          <w:u w:val="single"/>
          <w:vertAlign w:val="superscript"/>
          <w:lang w:val="en-US" w:eastAsia="zh-CN"/>
        </w:rPr>
        <w:t>4</w:t>
      </w:r>
      <w:r>
        <w:rPr>
          <w:rFonts w:hint="eastAsia" w:ascii="仿宋" w:hAnsi="仿宋" w:eastAsia="仿宋" w:cs="仿宋"/>
          <w:color w:val="auto"/>
          <w:sz w:val="24"/>
          <w:highlight w:val="none"/>
          <w:u w:val="single"/>
          <w:lang w:val="en-US" w:eastAsia="zh-CN"/>
        </w:rPr>
        <w:t>Nm³/h，原有城市中压供气规模近期4×10</w:t>
      </w:r>
      <w:r>
        <w:rPr>
          <w:rFonts w:hint="eastAsia" w:ascii="仿宋" w:hAnsi="仿宋" w:eastAsia="仿宋" w:cs="仿宋"/>
          <w:color w:val="auto"/>
          <w:sz w:val="24"/>
          <w:highlight w:val="none"/>
          <w:u w:val="single"/>
          <w:vertAlign w:val="superscript"/>
          <w:lang w:val="en-US" w:eastAsia="zh-CN"/>
        </w:rPr>
        <w:t>4</w:t>
      </w:r>
      <w:r>
        <w:rPr>
          <w:rFonts w:hint="eastAsia" w:ascii="仿宋" w:hAnsi="仿宋" w:eastAsia="仿宋" w:cs="仿宋"/>
          <w:color w:val="auto"/>
          <w:sz w:val="24"/>
          <w:highlight w:val="none"/>
          <w:u w:val="single"/>
          <w:lang w:val="en-US" w:eastAsia="zh-CN"/>
        </w:rPr>
        <w:t>Nm³/h，远期8×10</w:t>
      </w:r>
      <w:r>
        <w:rPr>
          <w:rFonts w:hint="eastAsia" w:ascii="仿宋" w:hAnsi="仿宋" w:eastAsia="仿宋" w:cs="仿宋"/>
          <w:color w:val="auto"/>
          <w:sz w:val="24"/>
          <w:highlight w:val="none"/>
          <w:u w:val="single"/>
          <w:vertAlign w:val="superscript"/>
          <w:lang w:val="en-US" w:eastAsia="zh-CN"/>
        </w:rPr>
        <w:t>4</w:t>
      </w:r>
      <w:r>
        <w:rPr>
          <w:rFonts w:hint="eastAsia" w:ascii="仿宋" w:hAnsi="仿宋" w:eastAsia="仿宋" w:cs="仿宋"/>
          <w:color w:val="auto"/>
          <w:sz w:val="24"/>
          <w:highlight w:val="none"/>
          <w:u w:val="single"/>
          <w:lang w:val="en-US" w:eastAsia="zh-CN"/>
        </w:rPr>
        <w:t>Nm³/h。</w:t>
      </w:r>
    </w:p>
    <w:p>
      <w:pPr>
        <w:topLinePunct w:val="0"/>
        <w:adjustRightInd/>
        <w:snapToGrid/>
        <w:spacing w:line="360" w:lineRule="auto"/>
        <w:ind w:firstLine="480" w:firstLineChars="200"/>
        <w:rPr>
          <w:rFonts w:hint="eastAsia" w:ascii="仿宋" w:hAnsi="仿宋" w:eastAsia="仿宋" w:cs="仿宋"/>
          <w:snapToGrid/>
          <w:color w:val="auto"/>
          <w:spacing w:val="0"/>
          <w:sz w:val="24"/>
          <w:szCs w:val="22"/>
          <w:highlight w:val="none"/>
          <w:u w:val="single"/>
        </w:rPr>
      </w:pPr>
      <w:r>
        <w:rPr>
          <w:rFonts w:hint="eastAsia" w:ascii="仿宋" w:hAnsi="仿宋" w:eastAsia="仿宋" w:cs="仿宋"/>
          <w:color w:val="auto"/>
          <w:kern w:val="2"/>
          <w:sz w:val="24"/>
          <w:highlight w:val="none"/>
          <w:u w:val="single"/>
          <w:lang w:val="en-US" w:eastAsia="zh-CN"/>
        </w:rPr>
        <w:t>2、施工内容</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kern w:val="0"/>
          <w:sz w:val="24"/>
          <w:szCs w:val="24"/>
          <w:highlight w:val="none"/>
          <w:lang w:val="en-US" w:eastAsia="zh-CN"/>
        </w:rPr>
        <w:t>新增1套过滤换热调压撬、1套计量调压撬、1套撬装锅炉、1套自用气撬、1套加臭装置，更换1套收发球装置，</w:t>
      </w:r>
      <w:r>
        <w:rPr>
          <w:rFonts w:hint="eastAsia" w:ascii="宋体" w:hAnsi="宋体"/>
          <w:color w:val="auto"/>
          <w:kern w:val="0"/>
          <w:sz w:val="24"/>
          <w:highlight w:val="none"/>
        </w:rPr>
        <w:t>按施工图完成</w:t>
      </w:r>
      <w:r>
        <w:rPr>
          <w:rFonts w:hint="eastAsia" w:ascii="宋体" w:hAnsi="宋体"/>
          <w:color w:val="auto"/>
          <w:kern w:val="0"/>
          <w:sz w:val="24"/>
          <w:highlight w:val="none"/>
          <w:lang w:val="en-US" w:eastAsia="zh-CN"/>
        </w:rPr>
        <w:t>撬装基础、设备</w:t>
      </w:r>
      <w:r>
        <w:rPr>
          <w:rFonts w:hint="eastAsia" w:ascii="宋体" w:hAnsi="宋体" w:cs="宋体"/>
          <w:kern w:val="0"/>
          <w:sz w:val="24"/>
          <w:szCs w:val="24"/>
          <w:highlight w:val="none"/>
          <w:lang w:val="en-US" w:eastAsia="zh-CN"/>
        </w:rPr>
        <w:t>基础建设及工艺管道连接</w:t>
      </w:r>
      <w:r>
        <w:rPr>
          <w:rFonts w:hint="eastAsia" w:ascii="宋体" w:hAnsi="宋体"/>
          <w:color w:val="auto"/>
          <w:kern w:val="0"/>
          <w:sz w:val="24"/>
          <w:highlight w:val="none"/>
        </w:rPr>
        <w:t>。</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olor w:val="auto"/>
          <w:kern w:val="0"/>
          <w:sz w:val="24"/>
          <w:highlight w:val="none"/>
        </w:rPr>
        <w:t>按施工图</w:t>
      </w:r>
      <w:r>
        <w:rPr>
          <w:rFonts w:hint="eastAsia" w:ascii="宋体" w:hAnsi="宋体"/>
          <w:color w:val="auto"/>
          <w:kern w:val="0"/>
          <w:sz w:val="24"/>
          <w:highlight w:val="none"/>
          <w:lang w:val="en-US" w:eastAsia="zh-CN"/>
        </w:rPr>
        <w:t>对现状调压站进口单元进行改造，将进站主干管上DN700-200的三通更换成DN700-400的三通，此处涉及到主干管线停气接驳作业，施工单位需按要求对拟动火接驳的主干管道进行2次氮气转换。</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color w:val="auto"/>
          <w:kern w:val="0"/>
          <w:sz w:val="24"/>
          <w:highlight w:val="none"/>
          <w:lang w:val="en-US" w:eastAsia="zh-CN"/>
        </w:rPr>
        <w:t>按施工图新建计量调压撬去佛山南海燃气方向DN600的中压出站管道</w:t>
      </w:r>
      <w:r>
        <w:rPr>
          <w:rFonts w:hint="eastAsia" w:ascii="宋体" w:hAnsi="宋体" w:cs="宋体"/>
          <w:color w:val="auto"/>
          <w:kern w:val="0"/>
          <w:sz w:val="24"/>
          <w:highlight w:val="none"/>
        </w:rPr>
        <w:t>。</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color w:val="auto"/>
          <w:kern w:val="0"/>
          <w:sz w:val="24"/>
          <w:highlight w:val="none"/>
        </w:rPr>
        <w:t>按施工图</w:t>
      </w:r>
      <w:r>
        <w:rPr>
          <w:rFonts w:hint="eastAsia" w:ascii="宋体" w:hAnsi="宋体" w:cs="宋体"/>
          <w:color w:val="auto"/>
          <w:kern w:val="0"/>
          <w:sz w:val="24"/>
          <w:highlight w:val="none"/>
          <w:lang w:val="en-US" w:eastAsia="zh-CN"/>
        </w:rPr>
        <w:t>拆除站内原城市中压部分出站管道DN500,从新建的计量调压撬建DN500中压管道与出站管道接驳，此作业涉及到停气接驳作业，施工单位需按要求对拟动火接驳的管道进行2次氮气置换</w:t>
      </w:r>
      <w:r>
        <w:rPr>
          <w:rFonts w:hint="eastAsia" w:ascii="宋体" w:hAnsi="宋体" w:cs="宋体"/>
          <w:color w:val="auto"/>
          <w:kern w:val="0"/>
          <w:sz w:val="24"/>
          <w:highlight w:val="none"/>
        </w:rPr>
        <w:t>。</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color w:val="auto"/>
          <w:kern w:val="0"/>
          <w:sz w:val="24"/>
          <w:highlight w:val="none"/>
          <w:lang w:val="en-US" w:eastAsia="zh-CN"/>
        </w:rPr>
        <w:t>按施工图完成收发球筒、阀门、绝缘接头等设备安装。</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color w:val="auto"/>
          <w:kern w:val="0"/>
          <w:sz w:val="24"/>
          <w:highlight w:val="none"/>
          <w:lang w:val="en-US" w:eastAsia="zh-CN"/>
        </w:rPr>
        <w:t>按施工图拆除站内原有的过滤计量调压撬1套、拆除临时加臭系统1套，</w:t>
      </w:r>
      <w:r>
        <w:rPr>
          <w:rFonts w:hint="eastAsia" w:ascii="宋体" w:hAnsi="宋体" w:cs="宋体"/>
          <w:kern w:val="0"/>
          <w:sz w:val="24"/>
          <w:szCs w:val="24"/>
          <w:highlight w:val="none"/>
          <w:lang w:val="en-US" w:eastAsia="zh-CN"/>
        </w:rPr>
        <w:t>拆除太和方向收球装置及原有到过滤计量调压撬的DN200管线等，拆除的设备及管线吊运至业主指定存放的场站（暂定吉山供气站）。</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color w:val="auto"/>
          <w:kern w:val="0"/>
          <w:sz w:val="24"/>
          <w:highlight w:val="none"/>
          <w:lang w:val="en-US" w:eastAsia="zh-CN"/>
        </w:rPr>
        <w:t>按施工图</w:t>
      </w:r>
      <w:r>
        <w:rPr>
          <w:rFonts w:hint="eastAsia" w:ascii="宋体" w:hAnsi="宋体" w:cs="宋体"/>
          <w:kern w:val="0"/>
          <w:sz w:val="24"/>
          <w:szCs w:val="24"/>
          <w:highlight w:val="none"/>
          <w:lang w:val="en-US" w:eastAsia="zh-CN"/>
        </w:rPr>
        <w:t>新建1座排污池、拆除1套污水处理池以及工艺区平面改造等土建基础。</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kern w:val="0"/>
          <w:sz w:val="24"/>
          <w:szCs w:val="24"/>
          <w:highlight w:val="none"/>
          <w:lang w:val="en-US" w:eastAsia="zh-CN"/>
        </w:rPr>
        <w:t>按施工图完成石马阀室和南方村阀室加装旁通管线相关工作。</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s="宋体"/>
          <w:color w:val="auto"/>
          <w:kern w:val="0"/>
          <w:sz w:val="24"/>
          <w:highlight w:val="none"/>
          <w:lang w:val="en-US" w:eastAsia="zh-CN"/>
        </w:rPr>
        <w:t>按施工图完成机柜间和站控室</w:t>
      </w:r>
      <w:r>
        <w:rPr>
          <w:rFonts w:hint="eastAsia" w:ascii="宋体" w:hAnsi="宋体" w:cs="宋体"/>
          <w:kern w:val="0"/>
          <w:sz w:val="24"/>
          <w:szCs w:val="24"/>
          <w:highlight w:val="none"/>
          <w:lang w:val="en-US" w:eastAsia="zh-CN"/>
        </w:rPr>
        <w:t>改造相关工作。</w:t>
      </w:r>
    </w:p>
    <w:p>
      <w:pPr>
        <w:pStyle w:val="233"/>
        <w:numPr>
          <w:ilvl w:val="0"/>
          <w:numId w:val="4"/>
        </w:numPr>
        <w:tabs>
          <w:tab w:val="left" w:pos="840"/>
        </w:tabs>
        <w:adjustRightInd w:val="0"/>
        <w:snapToGrid w:val="0"/>
        <w:spacing w:line="500" w:lineRule="exact"/>
        <w:ind w:left="0" w:firstLine="538" w:firstLineChars="0"/>
        <w:rPr>
          <w:rFonts w:ascii="宋体" w:hAnsi="宋体"/>
          <w:color w:val="auto"/>
          <w:kern w:val="0"/>
          <w:sz w:val="24"/>
          <w:highlight w:val="none"/>
        </w:rPr>
      </w:pPr>
      <w:r>
        <w:rPr>
          <w:rFonts w:hint="eastAsia" w:ascii="宋体" w:hAnsi="宋体"/>
          <w:color w:val="auto"/>
          <w:kern w:val="0"/>
          <w:sz w:val="24"/>
          <w:highlight w:val="none"/>
          <w:lang w:val="en-US" w:eastAsia="zh-CN"/>
        </w:rPr>
        <w:t>电缆沟开挖、电缆敷设、撬装防爆箱电缆接线等。</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cs="宋体"/>
          <w:kern w:val="0"/>
          <w:sz w:val="24"/>
          <w:szCs w:val="24"/>
          <w:highlight w:val="none"/>
          <w:lang w:val="en-US" w:eastAsia="zh-CN"/>
        </w:rPr>
        <w:t>迁移3套智能调压系统到新的计量调压撬中，配置相应的电源、控制及信号电缆，配置相应的引压管，使得设备具备智能调压功能。</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cs="宋体"/>
          <w:kern w:val="0"/>
          <w:sz w:val="24"/>
          <w:szCs w:val="24"/>
          <w:highlight w:val="none"/>
          <w:lang w:val="en-US" w:eastAsia="zh-CN"/>
        </w:rPr>
        <w:t>按照临时办公场所项目需求书要求，完成项目临时集装箱式办公场所、仓房和移动式洗手间深化设计并实施建设工作，并配置相应的空调、生活办公家具等物品，此项目深化设计及施工要求不得低于项目需求书的相关要求。</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为临时办公区域设施2个摄像头及相应的电缆等设施并接入现有的监控系统中。</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在办公区域临时房周边新建55米实体围墙，围墙上安装防盗防盗网，并设置红外对射装置。</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完成机柜间室内通信机柜的迁移工作，在机柜间和临时办公板房之间铺设光纤及相应的通信设施。</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对站内部分树木进行站内移栽，其中胸径为80CM的小叶榕1株、胸径为50CM的小叶榕2株、胸径为20CM的乔木3株。</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对现有辅助用房前的地块和停车场附近的地块进行平整和硬化，以具备放置集装箱临时房条件。</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施工完成后对场站进行植草皮复绿。</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辅助用房电房改造部分（高压柜、变压器、低压柜更换等内容）不在本次范围，燃气发电机不在本次招标范围内。</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铺设通往临时办公用房和仓库的人车通行道路。</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sz w:val="24"/>
          <w:szCs w:val="24"/>
          <w:highlight w:val="none"/>
          <w:lang w:val="en-US" w:eastAsia="zh-CN"/>
        </w:rPr>
        <w:t>对辅助用房、门卫内外墙、门窗进行相应的改造，对场站大门进行改造以满足反恐要求，对场站的花基进行改造。</w:t>
      </w:r>
    </w:p>
    <w:p>
      <w:pPr>
        <w:pStyle w:val="233"/>
        <w:numPr>
          <w:ilvl w:val="0"/>
          <w:numId w:val="4"/>
        </w:numPr>
        <w:tabs>
          <w:tab w:val="left" w:pos="840"/>
        </w:tabs>
        <w:adjustRightInd w:val="0"/>
        <w:snapToGrid w:val="0"/>
        <w:spacing w:line="500" w:lineRule="exact"/>
        <w:ind w:left="0" w:firstLine="538" w:firstLineChars="0"/>
        <w:rPr>
          <w:rFonts w:ascii="宋体" w:hAnsi="宋体"/>
          <w:sz w:val="24"/>
          <w:szCs w:val="24"/>
          <w:highlight w:val="none"/>
        </w:rPr>
      </w:pPr>
      <w:r>
        <w:rPr>
          <w:rFonts w:hint="eastAsia" w:ascii="宋体" w:hAnsi="宋体" w:cs="宋体"/>
          <w:color w:val="auto"/>
          <w:kern w:val="0"/>
          <w:sz w:val="24"/>
          <w:highlight w:val="none"/>
        </w:rPr>
        <w:t>施工图纸及工程量清单上的其他工作。</w:t>
      </w:r>
    </w:p>
    <w:p>
      <w:pPr>
        <w:widowControl/>
        <w:spacing w:line="360" w:lineRule="auto"/>
        <w:ind w:firstLine="480" w:firstLineChars="200"/>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（具体以招标文件、施工图纸、工程量清单为准）</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承包</w:t>
      </w:r>
      <w:r>
        <w:rPr>
          <w:rFonts w:hint="eastAsia" w:ascii="仿宋" w:hAnsi="仿宋" w:eastAsia="仿宋" w:cs="仿宋"/>
          <w:color w:val="auto"/>
          <w:sz w:val="24"/>
          <w:highlight w:val="none"/>
          <w:u w:val="single"/>
          <w:lang w:val="en-US" w:eastAsia="zh-CN"/>
        </w:rPr>
        <w:t>范围</w:t>
      </w:r>
      <w:r>
        <w:rPr>
          <w:rFonts w:hint="eastAsia" w:ascii="仿宋" w:hAnsi="仿宋" w:eastAsia="仿宋" w:cs="仿宋"/>
          <w:color w:val="auto"/>
          <w:sz w:val="24"/>
          <w:highlight w:val="none"/>
          <w:u w:val="single"/>
        </w:rPr>
        <w:t>：包工、包料（甲供材料除外）、包工期、包质量、包绿色施工安全防护措施费。综合单价包干、项目措施费</w:t>
      </w:r>
      <w:r>
        <w:rPr>
          <w:rFonts w:hint="eastAsia" w:ascii="仿宋" w:hAnsi="仿宋" w:eastAsia="仿宋" w:cs="仿宋"/>
          <w:color w:val="auto"/>
          <w:sz w:val="24"/>
          <w:highlight w:val="none"/>
          <w:u w:val="single"/>
          <w:lang w:val="en-US" w:eastAsia="zh-CN"/>
        </w:rPr>
        <w:t>及其他项目费合价</w:t>
      </w:r>
      <w:r>
        <w:rPr>
          <w:rFonts w:hint="eastAsia" w:ascii="仿宋" w:hAnsi="仿宋" w:eastAsia="仿宋" w:cs="仿宋"/>
          <w:color w:val="auto"/>
          <w:sz w:val="24"/>
          <w:highlight w:val="none"/>
          <w:u w:val="single"/>
        </w:rPr>
        <w:t>包干</w:t>
      </w:r>
      <w:r>
        <w:rPr>
          <w:rFonts w:hint="eastAsia" w:ascii="仿宋" w:hAnsi="仿宋" w:eastAsia="仿宋" w:cs="仿宋"/>
          <w:color w:val="auto"/>
          <w:sz w:val="24"/>
          <w:highlight w:val="none"/>
          <w:u w:val="single"/>
          <w:lang w:eastAsia="zh-CN"/>
        </w:rPr>
        <w:t>。</w:t>
      </w:r>
    </w:p>
    <w:p>
      <w:pPr>
        <w:spacing w:line="360" w:lineRule="auto"/>
        <w:ind w:firstLine="523" w:firstLineChars="218"/>
        <w:rPr>
          <w:rFonts w:hint="eastAsia" w:ascii="仿宋" w:hAnsi="仿宋" w:eastAsia="仿宋" w:cs="仿宋"/>
          <w:color w:val="auto"/>
          <w:sz w:val="24"/>
          <w:szCs w:val="24"/>
          <w:highlight w:val="none"/>
          <w:u w:val="single"/>
        </w:rPr>
      </w:pPr>
    </w:p>
    <w:p>
      <w:pPr>
        <w:numPr>
          <w:ilvl w:val="0"/>
          <w:numId w:val="5"/>
        </w:numPr>
        <w:topLinePunct/>
        <w:adjustRightInd w:val="0"/>
        <w:snapToGrid w:val="0"/>
        <w:spacing w:line="360" w:lineRule="auto"/>
        <w:ind w:left="0" w:firstLine="723" w:firstLineChars="300"/>
        <w:rPr>
          <w:rFonts w:hint="eastAsia" w:ascii="仿宋" w:hAnsi="仿宋" w:eastAsia="仿宋" w:cs="仿宋"/>
          <w:b/>
          <w:bCs/>
          <w:color w:val="auto"/>
          <w:sz w:val="24"/>
          <w:szCs w:val="24"/>
          <w:highlight w:val="none"/>
        </w:rPr>
      </w:pPr>
      <w:bookmarkStart w:id="62" w:name="_Toc266892754"/>
      <w:bookmarkStart w:id="63" w:name="_Toc25653596"/>
      <w:bookmarkStart w:id="64" w:name="_Toc469383970"/>
      <w:bookmarkStart w:id="65" w:name="_Toc2979"/>
      <w:bookmarkStart w:id="66" w:name="_Toc11918"/>
      <w:r>
        <w:rPr>
          <w:rFonts w:hint="eastAsia" w:ascii="仿宋" w:hAnsi="仿宋" w:eastAsia="仿宋" w:cs="仿宋"/>
          <w:b/>
          <w:bCs/>
          <w:color w:val="auto"/>
          <w:sz w:val="24"/>
          <w:szCs w:val="24"/>
          <w:highlight w:val="none"/>
        </w:rPr>
        <w:t>合同工期</w:t>
      </w:r>
      <w:bookmarkEnd w:id="62"/>
      <w:bookmarkEnd w:id="63"/>
      <w:bookmarkEnd w:id="64"/>
      <w:r>
        <w:rPr>
          <w:rFonts w:hint="eastAsia" w:ascii="仿宋" w:hAnsi="仿宋" w:eastAsia="仿宋" w:cs="仿宋"/>
          <w:b/>
          <w:bCs/>
          <w:color w:val="auto"/>
          <w:sz w:val="24"/>
          <w:szCs w:val="24"/>
          <w:highlight w:val="none"/>
        </w:rPr>
        <w:t>（中标后根据标段情况填写）</w:t>
      </w:r>
      <w:bookmarkEnd w:id="65"/>
      <w:bookmarkEnd w:id="66"/>
    </w:p>
    <w:p>
      <w:pPr>
        <w:numPr>
          <w:ilvl w:val="-1"/>
          <w:numId w:val="0"/>
        </w:numPr>
        <w:topLinePunct w:val="0"/>
        <w:adjustRightInd/>
        <w:snapToGrid/>
        <w:spacing w:line="360" w:lineRule="auto"/>
        <w:ind w:left="479" w:leftChars="228" w:firstLine="12" w:firstLineChars="5"/>
        <w:rPr>
          <w:rFonts w:hint="eastAsia" w:ascii="仿宋" w:hAnsi="仿宋" w:eastAsia="仿宋" w:cs="仿宋"/>
          <w:snapToGrid/>
          <w:color w:val="auto"/>
          <w:spacing w:val="0"/>
          <w:kern w:val="0"/>
          <w:sz w:val="24"/>
          <w:szCs w:val="24"/>
          <w:highlight w:val="none"/>
          <w:u w:val="none"/>
          <w:lang w:eastAsia="zh-CN"/>
        </w:rPr>
      </w:pPr>
      <w:r>
        <w:rPr>
          <w:rFonts w:hint="eastAsia" w:ascii="仿宋" w:hAnsi="仿宋" w:eastAsia="仿宋" w:cs="仿宋"/>
          <w:snapToGrid/>
          <w:color w:val="auto"/>
          <w:spacing w:val="0"/>
          <w:kern w:val="0"/>
          <w:sz w:val="24"/>
          <w:szCs w:val="24"/>
          <w:highlight w:val="none"/>
        </w:rPr>
        <w:t>施工总期</w:t>
      </w:r>
      <w:r>
        <w:rPr>
          <w:rFonts w:hint="eastAsia" w:ascii="仿宋" w:hAnsi="仿宋" w:eastAsia="仿宋" w:cs="仿宋"/>
          <w:snapToGrid/>
          <w:color w:val="auto"/>
          <w:spacing w:val="0"/>
          <w:kern w:val="0"/>
          <w:sz w:val="24"/>
          <w:szCs w:val="24"/>
          <w:highlight w:val="none"/>
          <w:lang w:eastAsia="zh-CN"/>
        </w:rPr>
        <w:t>为</w:t>
      </w:r>
      <w:r>
        <w:rPr>
          <w:rFonts w:hint="eastAsia" w:ascii="仿宋" w:hAnsi="仿宋" w:eastAsia="仿宋" w:cs="仿宋"/>
          <w:snapToGrid/>
          <w:color w:val="auto"/>
          <w:spacing w:val="0"/>
          <w:kern w:val="0"/>
          <w:sz w:val="24"/>
          <w:szCs w:val="24"/>
          <w:highlight w:val="none"/>
          <w:u w:val="none"/>
          <w:lang w:val="en-US" w:eastAsia="zh-CN"/>
        </w:rPr>
        <w:t>90</w:t>
      </w:r>
      <w:r>
        <w:rPr>
          <w:rFonts w:hint="eastAsia" w:ascii="仿宋" w:hAnsi="仿宋" w:eastAsia="仿宋" w:cs="仿宋"/>
          <w:snapToGrid/>
          <w:color w:val="auto"/>
          <w:spacing w:val="0"/>
          <w:kern w:val="0"/>
          <w:sz w:val="24"/>
          <w:szCs w:val="24"/>
          <w:highlight w:val="none"/>
        </w:rPr>
        <w:t>日历天</w:t>
      </w:r>
      <w:r>
        <w:rPr>
          <w:rFonts w:hint="eastAsia" w:ascii="仿宋" w:hAnsi="仿宋" w:eastAsia="仿宋" w:cs="仿宋"/>
          <w:snapToGrid/>
          <w:color w:val="auto"/>
          <w:spacing w:val="0"/>
          <w:kern w:val="0"/>
          <w:sz w:val="24"/>
          <w:szCs w:val="24"/>
          <w:highlight w:val="none"/>
          <w:lang w:eastAsia="zh-CN"/>
        </w:rPr>
        <w:t>，</w:t>
      </w:r>
      <w:r>
        <w:rPr>
          <w:rFonts w:hint="eastAsia" w:ascii="仿宋" w:hAnsi="仿宋" w:eastAsia="仿宋" w:cs="仿宋"/>
          <w:snapToGrid/>
          <w:color w:val="auto"/>
          <w:spacing w:val="0"/>
          <w:kern w:val="0"/>
          <w:sz w:val="24"/>
          <w:szCs w:val="24"/>
          <w:highlight w:val="none"/>
          <w:u w:val="none"/>
          <w:lang w:val="en-US" w:eastAsia="zh-CN"/>
        </w:rPr>
        <w:t>开工时间</w:t>
      </w:r>
      <w:r>
        <w:rPr>
          <w:rFonts w:hint="eastAsia" w:ascii="仿宋" w:hAnsi="仿宋" w:eastAsia="仿宋" w:cs="仿宋"/>
          <w:snapToGrid/>
          <w:color w:val="auto"/>
          <w:spacing w:val="0"/>
          <w:kern w:val="0"/>
          <w:sz w:val="24"/>
          <w:szCs w:val="24"/>
          <w:highlight w:val="none"/>
        </w:rPr>
        <w:t>以监理总工程师签发的开工令日期为准。</w:t>
      </w:r>
      <w:r>
        <w:rPr>
          <w:rFonts w:hint="eastAsia" w:ascii="仿宋" w:hAnsi="仿宋" w:eastAsia="仿宋" w:cs="仿宋"/>
          <w:snapToGrid/>
          <w:color w:val="auto"/>
          <w:spacing w:val="0"/>
          <w:kern w:val="0"/>
          <w:sz w:val="24"/>
          <w:szCs w:val="24"/>
          <w:highlight w:val="none"/>
          <w:lang w:val="en-US" w:eastAsia="zh-CN"/>
        </w:rPr>
        <w:t>具体工期进度要求如下：</w:t>
      </w:r>
    </w:p>
    <w:p>
      <w:pPr>
        <w:numPr>
          <w:ilvl w:val="-1"/>
          <w:numId w:val="0"/>
        </w:numPr>
        <w:spacing w:line="360" w:lineRule="auto"/>
        <w:ind w:left="479" w:leftChars="228" w:firstLine="12" w:firstLineChars="5"/>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u w:val="none"/>
          <w:lang w:val="en-US" w:eastAsia="zh-CN"/>
        </w:rPr>
        <w:t>1、</w:t>
      </w:r>
      <w:r>
        <w:rPr>
          <w:rFonts w:hint="eastAsia" w:ascii="仿宋" w:hAnsi="仿宋" w:eastAsia="仿宋" w:cs="仿宋"/>
          <w:color w:val="auto"/>
          <w:kern w:val="0"/>
          <w:sz w:val="24"/>
          <w:szCs w:val="24"/>
          <w:highlight w:val="none"/>
          <w:lang w:val="en-US" w:eastAsia="zh-CN"/>
        </w:rPr>
        <w:t>撬装基础，开工令发出20天内完成；</w:t>
      </w:r>
    </w:p>
    <w:p>
      <w:pPr>
        <w:numPr>
          <w:ilvl w:val="-1"/>
          <w:numId w:val="0"/>
        </w:numPr>
        <w:spacing w:line="360" w:lineRule="auto"/>
        <w:ind w:left="479" w:leftChars="228" w:firstLine="12" w:firstLineChars="5"/>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2、工艺改造，</w:t>
      </w:r>
      <w:r>
        <w:rPr>
          <w:rFonts w:hint="eastAsia" w:ascii="仿宋" w:hAnsi="仿宋" w:eastAsia="仿宋" w:cs="仿宋"/>
          <w:snapToGrid/>
          <w:color w:val="auto"/>
          <w:spacing w:val="0"/>
          <w:kern w:val="0"/>
          <w:sz w:val="24"/>
          <w:szCs w:val="24"/>
          <w:highlight w:val="none"/>
          <w:lang w:val="en-US" w:eastAsia="zh-CN"/>
        </w:rPr>
        <w:t>满足通气投产条件,</w:t>
      </w:r>
      <w:r>
        <w:rPr>
          <w:rFonts w:hint="eastAsia" w:ascii="仿宋" w:hAnsi="仿宋" w:eastAsia="仿宋" w:cs="仿宋"/>
          <w:color w:val="auto"/>
          <w:kern w:val="0"/>
          <w:sz w:val="24"/>
          <w:szCs w:val="24"/>
          <w:highlight w:val="none"/>
          <w:lang w:val="en-US" w:eastAsia="zh-CN"/>
        </w:rPr>
        <w:t>开工令发出45天内完成；</w:t>
      </w:r>
    </w:p>
    <w:p>
      <w:pPr>
        <w:numPr>
          <w:ilvl w:val="-1"/>
          <w:numId w:val="0"/>
        </w:numPr>
        <w:spacing w:line="360" w:lineRule="auto"/>
        <w:ind w:left="479" w:leftChars="228" w:firstLine="12" w:firstLineChars="5"/>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3、其他施工内容，开工令发出90内完成。</w:t>
      </w:r>
    </w:p>
    <w:p>
      <w:pPr>
        <w:adjustRightInd/>
        <w:snapToGrid/>
        <w:spacing w:line="360" w:lineRule="auto"/>
        <w:ind w:left="479" w:leftChars="228" w:firstLine="12" w:firstLineChars="5"/>
        <w:rPr>
          <w:rFonts w:hint="eastAsia" w:ascii="仿宋" w:hAnsi="仿宋" w:eastAsia="仿宋" w:cs="仿宋"/>
          <w:color w:val="auto"/>
          <w:kern w:val="0"/>
          <w:sz w:val="24"/>
          <w:szCs w:val="24"/>
          <w:highlight w:val="none"/>
          <w:u w:val="none"/>
        </w:rPr>
      </w:pPr>
      <w:r>
        <w:rPr>
          <w:rFonts w:hint="eastAsia" w:ascii="仿宋" w:hAnsi="仿宋" w:eastAsia="仿宋" w:cs="仿宋"/>
          <w:color w:val="auto"/>
          <w:kern w:val="0"/>
          <w:sz w:val="24"/>
          <w:szCs w:val="24"/>
          <w:highlight w:val="none"/>
        </w:rPr>
        <w:t>除双方另有约定外，乙方必须采取一切有效措施保证按期完成工程，不得延误。</w:t>
      </w:r>
    </w:p>
    <w:p>
      <w:pPr>
        <w:spacing w:line="360" w:lineRule="auto"/>
        <w:ind w:left="0" w:firstLine="0" w:firstLineChars="0"/>
        <w:outlineLvl w:val="1"/>
        <w:rPr>
          <w:rFonts w:hint="eastAsia" w:ascii="仿宋" w:hAnsi="仿宋" w:eastAsia="仿宋" w:cs="仿宋"/>
          <w:color w:val="auto"/>
          <w:sz w:val="24"/>
          <w:szCs w:val="24"/>
          <w:highlight w:val="none"/>
          <w:lang w:eastAsia="zh-CN"/>
        </w:rPr>
      </w:pPr>
    </w:p>
    <w:p>
      <w:pPr>
        <w:spacing w:line="360" w:lineRule="auto"/>
        <w:rPr>
          <w:rFonts w:ascii="仿宋" w:hAnsi="仿宋" w:eastAsia="仿宋"/>
          <w:color w:val="auto"/>
          <w:sz w:val="24"/>
          <w:szCs w:val="24"/>
          <w:highlight w:val="none"/>
        </w:rPr>
      </w:pPr>
    </w:p>
    <w:p>
      <w:pPr>
        <w:spacing w:line="360" w:lineRule="auto"/>
        <w:ind w:left="0" w:firstLine="0" w:firstLineChars="0"/>
        <w:outlineLvl w:val="1"/>
        <w:rPr>
          <w:rFonts w:ascii="仿宋" w:hAnsi="仿宋" w:eastAsia="仿宋" w:cs="仿宋"/>
          <w:color w:val="auto"/>
          <w:sz w:val="24"/>
          <w:szCs w:val="24"/>
          <w:highlight w:val="none"/>
        </w:rPr>
      </w:pPr>
      <w:bookmarkStart w:id="67" w:name="_Toc25653597"/>
      <w:bookmarkStart w:id="68" w:name="_Toc469383971"/>
      <w:bookmarkStart w:id="69" w:name="_Toc266892755"/>
      <w:bookmarkStart w:id="70" w:name="_Toc11271"/>
      <w:bookmarkStart w:id="71" w:name="_Toc26579"/>
      <w:r>
        <w:rPr>
          <w:rFonts w:hint="eastAsia" w:ascii="仿宋" w:hAnsi="仿宋" w:eastAsia="仿宋" w:cs="仿宋"/>
          <w:b/>
          <w:bCs/>
          <w:color w:val="auto"/>
          <w:sz w:val="24"/>
          <w:szCs w:val="24"/>
          <w:highlight w:val="none"/>
        </w:rPr>
        <w:t>★四、质量标准</w:t>
      </w:r>
      <w:bookmarkEnd w:id="67"/>
      <w:bookmarkEnd w:id="68"/>
      <w:bookmarkEnd w:id="69"/>
      <w:r>
        <w:rPr>
          <w:rFonts w:hint="eastAsia" w:ascii="仿宋" w:hAnsi="仿宋" w:eastAsia="仿宋" w:cs="仿宋"/>
          <w:b/>
          <w:bCs/>
          <w:color w:val="auto"/>
          <w:sz w:val="24"/>
          <w:szCs w:val="24"/>
          <w:highlight w:val="none"/>
        </w:rPr>
        <w:t>（中标后根据标段情况填写）</w:t>
      </w:r>
      <w:bookmarkEnd w:id="70"/>
      <w:bookmarkEnd w:id="71"/>
    </w:p>
    <w:p>
      <w:pPr>
        <w:spacing w:line="360" w:lineRule="auto"/>
        <w:ind w:left="479" w:leftChars="228" w:firstLine="43" w:firstLineChars="18"/>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工程质量标准：</w:t>
      </w:r>
    </w:p>
    <w:p>
      <w:pPr>
        <w:spacing w:line="360" w:lineRule="auto"/>
        <w:ind w:left="479" w:leftChars="228" w:firstLine="43" w:firstLineChars="18"/>
        <w:rPr>
          <w:rFonts w:ascii="仿宋" w:hAnsi="仿宋" w:eastAsia="仿宋"/>
          <w:color w:val="auto"/>
          <w:sz w:val="24"/>
          <w:szCs w:val="24"/>
          <w:highlight w:val="none"/>
        </w:rPr>
      </w:pPr>
      <w:r>
        <w:rPr>
          <w:rFonts w:ascii="仿宋" w:hAnsi="仿宋" w:eastAsia="仿宋" w:cs="仿宋"/>
          <w:color w:val="auto"/>
          <w:sz w:val="24"/>
          <w:szCs w:val="24"/>
          <w:highlight w:val="none"/>
        </w:rPr>
        <w:sym w:font="Wingdings 2" w:char="F052"/>
      </w:r>
      <w:r>
        <w:rPr>
          <w:rFonts w:ascii="仿宋" w:hAnsi="仿宋" w:eastAsia="仿宋" w:cs="仿宋"/>
          <w:color w:val="auto"/>
          <w:sz w:val="24"/>
          <w:szCs w:val="24"/>
          <w:highlight w:val="none"/>
        </w:rPr>
        <w:t xml:space="preserve"> 确保符合国家、省、市相关法律法规要求的质量验收标准，并达到合格或（以上标准）。</w:t>
      </w:r>
    </w:p>
    <w:p>
      <w:pPr>
        <w:ind w:firstLine="480" w:firstLineChars="200"/>
        <w:rPr>
          <w:rFonts w:ascii="仿宋" w:hAnsi="仿宋" w:eastAsia="仿宋"/>
          <w:color w:val="auto"/>
          <w:sz w:val="24"/>
          <w:szCs w:val="24"/>
          <w:highlight w:val="none"/>
          <w:u w:val="single"/>
        </w:rPr>
      </w:pPr>
    </w:p>
    <w:p>
      <w:pPr>
        <w:spacing w:line="360" w:lineRule="auto"/>
        <w:outlineLvl w:val="1"/>
        <w:rPr>
          <w:rFonts w:ascii="仿宋" w:hAnsi="仿宋" w:eastAsia="仿宋" w:cs="仿宋"/>
          <w:color w:val="auto"/>
          <w:sz w:val="24"/>
          <w:szCs w:val="24"/>
          <w:highlight w:val="none"/>
        </w:rPr>
      </w:pPr>
      <w:bookmarkStart w:id="72" w:name="_Toc469383972"/>
      <w:bookmarkStart w:id="73" w:name="_Toc266892756"/>
      <w:bookmarkStart w:id="74" w:name="_Toc25653598"/>
      <w:bookmarkStart w:id="75" w:name="_Toc22092"/>
      <w:bookmarkStart w:id="76" w:name="_Toc8540"/>
      <w:r>
        <w:rPr>
          <w:rFonts w:hint="eastAsia" w:ascii="仿宋" w:hAnsi="仿宋" w:eastAsia="仿宋" w:cs="仿宋"/>
          <w:b/>
          <w:bCs/>
          <w:color w:val="auto"/>
          <w:sz w:val="24"/>
          <w:szCs w:val="24"/>
          <w:highlight w:val="none"/>
        </w:rPr>
        <w:t>五、合同价款</w:t>
      </w:r>
      <w:bookmarkEnd w:id="72"/>
      <w:bookmarkEnd w:id="73"/>
      <w:bookmarkEnd w:id="74"/>
      <w:r>
        <w:rPr>
          <w:rFonts w:hint="eastAsia" w:ascii="仿宋" w:hAnsi="仿宋" w:eastAsia="仿宋" w:cs="仿宋"/>
          <w:b/>
          <w:bCs/>
          <w:color w:val="auto"/>
          <w:sz w:val="24"/>
          <w:szCs w:val="24"/>
          <w:highlight w:val="none"/>
        </w:rPr>
        <w:t>（中标后根据标段情况填写）</w:t>
      </w:r>
      <w:bookmarkEnd w:id="75"/>
      <w:bookmarkEnd w:id="76"/>
    </w:p>
    <w:p>
      <w:pPr>
        <w:spacing w:line="360" w:lineRule="auto"/>
        <w:ind w:firstLine="523" w:firstLineChars="218"/>
        <w:rPr>
          <w:rFonts w:ascii="仿宋" w:hAnsi="仿宋" w:eastAsia="仿宋"/>
          <w:color w:val="auto"/>
          <w:sz w:val="24"/>
          <w:szCs w:val="24"/>
          <w:highlight w:val="none"/>
        </w:rPr>
      </w:pPr>
      <w:r>
        <w:rPr>
          <w:rFonts w:hint="eastAsia" w:ascii="仿宋" w:hAnsi="仿宋" w:eastAsia="仿宋" w:cs="仿宋"/>
          <w:color w:val="auto"/>
          <w:sz w:val="24"/>
          <w:szCs w:val="24"/>
          <w:highlight w:val="none"/>
        </w:rPr>
        <w:t>含税合同总价（大写）：；</w:t>
      </w:r>
    </w:p>
    <w:p>
      <w:pPr>
        <w:spacing w:line="360" w:lineRule="auto"/>
        <w:ind w:firstLine="1960" w:firstLineChars="8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（小写）： 元。</w:t>
      </w:r>
    </w:p>
    <w:p>
      <w:pPr>
        <w:autoSpaceDE w:val="0"/>
        <w:autoSpaceDN w:val="0"/>
        <w:adjustRightInd w:val="0"/>
        <w:spacing w:after="156" w:afterLines="50"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不含税合同价（小写）：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元、税额元（增值税率</w:t>
      </w:r>
      <w:r>
        <w:rPr>
          <w:rFonts w:ascii="仿宋" w:hAnsi="仿宋" w:eastAsia="仿宋" w:cs="仿宋"/>
          <w:color w:val="auto"/>
          <w:sz w:val="24"/>
          <w:szCs w:val="24"/>
          <w:highlight w:val="none"/>
        </w:rPr>
        <w:t>9%），如因国家税收政策变化，则按不含税价不变原则相应调整税率和税额。</w:t>
      </w:r>
    </w:p>
    <w:p>
      <w:pPr>
        <w:autoSpaceDE w:val="0"/>
        <w:autoSpaceDN w:val="0"/>
        <w:adjustRightInd w:val="0"/>
        <w:spacing w:line="360" w:lineRule="auto"/>
        <w:ind w:firstLine="1560" w:firstLineChars="650"/>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其中：暂列金额</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pPr>
        <w:spacing w:line="360" w:lineRule="auto"/>
        <w:ind w:firstLine="2280" w:firstLineChars="9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 xml:space="preserve">绿色施工安全防护措施费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元，</w:t>
      </w:r>
    </w:p>
    <w:p>
      <w:pPr>
        <w:spacing w:line="360" w:lineRule="auto"/>
        <w:ind w:firstLine="2280" w:firstLineChars="950"/>
        <w:rPr>
          <w:rFonts w:ascii="仿宋" w:hAnsi="仿宋" w:eastAsia="仿宋"/>
          <w:color w:val="auto"/>
          <w:sz w:val="24"/>
          <w:szCs w:val="24"/>
          <w:highlight w:val="none"/>
        </w:rPr>
      </w:pPr>
      <w:r>
        <w:rPr>
          <w:rFonts w:hint="eastAsia" w:ascii="仿宋" w:hAnsi="仿宋" w:eastAsia="仿宋" w:cs="仿宋"/>
          <w:color w:val="auto"/>
          <w:kern w:val="0"/>
          <w:sz w:val="24"/>
          <w:szCs w:val="24"/>
          <w:highlight w:val="none"/>
        </w:rPr>
        <w:t>余泥渣土（土方、石方、淤泥）场外运输与排放费用</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pPr>
        <w:spacing w:line="360" w:lineRule="auto"/>
        <w:ind w:firstLine="523" w:firstLineChars="218"/>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项目单价：</w:t>
      </w:r>
      <w:r>
        <w:rPr>
          <w:rFonts w:ascii="仿宋" w:hAnsi="仿宋" w:eastAsia="仿宋" w:cs="仿宋"/>
          <w:color w:val="auto"/>
          <w:sz w:val="24"/>
          <w:szCs w:val="24"/>
          <w:highlight w:val="none"/>
        </w:rPr>
        <w:sym w:font="Wingdings 2" w:char="F052"/>
      </w:r>
      <w:r>
        <w:rPr>
          <w:rFonts w:hint="eastAsia" w:ascii="仿宋" w:hAnsi="仿宋" w:eastAsia="仿宋" w:cs="仿宋"/>
          <w:color w:val="auto"/>
          <w:sz w:val="24"/>
          <w:szCs w:val="24"/>
          <w:highlight w:val="none"/>
        </w:rPr>
        <w:t>详见承包人的投标报价书（招标工程）；</w:t>
      </w:r>
    </w:p>
    <w:p>
      <w:pPr>
        <w:spacing w:line="360" w:lineRule="auto"/>
        <w:ind w:firstLine="1680" w:firstLineChars="700"/>
        <w:rPr>
          <w:rFonts w:ascii="仿宋" w:hAnsi="仿宋" w:eastAsia="仿宋"/>
          <w:color w:val="auto"/>
          <w:sz w:val="24"/>
          <w:szCs w:val="24"/>
          <w:highlight w:val="none"/>
        </w:rPr>
      </w:pPr>
    </w:p>
    <w:p>
      <w:pPr>
        <w:spacing w:line="360" w:lineRule="auto"/>
        <w:rPr>
          <w:rFonts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★六、</w:t>
      </w:r>
      <w:r>
        <w:rPr>
          <w:rFonts w:hint="eastAsia" w:ascii="仿宋" w:hAnsi="仿宋" w:eastAsia="仿宋" w:cs="仿宋"/>
          <w:b/>
          <w:bCs/>
          <w:color w:val="auto"/>
          <w:kern w:val="0"/>
          <w:sz w:val="24"/>
          <w:szCs w:val="24"/>
          <w:highlight w:val="none"/>
        </w:rPr>
        <w:t>工人工资支付分账</w:t>
      </w:r>
    </w:p>
    <w:p>
      <w:pPr>
        <w:widowControl/>
        <w:spacing w:line="360" w:lineRule="auto"/>
        <w:ind w:firstLine="42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工人工资款支付专用账户开设的约定内容：</w:t>
      </w:r>
      <w:r>
        <w:rPr>
          <w:rFonts w:hint="eastAsia" w:ascii="仿宋" w:hAnsi="仿宋" w:eastAsia="仿宋" w:cs="仿宋"/>
          <w:color w:val="auto"/>
          <w:kern w:val="0"/>
          <w:sz w:val="24"/>
          <w:szCs w:val="24"/>
          <w:highlight w:val="none"/>
          <w:u w:val="single"/>
        </w:rPr>
        <w:t>承包人向银行开设工人工资支付专用账户，确保通过工人工资专用账户按时足额支付工人工资。</w:t>
      </w:r>
      <w:r>
        <w:rPr>
          <w:rFonts w:ascii="仿宋" w:hAnsi="仿宋" w:eastAsia="仿宋" w:cs="仿宋"/>
          <w:color w:val="auto"/>
          <w:kern w:val="0"/>
          <w:sz w:val="24"/>
          <w:szCs w:val="24"/>
          <w:highlight w:val="none"/>
          <w:u w:val="single"/>
        </w:rPr>
        <w:t xml:space="preserve">  </w:t>
      </w:r>
    </w:p>
    <w:p>
      <w:pPr>
        <w:spacing w:line="360" w:lineRule="auto"/>
        <w:ind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工人工资款支付专用账户开户银行（如有）：</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暂无</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rPr>
        <w:t>，</w:t>
      </w:r>
    </w:p>
    <w:p>
      <w:pPr>
        <w:spacing w:line="360" w:lineRule="auto"/>
        <w:ind w:firstLine="495"/>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工人工资款支付专用账户（如有）：</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暂无</w:t>
      </w:r>
      <w:r>
        <w:rPr>
          <w:rFonts w:hint="eastAsia" w:ascii="仿宋" w:hAnsi="仿宋" w:eastAsia="仿宋" w:cs="仿宋"/>
          <w:color w:val="auto"/>
          <w:kern w:val="0"/>
          <w:sz w:val="24"/>
          <w:szCs w:val="24"/>
          <w:highlight w:val="none"/>
          <w:u w:val="single"/>
          <w:lang w:eastAsia="zh-CN"/>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spacing w:line="360" w:lineRule="auto"/>
        <w:ind w:left="479" w:leftChars="228" w:firstLine="12" w:firstLineChars="5"/>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工程款中的工人工资款比例：</w:t>
      </w:r>
      <w:r>
        <w:rPr>
          <w:rFonts w:ascii="仿宋" w:hAnsi="仿宋" w:eastAsia="仿宋" w:cs="仿宋"/>
          <w:color w:val="auto"/>
          <w:kern w:val="0"/>
          <w:sz w:val="24"/>
          <w:szCs w:val="24"/>
          <w:highlight w:val="non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见《建设工程投标书》</w:t>
      </w:r>
      <w:r>
        <w:rPr>
          <w:rFonts w:ascii="仿宋" w:hAnsi="仿宋" w:eastAsia="仿宋" w:cs="仿宋"/>
          <w:color w:val="auto"/>
          <w:kern w:val="0"/>
          <w:sz w:val="24"/>
          <w:szCs w:val="24"/>
          <w:highlight w:val="none"/>
          <w:u w:val="single"/>
        </w:rPr>
        <w:t xml:space="preserve"> ，</w:t>
      </w:r>
    </w:p>
    <w:p>
      <w:pPr>
        <w:spacing w:line="360" w:lineRule="auto"/>
        <w:ind w:left="479" w:leftChars="228" w:firstLine="12" w:firstLineChars="5"/>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其中：每一期工程进度款中的工人工资款比例：</w:t>
      </w:r>
      <w:r>
        <w:rPr>
          <w:rFonts w:hint="eastAsia" w:ascii="仿宋" w:hAnsi="仿宋" w:eastAsia="仿宋" w:cs="仿宋"/>
          <w:color w:val="auto"/>
          <w:kern w:val="0"/>
          <w:sz w:val="24"/>
          <w:szCs w:val="24"/>
          <w:highlight w:val="none"/>
          <w:u w:val="none"/>
        </w:rPr>
        <w:t xml:space="preserve"> 依照</w:t>
      </w:r>
      <w:r>
        <w:rPr>
          <w:rFonts w:hint="eastAsia" w:ascii="仿宋" w:hAnsi="仿宋" w:eastAsia="仿宋" w:cs="仿宋"/>
          <w:b w:val="0"/>
          <w:bCs w:val="0"/>
          <w:color w:val="auto"/>
          <w:kern w:val="0"/>
          <w:sz w:val="24"/>
          <w:szCs w:val="24"/>
          <w:highlight w:val="none"/>
        </w:rPr>
        <w:t>《广州市建设领域工人工资支付分账管理实施细则</w:t>
      </w:r>
      <w:r>
        <w:rPr>
          <w:rFonts w:hint="eastAsia" w:ascii="仿宋" w:hAnsi="仿宋" w:eastAsia="仿宋" w:cs="仿宋"/>
          <w:color w:val="auto"/>
          <w:kern w:val="0"/>
          <w:sz w:val="24"/>
          <w:szCs w:val="24"/>
          <w:highlight w:val="none"/>
          <w:u w:val="none"/>
          <w:lang w:eastAsia="zh-CN"/>
        </w:rPr>
        <w:t>》</w:t>
      </w:r>
      <w:r>
        <w:rPr>
          <w:rFonts w:hint="eastAsia" w:ascii="仿宋" w:hAnsi="仿宋" w:eastAsia="仿宋" w:cs="仿宋"/>
          <w:color w:val="auto"/>
          <w:kern w:val="0"/>
          <w:sz w:val="24"/>
          <w:szCs w:val="24"/>
          <w:highlight w:val="none"/>
        </w:rPr>
        <w:t>（穗建规字〔2020〕37号）</w:t>
      </w:r>
      <w:r>
        <w:rPr>
          <w:rFonts w:hint="eastAsia" w:ascii="仿宋" w:hAnsi="仿宋" w:eastAsia="仿宋" w:cs="仿宋"/>
          <w:color w:val="auto"/>
          <w:kern w:val="0"/>
          <w:sz w:val="24"/>
          <w:szCs w:val="24"/>
          <w:highlight w:val="none"/>
          <w:lang w:val="en-US" w:eastAsia="zh-CN"/>
        </w:rPr>
        <w:t>或</w:t>
      </w:r>
      <w:r>
        <w:rPr>
          <w:rFonts w:hint="eastAsia" w:ascii="仿宋" w:hAnsi="仿宋" w:eastAsia="仿宋" w:cs="仿宋"/>
          <w:color w:val="auto"/>
          <w:kern w:val="0"/>
          <w:sz w:val="24"/>
          <w:szCs w:val="24"/>
          <w:highlight w:val="none"/>
          <w:u w:val="none"/>
        </w:rPr>
        <w:t xml:space="preserve">相关法律法规执行 </w:t>
      </w:r>
      <w:r>
        <w:rPr>
          <w:rFonts w:hint="eastAsia" w:ascii="仿宋" w:hAnsi="仿宋" w:eastAsia="仿宋" w:cs="仿宋"/>
          <w:color w:val="auto"/>
          <w:kern w:val="0"/>
          <w:sz w:val="24"/>
          <w:szCs w:val="24"/>
          <w:highlight w:val="none"/>
        </w:rPr>
        <w:t>。</w:t>
      </w:r>
    </w:p>
    <w:p>
      <w:pPr>
        <w:spacing w:line="360" w:lineRule="auto"/>
        <w:ind w:firstLine="480" w:firstLineChars="200"/>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工人工资支付周期：</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承包人按月支付</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ind w:firstLine="465"/>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承包人已确认上述约定工程款中的工人工资款比例能满足本工程项目的工人工资支付。</w:t>
      </w:r>
    </w:p>
    <w:p>
      <w:pPr>
        <w:ind w:firstLine="465"/>
        <w:rPr>
          <w:color w:val="auto"/>
          <w:highlight w:val="none"/>
        </w:rPr>
      </w:pPr>
    </w:p>
    <w:p>
      <w:pPr>
        <w:spacing w:line="360" w:lineRule="auto"/>
        <w:ind w:left="513" w:leftChars="-100" w:hanging="723" w:hangingChars="300"/>
        <w:outlineLvl w:val="1"/>
        <w:rPr>
          <w:rFonts w:ascii="仿宋" w:hAnsi="仿宋" w:eastAsia="仿宋" w:cs="仿宋"/>
          <w:color w:val="auto"/>
          <w:sz w:val="24"/>
          <w:szCs w:val="24"/>
          <w:highlight w:val="none"/>
        </w:rPr>
      </w:pPr>
      <w:bookmarkStart w:id="77" w:name="_Toc469383973"/>
      <w:bookmarkStart w:id="78" w:name="_Toc266892757"/>
      <w:bookmarkStart w:id="79" w:name="_Toc28727"/>
      <w:bookmarkStart w:id="80" w:name="_Toc25653599"/>
      <w:bookmarkStart w:id="81" w:name="_Toc11344"/>
      <w:r>
        <w:rPr>
          <w:rFonts w:hint="eastAsia" w:ascii="仿宋" w:hAnsi="仿宋" w:eastAsia="仿宋" w:cs="仿宋"/>
          <w:b/>
          <w:bCs/>
          <w:color w:val="auto"/>
          <w:sz w:val="24"/>
          <w:szCs w:val="24"/>
          <w:highlight w:val="none"/>
        </w:rPr>
        <w:t>七、组成合同的文件</w:t>
      </w:r>
      <w:bookmarkEnd w:id="77"/>
      <w:bookmarkEnd w:id="78"/>
      <w:bookmarkEnd w:id="79"/>
      <w:bookmarkEnd w:id="80"/>
      <w:bookmarkEnd w:id="81"/>
    </w:p>
    <w:p>
      <w:pPr>
        <w:pStyle w:val="22"/>
        <w:tabs>
          <w:tab w:val="left" w:pos="1260"/>
        </w:tabs>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组成本合同的文件及其优先解释顺序与本合同第二部分《通用条款》第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款赋予的规定一致。</w:t>
      </w:r>
    </w:p>
    <w:p>
      <w:pPr>
        <w:pStyle w:val="22"/>
        <w:tabs>
          <w:tab w:val="left" w:pos="1260"/>
        </w:tabs>
        <w:spacing w:line="360" w:lineRule="auto"/>
        <w:ind w:firstLine="520" w:firstLineChars="217"/>
        <w:rPr>
          <w:rFonts w:ascii="仿宋" w:hAnsi="仿宋" w:eastAsia="仿宋"/>
          <w:color w:val="auto"/>
          <w:sz w:val="24"/>
          <w:szCs w:val="24"/>
          <w:highlight w:val="none"/>
        </w:rPr>
      </w:pPr>
    </w:p>
    <w:p>
      <w:pPr>
        <w:spacing w:line="360" w:lineRule="auto"/>
        <w:ind w:firstLine="0" w:firstLineChars="0"/>
        <w:outlineLvl w:val="1"/>
        <w:rPr>
          <w:rFonts w:ascii="仿宋" w:hAnsi="仿宋" w:eastAsia="仿宋"/>
          <w:color w:val="auto"/>
          <w:sz w:val="24"/>
          <w:szCs w:val="24"/>
          <w:highlight w:val="none"/>
        </w:rPr>
      </w:pPr>
      <w:bookmarkStart w:id="82" w:name="_Toc469383974"/>
      <w:bookmarkStart w:id="83" w:name="_Toc28172"/>
      <w:bookmarkStart w:id="84" w:name="_Toc266892758"/>
      <w:bookmarkStart w:id="85" w:name="_Toc25653600"/>
      <w:bookmarkStart w:id="86" w:name="_Toc26404"/>
      <w:r>
        <w:rPr>
          <w:rFonts w:hint="eastAsia" w:ascii="仿宋" w:hAnsi="仿宋" w:eastAsia="仿宋" w:cs="仿宋"/>
          <w:b/>
          <w:bCs/>
          <w:color w:val="auto"/>
          <w:sz w:val="24"/>
          <w:szCs w:val="24"/>
          <w:highlight w:val="none"/>
        </w:rPr>
        <w:t>八、词语含义</w:t>
      </w:r>
      <w:bookmarkEnd w:id="82"/>
      <w:bookmarkEnd w:id="83"/>
      <w:bookmarkEnd w:id="84"/>
      <w:bookmarkEnd w:id="85"/>
      <w:bookmarkEnd w:id="86"/>
    </w:p>
    <w:p>
      <w:pPr>
        <w:pStyle w:val="3"/>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本协议书中有关词语含义与本合同第二部分《通用条款》第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条赋予它们的定义相同。</w:t>
      </w:r>
    </w:p>
    <w:p>
      <w:pPr>
        <w:pStyle w:val="3"/>
        <w:spacing w:line="360" w:lineRule="auto"/>
        <w:ind w:firstLine="480" w:firstLineChars="200"/>
        <w:rPr>
          <w:rFonts w:ascii="仿宋" w:hAnsi="仿宋" w:eastAsia="仿宋"/>
          <w:color w:val="auto"/>
          <w:sz w:val="24"/>
          <w:szCs w:val="24"/>
          <w:highlight w:val="none"/>
        </w:rPr>
      </w:pPr>
    </w:p>
    <w:p>
      <w:pPr>
        <w:spacing w:line="360" w:lineRule="auto"/>
        <w:ind w:firstLine="0" w:firstLineChars="0"/>
        <w:outlineLvl w:val="1"/>
        <w:rPr>
          <w:rFonts w:ascii="仿宋" w:hAnsi="仿宋" w:eastAsia="仿宋"/>
          <w:color w:val="auto"/>
          <w:sz w:val="24"/>
          <w:szCs w:val="24"/>
          <w:highlight w:val="none"/>
        </w:rPr>
      </w:pPr>
      <w:bookmarkStart w:id="87" w:name="_Toc266892759"/>
      <w:bookmarkStart w:id="88" w:name="_Toc5694"/>
      <w:bookmarkStart w:id="89" w:name="_Toc25653601"/>
      <w:bookmarkStart w:id="90" w:name="_Toc469383975"/>
      <w:bookmarkStart w:id="91" w:name="_Toc22204"/>
      <w:r>
        <w:rPr>
          <w:rFonts w:hint="eastAsia" w:ascii="仿宋" w:hAnsi="仿宋" w:eastAsia="仿宋" w:cs="仿宋"/>
          <w:b/>
          <w:bCs/>
          <w:color w:val="auto"/>
          <w:sz w:val="24"/>
          <w:szCs w:val="24"/>
          <w:highlight w:val="none"/>
        </w:rPr>
        <w:t>九、承包人承诺</w:t>
      </w:r>
      <w:bookmarkEnd w:id="87"/>
      <w:bookmarkEnd w:id="88"/>
      <w:bookmarkEnd w:id="89"/>
      <w:bookmarkEnd w:id="90"/>
      <w:bookmarkEnd w:id="91"/>
    </w:p>
    <w:p>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承包人向发包人承诺已阅读、理解并接受本合同所有条款，按照本合同约定实施、完成并保修合同工程，履行本合同所约定的全部义务。</w:t>
      </w:r>
    </w:p>
    <w:p>
      <w:pPr>
        <w:spacing w:line="360" w:lineRule="auto"/>
        <w:ind w:firstLine="480" w:firstLineChars="200"/>
        <w:rPr>
          <w:rFonts w:ascii="仿宋" w:hAnsi="仿宋" w:eastAsia="仿宋"/>
          <w:color w:val="auto"/>
          <w:sz w:val="24"/>
          <w:szCs w:val="24"/>
          <w:highlight w:val="none"/>
        </w:rPr>
      </w:pPr>
    </w:p>
    <w:p>
      <w:pPr>
        <w:spacing w:line="360" w:lineRule="auto"/>
        <w:ind w:firstLine="0" w:firstLineChars="0"/>
        <w:outlineLvl w:val="1"/>
        <w:rPr>
          <w:rFonts w:ascii="仿宋" w:hAnsi="仿宋" w:eastAsia="仿宋"/>
          <w:color w:val="auto"/>
          <w:sz w:val="24"/>
          <w:szCs w:val="24"/>
          <w:highlight w:val="none"/>
        </w:rPr>
      </w:pPr>
      <w:bookmarkStart w:id="92" w:name="_Toc266892760"/>
      <w:bookmarkStart w:id="93" w:name="_Toc25653602"/>
      <w:bookmarkStart w:id="94" w:name="_Toc469383976"/>
      <w:bookmarkStart w:id="95" w:name="_Toc20980"/>
      <w:bookmarkStart w:id="96" w:name="_Toc26494"/>
      <w:r>
        <w:rPr>
          <w:rFonts w:hint="eastAsia" w:ascii="仿宋" w:hAnsi="仿宋" w:eastAsia="仿宋" w:cs="仿宋"/>
          <w:b/>
          <w:bCs/>
          <w:color w:val="auto"/>
          <w:sz w:val="24"/>
          <w:szCs w:val="24"/>
          <w:highlight w:val="none"/>
        </w:rPr>
        <w:t>十、发包人承诺</w:t>
      </w:r>
      <w:bookmarkEnd w:id="92"/>
      <w:bookmarkEnd w:id="93"/>
      <w:bookmarkEnd w:id="94"/>
      <w:bookmarkEnd w:id="95"/>
      <w:bookmarkEnd w:id="96"/>
    </w:p>
    <w:p>
      <w:pPr>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发包人向承包人承诺已阅读、理解并接受本合同所有条款，按照本合同约定的时限和方法支付工程款及其他应当支付的款项，履行本合同所约定的全部义务。</w:t>
      </w:r>
    </w:p>
    <w:p>
      <w:pPr>
        <w:spacing w:before="468" w:beforeLines="150" w:after="0" w:afterLines="0" w:line="360" w:lineRule="auto"/>
        <w:outlineLvl w:val="1"/>
        <w:rPr>
          <w:rFonts w:ascii="仿宋" w:hAnsi="仿宋" w:eastAsia="仿宋"/>
          <w:b/>
          <w:bCs/>
          <w:color w:val="auto"/>
          <w:sz w:val="24"/>
          <w:szCs w:val="24"/>
          <w:highlight w:val="none"/>
        </w:rPr>
      </w:pPr>
      <w:bookmarkStart w:id="97" w:name="_Toc17319"/>
      <w:bookmarkStart w:id="98" w:name="_Toc25653603"/>
      <w:bookmarkStart w:id="99" w:name="_Toc266892761"/>
      <w:bookmarkStart w:id="100" w:name="_Toc18820"/>
      <w:bookmarkStart w:id="101" w:name="_Toc469383977"/>
      <w:r>
        <w:rPr>
          <w:rFonts w:hint="eastAsia" w:ascii="仿宋" w:hAnsi="仿宋" w:eastAsia="仿宋" w:cs="仿宋"/>
          <w:b/>
          <w:bCs/>
          <w:color w:val="auto"/>
          <w:sz w:val="24"/>
          <w:szCs w:val="24"/>
          <w:highlight w:val="none"/>
        </w:rPr>
        <w:t>十一、合同生效</w:t>
      </w:r>
      <w:bookmarkEnd w:id="97"/>
      <w:bookmarkEnd w:id="98"/>
      <w:bookmarkEnd w:id="99"/>
      <w:bookmarkEnd w:id="100"/>
      <w:bookmarkEnd w:id="101"/>
    </w:p>
    <w:p>
      <w:pPr>
        <w:spacing w:line="360" w:lineRule="auto"/>
        <w:ind w:left="525"/>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本合同订立时间：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pPr>
        <w:spacing w:line="360" w:lineRule="auto"/>
        <w:ind w:left="525"/>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本合同订立地点：</w:t>
      </w:r>
      <w:r>
        <w:rPr>
          <w:rFonts w:hint="eastAsia" w:ascii="仿宋" w:hAnsi="仿宋" w:eastAsia="仿宋" w:cs="仿宋"/>
          <w:color w:val="auto"/>
          <w:sz w:val="24"/>
          <w:szCs w:val="24"/>
          <w:highlight w:val="none"/>
          <w:u w:val="single"/>
        </w:rPr>
        <w:t>广州市</w:t>
      </w:r>
    </w:p>
    <w:p>
      <w:pPr>
        <w:spacing w:line="360" w:lineRule="auto"/>
        <w:ind w:left="525"/>
        <w:rPr>
          <w:rFonts w:ascii="仿宋" w:hAnsi="仿宋" w:eastAsia="仿宋" w:cs="仿宋"/>
          <w:color w:val="auto"/>
          <w:sz w:val="24"/>
          <w:szCs w:val="24"/>
          <w:highlight w:val="none"/>
          <w:u w:val="single"/>
        </w:rPr>
      </w:pPr>
    </w:p>
    <w:p>
      <w:pPr>
        <w:numPr>
          <w:ilvl w:val="0"/>
          <w:numId w:val="6"/>
        </w:numPr>
        <w:spacing w:line="360" w:lineRule="auto"/>
        <w:ind w:left="-4" w:leftChars="-2"/>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合同份数</w:t>
      </w:r>
    </w:p>
    <w:p>
      <w:pPr>
        <w:spacing w:line="360" w:lineRule="auto"/>
        <w:ind w:left="525"/>
        <w:rPr>
          <w:rFonts w:ascii="仿宋_GB2312" w:eastAsia="仿宋_GB2312"/>
          <w:color w:val="auto"/>
          <w:sz w:val="32"/>
          <w:szCs w:val="32"/>
          <w:highlight w:val="none"/>
        </w:rPr>
      </w:pPr>
      <w:r>
        <w:rPr>
          <w:rFonts w:hint="eastAsia" w:ascii="仿宋" w:hAnsi="仿宋" w:eastAsia="仿宋" w:cs="仿宋"/>
          <w:color w:val="auto"/>
          <w:sz w:val="24"/>
          <w:szCs w:val="24"/>
          <w:highlight w:val="none"/>
        </w:rPr>
        <w:t>本合同一式</w:t>
      </w:r>
      <w:r>
        <w:rPr>
          <w:rFonts w:ascii="仿宋" w:hAnsi="仿宋" w:eastAsia="仿宋" w:cs="仿宋"/>
          <w:color w:val="auto"/>
          <w:sz w:val="24"/>
          <w:szCs w:val="24"/>
          <w:highlight w:val="none"/>
          <w:u w:val="single"/>
        </w:rPr>
        <w:t>拾</w:t>
      </w:r>
      <w:r>
        <w:rPr>
          <w:rFonts w:hint="eastAsia" w:ascii="仿宋" w:hAnsi="仿宋" w:eastAsia="仿宋" w:cs="仿宋"/>
          <w:color w:val="auto"/>
          <w:sz w:val="24"/>
          <w:szCs w:val="24"/>
          <w:highlight w:val="none"/>
          <w:u w:val="single"/>
        </w:rPr>
        <w:t>贰</w:t>
      </w:r>
      <w:r>
        <w:rPr>
          <w:rFonts w:hint="eastAsia" w:ascii="仿宋" w:hAnsi="仿宋" w:eastAsia="仿宋" w:cs="仿宋"/>
          <w:color w:val="auto"/>
          <w:sz w:val="24"/>
          <w:szCs w:val="24"/>
          <w:highlight w:val="none"/>
        </w:rPr>
        <w:t>份，具有同等法律效力，其中甲方执</w:t>
      </w:r>
      <w:r>
        <w:rPr>
          <w:rFonts w:hint="eastAsia" w:ascii="仿宋" w:hAnsi="仿宋" w:eastAsia="仿宋" w:cs="仿宋"/>
          <w:color w:val="auto"/>
          <w:sz w:val="24"/>
          <w:szCs w:val="24"/>
          <w:highlight w:val="none"/>
          <w:u w:val="single"/>
        </w:rPr>
        <w:t>捌</w:t>
      </w:r>
      <w:r>
        <w:rPr>
          <w:rFonts w:hint="eastAsia" w:ascii="仿宋" w:hAnsi="仿宋" w:eastAsia="仿宋" w:cs="仿宋"/>
          <w:color w:val="auto"/>
          <w:sz w:val="24"/>
          <w:szCs w:val="24"/>
          <w:highlight w:val="none"/>
        </w:rPr>
        <w:t>份，乙方执</w:t>
      </w:r>
      <w:r>
        <w:rPr>
          <w:rFonts w:hint="eastAsia" w:ascii="仿宋" w:hAnsi="仿宋" w:eastAsia="仿宋" w:cs="仿宋"/>
          <w:color w:val="auto"/>
          <w:sz w:val="24"/>
          <w:szCs w:val="24"/>
          <w:highlight w:val="none"/>
          <w:u w:val="single"/>
        </w:rPr>
        <w:t>肆</w:t>
      </w:r>
      <w:r>
        <w:rPr>
          <w:rFonts w:hint="eastAsia" w:ascii="仿宋" w:hAnsi="仿宋" w:eastAsia="仿宋" w:cs="仿宋"/>
          <w:color w:val="auto"/>
          <w:sz w:val="24"/>
          <w:szCs w:val="24"/>
          <w:highlight w:val="none"/>
        </w:rPr>
        <w:t>份。</w:t>
      </w:r>
    </w:p>
    <w:p>
      <w:pPr>
        <w:spacing w:line="360" w:lineRule="auto"/>
        <w:ind w:firstLine="523" w:firstLineChars="21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合同双方当事人约定本合同自双方签字、盖章后生效。</w:t>
      </w:r>
    </w:p>
    <w:p>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（以下无正文）</w:t>
      </w:r>
    </w:p>
    <w:p>
      <w:pPr>
        <w:spacing w:line="360" w:lineRule="auto"/>
        <w:rPr>
          <w:rFonts w:ascii="仿宋" w:hAnsi="仿宋" w:eastAsia="仿宋"/>
          <w:color w:val="auto"/>
          <w:sz w:val="24"/>
          <w:szCs w:val="24"/>
          <w:highlight w:val="none"/>
        </w:rPr>
      </w:pPr>
    </w:p>
    <w:p>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发包人：（盖章）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承包人：（盖章）</w:t>
      </w:r>
    </w:p>
    <w:p>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广州燃气集团有限公司</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xml:space="preserve">                                   </w:t>
      </w:r>
    </w:p>
    <w:p>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xml:space="preserve">地址： </w:t>
      </w:r>
      <w:r>
        <w:rPr>
          <w:rFonts w:ascii="仿宋" w:hAnsi="仿宋" w:eastAsia="仿宋" w:cs="仿宋"/>
          <w:color w:val="auto"/>
          <w:sz w:val="24"/>
          <w:szCs w:val="24"/>
          <w:highlight w:val="none"/>
        </w:rPr>
        <w:t xml:space="preserve"> </w:t>
      </w:r>
    </w:p>
    <w:p>
      <w:pPr>
        <w:tabs>
          <w:tab w:val="left" w:pos="525"/>
          <w:tab w:val="left" w:pos="1155"/>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法定代表人：</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w:t>
      </w:r>
    </w:p>
    <w:p>
      <w:pPr>
        <w:tabs>
          <w:tab w:val="left" w:pos="525"/>
          <w:tab w:val="left" w:pos="1155"/>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委托代理人：</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委托代理人：</w:t>
      </w:r>
    </w:p>
    <w:p>
      <w:pPr>
        <w:tabs>
          <w:tab w:val="left" w:pos="525"/>
          <w:tab w:val="left" w:pos="1155"/>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电话：</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电话：</w:t>
      </w:r>
    </w:p>
    <w:p>
      <w:pPr>
        <w:tabs>
          <w:tab w:val="left" w:pos="525"/>
          <w:tab w:val="left" w:pos="1155"/>
        </w:tabs>
        <w:spacing w:line="360" w:lineRule="auto"/>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传真：</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w:t>
      </w:r>
    </w:p>
    <w:p>
      <w:pPr>
        <w:tabs>
          <w:tab w:val="left" w:pos="525"/>
          <w:tab w:val="left" w:pos="1155"/>
        </w:tabs>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xml:space="preserve">开户银行： </w:t>
      </w:r>
      <w:r>
        <w:rPr>
          <w:rFonts w:ascii="仿宋" w:hAnsi="仿宋" w:eastAsia="仿宋" w:cs="仿宋"/>
          <w:color w:val="auto"/>
          <w:sz w:val="24"/>
          <w:szCs w:val="24"/>
          <w:highlight w:val="none"/>
        </w:rPr>
        <w:t xml:space="preserve">  </w:t>
      </w:r>
    </w:p>
    <w:p>
      <w:pPr>
        <w:tabs>
          <w:tab w:val="left" w:pos="525"/>
          <w:tab w:val="left" w:pos="1155"/>
          <w:tab w:val="left" w:pos="6090"/>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帐号：</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帐号：</w:t>
      </w:r>
      <w:r>
        <w:rPr>
          <w:rFonts w:ascii="仿宋" w:hAnsi="仿宋" w:eastAsia="仿宋" w:cs="仿宋"/>
          <w:color w:val="auto"/>
          <w:sz w:val="24"/>
          <w:szCs w:val="24"/>
          <w:highlight w:val="none"/>
        </w:rPr>
        <w:t xml:space="preserve">   </w:t>
      </w:r>
    </w:p>
    <w:p>
      <w:pPr>
        <w:tabs>
          <w:tab w:val="left" w:pos="525"/>
          <w:tab w:val="left" w:pos="1155"/>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邮政编码：</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p>
    <w:p>
      <w:pPr>
        <w:tabs>
          <w:tab w:val="left" w:pos="525"/>
          <w:tab w:val="left" w:pos="1155"/>
        </w:tabs>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电子邮箱</w:t>
      </w:r>
      <w:r>
        <w:rPr>
          <w:rFonts w:ascii="仿宋" w:hAnsi="仿宋" w:eastAsia="仿宋" w:cs="仿宋"/>
          <w:color w:val="auto"/>
          <w:sz w:val="24"/>
          <w:szCs w:val="24"/>
          <w:highlight w:val="none"/>
        </w:rPr>
        <w:t>:</w:t>
      </w:r>
    </w:p>
    <w:p>
      <w:pPr>
        <w:ind w:firstLine="1080" w:firstLineChars="450"/>
        <w:rPr>
          <w:rFonts w:ascii="仿宋" w:hAnsi="仿宋" w:eastAsia="仿宋"/>
          <w:color w:val="auto"/>
          <w:sz w:val="24"/>
          <w:szCs w:val="24"/>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360" w:lineRule="auto"/>
        <w:jc w:val="center"/>
        <w:outlineLvl w:val="0"/>
        <w:rPr>
          <w:rFonts w:ascii="宋体"/>
          <w:b/>
          <w:bCs/>
          <w:color w:val="auto"/>
          <w:sz w:val="36"/>
          <w:szCs w:val="36"/>
          <w:highlight w:val="none"/>
        </w:rPr>
      </w:pPr>
      <w:bookmarkStart w:id="102" w:name="_Toc469383978"/>
      <w:bookmarkStart w:id="103" w:name="_Toc25653604"/>
      <w:r>
        <w:rPr>
          <w:rFonts w:ascii="宋体" w:hAnsi="宋体" w:cs="宋体"/>
          <w:b/>
          <w:bCs/>
          <w:color w:val="auto"/>
          <w:sz w:val="36"/>
          <w:szCs w:val="36"/>
          <w:highlight w:val="none"/>
        </w:rPr>
        <w:br w:type="page"/>
      </w:r>
      <w:bookmarkStart w:id="104" w:name="_Toc3534"/>
      <w:bookmarkStart w:id="105" w:name="_Toc31470"/>
      <w:r>
        <w:rPr>
          <w:rFonts w:hint="eastAsia" w:ascii="宋体" w:hAnsi="宋体" w:cs="宋体"/>
          <w:b/>
          <w:bCs/>
          <w:color w:val="auto"/>
          <w:sz w:val="36"/>
          <w:szCs w:val="36"/>
          <w:highlight w:val="none"/>
        </w:rPr>
        <w:t>第二部分通用条款</w:t>
      </w:r>
      <w:bookmarkEnd w:id="102"/>
      <w:bookmarkEnd w:id="103"/>
      <w:bookmarkEnd w:id="104"/>
      <w:bookmarkEnd w:id="105"/>
    </w:p>
    <w:p>
      <w:pPr>
        <w:pStyle w:val="22"/>
        <w:adjustRightInd w:val="0"/>
        <w:snapToGrid w:val="0"/>
        <w:rPr>
          <w:rFonts w:hAnsi="宋体"/>
          <w:color w:val="auto"/>
          <w:sz w:val="32"/>
          <w:szCs w:val="32"/>
          <w:highlight w:val="none"/>
        </w:rPr>
      </w:pPr>
    </w:p>
    <w:p>
      <w:pPr>
        <w:pStyle w:val="22"/>
        <w:adjustRightInd w:val="0"/>
        <w:snapToGrid w:val="0"/>
        <w:jc w:val="center"/>
        <w:outlineLvl w:val="1"/>
        <w:rPr>
          <w:rFonts w:hAnsi="宋体"/>
          <w:b/>
          <w:bCs/>
          <w:color w:val="auto"/>
          <w:sz w:val="32"/>
          <w:szCs w:val="32"/>
          <w:highlight w:val="none"/>
        </w:rPr>
      </w:pPr>
      <w:bookmarkStart w:id="106" w:name="_Toc25653605"/>
      <w:bookmarkStart w:id="107" w:name="_Toc19627"/>
      <w:bookmarkStart w:id="108" w:name="_Toc32464"/>
      <w:bookmarkStart w:id="109" w:name="_Toc469383979"/>
      <w:r>
        <w:rPr>
          <w:rFonts w:hint="eastAsia" w:hAnsi="宋体"/>
          <w:b/>
          <w:bCs/>
          <w:color w:val="auto"/>
          <w:sz w:val="32"/>
          <w:szCs w:val="32"/>
          <w:highlight w:val="none"/>
        </w:rPr>
        <w:t>一、总则</w:t>
      </w:r>
      <w:bookmarkEnd w:id="106"/>
      <w:bookmarkEnd w:id="107"/>
      <w:bookmarkEnd w:id="108"/>
      <w:bookmarkEnd w:id="109"/>
    </w:p>
    <w:p>
      <w:pPr>
        <w:pStyle w:val="22"/>
        <w:tabs>
          <w:tab w:val="left" w:pos="900"/>
          <w:tab w:val="left" w:pos="1080"/>
        </w:tabs>
        <w:spacing w:before="156" w:beforeLines="50" w:after="156" w:afterLines="50" w:line="360" w:lineRule="auto"/>
        <w:outlineLvl w:val="2"/>
        <w:rPr>
          <w:rFonts w:ascii="仿宋" w:hAnsi="仿宋" w:eastAsia="仿宋"/>
          <w:b/>
          <w:bCs/>
          <w:color w:val="auto"/>
          <w:sz w:val="24"/>
          <w:szCs w:val="24"/>
          <w:highlight w:val="none"/>
        </w:rPr>
      </w:pPr>
      <w:bookmarkStart w:id="110" w:name="_Toc23214"/>
      <w:bookmarkStart w:id="111" w:name="_Toc25653606"/>
      <w:bookmarkStart w:id="112" w:name="_Toc15191"/>
      <w:bookmarkStart w:id="113" w:name="_Toc469383980"/>
      <w:r>
        <w:rPr>
          <w:rFonts w:ascii="仿宋" w:hAnsi="仿宋" w:eastAsia="仿宋" w:cs="仿宋"/>
          <w:b/>
          <w:bCs/>
          <w:color w:val="auto"/>
          <w:sz w:val="24"/>
          <w:szCs w:val="24"/>
          <w:highlight w:val="none"/>
        </w:rPr>
        <w:t xml:space="preserve">1  </w:t>
      </w:r>
      <w:r>
        <w:rPr>
          <w:rFonts w:hint="eastAsia" w:ascii="仿宋" w:hAnsi="仿宋" w:eastAsia="仿宋" w:cs="仿宋"/>
          <w:b/>
          <w:bCs/>
          <w:color w:val="auto"/>
          <w:sz w:val="24"/>
          <w:szCs w:val="24"/>
          <w:highlight w:val="none"/>
        </w:rPr>
        <w:t>定义</w:t>
      </w:r>
      <w:bookmarkEnd w:id="110"/>
      <w:bookmarkEnd w:id="111"/>
      <w:bookmarkEnd w:id="112"/>
      <w:bookmarkEnd w:id="113"/>
    </w:p>
    <w:p>
      <w:pPr>
        <w:pStyle w:val="22"/>
        <w:tabs>
          <w:tab w:val="left" w:pos="900"/>
          <w:tab w:val="left" w:pos="1980"/>
        </w:tabs>
        <w:adjustRightIn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下列词语或措辞，除非特别说明，在本合同中均具有以下赋予的含义：</w:t>
      </w:r>
    </w:p>
    <w:p>
      <w:pPr>
        <w:pStyle w:val="22"/>
        <w:tabs>
          <w:tab w:val="left" w:pos="1260"/>
          <w:tab w:val="left" w:pos="2160"/>
        </w:tabs>
        <w:adjustRightInd w:val="0"/>
        <w:spacing w:before="156" w:beforeLines="50" w:line="360" w:lineRule="auto"/>
        <w:ind w:firstLine="482" w:firstLineChars="200"/>
        <w:jc w:val="left"/>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合同：</w:t>
      </w:r>
      <w:r>
        <w:rPr>
          <w:rFonts w:hint="eastAsia" w:ascii="仿宋" w:hAnsi="仿宋" w:eastAsia="仿宋" w:cs="仿宋"/>
          <w:color w:val="auto"/>
          <w:sz w:val="24"/>
          <w:szCs w:val="24"/>
          <w:highlight w:val="none"/>
        </w:rPr>
        <w:t>指合同双方当事人为实施、完成并保修合同工程所订立的合同文件。合同文件由第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款所列的文件组成。</w:t>
      </w:r>
    </w:p>
    <w:p>
      <w:pPr>
        <w:pStyle w:val="22"/>
        <w:tabs>
          <w:tab w:val="left" w:pos="2160"/>
          <w:tab w:val="left" w:pos="2520"/>
        </w:tabs>
        <w:adjustRightInd w:val="0"/>
        <w:spacing w:before="249" w:beforeLines="80" w:line="360" w:lineRule="auto"/>
        <w:ind w:firstLine="482" w:firstLineChars="200"/>
        <w:jc w:val="left"/>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协议书：</w:t>
      </w:r>
      <w:r>
        <w:rPr>
          <w:rFonts w:hint="eastAsia" w:ascii="仿宋" w:hAnsi="仿宋" w:eastAsia="仿宋" w:cs="仿宋"/>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天内签订。</w:t>
      </w:r>
    </w:p>
    <w:p>
      <w:pPr>
        <w:pStyle w:val="22"/>
        <w:tabs>
          <w:tab w:val="left" w:pos="2160"/>
        </w:tabs>
        <w:adjustRightInd w:val="0"/>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通用条款：</w:t>
      </w:r>
      <w:r>
        <w:rPr>
          <w:rFonts w:hint="eastAsia" w:ascii="仿宋" w:hAnsi="仿宋" w:eastAsia="仿宋" w:cs="仿宋"/>
          <w:color w:val="auto"/>
          <w:sz w:val="24"/>
          <w:szCs w:val="24"/>
          <w:highlight w:val="none"/>
        </w:rPr>
        <w:t>指根据法律、法规和规章的规定以及建设工程施工的需要所订立的，通用于建设工程施工的条款。</w:t>
      </w:r>
    </w:p>
    <w:p>
      <w:pPr>
        <w:pStyle w:val="22"/>
        <w:tabs>
          <w:tab w:val="left" w:pos="2160"/>
          <w:tab w:val="left" w:pos="2520"/>
        </w:tabs>
        <w:adjustRightInd w:val="0"/>
        <w:spacing w:before="249" w:beforeLines="80" w:line="360" w:lineRule="auto"/>
        <w:ind w:firstLine="482" w:firstLineChars="200"/>
        <w:jc w:val="left"/>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专用条款：</w:t>
      </w:r>
      <w:r>
        <w:rPr>
          <w:rFonts w:hint="eastAsia" w:ascii="仿宋" w:hAnsi="仿宋" w:eastAsia="仿宋" w:cs="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22"/>
        <w:tabs>
          <w:tab w:val="left" w:pos="2160"/>
        </w:tabs>
        <w:adjustRightInd w:val="0"/>
        <w:spacing w:before="249" w:beforeLines="80" w:line="360" w:lineRule="auto"/>
        <w:ind w:firstLine="482" w:firstLineChars="200"/>
        <w:jc w:val="left"/>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中标通知书：</w:t>
      </w:r>
      <w:r>
        <w:rPr>
          <w:rFonts w:hint="eastAsia" w:ascii="仿宋" w:hAnsi="仿宋" w:eastAsia="仿宋" w:cs="仿宋"/>
          <w:color w:val="auto"/>
          <w:sz w:val="24"/>
          <w:szCs w:val="24"/>
          <w:highlight w:val="none"/>
        </w:rPr>
        <w:t>指发包人正式接受中标人投标文件的书面文件。</w:t>
      </w:r>
    </w:p>
    <w:p>
      <w:pPr>
        <w:pStyle w:val="22"/>
        <w:tabs>
          <w:tab w:val="left" w:pos="2160"/>
        </w:tabs>
        <w:adjustRightInd w:val="0"/>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承包人投标文件：</w:t>
      </w:r>
      <w:r>
        <w:rPr>
          <w:rFonts w:hint="eastAsia" w:ascii="仿宋" w:hAnsi="仿宋" w:eastAsia="仿宋" w:cs="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pStyle w:val="22"/>
        <w:tabs>
          <w:tab w:val="left" w:pos="2160"/>
          <w:tab w:val="left" w:pos="2520"/>
        </w:tabs>
        <w:adjustRightInd w:val="0"/>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标准、规范及有关技术文件：</w:t>
      </w:r>
      <w:r>
        <w:rPr>
          <w:rFonts w:hint="eastAsia" w:ascii="仿宋" w:hAnsi="仿宋" w:eastAsia="仿宋" w:cs="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pStyle w:val="22"/>
        <w:tabs>
          <w:tab w:val="left" w:pos="2160"/>
          <w:tab w:val="left" w:pos="2520"/>
        </w:tabs>
        <w:adjustRightInd w:val="0"/>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施工设计图纸：</w:t>
      </w:r>
      <w:r>
        <w:rPr>
          <w:rFonts w:hint="eastAsia" w:ascii="仿宋" w:hAnsi="仿宋" w:eastAsia="仿宋" w:cs="仿宋"/>
          <w:color w:val="auto"/>
          <w:sz w:val="24"/>
          <w:szCs w:val="24"/>
          <w:highlight w:val="none"/>
        </w:rPr>
        <w:t>指构成合同文件组成部分的，按规定审批的由发包人提供或经发包人批准由承包人提供，满足承包人施工需要的所有设计文件</w:t>
      </w:r>
      <w:r>
        <w:rPr>
          <w:rFonts w:hint="eastAsia" w:ascii="Times New Roman" w:hAnsi="Times New Roman" w:eastAsia="仿宋_GB2312" w:cs="仿宋_GB2312"/>
          <w:color w:val="auto"/>
          <w:sz w:val="30"/>
          <w:szCs w:val="30"/>
          <w:highlight w:val="none"/>
        </w:rPr>
        <w:t>、</w:t>
      </w:r>
      <w:r>
        <w:rPr>
          <w:rFonts w:hint="eastAsia" w:ascii="仿宋" w:hAnsi="仿宋" w:eastAsia="仿宋" w:cs="仿宋"/>
          <w:color w:val="auto"/>
          <w:sz w:val="24"/>
          <w:szCs w:val="24"/>
          <w:highlight w:val="none"/>
        </w:rPr>
        <w:t>施工图纸、模型（包括任何补充和修改的施工图纸、配套说明和有关资料）。图纸应当按照法律规定审查合格。</w:t>
      </w:r>
    </w:p>
    <w:p>
      <w:pPr>
        <w:pStyle w:val="22"/>
        <w:tabs>
          <w:tab w:val="left" w:pos="2160"/>
        </w:tabs>
        <w:adjustRightInd w:val="0"/>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1.9  </w:t>
      </w:r>
      <w:r>
        <w:rPr>
          <w:rFonts w:hint="eastAsia" w:ascii="仿宋" w:hAnsi="仿宋" w:eastAsia="仿宋" w:cs="仿宋"/>
          <w:b/>
          <w:bCs/>
          <w:color w:val="auto"/>
          <w:sz w:val="24"/>
          <w:szCs w:val="24"/>
          <w:highlight w:val="none"/>
        </w:rPr>
        <w:t>工程量清单：</w:t>
      </w:r>
      <w:r>
        <w:rPr>
          <w:rFonts w:hint="eastAsia" w:ascii="仿宋" w:hAnsi="仿宋" w:eastAsia="仿宋" w:cs="仿宋"/>
          <w:color w:val="auto"/>
          <w:sz w:val="24"/>
          <w:szCs w:val="24"/>
          <w:highlight w:val="none"/>
        </w:rPr>
        <w:t>指构成合同文件组成部分的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由发包人在招标文件中提供的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合同工程分部分项工程项目、措施项目、其他项目、规费项目和税金项目的名称和相应数量等的明细清单。</w:t>
      </w:r>
    </w:p>
    <w:p>
      <w:pPr>
        <w:pStyle w:val="22"/>
        <w:tabs>
          <w:tab w:val="left" w:pos="2160"/>
        </w:tabs>
        <w:adjustRightInd w:val="0"/>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1.10  </w:t>
      </w:r>
      <w:r>
        <w:rPr>
          <w:rFonts w:hint="eastAsia" w:ascii="仿宋" w:hAnsi="仿宋" w:eastAsia="仿宋" w:cs="仿宋"/>
          <w:b/>
          <w:bCs/>
          <w:color w:val="auto"/>
          <w:sz w:val="24"/>
          <w:szCs w:val="24"/>
          <w:highlight w:val="none"/>
        </w:rPr>
        <w:t>发包人：</w:t>
      </w:r>
      <w:r>
        <w:rPr>
          <w:rFonts w:hint="eastAsia" w:ascii="仿宋" w:hAnsi="仿宋" w:eastAsia="仿宋" w:cs="仿宋"/>
          <w:color w:val="auto"/>
          <w:sz w:val="24"/>
          <w:szCs w:val="24"/>
          <w:highlight w:val="none"/>
        </w:rPr>
        <w:t>指在协议书中约定，具有工程发包主体资格和支付工程款能力的当事人，以及取得该当事人资格的合法继承人。</w:t>
      </w:r>
    </w:p>
    <w:p>
      <w:pPr>
        <w:pStyle w:val="22"/>
        <w:tabs>
          <w:tab w:val="left" w:pos="1980"/>
        </w:tabs>
        <w:adjustRightInd w:val="0"/>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1.11  </w:t>
      </w:r>
      <w:r>
        <w:rPr>
          <w:rFonts w:hint="eastAsia" w:ascii="仿宋" w:hAnsi="仿宋" w:eastAsia="仿宋" w:cs="仿宋"/>
          <w:b/>
          <w:bCs/>
          <w:color w:val="auto"/>
          <w:sz w:val="24"/>
          <w:szCs w:val="24"/>
          <w:highlight w:val="none"/>
        </w:rPr>
        <w:t>承包人：</w:t>
      </w:r>
      <w:r>
        <w:rPr>
          <w:rFonts w:hint="eastAsia" w:ascii="仿宋" w:hAnsi="仿宋" w:eastAsia="仿宋" w:cs="仿宋"/>
          <w:color w:val="auto"/>
          <w:sz w:val="24"/>
          <w:szCs w:val="24"/>
          <w:highlight w:val="none"/>
        </w:rPr>
        <w:t>指在协议书中约定，被发包人接受且具有工程施工承包主体资格的当事人，以及取得该当事人资格的合法继承人。</w:t>
      </w:r>
    </w:p>
    <w:p>
      <w:pPr>
        <w:pStyle w:val="22"/>
        <w:tabs>
          <w:tab w:val="left" w:pos="198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1.12  </w:t>
      </w:r>
      <w:r>
        <w:rPr>
          <w:rFonts w:hint="eastAsia" w:ascii="仿宋" w:hAnsi="仿宋" w:eastAsia="仿宋" w:cs="仿宋"/>
          <w:b/>
          <w:bCs/>
          <w:color w:val="auto"/>
          <w:sz w:val="24"/>
          <w:szCs w:val="24"/>
          <w:highlight w:val="none"/>
        </w:rPr>
        <w:t>分包人：</w:t>
      </w:r>
      <w:r>
        <w:rPr>
          <w:rFonts w:hint="eastAsia" w:ascii="仿宋" w:hAnsi="仿宋" w:eastAsia="仿宋" w:cs="仿宋"/>
          <w:color w:val="auto"/>
          <w:sz w:val="24"/>
          <w:szCs w:val="24"/>
          <w:highlight w:val="none"/>
        </w:rPr>
        <w:t>指被发包人接受且具有相应资格，并与承包人签订了分包合同，依法分包合同工程某一部分的当事人，以及取得该当事人资格的合法继承人。</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1.13  </w:t>
      </w:r>
      <w:r>
        <w:rPr>
          <w:rFonts w:hint="eastAsia" w:ascii="仿宋" w:hAnsi="仿宋" w:eastAsia="仿宋" w:cs="仿宋"/>
          <w:b/>
          <w:bCs/>
          <w:color w:val="auto"/>
          <w:sz w:val="24"/>
          <w:szCs w:val="24"/>
          <w:highlight w:val="none"/>
        </w:rPr>
        <w:t>第三方：</w:t>
      </w:r>
      <w:r>
        <w:rPr>
          <w:rFonts w:hint="eastAsia" w:ascii="仿宋" w:hAnsi="仿宋" w:eastAsia="仿宋" w:cs="仿宋"/>
          <w:color w:val="auto"/>
          <w:sz w:val="24"/>
          <w:szCs w:val="24"/>
          <w:highlight w:val="none"/>
        </w:rPr>
        <w:t>除合同双方当事人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含双方雇员及代表其工作的人员</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以外的任何他人或组织。</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1.14  </w:t>
      </w:r>
      <w:r>
        <w:rPr>
          <w:rFonts w:hint="eastAsia" w:ascii="仿宋" w:hAnsi="仿宋" w:eastAsia="仿宋" w:cs="仿宋"/>
          <w:b/>
          <w:bCs/>
          <w:color w:val="auto"/>
          <w:sz w:val="24"/>
          <w:szCs w:val="24"/>
          <w:highlight w:val="none"/>
        </w:rPr>
        <w:t>设计人：</w:t>
      </w:r>
      <w:r>
        <w:rPr>
          <w:rFonts w:hint="eastAsia" w:ascii="仿宋" w:hAnsi="仿宋" w:eastAsia="仿宋" w:cs="仿宋"/>
          <w:color w:val="auto"/>
          <w:sz w:val="24"/>
          <w:szCs w:val="24"/>
          <w:highlight w:val="none"/>
        </w:rPr>
        <w:t>指受发包人委托的，负责合同工程的工程设计专业技术且具有相应工程设计资质的当事人，以及取得该当事人资格的合法继承人。</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1.15  </w:t>
      </w:r>
      <w:r>
        <w:rPr>
          <w:rFonts w:hint="eastAsia" w:ascii="仿宋" w:hAnsi="仿宋" w:eastAsia="仿宋" w:cs="仿宋"/>
          <w:b/>
          <w:bCs/>
          <w:color w:val="auto"/>
          <w:sz w:val="24"/>
          <w:szCs w:val="24"/>
          <w:highlight w:val="none"/>
        </w:rPr>
        <w:t>监理人：</w:t>
      </w:r>
      <w:r>
        <w:rPr>
          <w:rFonts w:hint="eastAsia" w:ascii="仿宋" w:hAnsi="仿宋" w:eastAsia="仿宋" w:cs="仿宋"/>
          <w:color w:val="auto"/>
          <w:sz w:val="24"/>
          <w:szCs w:val="24"/>
          <w:highlight w:val="none"/>
        </w:rPr>
        <w:t>指受发包人委托的，负责合同工程的工程监理专业技术且具有相应工程监理资质的当事人，以及取得该当事人资格的合法继承人。</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1.16  </w:t>
      </w:r>
      <w:r>
        <w:rPr>
          <w:rFonts w:hint="eastAsia" w:ascii="仿宋" w:hAnsi="仿宋" w:eastAsia="仿宋" w:cs="仿宋"/>
          <w:b/>
          <w:bCs/>
          <w:color w:val="auto"/>
          <w:sz w:val="24"/>
          <w:szCs w:val="24"/>
          <w:highlight w:val="none"/>
        </w:rPr>
        <w:t>工程造价咨询人：</w:t>
      </w:r>
      <w:r>
        <w:rPr>
          <w:rFonts w:hint="eastAsia" w:ascii="仿宋" w:hAnsi="仿宋" w:eastAsia="仿宋" w:cs="仿宋"/>
          <w:color w:val="auto"/>
          <w:sz w:val="24"/>
          <w:szCs w:val="24"/>
          <w:highlight w:val="none"/>
        </w:rPr>
        <w:t>指受发包人委托的，负责合同工程的工程造价专业技术且具有相应工程造价咨询资质的当事人，以及取得该当事人资格的合法继承人。</w:t>
      </w:r>
    </w:p>
    <w:p>
      <w:pPr>
        <w:pStyle w:val="22"/>
        <w:tabs>
          <w:tab w:val="left" w:pos="1980"/>
          <w:tab w:val="left" w:pos="2160"/>
          <w:tab w:val="left" w:pos="252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1.17  </w:t>
      </w:r>
      <w:r>
        <w:rPr>
          <w:rFonts w:hint="eastAsia" w:ascii="仿宋" w:hAnsi="仿宋" w:eastAsia="仿宋" w:cs="仿宋"/>
          <w:b/>
          <w:bCs/>
          <w:color w:val="auto"/>
          <w:sz w:val="24"/>
          <w:szCs w:val="24"/>
          <w:highlight w:val="none"/>
        </w:rPr>
        <w:t>工程造价管理机构：</w:t>
      </w:r>
      <w:r>
        <w:rPr>
          <w:rFonts w:hint="eastAsia" w:ascii="仿宋" w:hAnsi="仿宋" w:eastAsia="仿宋" w:cs="仿宋"/>
          <w:color w:val="auto"/>
          <w:sz w:val="24"/>
          <w:szCs w:val="24"/>
          <w:highlight w:val="none"/>
        </w:rPr>
        <w:t>指国务院有关部门、县级以上人民政府建设行政主管部门或受其委托的工程造价管理机构。</w:t>
      </w:r>
    </w:p>
    <w:p>
      <w:pPr>
        <w:pStyle w:val="22"/>
        <w:tabs>
          <w:tab w:val="left" w:pos="1980"/>
          <w:tab w:val="left" w:pos="2160"/>
          <w:tab w:val="left" w:pos="252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1.18  </w:t>
      </w:r>
      <w:r>
        <w:rPr>
          <w:rFonts w:hint="eastAsia" w:ascii="仿宋" w:hAnsi="仿宋" w:eastAsia="仿宋" w:cs="仿宋"/>
          <w:b/>
          <w:bCs/>
          <w:color w:val="auto"/>
          <w:sz w:val="24"/>
          <w:szCs w:val="24"/>
          <w:highlight w:val="none"/>
        </w:rPr>
        <w:t>发包人代表：</w:t>
      </w:r>
      <w:r>
        <w:rPr>
          <w:rFonts w:hint="eastAsia" w:ascii="仿宋" w:hAnsi="仿宋" w:eastAsia="仿宋" w:cs="仿宋"/>
          <w:color w:val="auto"/>
          <w:sz w:val="24"/>
          <w:szCs w:val="24"/>
          <w:highlight w:val="none"/>
        </w:rPr>
        <w:t>指发包人指定的，履行本合同的全权代表。发包人代表由发包人依据第</w:t>
      </w:r>
      <w:r>
        <w:rPr>
          <w:rFonts w:ascii="仿宋" w:hAnsi="仿宋" w:eastAsia="仿宋" w:cs="仿宋"/>
          <w:color w:val="auto"/>
          <w:sz w:val="24"/>
          <w:szCs w:val="24"/>
          <w:highlight w:val="none"/>
        </w:rPr>
        <w:t>22.1</w:t>
      </w:r>
      <w:r>
        <w:rPr>
          <w:rFonts w:hint="eastAsia" w:ascii="仿宋" w:hAnsi="仿宋" w:eastAsia="仿宋" w:cs="仿宋"/>
          <w:color w:val="auto"/>
          <w:sz w:val="24"/>
          <w:szCs w:val="24"/>
          <w:highlight w:val="none"/>
        </w:rPr>
        <w:t>款规定任命并书面通知承包人。</w:t>
      </w:r>
    </w:p>
    <w:p>
      <w:pPr>
        <w:pStyle w:val="22"/>
        <w:tabs>
          <w:tab w:val="left" w:pos="1260"/>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1.19  </w:t>
      </w:r>
      <w:r>
        <w:rPr>
          <w:rFonts w:hint="eastAsia" w:ascii="仿宋" w:hAnsi="仿宋" w:eastAsia="仿宋" w:cs="仿宋"/>
          <w:b/>
          <w:bCs/>
          <w:color w:val="auto"/>
          <w:sz w:val="24"/>
          <w:szCs w:val="24"/>
          <w:highlight w:val="none"/>
        </w:rPr>
        <w:t>监理工程师：</w:t>
      </w:r>
      <w:r>
        <w:rPr>
          <w:rFonts w:hint="eastAsia" w:ascii="仿宋" w:hAnsi="仿宋" w:eastAsia="仿宋" w:cs="仿宋"/>
          <w:color w:val="auto"/>
          <w:sz w:val="24"/>
          <w:szCs w:val="24"/>
          <w:highlight w:val="none"/>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款规定任命并书面通知承包人。</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1.20  </w:t>
      </w:r>
      <w:r>
        <w:rPr>
          <w:rFonts w:hint="eastAsia" w:ascii="仿宋" w:hAnsi="仿宋" w:eastAsia="仿宋" w:cs="仿宋"/>
          <w:b/>
          <w:bCs/>
          <w:color w:val="auto"/>
          <w:sz w:val="24"/>
          <w:szCs w:val="24"/>
          <w:highlight w:val="none"/>
        </w:rPr>
        <w:t>造价工程师：</w:t>
      </w:r>
      <w:r>
        <w:rPr>
          <w:rFonts w:hint="eastAsia" w:ascii="仿宋" w:hAnsi="仿宋" w:eastAsia="仿宋" w:cs="仿宋"/>
          <w:color w:val="auto"/>
          <w:sz w:val="24"/>
          <w:szCs w:val="24"/>
          <w:highlight w:val="none"/>
        </w:rPr>
        <w:t>指工程造价咨询人或监理人委派常驻施工现场负责合同工程的工程造价专业技术的专业人员。造价工程师由工程造价咨询人或监理人提名，经发包人依据第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款规定任命并书面通知承包人。</w:t>
      </w:r>
    </w:p>
    <w:p>
      <w:pPr>
        <w:pStyle w:val="22"/>
        <w:tabs>
          <w:tab w:val="left" w:pos="1620"/>
          <w:tab w:val="left" w:pos="198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1.21  </w:t>
      </w:r>
      <w:r>
        <w:rPr>
          <w:rFonts w:hint="eastAsia" w:ascii="仿宋" w:hAnsi="仿宋" w:eastAsia="仿宋" w:cs="仿宋"/>
          <w:b/>
          <w:bCs/>
          <w:color w:val="auto"/>
          <w:sz w:val="24"/>
          <w:szCs w:val="24"/>
          <w:highlight w:val="none"/>
        </w:rPr>
        <w:t>承包人代表：</w:t>
      </w:r>
      <w:r>
        <w:rPr>
          <w:rFonts w:hint="eastAsia" w:ascii="仿宋" w:hAnsi="仿宋" w:eastAsia="仿宋" w:cs="仿宋"/>
          <w:color w:val="auto"/>
          <w:sz w:val="24"/>
          <w:szCs w:val="24"/>
          <w:highlight w:val="none"/>
        </w:rPr>
        <w:t>指承包人指定的，履行本合同和负责合同工程施工现场管理的全权代表。承包人代表由承包人依据第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款规定任命并书面通知发包人。</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1.22  </w:t>
      </w:r>
      <w:r>
        <w:rPr>
          <w:rFonts w:hint="eastAsia" w:ascii="仿宋" w:hAnsi="仿宋" w:eastAsia="仿宋" w:cs="仿宋"/>
          <w:b/>
          <w:bCs/>
          <w:color w:val="auto"/>
          <w:sz w:val="24"/>
          <w:szCs w:val="24"/>
          <w:highlight w:val="none"/>
        </w:rPr>
        <w:t>合同工期：</w:t>
      </w:r>
      <w:r>
        <w:rPr>
          <w:rFonts w:hint="eastAsia" w:ascii="仿宋" w:hAnsi="仿宋" w:eastAsia="仿宋" w:cs="仿宋"/>
          <w:color w:val="auto"/>
          <w:sz w:val="24"/>
          <w:szCs w:val="24"/>
          <w:highlight w:val="none"/>
        </w:rPr>
        <w:t>指合同双方当事人在协议书中约定，按照总日历天数（包括法定节假日）计算的从开始实施到完成合同工程的天数。</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1.23  </w:t>
      </w:r>
      <w:r>
        <w:rPr>
          <w:rFonts w:hint="eastAsia" w:ascii="仿宋" w:hAnsi="仿宋" w:eastAsia="仿宋" w:cs="仿宋"/>
          <w:b/>
          <w:bCs/>
          <w:color w:val="auto"/>
          <w:sz w:val="24"/>
          <w:szCs w:val="24"/>
          <w:highlight w:val="none"/>
        </w:rPr>
        <w:t>开工日期：</w:t>
      </w:r>
      <w:r>
        <w:rPr>
          <w:rFonts w:hint="eastAsia" w:ascii="仿宋" w:hAnsi="仿宋" w:eastAsia="仿宋" w:cs="仿宋"/>
          <w:color w:val="auto"/>
          <w:sz w:val="24"/>
          <w:szCs w:val="24"/>
          <w:highlight w:val="none"/>
        </w:rPr>
        <w:t>指根据第</w:t>
      </w: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条规定，监理工程师在开工令中写明的、承包人按照合同约定最迟在该日期开工的日期。</w:t>
      </w:r>
    </w:p>
    <w:p>
      <w:pPr>
        <w:pStyle w:val="22"/>
        <w:tabs>
          <w:tab w:val="left" w:pos="198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1.24  </w:t>
      </w:r>
      <w:r>
        <w:rPr>
          <w:rFonts w:hint="eastAsia" w:ascii="仿宋" w:hAnsi="仿宋" w:eastAsia="仿宋" w:cs="仿宋"/>
          <w:b/>
          <w:bCs/>
          <w:color w:val="auto"/>
          <w:sz w:val="24"/>
          <w:szCs w:val="24"/>
          <w:highlight w:val="none"/>
        </w:rPr>
        <w:t>计划竣工日期：</w:t>
      </w:r>
      <w:r>
        <w:rPr>
          <w:rFonts w:hint="eastAsia" w:ascii="仿宋" w:hAnsi="仿宋" w:eastAsia="仿宋" w:cs="仿宋"/>
          <w:color w:val="auto"/>
          <w:sz w:val="24"/>
          <w:szCs w:val="24"/>
          <w:highlight w:val="none"/>
        </w:rPr>
        <w:t>指自开工日期起根据合同约定要求承包人完成合同工程并竣工的全部时间（包括根据第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款规定所做的调整）。</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1.25  </w:t>
      </w:r>
      <w:r>
        <w:rPr>
          <w:rFonts w:hint="eastAsia" w:ascii="仿宋" w:hAnsi="仿宋" w:eastAsia="仿宋" w:cs="仿宋"/>
          <w:b/>
          <w:bCs/>
          <w:color w:val="auto"/>
          <w:sz w:val="24"/>
          <w:szCs w:val="24"/>
          <w:highlight w:val="none"/>
        </w:rPr>
        <w:t>实际竣工日期：</w:t>
      </w:r>
      <w:r>
        <w:rPr>
          <w:rFonts w:hint="eastAsia" w:ascii="仿宋" w:hAnsi="仿宋" w:eastAsia="仿宋" w:cs="仿宋"/>
          <w:color w:val="auto"/>
          <w:sz w:val="24"/>
          <w:szCs w:val="24"/>
          <w:highlight w:val="none"/>
        </w:rPr>
        <w:t>指承包人实际完成合同工程或某单位工程后，由发包人按照第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条规定组织竣工验收、接收工程并颁发工程接收证书的日期。实际竣工日期，按照第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1.26  </w:t>
      </w:r>
      <w:r>
        <w:rPr>
          <w:rFonts w:hint="eastAsia" w:ascii="仿宋" w:hAnsi="仿宋" w:eastAsia="仿宋" w:cs="仿宋"/>
          <w:b/>
          <w:bCs/>
          <w:color w:val="auto"/>
          <w:sz w:val="24"/>
          <w:szCs w:val="24"/>
          <w:highlight w:val="none"/>
        </w:rPr>
        <w:t>缺陷责任期：</w:t>
      </w:r>
      <w:r>
        <w:rPr>
          <w:rFonts w:hint="eastAsia" w:ascii="仿宋" w:hAnsi="仿宋" w:eastAsia="仿宋" w:cs="仿宋"/>
          <w:color w:val="auto"/>
          <w:sz w:val="24"/>
          <w:szCs w:val="24"/>
          <w:highlight w:val="none"/>
        </w:rPr>
        <w:t>指履行第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款规定的缺陷责任的期限。具体期限在专用条款中约定，包括第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款规定的延长期限。</w:t>
      </w:r>
    </w:p>
    <w:p>
      <w:pPr>
        <w:pStyle w:val="22"/>
        <w:tabs>
          <w:tab w:val="left" w:pos="198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1.27  </w:t>
      </w:r>
      <w:r>
        <w:rPr>
          <w:rFonts w:hint="eastAsia" w:ascii="仿宋" w:hAnsi="仿宋" w:eastAsia="仿宋" w:cs="仿宋"/>
          <w:b/>
          <w:bCs/>
          <w:color w:val="auto"/>
          <w:sz w:val="24"/>
          <w:szCs w:val="24"/>
          <w:highlight w:val="none"/>
        </w:rPr>
        <w:t>基准日期：</w:t>
      </w:r>
      <w:r>
        <w:rPr>
          <w:rFonts w:hint="eastAsia" w:ascii="仿宋" w:hAnsi="仿宋" w:eastAsia="仿宋" w:cs="仿宋"/>
          <w:color w:val="auto"/>
          <w:sz w:val="24"/>
          <w:szCs w:val="24"/>
          <w:highlight w:val="none"/>
        </w:rPr>
        <w:t>指招标工程递交投标文件截止日期前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天的日期；非招标工程订立合同前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1.28  </w:t>
      </w:r>
      <w:r>
        <w:rPr>
          <w:rFonts w:hint="eastAsia" w:ascii="仿宋" w:hAnsi="仿宋" w:eastAsia="仿宋" w:cs="仿宋"/>
          <w:b/>
          <w:bCs/>
          <w:color w:val="auto"/>
          <w:sz w:val="24"/>
          <w:szCs w:val="24"/>
          <w:highlight w:val="none"/>
        </w:rPr>
        <w:t>小时或天：</w:t>
      </w:r>
      <w:r>
        <w:rPr>
          <w:rFonts w:hint="eastAsia" w:ascii="仿宋" w:hAnsi="仿宋" w:eastAsia="仿宋" w:cs="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hAnsi="仿宋" w:eastAsia="仿宋" w:cs="仿宋"/>
          <w:color w:val="auto"/>
          <w:sz w:val="24"/>
          <w:szCs w:val="24"/>
          <w:highlight w:val="none"/>
        </w:rPr>
        <w:t>24:00</w:t>
      </w:r>
      <w:r>
        <w:rPr>
          <w:rFonts w:hint="eastAsia" w:ascii="仿宋" w:hAnsi="仿宋" w:eastAsia="仿宋" w:cs="仿宋"/>
          <w:color w:val="auto"/>
          <w:sz w:val="24"/>
          <w:szCs w:val="24"/>
          <w:highlight w:val="none"/>
        </w:rPr>
        <w:t>（即次日零点）。</w:t>
      </w:r>
    </w:p>
    <w:p>
      <w:pPr>
        <w:pStyle w:val="22"/>
        <w:tabs>
          <w:tab w:val="left" w:pos="900"/>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1.29  </w:t>
      </w:r>
      <w:r>
        <w:rPr>
          <w:rFonts w:hint="eastAsia" w:ascii="仿宋" w:hAnsi="仿宋" w:eastAsia="仿宋" w:cs="仿宋"/>
          <w:b/>
          <w:bCs/>
          <w:color w:val="auto"/>
          <w:sz w:val="24"/>
          <w:szCs w:val="24"/>
          <w:highlight w:val="none"/>
        </w:rPr>
        <w:t>中标价格：</w:t>
      </w:r>
      <w:r>
        <w:rPr>
          <w:rFonts w:hint="eastAsia" w:ascii="仿宋" w:hAnsi="仿宋" w:eastAsia="仿宋" w:cs="仿宋"/>
          <w:color w:val="auto"/>
          <w:sz w:val="24"/>
          <w:szCs w:val="24"/>
          <w:highlight w:val="none"/>
        </w:rPr>
        <w:t>指中标通知书中列明的，发包人接受中标人（承包人）实施、完成并保修合同工程的价格。</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1.30  </w:t>
      </w:r>
      <w:r>
        <w:rPr>
          <w:rFonts w:hint="eastAsia" w:ascii="仿宋" w:hAnsi="仿宋" w:eastAsia="仿宋" w:cs="仿宋"/>
          <w:b/>
          <w:bCs/>
          <w:color w:val="auto"/>
          <w:sz w:val="24"/>
          <w:szCs w:val="24"/>
          <w:highlight w:val="none"/>
        </w:rPr>
        <w:t>合同价款：</w:t>
      </w:r>
      <w:r>
        <w:rPr>
          <w:rFonts w:hint="eastAsia" w:ascii="仿宋" w:hAnsi="仿宋" w:eastAsia="仿宋" w:cs="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款规定合同价款调整事件确定。</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1.31  </w:t>
      </w:r>
      <w:r>
        <w:rPr>
          <w:rFonts w:hint="eastAsia" w:ascii="仿宋" w:hAnsi="仿宋" w:eastAsia="仿宋" w:cs="仿宋"/>
          <w:b/>
          <w:bCs/>
          <w:color w:val="auto"/>
          <w:sz w:val="24"/>
          <w:szCs w:val="24"/>
          <w:highlight w:val="none"/>
        </w:rPr>
        <w:t>费用：</w:t>
      </w:r>
      <w:r>
        <w:rPr>
          <w:rFonts w:hint="eastAsia" w:ascii="仿宋" w:hAnsi="仿宋" w:eastAsia="仿宋" w:cs="仿宋"/>
          <w:color w:val="auto"/>
          <w:sz w:val="24"/>
          <w:szCs w:val="24"/>
          <w:highlight w:val="none"/>
        </w:rPr>
        <w:t>指为履行合同所发生或将发生的所有合理开支，包括管理费和其他合理分摊的开支，但不包括利润。</w:t>
      </w:r>
    </w:p>
    <w:p>
      <w:pPr>
        <w:pStyle w:val="22"/>
        <w:tabs>
          <w:tab w:val="left" w:pos="1980"/>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1.32  </w:t>
      </w:r>
      <w:r>
        <w:rPr>
          <w:rFonts w:hint="eastAsia" w:ascii="仿宋" w:hAnsi="仿宋" w:eastAsia="仿宋" w:cs="仿宋"/>
          <w:b/>
          <w:bCs/>
          <w:color w:val="auto"/>
          <w:sz w:val="24"/>
          <w:szCs w:val="24"/>
          <w:highlight w:val="none"/>
        </w:rPr>
        <w:t>分部分项工程费：</w:t>
      </w:r>
      <w:r>
        <w:rPr>
          <w:rFonts w:hint="eastAsia" w:ascii="仿宋" w:hAnsi="仿宋" w:eastAsia="仿宋" w:cs="仿宋"/>
          <w:color w:val="auto"/>
          <w:sz w:val="24"/>
          <w:szCs w:val="24"/>
          <w:highlight w:val="none"/>
        </w:rPr>
        <w:t>指为实施、完成并保修永久工程，发生于工程实体项目所需的人工费、材料费、机械使用费、管理费、利润和风险费用。</w:t>
      </w:r>
    </w:p>
    <w:p>
      <w:pPr>
        <w:pStyle w:val="22"/>
        <w:tabs>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1.33  </w:t>
      </w:r>
      <w:r>
        <w:rPr>
          <w:rFonts w:hint="eastAsia" w:ascii="仿宋" w:hAnsi="仿宋" w:eastAsia="仿宋" w:cs="仿宋"/>
          <w:b/>
          <w:bCs/>
          <w:color w:val="auto"/>
          <w:sz w:val="24"/>
          <w:szCs w:val="24"/>
          <w:highlight w:val="none"/>
        </w:rPr>
        <w:t>措施项目费：</w:t>
      </w:r>
      <w:r>
        <w:rPr>
          <w:rFonts w:hint="eastAsia" w:ascii="仿宋" w:hAnsi="仿宋" w:eastAsia="仿宋" w:cs="仿宋"/>
          <w:color w:val="auto"/>
          <w:sz w:val="24"/>
          <w:szCs w:val="24"/>
          <w:highlight w:val="none"/>
        </w:rPr>
        <w:t>指为实施、完成并保修合同工程，发生于合同工程施工准备和施工过程中的技术、生活、安全、环境保护等方面的非工程实体项目费用。</w:t>
      </w:r>
    </w:p>
    <w:p>
      <w:pPr>
        <w:pStyle w:val="22"/>
        <w:tabs>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1.34  </w:t>
      </w:r>
      <w:r>
        <w:rPr>
          <w:rFonts w:hint="eastAsia" w:ascii="仿宋" w:hAnsi="仿宋" w:eastAsia="仿宋" w:cs="仿宋"/>
          <w:b/>
          <w:bCs/>
          <w:color w:val="auto"/>
          <w:sz w:val="24"/>
          <w:szCs w:val="24"/>
          <w:highlight w:val="none"/>
        </w:rPr>
        <w:t>工程款：</w:t>
      </w:r>
      <w:r>
        <w:rPr>
          <w:rFonts w:hint="eastAsia" w:ascii="仿宋" w:hAnsi="仿宋" w:eastAsia="仿宋" w:cs="仿宋"/>
          <w:color w:val="auto"/>
          <w:sz w:val="24"/>
          <w:szCs w:val="24"/>
          <w:highlight w:val="none"/>
        </w:rPr>
        <w:t>指为实施、完成并保修合同工程，发包人支付或应当支付给承包人的各种价款，包括进度款、结算款等。</w:t>
      </w:r>
    </w:p>
    <w:p>
      <w:pPr>
        <w:pStyle w:val="22"/>
        <w:tabs>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1.35  </w:t>
      </w:r>
      <w:r>
        <w:rPr>
          <w:rFonts w:hint="eastAsia" w:ascii="仿宋" w:hAnsi="仿宋" w:eastAsia="仿宋" w:cs="仿宋"/>
          <w:b/>
          <w:bCs/>
          <w:color w:val="auto"/>
          <w:sz w:val="24"/>
          <w:szCs w:val="24"/>
          <w:highlight w:val="none"/>
        </w:rPr>
        <w:t>暂列金额：</w:t>
      </w:r>
      <w:r>
        <w:rPr>
          <w:rFonts w:hint="eastAsia" w:ascii="仿宋" w:hAnsi="仿宋" w:eastAsia="仿宋" w:cs="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22"/>
        <w:tabs>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1.36  </w:t>
      </w:r>
      <w:r>
        <w:rPr>
          <w:rFonts w:hint="eastAsia" w:ascii="仿宋" w:hAnsi="仿宋" w:eastAsia="仿宋" w:cs="仿宋"/>
          <w:b/>
          <w:bCs/>
          <w:color w:val="auto"/>
          <w:sz w:val="24"/>
          <w:szCs w:val="24"/>
          <w:highlight w:val="none"/>
        </w:rPr>
        <w:t>暂估价：</w:t>
      </w:r>
      <w:r>
        <w:rPr>
          <w:rFonts w:hint="eastAsia" w:ascii="仿宋" w:hAnsi="仿宋" w:eastAsia="仿宋" w:cs="仿宋"/>
          <w:color w:val="auto"/>
          <w:sz w:val="24"/>
          <w:szCs w:val="24"/>
          <w:highlight w:val="none"/>
        </w:rPr>
        <w:t>指发包人在工程量清单中提供的用于支付必然发生但暂时不能确定价格的材料、工程设备以及专业工程的金额。</w:t>
      </w:r>
    </w:p>
    <w:p>
      <w:pPr>
        <w:pStyle w:val="22"/>
        <w:tabs>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1.37  </w:t>
      </w:r>
      <w:r>
        <w:rPr>
          <w:rFonts w:hint="eastAsia" w:ascii="仿宋" w:hAnsi="仿宋" w:eastAsia="仿宋" w:cs="仿宋"/>
          <w:b/>
          <w:bCs/>
          <w:color w:val="auto"/>
          <w:sz w:val="24"/>
          <w:szCs w:val="24"/>
          <w:highlight w:val="none"/>
        </w:rPr>
        <w:t>计日工：</w:t>
      </w:r>
      <w:r>
        <w:rPr>
          <w:rFonts w:hint="eastAsia" w:ascii="仿宋" w:hAnsi="仿宋" w:eastAsia="仿宋" w:cs="仿宋"/>
          <w:color w:val="auto"/>
          <w:sz w:val="24"/>
          <w:szCs w:val="24"/>
          <w:highlight w:val="none"/>
        </w:rPr>
        <w:t>指在施工过程中，承包人完成发包人提出的施工设计图纸以外的零星项目或工作，按照合同中约定计价付款的一种计价方式。</w:t>
      </w:r>
    </w:p>
    <w:p>
      <w:pPr>
        <w:pStyle w:val="22"/>
        <w:tabs>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1.38  </w:t>
      </w:r>
      <w:r>
        <w:rPr>
          <w:rFonts w:hint="eastAsia" w:ascii="仿宋" w:hAnsi="仿宋" w:eastAsia="仿宋" w:cs="仿宋"/>
          <w:b/>
          <w:bCs/>
          <w:color w:val="auto"/>
          <w:sz w:val="24"/>
          <w:szCs w:val="24"/>
          <w:highlight w:val="none"/>
        </w:rPr>
        <w:t>质量保证金：</w:t>
      </w:r>
      <w:r>
        <w:rPr>
          <w:rFonts w:hint="eastAsia" w:ascii="仿宋" w:hAnsi="仿宋" w:eastAsia="仿宋" w:cs="仿宋"/>
          <w:color w:val="auto"/>
          <w:sz w:val="24"/>
          <w:szCs w:val="24"/>
          <w:highlight w:val="none"/>
        </w:rPr>
        <w:t>指按照第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条约定用于保证在缺陷责任期内履行缺陷修复义务的金额。</w:t>
      </w:r>
    </w:p>
    <w:p>
      <w:pPr>
        <w:pStyle w:val="22"/>
        <w:tabs>
          <w:tab w:val="left" w:pos="2160"/>
        </w:tabs>
        <w:spacing w:before="312" w:beforeLines="10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1.39  </w:t>
      </w:r>
      <w:r>
        <w:rPr>
          <w:rFonts w:hint="eastAsia" w:ascii="仿宋" w:hAnsi="仿宋" w:eastAsia="仿宋" w:cs="仿宋"/>
          <w:b/>
          <w:bCs/>
          <w:color w:val="auto"/>
          <w:sz w:val="24"/>
          <w:szCs w:val="24"/>
          <w:highlight w:val="none"/>
        </w:rPr>
        <w:t>合同工程：</w:t>
      </w:r>
      <w:r>
        <w:rPr>
          <w:rFonts w:hint="eastAsia" w:ascii="仿宋" w:hAnsi="仿宋" w:eastAsia="仿宋" w:cs="仿宋"/>
          <w:color w:val="auto"/>
          <w:sz w:val="24"/>
          <w:szCs w:val="24"/>
          <w:highlight w:val="none"/>
        </w:rPr>
        <w:t>指合同双方当事人在协议书中约定的承包范围内的工程，包括永久工程和（或）临时工程。</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1.40  </w:t>
      </w:r>
      <w:r>
        <w:rPr>
          <w:rFonts w:hint="eastAsia" w:ascii="仿宋" w:hAnsi="仿宋" w:eastAsia="仿宋" w:cs="仿宋"/>
          <w:b/>
          <w:bCs/>
          <w:color w:val="auto"/>
          <w:sz w:val="24"/>
          <w:szCs w:val="24"/>
          <w:highlight w:val="none"/>
        </w:rPr>
        <w:t>永久工程：</w:t>
      </w:r>
      <w:r>
        <w:rPr>
          <w:rFonts w:hint="eastAsia" w:ascii="仿宋" w:hAnsi="仿宋" w:eastAsia="仿宋" w:cs="仿宋"/>
          <w:color w:val="auto"/>
          <w:sz w:val="24"/>
          <w:szCs w:val="24"/>
          <w:highlight w:val="none"/>
        </w:rPr>
        <w:t>指按照合同约定承包人应当实施、完成并移交给发包人的永久性工程，包括工程设备。</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1.41  </w:t>
      </w:r>
      <w:r>
        <w:rPr>
          <w:rFonts w:hint="eastAsia" w:ascii="仿宋" w:hAnsi="仿宋" w:eastAsia="仿宋" w:cs="仿宋"/>
          <w:b/>
          <w:bCs/>
          <w:color w:val="auto"/>
          <w:sz w:val="24"/>
          <w:szCs w:val="24"/>
          <w:highlight w:val="none"/>
        </w:rPr>
        <w:t>临时工程：</w:t>
      </w:r>
      <w:r>
        <w:rPr>
          <w:rFonts w:hint="eastAsia" w:ascii="仿宋" w:hAnsi="仿宋" w:eastAsia="仿宋" w:cs="仿宋"/>
          <w:color w:val="auto"/>
          <w:sz w:val="24"/>
          <w:szCs w:val="24"/>
          <w:highlight w:val="none"/>
        </w:rPr>
        <w:t>指实施、完成并保修永久工程过程中所需要的各类临时性工程，不包括施工设备。</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1.42  </w:t>
      </w:r>
      <w:r>
        <w:rPr>
          <w:rFonts w:hint="eastAsia" w:ascii="仿宋" w:hAnsi="仿宋" w:eastAsia="仿宋" w:cs="仿宋"/>
          <w:b/>
          <w:bCs/>
          <w:color w:val="auto"/>
          <w:sz w:val="24"/>
          <w:szCs w:val="24"/>
          <w:highlight w:val="none"/>
        </w:rPr>
        <w:t>分包工程：</w:t>
      </w:r>
      <w:r>
        <w:rPr>
          <w:rFonts w:hint="eastAsia" w:ascii="仿宋" w:hAnsi="仿宋" w:eastAsia="仿宋" w:cs="仿宋"/>
          <w:color w:val="auto"/>
          <w:sz w:val="24"/>
          <w:szCs w:val="24"/>
          <w:highlight w:val="none"/>
        </w:rPr>
        <w:t>指合同工程中，由具有相应分包资质的分包人实施、完成的非主体结构（除钢结构外）的专业性工程。</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1.43  </w:t>
      </w:r>
      <w:r>
        <w:rPr>
          <w:rFonts w:hint="eastAsia" w:ascii="仿宋" w:hAnsi="仿宋" w:eastAsia="仿宋" w:cs="仿宋"/>
          <w:b/>
          <w:bCs/>
          <w:color w:val="auto"/>
          <w:sz w:val="24"/>
          <w:szCs w:val="24"/>
          <w:highlight w:val="none"/>
        </w:rPr>
        <w:t>单位工程：</w:t>
      </w:r>
      <w:r>
        <w:rPr>
          <w:rFonts w:hint="eastAsia" w:ascii="仿宋" w:hAnsi="仿宋" w:eastAsia="仿宋" w:cs="仿宋"/>
          <w:color w:val="auto"/>
          <w:sz w:val="24"/>
          <w:szCs w:val="24"/>
          <w:highlight w:val="none"/>
        </w:rPr>
        <w:t>指具有独立的设计文件，竣工后可以独立发挥生产能力和效益的永久工程。组成合同工程的单位工程名称、内容和范围等应在专用条款中明确。</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1.44  </w:t>
      </w:r>
      <w:r>
        <w:rPr>
          <w:rFonts w:hint="eastAsia" w:ascii="仿宋" w:hAnsi="仿宋" w:eastAsia="仿宋" w:cs="仿宋"/>
          <w:b/>
          <w:bCs/>
          <w:color w:val="auto"/>
          <w:sz w:val="24"/>
          <w:szCs w:val="24"/>
          <w:highlight w:val="none"/>
        </w:rPr>
        <w:t>施工场地（或工地、现场）：</w:t>
      </w:r>
      <w:r>
        <w:rPr>
          <w:rFonts w:hint="eastAsia" w:ascii="仿宋" w:hAnsi="仿宋" w:eastAsia="仿宋" w:cs="仿宋"/>
          <w:color w:val="auto"/>
          <w:sz w:val="24"/>
          <w:szCs w:val="24"/>
          <w:highlight w:val="none"/>
        </w:rPr>
        <w:t>指由发包人提供的用于合同工程施工的场所，以及发包人在合同中具体指定的供施工使用的其他任何场所。</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1.45  </w:t>
      </w:r>
      <w:r>
        <w:rPr>
          <w:rFonts w:hint="eastAsia" w:ascii="仿宋" w:hAnsi="仿宋" w:eastAsia="仿宋" w:cs="仿宋"/>
          <w:b/>
          <w:bCs/>
          <w:color w:val="auto"/>
          <w:sz w:val="24"/>
          <w:szCs w:val="24"/>
          <w:highlight w:val="none"/>
        </w:rPr>
        <w:t>工程设备：</w:t>
      </w:r>
      <w:r>
        <w:rPr>
          <w:rFonts w:hint="eastAsia" w:ascii="仿宋" w:hAnsi="仿宋" w:eastAsia="仿宋" w:cs="仿宋"/>
          <w:color w:val="auto"/>
          <w:sz w:val="24"/>
          <w:szCs w:val="24"/>
          <w:highlight w:val="none"/>
        </w:rPr>
        <w:t>指构成或计划构成永久工程一部分的机电设备、金属结构设备、仪器装置及其他类似的设备和装置。</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1.46  </w:t>
      </w:r>
      <w:r>
        <w:rPr>
          <w:rFonts w:hint="eastAsia" w:ascii="仿宋" w:hAnsi="仿宋" w:eastAsia="仿宋" w:cs="仿宋"/>
          <w:b/>
          <w:bCs/>
          <w:color w:val="auto"/>
          <w:sz w:val="24"/>
          <w:szCs w:val="24"/>
          <w:highlight w:val="none"/>
        </w:rPr>
        <w:t>施工设备：</w:t>
      </w:r>
      <w:r>
        <w:rPr>
          <w:rFonts w:hint="eastAsia" w:ascii="仿宋" w:hAnsi="仿宋" w:eastAsia="仿宋" w:cs="仿宋"/>
          <w:color w:val="auto"/>
          <w:sz w:val="24"/>
          <w:szCs w:val="24"/>
          <w:highlight w:val="none"/>
        </w:rPr>
        <w:t>指承包人临时带入现场用于合同工程施工的仪器、机械、运输工具或其他物品，但不包括用于或安装在合同工程中的工程设备。</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1.47  </w:t>
      </w:r>
      <w:r>
        <w:rPr>
          <w:rFonts w:hint="eastAsia" w:ascii="仿宋" w:hAnsi="仿宋" w:eastAsia="仿宋" w:cs="仿宋"/>
          <w:b/>
          <w:bCs/>
          <w:color w:val="auto"/>
          <w:sz w:val="24"/>
          <w:szCs w:val="24"/>
          <w:highlight w:val="none"/>
        </w:rPr>
        <w:t>工程变更：</w:t>
      </w:r>
      <w:r>
        <w:rPr>
          <w:rFonts w:hint="eastAsia" w:ascii="仿宋" w:hAnsi="仿宋" w:eastAsia="仿宋" w:cs="仿宋"/>
          <w:color w:val="auto"/>
          <w:sz w:val="24"/>
          <w:szCs w:val="24"/>
          <w:highlight w:val="none"/>
        </w:rPr>
        <w:t>指经发包人批准的，由监理工程师根据第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条规定发出指令的工程任何变更。</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1.48  </w:t>
      </w:r>
      <w:r>
        <w:rPr>
          <w:rFonts w:hint="eastAsia" w:ascii="仿宋" w:hAnsi="仿宋" w:eastAsia="仿宋" w:cs="仿宋"/>
          <w:b/>
          <w:bCs/>
          <w:color w:val="auto"/>
          <w:sz w:val="24"/>
          <w:szCs w:val="24"/>
          <w:highlight w:val="none"/>
        </w:rPr>
        <w:t>索赔：</w:t>
      </w:r>
      <w:r>
        <w:rPr>
          <w:rFonts w:hint="eastAsia" w:ascii="仿宋" w:hAnsi="仿宋" w:eastAsia="仿宋" w:cs="仿宋"/>
          <w:color w:val="auto"/>
          <w:sz w:val="24"/>
          <w:szCs w:val="24"/>
          <w:highlight w:val="none"/>
        </w:rPr>
        <w:t>指合同履行期间，对于非自己的过错而应由对方当事人承担责任的情况所造成的损失，并根据第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条规定向对方当事人提出费用补偿和（或）工期顺延的要求。</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1.49  </w:t>
      </w:r>
      <w:r>
        <w:rPr>
          <w:rFonts w:hint="eastAsia" w:ascii="仿宋" w:hAnsi="仿宋" w:eastAsia="仿宋" w:cs="仿宋"/>
          <w:b/>
          <w:bCs/>
          <w:color w:val="auto"/>
          <w:sz w:val="24"/>
          <w:szCs w:val="24"/>
          <w:highlight w:val="none"/>
        </w:rPr>
        <w:t>现场签证：</w:t>
      </w:r>
      <w:r>
        <w:rPr>
          <w:rFonts w:hint="eastAsia" w:ascii="仿宋" w:hAnsi="仿宋" w:eastAsia="仿宋" w:cs="仿宋"/>
          <w:color w:val="auto"/>
          <w:sz w:val="24"/>
          <w:szCs w:val="24"/>
          <w:highlight w:val="none"/>
        </w:rPr>
        <w:t>指合同双方当事人按照第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款约定的指定人选根据第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条规定就施工过程中涉及的责任事件所作的签认证明。</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1.50  </w:t>
      </w:r>
      <w:r>
        <w:rPr>
          <w:rFonts w:hint="eastAsia" w:ascii="仿宋" w:hAnsi="仿宋" w:eastAsia="仿宋" w:cs="仿宋"/>
          <w:b/>
          <w:bCs/>
          <w:color w:val="auto"/>
          <w:sz w:val="24"/>
          <w:szCs w:val="24"/>
          <w:highlight w:val="none"/>
        </w:rPr>
        <w:t>不可抗力：</w:t>
      </w:r>
      <w:r>
        <w:rPr>
          <w:rFonts w:hint="eastAsia" w:ascii="仿宋" w:hAnsi="仿宋" w:eastAsia="仿宋" w:cs="仿宋"/>
          <w:color w:val="auto"/>
          <w:sz w:val="24"/>
          <w:szCs w:val="24"/>
          <w:highlight w:val="none"/>
        </w:rPr>
        <w:t>指不能预见、不能避免并不能克服的客观情况。</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1.51  </w:t>
      </w:r>
      <w:r>
        <w:rPr>
          <w:rFonts w:hint="eastAsia" w:ascii="仿宋" w:hAnsi="仿宋" w:eastAsia="仿宋" w:cs="仿宋"/>
          <w:b/>
          <w:bCs/>
          <w:color w:val="auto"/>
          <w:sz w:val="24"/>
          <w:szCs w:val="24"/>
          <w:highlight w:val="none"/>
        </w:rPr>
        <w:t>竣工验收：</w:t>
      </w:r>
      <w:r>
        <w:rPr>
          <w:rFonts w:hint="eastAsia" w:ascii="仿宋" w:hAnsi="仿宋" w:eastAsia="仿宋" w:cs="仿宋"/>
          <w:color w:val="auto"/>
          <w:sz w:val="24"/>
          <w:szCs w:val="24"/>
          <w:highlight w:val="none"/>
        </w:rPr>
        <w:t>指承包人完成了全部合同工作后，发包人按照合同要求进行的验收。</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1.52  </w:t>
      </w:r>
      <w:r>
        <w:rPr>
          <w:rFonts w:hint="eastAsia" w:ascii="仿宋" w:hAnsi="仿宋" w:eastAsia="仿宋" w:cs="仿宋"/>
          <w:b/>
          <w:bCs/>
          <w:color w:val="auto"/>
          <w:sz w:val="24"/>
          <w:szCs w:val="24"/>
          <w:highlight w:val="none"/>
        </w:rPr>
        <w:t>国家验收：</w:t>
      </w:r>
      <w:r>
        <w:rPr>
          <w:rFonts w:hint="eastAsia" w:ascii="仿宋" w:hAnsi="仿宋" w:eastAsia="仿宋" w:cs="仿宋"/>
          <w:color w:val="auto"/>
          <w:sz w:val="24"/>
          <w:szCs w:val="24"/>
          <w:highlight w:val="none"/>
        </w:rPr>
        <w:t>指政府部门根据法律和政策等有关规定，针对发包人全面组织实施的整个工程正式交付投运前的验收。</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1.53  </w:t>
      </w:r>
      <w:r>
        <w:rPr>
          <w:rFonts w:hint="eastAsia" w:ascii="仿宋" w:hAnsi="仿宋" w:eastAsia="仿宋" w:cs="仿宋"/>
          <w:b/>
          <w:bCs/>
          <w:color w:val="auto"/>
          <w:sz w:val="24"/>
          <w:szCs w:val="24"/>
          <w:highlight w:val="none"/>
        </w:rPr>
        <w:t>书面形式：</w:t>
      </w:r>
      <w:r>
        <w:rPr>
          <w:rFonts w:hint="eastAsia" w:ascii="仿宋" w:hAnsi="仿宋" w:eastAsia="仿宋" w:cs="仿宋"/>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22"/>
        <w:tabs>
          <w:tab w:val="left" w:pos="2160"/>
        </w:tabs>
        <w:spacing w:before="249" w:beforeLines="80" w:line="360" w:lineRule="auto"/>
        <w:ind w:firstLine="482" w:firstLineChars="200"/>
        <w:jc w:val="left"/>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1.54  </w:t>
      </w:r>
      <w:r>
        <w:rPr>
          <w:rFonts w:hint="eastAsia" w:ascii="仿宋" w:hAnsi="仿宋" w:eastAsia="仿宋" w:cs="仿宋"/>
          <w:b/>
          <w:bCs/>
          <w:color w:val="auto"/>
          <w:sz w:val="24"/>
          <w:szCs w:val="24"/>
          <w:highlight w:val="none"/>
        </w:rPr>
        <w:t>国家：</w:t>
      </w:r>
      <w:r>
        <w:rPr>
          <w:rFonts w:hint="eastAsia" w:ascii="仿宋" w:hAnsi="仿宋" w:eastAsia="仿宋" w:cs="仿宋"/>
          <w:color w:val="auto"/>
          <w:sz w:val="24"/>
          <w:szCs w:val="24"/>
          <w:highlight w:val="none"/>
        </w:rPr>
        <w:t>指中华人民共和国。</w:t>
      </w:r>
    </w:p>
    <w:p>
      <w:pPr>
        <w:tabs>
          <w:tab w:val="left" w:pos="1620"/>
        </w:tabs>
        <w:spacing w:line="360" w:lineRule="auto"/>
        <w:rPr>
          <w:rFonts w:ascii="仿宋" w:hAnsi="仿宋" w:eastAsia="仿宋"/>
          <w:b/>
          <w:bCs/>
          <w:color w:val="auto"/>
          <w:sz w:val="24"/>
          <w:szCs w:val="24"/>
          <w:highlight w:val="none"/>
        </w:rPr>
      </w:pPr>
    </w:p>
    <w:p>
      <w:pPr>
        <w:pStyle w:val="9"/>
        <w:tabs>
          <w:tab w:val="left" w:pos="420"/>
        </w:tabs>
        <w:ind w:left="720" w:hanging="720"/>
        <w:rPr>
          <w:rFonts w:ascii="仿宋" w:hAnsi="仿宋" w:eastAsia="仿宋"/>
          <w:bCs/>
          <w:color w:val="auto"/>
          <w:highlight w:val="none"/>
        </w:rPr>
      </w:pPr>
      <w:bookmarkStart w:id="114" w:name="_Toc10531"/>
      <w:bookmarkStart w:id="115" w:name="_Toc469383981"/>
      <w:bookmarkStart w:id="116" w:name="_Toc15239"/>
      <w:bookmarkStart w:id="117" w:name="_Toc25653607"/>
      <w:r>
        <w:rPr>
          <w:rFonts w:ascii="仿宋" w:hAnsi="仿宋" w:eastAsia="仿宋" w:cs="仿宋"/>
          <w:bCs/>
          <w:color w:val="auto"/>
          <w:highlight w:val="none"/>
        </w:rPr>
        <w:t xml:space="preserve">2  </w:t>
      </w:r>
      <w:r>
        <w:rPr>
          <w:rFonts w:hint="eastAsia" w:ascii="仿宋" w:hAnsi="仿宋" w:eastAsia="仿宋" w:cs="仿宋"/>
          <w:bCs/>
          <w:color w:val="auto"/>
          <w:highlight w:val="none"/>
        </w:rPr>
        <w:t>合同文件及解释</w:t>
      </w:r>
      <w:bookmarkEnd w:id="114"/>
      <w:bookmarkEnd w:id="115"/>
      <w:bookmarkEnd w:id="116"/>
      <w:bookmarkEnd w:id="117"/>
    </w:p>
    <w:p>
      <w:pPr>
        <w:pStyle w:val="22"/>
        <w:tabs>
          <w:tab w:val="left" w:pos="1202"/>
        </w:tabs>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2.1                                                                                 </w:t>
      </w:r>
    </w:p>
    <w:p>
      <w:pPr>
        <w:pStyle w:val="22"/>
        <w:tabs>
          <w:tab w:val="left" w:pos="1202"/>
          <w:tab w:val="left" w:pos="1620"/>
          <w:tab w:val="left" w:pos="1800"/>
          <w:tab w:val="left" w:pos="2160"/>
        </w:tabs>
        <w:spacing w:line="360" w:lineRule="auto"/>
        <w:ind w:firstLine="1390" w:firstLineChars="695"/>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4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a:noFill/>
                        </a:ln>
                        <a:effectLst/>
                      </wps:spPr>
                      <wps:txb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Yi2vVAAAACAEAAA8AAAAAAAAA&#10;AQAgAAAAIgAAAGRycy9kb3ducmV2LnhtbFBLAQIUABQAAAAIAIdO4kD3FxyjFAIAAP8DAAAOAAAA&#10;AAAAAAEAIAAAACQBAABkcnMvZTJvRG9jLnhtbFBLBQYAAAAABgAGAFkBAACqBQAAAAA=&#10;">
                <v:fill on="t" focussize="0,0"/>
                <v:stroke on="f"/>
                <v:imagedata o:title=""/>
                <o:lock v:ext="edit" aspectratio="f"/>
                <v:textbox>
                  <w:txbxContent>
                    <w:p>
                      <w:pPr>
                        <w:rPr>
                          <w:rFonts w:ascii="楷体_GB2312" w:hAnsi="宋体" w:eastAsia="楷体_GB2312"/>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int="eastAsia" w:ascii="仿宋" w:hAnsi="仿宋" w:eastAsia="仿宋" w:cs="仿宋"/>
          <w:color w:val="auto"/>
          <w:sz w:val="24"/>
          <w:szCs w:val="24"/>
          <w:highlight w:val="none"/>
        </w:rPr>
        <w:t>本合同条款的标题和旁注不构成合同的组成部分。</w:t>
      </w:r>
    </w:p>
    <w:p>
      <w:pPr>
        <w:pStyle w:val="22"/>
        <w:tabs>
          <w:tab w:val="left" w:pos="1202"/>
        </w:tabs>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2.2  </w:t>
      </w:r>
    </w:p>
    <w:p>
      <w:pPr>
        <w:pStyle w:val="22"/>
        <w:tabs>
          <w:tab w:val="left" w:pos="1320"/>
        </w:tabs>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426" name="文本框 3"/>
                <wp:cNvGraphicFramePr/>
                <a:graphic xmlns:a="http://schemas.openxmlformats.org/drawingml/2006/main">
                  <a:graphicData uri="http://schemas.microsoft.com/office/word/2010/wordprocessingShape">
                    <wps:wsp>
                      <wps:cNvSpPr txBox="1">
                        <a:spLocks noChangeArrowheads="1"/>
                      </wps:cNvSpPr>
                      <wps:spPr bwMode="auto">
                        <a:xfrm>
                          <a:off x="0" y="0"/>
                          <a:ext cx="914400" cy="52705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hAVO9YAAAAJAQAADwAAAAAAAAABACAAAAAiAAAAZHJzL2Rvd25y&#10;ZXYueG1sUEsBAhQAFAAAAAgAh07iQAFdvOsAAgAA1gMAAA4AAAAAAAAAAQAgAAAAJQ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仿宋" w:hAnsi="仿宋" w:eastAsia="仿宋" w:cs="仿宋"/>
          <w:color w:val="auto"/>
          <w:sz w:val="24"/>
          <w:szCs w:val="24"/>
          <w:highlight w:val="none"/>
        </w:rPr>
        <w:t>下列组成本合同的文件是一个合同整体，彼此应当能相互解释，互为说明。当出现相互矛盾时，组成本合同文件的优先解释顺序如下：</w:t>
      </w:r>
    </w:p>
    <w:p>
      <w:pPr>
        <w:pStyle w:val="22"/>
        <w:numPr>
          <w:ilvl w:val="0"/>
          <w:numId w:val="7"/>
        </w:numPr>
        <w:spacing w:line="360" w:lineRule="auto"/>
        <w:ind w:firstLine="54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履行本合同的相关补充协议（含工程洽商记录、会议纪要、</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工程变更、现场签证等修正文件）；</w:t>
      </w:r>
    </w:p>
    <w:p>
      <w:pPr>
        <w:pStyle w:val="22"/>
        <w:numPr>
          <w:ilvl w:val="0"/>
          <w:numId w:val="7"/>
        </w:numPr>
        <w:tabs>
          <w:tab w:val="left" w:pos="1620"/>
        </w:tabs>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协议书；</w:t>
      </w:r>
    </w:p>
    <w:p>
      <w:pPr>
        <w:pStyle w:val="22"/>
        <w:numPr>
          <w:ilvl w:val="0"/>
          <w:numId w:val="7"/>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中标通知书（适用于招标工程）；</w:t>
      </w:r>
    </w:p>
    <w:p>
      <w:pPr>
        <w:pStyle w:val="22"/>
        <w:numPr>
          <w:ilvl w:val="0"/>
          <w:numId w:val="7"/>
        </w:numPr>
        <w:tabs>
          <w:tab w:val="left" w:pos="1620"/>
        </w:tabs>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承包人投标文件及其附件（含评标期间的澄清文件和补充资料）（适用于招标工程）；确认的工程量清单报价单或施工图预算书（适用于非招标工程）；</w:t>
      </w:r>
    </w:p>
    <w:p>
      <w:pPr>
        <w:pStyle w:val="22"/>
        <w:numPr>
          <w:ilvl w:val="0"/>
          <w:numId w:val="7"/>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w:t>
      </w:r>
    </w:p>
    <w:p>
      <w:pPr>
        <w:pStyle w:val="22"/>
        <w:numPr>
          <w:ilvl w:val="0"/>
          <w:numId w:val="7"/>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通用条款；</w:t>
      </w:r>
    </w:p>
    <w:p>
      <w:pPr>
        <w:pStyle w:val="22"/>
        <w:numPr>
          <w:ilvl w:val="0"/>
          <w:numId w:val="7"/>
        </w:numPr>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标准、规范及有关技术文件；</w:t>
      </w:r>
    </w:p>
    <w:p>
      <w:pPr>
        <w:pStyle w:val="22"/>
        <w:numPr>
          <w:ilvl w:val="0"/>
          <w:numId w:val="7"/>
        </w:numPr>
        <w:spacing w:line="360" w:lineRule="auto"/>
        <w:ind w:left="1077"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施工设计图纸；</w:t>
      </w:r>
    </w:p>
    <w:p>
      <w:pPr>
        <w:pStyle w:val="22"/>
        <w:numPr>
          <w:ilvl w:val="0"/>
          <w:numId w:val="7"/>
        </w:numPr>
        <w:spacing w:line="360" w:lineRule="auto"/>
        <w:ind w:left="1077"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招标文件（包括补充、修改、澄清的文件、招标图纸、答疑</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纪要、工程量清单及总说明等）；</w:t>
      </w:r>
    </w:p>
    <w:p>
      <w:pPr>
        <w:pStyle w:val="22"/>
        <w:numPr>
          <w:ilvl w:val="0"/>
          <w:numId w:val="7"/>
        </w:numPr>
        <w:spacing w:line="360" w:lineRule="auto"/>
        <w:ind w:left="1077"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专用条款约定的其他文件。</w:t>
      </w:r>
    </w:p>
    <w:p>
      <w:pPr>
        <w:spacing w:line="360" w:lineRule="auto"/>
        <w:ind w:left="1436" w:leftChars="684"/>
        <w:rPr>
          <w:rFonts w:ascii="仿宋" w:hAnsi="仿宋" w:eastAsia="仿宋"/>
          <w:color w:val="auto"/>
          <w:sz w:val="24"/>
          <w:szCs w:val="24"/>
          <w:highlight w:val="none"/>
        </w:rPr>
      </w:pPr>
      <w:r>
        <w:rPr>
          <w:rFonts w:hint="eastAsia" w:ascii="仿宋" w:hAnsi="仿宋" w:eastAsia="仿宋" w:cs="仿宋"/>
          <w:color w:val="auto"/>
          <w:sz w:val="24"/>
          <w:szCs w:val="24"/>
          <w:highlight w:val="none"/>
        </w:rPr>
        <w:t>上述各项合同文件包括合同当事人就该项合同文件所作出的补充和修改，属于同一类内容的文件，应以最新签署的为准。</w:t>
      </w:r>
    </w:p>
    <w:p>
      <w:pPr>
        <w:pStyle w:val="22"/>
        <w:tabs>
          <w:tab w:val="left" w:pos="540"/>
          <w:tab w:val="left" w:pos="1202"/>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2.3  </w:t>
      </w:r>
    </w:p>
    <w:p>
      <w:pPr>
        <w:pStyle w:val="22"/>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5"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TZUc1QAAAAgBAAAPAAAAAAAAAAEAIAAAACIAAABkcnMvZG93bnJl&#10;di54bWxQSwECFAAUAAAACACHTuJAu2K8bQACAADWAwAADgAAAAAAAAABACAAAAAkAQAAZHJzL2Uy&#10;b0RvYy54bWxQSwUGAAAAAAYABgBZAQAAl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 w:hAnsi="仿宋" w:eastAsia="仿宋" w:cs="仿宋"/>
          <w:color w:val="auto"/>
          <w:sz w:val="24"/>
          <w:szCs w:val="24"/>
          <w:highlight w:val="none"/>
        </w:rPr>
        <w:t>当合同文件内容出现含糊不清或不一致时，由合同双方当事人在不影响合同工程正常实施的情况下协商解决。协商不成的，由监理工程师、造价工程师分别按照第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款规定职权作出解释。如合同任何一方当事人不同意监理工程师或造价工程师作出的解释，按照第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spacing w:line="360" w:lineRule="auto"/>
        <w:jc w:val="left"/>
        <w:rPr>
          <w:rFonts w:ascii="仿宋" w:hAnsi="仿宋" w:eastAsia="仿宋"/>
          <w:b/>
          <w:bCs/>
          <w:color w:val="auto"/>
          <w:sz w:val="24"/>
          <w:szCs w:val="24"/>
          <w:highlight w:val="none"/>
          <w:u w:val="single"/>
        </w:rPr>
      </w:pPr>
    </w:p>
    <w:p>
      <w:pPr>
        <w:pStyle w:val="9"/>
        <w:tabs>
          <w:tab w:val="left" w:pos="420"/>
        </w:tabs>
        <w:ind w:left="720"/>
        <w:rPr>
          <w:rFonts w:ascii="仿宋" w:hAnsi="仿宋" w:eastAsia="仿宋"/>
          <w:bCs/>
          <w:color w:val="auto"/>
          <w:highlight w:val="none"/>
        </w:rPr>
      </w:pPr>
      <w:bookmarkStart w:id="118" w:name="_Toc25653608"/>
      <w:bookmarkStart w:id="119" w:name="_Toc11352"/>
      <w:bookmarkStart w:id="120" w:name="_Toc3509"/>
      <w:bookmarkStart w:id="121" w:name="_Toc469383982"/>
      <w:r>
        <w:rPr>
          <w:rFonts w:ascii="仿宋" w:hAnsi="仿宋" w:eastAsia="仿宋" w:cs="仿宋"/>
          <w:bCs/>
          <w:color w:val="auto"/>
          <w:highlight w:val="none"/>
        </w:rPr>
        <w:t xml:space="preserve">3  </w:t>
      </w:r>
      <w:r>
        <w:rPr>
          <w:rFonts w:hint="eastAsia" w:ascii="仿宋" w:hAnsi="仿宋" w:eastAsia="仿宋" w:cs="仿宋"/>
          <w:bCs/>
          <w:color w:val="auto"/>
          <w:highlight w:val="none"/>
        </w:rPr>
        <w:t>阅读、理解与接受</w:t>
      </w:r>
      <w:bookmarkEnd w:id="118"/>
      <w:bookmarkEnd w:id="119"/>
      <w:bookmarkEnd w:id="120"/>
      <w:bookmarkEnd w:id="121"/>
    </w:p>
    <w:p>
      <w:pPr>
        <w:tabs>
          <w:tab w:val="left" w:pos="1260"/>
        </w:tabs>
        <w:spacing w:before="312" w:beforeLines="100"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3.1 </w:t>
      </w:r>
    </w:p>
    <w:p>
      <w:pPr>
        <w:pStyle w:val="22"/>
        <w:tabs>
          <w:tab w:val="left" w:pos="540"/>
          <w:tab w:val="left" w:pos="1202"/>
        </w:tabs>
        <w:spacing w:line="360" w:lineRule="auto"/>
        <w:ind w:left="1440" w:leftChars="685" w:hanging="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2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TZUc1QAAAAgBAAAPAAAAAAAAAAEAIAAAACIAAABkcnMvZG93bnJl&#10;di54bWxQSwECFAAUAAAACACHTuJAA/Q0SgACAADWAwAADgAAAAAAAAABACAAAAAkAQAAZHJzL2Uy&#10;b0RvYy54bWxQSwUGAAAAAAYABgBZAQAAl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rPr>
        <w:t>合同双方当事人应认真阅读和理解本合同的全部内容。除合同双方当事人同意修改外，本合同一旦订立，视为合同双方当事人已全面接受本合同的所有条款。</w:t>
      </w:r>
    </w:p>
    <w:p>
      <w:pPr>
        <w:pStyle w:val="22"/>
        <w:tabs>
          <w:tab w:val="left" w:pos="2160"/>
        </w:tabs>
        <w:spacing w:before="249" w:beforeLines="80" w:line="360" w:lineRule="auto"/>
        <w:ind w:left="1626" w:hanging="1626" w:hangingChars="675"/>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  </w:t>
      </w:r>
    </w:p>
    <w:p>
      <w:pPr>
        <w:pStyle w:val="22"/>
        <w:tabs>
          <w:tab w:val="left" w:pos="2160"/>
        </w:tabs>
        <w:spacing w:before="249" w:beforeLines="80" w:line="360" w:lineRule="auto"/>
        <w:ind w:left="1608" w:leftChars="741" w:hanging="52" w:hangingChars="26"/>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114935</wp:posOffset>
                </wp:positionV>
                <wp:extent cx="952500" cy="792480"/>
                <wp:effectExtent l="0" t="0" r="0" b="0"/>
                <wp:wrapNone/>
                <wp:docPr id="423" name="文本框 6"/>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13.35pt;margin-top:9.05pt;height:62.4pt;width:75pt;z-index:251663360;mso-width-relative:page;mso-height-relative:page;" filled="f" stroked="f" coordsize="21600,21600" o:gfxdata="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VnXutcAAAAKAQAADwAAAAAAAAABACAAAAAiAAAAZHJzL2Rv&#10;d25yZXYueG1sUEsBAhQAFAAAAAgAh07iQLhW7V4CAgAA1gMAAA4AAAAAAAAAAQAgAAAAJg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22"/>
        <w:adjustRightInd w:val="0"/>
        <w:snapToGrid w:val="0"/>
        <w:ind w:right="-238"/>
        <w:rPr>
          <w:rFonts w:ascii="仿宋" w:hAnsi="仿宋" w:eastAsia="仿宋" w:cs="仿宋"/>
          <w:b/>
          <w:bCs/>
          <w:color w:val="auto"/>
          <w:sz w:val="24"/>
          <w:szCs w:val="24"/>
          <w:highlight w:val="none"/>
          <w:u w:val="single"/>
        </w:rPr>
      </w:pPr>
    </w:p>
    <w:p>
      <w:pPr>
        <w:pStyle w:val="9"/>
        <w:tabs>
          <w:tab w:val="left" w:pos="420"/>
        </w:tabs>
        <w:ind w:left="720"/>
        <w:rPr>
          <w:rFonts w:ascii="仿宋" w:hAnsi="仿宋" w:eastAsia="仿宋"/>
          <w:bCs/>
          <w:color w:val="auto"/>
          <w:highlight w:val="none"/>
        </w:rPr>
      </w:pPr>
      <w:bookmarkStart w:id="122" w:name="_Toc469383983"/>
      <w:bookmarkStart w:id="123" w:name="_Toc988"/>
      <w:bookmarkStart w:id="124" w:name="_Toc3506"/>
      <w:bookmarkStart w:id="125" w:name="_Toc25653609"/>
      <w:r>
        <w:rPr>
          <w:rFonts w:ascii="仿宋" w:hAnsi="仿宋" w:eastAsia="仿宋" w:cs="仿宋"/>
          <w:bCs/>
          <w:color w:val="auto"/>
          <w:highlight w:val="none"/>
        </w:rPr>
        <w:t xml:space="preserve">4  </w:t>
      </w:r>
      <w:r>
        <w:rPr>
          <w:rFonts w:hint="eastAsia" w:ascii="仿宋" w:hAnsi="仿宋" w:eastAsia="仿宋" w:cs="仿宋"/>
          <w:bCs/>
          <w:color w:val="auto"/>
          <w:highlight w:val="none"/>
        </w:rPr>
        <w:t>语言及适用的法律、标准与规范</w:t>
      </w:r>
      <w:bookmarkEnd w:id="122"/>
      <w:bookmarkEnd w:id="123"/>
      <w:bookmarkEnd w:id="124"/>
      <w:bookmarkEnd w:id="125"/>
    </w:p>
    <w:p>
      <w:pPr>
        <w:tabs>
          <w:tab w:val="left" w:pos="1320"/>
        </w:tabs>
        <w:spacing w:line="360" w:lineRule="auto"/>
        <w:ind w:right="-15" w:rightChars="-7"/>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4.1                         </w:t>
      </w:r>
    </w:p>
    <w:p>
      <w:pPr>
        <w:tabs>
          <w:tab w:val="left" w:pos="1620"/>
        </w:tabs>
        <w:spacing w:line="360" w:lineRule="auto"/>
        <w:ind w:left="2156" w:right="-7" w:hanging="1617" w:hangingChars="895"/>
        <w:rPr>
          <w:rFonts w:ascii="仿宋" w:hAnsi="仿宋" w:eastAsia="仿宋"/>
          <w:color w:val="auto"/>
          <w:sz w:val="24"/>
          <w:szCs w:val="24"/>
          <w:highlight w:val="none"/>
        </w:rPr>
      </w:pPr>
      <w:r>
        <w:rPr>
          <w:rFonts w:hint="eastAsia" w:ascii="楷体_GB2312" w:hAnsi="Times New Roman" w:eastAsia="楷体_GB2312" w:cs="楷体_GB2312"/>
          <w:b/>
          <w:bCs/>
          <w:color w:val="000000"/>
          <w:sz w:val="18"/>
          <w:szCs w:val="18"/>
          <w:highlight w:val="none"/>
        </w:rPr>
        <w:t>语言文字</w:t>
      </w: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本合同所使用的语言文字为中文（汉语）。</w:t>
      </w:r>
    </w:p>
    <w:p>
      <w:pPr>
        <w:tabs>
          <w:tab w:val="left" w:pos="1620"/>
        </w:tabs>
        <w:spacing w:line="360" w:lineRule="auto"/>
        <w:ind w:left="1579" w:leftChars="752" w:firstLine="117" w:firstLineChars="49"/>
        <w:rPr>
          <w:rFonts w:ascii="仿宋" w:hAnsi="仿宋" w:eastAsia="仿宋"/>
          <w:color w:val="auto"/>
          <w:sz w:val="24"/>
          <w:szCs w:val="24"/>
          <w:highlight w:val="none"/>
        </w:rPr>
      </w:pPr>
      <w:r>
        <w:rPr>
          <w:rFonts w:hint="eastAsia" w:ascii="仿宋" w:hAnsi="仿宋" w:eastAsia="仿宋" w:cs="仿宋"/>
          <w:color w:val="auto"/>
          <w:sz w:val="24"/>
          <w:szCs w:val="24"/>
          <w:highlight w:val="none"/>
        </w:rPr>
        <w:t>对于必须使用外文表达的专用术语等，应附有中文注释。合同当事人在合同中使用两种以上语言时，汉语为优先解释和说明合同的语言。</w:t>
      </w:r>
    </w:p>
    <w:p>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4.2  </w:t>
      </w:r>
    </w:p>
    <w:p>
      <w:pPr>
        <w:pStyle w:val="32"/>
        <w:ind w:left="1701" w:leftChars="770"/>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2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wms9QAAAAIAQAADwAAAAAAAAABACAAAAAiAAAAZHJzL2Rvd25yZXYu&#10;eG1sUEsBAhQAFAAAAAgAh07iQA1UTnb/AQAA1wMAAA4AAAAAAAAAAQAgAAAAIwEAAGRycy9lMm9E&#10;b2MueG1sUEsFBgAAAAAGAAYAWQEAAJQFA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rPr>
        <w:t>本合同适用的法律为中华人民共和国的现行法律、行政法规、部门规章和合同工程所在地的地方性法规、地方政府规章、行政规范性文件。</w:t>
      </w:r>
    </w:p>
    <w:p>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4.3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2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028700" cy="4419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i47vVAAAABwEAAA8AAAAAAAAAAQAgAAAAIgAAAGRycy9kb3du&#10;cmV2LnhtbFBLAQIUABQAAAAIAIdO4kBcCDo5AgIAANcDAAAOAAAAAAAAAAEAIAAAACQ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 w:hAnsi="仿宋" w:eastAsia="仿宋" w:cs="仿宋"/>
          <w:color w:val="auto"/>
          <w:sz w:val="24"/>
          <w:szCs w:val="24"/>
          <w:highlight w:val="none"/>
        </w:rPr>
        <w:t>本合同适用的标准与规范为国家、行业和广东省的标准与规范或规程，以及发包人在合同中要求使用的标准与规范。</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p>
    <w:p>
      <w:p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60" w:lineRule="auto"/>
        <w:rPr>
          <w:rFonts w:ascii="仿宋" w:hAnsi="仿宋" w:eastAsia="仿宋" w:cs="仿宋"/>
          <w:b/>
          <w:bCs/>
          <w:color w:val="auto"/>
          <w:sz w:val="24"/>
          <w:szCs w:val="24"/>
          <w:highlight w:val="none"/>
          <w:u w:val="single"/>
        </w:rPr>
      </w:pPr>
    </w:p>
    <w:p>
      <w:pPr>
        <w:pStyle w:val="9"/>
        <w:tabs>
          <w:tab w:val="left" w:pos="420"/>
        </w:tabs>
        <w:ind w:left="720"/>
        <w:rPr>
          <w:rFonts w:ascii="仿宋" w:hAnsi="仿宋" w:eastAsia="仿宋"/>
          <w:bCs/>
          <w:color w:val="auto"/>
          <w:highlight w:val="none"/>
        </w:rPr>
      </w:pPr>
      <w:bookmarkStart w:id="126" w:name="_Toc469383984"/>
      <w:bookmarkStart w:id="127" w:name="_Toc25653610"/>
      <w:bookmarkStart w:id="128" w:name="_Toc30321"/>
      <w:bookmarkStart w:id="129" w:name="_Toc15042"/>
      <w:r>
        <w:rPr>
          <w:rFonts w:ascii="仿宋" w:hAnsi="仿宋" w:eastAsia="仿宋" w:cs="仿宋"/>
          <w:bCs/>
          <w:color w:val="auto"/>
          <w:highlight w:val="none"/>
        </w:rPr>
        <w:t xml:space="preserve">5  </w:t>
      </w:r>
      <w:r>
        <w:rPr>
          <w:rFonts w:hint="eastAsia" w:ascii="仿宋" w:hAnsi="仿宋" w:eastAsia="仿宋" w:cs="仿宋"/>
          <w:bCs/>
          <w:color w:val="auto"/>
          <w:highlight w:val="none"/>
        </w:rPr>
        <w:t>施工设计图纸</w:t>
      </w:r>
      <w:bookmarkEnd w:id="126"/>
      <w:bookmarkEnd w:id="127"/>
      <w:bookmarkEnd w:id="128"/>
      <w:bookmarkEnd w:id="129"/>
    </w:p>
    <w:p>
      <w:pPr>
        <w:pStyle w:val="22"/>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42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C7Fm1gAAAAkBAAAPAAAAAAAAAAEAIAAAACIAAABkcnMvZG93bnJl&#10;di54bWxQSwECFAAUAAAACACHTuJAf26yDv8BAADWAwAADgAAAAAAAAABACAAAAAlAQAAZHJzL2Uy&#10;b0RvYy54bWxQSwUGAAAAAAYABgBZAQAAl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仿宋" w:hAnsi="仿宋" w:eastAsia="仿宋" w:cs="仿宋"/>
          <w:color w:val="auto"/>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款规定处理。</w:t>
      </w:r>
    </w:p>
    <w:p>
      <w:pPr>
        <w:pStyle w:val="22"/>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  </w:t>
      </w:r>
    </w:p>
    <w:p>
      <w:pPr>
        <w:pStyle w:val="32"/>
        <w:tabs>
          <w:tab w:val="left" w:pos="4970"/>
        </w:tabs>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419"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800100" cy="9118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Ir7djUAAAACAEAAA8AAAAAAAAAAQAgAAAAIgAAAGRycy9kb3ducmV2&#10;LnhtbFBLAQIUABQAAAAIAIdO4kCKhdtMAAIAANcDAAAOAAAAAAAAAAEAIAAAACMBAABkcnMvZTJv&#10;RG9jLnhtbFBLBQYAAAAABgAGAFkBAACV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仿宋" w:hAnsi="仿宋" w:eastAsia="仿宋" w:cs="仿宋"/>
          <w:color w:val="auto"/>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60" w:lineRule="auto"/>
        <w:rPr>
          <w:rFonts w:ascii="仿宋" w:hAnsi="仿宋" w:eastAsia="仿宋"/>
          <w:b/>
          <w:bCs/>
          <w:color w:val="auto"/>
          <w:sz w:val="24"/>
          <w:szCs w:val="24"/>
          <w:highlight w:val="none"/>
        </w:rPr>
      </w:pPr>
    </w:p>
    <w:p>
      <w:pPr>
        <w:tabs>
          <w:tab w:val="left" w:pos="497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5.3  </w:t>
      </w:r>
    </w:p>
    <w:p>
      <w:pPr>
        <w:tabs>
          <w:tab w:val="left" w:pos="497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ymcB1QAAAAgBAAAPAAAAAAAAAAEAIAAAACIAAABkcnMvZG93bnJl&#10;di54bWxQSwECFAAUAAAACACHTuJA3Lka9AACAADXAwAADgAAAAAAAAABACAAAAAkAQAAZHJzL2Uy&#10;b0RvYy54bWxQSwUGAAAAAAYABgBZAQAAlg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 w:hAnsi="仿宋" w:eastAsia="仿宋" w:cs="仿宋"/>
          <w:color w:val="auto"/>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5.4  </w:t>
      </w:r>
    </w:p>
    <w:p>
      <w:pPr>
        <w:tabs>
          <w:tab w:val="left" w:pos="497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spnAdUAAAAIAQAADwAAAAAAAAABACAAAAAiAAAAZHJzL2Rvd25y&#10;ZXYueG1sUEsBAhQAFAAAAAgAh07iQJ/CJ9cBAgAA1wMAAA4AAAAAAAAAAQAgAAAAJA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 w:hAnsi="仿宋" w:eastAsia="仿宋" w:cs="仿宋"/>
          <w:color w:val="auto"/>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5.5  </w:t>
      </w:r>
    </w:p>
    <w:p>
      <w:pPr>
        <w:tabs>
          <w:tab w:val="left" w:pos="497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6"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rot="0" vert="horz" wrap="square" lIns="91440" tIns="45720" rIns="91440" bIns="45720" anchor="t" anchorCtr="0" upright="1">
                        <a:noAutofit/>
                      </wps:bodyPr>
                    </wps:wsp>
                  </a:graphicData>
                </a:graphic>
              </wp:anchor>
            </w:drawing>
          </mc:Choice>
          <mc:Fallback>
            <w:pict>
              <v:shape id="文本框 13"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spnAdUAAAAIAQAADwAAAAAAAAABACAAAAAiAAAAZHJzL2Rvd25y&#10;ZXYueG1sUEsBAhQAFAAAAAgAh07iQKxLo6kBAgAA1wMAAA4AAAAAAAAAAQAgAAAAJA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 w:hAnsi="仿宋" w:eastAsia="仿宋" w:cs="仿宋"/>
          <w:color w:val="auto"/>
          <w:sz w:val="24"/>
          <w:szCs w:val="24"/>
          <w:highlight w:val="none"/>
        </w:rPr>
        <w:t>施工期间，承包人和监理工程师均应在施工现场保留一套完整的包括第</w:t>
      </w:r>
      <w:r>
        <w:rPr>
          <w:rFonts w:ascii="仿宋" w:hAnsi="仿宋" w:eastAsia="仿宋" w:cs="仿宋"/>
          <w:color w:val="auto"/>
          <w:sz w:val="24"/>
          <w:szCs w:val="24"/>
          <w:highlight w:val="none"/>
        </w:rPr>
        <w:t>5.1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款规定内容的施工设计图纸供实施合同工程过程需要时使用。本合同终止后，除承包人存档需要的施工设计图纸外，承包人应将全部施工设计图纸退还给发包人。</w:t>
      </w:r>
    </w:p>
    <w:p>
      <w:pPr>
        <w:tabs>
          <w:tab w:val="left" w:pos="1620"/>
        </w:tabs>
        <w:spacing w:line="360" w:lineRule="auto"/>
        <w:rPr>
          <w:rFonts w:ascii="仿宋" w:hAnsi="仿宋" w:eastAsia="仿宋" w:cs="仿宋"/>
          <w:b/>
          <w:bCs/>
          <w:color w:val="auto"/>
          <w:sz w:val="24"/>
          <w:szCs w:val="24"/>
          <w:highlight w:val="none"/>
          <w:u w:val="single"/>
        </w:rPr>
      </w:pPr>
    </w:p>
    <w:p>
      <w:pPr>
        <w:pStyle w:val="9"/>
        <w:tabs>
          <w:tab w:val="left" w:pos="420"/>
        </w:tabs>
        <w:ind w:left="720"/>
        <w:rPr>
          <w:rFonts w:ascii="仿宋" w:hAnsi="仿宋" w:eastAsia="仿宋"/>
          <w:color w:val="auto"/>
          <w:highlight w:val="none"/>
        </w:rPr>
      </w:pPr>
      <w:bookmarkStart w:id="130" w:name="_Toc25653611"/>
      <w:bookmarkStart w:id="131" w:name="_Toc469383985"/>
      <w:bookmarkStart w:id="132" w:name="_Toc31535"/>
      <w:bookmarkStart w:id="133" w:name="_Toc23873"/>
      <w:r>
        <w:rPr>
          <w:rFonts w:ascii="仿宋" w:hAnsi="仿宋" w:eastAsia="仿宋" w:cs="仿宋"/>
          <w:color w:val="auto"/>
          <w:highlight w:val="none"/>
        </w:rPr>
        <w:t xml:space="preserve">6  </w:t>
      </w:r>
      <w:r>
        <w:rPr>
          <w:rFonts w:hint="eastAsia" w:ascii="仿宋" w:hAnsi="仿宋" w:eastAsia="仿宋" w:cs="仿宋"/>
          <w:color w:val="auto"/>
          <w:highlight w:val="none"/>
        </w:rPr>
        <w:t>通讯联络</w:t>
      </w:r>
      <w:bookmarkEnd w:id="130"/>
      <w:bookmarkEnd w:id="131"/>
      <w:bookmarkEnd w:id="132"/>
      <w:bookmarkEnd w:id="133"/>
    </w:p>
    <w:p>
      <w:pPr>
        <w:pStyle w:val="22"/>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6.1   </w:t>
      </w:r>
    </w:p>
    <w:p>
      <w:pPr>
        <w:tabs>
          <w:tab w:val="left" w:pos="1620"/>
        </w:tabs>
        <w:spacing w:line="360" w:lineRule="auto"/>
        <w:ind w:left="1617" w:hanging="1617" w:hangingChars="895"/>
        <w:rPr>
          <w:rFonts w:ascii="仿宋" w:hAnsi="仿宋" w:eastAsia="仿宋"/>
          <w:color w:val="auto"/>
          <w:sz w:val="24"/>
          <w:szCs w:val="24"/>
          <w:highlight w:val="none"/>
        </w:rPr>
      </w:pPr>
      <w:r>
        <w:rPr>
          <w:rFonts w:hint="eastAsia" w:ascii="楷体_GB2312" w:hAnsi="宋体" w:eastAsia="楷体_GB2312" w:cs="楷体_GB2312"/>
          <w:b/>
          <w:bCs/>
          <w:color w:val="auto"/>
          <w:sz w:val="18"/>
          <w:szCs w:val="18"/>
          <w:highlight w:val="none"/>
        </w:rPr>
        <w:t>通讯形式</w:t>
      </w:r>
      <w:r>
        <w:rPr>
          <w:rFonts w:ascii="楷体" w:hAnsi="楷体" w:eastAsia="楷体" w:cs="楷体"/>
          <w:b/>
          <w:bCs/>
          <w:color w:val="auto"/>
          <w:sz w:val="24"/>
          <w:szCs w:val="24"/>
          <w:highlight w:val="none"/>
        </w:rPr>
        <w:t xml:space="preserve"> </w:t>
      </w: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pStyle w:val="22"/>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  </w:t>
      </w:r>
    </w:p>
    <w:p>
      <w:pPr>
        <w:pStyle w:val="22"/>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41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zvT69QAAAAHAQAADwAAAAAAAAABACAAAAAiAAAAZHJzL2Rvd25y&#10;ZXYueG1sUEsBAhQAFAAAAAgAh07iQE+EDUgCAgAA1wMAAA4AAAAAAAAAAQAgAAAAIw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sz w:val="24"/>
          <w:szCs w:val="24"/>
          <w:highlight w:val="none"/>
        </w:rPr>
        <w:t>合同中无论何处涉及到各方之间的通讯都不应无理扣压或拖延。合同双方当事人应在专用条款中约定各方通讯地址和收件人，并按照约定期限内送达指定地点和接收人。</w:t>
      </w:r>
    </w:p>
    <w:p>
      <w:pPr>
        <w:pStyle w:val="22"/>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60" w:lineRule="auto"/>
        <w:rPr>
          <w:rFonts w:ascii="仿宋" w:hAnsi="仿宋" w:eastAsia="仿宋"/>
          <w:b/>
          <w:bCs/>
          <w:color w:val="auto"/>
          <w:sz w:val="24"/>
          <w:szCs w:val="24"/>
          <w:highlight w:val="none"/>
          <w:u w:val="single"/>
        </w:rPr>
      </w:pPr>
    </w:p>
    <w:p>
      <w:pPr>
        <w:pStyle w:val="9"/>
        <w:tabs>
          <w:tab w:val="left" w:pos="420"/>
        </w:tabs>
        <w:ind w:left="720"/>
        <w:rPr>
          <w:rFonts w:ascii="仿宋" w:hAnsi="仿宋" w:eastAsia="仿宋"/>
          <w:color w:val="auto"/>
          <w:highlight w:val="none"/>
        </w:rPr>
      </w:pPr>
      <w:bookmarkStart w:id="134" w:name="_Toc12118"/>
      <w:bookmarkStart w:id="135" w:name="_Toc25653612"/>
      <w:bookmarkStart w:id="136" w:name="_Toc469383986"/>
      <w:bookmarkStart w:id="137" w:name="_Toc14073"/>
      <w:r>
        <w:rPr>
          <w:rFonts w:ascii="仿宋" w:hAnsi="仿宋" w:eastAsia="仿宋" w:cs="仿宋"/>
          <w:color w:val="auto"/>
          <w:highlight w:val="none"/>
        </w:rPr>
        <w:t xml:space="preserve">7  </w:t>
      </w:r>
      <w:r>
        <w:rPr>
          <w:rFonts w:hint="eastAsia" w:ascii="仿宋" w:hAnsi="仿宋" w:eastAsia="仿宋" w:cs="仿宋"/>
          <w:color w:val="auto"/>
          <w:highlight w:val="none"/>
        </w:rPr>
        <w:t>工程分包</w:t>
      </w:r>
      <w:bookmarkEnd w:id="134"/>
      <w:bookmarkEnd w:id="135"/>
      <w:bookmarkEnd w:id="136"/>
      <w:bookmarkEnd w:id="137"/>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414"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文本框 15"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nQ7VdcAAAAKAQAADwAAAAAAAAABACAAAAAiAAAAZHJzL2Rv&#10;d25yZXYueG1sUEsBAhQAFAAAAAgAh07iQDmXY6ICAgAA2AMAAA4AAAAAAAAAAQAgAAAAJg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ascii="仿宋" w:hAnsi="仿宋" w:eastAsia="仿宋" w:cs="仿宋"/>
          <w:b/>
          <w:bCs/>
          <w:color w:val="auto"/>
          <w:sz w:val="24"/>
          <w:szCs w:val="24"/>
          <w:highlight w:val="none"/>
        </w:rPr>
        <w:t xml:space="preserve">7.1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13"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wps:txbx>
                      <wps:bodyPr rot="0" vert="horz" wrap="square" lIns="91440" tIns="45720" rIns="91440" bIns="45720" anchor="t" anchorCtr="0" upright="1">
                        <a:noAutofit/>
                      </wps:bodyPr>
                    </wps:wsp>
                  </a:graphicData>
                </a:graphic>
              </wp:anchor>
            </w:drawing>
          </mc:Choice>
          <mc:Fallback>
            <w:pict>
              <v:shape id="文本框 1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M4tS/XAAAACgEAAA8AAAAAAAAAAQAgAAAAIgAAAGRycy9kb3du&#10;cmV2LnhtbFBLAQIUABQAAAAIAIdO4kBWd/5vAAIAANgDAAAOAAAAAAAAAAEAIAAAACY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ascii="仿宋" w:hAnsi="仿宋" w:eastAsia="仿宋" w:cs="仿宋"/>
          <w:b/>
          <w:bCs/>
          <w:color w:val="auto"/>
          <w:sz w:val="24"/>
          <w:szCs w:val="24"/>
          <w:highlight w:val="none"/>
        </w:rPr>
        <w:t xml:space="preserve">7.2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承包人可依法将部分工程分包给具有相应分包资质的分包人，但未经发包人同意，承包人不得将工程的任何部分或任何工作分包给第三方。下列情况则属例外：</w:t>
      </w:r>
    </w:p>
    <w:p>
      <w:pPr>
        <w:pStyle w:val="22"/>
        <w:numPr>
          <w:ilvl w:val="0"/>
          <w:numId w:val="8"/>
        </w:numPr>
        <w:adjustRightInd w:val="0"/>
        <w:snapToGrid w:val="0"/>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施工劳务作业分包；</w:t>
      </w:r>
    </w:p>
    <w:p>
      <w:pPr>
        <w:pStyle w:val="22"/>
        <w:numPr>
          <w:ilvl w:val="0"/>
          <w:numId w:val="8"/>
        </w:numPr>
        <w:adjustRightInd w:val="0"/>
        <w:snapToGrid w:val="0"/>
        <w:spacing w:line="360" w:lineRule="auto"/>
        <w:ind w:firstLine="540"/>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按照合同约定的标准购买材料和工程设备；</w:t>
      </w:r>
    </w:p>
    <w:p>
      <w:pPr>
        <w:pStyle w:val="22"/>
        <w:numPr>
          <w:ilvl w:val="0"/>
          <w:numId w:val="8"/>
        </w:numPr>
        <w:adjustRightInd w:val="0"/>
        <w:snapToGrid w:val="0"/>
        <w:spacing w:line="360" w:lineRule="auto"/>
        <w:ind w:left="1077" w:firstLine="539"/>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合同中已指定的分包工程。</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412"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17"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iTfnDUAAAABwEAAA8AAAAAAAAAAQAgAAAAIgAAAGRycy9kb3du&#10;cmV2LnhtbFBLAQIUABQAAAAIAIdO4kBHaY3tAwIAANgDAAAOAAAAAAAAAAEAIAAAACM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sz w:val="24"/>
          <w:szCs w:val="24"/>
          <w:highlight w:val="none"/>
        </w:rPr>
        <w:t>承包人分包工程的，应与分包人签订分包合同，并在分包合同签订后的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天内向发包人和监理工程师、造价工程师各提交一份分包合同。承包人有义务禁止分包人将分包工程再次分包。</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411"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18"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IBXI9cAAAAKAQAADwAAAAAAAAABACAAAAAiAAAAZHJzL2Rvd25y&#10;ZXYueG1sUEsBAhQAFAAAAAgAh07iQKtln9j/AQAA1wMAAA4AAAAAAAAAAQAgAAAAJg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ascii="仿宋" w:hAnsi="仿宋" w:eastAsia="仿宋" w:cs="仿宋"/>
          <w:b/>
          <w:bCs/>
          <w:color w:val="auto"/>
          <w:sz w:val="24"/>
          <w:szCs w:val="24"/>
          <w:highlight w:val="none"/>
        </w:rPr>
        <w:t xml:space="preserve">7.4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410"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wps:txbx>
                      <wps:bodyPr rot="0" vert="horz" wrap="square" lIns="91440" tIns="45720" rIns="91440" bIns="45720" anchor="t" anchorCtr="0" upright="1">
                        <a:noAutofit/>
                      </wps:bodyPr>
                    </wps:wsp>
                  </a:graphicData>
                </a:graphic>
              </wp:anchor>
            </w:drawing>
          </mc:Choice>
          <mc:Fallback>
            <w:pict>
              <v:shape id="文本框 19"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cPty1wAAAAoBAAAPAAAAAAAAAAEAIAAAACIAAABkcnMvZG93bnJl&#10;di54bWxQSwECFAAUAAAACACHTuJAmOwbpv4BAADXAwAADgAAAAAAAAABACAAAAAmAQAAZHJzL2Uy&#10;b0RvYy54bWxQSwUGAAAAAAYABgBZAQAAl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ascii="仿宋" w:hAnsi="仿宋" w:eastAsia="仿宋" w:cs="仿宋"/>
          <w:b/>
          <w:bCs/>
          <w:color w:val="auto"/>
          <w:sz w:val="24"/>
          <w:szCs w:val="24"/>
          <w:highlight w:val="none"/>
        </w:rPr>
        <w:t xml:space="preserve">7.5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工程分包不能免除承包人应承担的任何责任和应履行的任何义务。承包人应在分包场地派驻相应管理人员保证本合同的履行。</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分包人应对分包工程负责。分包人的任何违约行为或疏忽导致工程损坏、损害或给发包人造成损失的，承包人应承担连带责任。</w:t>
      </w:r>
    </w:p>
    <w:p>
      <w:pPr>
        <w:pStyle w:val="22"/>
        <w:adjustRightInd w:val="0"/>
        <w:snapToGrid w:val="0"/>
        <w:spacing w:line="36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409"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20"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cxzK1gAAAAkBAAAPAAAAAAAAAAEAIAAAACIAAABkcnMvZG93bnJl&#10;di54bWxQSwECFAAUAAAACACHTuJA+MfDqf8BAADXAwAADgAAAAAAAAABACAAAAAlAQAAZHJzL2Uy&#10;b0RvYy54bWxQSwUGAAAAAAYABgBZAQAAl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ascii="仿宋" w:hAnsi="仿宋" w:eastAsia="仿宋" w:cs="仿宋"/>
          <w:b/>
          <w:bCs/>
          <w:color w:val="auto"/>
          <w:sz w:val="24"/>
          <w:szCs w:val="24"/>
          <w:highlight w:val="none"/>
        </w:rPr>
        <w:t xml:space="preserve">7.6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无论何种原因，当本合同终止时，分包人与承包人签订的分包合同也随即终止。承包人应在本合同终止前向分包人支付分包人应得所有款项。</w:t>
      </w:r>
    </w:p>
    <w:p>
      <w:pPr>
        <w:pStyle w:val="22"/>
        <w:tabs>
          <w:tab w:val="left" w:pos="1260"/>
        </w:tabs>
        <w:adjustRightInd w:val="0"/>
        <w:snapToGrid w:val="0"/>
        <w:spacing w:before="156" w:beforeLines="50"/>
        <w:rPr>
          <w:rFonts w:ascii="仿宋" w:hAnsi="仿宋" w:eastAsia="仿宋"/>
          <w:b/>
          <w:bCs/>
          <w:color w:val="auto"/>
          <w:sz w:val="24"/>
          <w:szCs w:val="24"/>
          <w:highlight w:val="none"/>
        </w:rPr>
      </w:pPr>
    </w:p>
    <w:p>
      <w:pPr>
        <w:pStyle w:val="9"/>
        <w:tabs>
          <w:tab w:val="left" w:pos="420"/>
        </w:tabs>
        <w:ind w:left="720"/>
        <w:rPr>
          <w:rFonts w:ascii="仿宋" w:hAnsi="仿宋" w:eastAsia="仿宋"/>
          <w:color w:val="auto"/>
          <w:highlight w:val="none"/>
        </w:rPr>
      </w:pPr>
      <w:bookmarkStart w:id="138" w:name="_Toc469383987"/>
      <w:bookmarkStart w:id="139" w:name="_Toc10362"/>
      <w:bookmarkStart w:id="140" w:name="_Toc25653613"/>
      <w:bookmarkStart w:id="141" w:name="_Toc18206"/>
      <w:r>
        <w:rPr>
          <w:rFonts w:ascii="仿宋" w:hAnsi="仿宋" w:eastAsia="仿宋" w:cs="仿宋"/>
          <w:color w:val="auto"/>
          <w:highlight w:val="none"/>
        </w:rPr>
        <w:t xml:space="preserve">8  </w:t>
      </w:r>
      <w:r>
        <w:rPr>
          <w:rFonts w:hint="eastAsia" w:ascii="仿宋" w:hAnsi="仿宋" w:eastAsia="仿宋" w:cs="仿宋"/>
          <w:color w:val="auto"/>
          <w:highlight w:val="none"/>
        </w:rPr>
        <w:t>现场查勘</w:t>
      </w:r>
      <w:bookmarkEnd w:id="138"/>
      <w:bookmarkEnd w:id="139"/>
      <w:bookmarkEnd w:id="140"/>
      <w:bookmarkEnd w:id="141"/>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408"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21"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agSY/YAAAACgEAAA8AAAAAAAAAAQAgAAAAIgAAAGRycy9kb3du&#10;cmV2LnhtbFBLAQIUABQAAAAIAIdO4kDKAd6N/wEAANcDAAAOAAAAAAAAAAEAIAAAACcBAABkcnMv&#10;ZTJvRG9jLnhtbFBLBQYAAAAABgAGAFkBAACY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ascii="仿宋" w:hAnsi="仿宋" w:eastAsia="仿宋" w:cs="仿宋"/>
          <w:b/>
          <w:bCs/>
          <w:color w:val="auto"/>
          <w:sz w:val="24"/>
          <w:szCs w:val="24"/>
          <w:highlight w:val="none"/>
        </w:rPr>
        <w:t xml:space="preserve">8.1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407"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22"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pilH1AAAAAcBAAAPAAAAAAAAAAEAIAAAACIAAABkcnMvZG93bnJl&#10;di54bWxQSwECFAAUAAAACACHTuJAqyudOwECAADXAwAADgAAAAAAAAABACAAAAAjAQAAZHJzL2Uy&#10;b0RvYy54bWxQSwUGAAAAAAYABgBZAQAAl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rPr>
        <w:t>承包人应依据发包人按照第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）点规定提供的资料和自己对现场查勘来编制投标文件，并对发包人提供上述资料的理解、推断和应用负责。</w:t>
      </w:r>
      <w:r>
        <w:rPr>
          <w:rFonts w:ascii="仿宋" w:hAnsi="仿宋" w:eastAsia="仿宋" w:cs="仿宋"/>
          <w:color w:val="auto"/>
          <w:sz w:val="24"/>
          <w:szCs w:val="24"/>
          <w:highlight w:val="none"/>
        </w:rPr>
        <w:t>因承包人未能充分查勘、了解</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情况或未能充分估计</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情况所可能产生后果的，承包人承担由此增加的费用和（或）延误的工期。</w:t>
      </w:r>
      <w:r>
        <w:rPr>
          <w:rFonts w:hint="eastAsia" w:ascii="仿宋" w:hAnsi="仿宋" w:eastAsia="仿宋" w:cs="仿宋"/>
          <w:color w:val="auto"/>
          <w:sz w:val="24"/>
          <w:szCs w:val="24"/>
          <w:highlight w:val="none"/>
        </w:rPr>
        <w:t>承包人的投标文件应被认为已经考虑了现场及其周围环境的影响，包括但不限于以下内容：</w:t>
      </w:r>
    </w:p>
    <w:p>
      <w:pPr>
        <w:pStyle w:val="22"/>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）现场地质情况及地形地貌特征；</w:t>
      </w:r>
    </w:p>
    <w:p>
      <w:pPr>
        <w:pStyle w:val="22"/>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2）水文和气候条件；</w:t>
      </w:r>
    </w:p>
    <w:p>
      <w:pPr>
        <w:pStyle w:val="22"/>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3）为实施、完成并保修合同工程所需的临时工程和措施项目；</w:t>
      </w:r>
    </w:p>
    <w:p>
      <w:pPr>
        <w:pStyle w:val="22"/>
        <w:tabs>
          <w:tab w:val="left" w:pos="2580"/>
        </w:tabs>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4）为实施、完成并保修合同工程所需的材料采购和加工、设备的采购，及所需的施工设备、周转性材料、人员和管理等；</w:t>
      </w:r>
    </w:p>
    <w:p>
      <w:pPr>
        <w:pStyle w:val="22"/>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5）场地内外的交通情况及水、电、食宿供应条件；</w:t>
      </w:r>
    </w:p>
    <w:p>
      <w:pPr>
        <w:pStyle w:val="22"/>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6）可能对投标报价有影响或起作用的其他情况。</w:t>
      </w:r>
    </w:p>
    <w:p>
      <w:pPr>
        <w:pStyle w:val="22"/>
        <w:adjustRightInd w:val="0"/>
        <w:snapToGrid w:val="0"/>
        <w:ind w:right="-238"/>
        <w:rPr>
          <w:rFonts w:ascii="仿宋" w:hAnsi="仿宋" w:eastAsia="仿宋"/>
          <w:color w:val="auto"/>
          <w:sz w:val="24"/>
          <w:szCs w:val="24"/>
          <w:highlight w:val="none"/>
          <w:u w:val="single"/>
        </w:rPr>
      </w:pPr>
    </w:p>
    <w:p>
      <w:pPr>
        <w:pStyle w:val="9"/>
        <w:tabs>
          <w:tab w:val="left" w:pos="420"/>
        </w:tabs>
        <w:ind w:left="720"/>
        <w:rPr>
          <w:rFonts w:ascii="仿宋" w:hAnsi="仿宋" w:eastAsia="仿宋"/>
          <w:color w:val="auto"/>
          <w:highlight w:val="none"/>
        </w:rPr>
      </w:pPr>
      <w:bookmarkStart w:id="142" w:name="_Toc469383988"/>
      <w:bookmarkStart w:id="143" w:name="_Toc25653614"/>
      <w:bookmarkStart w:id="144" w:name="_Toc23574"/>
      <w:bookmarkStart w:id="145" w:name="_Toc9748"/>
      <w:r>
        <w:rPr>
          <w:rFonts w:ascii="仿宋" w:hAnsi="仿宋" w:eastAsia="仿宋" w:cs="仿宋"/>
          <w:color w:val="auto"/>
          <w:highlight w:val="none"/>
        </w:rPr>
        <w:t xml:space="preserve">9  </w:t>
      </w:r>
      <w:r>
        <w:rPr>
          <w:rFonts w:hint="eastAsia" w:ascii="仿宋" w:hAnsi="仿宋" w:eastAsia="仿宋" w:cs="仿宋"/>
          <w:color w:val="auto"/>
          <w:highlight w:val="none"/>
        </w:rPr>
        <w:t>招标错失的修正</w:t>
      </w:r>
      <w:bookmarkEnd w:id="142"/>
      <w:bookmarkEnd w:id="143"/>
      <w:bookmarkEnd w:id="144"/>
      <w:bookmarkEnd w:id="145"/>
    </w:p>
    <w:p>
      <w:pPr>
        <w:pStyle w:val="22"/>
        <w:adjustRightInd w:val="0"/>
        <w:snapToGrid w:val="0"/>
        <w:spacing w:before="312" w:beforeLines="10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406"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pStyle w:val="22"/>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3"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w6qA1wAAAAkBAAAPAAAAAAAAAAEAIAAAACIAAABkcnMvZG93&#10;bnJldi54bWxQSwECFAAUAAAACACHTuJA3G6I6AECAADXAwAADgAAAAAAAAABACAAAAAmAQAAZHJz&#10;L2Uyb0RvYy54bWxQSwUGAAAAAAYABgBZAQAAmQUAAAAA&#10;">
                <v:fill on="f" focussize="0,0"/>
                <v:stroke on="f"/>
                <v:imagedata o:title=""/>
                <o:lock v:ext="edit" aspectratio="f"/>
                <v:textbox>
                  <w:txbxContent>
                    <w:p>
                      <w:pPr>
                        <w:pStyle w:val="22"/>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合同条款及格式完备性和义务</w:t>
                      </w:r>
                    </w:p>
                    <w:p>
                      <w:pPr>
                        <w:rPr>
                          <w:sz w:val="18"/>
                          <w:szCs w:val="18"/>
                        </w:rPr>
                      </w:pPr>
                    </w:p>
                  </w:txbxContent>
                </v:textbox>
              </v:shape>
            </w:pict>
          </mc:Fallback>
        </mc:AlternateContent>
      </w:r>
      <w:r>
        <w:rPr>
          <w:rFonts w:ascii="仿宋" w:hAnsi="仿宋" w:eastAsia="仿宋" w:cs="仿宋"/>
          <w:b/>
          <w:bCs/>
          <w:color w:val="auto"/>
          <w:sz w:val="24"/>
          <w:szCs w:val="24"/>
          <w:highlight w:val="none"/>
        </w:rPr>
        <w:t xml:space="preserve">9.1  </w:t>
      </w:r>
    </w:p>
    <w:p>
      <w:pPr>
        <w:pStyle w:val="22"/>
        <w:tabs>
          <w:tab w:val="left" w:pos="1980"/>
        </w:tabs>
        <w:spacing w:before="249" w:beforeLines="80" w:line="360" w:lineRule="auto"/>
        <w:ind w:left="1622"/>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发包人招标文件中的合同条款及格式，应被认为是正确的和公平的，并已包括了发包人履行本合同的全部义务，包括但不限于以下内容：</w:t>
      </w:r>
    </w:p>
    <w:p>
      <w:pPr>
        <w:pStyle w:val="22"/>
        <w:tabs>
          <w:tab w:val="left" w:pos="2160"/>
        </w:tabs>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）支付工程款及其他应付款项的义务；</w:t>
      </w:r>
    </w:p>
    <w:p>
      <w:pPr>
        <w:pStyle w:val="22"/>
        <w:tabs>
          <w:tab w:val="left" w:pos="2160"/>
        </w:tabs>
        <w:spacing w:line="360" w:lineRule="auto"/>
        <w:ind w:left="-61" w:leftChars="-29" w:firstLine="1680" w:firstLine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）完成本合同第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款约定工作的义务；</w:t>
      </w:r>
    </w:p>
    <w:p>
      <w:pPr>
        <w:pStyle w:val="22"/>
        <w:tabs>
          <w:tab w:val="left" w:pos="2160"/>
        </w:tabs>
        <w:spacing w:line="360" w:lineRule="auto"/>
        <w:ind w:left="-61" w:leftChars="-29" w:firstLine="1680" w:firstLine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）修正不正确合同条款及格式的义务；</w:t>
      </w:r>
    </w:p>
    <w:p>
      <w:pPr>
        <w:pStyle w:val="22"/>
        <w:tabs>
          <w:tab w:val="left" w:pos="2160"/>
        </w:tabs>
        <w:spacing w:line="360" w:lineRule="auto"/>
        <w:ind w:left="-61" w:leftChars="-29" w:firstLine="1680" w:firstLine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）澄清并改正被认定有失公平的合同条款的义务；</w:t>
      </w:r>
    </w:p>
    <w:p>
      <w:pPr>
        <w:pStyle w:val="22"/>
        <w:tabs>
          <w:tab w:val="left" w:pos="2160"/>
        </w:tabs>
        <w:spacing w:line="360" w:lineRule="auto"/>
        <w:ind w:left="-61" w:leftChars="-29" w:firstLine="1680" w:firstLineChars="70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）协助承包人实施、完成并保修合同工程的义务。</w:t>
      </w:r>
    </w:p>
    <w:p>
      <w:pPr>
        <w:pStyle w:val="22"/>
        <w:tabs>
          <w:tab w:val="left" w:pos="2160"/>
        </w:tabs>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405"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a:effectLst/>
                      </wps:spPr>
                      <wps:txbx>
                        <w:txbxContent>
                          <w:p>
                            <w:pPr>
                              <w:pStyle w:val="22"/>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4"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4ztrdUAAAAIAQAADwAAAAAAAAABACAAAAAiAAAAZHJzL2Rvd25y&#10;ZXYueG1sUEsBAhQAFAAAAAgAh07iQP0Ep4oBAgAA1wMAAA4AAAAAAAAAAQAgAAAAJAEAAGRycy9l&#10;Mm9Eb2MueG1sUEsFBgAAAAAGAAYAWQEAAJcFAAAAAA==&#10;">
                <v:fill on="f" focussize="0,0"/>
                <v:stroke on="f"/>
                <v:imagedata o:title=""/>
                <o:lock v:ext="edit" aspectratio="f"/>
                <v:textbox>
                  <w:txbxContent>
                    <w:p>
                      <w:pPr>
                        <w:pStyle w:val="22"/>
                        <w:tabs>
                          <w:tab w:val="left" w:pos="2160"/>
                        </w:tabs>
                        <w:spacing w:before="249" w:beforeLines="80"/>
                        <w:rPr>
                          <w:rFonts w:ascii="楷体_GB2312" w:hAnsi="宋体" w:eastAsia="楷体_GB2312"/>
                          <w:color w:val="FF00FF"/>
                          <w:sz w:val="24"/>
                          <w:szCs w:val="24"/>
                        </w:rPr>
                      </w:pPr>
                      <w:r>
                        <w:rPr>
                          <w:rFonts w:hint="eastAsia" w:ascii="楷体_GB2312" w:hAnsi="宋体" w:eastAsia="楷体_GB2312" w:cs="楷体_GB2312"/>
                          <w:b/>
                          <w:bCs/>
                          <w:color w:val="000000"/>
                          <w:sz w:val="18"/>
                          <w:szCs w:val="18"/>
                        </w:rPr>
                        <w:t>工程量清单准确性和修正</w:t>
                      </w:r>
                    </w:p>
                    <w:p>
                      <w:pPr>
                        <w:rPr>
                          <w:sz w:val="18"/>
                          <w:szCs w:val="18"/>
                        </w:rPr>
                      </w:pPr>
                    </w:p>
                  </w:txbxContent>
                </v:textbox>
              </v:shape>
            </w:pict>
          </mc:Fallback>
        </mc:AlternateContent>
      </w:r>
      <w:r>
        <w:rPr>
          <w:rFonts w:ascii="仿宋" w:hAnsi="仿宋" w:eastAsia="仿宋" w:cs="仿宋"/>
          <w:b/>
          <w:bCs/>
          <w:color w:val="auto"/>
          <w:sz w:val="24"/>
          <w:szCs w:val="24"/>
          <w:highlight w:val="none"/>
        </w:rPr>
        <w:t xml:space="preserve">9.2  </w:t>
      </w:r>
    </w:p>
    <w:p>
      <w:pPr>
        <w:pStyle w:val="22"/>
        <w:tabs>
          <w:tab w:val="left" w:pos="2160"/>
        </w:tabs>
        <w:spacing w:line="360" w:lineRule="auto"/>
        <w:ind w:left="1799" w:leftChars="828" w:hanging="60" w:hanging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发包人招标文件提供的工程量清单及其最高投标限价等资料，应被认为是准确的和完整的。当出现下列情形之一的，发包人应及时予以修正，并相应调整合同价款：</w:t>
      </w:r>
    </w:p>
    <w:p>
      <w:pPr>
        <w:pStyle w:val="22"/>
        <w:tabs>
          <w:tab w:val="left" w:pos="2160"/>
        </w:tabs>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）施工设计图纸发生变化的；</w:t>
      </w:r>
    </w:p>
    <w:p>
      <w:pPr>
        <w:pStyle w:val="22"/>
        <w:tabs>
          <w:tab w:val="left" w:pos="2160"/>
        </w:tabs>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rPr>
        <w:t xml:space="preserve">             （2</w: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w:t>
      </w:r>
    </w:p>
    <w:p>
      <w:pPr>
        <w:pStyle w:val="22"/>
        <w:tabs>
          <w:tab w:val="left" w:pos="2160"/>
        </w:tabs>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（3</w:t>
      </w:r>
      <w:r>
        <w:rPr>
          <w:rFonts w:hint="eastAsia" w:ascii="仿宋" w:hAnsi="仿宋" w:eastAsia="仿宋" w:cs="仿宋"/>
          <w:color w:val="auto"/>
          <w:sz w:val="24"/>
          <w:szCs w:val="24"/>
          <w:highlight w:val="none"/>
        </w:rPr>
        <w:t>）未按照国家、省有关计价规定编制的其它情形。</w:t>
      </w:r>
    </w:p>
    <w:p>
      <w:pPr>
        <w:pStyle w:val="22"/>
        <w:tabs>
          <w:tab w:val="left" w:pos="2160"/>
        </w:tabs>
        <w:spacing w:line="360" w:lineRule="auto"/>
        <w:ind w:firstLine="1680" w:firstLineChars="700"/>
        <w:rPr>
          <w:color w:val="auto"/>
          <w:highlight w:val="none"/>
        </w:rPr>
      </w:pPr>
      <w:r>
        <w:rPr>
          <w:rFonts w:ascii="仿宋" w:hAnsi="仿宋" w:eastAsia="仿宋" w:cs="仿宋"/>
          <w:color w:val="auto"/>
          <w:sz w:val="24"/>
          <w:szCs w:val="24"/>
          <w:highlight w:val="none"/>
        </w:rPr>
        <w:t>（4）工程量清单存在缺项、漏项的；</w:t>
      </w:r>
    </w:p>
    <w:p>
      <w:pPr>
        <w:pStyle w:val="22"/>
        <w:adjustRightInd w:val="0"/>
        <w:snapToGrid w:val="0"/>
        <w:ind w:right="-238"/>
        <w:rPr>
          <w:rFonts w:ascii="仿宋" w:hAnsi="仿宋" w:eastAsia="仿宋" w:cs="仿宋"/>
          <w:b/>
          <w:bCs/>
          <w:color w:val="auto"/>
          <w:sz w:val="24"/>
          <w:szCs w:val="24"/>
          <w:highlight w:val="none"/>
          <w:u w:val="single"/>
        </w:rPr>
      </w:pPr>
    </w:p>
    <w:p>
      <w:pPr>
        <w:pStyle w:val="9"/>
        <w:tabs>
          <w:tab w:val="left" w:pos="420"/>
        </w:tabs>
        <w:ind w:left="720"/>
        <w:rPr>
          <w:rFonts w:ascii="仿宋" w:hAnsi="仿宋" w:eastAsia="仿宋"/>
          <w:color w:val="auto"/>
          <w:highlight w:val="none"/>
        </w:rPr>
      </w:pPr>
      <w:bookmarkStart w:id="146" w:name="_Toc25653615"/>
      <w:bookmarkStart w:id="147" w:name="_Toc23850"/>
      <w:bookmarkStart w:id="148" w:name="_Toc469383989"/>
      <w:bookmarkStart w:id="149" w:name="_Toc3242"/>
      <w:r>
        <w:rPr>
          <w:rFonts w:ascii="仿宋" w:hAnsi="仿宋" w:eastAsia="仿宋" w:cs="仿宋"/>
          <w:color w:val="auto"/>
          <w:highlight w:val="none"/>
        </w:rPr>
        <w:t xml:space="preserve">10  </w:t>
      </w:r>
      <w:r>
        <w:rPr>
          <w:rFonts w:hint="eastAsia" w:ascii="仿宋" w:hAnsi="仿宋" w:eastAsia="仿宋" w:cs="仿宋"/>
          <w:color w:val="auto"/>
          <w:highlight w:val="none"/>
        </w:rPr>
        <w:t>投标文件的完备性</w:t>
      </w:r>
      <w:bookmarkEnd w:id="146"/>
      <w:bookmarkEnd w:id="147"/>
      <w:bookmarkEnd w:id="148"/>
      <w:bookmarkEnd w:id="149"/>
    </w:p>
    <w:p>
      <w:pPr>
        <w:pStyle w:val="22"/>
        <w:tabs>
          <w:tab w:val="left" w:pos="1410"/>
        </w:tabs>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404"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a:effectLst/>
                      </wps:spPr>
                      <wps:txbx>
                        <w:txbxContent>
                          <w:p>
                            <w:pPr>
                              <w:pStyle w:val="22"/>
                              <w:tabs>
                                <w:tab w:val="left" w:pos="2160"/>
                              </w:tabs>
                              <w:spacing w:before="249"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25"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jyhrWAAAACgEAAA8AAAAAAAAAAQAgAAAAIgAAAGRycy9kb3ducmV2&#10;LnhtbFBLAQIUABQAAAAIAIdO4kAqBulD/gEAANcDAAAOAAAAAAAAAAEAIAAAACUBAABkcnMvZTJv&#10;RG9jLnhtbFBLBQYAAAAABgAGAFkBAACVBQAAAAA=&#10;">
                <v:fill on="f" focussize="0,0"/>
                <v:stroke on="f"/>
                <v:imagedata o:title=""/>
                <o:lock v:ext="edit" aspectratio="f"/>
                <v:textbox>
                  <w:txbxContent>
                    <w:p>
                      <w:pPr>
                        <w:pStyle w:val="22"/>
                        <w:tabs>
                          <w:tab w:val="left" w:pos="2160"/>
                        </w:tabs>
                        <w:spacing w:before="249"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sz w:val="24"/>
          <w:szCs w:val="24"/>
          <w:highlight w:val="none"/>
        </w:rPr>
        <w:t xml:space="preserve">10.1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承包人投标文件中的工程量清单所填单价和合价，应被认为是正确的和完备的，并已包括了承包人履行本合同的全部义务，包括但不限于以下内容：</w:t>
      </w:r>
    </w:p>
    <w:p>
      <w:pPr>
        <w:pStyle w:val="22"/>
        <w:adjustRightInd w:val="0"/>
        <w:snapToGrid w:val="0"/>
        <w:spacing w:line="360" w:lineRule="auto"/>
        <w:ind w:right="-24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rPr>
        <w:t>）提供材料和工程设备、服务的义务及处理意外事件的义务；</w:t>
      </w:r>
    </w:p>
    <w:p>
      <w:pPr>
        <w:pStyle w:val="22"/>
        <w:adjustRightInd w:val="0"/>
        <w:snapToGrid w:val="0"/>
        <w:spacing w:line="360" w:lineRule="auto"/>
        <w:ind w:right="-24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（2）实施和完成合同工程的义务；</w:t>
      </w:r>
    </w:p>
    <w:p>
      <w:pPr>
        <w:pStyle w:val="22"/>
        <w:adjustRightInd w:val="0"/>
        <w:snapToGrid w:val="0"/>
        <w:spacing w:line="360" w:lineRule="auto"/>
        <w:ind w:right="-24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（3）工程质量保修的一切义务。</w:t>
      </w:r>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3"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7+MQ9UAAAAIAQAADwAAAAAAAAABACAAAAAiAAAAZHJzL2Rvd25y&#10;ZXYueG1sUEsBAhQAFAAAAAgAh07iQBzKvf0BAgAA1wMAAA4AAAAAAAAAAQAgAAAAJAEAAGRycy9l&#10;Mm9Eb2MueG1sUEsFBgAAAAAGAAYAWQEAAJ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2"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27"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v4xD1QAAAAgBAAAPAAAAAAAAAAEAIAAAACIAAABkcnMvZG93bnJl&#10;di54bWxQSwECFAAUAAAACACHTuJAL0M5gwACAADXAwAADgAAAAAAAAABACAAAAAkAQAAZHJzL2Uy&#10;b0RvYy54bWxQSwUGAAAAAAYABgBZAQAAl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rPr>
        <w:t>承包人投标文件中出现算术性错误，导致其实际总造价与报价总金额不一致时，合同双方当事人可按照国家、省有关规定予以修正，并相应调整合同价款。</w:t>
      </w:r>
    </w:p>
    <w:p>
      <w:pPr>
        <w:pStyle w:val="22"/>
        <w:adjustRightInd w:val="0"/>
        <w:snapToGrid w:val="0"/>
        <w:ind w:left="1626" w:leftChars="1" w:hanging="1624" w:hangingChars="674"/>
        <w:rPr>
          <w:rFonts w:ascii="仿宋" w:hAnsi="仿宋" w:eastAsia="仿宋"/>
          <w:b/>
          <w:bCs/>
          <w:color w:val="auto"/>
          <w:sz w:val="24"/>
          <w:szCs w:val="24"/>
          <w:highlight w:val="none"/>
        </w:rPr>
      </w:pPr>
    </w:p>
    <w:p>
      <w:pPr>
        <w:pStyle w:val="22"/>
        <w:adjustRightInd w:val="0"/>
        <w:snapToGrid w:val="0"/>
        <w:spacing w:before="312" w:beforeLines="100" w:line="240" w:lineRule="exact"/>
        <w:ind w:firstLine="601"/>
        <w:rPr>
          <w:rFonts w:ascii="仿宋" w:hAnsi="仿宋" w:eastAsia="仿宋"/>
          <w:b/>
          <w:bCs/>
          <w:color w:val="auto"/>
          <w:sz w:val="24"/>
          <w:szCs w:val="24"/>
          <w:highlight w:val="none"/>
        </w:rPr>
      </w:pPr>
    </w:p>
    <w:p>
      <w:pPr>
        <w:pStyle w:val="22"/>
        <w:adjustRightInd w:val="0"/>
        <w:snapToGrid w:val="0"/>
        <w:spacing w:before="312" w:beforeLines="100" w:line="360" w:lineRule="auto"/>
        <w:outlineLvl w:val="2"/>
        <w:rPr>
          <w:rFonts w:ascii="仿宋" w:hAnsi="仿宋" w:eastAsia="仿宋"/>
          <w:b/>
          <w:bCs/>
          <w:color w:val="auto"/>
          <w:sz w:val="24"/>
          <w:szCs w:val="24"/>
          <w:highlight w:val="none"/>
        </w:rPr>
      </w:pPr>
      <w:bookmarkStart w:id="150" w:name="_Toc25653616"/>
      <w:bookmarkStart w:id="151" w:name="_Toc469383990"/>
      <w:bookmarkStart w:id="152" w:name="_Toc10598"/>
      <w:bookmarkStart w:id="153" w:name="_Toc11112"/>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文物和地下障碍物</w:t>
      </w:r>
      <w:bookmarkEnd w:id="150"/>
      <w:bookmarkEnd w:id="151"/>
      <w:bookmarkEnd w:id="152"/>
      <w:bookmarkEnd w:id="153"/>
    </w:p>
    <w:p>
      <w:pPr>
        <w:pStyle w:val="22"/>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11.1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401"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28"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Ye621gAAAAkBAAAPAAAAAAAAAAEAIAAAACIAAABkcnMvZG93bnJl&#10;di54bWxQSwECFAAUAAAACACHTuJA482csf8BAADXAwAADgAAAAAAAAABACAAAAAlAQAAZHJzL2Uy&#10;b0RvYy54bWxQSwUGAAAAAAYABgBZAQAAl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小时内以书面形式通知监理工程师和发包人。监理工程师应在收到通知后立即指令承包人继续保护好现场，并在收到通知后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小时内报告当地文物管理部门，合同双方当事人应按照文物管理部门的要求采取妥善保护措施。发包人承担由此增加的费用和（或）工期延误，并向承包人支付合理利润。</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如发现文物后隐瞒不报或报告不及时，导致上述文物丢失或遭受破坏的，由责任方赔偿损失，并承担相应的法律责任。</w:t>
      </w:r>
    </w:p>
    <w:p>
      <w:pPr>
        <w:pStyle w:val="22"/>
        <w:adjustRightInd w:val="0"/>
        <w:snapToGrid w:val="0"/>
        <w:spacing w:line="360" w:lineRule="auto"/>
        <w:rPr>
          <w:rFonts w:ascii="仿宋" w:hAnsi="仿宋" w:eastAsia="仿宋"/>
          <w:b/>
          <w:bCs/>
          <w:color w:val="auto"/>
          <w:sz w:val="24"/>
          <w:szCs w:val="24"/>
          <w:highlight w:val="none"/>
        </w:rPr>
      </w:pPr>
    </w:p>
    <w:p>
      <w:pPr>
        <w:pStyle w:val="22"/>
        <w:adjustRightInd w:val="0"/>
        <w:snapToGrid w:val="0"/>
        <w:spacing w:line="48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400"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29"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PZ3g2AAAAAoBAAAPAAAAAAAAAAEAIAAAACIAAABkcnMvZG93bnJl&#10;di54bWxQSwECFAAUAAAACACHTuJA0EQYz/0BAADXAwAADgAAAAAAAAABACAAAAAnAQAAZHJzL2Uy&#10;b0RvYy54bWxQSwUGAAAAAAYABgBZAQAAl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ascii="仿宋" w:hAnsi="仿宋" w:eastAsia="仿宋" w:cs="仿宋"/>
          <w:b/>
          <w:bCs/>
          <w:color w:val="auto"/>
          <w:sz w:val="24"/>
          <w:szCs w:val="24"/>
          <w:highlight w:val="none"/>
        </w:rPr>
        <w:t xml:space="preserve">11.2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小时内以书面形式通知监理工程师和发包人，并提出处置方案。监理工程师在收到处置方案后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小时内予以确认或提出修正方案，并发出施工指令。承包人应按照监理工程师指令进行施工。发包人应承担由此增加的费用和（或）延误的工期，并向承包人支付合理利润。</w:t>
      </w:r>
    </w:p>
    <w:p>
      <w:pPr>
        <w:pStyle w:val="22"/>
        <w:adjustRightInd w:val="0"/>
        <w:snapToGrid w:val="0"/>
        <w:spacing w:line="360" w:lineRule="auto"/>
        <w:ind w:right="-238"/>
        <w:rPr>
          <w:rFonts w:ascii="仿宋" w:hAnsi="仿宋" w:eastAsia="仿宋" w:cs="仿宋"/>
          <w:b/>
          <w:bCs/>
          <w:color w:val="auto"/>
          <w:sz w:val="24"/>
          <w:szCs w:val="24"/>
          <w:highlight w:val="none"/>
          <w:u w:val="single"/>
        </w:rPr>
      </w:pPr>
    </w:p>
    <w:p>
      <w:pPr>
        <w:pStyle w:val="22"/>
        <w:tabs>
          <w:tab w:val="left" w:pos="1620"/>
        </w:tabs>
        <w:adjustRightInd w:val="0"/>
        <w:snapToGrid w:val="0"/>
        <w:spacing w:before="312" w:beforeLines="100" w:line="360" w:lineRule="auto"/>
        <w:outlineLvl w:val="2"/>
        <w:rPr>
          <w:rFonts w:ascii="仿宋" w:hAnsi="仿宋" w:eastAsia="仿宋"/>
          <w:b/>
          <w:bCs/>
          <w:color w:val="auto"/>
          <w:sz w:val="24"/>
          <w:szCs w:val="24"/>
          <w:highlight w:val="none"/>
        </w:rPr>
      </w:pPr>
      <w:bookmarkStart w:id="154" w:name="_Toc25653617"/>
      <w:bookmarkStart w:id="155" w:name="_Toc17814"/>
      <w:bookmarkStart w:id="156" w:name="_Toc469383991"/>
      <w:bookmarkStart w:id="157" w:name="_Toc26617"/>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事故处理</w:t>
      </w:r>
      <w:bookmarkEnd w:id="154"/>
      <w:bookmarkEnd w:id="155"/>
      <w:bookmarkEnd w:id="156"/>
      <w:bookmarkEnd w:id="157"/>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99"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wps:txbx>
                      <wps:bodyPr rot="0" vert="horz" wrap="square" lIns="91440" tIns="45720" rIns="91440" bIns="45720" anchor="t" anchorCtr="0" upright="1">
                        <a:noAutofit/>
                      </wps:bodyPr>
                    </wps:wsp>
                  </a:graphicData>
                </a:graphic>
              </wp:anchor>
            </w:drawing>
          </mc:Choice>
          <mc:Fallback>
            <w:pict>
              <v:shape id="文本框 30"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QGxh/WAAAACgEAAA8AAAAAAAAAAQAgAAAAIgAAAGRycy9kb3du&#10;cmV2LnhtbFBLAQIUABQAAAAIAIdO4kAbJEzvAQIAANgDAAAOAAAAAAAAAAEAIAAAACU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知</w:t>
                      </w:r>
                    </w:p>
                    <w:p>
                      <w:pPr>
                        <w:rPr>
                          <w:color w:val="000000"/>
                          <w:sz w:val="18"/>
                          <w:szCs w:val="18"/>
                        </w:rPr>
                      </w:pPr>
                    </w:p>
                  </w:txbxContent>
                </v:textbox>
              </v:shape>
            </w:pict>
          </mc:Fallback>
        </mc:AlternateContent>
      </w:r>
      <w:r>
        <w:rPr>
          <w:rFonts w:ascii="仿宋" w:hAnsi="仿宋" w:eastAsia="仿宋" w:cs="仿宋"/>
          <w:b/>
          <w:bCs/>
          <w:color w:val="auto"/>
          <w:sz w:val="24"/>
          <w:szCs w:val="24"/>
          <w:highlight w:val="none"/>
        </w:rPr>
        <w:t xml:space="preserve">12.1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合同履行期间，合同工程发生质量与安全事故，承包人立即通知监理工程师和发包人。</w:t>
      </w:r>
    </w:p>
    <w:p>
      <w:pPr>
        <w:pStyle w:val="22"/>
        <w:adjustRightInd w:val="0"/>
        <w:snapToGrid w:val="0"/>
        <w:spacing w:line="48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8960" behindDoc="0" locked="0" layoutInCell="1" allowOverlap="1">
                <wp:simplePos x="0" y="0"/>
                <wp:positionH relativeFrom="column">
                  <wp:posOffset>-161925</wp:posOffset>
                </wp:positionH>
                <wp:positionV relativeFrom="paragraph">
                  <wp:posOffset>383540</wp:posOffset>
                </wp:positionV>
                <wp:extent cx="1028700" cy="297180"/>
                <wp:effectExtent l="0" t="0" r="0" b="0"/>
                <wp:wrapNone/>
                <wp:docPr id="398"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31" o:spid="_x0000_s1026" o:spt="202" type="#_x0000_t202" style="position:absolute;left:0pt;margin-left:-12.75pt;margin-top:30.2pt;height:23.4pt;width:81pt;z-index:251688960;mso-width-relative:page;mso-height-relative:page;" filled="f" stroked="f" coordsize="21600,21600" o:gfxdata="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17VPXAAAACgEAAA8AAAAAAAAAAQAgAAAAIgAAAGRycy9k&#10;b3ducmV2LnhtbFBLAQIUABQAAAAIAIdO4kBQkNXaAwIAANgDAAAOAAAAAAAAAAEAIAAAACYBAABk&#10;cnMvZTJvRG9jLnhtbFBLBQYAAAAABgAGAFkBAACb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rPr>
        <w:t xml:space="preserve">12.2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合同双方当事人应按照国家规定时限如实上报政府有关部门，配合政府有关部门的调查和处理，由此发生的费用和（或）延误的工期由事故责任方承担。</w:t>
      </w:r>
    </w:p>
    <w:p>
      <w:pPr>
        <w:pStyle w:val="22"/>
        <w:adjustRightInd w:val="0"/>
        <w:snapToGrid w:val="0"/>
        <w:spacing w:line="48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7"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ZyZZdYAAAAJAQAADwAAAAAAAAABACAAAAAiAAAAZHJzL2Rv&#10;d25yZXYueG1sUEsBAhQAFAAAAAgAh07iQAG9IzUDAgAA2AMAAA4AAAAAAAAAAQAgAAAAJQ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rPr>
        <w:t xml:space="preserve">12.3  </w:t>
      </w:r>
    </w:p>
    <w:p>
      <w:pPr>
        <w:pStyle w:val="22"/>
        <w:tabs>
          <w:tab w:val="left" w:pos="1620"/>
        </w:tabs>
        <w:adjustRightInd w:val="0"/>
        <w:snapToGrid w:val="0"/>
        <w:spacing w:line="360" w:lineRule="auto"/>
        <w:ind w:left="1736" w:leftChars="798" w:hanging="60" w:hanging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合同双方当事人对事故责任有争议时，应按照政府有关部门的认定处理。</w:t>
      </w:r>
    </w:p>
    <w:p>
      <w:pPr>
        <w:pStyle w:val="22"/>
        <w:adjustRightInd w:val="0"/>
        <w:snapToGrid w:val="0"/>
        <w:spacing w:line="480" w:lineRule="auto"/>
        <w:ind w:right="-238"/>
        <w:rPr>
          <w:rFonts w:ascii="仿宋" w:hAnsi="仿宋" w:eastAsia="仿宋"/>
          <w:color w:val="auto"/>
          <w:sz w:val="24"/>
          <w:szCs w:val="24"/>
          <w:highlight w:val="none"/>
        </w:rPr>
      </w:pPr>
    </w:p>
    <w:p>
      <w:pPr>
        <w:pStyle w:val="22"/>
        <w:tabs>
          <w:tab w:val="left" w:pos="1620"/>
        </w:tabs>
        <w:adjustRightInd w:val="0"/>
        <w:snapToGrid w:val="0"/>
        <w:spacing w:before="312" w:beforeLines="100" w:line="360" w:lineRule="auto"/>
        <w:ind w:right="-237" w:rightChars="-113"/>
        <w:outlineLvl w:val="2"/>
        <w:rPr>
          <w:rFonts w:ascii="仿宋" w:hAnsi="仿宋" w:eastAsia="仿宋"/>
          <w:b/>
          <w:bCs/>
          <w:color w:val="auto"/>
          <w:sz w:val="24"/>
          <w:szCs w:val="24"/>
          <w:highlight w:val="none"/>
        </w:rPr>
      </w:pPr>
      <w:bookmarkStart w:id="158" w:name="_Toc2565"/>
      <w:bookmarkStart w:id="159" w:name="_Toc469383992"/>
      <w:bookmarkStart w:id="160" w:name="_Toc19807"/>
      <w:bookmarkStart w:id="161" w:name="_Toc25653618"/>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交通运输</w:t>
      </w:r>
      <w:bookmarkEnd w:id="158"/>
      <w:bookmarkEnd w:id="159"/>
      <w:bookmarkEnd w:id="160"/>
      <w:bookmarkEnd w:id="161"/>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396"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3"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bGH9YAAAAKAQAADwAAAAAAAAABACAAAAAiAAAAZHJzL2Rv&#10;d25yZXYueG1sUEsBAhQAFAAAAAgAh07iQEoJugADAgAA2AMAAA4AAAAAAAAAAQAgAAAAJQ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场外设施</w:t>
                      </w:r>
                    </w:p>
                    <w:p>
                      <w:pPr>
                        <w:rPr>
                          <w:color w:val="0000FF"/>
                          <w:sz w:val="18"/>
                          <w:szCs w:val="18"/>
                        </w:rPr>
                      </w:pPr>
                    </w:p>
                    <w:p>
                      <w:pPr>
                        <w:rPr>
                          <w:sz w:val="18"/>
                          <w:szCs w:val="18"/>
                        </w:rPr>
                      </w:pPr>
                    </w:p>
                  </w:txbxContent>
                </v:textbox>
              </v:shape>
            </w:pict>
          </mc:Fallback>
        </mc:AlternateContent>
      </w:r>
      <w:r>
        <w:rPr>
          <w:rFonts w:ascii="仿宋" w:hAnsi="仿宋" w:eastAsia="仿宋" w:cs="仿宋"/>
          <w:b/>
          <w:bCs/>
          <w:color w:val="auto"/>
          <w:sz w:val="24"/>
          <w:szCs w:val="24"/>
          <w:highlight w:val="none"/>
        </w:rPr>
        <w:t xml:space="preserve">13.1                   </w:t>
      </w:r>
    </w:p>
    <w:p>
      <w:pPr>
        <w:pStyle w:val="22"/>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pStyle w:val="22"/>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22"/>
        <w:tabs>
          <w:tab w:val="left" w:pos="1202"/>
        </w:tabs>
        <w:adjustRightInd w:val="0"/>
        <w:snapToGrid w:val="0"/>
        <w:spacing w:line="360" w:lineRule="auto"/>
        <w:ind w:left="1626" w:leftChars="1" w:hanging="1624" w:hangingChars="674"/>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13.2</w:t>
      </w:r>
    </w:p>
    <w:p>
      <w:pPr>
        <w:pStyle w:val="22"/>
        <w:tabs>
          <w:tab w:val="left" w:pos="1202"/>
        </w:tabs>
        <w:adjustRightInd w:val="0"/>
        <w:snapToGrid w:val="0"/>
        <w:spacing w:line="360" w:lineRule="auto"/>
        <w:ind w:left="1548" w:leftChars="1" w:hanging="1546" w:hangingChars="773"/>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92032" behindDoc="0" locked="0" layoutInCell="1" allowOverlap="1">
                <wp:simplePos x="0" y="0"/>
                <wp:positionH relativeFrom="column">
                  <wp:posOffset>-187960</wp:posOffset>
                </wp:positionH>
                <wp:positionV relativeFrom="paragraph">
                  <wp:posOffset>40640</wp:posOffset>
                </wp:positionV>
                <wp:extent cx="1028700" cy="523875"/>
                <wp:effectExtent l="0" t="0" r="0" b="0"/>
                <wp:wrapNone/>
                <wp:docPr id="395"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szCs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4" o:spid="_x0000_s1026" o:spt="202" type="#_x0000_t202" style="position:absolute;left:0pt;margin-left:-14.8pt;margin-top:3.2pt;height:41.25pt;width:81pt;z-index:251692032;mso-width-relative:page;mso-height-relative:page;" filled="f" stroked="f" coordsize="21600,21600" o:gfxdata="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0xB09YAAAAIAQAADwAAAAAAAAABACAAAAAiAAAAZHJzL2Rv&#10;d25yZXYueG1sUEsBAhQAFAAAAAgAh07iQEW8E20DAgAA2AMAAA4AAAAAAAAAAQAgAAAAJQ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olor w:val="000000"/>
                          <w:sz w:val="24"/>
                          <w:szCs w:val="24"/>
                        </w:rPr>
                      </w:pPr>
                      <w:r>
                        <w:rPr>
                          <w:rFonts w:hint="eastAsia" w:ascii="楷体_GB2312" w:hAnsi="宋体" w:eastAsia="楷体_GB2312" w:cs="楷体_GB2312"/>
                          <w:b/>
                          <w:bCs/>
                          <w:color w:val="000000"/>
                          <w:sz w:val="18"/>
                          <w:szCs w:val="18"/>
                        </w:rPr>
                        <w:t>和交通设施</w:t>
                      </w:r>
                    </w:p>
                    <w:p>
                      <w:pPr>
                        <w:rPr>
                          <w:color w:val="0000FF"/>
                          <w:sz w:val="18"/>
                          <w:szCs w:val="18"/>
                        </w:rPr>
                      </w:pPr>
                    </w:p>
                    <w:p>
                      <w:pPr>
                        <w:rPr>
                          <w:sz w:val="18"/>
                          <w:szCs w:val="18"/>
                        </w:rPr>
                      </w:pPr>
                    </w:p>
                  </w:txbxContent>
                </v:textbox>
              </v:shape>
            </w:pict>
          </mc:Fallback>
        </mc:AlternateContent>
      </w:r>
      <w:r>
        <w:rPr>
          <w:color w:val="auto"/>
          <w:highlight w:val="none"/>
        </w:rPr>
        <w:t xml:space="preserve">           </w:t>
      </w: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pPr>
        <w:pStyle w:val="22"/>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承包人修建的临时道路和交通设施应免费提供发包人使用。</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394"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35"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WcmWXWAAAACQEAAA8AAAAAAAAAAQAgAAAAIgAAAGRycy9k&#10;b3ducmV2LnhtbFBLAQIUABQAAAAIAIdO4kAOCIpYBAIAANgDAAAOAAAAAAAAAAEAIAAAACUBAABk&#10;cnMvZTJvRG9jLnhtbFBLBQYAAAAABgAGAFkBAACb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rPr>
        <w:t xml:space="preserve">13.3  </w:t>
      </w:r>
    </w:p>
    <w:p>
      <w:pPr>
        <w:pStyle w:val="22"/>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3"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文本框 3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0iq31wAAAAoBAAAPAAAAAAAAAAEAIAAAACIAAABkcnMv&#10;ZG93bnJldi54bWxQSwECFAAUAAAACACHTuJAIw1+IAQCAADYAwAADgAAAAAAAAABACAAAAAmAQAA&#10;ZHJzL2Uyb0RvYy54bWxQSwUGAAAAAAYABgBZAQAAn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ascii="仿宋" w:hAnsi="仿宋" w:eastAsia="仿宋" w:cs="仿宋"/>
          <w:b/>
          <w:bCs/>
          <w:color w:val="auto"/>
          <w:sz w:val="24"/>
          <w:szCs w:val="24"/>
          <w:highlight w:val="none"/>
        </w:rPr>
        <w:t xml:space="preserve">13.4  </w:t>
      </w:r>
    </w:p>
    <w:p>
      <w:pPr>
        <w:pStyle w:val="22"/>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2"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文本框 37"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0iq31wAAAAoBAAAPAAAAAAAAAAEAIAAAACIAAABkcnMv&#10;ZG93bnJldi54bWxQSwECFAAUAAAACACHTuJAvOjQnwQCAADYAwAADgAAAAAAAAABACAAAAAmAQAA&#10;ZHJzL2Uyb0RvYy54bWxQSwUGAAAAAAYABgBZAQAAn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ascii="仿宋" w:hAnsi="仿宋" w:eastAsia="仿宋" w:cs="仿宋"/>
          <w:b/>
          <w:bCs/>
          <w:color w:val="auto"/>
          <w:sz w:val="24"/>
          <w:szCs w:val="24"/>
          <w:highlight w:val="none"/>
        </w:rPr>
        <w:t xml:space="preserve">13.5  </w:t>
      </w:r>
    </w:p>
    <w:p>
      <w:pPr>
        <w:pStyle w:val="22"/>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因承包人运输造成施工场地内外公共道路和桥梁损坏的，由承包人承担修复损坏的全部费用和可能引起的赔偿。</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91"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文本框 38"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pp1J1wAAAAoBAAAPAAAAAAAAAAEAIAAAACIAAABkcnMv&#10;ZG93bnJldi54bWxQSwECFAAUAAAACACHTuJANMvhQwQCAADYAwAADgAAAAAAAAABACAAAAAmAQAA&#10;ZHJzL2Uyb0RvYy54bWxQSwUGAAAAAAYABgBZAQAAnA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ascii="仿宋" w:hAnsi="仿宋" w:eastAsia="仿宋" w:cs="仿宋"/>
          <w:b/>
          <w:bCs/>
          <w:color w:val="auto"/>
          <w:sz w:val="24"/>
          <w:szCs w:val="24"/>
          <w:highlight w:val="none"/>
        </w:rPr>
        <w:t xml:space="preserve">13.6 </w:t>
      </w:r>
    </w:p>
    <w:p>
      <w:pPr>
        <w:pStyle w:val="22"/>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本条内容适用于水路运输和航空运输，其中“道路”包括河道、航线、船闸、机场、码头、堤防以及水路或航空运输中其他相似结构物；“车辆”包括船舶和飞机等。</w:t>
      </w:r>
    </w:p>
    <w:p>
      <w:pPr>
        <w:pStyle w:val="22"/>
        <w:tabs>
          <w:tab w:val="left" w:pos="1202"/>
        </w:tabs>
        <w:adjustRightInd w:val="0"/>
        <w:snapToGrid w:val="0"/>
        <w:spacing w:line="240" w:lineRule="exact"/>
        <w:jc w:val="left"/>
        <w:rPr>
          <w:rFonts w:ascii="仿宋" w:hAnsi="仿宋" w:eastAsia="仿宋" w:cs="仿宋"/>
          <w:b/>
          <w:bCs/>
          <w:color w:val="auto"/>
          <w:sz w:val="24"/>
          <w:szCs w:val="24"/>
          <w:highlight w:val="none"/>
        </w:rPr>
      </w:pPr>
    </w:p>
    <w:p>
      <w:pPr>
        <w:pStyle w:val="22"/>
        <w:tabs>
          <w:tab w:val="left" w:pos="3818"/>
        </w:tabs>
        <w:adjustRightInd w:val="0"/>
        <w:snapToGrid w:val="0"/>
        <w:spacing w:before="312" w:beforeLines="100" w:line="360" w:lineRule="auto"/>
        <w:outlineLvl w:val="2"/>
        <w:rPr>
          <w:rFonts w:ascii="仿宋" w:hAnsi="仿宋" w:eastAsia="仿宋"/>
          <w:b/>
          <w:bCs/>
          <w:color w:val="auto"/>
          <w:sz w:val="24"/>
          <w:szCs w:val="24"/>
          <w:highlight w:val="none"/>
        </w:rPr>
      </w:pPr>
      <w:bookmarkStart w:id="162" w:name="_Toc469383993"/>
      <w:bookmarkStart w:id="163" w:name="_Toc25653619"/>
      <w:bookmarkStart w:id="164" w:name="_Toc25861"/>
      <w:bookmarkStart w:id="165" w:name="_Toc24894"/>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专项批准事件的签认</w:t>
      </w:r>
      <w:bookmarkEnd w:id="162"/>
      <w:bookmarkEnd w:id="163"/>
      <w:bookmarkEnd w:id="164"/>
      <w:bookmarkEnd w:id="165"/>
      <w:r>
        <w:rPr>
          <w:rFonts w:ascii="仿宋" w:hAnsi="仿宋" w:eastAsia="仿宋"/>
          <w:b/>
          <w:bCs/>
          <w:color w:val="auto"/>
          <w:sz w:val="24"/>
          <w:szCs w:val="24"/>
          <w:highlight w:val="none"/>
        </w:rPr>
        <w:tab/>
      </w:r>
    </w:p>
    <w:p>
      <w:pPr>
        <w:pStyle w:val="22"/>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90"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HBLGNgAAAAKAQAADwAAAAAAAAABACAAAAAiAAAAZHJzL2Rv&#10;d25yZXYueG1sUEsBAhQAFAAAAAgAh07iQLKIL+oBAgAA1wMAAA4AAAAAAAAAAQAgAAAAJw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ascii="仿宋" w:hAnsi="仿宋" w:eastAsia="仿宋" w:cs="仿宋"/>
          <w:b/>
          <w:bCs/>
          <w:color w:val="auto"/>
          <w:sz w:val="24"/>
          <w:szCs w:val="24"/>
          <w:highlight w:val="none"/>
        </w:rPr>
        <w:t xml:space="preserve">14.1      </w:t>
      </w:r>
    </w:p>
    <w:p>
      <w:pPr>
        <w:pStyle w:val="22"/>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合同履行期间，合同工程发生第</w:t>
      </w:r>
      <w:r>
        <w:rPr>
          <w:rFonts w:ascii="仿宋" w:hAnsi="仿宋" w:eastAsia="仿宋" w:cs="仿宋"/>
          <w:color w:val="auto"/>
          <w:sz w:val="24"/>
          <w:szCs w:val="24"/>
          <w:highlight w:val="none"/>
        </w:rPr>
        <w:t>23.3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24.3</w:t>
      </w:r>
      <w:r>
        <w:rPr>
          <w:rFonts w:hint="eastAsia" w:ascii="仿宋" w:hAnsi="仿宋" w:eastAsia="仿宋" w:cs="仿宋"/>
          <w:color w:val="auto"/>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22"/>
        <w:tabs>
          <w:tab w:val="left" w:pos="1202"/>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款规定对发生的专项批准事件予以签认，并及时将发生事件的相关资料整理、归档，同时按第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款规定职权将其中一份送监理工程师和（或）造价工程师留存。</w:t>
      </w:r>
    </w:p>
    <w:p>
      <w:pPr>
        <w:pStyle w:val="22"/>
        <w:tabs>
          <w:tab w:val="left" w:pos="2160"/>
        </w:tabs>
        <w:spacing w:before="249" w:beforeLines="80"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14.2  </w:t>
      </w:r>
    </w:p>
    <w:p>
      <w:pPr>
        <w:pStyle w:val="22"/>
        <w:tabs>
          <w:tab w:val="left" w:pos="1620"/>
        </w:tabs>
        <w:spacing w:line="360" w:lineRule="auto"/>
        <w:ind w:left="1618" w:leftChars="770" w:hanging="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89"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rot="0" vert="horz" wrap="square" lIns="91440" tIns="45720" rIns="91440" bIns="45720" anchor="t" anchorCtr="0" upright="1">
                        <a:noAutofit/>
                      </wps:bodyPr>
                    </wps:wsp>
                  </a:graphicData>
                </a:graphic>
              </wp:anchor>
            </w:drawing>
          </mc:Choice>
          <mc:Fallback>
            <w:pict>
              <v:shape id="文本框 40"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qRuYtMAAAAGAQAADwAAAAAAAAABACAAAAAiAAAAZHJzL2Rvd25yZXYu&#10;eG1sUEsBAhQAFAAAAAgAh07iQDxxRckAAgAA1wMAAA4AAAAAAAAAAQAgAAAAIgEAAGRycy9lMm9E&#10;b2MueG1sUEsFBgAAAAAGAAYAWQEAAJ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22"/>
        <w:adjustRightInd w:val="0"/>
        <w:snapToGrid w:val="0"/>
        <w:ind w:right="-238"/>
        <w:rPr>
          <w:rFonts w:ascii="仿宋" w:hAnsi="仿宋" w:eastAsia="仿宋" w:cs="仿宋"/>
          <w:b/>
          <w:bCs/>
          <w:color w:val="auto"/>
          <w:sz w:val="24"/>
          <w:szCs w:val="24"/>
          <w:highlight w:val="none"/>
          <w:u w:val="single"/>
        </w:rPr>
      </w:pPr>
    </w:p>
    <w:p>
      <w:pPr>
        <w:pStyle w:val="22"/>
        <w:adjustRightInd w:val="0"/>
        <w:snapToGrid w:val="0"/>
        <w:spacing w:before="312" w:beforeLines="100" w:line="360" w:lineRule="auto"/>
        <w:outlineLvl w:val="2"/>
        <w:rPr>
          <w:rFonts w:ascii="仿宋" w:hAnsi="仿宋" w:eastAsia="仿宋"/>
          <w:b/>
          <w:bCs/>
          <w:color w:val="auto"/>
          <w:sz w:val="24"/>
          <w:szCs w:val="24"/>
          <w:highlight w:val="none"/>
        </w:rPr>
      </w:pPr>
      <w:bookmarkStart w:id="166" w:name="_Toc469383994"/>
      <w:bookmarkStart w:id="167" w:name="_Toc19684"/>
      <w:bookmarkStart w:id="168" w:name="_Toc5554"/>
      <w:bookmarkStart w:id="169" w:name="_Toc25653620"/>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专利技术</w:t>
      </w:r>
      <w:bookmarkEnd w:id="166"/>
      <w:bookmarkEnd w:id="167"/>
      <w:bookmarkEnd w:id="168"/>
      <w:bookmarkEnd w:id="169"/>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15.1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88"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41"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m2TpNYAAAAIAQAADwAAAAAAAAABACAAAAAiAAAAZHJzL2Rvd25y&#10;ZXYueG1sUEsBAhQAFAAAAAgAh07iQH6vtBQAAgAA1wMAAA4AAAAAAAAAAQAgAAAAJQ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15.2</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87"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42"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ptk6TWAAAACAEAAA8AAAAAAAAAAQAgAAAAIgAAAGRycy9kb3du&#10;cmV2LnhtbFBLAQIUABQAAAAIAIdO4kA91Ik3AQIAANcDAAAOAAAAAAAAAAEAIAAAACU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rPr>
        <w:t>承包人在投标文件中采用专利技术的，其发生的费用已包含在投标报价内。承包人的技术秘密和第</w:t>
      </w:r>
      <w:r>
        <w:rPr>
          <w:rFonts w:hint="eastAsia" w:ascii="仿宋" w:hAnsi="仿宋" w:eastAsia="仿宋" w:cs="仿宋"/>
          <w:color w:val="auto"/>
          <w:sz w:val="24"/>
          <w:szCs w:val="24"/>
          <w:highlight w:val="none"/>
          <w:lang w:val="en-US" w:eastAsia="zh-CN"/>
        </w:rPr>
        <w:t>94</w:t>
      </w:r>
      <w:r>
        <w:rPr>
          <w:rFonts w:hint="eastAsia" w:ascii="仿宋" w:hAnsi="仿宋" w:eastAsia="仿宋" w:cs="仿宋"/>
          <w:color w:val="auto"/>
          <w:sz w:val="24"/>
          <w:szCs w:val="24"/>
          <w:highlight w:val="none"/>
        </w:rPr>
        <w:t>条规定的保密信息、资料等，发包人应严格按照第</w:t>
      </w:r>
      <w:r>
        <w:rPr>
          <w:rFonts w:hint="eastAsia" w:ascii="仿宋" w:hAnsi="仿宋" w:eastAsia="仿宋" w:cs="仿宋"/>
          <w:color w:val="auto"/>
          <w:sz w:val="24"/>
          <w:szCs w:val="24"/>
          <w:highlight w:val="none"/>
          <w:lang w:val="en-US" w:eastAsia="zh-CN"/>
        </w:rPr>
        <w:t>94</w:t>
      </w:r>
      <w:r>
        <w:rPr>
          <w:rFonts w:hint="eastAsia" w:ascii="仿宋" w:hAnsi="仿宋" w:eastAsia="仿宋" w:cs="仿宋"/>
          <w:color w:val="auto"/>
          <w:sz w:val="24"/>
          <w:szCs w:val="24"/>
          <w:highlight w:val="none"/>
        </w:rPr>
        <w:t>条规定不得为合同以外的目的泄露给第三方。</w:t>
      </w:r>
    </w:p>
    <w:p>
      <w:pPr>
        <w:pStyle w:val="22"/>
        <w:tabs>
          <w:tab w:val="left" w:pos="1680"/>
        </w:tabs>
        <w:adjustRightInd w:val="0"/>
        <w:snapToGrid w:val="0"/>
        <w:spacing w:line="36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86"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文本框 43"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6GkdcAAAAKAQAADwAAAAAAAAABACAAAAAiAAAAZHJzL2Rv&#10;d25yZXYueG1sUEsBAhQAFAAAAAgAh07iQJpJM9UCAgAA1wMAAA4AAAAAAAAAAQAgAAAAJg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color w:val="auto"/>
          <w:sz w:val="24"/>
          <w:szCs w:val="24"/>
          <w:highlight w:val="none"/>
        </w:rPr>
        <w:t xml:space="preserve">15.3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22"/>
        <w:adjustRightInd w:val="0"/>
        <w:snapToGrid w:val="0"/>
        <w:spacing w:line="360" w:lineRule="auto"/>
        <w:rPr>
          <w:rFonts w:ascii="仿宋" w:hAnsi="仿宋" w:eastAsia="仿宋" w:cs="仿宋"/>
          <w:b/>
          <w:bCs/>
          <w:color w:val="auto"/>
          <w:sz w:val="24"/>
          <w:szCs w:val="24"/>
          <w:highlight w:val="none"/>
          <w:u w:val="single"/>
        </w:rPr>
      </w:pPr>
    </w:p>
    <w:p>
      <w:pPr>
        <w:pStyle w:val="22"/>
        <w:adjustRightInd w:val="0"/>
        <w:snapToGrid w:val="0"/>
        <w:spacing w:line="360" w:lineRule="auto"/>
        <w:outlineLvl w:val="2"/>
        <w:rPr>
          <w:rFonts w:ascii="仿宋" w:hAnsi="仿宋" w:eastAsia="仿宋"/>
          <w:b/>
          <w:bCs/>
          <w:color w:val="auto"/>
          <w:sz w:val="24"/>
          <w:szCs w:val="24"/>
          <w:highlight w:val="none"/>
        </w:rPr>
      </w:pPr>
      <w:bookmarkStart w:id="170" w:name="_Toc25653621"/>
      <w:bookmarkStart w:id="171" w:name="_Toc469383995"/>
      <w:bookmarkStart w:id="172" w:name="_Toc26504"/>
      <w:bookmarkStart w:id="173" w:name="_Toc4846"/>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联合的责任</w:t>
      </w:r>
      <w:bookmarkEnd w:id="170"/>
      <w:bookmarkEnd w:id="171"/>
      <w:bookmarkEnd w:id="172"/>
      <w:bookmarkEnd w:id="173"/>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385"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914400" cy="46101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rot="0" vert="horz" wrap="square" lIns="91440" tIns="45720" rIns="91440" bIns="45720" anchor="t" anchorCtr="0" upright="1">
                        <a:noAutofit/>
                      </wps:bodyPr>
                    </wps:wsp>
                  </a:graphicData>
                </a:graphic>
              </wp:anchor>
            </w:drawing>
          </mc:Choice>
          <mc:Fallback>
            <w:pict>
              <v:shape id="文本框 44"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msTqfXAAAACgEAAA8AAAAAAAAAAQAgAAAAIgAAAGRycy9kb3du&#10;cmV2LnhtbFBLAQIUABQAAAAIAIdO4kClpkAsAAIAANcDAAAOAAAAAAAAAAEAIAAAACY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ascii="仿宋" w:hAnsi="仿宋" w:eastAsia="仿宋" w:cs="仿宋"/>
          <w:b/>
          <w:bCs/>
          <w:color w:val="auto"/>
          <w:sz w:val="24"/>
          <w:szCs w:val="24"/>
          <w:highlight w:val="none"/>
        </w:rPr>
        <w:t xml:space="preserve">16.1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84"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45"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seIG2AAAAAoBAAAPAAAAAAAAAAEAIAAAACIAAABkcnMvZG93&#10;bnJldi54bWxQSwECFAAUAAAACACHTuJAx2eNtAACAADXAwAADgAAAAAAAAABACAAAAAnAQAAZHJz&#10;L2Uyb0RvYy54bWxQSwUGAAAAAAYABgBZAQAAm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ascii="仿宋" w:hAnsi="仿宋" w:eastAsia="仿宋" w:cs="仿宋"/>
          <w:b/>
          <w:bCs/>
          <w:color w:val="auto"/>
          <w:sz w:val="24"/>
          <w:szCs w:val="24"/>
          <w:highlight w:val="none"/>
        </w:rPr>
        <w:t xml:space="preserve">16.2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240" w:lineRule="exact"/>
        <w:rPr>
          <w:rFonts w:ascii="仿宋" w:hAnsi="仿宋" w:eastAsia="仿宋"/>
          <w:b/>
          <w:bCs/>
          <w:color w:val="auto"/>
          <w:sz w:val="24"/>
          <w:szCs w:val="24"/>
          <w:highlight w:val="none"/>
          <w:u w:val="single"/>
        </w:rPr>
      </w:pPr>
    </w:p>
    <w:p>
      <w:pPr>
        <w:pStyle w:val="22"/>
        <w:tabs>
          <w:tab w:val="left" w:pos="105"/>
        </w:tabs>
        <w:adjustRightInd w:val="0"/>
        <w:snapToGrid w:val="0"/>
        <w:spacing w:before="312" w:beforeLines="100"/>
        <w:outlineLvl w:val="2"/>
        <w:rPr>
          <w:rFonts w:ascii="仿宋" w:hAnsi="仿宋" w:eastAsia="仿宋"/>
          <w:b/>
          <w:bCs/>
          <w:color w:val="auto"/>
          <w:sz w:val="24"/>
          <w:szCs w:val="24"/>
          <w:highlight w:val="none"/>
        </w:rPr>
      </w:pPr>
      <w:bookmarkStart w:id="174" w:name="_Toc12451"/>
      <w:bookmarkStart w:id="175" w:name="_Toc32518"/>
      <w:bookmarkStart w:id="176" w:name="_Toc469383996"/>
      <w:bookmarkStart w:id="177" w:name="_Toc25653622"/>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保障</w:t>
      </w:r>
      <w:bookmarkEnd w:id="174"/>
      <w:bookmarkEnd w:id="175"/>
      <w:bookmarkEnd w:id="176"/>
      <w:bookmarkEnd w:id="177"/>
    </w:p>
    <w:p>
      <w:pPr>
        <w:pStyle w:val="22"/>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383"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4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4YJDVAAAABwEAAA8AAAAAAAAAAQAgAAAAIgAAAGRycy9kb3du&#10;cmV2LnhtbFBLAQIUABQAAAAIAIdO4kAHMO5+AgIAANcDAAAOAAAAAAAAAAEAIAAAACQ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ascii="仿宋" w:hAnsi="仿宋" w:eastAsia="仿宋" w:cs="仿宋"/>
          <w:b/>
          <w:bCs/>
          <w:color w:val="auto"/>
          <w:sz w:val="24"/>
          <w:szCs w:val="24"/>
          <w:highlight w:val="none"/>
        </w:rPr>
        <w:t xml:space="preserve">17.1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22"/>
        <w:tabs>
          <w:tab w:val="left" w:pos="1202"/>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82"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47"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geQZ9gAAAAKAQAADwAAAAAAAAABACAAAAAiAAAAZHJzL2Rv&#10;d25yZXYueG1sUEsBAhQAFAAAAAgAh07iQDDipTMBAgAA1wMAAA4AAAAAAAAAAQAgAAAAJw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ascii="仿宋" w:hAnsi="仿宋" w:eastAsia="仿宋" w:cs="仿宋"/>
          <w:b/>
          <w:bCs/>
          <w:color w:val="auto"/>
          <w:sz w:val="24"/>
          <w:szCs w:val="24"/>
          <w:highlight w:val="none"/>
        </w:rPr>
        <w:t xml:space="preserve">17.2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承包人应保障发包人不承担因承包人移动或使用施工场地外的施工设备和临时设施所造成的损害而引起的赔偿。</w:t>
      </w:r>
    </w:p>
    <w:p>
      <w:pPr>
        <w:pStyle w:val="22"/>
        <w:adjustRightInd w:val="0"/>
        <w:snapToGrid w:val="0"/>
        <w:spacing w:line="360" w:lineRule="auto"/>
        <w:rPr>
          <w:rFonts w:ascii="仿宋" w:hAnsi="仿宋" w:eastAsia="仿宋" w:cs="仿宋"/>
          <w:b/>
          <w:bCs/>
          <w:color w:val="auto"/>
          <w:sz w:val="24"/>
          <w:szCs w:val="24"/>
          <w:highlight w:val="none"/>
          <w:u w:val="single"/>
        </w:rPr>
      </w:pPr>
    </w:p>
    <w:p>
      <w:pPr>
        <w:pStyle w:val="22"/>
        <w:adjustRightInd w:val="0"/>
        <w:snapToGrid w:val="0"/>
        <w:spacing w:before="312" w:beforeLines="100"/>
        <w:outlineLvl w:val="2"/>
        <w:rPr>
          <w:rFonts w:ascii="仿宋" w:hAnsi="仿宋" w:eastAsia="仿宋"/>
          <w:b/>
          <w:bCs/>
          <w:color w:val="auto"/>
          <w:sz w:val="24"/>
          <w:szCs w:val="24"/>
          <w:highlight w:val="none"/>
        </w:rPr>
      </w:pPr>
      <w:bookmarkStart w:id="178" w:name="_Toc469383997"/>
      <w:bookmarkStart w:id="179" w:name="_Toc10172"/>
      <w:bookmarkStart w:id="180" w:name="_Toc25653623"/>
      <w:bookmarkStart w:id="181" w:name="_Toc10168"/>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财产</w:t>
      </w:r>
      <w:bookmarkEnd w:id="178"/>
      <w:bookmarkEnd w:id="179"/>
      <w:bookmarkEnd w:id="180"/>
      <w:bookmarkEnd w:id="181"/>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18.1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81"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rot="0" vert="horz" wrap="square" lIns="91440" tIns="45720" rIns="91440" bIns="45720" anchor="t" anchorCtr="0" upright="1">
                        <a:noAutofit/>
                      </wps:bodyPr>
                    </wps:wsp>
                  </a:graphicData>
                </a:graphic>
              </wp:anchor>
            </w:drawing>
          </mc:Choice>
          <mc:Fallback>
            <w:pict>
              <v:shape id="文本框 48"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FLIudUAAAAIAQAADwAAAAAAAAABACAAAAAiAAAAZHJzL2Rvd25y&#10;ZXYueG1sUEsBAhQAFAAAAAgAh07iQHHK7lUBAgAA1wMAAA4AAAAAAAAAAQAgAAAAJA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 w:hAnsi="仿宋" w:eastAsia="仿宋" w:cs="仿宋"/>
          <w:color w:val="auto"/>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80"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49"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6GjUt1wAAAAoBAAAPAAAAAAAAAAEAIAAAACIAAABkcnMvZG93&#10;bnJldi54bWxQSwECFAAUAAAACACHTuJAcQeuiQECAADXAwAADgAAAAAAAAABACAAAAAmAQAAZHJz&#10;L2Uyb0RvYy54bWxQSwUGAAAAAAYABgBZAQAAm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仿宋" w:hAnsi="仿宋" w:eastAsia="仿宋" w:cs="仿宋"/>
          <w:b/>
          <w:bCs/>
          <w:color w:val="auto"/>
          <w:sz w:val="24"/>
          <w:szCs w:val="24"/>
          <w:highlight w:val="none"/>
        </w:rPr>
        <w:t xml:space="preserve">18.2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如果发包人依据第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款规定的情形解除合同，则合同工程和临时工程，应认为是发包人的财产。</w:t>
      </w:r>
    </w:p>
    <w:p>
      <w:pPr>
        <w:spacing w:line="48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79" name="文本框 50"/>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50"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W7AVzYAAAACgEAAA8AAAAAAAAAAQAgAAAAIgAAAGRycy9kb3du&#10;cmV2LnhtbFBLAQIUABQAAAAIAIdO4kCG8F6d/wEAANcDAAAOAAAAAAAAAAEAIAAAACc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仿宋" w:hAnsi="仿宋" w:eastAsia="仿宋" w:cs="仿宋"/>
          <w:b/>
          <w:bCs/>
          <w:color w:val="auto"/>
          <w:sz w:val="24"/>
          <w:szCs w:val="24"/>
          <w:highlight w:val="none"/>
        </w:rPr>
        <w:t xml:space="preserve">18.3  </w:t>
      </w:r>
    </w:p>
    <w:p>
      <w:pPr>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如果承包人依据第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60" w:lineRule="auto"/>
        <w:ind w:left="1619" w:leftChars="771"/>
        <w:rPr>
          <w:rFonts w:ascii="仿宋" w:hAnsi="仿宋" w:eastAsia="仿宋"/>
          <w:color w:val="auto"/>
          <w:sz w:val="24"/>
          <w:szCs w:val="24"/>
          <w:highlight w:val="none"/>
        </w:rPr>
      </w:pPr>
    </w:p>
    <w:p>
      <w:pPr>
        <w:spacing w:line="360" w:lineRule="auto"/>
        <w:ind w:firstLine="2879" w:firstLineChars="1195"/>
        <w:outlineLvl w:val="1"/>
        <w:rPr>
          <w:rFonts w:ascii="仿宋" w:hAnsi="仿宋" w:eastAsia="仿宋"/>
          <w:b/>
          <w:bCs/>
          <w:color w:val="auto"/>
          <w:sz w:val="24"/>
          <w:szCs w:val="24"/>
          <w:highlight w:val="none"/>
        </w:rPr>
      </w:pPr>
      <w:bookmarkStart w:id="182" w:name="_Toc12216"/>
      <w:bookmarkStart w:id="183" w:name="_Toc25653624"/>
      <w:bookmarkStart w:id="184" w:name="_Toc469383998"/>
      <w:bookmarkStart w:id="185" w:name="_Toc24716"/>
      <w:r>
        <w:rPr>
          <w:rFonts w:hint="eastAsia" w:ascii="仿宋" w:hAnsi="仿宋" w:eastAsia="仿宋" w:cs="仿宋"/>
          <w:b/>
          <w:bCs/>
          <w:color w:val="auto"/>
          <w:sz w:val="24"/>
          <w:szCs w:val="24"/>
          <w:highlight w:val="none"/>
        </w:rPr>
        <w:t>二、合同主体</w:t>
      </w:r>
      <w:bookmarkEnd w:id="182"/>
      <w:bookmarkEnd w:id="183"/>
      <w:bookmarkEnd w:id="184"/>
      <w:bookmarkEnd w:id="185"/>
    </w:p>
    <w:p>
      <w:pPr>
        <w:pStyle w:val="9"/>
        <w:tabs>
          <w:tab w:val="left" w:pos="420"/>
        </w:tabs>
        <w:ind w:left="720"/>
        <w:rPr>
          <w:rFonts w:ascii="仿宋" w:hAnsi="仿宋" w:eastAsia="仿宋"/>
          <w:color w:val="auto"/>
          <w:highlight w:val="none"/>
        </w:rPr>
      </w:pPr>
      <w:bookmarkStart w:id="186" w:name="_Toc25653625"/>
      <w:bookmarkStart w:id="187" w:name="_Toc25175"/>
      <w:bookmarkStart w:id="188" w:name="_Toc469383999"/>
      <w:bookmarkStart w:id="189" w:name="_Toc28613"/>
      <w:r>
        <w:rPr>
          <w:rFonts w:ascii="仿宋" w:hAnsi="仿宋" w:eastAsia="仿宋" w:cs="仿宋"/>
          <w:color w:val="auto"/>
          <w:highlight w:val="none"/>
        </w:rPr>
        <w:t xml:space="preserve">19  </w:t>
      </w:r>
      <w:r>
        <w:rPr>
          <w:rFonts w:hint="eastAsia" w:ascii="仿宋" w:hAnsi="仿宋" w:eastAsia="仿宋" w:cs="仿宋"/>
          <w:color w:val="auto"/>
          <w:highlight w:val="none"/>
        </w:rPr>
        <w:t>发包人</w:t>
      </w:r>
      <w:bookmarkEnd w:id="186"/>
      <w:bookmarkEnd w:id="187"/>
      <w:bookmarkEnd w:id="188"/>
      <w:bookmarkEnd w:id="189"/>
    </w:p>
    <w:p>
      <w:pPr>
        <w:tabs>
          <w:tab w:val="left" w:pos="1620"/>
        </w:tabs>
        <w:ind w:left="-2" w:leftChars="-1" w:firstLine="1"/>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19.1                                                        </w:t>
      </w:r>
    </w:p>
    <w:p>
      <w:pPr>
        <w:tabs>
          <w:tab w:val="left" w:pos="162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8" name="文本框 51"/>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51"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Fopk1QAAAAcBAAAPAAAAAAAAAAEAIAAAACIAAABkcnMvZG93bnJl&#10;di54bWxQSwECFAAUAAAACACHTuJAOwDodQACAADXAwAADgAAAAAAAAABACAAAAAkAQAAZHJzL2Uy&#10;b0RvYy54bWxQSwUGAAAAAAYABgBZAQAAl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360" w:lineRule="auto"/>
        <w:ind w:left="-2" w:leftChars="-1" w:firstLine="1"/>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19.2 </w:t>
      </w:r>
    </w:p>
    <w:p>
      <w:pPr>
        <w:spacing w:line="360" w:lineRule="auto"/>
        <w:ind w:left="162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7"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52"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RaKZNUAAAAHAQAADwAAAAAAAAABACAAAAAiAAAAZHJzL2Rvd25y&#10;ZXYueG1sUEsBAhQAFAAAAAgAh07iQHh71VYBAgAA1wMAAA4AAAAAAAAAAQAgAAAAJA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sz w:val="24"/>
          <w:szCs w:val="24"/>
          <w:highlight w:val="none"/>
        </w:rPr>
        <w:t>发包人应按照合同约定完成下列工作，包括但不限于：</w:t>
      </w:r>
    </w:p>
    <w:p>
      <w:pPr>
        <w:numPr>
          <w:ilvl w:val="0"/>
          <w:numId w:val="9"/>
        </w:numPr>
        <w:tabs>
          <w:tab w:val="left" w:pos="1080"/>
          <w:tab w:val="left" w:pos="1470"/>
          <w:tab w:val="left" w:pos="1980"/>
        </w:tabs>
        <w:spacing w:line="360" w:lineRule="auto"/>
        <w:ind w:left="1616" w:leftChars="749" w:hanging="43" w:hangingChars="18"/>
        <w:rPr>
          <w:rFonts w:ascii="仿宋" w:hAnsi="仿宋" w:eastAsia="仿宋"/>
          <w:color w:val="auto"/>
          <w:sz w:val="24"/>
          <w:szCs w:val="24"/>
          <w:highlight w:val="none"/>
        </w:rPr>
      </w:pPr>
      <w:r>
        <w:rPr>
          <w:rFonts w:hint="eastAsia" w:ascii="仿宋" w:hAnsi="仿宋" w:eastAsia="仿宋" w:cs="仿宋"/>
          <w:color w:val="auto"/>
          <w:sz w:val="24"/>
          <w:szCs w:val="24"/>
          <w:highlight w:val="none"/>
        </w:rPr>
        <w:t>办理土地征用、拆迁、平整施工场地等工作，使施工场地具备施工条件，并在开工后继续负责解决上述工作遗留的问题；</w:t>
      </w:r>
    </w:p>
    <w:p>
      <w:pPr>
        <w:numPr>
          <w:ilvl w:val="0"/>
          <w:numId w:val="9"/>
        </w:numPr>
        <w:tabs>
          <w:tab w:val="left" w:pos="1080"/>
          <w:tab w:val="left" w:pos="1470"/>
          <w:tab w:val="left" w:pos="1980"/>
        </w:tabs>
        <w:spacing w:line="360" w:lineRule="auto"/>
        <w:ind w:left="1635" w:leftChars="750" w:hanging="60" w:hanging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将施工所需水、电、通讯线路从施工场地外部接驳至专用条款约定的地点，保证施工期间的需要；</w:t>
      </w:r>
    </w:p>
    <w:p>
      <w:pPr>
        <w:numPr>
          <w:ilvl w:val="0"/>
          <w:numId w:val="9"/>
        </w:numPr>
        <w:tabs>
          <w:tab w:val="left" w:pos="1080"/>
          <w:tab w:val="left" w:pos="1470"/>
          <w:tab w:val="left" w:pos="1980"/>
        </w:tabs>
        <w:spacing w:line="360" w:lineRule="auto"/>
        <w:ind w:left="1635" w:leftChars="750" w:hanging="60" w:hanging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开通施工场地与城乡公共道路间的通道，满足第</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条交通运输的需要；</w:t>
      </w:r>
    </w:p>
    <w:p>
      <w:pPr>
        <w:numPr>
          <w:ilvl w:val="0"/>
          <w:numId w:val="9"/>
        </w:numPr>
        <w:tabs>
          <w:tab w:val="left" w:pos="1080"/>
          <w:tab w:val="left" w:pos="1470"/>
          <w:tab w:val="left" w:pos="1980"/>
        </w:tabs>
        <w:spacing w:line="360" w:lineRule="auto"/>
        <w:ind w:left="1616" w:leftChars="749" w:hanging="43" w:hangingChars="18"/>
        <w:rPr>
          <w:rFonts w:ascii="仿宋" w:hAnsi="仿宋" w:eastAsia="仿宋"/>
          <w:color w:val="auto"/>
          <w:sz w:val="24"/>
          <w:szCs w:val="24"/>
          <w:highlight w:val="none"/>
        </w:rPr>
      </w:pPr>
      <w:r>
        <w:rPr>
          <w:rFonts w:hint="eastAsia" w:ascii="仿宋" w:hAnsi="仿宋" w:eastAsia="仿宋" w:cs="仿宋"/>
          <w:color w:val="auto"/>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0"/>
          <w:numId w:val="9"/>
        </w:numPr>
        <w:tabs>
          <w:tab w:val="left" w:pos="1080"/>
          <w:tab w:val="left" w:pos="1470"/>
          <w:tab w:val="left" w:pos="1980"/>
        </w:tabs>
        <w:spacing w:line="360" w:lineRule="auto"/>
        <w:ind w:left="1616" w:leftChars="748" w:hanging="45" w:hangingChars="19"/>
        <w:rPr>
          <w:rFonts w:ascii="仿宋" w:hAnsi="仿宋" w:eastAsia="仿宋"/>
          <w:color w:val="auto"/>
          <w:sz w:val="24"/>
          <w:szCs w:val="24"/>
          <w:highlight w:val="none"/>
        </w:rPr>
      </w:pPr>
      <w:r>
        <w:rPr>
          <w:rFonts w:hint="eastAsia" w:ascii="仿宋" w:hAnsi="仿宋" w:eastAsia="仿宋" w:cs="仿宋"/>
          <w:color w:val="auto"/>
          <w:sz w:val="24"/>
          <w:szCs w:val="24"/>
          <w:highlight w:val="none"/>
        </w:rPr>
        <w:t>办理施工许可及其他所需证件、批准文件和办理临时用地、停水、停电、中断道路交通、爆破作业等的申请批准手续（承包人自身施工资质的证件除外）；</w:t>
      </w:r>
    </w:p>
    <w:p>
      <w:pPr>
        <w:numPr>
          <w:ilvl w:val="0"/>
          <w:numId w:val="9"/>
        </w:numPr>
        <w:tabs>
          <w:tab w:val="left" w:pos="1080"/>
          <w:tab w:val="left" w:pos="1470"/>
          <w:tab w:val="left" w:pos="1980"/>
        </w:tabs>
        <w:spacing w:line="360" w:lineRule="auto"/>
        <w:ind w:left="1635" w:leftChars="750" w:hanging="60" w:hanging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确定水准点与坐标控制点，组织现场交验并以书面形式移交给承包人；</w:t>
      </w:r>
    </w:p>
    <w:p>
      <w:pPr>
        <w:tabs>
          <w:tab w:val="left" w:pos="1980"/>
        </w:tabs>
        <w:spacing w:line="360" w:lineRule="auto"/>
        <w:ind w:left="1676" w:leftChars="798"/>
        <w:rPr>
          <w:rFonts w:ascii="仿宋" w:hAnsi="仿宋" w:eastAsia="仿宋"/>
          <w:color w:val="auto"/>
          <w:sz w:val="24"/>
          <w:szCs w:val="24"/>
          <w:highlight w:val="none"/>
        </w:rPr>
      </w:pPr>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按照专用条款约定的时间向承包人提供一式两份约定的标准与规范；</w:t>
      </w:r>
    </w:p>
    <w:p>
      <w:pPr>
        <w:tabs>
          <w:tab w:val="left" w:pos="1080"/>
          <w:tab w:val="left" w:pos="1980"/>
        </w:tabs>
        <w:spacing w:line="360" w:lineRule="auto"/>
        <w:ind w:left="1575"/>
        <w:rPr>
          <w:rFonts w:ascii="仿宋" w:hAnsi="仿宋" w:eastAsia="仿宋"/>
          <w:color w:val="auto"/>
          <w:sz w:val="24"/>
          <w:szCs w:val="24"/>
          <w:highlight w:val="none"/>
        </w:rPr>
      </w:pP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组织承包人和设计人进行图纸会审和设计交底；</w:t>
      </w:r>
    </w:p>
    <w:p>
      <w:pPr>
        <w:tabs>
          <w:tab w:val="left" w:pos="1980"/>
        </w:tabs>
        <w:spacing w:line="360" w:lineRule="auto"/>
        <w:ind w:left="1575"/>
        <w:rPr>
          <w:rFonts w:ascii="仿宋" w:hAnsi="仿宋" w:eastAsia="仿宋"/>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协调处理施工场地周围地形关系问题和做好邻近建筑物、构筑物（包括文物保护建筑）、古树名木等的保护工作；</w:t>
      </w:r>
    </w:p>
    <w:p>
      <w:pPr>
        <w:tabs>
          <w:tab w:val="left" w:pos="1980"/>
        </w:tabs>
        <w:spacing w:line="360" w:lineRule="auto"/>
        <w:ind w:left="1736" w:leftChars="798" w:hanging="60" w:hangingChars="25"/>
        <w:rPr>
          <w:rFonts w:ascii="仿宋" w:hAnsi="仿宋" w:eastAsia="仿宋"/>
          <w:color w:val="auto"/>
          <w:sz w:val="24"/>
          <w:szCs w:val="24"/>
          <w:highlight w:val="none"/>
        </w:rPr>
      </w:pP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及时接收已完工程，并按照合同约定及时支付工程款及其他各种款项。</w:t>
      </w:r>
    </w:p>
    <w:p>
      <w:pPr>
        <w:pStyle w:val="24"/>
        <w:tabs>
          <w:tab w:val="left" w:pos="1980"/>
        </w:tabs>
        <w:ind w:left="1619" w:leftChars="771" w:firstLine="1"/>
        <w:rPr>
          <w:rFonts w:ascii="仿宋" w:hAnsi="仿宋" w:eastAsia="仿宋"/>
          <w:color w:val="auto"/>
          <w:highlight w:val="none"/>
        </w:rPr>
      </w:pPr>
      <w:r>
        <w:rPr>
          <w:rFonts w:hint="eastAsia" w:ascii="仿宋" w:hAnsi="仿宋" w:eastAsia="仿宋" w:cs="仿宋"/>
          <w:color w:val="auto"/>
          <w:highlight w:val="none"/>
        </w:rPr>
        <w:t>发包人可将其中部分工作委托给承包人办理，具体由合同双方当事人在专用条款中约定。除合同价款已包括外，由发包人承担所需费用，并向承包人支付合理利润。</w:t>
      </w:r>
    </w:p>
    <w:p>
      <w:pPr>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19.3 </w:t>
      </w:r>
    </w:p>
    <w:p>
      <w:pPr>
        <w:spacing w:line="360" w:lineRule="auto"/>
        <w:ind w:left="1619" w:leftChars="771" w:firstLine="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76" name="文本框 5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53"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LuITtQAAAAHAQAADwAAAAAAAAABACAAAAAiAAAAZHJzL2Rvd25yZXYu&#10;eG1sUEsBAhQAFAAAAAgAh07iQGdqA4f/AQAA1wMAAA4AAAAAAAAAAQAgAAAAIwEAAGRycy9lMm9E&#10;b2MueG1sUEsFBgAAAAAGAAYAWQEAAJQ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sz w:val="24"/>
          <w:szCs w:val="24"/>
          <w:highlight w:val="none"/>
        </w:rPr>
        <w:t>发包人应按照专用条款约定的时间提供施工场地，并在确保承包人按照计划进度顺利开工的时间内给予承包人进入和使用施工场地的权利。</w:t>
      </w:r>
    </w:p>
    <w:p>
      <w:pPr>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发包人保留其工作人员、雇员和相关执法人员进入和使用施工场地的权利。</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19.4  </w:t>
      </w:r>
    </w:p>
    <w:p>
      <w:pPr>
        <w:spacing w:line="360" w:lineRule="auto"/>
        <w:ind w:left="1619"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375"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914400" cy="71564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54"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UMTuTWAAAACQEAAA8AAAAAAAAAAQAgAAAAIgAAAGRycy9kb3du&#10;cmV2LnhtbFBLAQIUABQAAAAIAIdO4kBhxYmsAQIAANcDAAAOAAAAAAAAAAEAIAAAACU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color w:val="auto"/>
          <w:sz w:val="24"/>
          <w:szCs w:val="24"/>
          <w:highlight w:val="none"/>
        </w:rPr>
        <w:t>发包人应按照合同约定的期限和方式向承包人支付工程款及其他应支付的款项。</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19.5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374" name="文本框 55"/>
                <wp:cNvGraphicFramePr/>
                <a:graphic xmlns:a="http://schemas.openxmlformats.org/drawingml/2006/main">
                  <a:graphicData uri="http://schemas.microsoft.com/office/word/2010/wordprocessingShape">
                    <wps:wsp>
                      <wps:cNvSpPr txBox="1">
                        <a:spLocks noChangeArrowheads="1"/>
                      </wps:cNvSpPr>
                      <wps:spPr bwMode="auto">
                        <a:xfrm>
                          <a:off x="0" y="0"/>
                          <a:ext cx="914400" cy="85217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55"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nLHeXWAAAACQEAAA8AAAAAAAAAAQAgAAAAIgAAAGRycy9kb3du&#10;cmV2LnhtbFBLAQIUABQAAAAIAIdO4kB8GQLUAQIAANcDAAAOAAAAAAAAAAEAIAAAACU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条规定组织承包人、设计人、监理人和工程造价咨询人（如有）等进行竣工验收。</w:t>
      </w:r>
    </w:p>
    <w:p>
      <w:pPr>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373"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914400" cy="116268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文本框 5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zItJdcAAAAKAQAADwAAAAAAAAABACAAAAAiAAAAZHJzL2Rv&#10;d25yZXYueG1sUEsBAhQAFAAAAAgAh07iQBtjkXACAgAA2AMAAA4AAAAAAAAAAQAgAAAAJg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仿宋" w:hAnsi="仿宋" w:eastAsia="仿宋" w:cs="仿宋"/>
          <w:b/>
          <w:bCs/>
          <w:color w:val="auto"/>
          <w:sz w:val="24"/>
          <w:szCs w:val="24"/>
          <w:highlight w:val="none"/>
        </w:rPr>
        <w:t xml:space="preserve">19.6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发包人供应材料和工程设备的，发包人应按照第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条规定向承包人提供材料和工程设备。</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19.7  </w:t>
      </w:r>
    </w:p>
    <w:p>
      <w:pPr>
        <w:spacing w:line="360" w:lineRule="auto"/>
        <w:ind w:left="1619" w:leftChars="771" w:firstLine="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72"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57"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cPLa1AAAAAcBAAAPAAAAAAAAAAEAIAAAACIAAABkcnMvZG93bnJl&#10;di54bWxQSwECFAAUAAAACACHTuJA4aiI9gECAADXAwAADgAAAAAAAAABACAAAAAjAQAAZHJzL2Uy&#10;b0RvYy54bWxQSwUGAAAAAAYABgBZAQAAl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sz w:val="24"/>
          <w:szCs w:val="24"/>
          <w:highlight w:val="none"/>
        </w:rPr>
        <w:t>发包人未能正确完成本合同约定的全部义务，导致费用的增加和（或）延误的工期，由发包人承担；给承包人造成损失的，发包人应予赔偿。</w:t>
      </w:r>
    </w:p>
    <w:p>
      <w:pPr>
        <w:rPr>
          <w:rFonts w:ascii="仿宋" w:hAnsi="仿宋" w:eastAsia="仿宋" w:cs="仿宋"/>
          <w:b/>
          <w:bCs/>
          <w:color w:val="auto"/>
          <w:sz w:val="24"/>
          <w:szCs w:val="24"/>
          <w:highlight w:val="none"/>
          <w:u w:val="single"/>
        </w:rPr>
      </w:pPr>
    </w:p>
    <w:p>
      <w:pPr>
        <w:pStyle w:val="9"/>
        <w:tabs>
          <w:tab w:val="left" w:pos="420"/>
        </w:tabs>
        <w:ind w:left="720"/>
        <w:rPr>
          <w:rFonts w:ascii="仿宋" w:hAnsi="仿宋" w:eastAsia="仿宋"/>
          <w:color w:val="auto"/>
          <w:highlight w:val="none"/>
        </w:rPr>
      </w:pPr>
      <w:bookmarkStart w:id="190" w:name="_Toc25653626"/>
      <w:bookmarkStart w:id="191" w:name="_Toc469384000"/>
      <w:bookmarkStart w:id="192" w:name="_Toc14325"/>
      <w:bookmarkStart w:id="193" w:name="_Toc6447"/>
      <w:r>
        <w:rPr>
          <w:rFonts w:ascii="仿宋" w:hAnsi="仿宋" w:eastAsia="仿宋" w:cs="仿宋"/>
          <w:color w:val="auto"/>
          <w:highlight w:val="none"/>
        </w:rPr>
        <w:t xml:space="preserve">20  </w:t>
      </w:r>
      <w:r>
        <w:rPr>
          <w:rFonts w:hint="eastAsia" w:ascii="仿宋" w:hAnsi="仿宋" w:eastAsia="仿宋" w:cs="仿宋"/>
          <w:color w:val="auto"/>
          <w:highlight w:val="none"/>
        </w:rPr>
        <w:t>承包人</w:t>
      </w:r>
      <w:bookmarkEnd w:id="190"/>
      <w:bookmarkEnd w:id="191"/>
      <w:bookmarkEnd w:id="192"/>
      <w:bookmarkEnd w:id="193"/>
    </w:p>
    <w:p>
      <w:pPr>
        <w:tabs>
          <w:tab w:val="left" w:pos="1620"/>
        </w:tabs>
        <w:spacing w:line="360" w:lineRule="auto"/>
        <w:ind w:left="-2" w:leftChars="-1" w:firstLine="1"/>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20.1                                                        </w:t>
      </w:r>
    </w:p>
    <w:p>
      <w:pPr>
        <w:tabs>
          <w:tab w:val="left" w:pos="1620"/>
        </w:tabs>
        <w:spacing w:line="360" w:lineRule="auto"/>
        <w:ind w:left="1260" w:leftChars="60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1"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58"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RaKZNUAAAAHAQAADwAAAAAAAAABACAAAAAiAAAAZHJzL2Rvd25y&#10;ZXYueG1sUEsBAhQAFAAAAAgAh07iQBLMqkkBAgAA1wMAAA4AAAAAAAAAAQAgAAAAJA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承包人在履行合同期间应遵守法律，并保证发包人免于承担因承包人违反法律而引起的任何责任。遵守国家、省、市有关社会信用体系建设工作的法律、行政法规、</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部门规章，严格执行信用承诺制度，违背信用承诺约定时，承担违约责任，并依法承担相应法律责任。</w:t>
      </w:r>
    </w:p>
    <w:p>
      <w:pPr>
        <w:pStyle w:val="274"/>
        <w:spacing w:before="0" w:beforeAutospacing="0" w:after="0" w:afterAutospacing="0" w:line="360" w:lineRule="auto"/>
        <w:ind w:left="1500" w:leftChars="600" w:hanging="240" w:hangingChars="100"/>
        <w:rPr>
          <w:rFonts w:ascii="仿宋" w:hAnsi="仿宋" w:eastAsia="仿宋" w:cs="Times New Roman"/>
          <w:color w:val="auto"/>
          <w:kern w:val="2"/>
          <w:highlight w:val="none"/>
        </w:rPr>
      </w:pPr>
      <w:r>
        <w:rPr>
          <w:rFonts w:hint="eastAsia" w:ascii="仿宋" w:hAnsi="仿宋" w:eastAsia="仿宋" w:cs="仿宋"/>
          <w:color w:val="auto"/>
          <w:kern w:val="2"/>
          <w:highlight w:val="none"/>
        </w:rPr>
        <w:t>承包人在本项目发包人的工程项目中存在下列行为的，将被拒绝参与发包人后续工程投标。拒绝投标时限由发包人（招标人）视严重程度确定，并在专用条款中约定。</w:t>
      </w:r>
    </w:p>
    <w:p>
      <w:pPr>
        <w:pStyle w:val="274"/>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1.</w:t>
      </w:r>
      <w:r>
        <w:rPr>
          <w:rFonts w:hint="eastAsia" w:ascii="仿宋" w:hAnsi="仿宋" w:eastAsia="仿宋" w:cs="仿宋"/>
          <w:color w:val="auto"/>
          <w:kern w:val="2"/>
          <w:highlight w:val="none"/>
        </w:rPr>
        <w:t>将中标工程转包或者违法分包的；</w:t>
      </w:r>
    </w:p>
    <w:p>
      <w:pPr>
        <w:pStyle w:val="274"/>
        <w:spacing w:before="0" w:beforeAutospacing="0" w:after="0" w:afterAutospacing="0" w:line="360" w:lineRule="auto"/>
        <w:ind w:left="1436" w:leftChars="684"/>
        <w:rPr>
          <w:rFonts w:ascii="仿宋" w:hAnsi="仿宋" w:eastAsia="仿宋" w:cs="Times New Roman"/>
          <w:color w:val="auto"/>
          <w:kern w:val="2"/>
          <w:highlight w:val="none"/>
        </w:rPr>
      </w:pPr>
      <w:r>
        <w:rPr>
          <w:rFonts w:ascii="仿宋" w:hAnsi="仿宋" w:eastAsia="仿宋" w:cs="仿宋"/>
          <w:color w:val="auto"/>
          <w:kern w:val="2"/>
          <w:highlight w:val="none"/>
        </w:rPr>
        <w:t>2.</w:t>
      </w:r>
      <w:r>
        <w:rPr>
          <w:rFonts w:hint="eastAsia" w:ascii="仿宋" w:hAnsi="仿宋" w:eastAsia="仿宋" w:cs="仿宋"/>
          <w:color w:val="auto"/>
          <w:kern w:val="2"/>
          <w:highlight w:val="none"/>
        </w:rPr>
        <w:t>在中标工程中不执行质量、安全生产相关规定的，造成质量或安全事故的；</w:t>
      </w:r>
    </w:p>
    <w:p>
      <w:pPr>
        <w:pStyle w:val="274"/>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3.</w:t>
      </w:r>
      <w:r>
        <w:rPr>
          <w:rFonts w:hint="eastAsia" w:ascii="仿宋" w:hAnsi="仿宋" w:eastAsia="仿宋" w:cs="仿宋"/>
          <w:color w:val="auto"/>
          <w:kern w:val="2"/>
          <w:highlight w:val="none"/>
        </w:rPr>
        <w:t>存在围标或串标情形的；</w:t>
      </w:r>
    </w:p>
    <w:p>
      <w:pPr>
        <w:pStyle w:val="274"/>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4.</w:t>
      </w:r>
      <w:r>
        <w:rPr>
          <w:rFonts w:hint="eastAsia" w:ascii="仿宋" w:hAnsi="仿宋" w:eastAsia="仿宋" w:cs="仿宋"/>
          <w:color w:val="auto"/>
          <w:kern w:val="2"/>
          <w:highlight w:val="none"/>
        </w:rPr>
        <w:t>存在弄虚作假骗取中标情形的；</w:t>
      </w:r>
    </w:p>
    <w:p>
      <w:pPr>
        <w:pStyle w:val="274"/>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5.</w:t>
      </w:r>
      <w:r>
        <w:rPr>
          <w:rFonts w:hint="eastAsia" w:ascii="仿宋" w:hAnsi="仿宋" w:eastAsia="仿宋" w:cs="仿宋"/>
          <w:color w:val="auto"/>
          <w:kern w:val="2"/>
          <w:highlight w:val="none"/>
        </w:rPr>
        <w:t>存在因过错行为被生效法律文书认定承担违约或侵权责任的。</w:t>
      </w:r>
    </w:p>
    <w:p>
      <w:pPr>
        <w:tabs>
          <w:tab w:val="left" w:pos="1620"/>
        </w:tabs>
        <w:spacing w:line="360" w:lineRule="auto"/>
        <w:ind w:left="1619" w:leftChars="771"/>
        <w:rPr>
          <w:rFonts w:ascii="仿宋" w:hAnsi="仿宋" w:eastAsia="仿宋"/>
          <w:color w:val="auto"/>
          <w:sz w:val="24"/>
          <w:szCs w:val="24"/>
          <w:highlight w:val="none"/>
        </w:rPr>
      </w:pPr>
    </w:p>
    <w:p>
      <w:pPr>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20.2</w:t>
      </w:r>
    </w:p>
    <w:p>
      <w:pPr>
        <w:tabs>
          <w:tab w:val="left" w:pos="162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370" name="文本框 59"/>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59"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p+2j1AAAAAcBAAAPAAAAAAAAAAEAIAAAACIAAABkcnMvZG93bnJl&#10;di54bWxQSwECFAAUAAAACACHTuJAABWK/gECAADXAwAADgAAAAAAAAABACAAAAAjAQAAZHJzL2Uy&#10;b0RvYy54bWxQSwUGAAAAAAYABgBZAQAAl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sz w:val="24"/>
          <w:szCs w:val="24"/>
          <w:highlight w:val="none"/>
        </w:rPr>
        <w:t>承包人应按照合同约定完成下列工作，包括但不限于：</w:t>
      </w:r>
    </w:p>
    <w:p>
      <w:pPr>
        <w:numPr>
          <w:ilvl w:val="0"/>
          <w:numId w:val="10"/>
        </w:numPr>
        <w:tabs>
          <w:tab w:val="left" w:pos="198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按照合同约定和监理工程师的指令实施、完成并保修合同工程；</w:t>
      </w:r>
    </w:p>
    <w:p>
      <w:pPr>
        <w:numPr>
          <w:ilvl w:val="0"/>
          <w:numId w:val="10"/>
        </w:numPr>
        <w:tabs>
          <w:tab w:val="left" w:pos="198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按照合同约定和监理工程师的要求提交工程进度报告和进度计划；</w:t>
      </w:r>
    </w:p>
    <w:p>
      <w:pPr>
        <w:numPr>
          <w:ilvl w:val="0"/>
          <w:numId w:val="10"/>
        </w:numPr>
        <w:tabs>
          <w:tab w:val="left" w:pos="198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按照合同约定和造价工程师的要求提交支付申请和工程款报告，包括绿色施工安全防护费、进度款、结算款和调整合同价款等；</w:t>
      </w:r>
    </w:p>
    <w:p>
      <w:pPr>
        <w:numPr>
          <w:ilvl w:val="0"/>
          <w:numId w:val="10"/>
        </w:numPr>
        <w:tabs>
          <w:tab w:val="left" w:pos="198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负责施工场地安全保卫工作，防止因工程施工造成的人身伤害和财产损失，提供和维修非夜间施工使用的照明、围栏设施等安全标志；</w:t>
      </w:r>
    </w:p>
    <w:p>
      <w:pPr>
        <w:numPr>
          <w:ilvl w:val="0"/>
          <w:numId w:val="10"/>
        </w:numPr>
        <w:tabs>
          <w:tab w:val="left" w:pos="198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10"/>
        </w:numPr>
        <w:tabs>
          <w:tab w:val="left" w:pos="1980"/>
        </w:tabs>
        <w:spacing w:line="360" w:lineRule="auto"/>
        <w:ind w:left="1618" w:leftChars="770"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遵守政府部门有关施工场地交通、环境保护、施工噪声、绿色施工安全防护等的管理规定，办理有关手续，并以书面形式通知发包人，费用按政府有关部门相关文件规定由发（承）包人各自承担；</w:t>
      </w:r>
    </w:p>
    <w:p>
      <w:pPr>
        <w:numPr>
          <w:ilvl w:val="0"/>
          <w:numId w:val="10"/>
        </w:numPr>
        <w:tabs>
          <w:tab w:val="left" w:pos="1980"/>
          <w:tab w:val="left" w:pos="2520"/>
        </w:tabs>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10"/>
        </w:numPr>
        <w:tabs>
          <w:tab w:val="left" w:pos="1980"/>
          <w:tab w:val="left" w:pos="252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做好施工场地地下管线和邻近建筑物、构筑物（包括文物保护建筑）、古树名木的保护工作；</w:t>
      </w:r>
    </w:p>
    <w:p>
      <w:pPr>
        <w:numPr>
          <w:ilvl w:val="0"/>
          <w:numId w:val="10"/>
        </w:numPr>
        <w:tabs>
          <w:tab w:val="left" w:pos="1980"/>
          <w:tab w:val="left" w:pos="2520"/>
        </w:tabs>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遵守政府部门有关环境卫生的管理规定，保证施工场地的清洁和做好交工前施工现场的清理工作，并承担因自身责任造成的损失和罚款；</w:t>
      </w:r>
    </w:p>
    <w:p>
      <w:pPr>
        <w:numPr>
          <w:ilvl w:val="0"/>
          <w:numId w:val="10"/>
        </w:numPr>
        <w:tabs>
          <w:tab w:val="left" w:pos="1440"/>
          <w:tab w:val="left" w:pos="198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工程完工后，应按照合同约定提交竣工验收申请报告和竣工结算文件。</w:t>
      </w:r>
    </w:p>
    <w:p>
      <w:pPr>
        <w:tabs>
          <w:tab w:val="left" w:pos="497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20.3   </w:t>
      </w:r>
    </w:p>
    <w:p>
      <w:pPr>
        <w:tabs>
          <w:tab w:val="left" w:pos="497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69"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rot="0" vert="horz" wrap="square" lIns="91440" tIns="45720" rIns="91440" bIns="45720" anchor="t" anchorCtr="0" upright="1">
                        <a:noAutofit/>
                      </wps:bodyPr>
                    </wps:wsp>
                  </a:graphicData>
                </a:graphic>
              </wp:anchor>
            </w:drawing>
          </mc:Choice>
          <mc:Fallback>
            <w:pict>
              <v:shape id="文本框 60"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sn6TLVAAAABwEAAA8AAAAAAAAAAQAgAAAAIgAAAGRycy9kb3ducmV2&#10;LnhtbFBLAQIUABQAAAAIAIdO4kA0KGxS/wEAANcDAAAOAAAAAAAAAAEAIAAAACQBAABkcnMvZTJv&#10;RG9jLnhtbFBLBQYAAAAABgAGAFkBAACV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 w:hAnsi="仿宋" w:eastAsia="仿宋" w:cs="仿宋"/>
          <w:color w:val="auto"/>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20.4   </w:t>
      </w:r>
    </w:p>
    <w:p>
      <w:pPr>
        <w:tabs>
          <w:tab w:val="left" w:pos="497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68"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rot="0" vert="horz" wrap="square" lIns="91440" tIns="45720" rIns="91440" bIns="45720" anchor="t" anchorCtr="0" upright="1">
                        <a:noAutofit/>
                      </wps:bodyPr>
                    </wps:wsp>
                  </a:graphicData>
                </a:graphic>
              </wp:anchor>
            </w:drawing>
          </mc:Choice>
          <mc:Fallback>
            <w:pict>
              <v:shape id="文本框 61"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v4EJ1gAAAAkBAAAPAAAAAAAAAAEAIAAAACIAAABkcnMvZG93&#10;bnJldi54bWxQSwECFAAUAAAACACHTuJAQAUQdAICAADYAwAADgAAAAAAAAABACAAAAAlAQAAZHJz&#10;L2Uyb0RvYy54bWxQSwUGAAAAAAYABgBZAQAAm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 w:hAnsi="仿宋" w:eastAsia="仿宋" w:cs="仿宋"/>
          <w:color w:val="auto"/>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20.5 </w:t>
      </w:r>
    </w:p>
    <w:p>
      <w:pPr>
        <w:pStyle w:val="32"/>
        <w:tabs>
          <w:tab w:val="left" w:pos="4970"/>
        </w:tabs>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67"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62"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Qt8D1AAAAAkBAAAPAAAAAAAAAAEAIAAAACIAAABkcnMvZG93bnJl&#10;di54bWxQSwECFAAUAAAACACHTuJAviiSPAECAADX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仿宋" w:hAnsi="仿宋" w:eastAsia="仿宋" w:cs="仿宋"/>
          <w:color w:val="auto"/>
          <w:highlight w:val="none"/>
        </w:rPr>
        <w:t>承包人应按照合同约定或监理工程师的指令，配合和协助下述人员在施工场地及其附近实施与合同工程有关的各项工作：</w:t>
      </w:r>
    </w:p>
    <w:p>
      <w:pPr>
        <w:tabs>
          <w:tab w:val="left" w:pos="1980"/>
          <w:tab w:val="left" w:pos="4970"/>
        </w:tabs>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）发包人的工作人员；</w:t>
      </w:r>
    </w:p>
    <w:p>
      <w:pPr>
        <w:tabs>
          <w:tab w:val="left" w:pos="1980"/>
          <w:tab w:val="left" w:pos="4970"/>
        </w:tabs>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）发包人的雇员；</w:t>
      </w:r>
    </w:p>
    <w:p>
      <w:pPr>
        <w:tabs>
          <w:tab w:val="left" w:pos="1980"/>
          <w:tab w:val="left" w:pos="4970"/>
        </w:tabs>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）任何监督管理机构的执法人员。</w:t>
      </w:r>
    </w:p>
    <w:p>
      <w:pPr>
        <w:pStyle w:val="24"/>
        <w:tabs>
          <w:tab w:val="left" w:pos="2520"/>
        </w:tabs>
        <w:ind w:left="1619" w:leftChars="771"/>
        <w:rPr>
          <w:rFonts w:ascii="仿宋" w:hAnsi="仿宋" w:eastAsia="仿宋"/>
          <w:color w:val="auto"/>
          <w:highlight w:val="none"/>
        </w:rPr>
      </w:pPr>
      <w:r>
        <w:rPr>
          <w:rFonts w:hint="eastAsia" w:ascii="仿宋" w:hAnsi="仿宋" w:eastAsia="仿宋" w:cs="仿宋"/>
          <w:color w:val="auto"/>
          <w:highlight w:val="none"/>
        </w:rPr>
        <w:t>此类指令若增加了承包人的工作或支出，包括使用了承包人的设备、临时工程或通行道路等，则视为工程变更，按照第</w:t>
      </w:r>
      <w:r>
        <w:rPr>
          <w:rFonts w:ascii="仿宋" w:hAnsi="仿宋" w:eastAsia="仿宋" w:cs="仿宋"/>
          <w:color w:val="auto"/>
          <w:highlight w:val="none"/>
        </w:rPr>
        <w:t>72</w:t>
      </w:r>
      <w:r>
        <w:rPr>
          <w:rFonts w:hint="eastAsia" w:ascii="仿宋" w:hAnsi="仿宋" w:eastAsia="仿宋" w:cs="仿宋"/>
          <w:color w:val="auto"/>
          <w:highlight w:val="none"/>
        </w:rPr>
        <w:t>条规定调整合同价款。</w:t>
      </w:r>
    </w:p>
    <w:p>
      <w:pPr>
        <w:tabs>
          <w:tab w:val="left" w:pos="4970"/>
        </w:tabs>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20.6  </w:t>
      </w:r>
    </w:p>
    <w:p>
      <w:pPr>
        <w:tabs>
          <w:tab w:val="left" w:pos="497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66"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63"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k2VHNUAAAAIAQAADwAAAAAAAAABACAAAAAiAAAAZHJzL2Rvd25y&#10;ZXYueG1sUEsBAhQAFAAAAAgAh07iQElf79YBAgAA1wMAAA4AAAAAAAAAAQAgAAAAJAEAAGRycy9l&#10;Mm9Eb2MueG1sUEsFBgAAAAAGAAYAWQEAAJ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 w:hAnsi="仿宋" w:eastAsia="仿宋" w:cs="仿宋"/>
          <w:color w:val="auto"/>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20.7  </w:t>
      </w:r>
    </w:p>
    <w:p>
      <w:pPr>
        <w:tabs>
          <w:tab w:val="left" w:pos="497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65"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64"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C7iE7UAAAABwEAAA8AAAAAAAAAAQAgAAAAIgAAAGRycy9kb3ducmV2&#10;LnhtbFBLAQIUABQAAAAIAIdO4kA6JlGaAAIAANcDAAAOAAAAAAAAAAEAIAAAACMBAABkcnMvZTJv&#10;RG9jLnhtbFBLBQYAAAAABgAGAFkBAACV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sz w:val="24"/>
          <w:szCs w:val="24"/>
          <w:highlight w:val="none"/>
        </w:rPr>
        <w:t>承包人未能正确完成本合同约定的全部义务，导致费用的增加和（或）延误的工期，由承包人承担；给发包人造成损失的，承包人应予赔偿。</w:t>
      </w:r>
    </w:p>
    <w:p>
      <w:pPr>
        <w:pStyle w:val="22"/>
        <w:adjustRightInd w:val="0"/>
        <w:snapToGrid w:val="0"/>
        <w:spacing w:line="480" w:lineRule="auto"/>
        <w:ind w:right="-238"/>
        <w:rPr>
          <w:rFonts w:ascii="仿宋" w:hAnsi="仿宋" w:eastAsia="仿宋" w:cs="仿宋"/>
          <w:b/>
          <w:bCs/>
          <w:color w:val="auto"/>
          <w:sz w:val="24"/>
          <w:szCs w:val="24"/>
          <w:highlight w:val="none"/>
          <w:u w:val="single"/>
        </w:rPr>
      </w:pPr>
    </w:p>
    <w:p>
      <w:pPr>
        <w:pStyle w:val="22"/>
        <w:adjustRightInd w:val="0"/>
        <w:snapToGrid w:val="0"/>
        <w:spacing w:before="312" w:beforeLines="100" w:line="360" w:lineRule="auto"/>
        <w:outlineLvl w:val="2"/>
        <w:rPr>
          <w:rFonts w:ascii="仿宋" w:hAnsi="仿宋" w:eastAsia="仿宋"/>
          <w:b/>
          <w:bCs/>
          <w:color w:val="auto"/>
          <w:sz w:val="24"/>
          <w:szCs w:val="24"/>
          <w:highlight w:val="none"/>
        </w:rPr>
      </w:pPr>
      <w:bookmarkStart w:id="194" w:name="_Toc469384001"/>
      <w:bookmarkStart w:id="195" w:name="_Toc25653627"/>
      <w:bookmarkStart w:id="196" w:name="_Toc18201"/>
      <w:bookmarkStart w:id="197" w:name="_Toc19230"/>
      <w:r>
        <w:rPr>
          <w:rFonts w:ascii="仿宋" w:hAnsi="仿宋" w:eastAsia="仿宋" w:cs="仿宋"/>
          <w:b/>
          <w:bCs/>
          <w:color w:val="auto"/>
          <w:sz w:val="24"/>
          <w:szCs w:val="24"/>
          <w:highlight w:val="none"/>
        </w:rPr>
        <w:t xml:space="preserve">21  </w:t>
      </w:r>
      <w:r>
        <w:rPr>
          <w:rFonts w:hint="eastAsia" w:ascii="仿宋" w:hAnsi="仿宋" w:eastAsia="仿宋" w:cs="仿宋"/>
          <w:b/>
          <w:bCs/>
          <w:color w:val="auto"/>
          <w:sz w:val="24"/>
          <w:szCs w:val="24"/>
          <w:highlight w:val="none"/>
        </w:rPr>
        <w:t>现场管理人员任命和更换</w:t>
      </w:r>
      <w:bookmarkEnd w:id="194"/>
      <w:bookmarkEnd w:id="195"/>
      <w:bookmarkEnd w:id="196"/>
      <w:bookmarkEnd w:id="197"/>
    </w:p>
    <w:p>
      <w:pPr>
        <w:pStyle w:val="22"/>
        <w:tabs>
          <w:tab w:val="left" w:pos="1320"/>
        </w:tabs>
        <w:adjustRightInd w:val="0"/>
        <w:snapToGrid w:val="0"/>
        <w:spacing w:line="360" w:lineRule="auto"/>
        <w:ind w:right="-240"/>
        <w:rPr>
          <w:rFonts w:ascii="仿宋" w:hAnsi="仿宋" w:eastAsia="仿宋"/>
          <w:b/>
          <w:bCs/>
          <w:color w:val="auto"/>
          <w:sz w:val="24"/>
          <w:szCs w:val="24"/>
          <w:highlight w:val="none"/>
        </w:rPr>
      </w:pPr>
      <w:r>
        <w:rPr>
          <w:rFonts w:ascii="仿宋" w:hAnsi="仿宋" w:eastAsia="仿宋" w:cs="仿宋"/>
          <w:b/>
          <w:bCs/>
          <w:color w:val="auto"/>
          <w:sz w:val="24"/>
          <w:szCs w:val="24"/>
          <w:highlight w:val="none"/>
        </w:rPr>
        <w:t>21.1</w:t>
      </w:r>
    </w:p>
    <w:p>
      <w:pPr>
        <w:pStyle w:val="22"/>
        <w:adjustRightInd w:val="0"/>
        <w:snapToGrid w:val="0"/>
        <w:spacing w:line="360" w:lineRule="auto"/>
        <w:ind w:left="1619" w:leftChars="771" w:firstLine="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64"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65"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E3W/nUAAAACAEAAA8AAAAAAAAAAQAgAAAAIgAAAGRycy9kb3ducmV2&#10;LnhtbFBLAQIUABQAAAAIAIdO4kABym7LAAIAANcDAAAOAAAAAAAAAAEAIAAAACMBAABkcnMvZTJv&#10;RG9jLnhtbFBLBQYAAAAABgAGAFkBAACV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 w:hAnsi="仿宋" w:eastAsia="仿宋" w:cs="仿宋"/>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22"/>
        <w:adjustRightInd w:val="0"/>
        <w:snapToGrid w:val="0"/>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发包人如需更换现场管理人员，应至少提前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天以书面形式通知承包人，否则该项更换无效。承包人应在收到通知后</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天内予以回复，否则视为已收到通知。后任现场管理人员应继续行使合同规定的前任现场管理人员的职权和履行相应的义务。</w:t>
      </w:r>
    </w:p>
    <w:p>
      <w:pPr>
        <w:pStyle w:val="22"/>
        <w:tabs>
          <w:tab w:val="left" w:pos="1320"/>
          <w:tab w:val="left" w:pos="1620"/>
        </w:tabs>
        <w:adjustRightInd w:val="0"/>
        <w:snapToGrid w:val="0"/>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21.2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363"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wps:txbx>
                      <wps:bodyPr rot="0" vert="horz" wrap="square" lIns="91440" tIns="45720" rIns="91440" bIns="45720" anchor="t" anchorCtr="0" upright="1">
                        <a:noAutofit/>
                      </wps:bodyPr>
                    </wps:wsp>
                  </a:graphicData>
                </a:graphic>
              </wp:anchor>
            </w:drawing>
          </mc:Choice>
          <mc:Fallback>
            <w:pict>
              <v:shape id="文本框 6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TAn6dYAAAAJAQAADwAAAAAAAAABACAAAAAiAAAAZHJzL2Rvd25yZXYu&#10;eG1sUEsBAhQAFAAAAAgAh07iQJUfKRj9AQAA1wMAAA4AAAAAAAAAAQAgAAAAJQEAAGRycy9lMm9E&#10;b2MueG1sUEsFBgAAAAAGAAYAWQEAAJQ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 w:hAnsi="仿宋" w:eastAsia="仿宋" w:cs="仿宋"/>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承包人如需更换承包人代表，应取得发包人的同意和遵守建设行政主管部门的规定，并至少提前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天以书面形式通知发包人，否则该项更换无效。发包人应在收到通知后的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天内予以答复，否则视为同意。后任承包人代表应继续行使合同规定的前任承包人代表的职权和履行相应的义务。</w:t>
      </w:r>
    </w:p>
    <w:p>
      <w:pPr>
        <w:pStyle w:val="22"/>
        <w:tabs>
          <w:tab w:val="left" w:pos="1320"/>
        </w:tabs>
        <w:adjustRightInd w:val="0"/>
        <w:snapToGrid w:val="0"/>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21.3  </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362"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1231900" cy="720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wps:txbx>
                      <wps:bodyPr rot="0" vert="horz" wrap="square" lIns="91440" tIns="45720" rIns="91440" bIns="45720" anchor="t" anchorCtr="0" upright="1">
                        <a:noAutofit/>
                      </wps:bodyPr>
                    </wps:wsp>
                  </a:graphicData>
                </a:graphic>
              </wp:anchor>
            </w:drawing>
          </mc:Choice>
          <mc:Fallback>
            <w:pict>
              <v:shape id="文本框 67"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FZcj1QAAAAkBAAAPAAAAAAAAAAEAIAAAACIAAABkcnMvZG93&#10;bnJldi54bWxQSwECFAAUAAAACACHTuJASO676gMCAADYAwAADgAAAAAAAAABACAAAAAk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 w:hAnsi="仿宋" w:eastAsia="仿宋" w:cs="仿宋"/>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天以书面形式通知承包人。未将有关文件送交承包人之前，任何此类任命或撤回均为无效。</w:t>
      </w:r>
    </w:p>
    <w:p>
      <w:pPr>
        <w:pStyle w:val="22"/>
        <w:tabs>
          <w:tab w:val="left" w:pos="1320"/>
        </w:tabs>
        <w:adjustRightInd w:val="0"/>
        <w:snapToGrid w:val="0"/>
        <w:spacing w:line="360" w:lineRule="auto"/>
        <w:ind w:right="-238"/>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21.4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361"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rot="0" vert="horz" wrap="square" lIns="91440" tIns="45720" rIns="91440" bIns="45720" anchor="t" anchorCtr="0" upright="1">
                        <a:noAutofit/>
                      </wps:bodyPr>
                    </wps:wsp>
                  </a:graphicData>
                </a:graphic>
              </wp:anchor>
            </w:drawing>
          </mc:Choice>
          <mc:Fallback>
            <w:pict>
              <v:shape id="文本框 68"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iDhnWAAAACAEAAA8AAAAAAAAAAQAgAAAAIgAAAGRycy9kb3du&#10;cmV2LnhtbFBLAQIUABQAAAAIAIdO4kCUiBQqAQIAANc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 w:hAnsi="仿宋" w:eastAsia="仿宋" w:cs="仿宋"/>
          <w:color w:val="auto"/>
          <w:sz w:val="24"/>
          <w:szCs w:val="24"/>
          <w:highlight w:val="none"/>
        </w:rPr>
        <w:t>除合同约定或依法应由承包人代表行使的职权外，承包人代表可将其职权以书面形式授予其任命的合格人选，亦可将其授权撤回。任何此类任命或撤回，均应至少提前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天以书面形式通知发包人和监理工程师、造价工程师。未将有关文件提交发包人和监理工程师、造价工程师之前，任何此类任命或撤回均为无效。</w:t>
      </w:r>
    </w:p>
    <w:p>
      <w:pPr>
        <w:spacing w:line="360" w:lineRule="auto"/>
        <w:rPr>
          <w:rFonts w:ascii="仿宋" w:hAnsi="仿宋" w:eastAsia="仿宋"/>
          <w:b/>
          <w:bCs/>
          <w:color w:val="auto"/>
          <w:sz w:val="24"/>
          <w:szCs w:val="24"/>
          <w:highlight w:val="none"/>
          <w:u w:val="single"/>
        </w:rPr>
      </w:pPr>
    </w:p>
    <w:p>
      <w:pPr>
        <w:pStyle w:val="9"/>
        <w:tabs>
          <w:tab w:val="left" w:pos="420"/>
        </w:tabs>
        <w:ind w:left="720"/>
        <w:rPr>
          <w:rFonts w:ascii="仿宋" w:hAnsi="仿宋" w:eastAsia="仿宋"/>
          <w:color w:val="auto"/>
          <w:highlight w:val="none"/>
        </w:rPr>
      </w:pPr>
      <w:bookmarkStart w:id="198" w:name="_Toc8293"/>
      <w:bookmarkStart w:id="199" w:name="_Toc20602"/>
      <w:bookmarkStart w:id="200" w:name="_Toc469384002"/>
      <w:bookmarkStart w:id="201" w:name="_Toc25653628"/>
      <w:r>
        <w:rPr>
          <w:rFonts w:ascii="仿宋" w:hAnsi="仿宋" w:eastAsia="仿宋" w:cs="仿宋"/>
          <w:color w:val="auto"/>
          <w:highlight w:val="none"/>
        </w:rPr>
        <w:t xml:space="preserve">22  </w:t>
      </w:r>
      <w:r>
        <w:rPr>
          <w:rFonts w:hint="eastAsia" w:ascii="仿宋" w:hAnsi="仿宋" w:eastAsia="仿宋" w:cs="仿宋"/>
          <w:color w:val="auto"/>
          <w:highlight w:val="none"/>
        </w:rPr>
        <w:t>发包人代表</w:t>
      </w:r>
      <w:bookmarkEnd w:id="198"/>
      <w:bookmarkEnd w:id="199"/>
      <w:bookmarkEnd w:id="200"/>
      <w:bookmarkEnd w:id="201"/>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22.1                           </w:t>
      </w:r>
    </w:p>
    <w:p>
      <w:pPr>
        <w:pStyle w:val="32"/>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60"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69"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u6wF1QAAAAgBAAAPAAAAAAAAAAEAIAAAACIAAABkcnMvZG93bnJl&#10;di54bWxQSwECFAAUAAAACACHTuJAELZ8kw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22.2   </w:t>
      </w:r>
    </w:p>
    <w:p>
      <w:pPr>
        <w:pStyle w:val="32"/>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359" name="文本框 7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0"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2N7btYAAAAJAQAADwAAAAAAAAABACAAAAAiAAAAZHJzL2Rvd25y&#10;ZXYueG1sUEsBAhQAFAAAAAgAh07iQP1nwhoAAgAA1wMAAA4AAAAAAAAAAQAgAAAAJQ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rPr>
        <w:t>发包人代表应代表发包人履行合同规定的职责、行使合同明文规定和必然隐含的权力，对发包人负责。发包人代表在发包人授予职权范围内工作，发包人应予认可。</w:t>
      </w:r>
    </w:p>
    <w:p>
      <w:pPr>
        <w:spacing w:line="360" w:lineRule="auto"/>
        <w:rPr>
          <w:rFonts w:ascii="仿宋" w:hAnsi="仿宋" w:eastAsia="仿宋" w:cs="仿宋"/>
          <w:b/>
          <w:bCs/>
          <w:color w:val="auto"/>
          <w:sz w:val="24"/>
          <w:szCs w:val="24"/>
          <w:highlight w:val="none"/>
          <w:u w:val="single"/>
        </w:rPr>
      </w:pPr>
    </w:p>
    <w:p>
      <w:pPr>
        <w:pStyle w:val="9"/>
        <w:tabs>
          <w:tab w:val="left" w:pos="420"/>
        </w:tabs>
        <w:rPr>
          <w:rFonts w:ascii="仿宋" w:hAnsi="仿宋" w:eastAsia="仿宋"/>
          <w:bCs/>
          <w:color w:val="auto"/>
          <w:highlight w:val="none"/>
        </w:rPr>
      </w:pPr>
      <w:bookmarkStart w:id="202" w:name="_Toc469384003"/>
      <w:bookmarkStart w:id="203" w:name="_Toc15840"/>
      <w:bookmarkStart w:id="204" w:name="_Toc25653629"/>
      <w:bookmarkStart w:id="205" w:name="_Toc7246"/>
      <w:r>
        <w:rPr>
          <w:rFonts w:ascii="仿宋" w:hAnsi="仿宋" w:eastAsia="仿宋" w:cs="仿宋"/>
          <w:bCs/>
          <w:color w:val="auto"/>
          <w:highlight w:val="none"/>
        </w:rPr>
        <w:t xml:space="preserve">23  </w:t>
      </w:r>
      <w:r>
        <w:rPr>
          <w:rFonts w:hint="eastAsia" w:ascii="仿宋" w:hAnsi="仿宋" w:eastAsia="仿宋" w:cs="仿宋"/>
          <w:bCs/>
          <w:color w:val="auto"/>
          <w:highlight w:val="none"/>
        </w:rPr>
        <w:t>监理工程师</w:t>
      </w:r>
      <w:bookmarkEnd w:id="202"/>
      <w:bookmarkEnd w:id="203"/>
      <w:bookmarkEnd w:id="204"/>
      <w:bookmarkEnd w:id="205"/>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23.1  </w:t>
      </w:r>
    </w:p>
    <w:p>
      <w:pPr>
        <w:pStyle w:val="32"/>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58"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rot="0" vert="horz" wrap="square" lIns="91440" tIns="45720" rIns="91440" bIns="45720" anchor="t" anchorCtr="0" upright="1">
                        <a:noAutofit/>
                      </wps:bodyPr>
                    </wps:wsp>
                  </a:graphicData>
                </a:graphic>
              </wp:anchor>
            </w:drawing>
          </mc:Choice>
          <mc:Fallback>
            <w:pict>
              <v:shape id="文本框 71"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hgEgtUAAAAIAQAADwAAAAAAAAABACAAAAAiAAAAZHJzL2Rvd25y&#10;ZXYueG1sUEsBAhQAFAAAAAgAh07iQMc2Cvk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仿宋" w:hAnsi="仿宋" w:eastAsia="仿宋" w:cs="仿宋"/>
          <w:color w:val="auto"/>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23.2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57"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rot="0" vert="horz" wrap="square" lIns="91440" tIns="45720" rIns="91440" bIns="45720" anchor="t" anchorCtr="0" upright="1">
                        <a:noAutofit/>
                      </wps:bodyPr>
                    </wps:wsp>
                  </a:graphicData>
                </a:graphic>
              </wp:anchor>
            </w:drawing>
          </mc:Choice>
          <mc:Fallback>
            <w:pict>
              <v:shape id="文本框 72"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YTtUAAAAIAQAADwAAAAAAAAABACAAAAAiAAAAZHJzL2Rvd25y&#10;ZXYueG1sUEsBAhQAFAAAAAgAh07iQAHYDf0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 w:hAnsi="仿宋" w:eastAsia="仿宋" w:cs="仿宋"/>
          <w:color w:val="auto"/>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23.3  </w:t>
      </w:r>
    </w:p>
    <w:p>
      <w:pPr>
        <w:spacing w:line="360" w:lineRule="auto"/>
        <w:ind w:left="1619" w:leftChars="771" w:firstLine="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56"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rot="0" vert="horz" wrap="square" lIns="91440" tIns="45720" rIns="91440" bIns="45720" anchor="t" anchorCtr="0" upright="1">
                        <a:noAutofit/>
                      </wps:bodyPr>
                    </wps:wsp>
                  </a:graphicData>
                </a:graphic>
              </wp:anchor>
            </w:drawing>
          </mc:Choice>
          <mc:Fallback>
            <w:pict>
              <v:shape id="文本框 73"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MEtodUAAAAJAQAADwAAAAAAAAABACAAAAAiAAAAZHJzL2Rvd25y&#10;ZXYueG1sUEsBAhQAFAAAAAgAh07iQJUJqCk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条规定的争议外，监理工程师在职权范围内的工作，发包人应予认可，但下列事件应事先取得发包人的专项批准：</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款规定批准承包人提供的配合施工设计图纸；</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款规定同意承包人分包工程；</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款规定批准承包人将材料和工程设备、施工设备移出施工场地；</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条规定批准承包人的施工组织设计和工程进度计划；</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款规定发出的工程开工令；</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款规定发出加快进度的变更指令；</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49.6</w:t>
      </w:r>
      <w:r>
        <w:rPr>
          <w:rFonts w:hint="eastAsia" w:ascii="仿宋" w:hAnsi="仿宋" w:eastAsia="仿宋" w:cs="仿宋"/>
          <w:color w:val="auto"/>
          <w:sz w:val="24"/>
          <w:szCs w:val="24"/>
          <w:highlight w:val="none"/>
        </w:rPr>
        <w:t>款规定使用替换材料；</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条规定发出使用暂列金额的工作指令；</w:t>
      </w:r>
    </w:p>
    <w:p>
      <w:pPr>
        <w:numPr>
          <w:ilvl w:val="0"/>
          <w:numId w:val="11"/>
        </w:num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条规定发出使用计日工的工作指令；</w:t>
      </w:r>
    </w:p>
    <w:p>
      <w:pPr>
        <w:pStyle w:val="233"/>
        <w:spacing w:line="360" w:lineRule="auto"/>
        <w:ind w:firstLine="1440" w:firstLineChars="6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条规定指令或批准的工程变更；</w:t>
      </w:r>
    </w:p>
    <w:p>
      <w:pPr>
        <w:pStyle w:val="233"/>
        <w:spacing w:line="360" w:lineRule="auto"/>
        <w:ind w:firstLine="1440" w:firstLineChars="6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条规定指令或确认的现场签证；</w:t>
      </w:r>
    </w:p>
    <w:p>
      <w:pPr>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rPr>
        <w:t xml:space="preserve">             （12</w:t>
      </w:r>
      <w:r>
        <w:rPr>
          <w:rFonts w:hint="eastAsia" w:ascii="仿宋" w:hAnsi="仿宋" w:eastAsia="仿宋" w:cs="仿宋"/>
          <w:color w:val="auto"/>
          <w:sz w:val="24"/>
          <w:szCs w:val="24"/>
          <w:highlight w:val="none"/>
        </w:rPr>
        <w:t>）专用条款约定需要发包人批准的其他事项。</w:t>
      </w:r>
    </w:p>
    <w:p>
      <w:pPr>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55"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文本框 74"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mYSoXXAAAACgEAAA8AAAAAAAAAAQAgAAAAIgAAAGRycy9kb3du&#10;cmV2LnhtbFBLAQIUABQAAAAIAIdO4kCRJfezAAIAANgDAAAOAAAAAAAAAAEAIAAAACY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仿宋" w:hAnsi="仿宋" w:eastAsia="仿宋" w:cs="仿宋"/>
          <w:b/>
          <w:bCs/>
          <w:color w:val="auto"/>
          <w:sz w:val="24"/>
          <w:szCs w:val="24"/>
          <w:highlight w:val="none"/>
        </w:rPr>
        <w:t xml:space="preserve">23.4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监理工程师应按照合同约定时间向承包人提供实施合同工程的进度、质量和安全工作所需的批准、确认和通知等指令。</w:t>
      </w:r>
    </w:p>
    <w:p>
      <w:pPr>
        <w:tabs>
          <w:tab w:val="left" w:pos="1260"/>
        </w:tabs>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监理工程师提供的指令，均应采用书面形式。在紧急情况下，监理工程师可发出口头指令，但应在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小时内给予书面确认。对监理工程师的口头指令，承包人应予执行。如果承包人在监理工程师发出口头指令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天内向监理工程师发出书面确认函。监理工程师应在承包人发出书面确认函后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23.5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54"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rot="0" vert="horz" wrap="square" lIns="91440" tIns="45720" rIns="91440" bIns="45720" anchor="t" anchorCtr="0" upright="1">
                        <a:noAutofit/>
                      </wps:bodyPr>
                    </wps:wsp>
                  </a:graphicData>
                </a:graphic>
              </wp:anchor>
            </w:drawing>
          </mc:Choice>
          <mc:Fallback>
            <w:pict>
              <v:shape id="文本框 75"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nfH61AAAAAgBAAAPAAAAAAAAAAEAIAAAACIAAABkcnMvZG93bnJl&#10;di54bWxQSwECFAAUAAAACACHTuJAGtV02wECAADX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 w:hAnsi="仿宋" w:eastAsia="仿宋" w:cs="仿宋"/>
          <w:color w:val="auto"/>
          <w:sz w:val="24"/>
          <w:szCs w:val="24"/>
          <w:highlight w:val="none"/>
        </w:rPr>
        <w:t>如果承包人认为监理工程师的指令不合理，应在收到指令后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小时内向监理工程师提出书面报告，监理工程师应在收到承包人报告后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小时内做出修改指令或继续执行原指令的决定，并书面通知承包人。逾期不做出决定的，承包人可不执行监理工程师的指令。</w:t>
      </w:r>
    </w:p>
    <w:p>
      <w:pPr>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23.6</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53"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rot="0" vert="horz" wrap="square" lIns="91440" tIns="45720" rIns="91440" bIns="45720" anchor="t" anchorCtr="0" upright="1">
                        <a:noAutofit/>
                      </wps:bodyPr>
                    </wps:wsp>
                  </a:graphicData>
                </a:graphic>
              </wp:anchor>
            </w:drawing>
          </mc:Choice>
          <mc:Fallback>
            <w:pict>
              <v:shape id="文本框 7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LIZsdYAAAAIAQAADwAAAAAAAAABACAAAAAiAAAAZHJzL2Rvd25y&#10;ZXYueG1sUEsBAhQAFAAAAAgAh07iQPPPyx4AAgAA1wMAAA4AAAAAAAAAAQAgAAAAJQ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 w:hAnsi="仿宋" w:eastAsia="仿宋" w:cs="仿宋"/>
          <w:color w:val="auto"/>
          <w:sz w:val="24"/>
          <w:szCs w:val="24"/>
          <w:highlight w:val="none"/>
        </w:rPr>
        <w:t>监理工程师可按照第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23.7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52"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rot="0" vert="horz" wrap="square" lIns="91440" tIns="45720" rIns="91440" bIns="45720" anchor="t" anchorCtr="0" upright="1">
                        <a:noAutofit/>
                      </wps:bodyPr>
                    </wps:wsp>
                  </a:graphicData>
                </a:graphic>
              </wp:anchor>
            </w:drawing>
          </mc:Choice>
          <mc:Fallback>
            <w:pict>
              <v:shape id="文本框 77"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qHM/WAAAACQEAAA8AAAAAAAAAAQAgAAAAIgAAAGRycy9kb3du&#10;cmV2LnhtbFBLAQIUABQAAAAIAIdO4kC+PhMNAQIAANc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 w:hAnsi="仿宋" w:eastAsia="仿宋" w:cs="仿宋"/>
          <w:color w:val="auto"/>
          <w:sz w:val="24"/>
          <w:szCs w:val="24"/>
          <w:highlight w:val="none"/>
        </w:rPr>
        <w:t>监理工程师（含其代表）未能正确完成本合同约定的全部义务，或工作出现失误，导致费用的增加和（或）延误的工期，由发包人承担；给承包人造成损失的，发包人应予赔偿。</w:t>
      </w:r>
    </w:p>
    <w:p>
      <w:pPr>
        <w:tabs>
          <w:tab w:val="left" w:pos="1260"/>
        </w:tabs>
        <w:spacing w:line="360" w:lineRule="auto"/>
        <w:rPr>
          <w:rFonts w:ascii="仿宋" w:hAnsi="仿宋" w:eastAsia="仿宋" w:cs="仿宋"/>
          <w:b/>
          <w:bCs/>
          <w:color w:val="auto"/>
          <w:sz w:val="24"/>
          <w:szCs w:val="24"/>
          <w:highlight w:val="none"/>
          <w:u w:val="single"/>
        </w:rPr>
      </w:pPr>
    </w:p>
    <w:p>
      <w:pPr>
        <w:pStyle w:val="9"/>
        <w:tabs>
          <w:tab w:val="left" w:pos="420"/>
        </w:tabs>
        <w:ind w:left="720"/>
        <w:rPr>
          <w:rFonts w:ascii="仿宋" w:hAnsi="仿宋" w:eastAsia="仿宋"/>
          <w:color w:val="auto"/>
          <w:highlight w:val="none"/>
        </w:rPr>
      </w:pPr>
      <w:bookmarkStart w:id="206" w:name="_Toc469384004"/>
      <w:bookmarkStart w:id="207" w:name="_Toc25653630"/>
      <w:bookmarkStart w:id="208" w:name="_Toc20588"/>
      <w:bookmarkStart w:id="209" w:name="_Toc32091"/>
      <w:r>
        <w:rPr>
          <w:rFonts w:ascii="仿宋" w:hAnsi="仿宋" w:eastAsia="仿宋" w:cs="仿宋"/>
          <w:color w:val="auto"/>
          <w:highlight w:val="none"/>
        </w:rPr>
        <w:t xml:space="preserve">24  </w:t>
      </w:r>
      <w:r>
        <w:rPr>
          <w:rFonts w:hint="eastAsia" w:ascii="仿宋" w:hAnsi="仿宋" w:eastAsia="仿宋" w:cs="仿宋"/>
          <w:color w:val="auto"/>
          <w:highlight w:val="none"/>
        </w:rPr>
        <w:t>造价工程师</w:t>
      </w:r>
      <w:bookmarkEnd w:id="206"/>
      <w:bookmarkEnd w:id="207"/>
      <w:bookmarkEnd w:id="208"/>
      <w:bookmarkEnd w:id="209"/>
    </w:p>
    <w:p>
      <w:pPr>
        <w:tabs>
          <w:tab w:val="left" w:pos="1260"/>
        </w:tabs>
        <w:spacing w:line="400" w:lineRule="exact"/>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24.1                                                   </w:t>
      </w:r>
    </w:p>
    <w:p>
      <w:pPr>
        <w:pStyle w:val="32"/>
        <w:tabs>
          <w:tab w:val="left" w:pos="1260"/>
          <w:tab w:val="left" w:pos="1620"/>
        </w:tabs>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351"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rot="0" vert="horz" wrap="square" lIns="91440" tIns="45720" rIns="91440" bIns="45720" anchor="t" anchorCtr="0" upright="1">
                        <a:noAutofit/>
                      </wps:bodyPr>
                    </wps:wsp>
                  </a:graphicData>
                </a:graphic>
              </wp:anchor>
            </w:drawing>
          </mc:Choice>
          <mc:Fallback>
            <w:pict>
              <v:shape id="文本框 78"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6OTFDTAAAACAEAAA8AAAAAAAAAAQAgAAAAIgAAAGRycy9kb3ducmV2&#10;LnhtbFBLAQIUABQAAAAIAIdO4kBKeTwSAQIAANcDAAAOAAAAAAAAAAEAIAAAACIBAABkcnMvZTJv&#10;RG9jLnhtbFBLBQYAAAAABgAGAFkBAACV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仿宋" w:hAnsi="仿宋" w:eastAsia="仿宋" w:cs="仿宋"/>
          <w:color w:val="auto"/>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24.2  </w:t>
      </w:r>
    </w:p>
    <w:p>
      <w:pPr>
        <w:tabs>
          <w:tab w:val="left" w:pos="126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350"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914400" cy="4279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rot="0" vert="horz" wrap="square" lIns="91440" tIns="45720" rIns="91440" bIns="45720" anchor="t" anchorCtr="0" upright="1">
                        <a:noAutofit/>
                      </wps:bodyPr>
                    </wps:wsp>
                  </a:graphicData>
                </a:graphic>
              </wp:anchor>
            </w:drawing>
          </mc:Choice>
          <mc:Fallback>
            <w:pict>
              <v:shape id="文本框 79"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KK2o9UAAAAIAQAADwAAAAAAAAABACAAAAAiAAAAZHJzL2Rvd25y&#10;ZXYueG1sUEsBAhQAFAAAAAgAh07iQJg0ZtU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 w:hAnsi="仿宋" w:eastAsia="仿宋" w:cs="仿宋"/>
          <w:color w:val="auto"/>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24.3  </w:t>
      </w:r>
    </w:p>
    <w:p>
      <w:pPr>
        <w:tabs>
          <w:tab w:val="left" w:pos="126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349"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rot="0" vert="horz" wrap="square" lIns="91440" tIns="45720" rIns="91440" bIns="45720" anchor="t" anchorCtr="0" upright="1">
                        <a:noAutofit/>
                      </wps:bodyPr>
                    </wps:wsp>
                  </a:graphicData>
                </a:graphic>
              </wp:anchor>
            </w:drawing>
          </mc:Choice>
          <mc:Fallback>
            <w:pict>
              <v:shape id="文本框 80"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7vLnbUAAAABwEAAA8AAAAAAAAAAQAgAAAAIgAAAGRycy9kb3ducmV2&#10;LnhtbFBLAQIUABQAAAAIAIdO4kBmCyifAAIAANcDAAAOAAAAAAAAAAEAIAAAACMBAABkcnMvZTJv&#10;RG9jLnhtbFBLBQYAAAAABgAGAFkBAACV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条规定的争议外，造价工程师在职权范围内的工作，发包人应予认可，但下列事件应事先取得发包人的专项批准：</w:t>
      </w:r>
    </w:p>
    <w:p>
      <w:pPr>
        <w:numPr>
          <w:ilvl w:val="0"/>
          <w:numId w:val="12"/>
        </w:numPr>
        <w:tabs>
          <w:tab w:val="left" w:pos="21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条规定使用暂列金额；</w:t>
      </w:r>
    </w:p>
    <w:p>
      <w:pPr>
        <w:numPr>
          <w:ilvl w:val="0"/>
          <w:numId w:val="12"/>
        </w:numPr>
        <w:tabs>
          <w:tab w:val="left" w:pos="21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条规定使用计日工；</w:t>
      </w:r>
    </w:p>
    <w:p>
      <w:pPr>
        <w:numPr>
          <w:ilvl w:val="0"/>
          <w:numId w:val="12"/>
        </w:numPr>
        <w:tabs>
          <w:tab w:val="left" w:pos="21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65</w:t>
      </w:r>
      <w:r>
        <w:rPr>
          <w:rFonts w:hint="eastAsia" w:ascii="仿宋" w:hAnsi="仿宋" w:eastAsia="仿宋" w:cs="仿宋"/>
          <w:color w:val="auto"/>
          <w:sz w:val="24"/>
          <w:szCs w:val="24"/>
          <w:highlight w:val="none"/>
        </w:rPr>
        <w:t>条规定使用暂估价；</w:t>
      </w:r>
    </w:p>
    <w:p>
      <w:pPr>
        <w:numPr>
          <w:ilvl w:val="0"/>
          <w:numId w:val="12"/>
        </w:numPr>
        <w:tabs>
          <w:tab w:val="left" w:pos="21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条确定的提前竣工奖与误期赔偿费；</w:t>
      </w:r>
    </w:p>
    <w:p>
      <w:pPr>
        <w:numPr>
          <w:ilvl w:val="0"/>
          <w:numId w:val="12"/>
        </w:numPr>
        <w:tabs>
          <w:tab w:val="left" w:pos="21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67</w:t>
      </w:r>
      <w:r>
        <w:rPr>
          <w:rFonts w:hint="eastAsia" w:ascii="仿宋" w:hAnsi="仿宋" w:eastAsia="仿宋" w:cs="仿宋"/>
          <w:color w:val="auto"/>
          <w:sz w:val="24"/>
          <w:szCs w:val="24"/>
          <w:highlight w:val="none"/>
        </w:rPr>
        <w:t>条确定的工程优质费；</w:t>
      </w:r>
    </w:p>
    <w:p>
      <w:pPr>
        <w:numPr>
          <w:ilvl w:val="0"/>
          <w:numId w:val="12"/>
        </w:numPr>
        <w:tabs>
          <w:tab w:val="left" w:pos="21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款规定事件调整的合同价款；</w:t>
      </w:r>
    </w:p>
    <w:p>
      <w:pPr>
        <w:numPr>
          <w:ilvl w:val="0"/>
          <w:numId w:val="12"/>
        </w:numPr>
        <w:tabs>
          <w:tab w:val="left" w:pos="21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专用条款约定需要发包人批准的其他事项。</w:t>
      </w:r>
    </w:p>
    <w:p>
      <w:pPr>
        <w:spacing w:line="400" w:lineRule="exact"/>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24.4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48"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文本框 81"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vGN8nVAAAABwEAAA8AAAAAAAAAAQAgAAAAIgAAAGRycy9kb3du&#10;cmV2LnhtbFBLAQIUABQAAAAIAIdO4kDQbKQ3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 w:hAnsi="仿宋" w:eastAsia="仿宋" w:cs="仿宋"/>
          <w:color w:val="auto"/>
          <w:sz w:val="24"/>
          <w:szCs w:val="24"/>
          <w:highlight w:val="none"/>
        </w:rPr>
        <w:t>造价工程师应按照合同约定时间向承包人提供实施合同工程的工程造价工作所需的核实、调整和通知等指令。</w:t>
      </w:r>
    </w:p>
    <w:p>
      <w:pPr>
        <w:tabs>
          <w:tab w:val="left" w:pos="1260"/>
        </w:tabs>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造价工程师提供的指令，均应采用书面形式。在紧急情况下，造价工程师可发出口头指令，但应在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小时内给予书面确认。对造价工程师的口头指令，承包人应予执行。如果承包人在造价工程师发出的口头指令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天内向造价工程师发出书面确认函。造价工程师应在承包人发出书面确认函后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pPr>
        <w:tabs>
          <w:tab w:val="left" w:pos="126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24.5  </w:t>
      </w:r>
    </w:p>
    <w:p>
      <w:pPr>
        <w:tabs>
          <w:tab w:val="left" w:pos="126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347"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qNdRdUAAAAIAQAADwAAAAAAAAABACAAAAAiAAAAZHJzL2Rvd25y&#10;ZXYueG1sUEsBAhQAFAAAAAgAh07iQKoly7s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 w:hAnsi="仿宋" w:eastAsia="仿宋" w:cs="仿宋"/>
          <w:color w:val="auto"/>
          <w:sz w:val="24"/>
          <w:szCs w:val="24"/>
          <w:highlight w:val="none"/>
        </w:rPr>
        <w:t>如果承包人认为造价工程师的指令不合理，应在收到指令后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小时内向造价工程师提出书面报告，造价工程师应在收到承包人报告后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小时内做出修改指令或继续执行原指令的决定，并书面通知承包人。逾期不做出决定的，承包人可不执行造价工程师的指令。</w:t>
      </w:r>
    </w:p>
    <w:p>
      <w:pPr>
        <w:tabs>
          <w:tab w:val="left" w:pos="126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24.6  </w:t>
      </w:r>
    </w:p>
    <w:p>
      <w:pPr>
        <w:tabs>
          <w:tab w:val="left" w:pos="126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6" name="文本框 8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wps:txbx>
                      <wps:bodyPr rot="0" vert="horz" wrap="square" lIns="91440" tIns="45720" rIns="91440" bIns="45720" anchor="t" anchorCtr="0" upright="1">
                        <a:noAutofit/>
                      </wps:bodyPr>
                    </wps:wsp>
                  </a:graphicData>
                </a:graphic>
              </wp:anchor>
            </w:drawing>
          </mc:Choice>
          <mc:Fallback>
            <w:pict>
              <v:shape id="文本框 83"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sn6TLVAAAABwEAAA8AAAAAAAAAAQAgAAAAIgAAAGRycy9kb3du&#10;cmV2LnhtbFBLAQIUABQAAAAIAIdO4kA5OAFPAgIAANcDAAAOAAAAAAAAAAEAIAAAACQBAABkcnMv&#10;ZTJvRG9jLnhtbFBLBQYAAAAABgAGAFkBAACY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 w:hAnsi="仿宋" w:eastAsia="仿宋" w:cs="仿宋"/>
          <w:color w:val="auto"/>
          <w:sz w:val="24"/>
          <w:szCs w:val="24"/>
          <w:highlight w:val="none"/>
        </w:rPr>
        <w:t>造价工程师可按照第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pPr>
        <w:tabs>
          <w:tab w:val="left" w:pos="1260"/>
        </w:tabs>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24.7</w:t>
      </w:r>
    </w:p>
    <w:p>
      <w:pPr>
        <w:tabs>
          <w:tab w:val="left" w:pos="1260"/>
        </w:tabs>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5"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rot="0" vert="horz" wrap="square" lIns="91440" tIns="45720" rIns="91440" bIns="45720" anchor="t" anchorCtr="0" upright="1">
                        <a:noAutofit/>
                      </wps:bodyPr>
                    </wps:wsp>
                  </a:graphicData>
                </a:graphic>
              </wp:anchor>
            </w:drawing>
          </mc:Choice>
          <mc:Fallback>
            <w:pict>
              <v:shape id="文本框 84"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sn6TLVAAAABwEAAA8AAAAAAAAAAQAgAAAAIgAAAGRycy9kb3du&#10;cmV2LnhtbFBLAQIUABQAAAAIAIdO4kAs3FA7AgIAANc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 w:hAnsi="仿宋" w:eastAsia="仿宋" w:cs="仿宋"/>
          <w:color w:val="auto"/>
          <w:sz w:val="24"/>
          <w:szCs w:val="24"/>
          <w:highlight w:val="none"/>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60" w:lineRule="auto"/>
        <w:rPr>
          <w:rFonts w:ascii="仿宋" w:hAnsi="仿宋" w:eastAsia="仿宋" w:cs="仿宋"/>
          <w:b/>
          <w:bCs/>
          <w:color w:val="auto"/>
          <w:sz w:val="24"/>
          <w:szCs w:val="24"/>
          <w:highlight w:val="none"/>
          <w:u w:val="single"/>
        </w:rPr>
      </w:pPr>
    </w:p>
    <w:p>
      <w:pPr>
        <w:pStyle w:val="9"/>
        <w:tabs>
          <w:tab w:val="left" w:pos="420"/>
        </w:tabs>
        <w:ind w:left="720"/>
        <w:rPr>
          <w:rFonts w:ascii="仿宋" w:hAnsi="仿宋" w:eastAsia="仿宋"/>
          <w:color w:val="auto"/>
          <w:highlight w:val="none"/>
        </w:rPr>
      </w:pPr>
      <w:bookmarkStart w:id="210" w:name="_Toc22347"/>
      <w:bookmarkStart w:id="211" w:name="_Toc20221"/>
      <w:bookmarkStart w:id="212" w:name="_Toc469384005"/>
      <w:bookmarkStart w:id="213" w:name="_Toc25653631"/>
      <w:r>
        <w:rPr>
          <w:rFonts w:ascii="仿宋" w:hAnsi="仿宋" w:eastAsia="仿宋" w:cs="仿宋"/>
          <w:color w:val="auto"/>
          <w:highlight w:val="none"/>
        </w:rPr>
        <w:t xml:space="preserve">25  </w:t>
      </w:r>
      <w:r>
        <w:rPr>
          <w:rFonts w:hint="eastAsia" w:ascii="仿宋" w:hAnsi="仿宋" w:eastAsia="仿宋" w:cs="仿宋"/>
          <w:color w:val="auto"/>
          <w:highlight w:val="none"/>
        </w:rPr>
        <w:t>承包人代表</w:t>
      </w:r>
      <w:bookmarkEnd w:id="210"/>
      <w:bookmarkEnd w:id="211"/>
      <w:bookmarkEnd w:id="212"/>
      <w:bookmarkEnd w:id="213"/>
    </w:p>
    <w:p>
      <w:pPr>
        <w:tabs>
          <w:tab w:val="left" w:pos="540"/>
          <w:tab w:val="left" w:pos="72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25.1                                 </w:t>
      </w:r>
    </w:p>
    <w:p>
      <w:pPr>
        <w:pStyle w:val="32"/>
        <w:tabs>
          <w:tab w:val="left" w:pos="540"/>
          <w:tab w:val="left" w:pos="720"/>
        </w:tabs>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44" name="文本框 85"/>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85"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OqyNQAAAAHAQAADwAAAAAAAAABACAAAAAiAAAAZHJzL2Rvd25yZXYu&#10;eG1sUEsBAhQAFAAAAAgAh07iQFJ1sDD/AQAA1wMAAA4AAAAAAAAAAQAgAAAAIwEAAGRycy9lMm9E&#10;b2MueG1sUEsFBgAAAAAGAAYAWQEAAJ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rPr>
        <w:t>承包人应依据第</w:t>
      </w:r>
      <w:r>
        <w:rPr>
          <w:rFonts w:ascii="仿宋" w:hAnsi="仿宋" w:eastAsia="仿宋" w:cs="仿宋"/>
          <w:color w:val="auto"/>
          <w:highlight w:val="none"/>
        </w:rPr>
        <w:t>21.2</w:t>
      </w:r>
      <w:r>
        <w:rPr>
          <w:rFonts w:hint="eastAsia" w:ascii="仿宋" w:hAnsi="仿宋" w:eastAsia="仿宋" w:cs="仿宋"/>
          <w:color w:val="auto"/>
          <w:highlight w:val="none"/>
        </w:rPr>
        <w:t>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25.2  </w:t>
      </w:r>
    </w:p>
    <w:p>
      <w:pPr>
        <w:tabs>
          <w:tab w:val="left" w:pos="540"/>
          <w:tab w:val="left" w:pos="720"/>
          <w:tab w:val="left" w:pos="1260"/>
          <w:tab w:val="left" w:pos="1440"/>
        </w:tabs>
        <w:spacing w:line="360" w:lineRule="auto"/>
        <w:ind w:left="1619" w:leftChars="771" w:firstLine="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43"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wps:txbx>
                      <wps:bodyPr rot="0" vert="horz" wrap="square" lIns="91440" tIns="45720" rIns="91440" bIns="45720" anchor="t" anchorCtr="0" upright="1">
                        <a:noAutofit/>
                      </wps:bodyPr>
                    </wps:wsp>
                  </a:graphicData>
                </a:graphic>
              </wp:anchor>
            </w:drawing>
          </mc:Choice>
          <mc:Fallback>
            <w:pict>
              <v:shape id="文本框 8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nwRtUAAAAIAQAADwAAAAAAAAABACAAAAAiAAAAZHJzL2Rv&#10;d25yZXYueG1sUEsBAhQAFAAAAAgAh07iQIqS7GgEAgAA2AMAAA4AAAAAAAAAAQAgAAAAJA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 w:hAnsi="仿宋" w:eastAsia="仿宋" w:cs="仿宋"/>
          <w:color w:val="auto"/>
          <w:sz w:val="24"/>
          <w:szCs w:val="24"/>
          <w:highlight w:val="none"/>
        </w:rPr>
        <w:t>承包人代表应代表承包人履行合同规定的职责、行使合同明文约定或必然隐含的权力，对承包人负责。承包人代表在承包人授予职权范围内的工作，承包人应予认可。</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25.3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342"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87"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u3RXtUAAAAHAQAADwAAAAAAAAABACAAAAAiAAAAZHJzL2Rvd25y&#10;ZXYueG1sUEsBAhQAFAAAAAgAh07iQHyVtJo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 w:hAnsi="仿宋" w:eastAsia="仿宋" w:cs="仿宋"/>
          <w:color w:val="auto"/>
          <w:sz w:val="24"/>
          <w:szCs w:val="24"/>
          <w:highlight w:val="none"/>
        </w:rPr>
        <w:t>如果承包人代表在合同履行期间确需暂离现场，则应在监理工程师同意下，按照第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款规定，任何此类任命或撤回均为无效。</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25.4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41"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88"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a72VvUAAAACAEAAA8AAAAAAAAAAQAgAAAAIgAAAGRycy9kb3ducmV2&#10;LnhtbFBLAQIUABQAAAAIAIdO4kCI75C4AAIAANcDAAAOAAAAAAAAAAEAIAAAACMBAABkcnMvZTJv&#10;RG9jLnhtbFBLBQYAAAAABgAGAFkBAACV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 w:hAnsi="仿宋" w:eastAsia="仿宋" w:cs="仿宋"/>
          <w:color w:val="auto"/>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22"/>
        <w:tabs>
          <w:tab w:val="left" w:pos="540"/>
        </w:tabs>
        <w:adjustRightInd w:val="0"/>
        <w:snapToGrid w:val="0"/>
        <w:spacing w:line="360" w:lineRule="auto"/>
        <w:ind w:right="-240"/>
        <w:rPr>
          <w:rFonts w:ascii="仿宋" w:hAnsi="仿宋" w:eastAsia="仿宋" w:cs="仿宋"/>
          <w:b/>
          <w:bCs/>
          <w:color w:val="auto"/>
          <w:sz w:val="24"/>
          <w:szCs w:val="24"/>
          <w:highlight w:val="none"/>
          <w:u w:val="single"/>
        </w:rPr>
      </w:pPr>
      <w:bookmarkStart w:id="214" w:name="_Toc468936969"/>
    </w:p>
    <w:p>
      <w:pPr>
        <w:pStyle w:val="22"/>
        <w:tabs>
          <w:tab w:val="left" w:pos="540"/>
        </w:tabs>
        <w:adjustRightInd w:val="0"/>
        <w:snapToGrid w:val="0"/>
        <w:ind w:right="-240"/>
        <w:outlineLvl w:val="2"/>
        <w:rPr>
          <w:rFonts w:ascii="仿宋" w:hAnsi="仿宋" w:eastAsia="仿宋"/>
          <w:b/>
          <w:bCs/>
          <w:color w:val="auto"/>
          <w:sz w:val="24"/>
          <w:szCs w:val="24"/>
          <w:highlight w:val="none"/>
        </w:rPr>
      </w:pPr>
      <w:bookmarkStart w:id="215" w:name="_Toc7518"/>
      <w:bookmarkStart w:id="216" w:name="_Toc8163"/>
      <w:bookmarkStart w:id="217" w:name="_Toc469384006"/>
      <w:bookmarkStart w:id="218" w:name="_Toc25653632"/>
      <w:r>
        <w:rPr>
          <w:rFonts w:ascii="仿宋" w:hAnsi="仿宋" w:eastAsia="仿宋" w:cs="仿宋"/>
          <w:b/>
          <w:bCs/>
          <w:color w:val="auto"/>
          <w:sz w:val="24"/>
          <w:szCs w:val="24"/>
          <w:highlight w:val="none"/>
        </w:rPr>
        <w:t xml:space="preserve">26  </w:t>
      </w:r>
      <w:r>
        <w:rPr>
          <w:rFonts w:hint="eastAsia" w:ascii="仿宋" w:hAnsi="仿宋" w:eastAsia="仿宋" w:cs="仿宋"/>
          <w:b/>
          <w:bCs/>
          <w:color w:val="auto"/>
          <w:sz w:val="24"/>
          <w:szCs w:val="24"/>
          <w:highlight w:val="none"/>
        </w:rPr>
        <w:t>指定分包</w:t>
      </w:r>
      <w:bookmarkEnd w:id="214"/>
      <w:r>
        <w:rPr>
          <w:rFonts w:hint="eastAsia" w:ascii="仿宋" w:hAnsi="仿宋" w:eastAsia="仿宋" w:cs="仿宋"/>
          <w:b/>
          <w:bCs/>
          <w:color w:val="auto"/>
          <w:sz w:val="24"/>
          <w:szCs w:val="24"/>
          <w:highlight w:val="none"/>
        </w:rPr>
        <w:t>人</w:t>
      </w:r>
      <w:bookmarkEnd w:id="215"/>
      <w:bookmarkEnd w:id="216"/>
      <w:bookmarkEnd w:id="217"/>
      <w:bookmarkEnd w:id="218"/>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26.1 </w:t>
      </w:r>
    </w:p>
    <w:p>
      <w:pPr>
        <w:pStyle w:val="22"/>
        <w:adjustRightInd w:val="0"/>
        <w:snapToGrid w:val="0"/>
        <w:spacing w:line="360" w:lineRule="auto"/>
        <w:ind w:left="1978" w:leftChars="94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40"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89"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XsurXWAAAACQEAAA8AAAAAAAAAAQAgAAAAIgAAAGRycy9kb3du&#10;cmV2LnhtbFBLAQIUABQAAAAIAIdO4kDngZ4xAQIAANc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sz w:val="24"/>
          <w:szCs w:val="24"/>
          <w:highlight w:val="none"/>
        </w:rPr>
        <w:t>指定分包人是指发包人事先指定的从事下列工作之一的分包人：</w:t>
      </w:r>
    </w:p>
    <w:p>
      <w:pPr>
        <w:pStyle w:val="22"/>
        <w:widowControl/>
        <w:adjustRightInd w:val="0"/>
        <w:snapToGrid w:val="0"/>
        <w:spacing w:line="360" w:lineRule="auto"/>
        <w:ind w:left="197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）根据专用条款的约定，发包人依法事先指定的实施、完成部分永久工程的分包人；</w:t>
      </w:r>
    </w:p>
    <w:p>
      <w:pPr>
        <w:pStyle w:val="22"/>
        <w:widowControl/>
        <w:adjustRightInd w:val="0"/>
        <w:snapToGrid w:val="0"/>
        <w:spacing w:line="360" w:lineRule="auto"/>
        <w:ind w:left="1978" w:leftChars="942" w:firstLine="16" w:firstLineChars="7"/>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）根据专用条款的约定，发包人选定的提供合同工程材料、工程设备和服务的分包人。</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26.2  </w:t>
      </w:r>
    </w:p>
    <w:p>
      <w:pPr>
        <w:pStyle w:val="22"/>
        <w:widowControl/>
        <w:adjustRightInd w:val="0"/>
        <w:snapToGrid w:val="0"/>
        <w:spacing w:line="360" w:lineRule="auto"/>
        <w:ind w:left="1978" w:leftChars="942" w:firstLine="2" w:firstLineChars="1"/>
        <w:jc w:val="left"/>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39"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90"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DsBtQAAAAHAQAADwAAAAAAAAABACAAAAAiAAAAZHJzL2Rvd25y&#10;ZXYueG1sUEsBAhQAFAAAAAgAh07iQBSCokICAgAA2AMAAA4AAAAAAAAAAQAgAAAAIw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 w:hAnsi="仿宋" w:eastAsia="仿宋" w:cs="仿宋"/>
          <w:color w:val="auto"/>
          <w:sz w:val="24"/>
          <w:szCs w:val="24"/>
          <w:highlight w:val="none"/>
        </w:rPr>
        <w:t>指定分包人属于承包人的分包人，发包人不应要求承包人有义务接受承包人有理由反对的任何指定分包人。</w:t>
      </w:r>
    </w:p>
    <w:p>
      <w:pPr>
        <w:spacing w:line="360" w:lineRule="auto"/>
        <w:rPr>
          <w:rFonts w:ascii="仿宋" w:hAnsi="仿宋" w:eastAsia="仿宋"/>
          <w:b/>
          <w:bCs/>
          <w:color w:val="auto"/>
          <w:sz w:val="24"/>
          <w:szCs w:val="24"/>
          <w:highlight w:val="none"/>
          <w:u w:val="dotted"/>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38"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a:effectLst/>
                      </wps:spPr>
                      <wps:txbx>
                        <w:txbxContent>
                          <w:p>
                            <w:pPr>
                              <w:spacing w:line="240" w:lineRule="exact"/>
                              <w:ind w:left="181" w:hanging="181" w:hangingChars="10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指定分包工程结算与支付</w:t>
                            </w:r>
                          </w:p>
                        </w:txbxContent>
                      </wps:txbx>
                      <wps:bodyPr rot="0" vert="horz" wrap="square" lIns="91440" tIns="45720" rIns="91440" bIns="45720" anchor="t" anchorCtr="0" upright="1">
                        <a:noAutofit/>
                      </wps:bodyPr>
                    </wps:wsp>
                  </a:graphicData>
                </a:graphic>
              </wp:anchor>
            </w:drawing>
          </mc:Choice>
          <mc:Fallback>
            <w:pict>
              <v:shape id="文本框 91"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7ywcu2AAAAAoBAAAPAAAAAAAAAAEAIAAAACIAAABkcnMv&#10;ZG93bnJldi54bWxQSwECFAAUAAAACACHTuJAxsEbXQMCAADYAwAADgAAAAAAAAABACAAAAAnAQAA&#10;ZHJzL2Uyb0RvYy54bWxQSwUGAAAAAAYABgBZAQAAnAUAAAAA&#10;">
                <v:fill on="f" focussize="0,0"/>
                <v:stroke on="f"/>
                <v:imagedata o:title=""/>
                <o:lock v:ext="edit" aspectratio="f"/>
                <v:textbox>
                  <w:txbxContent>
                    <w:p>
                      <w:pPr>
                        <w:spacing w:line="240" w:lineRule="exact"/>
                        <w:ind w:left="181" w:hanging="181" w:hangingChars="10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指定分包工程结算与支付</w:t>
                      </w:r>
                    </w:p>
                  </w:txbxContent>
                </v:textbox>
              </v:shape>
            </w:pict>
          </mc:Fallback>
        </mc:AlternateContent>
      </w:r>
      <w:r>
        <w:rPr>
          <w:rFonts w:ascii="仿宋" w:hAnsi="仿宋" w:eastAsia="仿宋" w:cs="仿宋"/>
          <w:b/>
          <w:bCs/>
          <w:color w:val="auto"/>
          <w:sz w:val="24"/>
          <w:szCs w:val="24"/>
          <w:highlight w:val="none"/>
        </w:rPr>
        <w:t xml:space="preserve">26.3  </w:t>
      </w:r>
    </w:p>
    <w:p>
      <w:pPr>
        <w:pStyle w:val="22"/>
        <w:widowControl/>
        <w:adjustRightInd w:val="0"/>
        <w:snapToGrid w:val="0"/>
        <w:spacing w:line="360" w:lineRule="auto"/>
        <w:ind w:left="1915" w:leftChars="912"/>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发包人应按照合同的约定向承包人支付指定分包人的分包工程配合费。</w:t>
      </w:r>
    </w:p>
    <w:p>
      <w:pPr>
        <w:pStyle w:val="22"/>
        <w:widowControl/>
        <w:adjustRightInd w:val="0"/>
        <w:snapToGrid w:val="0"/>
        <w:spacing w:line="360" w:lineRule="auto"/>
        <w:ind w:left="197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指定分包工程款的结算与支付，按照第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款办理。</w:t>
      </w:r>
    </w:p>
    <w:p>
      <w:pPr>
        <w:spacing w:line="360" w:lineRule="auto"/>
        <w:rPr>
          <w:rFonts w:ascii="仿宋" w:hAnsi="仿宋" w:eastAsia="仿宋"/>
          <w:b/>
          <w:bCs/>
          <w:color w:val="auto"/>
          <w:sz w:val="24"/>
          <w:szCs w:val="24"/>
          <w:highlight w:val="none"/>
          <w:u w:val="dotted"/>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337" name="文本框 92"/>
                <wp:cNvGraphicFramePr/>
                <a:graphic xmlns:a="http://schemas.openxmlformats.org/drawingml/2006/main">
                  <a:graphicData uri="http://schemas.microsoft.com/office/word/2010/wordprocessingShape">
                    <wps:wsp>
                      <wps:cNvSpPr txBox="1">
                        <a:spLocks noChangeArrowheads="1"/>
                      </wps:cNvSpPr>
                      <wps:spPr bwMode="auto">
                        <a:xfrm>
                          <a:off x="0" y="0"/>
                          <a:ext cx="1133475" cy="7918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wps:txbx>
                      <wps:bodyPr rot="0" vert="horz" wrap="square" lIns="91440" tIns="45720" rIns="91440" bIns="45720" anchor="t" anchorCtr="0" upright="1">
                        <a:noAutofit/>
                      </wps:bodyPr>
                    </wps:wsp>
                  </a:graphicData>
                </a:graphic>
              </wp:anchor>
            </w:drawing>
          </mc:Choice>
          <mc:Fallback>
            <w:pict>
              <v:shape id="文本框 92"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TIIv1wAAAAoBAAAPAAAAAAAAAAEAIAAAACIAAABkcnMv&#10;ZG93bnJldi54bWxQSwECFAAUAAAACACHTuJA44Q8dQQCAADYAwAADgAAAAAAAAABACAAAAAmAQAA&#10;ZHJzL2Uyb0RvYy54bWxQSwUGAAAAAAYABgBZAQAAn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b/>
                          <w:bCs/>
                          <w:color w:val="000000"/>
                        </w:rPr>
                      </w:pPr>
                    </w:p>
                    <w:p/>
                    <w:p/>
                  </w:txbxContent>
                </v:textbox>
              </v:shape>
            </w:pict>
          </mc:Fallback>
        </mc:AlternateContent>
      </w:r>
      <w:r>
        <w:rPr>
          <w:rFonts w:ascii="仿宋" w:hAnsi="仿宋" w:eastAsia="仿宋" w:cs="仿宋"/>
          <w:b/>
          <w:bCs/>
          <w:color w:val="auto"/>
          <w:sz w:val="24"/>
          <w:szCs w:val="24"/>
          <w:highlight w:val="none"/>
        </w:rPr>
        <w:t>26.4</w:t>
      </w:r>
    </w:p>
    <w:p>
      <w:pPr>
        <w:pStyle w:val="22"/>
        <w:widowControl/>
        <w:tabs>
          <w:tab w:val="left" w:pos="1260"/>
        </w:tabs>
        <w:adjustRightInd w:val="0"/>
        <w:snapToGrid w:val="0"/>
        <w:spacing w:line="360" w:lineRule="auto"/>
        <w:ind w:left="1978" w:leftChars="942" w:firstLine="1"/>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指定分包人应按照分包合同的约定对承包人负责。承包人有义务协助、配合指定分包人实施分包工程。</w:t>
      </w:r>
    </w:p>
    <w:p>
      <w:pPr>
        <w:spacing w:line="360" w:lineRule="auto"/>
        <w:rPr>
          <w:rFonts w:ascii="仿宋" w:hAnsi="仿宋" w:eastAsia="仿宋"/>
          <w:b/>
          <w:bCs/>
          <w:color w:val="auto"/>
          <w:sz w:val="24"/>
          <w:szCs w:val="24"/>
          <w:highlight w:val="none"/>
          <w:u w:val="single"/>
        </w:rPr>
      </w:pPr>
    </w:p>
    <w:p>
      <w:pPr>
        <w:pStyle w:val="22"/>
        <w:tabs>
          <w:tab w:val="left" w:pos="540"/>
        </w:tabs>
        <w:adjustRightInd w:val="0"/>
        <w:snapToGrid w:val="0"/>
        <w:spacing w:before="312" w:beforeLines="100"/>
        <w:outlineLvl w:val="2"/>
        <w:rPr>
          <w:rFonts w:ascii="仿宋" w:hAnsi="仿宋" w:eastAsia="仿宋"/>
          <w:b/>
          <w:bCs/>
          <w:color w:val="auto"/>
          <w:sz w:val="24"/>
          <w:szCs w:val="24"/>
          <w:highlight w:val="none"/>
        </w:rPr>
      </w:pPr>
      <w:bookmarkStart w:id="219" w:name="_Toc25653633"/>
      <w:bookmarkStart w:id="220" w:name="_Toc6607"/>
      <w:bookmarkStart w:id="221" w:name="_Toc19947"/>
      <w:bookmarkStart w:id="222" w:name="_Toc469384007"/>
      <w:r>
        <w:rPr>
          <w:rFonts w:ascii="仿宋" w:hAnsi="仿宋" w:eastAsia="仿宋" w:cs="仿宋"/>
          <w:b/>
          <w:bCs/>
          <w:color w:val="auto"/>
          <w:sz w:val="24"/>
          <w:szCs w:val="24"/>
          <w:highlight w:val="none"/>
        </w:rPr>
        <w:t xml:space="preserve">27  </w:t>
      </w:r>
      <w:r>
        <w:rPr>
          <w:rFonts w:hint="eastAsia" w:ascii="仿宋" w:hAnsi="仿宋" w:eastAsia="仿宋" w:cs="仿宋"/>
          <w:b/>
          <w:bCs/>
          <w:color w:val="auto"/>
          <w:sz w:val="24"/>
          <w:szCs w:val="24"/>
          <w:highlight w:val="none"/>
        </w:rPr>
        <w:t>承包人劳务</w:t>
      </w:r>
      <w:bookmarkEnd w:id="219"/>
      <w:bookmarkEnd w:id="220"/>
      <w:bookmarkEnd w:id="221"/>
      <w:bookmarkEnd w:id="222"/>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27.1   </w:t>
      </w:r>
    </w:p>
    <w:p>
      <w:pPr>
        <w:widowControl/>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36" name="文本框 93"/>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93"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s6rC1QAAAAkBAAAPAAAAAAAAAAEAIAAAACIAAABkcnMvZG93bnJl&#10;di54bWxQSwECFAAUAAAACACHTuJAxnHygA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 w:hAnsi="仿宋" w:eastAsia="仿宋" w:cs="仿宋"/>
          <w:color w:val="auto"/>
          <w:sz w:val="24"/>
          <w:szCs w:val="24"/>
          <w:highlight w:val="none"/>
        </w:rPr>
        <w:t>承包人应在接到开工令后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27.2 </w:t>
      </w:r>
    </w:p>
    <w:p>
      <w:pPr>
        <w:widowControl/>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35" name="文本框 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94"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Wt2iW1QAAAAgBAAAPAAAAAAAAAAEAIAAAACIAAABkcnMvZG93bnJl&#10;di54bWxQSwECFAAUAAAACACHTuJAtZL9lg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sz w:val="24"/>
          <w:szCs w:val="24"/>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27.3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34" name="文本框 9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95"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YCijVAAAACAEAAA8AAAAAAAAAAQAgAAAAIgAAAGRycy9kb3ducmV2&#10;LnhtbFBLAQIUABQAAAAIAIdO4kAgoKny/wEAANcDAAAOAAAAAAAAAAEAIAAAACQBAABkcnMvZTJv&#10;RG9jLnhtbFBLBQYAAAAABgAGAFkBAACV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 w:hAnsi="仿宋" w:eastAsia="仿宋" w:cs="仿宋"/>
          <w:color w:val="auto"/>
          <w:sz w:val="24"/>
          <w:szCs w:val="24"/>
          <w:highlight w:val="none"/>
        </w:rPr>
        <w:t>承包人应完善雇员的劳务注册手续，并与雇员订立劳动合同，明确双方的权利和义务。雇佣期间，承包人应做好下列工作：</w:t>
      </w:r>
    </w:p>
    <w:p>
      <w:pPr>
        <w:tabs>
          <w:tab w:val="left" w:pos="1080"/>
          <w:tab w:val="left" w:pos="2160"/>
        </w:tabs>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负责为雇员提供必要的食宿及各种生活设施，采取合理的卫生、劳动保护和安全防护措施，保证雇员的健康和安全；</w:t>
      </w:r>
    </w:p>
    <w:p>
      <w:pPr>
        <w:tabs>
          <w:tab w:val="left" w:pos="1080"/>
          <w:tab w:val="left" w:pos="2160"/>
        </w:tabs>
        <w:spacing w:line="360" w:lineRule="auto"/>
        <w:ind w:left="1680" w:leftChars="8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保障雇员的合法权利和人身安全，及时采取有效措施抢救和治疗施工中受伤害的雇员；</w:t>
      </w:r>
    </w:p>
    <w:p>
      <w:pPr>
        <w:tabs>
          <w:tab w:val="left" w:pos="2160"/>
        </w:tabs>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充分考虑和保障雇员的休息时间和法定节假日休假时间，尊重雇员的宗教信仰和风俗习惯；</w:t>
      </w:r>
    </w:p>
    <w:p>
      <w:pPr>
        <w:tabs>
          <w:tab w:val="left" w:pos="1080"/>
          <w:tab w:val="left" w:pos="2160"/>
        </w:tabs>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在施工现场主要出入口处设榜公布雇员工资发放时间和投诉电话，以及合同工程中标价格、进度款支付情况。</w:t>
      </w:r>
    </w:p>
    <w:p>
      <w:pPr>
        <w:tabs>
          <w:tab w:val="left" w:pos="1080"/>
          <w:tab w:val="left" w:pos="2160"/>
        </w:tabs>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督促雇员和发包人现场人员应佩戴由合同双方当事人共同盖章、签发的工作证上岗；</w:t>
      </w:r>
    </w:p>
    <w:p>
      <w:pPr>
        <w:tabs>
          <w:tab w:val="left" w:pos="1080"/>
          <w:tab w:val="left" w:pos="2160"/>
        </w:tabs>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办理雇员的意外伤害等一切保险，处理雇员因工伤亡事故的善后事宜。</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27.4  </w:t>
      </w:r>
    </w:p>
    <w:p>
      <w:pPr>
        <w:pStyle w:val="32"/>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33"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9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5RFTPUAAAACAEAAA8AAAAAAAAAAQAgAAAAIgAAAGRycy9kb3ducmV2&#10;LnhtbFBLAQIUABQAAAAIAIdO4kBU+SpZAAIAANcDAAAOAAAAAAAAAAEAIAAAACMBAABkcnMvZTJv&#10;RG9jLnhtbFBLBQYAAAAABgAGAFkBAACV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仿宋" w:hAnsi="仿宋" w:eastAsia="仿宋" w:cs="仿宋"/>
          <w:color w:val="auto"/>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27.5  </w:t>
      </w:r>
    </w:p>
    <w:p>
      <w:pPr>
        <w:pStyle w:val="32"/>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32" name="文本框 97"/>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97"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jbnstUAAAAHAQAADwAAAAAAAAABACAAAAAiAAAAZHJzL2Rvd25y&#10;ZXYueG1sUEsBAhQAFAAAAAgAh07iQLbm51w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仿宋" w:hAnsi="仿宋" w:eastAsia="仿宋" w:cs="仿宋"/>
          <w:color w:val="auto"/>
          <w:highlight w:val="none"/>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27.6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31"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98"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s4xE1AAAAAgBAAAPAAAAAAAAAAEAIAAAACIAAABkcnMvZG93bnJl&#10;di54bWxQSwECFAAUAAAACACHTuJABMmn2AECAADX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 w:hAnsi="仿宋" w:eastAsia="仿宋" w:cs="仿宋"/>
          <w:color w:val="auto"/>
          <w:sz w:val="24"/>
          <w:szCs w:val="24"/>
          <w:highlight w:val="none"/>
        </w:rPr>
        <w:t>承包人的雇员应是在行业或职业内具有相应资格、技能和经验的人员。承包人应向施工场地派遣足够数量的下列雇员：</w:t>
      </w:r>
    </w:p>
    <w:p>
      <w:pPr>
        <w:numPr>
          <w:ilvl w:val="1"/>
          <w:numId w:val="13"/>
        </w:numPr>
        <w:tabs>
          <w:tab w:val="left" w:pos="2160"/>
          <w:tab w:val="left" w:pos="2340"/>
        </w:tabs>
        <w:spacing w:line="360" w:lineRule="auto"/>
        <w:ind w:left="1619" w:leftChars="771"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具有相应资格的专业技工和合格的普工；</w:t>
      </w:r>
    </w:p>
    <w:p>
      <w:pPr>
        <w:numPr>
          <w:ilvl w:val="1"/>
          <w:numId w:val="13"/>
        </w:numPr>
        <w:tabs>
          <w:tab w:val="left" w:pos="2160"/>
          <w:tab w:val="left" w:pos="234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具有相应施工经验的技术人员；</w:t>
      </w:r>
    </w:p>
    <w:p>
      <w:pPr>
        <w:numPr>
          <w:ilvl w:val="1"/>
          <w:numId w:val="13"/>
        </w:numPr>
        <w:tabs>
          <w:tab w:val="left" w:pos="2160"/>
          <w:tab w:val="left" w:pos="2340"/>
        </w:tabs>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具有相应岗位资格的各级管理人员。</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27.7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30" name="文本框 99"/>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99"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b8yh1AAAAAcBAAAPAAAAAAAAAAEAIAAAACIAAABkcnMvZG93bnJl&#10;di54bWxQSwECFAAUAAAACACHTuJA8nvsggECAADX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sz w:val="24"/>
          <w:szCs w:val="24"/>
          <w:highlight w:val="none"/>
        </w:rPr>
        <w:t>承包人安排在施工场地的雇员应保持相对稳定，但有下列行为的任何承包人雇员，监理工程师可要求承包人将其撤换：</w:t>
      </w:r>
    </w:p>
    <w:p>
      <w:pPr>
        <w:numPr>
          <w:ilvl w:val="0"/>
          <w:numId w:val="14"/>
        </w:numPr>
        <w:tabs>
          <w:tab w:val="left" w:pos="2160"/>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经常行为不当，或工作漫不经心；</w:t>
      </w:r>
    </w:p>
    <w:p>
      <w:pPr>
        <w:numPr>
          <w:ilvl w:val="0"/>
          <w:numId w:val="14"/>
        </w:numPr>
        <w:tabs>
          <w:tab w:val="left" w:pos="2160"/>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无能力履行义务或玩忽职守；</w:t>
      </w:r>
    </w:p>
    <w:p>
      <w:pPr>
        <w:numPr>
          <w:ilvl w:val="0"/>
          <w:numId w:val="14"/>
        </w:numPr>
        <w:tabs>
          <w:tab w:val="left" w:pos="2160"/>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不遵守合同的约定；</w:t>
      </w:r>
    </w:p>
    <w:p>
      <w:pPr>
        <w:numPr>
          <w:ilvl w:val="0"/>
          <w:numId w:val="14"/>
        </w:numPr>
        <w:tabs>
          <w:tab w:val="left" w:pos="2160"/>
        </w:tabs>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有损安全、健康和不利于环境保护的行为。</w:t>
      </w:r>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27.8  </w:t>
      </w:r>
    </w:p>
    <w:p>
      <w:pPr>
        <w:pStyle w:val="32"/>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29"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100"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LXY79UAAAAHAQAADwAAAAAAAAABACAAAAAiAAAAZHJzL2Rvd25y&#10;ZXYueG1sUEsBAhQAFAAAAAgAh07iQEFZhOc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rPr>
        <w:t>承包人应自始至终采取各种合理的预防措施，防止雇员内部发生打斗和任何无序、非法的不良行为，以确保现场安定和保护现场及邻近人员的生命、财产安全。</w:t>
      </w:r>
    </w:p>
    <w:p>
      <w:pPr>
        <w:spacing w:line="360" w:lineRule="auto"/>
        <w:rPr>
          <w:rFonts w:ascii="仿宋" w:hAnsi="仿宋" w:eastAsia="仿宋"/>
          <w:b/>
          <w:bCs/>
          <w:color w:val="auto"/>
          <w:sz w:val="24"/>
          <w:szCs w:val="24"/>
          <w:highlight w:val="none"/>
        </w:rPr>
      </w:pPr>
    </w:p>
    <w:p>
      <w:pPr>
        <w:pStyle w:val="22"/>
        <w:adjustRightInd w:val="0"/>
        <w:snapToGrid w:val="0"/>
        <w:spacing w:line="360" w:lineRule="auto"/>
        <w:ind w:right="-238"/>
        <w:jc w:val="center"/>
        <w:outlineLvl w:val="1"/>
        <w:rPr>
          <w:rFonts w:ascii="仿宋" w:hAnsi="仿宋" w:eastAsia="仿宋"/>
          <w:b/>
          <w:bCs/>
          <w:color w:val="auto"/>
          <w:sz w:val="24"/>
          <w:szCs w:val="24"/>
          <w:highlight w:val="none"/>
        </w:rPr>
      </w:pPr>
      <w:bookmarkStart w:id="223" w:name="_Toc25653634"/>
      <w:bookmarkStart w:id="224" w:name="_Toc469384008"/>
      <w:bookmarkStart w:id="225" w:name="_Toc27677"/>
      <w:bookmarkStart w:id="226" w:name="_Toc15208"/>
      <w:r>
        <w:rPr>
          <w:rFonts w:hint="eastAsia" w:ascii="仿宋" w:hAnsi="仿宋" w:eastAsia="仿宋" w:cs="仿宋"/>
          <w:b/>
          <w:bCs/>
          <w:color w:val="auto"/>
          <w:sz w:val="24"/>
          <w:szCs w:val="24"/>
          <w:highlight w:val="none"/>
        </w:rPr>
        <w:t>三、担保、保险与风险</w:t>
      </w:r>
      <w:bookmarkEnd w:id="223"/>
      <w:bookmarkEnd w:id="224"/>
      <w:bookmarkEnd w:id="225"/>
      <w:bookmarkEnd w:id="226"/>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227" w:name="_Toc25653635"/>
      <w:bookmarkStart w:id="228" w:name="_Toc17265"/>
      <w:bookmarkStart w:id="229" w:name="_Toc469384009"/>
      <w:bookmarkStart w:id="230" w:name="_Toc16118"/>
      <w:r>
        <w:rPr>
          <w:rFonts w:ascii="仿宋" w:hAnsi="仿宋" w:eastAsia="仿宋" w:cs="仿宋"/>
          <w:b/>
          <w:bCs/>
          <w:color w:val="auto"/>
          <w:sz w:val="24"/>
          <w:szCs w:val="24"/>
          <w:highlight w:val="none"/>
        </w:rPr>
        <w:t xml:space="preserve">28  </w:t>
      </w:r>
      <w:r>
        <w:rPr>
          <w:rFonts w:hint="eastAsia" w:ascii="仿宋" w:hAnsi="仿宋" w:eastAsia="仿宋" w:cs="仿宋"/>
          <w:b/>
          <w:bCs/>
          <w:color w:val="auto"/>
          <w:sz w:val="24"/>
          <w:szCs w:val="24"/>
          <w:highlight w:val="none"/>
        </w:rPr>
        <w:t>工程担保</w:t>
      </w:r>
      <w:bookmarkEnd w:id="227"/>
      <w:bookmarkEnd w:id="228"/>
      <w:bookmarkEnd w:id="229"/>
      <w:bookmarkEnd w:id="230"/>
    </w:p>
    <w:p>
      <w:pPr>
        <w:pStyle w:val="22"/>
        <w:tabs>
          <w:tab w:val="left" w:pos="1320"/>
        </w:tabs>
        <w:adjustRightInd w:val="0"/>
        <w:snapToGrid w:val="0"/>
        <w:spacing w:line="360" w:lineRule="auto"/>
        <w:ind w:right="-24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328"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101"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BuUE1wAAAAoBAAAPAAAAAAAAAAEAIAAAACIAAABkcnMvZG93&#10;bnJldi54bWxQSwECFAAUAAAACACHTuJApyhobA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ascii="仿宋" w:hAnsi="仿宋" w:eastAsia="仿宋" w:cs="仿宋"/>
          <w:b/>
          <w:bCs/>
          <w:color w:val="auto"/>
          <w:sz w:val="24"/>
          <w:szCs w:val="24"/>
          <w:highlight w:val="none"/>
        </w:rPr>
        <w:t xml:space="preserve">28.1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sz w:val="24"/>
          <w:szCs w:val="24"/>
          <w:highlight w:val="none"/>
          <w:shd w:val="clear" w:color="auto" w:fill="FFFFFF"/>
        </w:rPr>
        <w:t>履约保证保险</w:t>
      </w:r>
      <w:r>
        <w:rPr>
          <w:rFonts w:hint="eastAsia" w:ascii="仿宋" w:hAnsi="仿宋" w:eastAsia="仿宋" w:cs="仿宋"/>
          <w:color w:val="auto"/>
          <w:sz w:val="24"/>
          <w:szCs w:val="24"/>
          <w:highlight w:val="none"/>
        </w:rPr>
        <w:t>的形式，提供履约保函、担保公司担保、</w:t>
      </w:r>
      <w:r>
        <w:rPr>
          <w:rFonts w:hint="eastAsia" w:ascii="仿宋" w:hAnsi="仿宋" w:eastAsia="仿宋" w:cs="仿宋"/>
          <w:color w:val="auto"/>
          <w:sz w:val="24"/>
          <w:szCs w:val="24"/>
          <w:highlight w:val="none"/>
          <w:shd w:val="clear" w:color="auto" w:fill="FFFFFF"/>
        </w:rPr>
        <w:t>履约保证保险</w:t>
      </w:r>
      <w:r>
        <w:rPr>
          <w:rFonts w:hint="eastAsia" w:ascii="仿宋" w:hAnsi="仿宋" w:eastAsia="仿宋" w:cs="仿宋"/>
          <w:color w:val="auto"/>
          <w:sz w:val="24"/>
          <w:szCs w:val="24"/>
          <w:highlight w:val="none"/>
        </w:rPr>
        <w:t>所发生的费用由承包人承担。</w:t>
      </w:r>
    </w:p>
    <w:p>
      <w:pPr>
        <w:pStyle w:val="22"/>
        <w:tabs>
          <w:tab w:val="left" w:pos="1320"/>
        </w:tabs>
        <w:adjustRightInd w:val="0"/>
        <w:snapToGrid w:val="0"/>
        <w:spacing w:line="360" w:lineRule="auto"/>
        <w:ind w:right="-24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27" name="文本框 102"/>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102"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kedSNcAAAAKAQAADwAAAAAAAAABACAAAAAiAAAAZHJzL2Rv&#10;d25yZXYueG1sUEsBAhQAFAAAAAgAh07iQHsYUTICAgAA2AMAAA4AAAAAAAAAAQAgAAAAJg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ascii="仿宋" w:hAnsi="仿宋" w:eastAsia="仿宋" w:cs="仿宋"/>
          <w:b/>
          <w:bCs/>
          <w:color w:val="auto"/>
          <w:sz w:val="24"/>
          <w:szCs w:val="24"/>
          <w:highlight w:val="none"/>
        </w:rPr>
        <w:t xml:space="preserve">28.2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履约担保的有效期，是从提供履约担保之日起至合同工程竣工验收合格之日止。发包人应在担保有效期满后的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天内将此担保退还给承包人。</w:t>
      </w:r>
    </w:p>
    <w:p>
      <w:pPr>
        <w:pStyle w:val="22"/>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26"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103"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bskPtgAAAAKAQAADwAAAAAAAAABACAAAAAiAAAAZHJzL2Rv&#10;d25yZXYueG1sUEsBAhQAFAAAAAgAh07iQLgpo4sBAgAA2AMAAA4AAAAAAAAAAQAgAAAAJw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ascii="仿宋" w:hAnsi="仿宋" w:eastAsia="仿宋" w:cs="仿宋"/>
          <w:b/>
          <w:bCs/>
          <w:color w:val="auto"/>
          <w:sz w:val="24"/>
          <w:szCs w:val="24"/>
          <w:highlight w:val="none"/>
        </w:rPr>
        <w:t xml:space="preserve">28.3  </w:t>
      </w:r>
    </w:p>
    <w:p>
      <w:pPr>
        <w:pStyle w:val="22"/>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22"/>
        <w:tabs>
          <w:tab w:val="left" w:pos="540"/>
          <w:tab w:val="left" w:pos="720"/>
        </w:tabs>
        <w:adjustRightInd w:val="0"/>
        <w:snapToGrid w:val="0"/>
        <w:spacing w:line="360" w:lineRule="auto"/>
        <w:ind w:right="-238"/>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25" name="文本框 104"/>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104"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sTv5jYAAAACgEAAA8AAAAAAAAAAQAgAAAAIgAAAGRycy9k&#10;b3ducmV2LnhtbFBLAQIUABQAAAAIAIdO4kAfWqauAgIAANgDAAAOAAAAAAAAAAEAIAAAACcBAABk&#10;cnMvZTJvRG9jLnhtbFBLBQYAAAAABgAGAFkBAACb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ascii="仿宋" w:hAnsi="仿宋" w:eastAsia="仿宋" w:cs="仿宋"/>
          <w:b/>
          <w:bCs/>
          <w:color w:val="auto"/>
          <w:sz w:val="24"/>
          <w:szCs w:val="24"/>
          <w:highlight w:val="none"/>
        </w:rPr>
        <w:t xml:space="preserve">28.4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sz w:val="24"/>
          <w:szCs w:val="24"/>
          <w:highlight w:val="none"/>
          <w:shd w:val="clear" w:color="auto" w:fill="FFFFFF"/>
        </w:rPr>
        <w:t>支付保证保险</w:t>
      </w:r>
      <w:r>
        <w:rPr>
          <w:rFonts w:hint="eastAsia" w:ascii="仿宋" w:hAnsi="仿宋" w:eastAsia="仿宋" w:cs="仿宋"/>
          <w:color w:val="auto"/>
          <w:sz w:val="24"/>
          <w:szCs w:val="24"/>
          <w:highlight w:val="none"/>
        </w:rPr>
        <w:t>的形式，提供支付保函、担保公司担保、</w:t>
      </w:r>
      <w:r>
        <w:rPr>
          <w:rFonts w:hint="eastAsia" w:ascii="仿宋" w:hAnsi="仿宋" w:eastAsia="仿宋" w:cs="仿宋"/>
          <w:color w:val="auto"/>
          <w:sz w:val="24"/>
          <w:szCs w:val="24"/>
          <w:highlight w:val="none"/>
          <w:shd w:val="clear" w:color="auto" w:fill="FFFFFF"/>
        </w:rPr>
        <w:t>支付保证保险</w:t>
      </w:r>
      <w:r>
        <w:rPr>
          <w:rFonts w:hint="eastAsia" w:ascii="仿宋" w:hAnsi="仿宋" w:eastAsia="仿宋" w:cs="仿宋"/>
          <w:color w:val="auto"/>
          <w:sz w:val="24"/>
          <w:szCs w:val="24"/>
          <w:highlight w:val="none"/>
        </w:rPr>
        <w:t>所发生的费用由发包人承担。</w:t>
      </w:r>
    </w:p>
    <w:p>
      <w:pPr>
        <w:pStyle w:val="22"/>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24" name="文本框 105"/>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105"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DJ2NgAAAAKAQAADwAAAAAAAAABACAAAAAiAAAAZHJzL2Rv&#10;d25yZXYueG1sUEsBAhQAFAAAAAgAh07iQJ4M0TQBAgAA2AMAAA4AAAAAAAAAAQAgAAAAJw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ascii="仿宋" w:hAnsi="仿宋" w:eastAsia="仿宋" w:cs="仿宋"/>
          <w:b/>
          <w:bCs/>
          <w:color w:val="auto"/>
          <w:sz w:val="24"/>
          <w:szCs w:val="24"/>
          <w:highlight w:val="none"/>
        </w:rPr>
        <w:t xml:space="preserve">28.5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天内将此担保退还给发包人。</w:t>
      </w:r>
    </w:p>
    <w:p>
      <w:pPr>
        <w:pStyle w:val="22"/>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323" name="文本框 1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10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hpBi1gAAAAoBAAAPAAAAAAAAAAEAIAAAACIAAABkcnMvZG93&#10;bnJldi54bWxQSwECFAAUAAAACACHTuJAijMbhw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ascii="仿宋" w:hAnsi="仿宋" w:eastAsia="仿宋" w:cs="仿宋"/>
          <w:b/>
          <w:bCs/>
          <w:color w:val="auto"/>
          <w:sz w:val="24"/>
          <w:szCs w:val="24"/>
          <w:highlight w:val="none"/>
        </w:rPr>
        <w:t xml:space="preserve">28.6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22"/>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322"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107"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AE2KnXAAAACgEAAA8AAAAAAAAAAQAgAAAAIgAAAGRycy9kb3du&#10;cmV2LnhtbFBLAQIUABQAAAAIAIdO4kDzgMZFAAIAANgDAAAOAAAAAAAAAAEAIAAAACY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ascii="仿宋" w:hAnsi="仿宋" w:eastAsia="仿宋" w:cs="仿宋"/>
          <w:b/>
          <w:bCs/>
          <w:color w:val="auto"/>
          <w:sz w:val="24"/>
          <w:szCs w:val="24"/>
          <w:highlight w:val="none"/>
        </w:rPr>
        <w:t xml:space="preserve">28.7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pPr>
        <w:pStyle w:val="22"/>
        <w:tabs>
          <w:tab w:val="left" w:pos="1320"/>
        </w:tabs>
        <w:adjustRightInd w:val="0"/>
        <w:snapToGrid w:val="0"/>
        <w:spacing w:line="360" w:lineRule="auto"/>
        <w:ind w:right="-238"/>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321" name="文本框 108"/>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108"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Eh91dcAAAAJAQAADwAAAAAAAAABACAAAAAiAAAAZHJzL2Rv&#10;d25yZXYueG1sUEsBAhQAFAAAAAgAh07iQO50PdsCAgAA2AMAAA4AAAAAAAAAAQAgAAAAJg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ascii="仿宋" w:hAnsi="仿宋" w:eastAsia="仿宋" w:cs="仿宋"/>
          <w:b/>
          <w:bCs/>
          <w:color w:val="auto"/>
          <w:sz w:val="24"/>
          <w:szCs w:val="24"/>
          <w:highlight w:val="none"/>
        </w:rPr>
        <w:t xml:space="preserve">28.8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合同双方当事人在专用条款中约定担保内容、方式和责任等事项，并签订担保合同，作为本合同附件。</w:t>
      </w:r>
    </w:p>
    <w:p>
      <w:pPr>
        <w:pStyle w:val="22"/>
        <w:adjustRightInd w:val="0"/>
        <w:snapToGrid w:val="0"/>
        <w:ind w:right="-24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231" w:name="_Toc469384010"/>
      <w:bookmarkStart w:id="232" w:name="_Toc26476"/>
      <w:bookmarkStart w:id="233" w:name="_Toc25653636"/>
      <w:bookmarkStart w:id="234" w:name="_Toc13292"/>
      <w:r>
        <w:rPr>
          <w:rFonts w:ascii="仿宋" w:hAnsi="仿宋" w:eastAsia="仿宋" w:cs="仿宋"/>
          <w:b/>
          <w:bCs/>
          <w:color w:val="auto"/>
          <w:sz w:val="24"/>
          <w:szCs w:val="24"/>
          <w:highlight w:val="none"/>
        </w:rPr>
        <w:t xml:space="preserve">29  </w:t>
      </w:r>
      <w:r>
        <w:rPr>
          <w:rFonts w:hint="eastAsia" w:ascii="仿宋" w:hAnsi="仿宋" w:eastAsia="仿宋" w:cs="仿宋"/>
          <w:b/>
          <w:bCs/>
          <w:color w:val="auto"/>
          <w:sz w:val="24"/>
          <w:szCs w:val="24"/>
          <w:highlight w:val="none"/>
        </w:rPr>
        <w:t>发包人风险</w:t>
      </w:r>
      <w:bookmarkEnd w:id="231"/>
      <w:bookmarkEnd w:id="232"/>
      <w:bookmarkEnd w:id="233"/>
      <w:bookmarkEnd w:id="234"/>
    </w:p>
    <w:p>
      <w:pPr>
        <w:pStyle w:val="22"/>
        <w:adjustRightInd w:val="0"/>
        <w:snapToGrid w:val="0"/>
        <w:spacing w:line="360" w:lineRule="auto"/>
        <w:ind w:right="-24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20" name="文本框 1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109"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aOr41wAAAAkBAAAPAAAAAAAAAAEAIAAAACIAAABkcnMvZG93&#10;bnJldi54bWxQSwECFAAUAAAACACHTuJAh9TWSQ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ascii="仿宋" w:hAnsi="仿宋" w:eastAsia="仿宋" w:cs="仿宋"/>
          <w:b/>
          <w:bCs/>
          <w:color w:val="auto"/>
          <w:sz w:val="24"/>
          <w:szCs w:val="24"/>
          <w:highlight w:val="none"/>
        </w:rPr>
        <w:t xml:space="preserve">29.1     </w:t>
      </w:r>
    </w:p>
    <w:p>
      <w:pPr>
        <w:pStyle w:val="22"/>
        <w:adjustRightInd w:val="0"/>
        <w:snapToGrid w:val="0"/>
        <w:spacing w:line="360" w:lineRule="auto"/>
        <w:ind w:left="1619" w:leftChars="771"/>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发包人应承担本合同中规定应由发包人承担的风险。</w:t>
      </w:r>
    </w:p>
    <w:p>
      <w:pPr>
        <w:pStyle w:val="22"/>
        <w:adjustRightInd w:val="0"/>
        <w:snapToGrid w:val="0"/>
        <w:spacing w:line="480" w:lineRule="auto"/>
        <w:ind w:right="-24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29.2  </w:t>
      </w:r>
    </w:p>
    <w:p>
      <w:pPr>
        <w:pStyle w:val="22"/>
        <w:adjustRightInd w:val="0"/>
        <w:snapToGrid w:val="0"/>
        <w:spacing w:line="360" w:lineRule="auto"/>
        <w:ind w:right="-240" w:firstLine="1350" w:firstLineChars="675"/>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69856" behindDoc="0" locked="0" layoutInCell="1" allowOverlap="1">
                <wp:simplePos x="0" y="0"/>
                <wp:positionH relativeFrom="column">
                  <wp:posOffset>-121920</wp:posOffset>
                </wp:positionH>
                <wp:positionV relativeFrom="paragraph">
                  <wp:posOffset>62865</wp:posOffset>
                </wp:positionV>
                <wp:extent cx="914400" cy="356235"/>
                <wp:effectExtent l="0" t="0" r="0" b="0"/>
                <wp:wrapNone/>
                <wp:docPr id="319"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110" o:spid="_x0000_s1026" o:spt="202" type="#_x0000_t202" style="position:absolute;left:0pt;margin-left:-9.6pt;margin-top:4.95pt;height:28.05pt;width:72pt;z-index:251769856;mso-width-relative:page;mso-height-relative:page;" filled="f" stroked="f" coordsize="21600,21600" o:gfxdata="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aasz9UAAAAIAQAADwAAAAAAAAABACAAAAAiAAAAZHJzL2Rvd25y&#10;ZXYueG1sUEsBAhQAFAAAAAgAh07iQKtNLaM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sz w:val="24"/>
          <w:szCs w:val="24"/>
          <w:highlight w:val="none"/>
        </w:rPr>
        <w:t>自开工之日起至颁发工程接收证书之日止，发包人风险包括但不限于：</w:t>
      </w:r>
    </w:p>
    <w:p>
      <w:pPr>
        <w:pStyle w:val="22"/>
        <w:numPr>
          <w:ilvl w:val="0"/>
          <w:numId w:val="15"/>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由于永久工程本身或施工而不可避免造成的财产（除工程本身、材料和工程设备和施工设备外）损失或损坏；</w:t>
      </w:r>
    </w:p>
    <w:p>
      <w:pPr>
        <w:pStyle w:val="22"/>
        <w:numPr>
          <w:ilvl w:val="0"/>
          <w:numId w:val="15"/>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由于发包人工作人员及其相关人员（除承包人外）的疏忽或违规造成的人员伤亡、财产损失或损坏；</w:t>
      </w:r>
    </w:p>
    <w:p>
      <w:pPr>
        <w:pStyle w:val="22"/>
        <w:numPr>
          <w:ilvl w:val="0"/>
          <w:numId w:val="15"/>
        </w:numPr>
        <w:tabs>
          <w:tab w:val="left" w:pos="1080"/>
        </w:tabs>
        <w:adjustRightInd w:val="0"/>
        <w:snapToGrid w:val="0"/>
        <w:spacing w:line="360" w:lineRule="auto"/>
        <w:ind w:left="2096" w:leftChars="772" w:hanging="475" w:hangingChars="198"/>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由于发包人提前使用或占用永久工程或其部分造成的损失或损坏；</w:t>
      </w:r>
    </w:p>
    <w:p>
      <w:pPr>
        <w:pStyle w:val="22"/>
        <w:numPr>
          <w:ilvl w:val="0"/>
          <w:numId w:val="15"/>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由于发包人提供或发包人负责的设计造成的对永久工程、材料和工程设备和施工设备的损失或损害；</w:t>
      </w:r>
    </w:p>
    <w:p>
      <w:pPr>
        <w:pStyle w:val="22"/>
        <w:numPr>
          <w:ilvl w:val="0"/>
          <w:numId w:val="15"/>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由于地质、邻近建筑物、古树名木和物价上涨等非承包人原因造成施工过程中费用的增加。</w:t>
      </w:r>
    </w:p>
    <w:p>
      <w:pPr>
        <w:pStyle w:val="22"/>
        <w:adjustRightInd w:val="0"/>
        <w:snapToGrid w:val="0"/>
        <w:spacing w:line="360" w:lineRule="auto"/>
        <w:ind w:right="-240"/>
        <w:rPr>
          <w:rFonts w:ascii="仿宋" w:hAnsi="仿宋" w:eastAsia="仿宋" w:cs="仿宋"/>
          <w:color w:val="auto"/>
          <w:sz w:val="24"/>
          <w:szCs w:val="24"/>
          <w:highlight w:val="none"/>
          <w:u w:val="single"/>
        </w:rPr>
      </w:pPr>
    </w:p>
    <w:p>
      <w:pPr>
        <w:pStyle w:val="22"/>
        <w:adjustRightInd w:val="0"/>
        <w:snapToGrid w:val="0"/>
        <w:spacing w:line="360" w:lineRule="auto"/>
        <w:ind w:right="-240"/>
        <w:outlineLvl w:val="2"/>
        <w:rPr>
          <w:rFonts w:ascii="仿宋" w:hAnsi="仿宋" w:eastAsia="仿宋"/>
          <w:b/>
          <w:bCs/>
          <w:color w:val="auto"/>
          <w:sz w:val="24"/>
          <w:szCs w:val="24"/>
          <w:highlight w:val="none"/>
        </w:rPr>
      </w:pPr>
      <w:bookmarkStart w:id="235" w:name="_Toc32644"/>
      <w:bookmarkStart w:id="236" w:name="_Toc469384011"/>
      <w:bookmarkStart w:id="237" w:name="_Toc27416"/>
      <w:bookmarkStart w:id="238" w:name="_Toc25653637"/>
      <w:r>
        <w:rPr>
          <w:rFonts w:ascii="仿宋" w:hAnsi="仿宋" w:eastAsia="仿宋" w:cs="仿宋"/>
          <w:b/>
          <w:bCs/>
          <w:color w:val="auto"/>
          <w:sz w:val="24"/>
          <w:szCs w:val="24"/>
          <w:highlight w:val="none"/>
        </w:rPr>
        <w:t xml:space="preserve">30  </w:t>
      </w:r>
      <w:r>
        <w:rPr>
          <w:rFonts w:hint="eastAsia" w:ascii="仿宋" w:hAnsi="仿宋" w:eastAsia="仿宋" w:cs="仿宋"/>
          <w:b/>
          <w:bCs/>
          <w:color w:val="auto"/>
          <w:sz w:val="24"/>
          <w:szCs w:val="24"/>
          <w:highlight w:val="none"/>
        </w:rPr>
        <w:t>承包人风险</w:t>
      </w:r>
      <w:bookmarkEnd w:id="235"/>
      <w:bookmarkEnd w:id="236"/>
      <w:bookmarkEnd w:id="237"/>
      <w:bookmarkEnd w:id="238"/>
    </w:p>
    <w:p>
      <w:pPr>
        <w:pStyle w:val="22"/>
        <w:tabs>
          <w:tab w:val="left" w:pos="1320"/>
          <w:tab w:val="left" w:pos="1440"/>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318" name="文本框 111"/>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1"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SqsmdYAAAAKAQAADwAAAAAAAAABACAAAAAiAAAAZHJzL2Rv&#10;d25yZXYueG1sUEsBAhQAFAAAAAgAh07iQDSNcKEDAgAA2QMAAA4AAAAAAAAAAQAgAAAAJQ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ascii="仿宋" w:hAnsi="仿宋" w:eastAsia="仿宋" w:cs="仿宋"/>
          <w:b/>
          <w:bCs/>
          <w:color w:val="auto"/>
          <w:sz w:val="24"/>
          <w:szCs w:val="24"/>
          <w:highlight w:val="none"/>
        </w:rPr>
        <w:t xml:space="preserve">30.1      </w:t>
      </w:r>
    </w:p>
    <w:p>
      <w:pPr>
        <w:pStyle w:val="22"/>
        <w:tabs>
          <w:tab w:val="left" w:pos="1440"/>
        </w:tabs>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承包人应承担本合同中规定应由承包人承担的风险。</w:t>
      </w:r>
    </w:p>
    <w:p>
      <w:pPr>
        <w:pStyle w:val="22"/>
        <w:tabs>
          <w:tab w:val="left" w:pos="1320"/>
          <w:tab w:val="left" w:pos="1440"/>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30.2  </w:t>
      </w:r>
    </w:p>
    <w:p>
      <w:pPr>
        <w:pStyle w:val="22"/>
        <w:tabs>
          <w:tab w:val="left" w:pos="1440"/>
        </w:tabs>
        <w:adjustRightInd w:val="0"/>
        <w:snapToGrid w:val="0"/>
        <w:spacing w:line="360" w:lineRule="auto"/>
        <w:ind w:left="1619" w:leftChars="771" w:firstLine="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1904" behindDoc="0" locked="0" layoutInCell="1" allowOverlap="1">
                <wp:simplePos x="0" y="0"/>
                <wp:positionH relativeFrom="column">
                  <wp:posOffset>-165735</wp:posOffset>
                </wp:positionH>
                <wp:positionV relativeFrom="paragraph">
                  <wp:posOffset>46355</wp:posOffset>
                </wp:positionV>
                <wp:extent cx="914400" cy="307975"/>
                <wp:effectExtent l="0" t="0" r="0" b="0"/>
                <wp:wrapNone/>
                <wp:docPr id="317" name="文本框 112"/>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112" o:spid="_x0000_s1026" o:spt="202" type="#_x0000_t202" style="position:absolute;left:0pt;margin-left:-13.05pt;margin-top:3.65pt;height:24.25pt;width:72pt;z-index:251771904;mso-width-relative:page;mso-height-relative:page;" filled="f" stroked="f" coordsize="21600,21600" o:gfxdata="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fHo5jWAAAACAEAAA8AAAAAAAAAAQAgAAAAIgAAAGRycy9kb3du&#10;cmV2LnhtbFBLAQIUABQAAAAIAIdO4kAWYVtGAQIAANg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int="eastAsia" w:ascii="仿宋" w:hAnsi="仿宋" w:eastAsia="仿宋" w:cs="仿宋"/>
          <w:color w:val="auto"/>
          <w:sz w:val="24"/>
          <w:szCs w:val="24"/>
          <w:highlight w:val="none"/>
        </w:rPr>
        <w:t>自开工之日起直到颁发工程接收证书之日止，承包人风险为：除第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条以外的人员伤亡以及财产（包括但不限于合同工程、材料、工程设备和施工设备）的损失或损坏。</w:t>
      </w:r>
    </w:p>
    <w:p>
      <w:pPr>
        <w:pStyle w:val="22"/>
        <w:adjustRightInd w:val="0"/>
        <w:snapToGrid w:val="0"/>
        <w:spacing w:line="360" w:lineRule="auto"/>
        <w:ind w:right="-240"/>
        <w:rPr>
          <w:rFonts w:ascii="仿宋" w:hAnsi="仿宋" w:eastAsia="仿宋" w:cs="仿宋"/>
          <w:b/>
          <w:bCs/>
          <w:color w:val="auto"/>
          <w:sz w:val="24"/>
          <w:szCs w:val="24"/>
          <w:highlight w:val="none"/>
          <w:u w:val="single"/>
        </w:rPr>
      </w:pPr>
    </w:p>
    <w:p>
      <w:pPr>
        <w:pStyle w:val="22"/>
        <w:adjustRightInd w:val="0"/>
        <w:snapToGrid w:val="0"/>
        <w:spacing w:line="360" w:lineRule="auto"/>
        <w:ind w:right="-240"/>
        <w:outlineLvl w:val="2"/>
        <w:rPr>
          <w:rFonts w:ascii="仿宋" w:hAnsi="仿宋" w:eastAsia="仿宋"/>
          <w:b/>
          <w:bCs/>
          <w:color w:val="auto"/>
          <w:sz w:val="24"/>
          <w:szCs w:val="24"/>
          <w:highlight w:val="none"/>
        </w:rPr>
      </w:pPr>
      <w:bookmarkStart w:id="239" w:name="_Toc25653638"/>
      <w:bookmarkStart w:id="240" w:name="_Toc1177"/>
      <w:bookmarkStart w:id="241" w:name="_Toc469384012"/>
      <w:bookmarkStart w:id="242" w:name="_Toc25938"/>
      <w:r>
        <w:rPr>
          <w:rFonts w:ascii="仿宋" w:hAnsi="仿宋" w:eastAsia="仿宋" w:cs="仿宋"/>
          <w:b/>
          <w:bCs/>
          <w:color w:val="auto"/>
          <w:sz w:val="24"/>
          <w:szCs w:val="24"/>
          <w:highlight w:val="none"/>
        </w:rPr>
        <w:t xml:space="preserve">31  </w:t>
      </w:r>
      <w:r>
        <w:rPr>
          <w:rFonts w:hint="eastAsia" w:ascii="仿宋" w:hAnsi="仿宋" w:eastAsia="仿宋" w:cs="仿宋"/>
          <w:b/>
          <w:bCs/>
          <w:color w:val="auto"/>
          <w:sz w:val="24"/>
          <w:szCs w:val="24"/>
          <w:highlight w:val="none"/>
        </w:rPr>
        <w:t>不可抗力</w:t>
      </w:r>
      <w:bookmarkEnd w:id="239"/>
      <w:bookmarkEnd w:id="240"/>
      <w:bookmarkEnd w:id="241"/>
      <w:bookmarkEnd w:id="242"/>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31.1      </w:t>
      </w:r>
    </w:p>
    <w:p>
      <w:pPr>
        <w:pStyle w:val="22"/>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不可抗力是指合同当事人在签订合同时不可预见，在合同履行过程中不可避免且不能克服的自然灾害和社会性突发事件，如地震、海啸、瘟疫、骚乱、戒严、暴动、战争等。</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31.2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316"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113"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vtL+3VAAAACAEAAA8AAAAAAAAAAQAgAAAAIgAAAGRycy9kb3du&#10;cmV2LnhtbFBLAQIUABQAAAAIAIdO4kA0yKN7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天内，承包人向监理工程师通报受害情况和损失情况，并预计清理和修复的费用，抄送造价工程师。不可抗力事件持续发生，承包人应每隔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天向监理工程师和造价工程师报告一次受害情况。不可抗力事件结束后的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天内，承包人应分别按照第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条规定索赔工期、费用。</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31.3  </w:t>
      </w:r>
    </w:p>
    <w:p>
      <w:pPr>
        <w:pStyle w:val="22"/>
        <w:adjustRightInd w:val="0"/>
        <w:snapToGrid w:val="0"/>
        <w:spacing w:line="360" w:lineRule="auto"/>
        <w:ind w:left="1619" w:leftChars="771" w:firstLine="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315" name="文本框 114"/>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114"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oS66V1wAAAAkBAAAPAAAAAAAAAAEAIAAAACIAAABkcnMvZG93&#10;bnJldi54bWxQSwECFAAUAAAACACHTuJAJPO4vQ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 w:hAnsi="仿宋" w:eastAsia="仿宋" w:cs="仿宋"/>
          <w:color w:val="auto"/>
          <w:sz w:val="24"/>
          <w:szCs w:val="24"/>
          <w:highlight w:val="none"/>
        </w:rPr>
        <w:t>因不可抗力事件导致的费用，由合同双方当事人按照下列规定承担，并相应调整合同价款：</w:t>
      </w:r>
    </w:p>
    <w:p>
      <w:pPr>
        <w:pStyle w:val="22"/>
        <w:numPr>
          <w:ilvl w:val="0"/>
          <w:numId w:val="16"/>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永久工程本身的损害、已运至施工场地的材料和工程设备的损害，以及因工程损害导致第三者人员伤亡和财产损失，由发包人承担；</w:t>
      </w:r>
    </w:p>
    <w:p>
      <w:pPr>
        <w:pStyle w:val="22"/>
        <w:numPr>
          <w:ilvl w:val="0"/>
          <w:numId w:val="16"/>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承包人施工设备和用于合同工程的周转材料损坏以及停工损失，由承包人承担；发包人提供的施工设备损坏，由发包人承担；</w:t>
      </w:r>
    </w:p>
    <w:p>
      <w:pPr>
        <w:pStyle w:val="22"/>
        <w:numPr>
          <w:ilvl w:val="0"/>
          <w:numId w:val="16"/>
        </w:numPr>
        <w:tabs>
          <w:tab w:val="left" w:pos="108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施工场地内的人员伤亡和本款第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点以外财产损失及其相关费用，由合同双方当事人各自承担；</w:t>
      </w:r>
    </w:p>
    <w:p>
      <w:pPr>
        <w:pStyle w:val="22"/>
        <w:numPr>
          <w:ilvl w:val="0"/>
          <w:numId w:val="16"/>
        </w:numPr>
        <w:tabs>
          <w:tab w:val="left" w:pos="108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停工期间，承包人应监理工程师要求照管工程的费用，由发包人承担；</w:t>
      </w:r>
    </w:p>
    <w:p>
      <w:pPr>
        <w:pStyle w:val="22"/>
        <w:numPr>
          <w:ilvl w:val="0"/>
          <w:numId w:val="16"/>
        </w:numPr>
        <w:tabs>
          <w:tab w:val="left" w:pos="1080"/>
        </w:tabs>
        <w:adjustRightInd w:val="0"/>
        <w:snapToGrid w:val="0"/>
        <w:spacing w:line="360" w:lineRule="auto"/>
        <w:ind w:left="2096" w:leftChars="772" w:hanging="475" w:hangingChars="198"/>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工程所需的清理、修复费用，由发包人承担。</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4" name="文本框 115"/>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115"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5whodcAAAAKAQAADwAAAAAAAAABACAAAAAiAAAAZHJzL2Rv&#10;d25yZXYueG1sUEsBAhQAFAAAAAgAh07iQJhlCsoCAgAA2AMAAA4AAAAAAAAAAQAgAAAAJgEAAGRy&#10;cy9lMm9Eb2MueG1sUEsFBgAAAAAGAAYAWQEAAJo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ascii="仿宋" w:hAnsi="仿宋" w:eastAsia="仿宋" w:cs="仿宋"/>
          <w:b/>
          <w:bCs/>
          <w:color w:val="auto"/>
          <w:sz w:val="24"/>
          <w:szCs w:val="24"/>
          <w:highlight w:val="none"/>
        </w:rPr>
        <w:t xml:space="preserve">31.4  </w:t>
      </w:r>
    </w:p>
    <w:p>
      <w:pPr>
        <w:pStyle w:val="22"/>
        <w:adjustRightInd w:val="0"/>
        <w:snapToGrid w:val="0"/>
        <w:spacing w:line="360" w:lineRule="auto"/>
        <w:ind w:left="1619" w:leftChars="771"/>
        <w:rPr>
          <w:rFonts w:ascii="仿宋" w:hAnsi="仿宋" w:eastAsia="仿宋"/>
          <w:dstrike/>
          <w:color w:val="auto"/>
          <w:sz w:val="24"/>
          <w:szCs w:val="24"/>
          <w:highlight w:val="none"/>
        </w:rPr>
      </w:pPr>
      <w:r>
        <w:rPr>
          <w:rFonts w:hint="eastAsia" w:ascii="仿宋" w:hAnsi="仿宋" w:eastAsia="仿宋" w:cs="仿宋"/>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3" name="文本框 116"/>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11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nCGh1wAAAAoBAAAPAAAAAAAAAAEAIAAAACIAAABkcnMvZG93&#10;bnJldi54bWxQSwECFAAUAAAACACHTuJARATRIg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ascii="仿宋" w:hAnsi="仿宋" w:eastAsia="仿宋" w:cs="仿宋"/>
          <w:b/>
          <w:bCs/>
          <w:color w:val="auto"/>
          <w:sz w:val="24"/>
          <w:szCs w:val="24"/>
          <w:highlight w:val="none"/>
        </w:rPr>
        <w:t xml:space="preserve">31.5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合同任何一方当事人延迟履行合同后发生不可抗力事件的，不能免除另一方当事人因不可抗力造成损失的责任。</w:t>
      </w:r>
    </w:p>
    <w:p>
      <w:pPr>
        <w:pStyle w:val="22"/>
        <w:adjustRightInd w:val="0"/>
        <w:snapToGrid w:val="0"/>
        <w:spacing w:line="48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2"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117"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nCGh1wAAAAoBAAAPAAAAAAAAAAEAIAAAACIAAABkcnMvZG93&#10;bnJldi54bWxQSwECFAAUAAAACACHTuJAwNtmJg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ascii="仿宋" w:hAnsi="仿宋" w:eastAsia="仿宋" w:cs="仿宋"/>
          <w:b/>
          <w:bCs/>
          <w:color w:val="auto"/>
          <w:sz w:val="24"/>
          <w:szCs w:val="24"/>
          <w:highlight w:val="none"/>
        </w:rPr>
        <w:t xml:space="preserve">31.6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pPr>
        <w:pStyle w:val="22"/>
        <w:adjustRightInd w:val="0"/>
        <w:snapToGrid w:val="0"/>
        <w:spacing w:line="480" w:lineRule="auto"/>
        <w:rPr>
          <w:rFonts w:ascii="仿宋" w:hAnsi="仿宋" w:eastAsia="仿宋" w:cs="仿宋"/>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243" w:name="_Toc25653639"/>
      <w:bookmarkStart w:id="244" w:name="_Toc469384013"/>
      <w:bookmarkStart w:id="245" w:name="_Toc12265"/>
      <w:bookmarkStart w:id="246" w:name="_Toc14201"/>
      <w:r>
        <w:rPr>
          <w:rFonts w:ascii="仿宋" w:hAnsi="仿宋" w:eastAsia="仿宋" w:cs="仿宋"/>
          <w:b/>
          <w:bCs/>
          <w:color w:val="auto"/>
          <w:sz w:val="24"/>
          <w:szCs w:val="24"/>
          <w:highlight w:val="none"/>
        </w:rPr>
        <w:t xml:space="preserve">32  </w:t>
      </w:r>
      <w:r>
        <w:rPr>
          <w:rFonts w:hint="eastAsia" w:ascii="仿宋" w:hAnsi="仿宋" w:eastAsia="仿宋" w:cs="仿宋"/>
          <w:b/>
          <w:bCs/>
          <w:color w:val="auto"/>
          <w:sz w:val="24"/>
          <w:szCs w:val="24"/>
          <w:highlight w:val="none"/>
        </w:rPr>
        <w:t>保险</w:t>
      </w:r>
      <w:bookmarkEnd w:id="243"/>
      <w:bookmarkEnd w:id="244"/>
      <w:bookmarkEnd w:id="245"/>
      <w:bookmarkEnd w:id="246"/>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32.1      </w:t>
      </w:r>
    </w:p>
    <w:p>
      <w:pPr>
        <w:pStyle w:val="22"/>
        <w:adjustRightInd w:val="0"/>
        <w:snapToGrid w:val="0"/>
        <w:spacing w:line="360" w:lineRule="auto"/>
        <w:ind w:firstLine="1350" w:firstLineChars="675"/>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11" name="文本框 118"/>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8"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nwRtUAAAAIAQAADwAAAAAAAAABACAAAAAiAAAAZHJzL2Rv&#10;d25yZXYueG1sUEsBAhQAFAAAAAgAh07iQOddARoEAgAA2QMAAA4AAAAAAAAAAQAgAAAAJA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auto"/>
          <w:sz w:val="24"/>
          <w:szCs w:val="24"/>
          <w:highlight w:val="none"/>
        </w:rPr>
        <w:t>发包人应按照下列规定办理保险，并支付保险费：</w:t>
      </w:r>
    </w:p>
    <w:p>
      <w:pPr>
        <w:pStyle w:val="22"/>
        <w:numPr>
          <w:ilvl w:val="0"/>
          <w:numId w:val="17"/>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工程开工前，为合同工程办理建筑工程一切险、安装工程一切险；</w:t>
      </w:r>
    </w:p>
    <w:p>
      <w:pPr>
        <w:pStyle w:val="22"/>
        <w:numPr>
          <w:ilvl w:val="0"/>
          <w:numId w:val="17"/>
        </w:numPr>
        <w:tabs>
          <w:tab w:val="left" w:pos="540"/>
          <w:tab w:val="left" w:pos="1980"/>
        </w:tabs>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工程开工前，为施工场地内的自有人员（包括监理工程师、造价工程师在内）办理工伤保险、意外伤害保险；</w:t>
      </w:r>
    </w:p>
    <w:p>
      <w:pPr>
        <w:pStyle w:val="22"/>
        <w:numPr>
          <w:ilvl w:val="0"/>
          <w:numId w:val="17"/>
        </w:numPr>
        <w:tabs>
          <w:tab w:val="left" w:pos="540"/>
          <w:tab w:val="left" w:pos="1980"/>
        </w:tabs>
        <w:adjustRightInd w:val="0"/>
        <w:snapToGrid w:val="0"/>
        <w:spacing w:line="360" w:lineRule="auto"/>
        <w:ind w:left="2099" w:leftChars="771" w:hanging="480" w:hanging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为第三者办理第三者责任险；</w:t>
      </w:r>
    </w:p>
    <w:p>
      <w:pPr>
        <w:pStyle w:val="22"/>
        <w:numPr>
          <w:ilvl w:val="0"/>
          <w:numId w:val="17"/>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为运至施工场地内用于永久工程的材料和待安装工程设备办理保险。</w:t>
      </w:r>
    </w:p>
    <w:p>
      <w:pPr>
        <w:pStyle w:val="22"/>
        <w:tabs>
          <w:tab w:val="left" w:pos="1080"/>
        </w:tabs>
        <w:adjustRightInd w:val="0"/>
        <w:snapToGrid w:val="0"/>
        <w:spacing w:line="360" w:lineRule="auto"/>
        <w:ind w:left="1620"/>
        <w:rPr>
          <w:rFonts w:ascii="仿宋" w:hAnsi="仿宋" w:eastAsia="仿宋"/>
          <w:color w:val="auto"/>
          <w:sz w:val="24"/>
          <w:szCs w:val="24"/>
          <w:highlight w:val="none"/>
        </w:rPr>
      </w:pPr>
      <w:r>
        <w:rPr>
          <w:rFonts w:hint="eastAsia" w:ascii="仿宋" w:hAnsi="仿宋" w:eastAsia="仿宋" w:cs="仿宋"/>
          <w:color w:val="auto"/>
          <w:sz w:val="24"/>
          <w:szCs w:val="24"/>
          <w:highlight w:val="none"/>
        </w:rPr>
        <w:t>保险期从办理保险之日起至工程竣工验收合格之日止。</w:t>
      </w:r>
    </w:p>
    <w:p>
      <w:pPr>
        <w:pStyle w:val="22"/>
        <w:tabs>
          <w:tab w:val="left" w:pos="1080"/>
        </w:tabs>
        <w:adjustRightInd w:val="0"/>
        <w:snapToGrid w:val="0"/>
        <w:spacing w:line="360" w:lineRule="auto"/>
        <w:ind w:left="162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pPr>
        <w:spacing w:line="360" w:lineRule="auto"/>
        <w:ind w:left="1796" w:leftChars="798" w:hanging="120" w:hangingChars="50"/>
        <w:rPr>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）工程开工前，为合同工程办理工程质量保险；并由保险公司对工程质量、施工安全进行综合担保，以及聘请专业的团队进行工程建设全过程风险、质量控制。</w:t>
      </w:r>
    </w:p>
    <w:p>
      <w:pPr>
        <w:pStyle w:val="22"/>
        <w:tabs>
          <w:tab w:val="left" w:pos="132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310"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119"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lOyxbUAAAABwEAAA8AAAAAAAAAAQAgAAAAIgAAAGRycy9kb3du&#10;cmV2LnhtbFBLAQIUABQAAAAIAIdO4kDgTpx7AwIAANkDAAAOAAAAAAAAAAEAIAAAACM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auto"/>
          <w:sz w:val="24"/>
          <w:szCs w:val="24"/>
          <w:highlight w:val="none"/>
        </w:rPr>
        <w:t>承包人应按照下列规定办理保险，并支付保险费：</w:t>
      </w:r>
    </w:p>
    <w:p>
      <w:pPr>
        <w:pStyle w:val="22"/>
        <w:adjustRightInd w:val="0"/>
        <w:snapToGrid w:val="0"/>
        <w:spacing w:line="360" w:lineRule="auto"/>
        <w:ind w:left="1617" w:leftChars="770" w:firstLine="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工程开工前，为施工场地内自有人员（包括分包人在内）办理工伤保险、意外伤害保险；</w:t>
      </w:r>
    </w:p>
    <w:p>
      <w:pPr>
        <w:pStyle w:val="22"/>
        <w:adjustRightInd w:val="0"/>
        <w:snapToGrid w:val="0"/>
        <w:spacing w:line="360" w:lineRule="auto"/>
        <w:ind w:left="1676" w:leftChars="798"/>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为施工场地内的自有施工设备、第</w:t>
      </w: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点以外采购进场的材料和工程设备等办理保险。</w:t>
      </w:r>
    </w:p>
    <w:p>
      <w:pPr>
        <w:pStyle w:val="22"/>
        <w:tabs>
          <w:tab w:val="left" w:pos="1080"/>
        </w:tabs>
        <w:adjustRightInd w:val="0"/>
        <w:snapToGrid w:val="0"/>
        <w:spacing w:line="360" w:lineRule="auto"/>
        <w:ind w:left="1680" w:leftChars="800"/>
        <w:rPr>
          <w:rFonts w:ascii="仿宋" w:hAnsi="仿宋" w:eastAsia="仿宋"/>
          <w:color w:val="auto"/>
          <w:sz w:val="24"/>
          <w:szCs w:val="24"/>
          <w:highlight w:val="none"/>
        </w:rPr>
      </w:pPr>
      <w:r>
        <w:rPr>
          <w:rFonts w:hint="eastAsia" w:ascii="仿宋" w:hAnsi="仿宋" w:eastAsia="仿宋" w:cs="仿宋"/>
          <w:color w:val="auto"/>
          <w:sz w:val="24"/>
          <w:szCs w:val="24"/>
          <w:highlight w:val="none"/>
        </w:rPr>
        <w:t>保险期从开工之日起至工程竣工验收合格之日止。</w:t>
      </w:r>
    </w:p>
    <w:p>
      <w:pPr>
        <w:pStyle w:val="22"/>
        <w:tabs>
          <w:tab w:val="left" w:pos="108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309" name="文本框 120"/>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120"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skZ3jYAAAACgEAAA8AAAAAAAAAAQAgAAAAIgAAAGRycy9kb3du&#10;cmV2LnhtbFBLAQIUABQAAAAIAIdO4kB3VFoz/wEAANgDAAAOAAAAAAAAAAEAIAAAACc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rPr>
        <w:t xml:space="preserve">32.3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合同一方当事人应按照本合同要求向另一方当事人提供有效的投保保险单和保险凭证。</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308" name="文本框 12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文本框 121"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KJDi1wAAAAkBAAAPAAAAAAAAAAEAIAAAACIAAABkcnMvZG93&#10;bnJldi54bWxQSwECFAAUAAAACACHTuJAKs+6YgECAADYAwAADgAAAAAAAAABACAAAAAmAQAAZHJz&#10;L2Uyb0RvYy54bWxQSwUGAAAAAAYABgBZAQAAm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ascii="仿宋" w:hAnsi="仿宋" w:eastAsia="仿宋" w:cs="仿宋"/>
          <w:b/>
          <w:bCs/>
          <w:color w:val="auto"/>
          <w:sz w:val="24"/>
          <w:szCs w:val="24"/>
          <w:highlight w:val="none"/>
        </w:rPr>
        <w:t xml:space="preserve">32.4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合同双方当事人应遵守本条规定办理有关保险事项。如果未按规定投保的，应按下列规定补偿：</w:t>
      </w:r>
    </w:p>
    <w:p>
      <w:pPr>
        <w:pStyle w:val="22"/>
        <w:adjustRightInd w:val="0"/>
        <w:snapToGrid w:val="0"/>
        <w:spacing w:line="360" w:lineRule="auto"/>
        <w:ind w:left="1617" w:leftChars="770" w:firstLine="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由于负有投保义务的合同一方当事人未按合同约定办理保险，或未能使保险持续有效的，则另一方当事人可代为办理，所需费用由对方当事人承担；</w:t>
      </w:r>
    </w:p>
    <w:p>
      <w:pPr>
        <w:pStyle w:val="22"/>
        <w:adjustRightInd w:val="0"/>
        <w:snapToGrid w:val="0"/>
        <w:spacing w:line="360" w:lineRule="auto"/>
        <w:ind w:left="1617" w:leftChars="770" w:firstLine="1"/>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由于负有投保义务的合同一方当事人未按合同约定办理某项保险，导致受益人未能得到保险人的赔偿，则该项保险金应由负有投保义务的一方当事人支付。</w:t>
      </w:r>
    </w:p>
    <w:p>
      <w:pPr>
        <w:pStyle w:val="22"/>
        <w:adjustRightInd w:val="0"/>
        <w:snapToGrid w:val="0"/>
        <w:spacing w:line="360" w:lineRule="auto"/>
        <w:rPr>
          <w:rFonts w:ascii="仿宋" w:hAnsi="仿宋" w:eastAsia="仿宋" w:cs="仿宋"/>
          <w:color w:val="auto"/>
          <w:sz w:val="24"/>
          <w:szCs w:val="24"/>
          <w:highlight w:val="none"/>
          <w:u w:val="dotted"/>
        </w:rPr>
      </w:pPr>
      <w:r>
        <w:rPr>
          <w:color w:val="auto"/>
          <w:highlight w:val="none"/>
          <w:lang w:val="en-US"/>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307"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122"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Y8pRfXAAAACgEAAA8AAAAAAAAAAQAgAAAAIgAAAGRycy9kb3du&#10;cmV2LnhtbFBLAQIUABQAAAAIAIdO4kDO7kHOAAIAANgDAAAOAAAAAAAAAAEAIAAAACY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ascii="仿宋" w:hAnsi="仿宋" w:eastAsia="仿宋" w:cs="仿宋"/>
          <w:b/>
          <w:bCs/>
          <w:color w:val="auto"/>
          <w:sz w:val="24"/>
          <w:szCs w:val="24"/>
          <w:highlight w:val="none"/>
        </w:rPr>
        <w:t xml:space="preserve">32.5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当合同工程发生保险事故时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被保险人应及时通知保险人，并提供有关资料。合同双方当事人有责任采取合理有效措施防止或减少损失，并应相互协助做好向保险人的报告和理赔工作。</w:t>
      </w:r>
    </w:p>
    <w:p>
      <w:pPr>
        <w:pStyle w:val="2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32.6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306"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123"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0QCftQAAAAHAQAADwAAAAAAAAABACAAAAAiAAAAZHJzL2Rvd25y&#10;ZXYueG1sUEsBAhQAFAAAAAgAh07iQIyHF9gCAgAA2AMAAA4AAAAAAAAAAQAgAAAAIw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 w:hAnsi="仿宋" w:eastAsia="仿宋" w:cs="仿宋"/>
          <w:color w:val="auto"/>
          <w:sz w:val="24"/>
          <w:szCs w:val="24"/>
          <w:highlight w:val="none"/>
        </w:rPr>
        <w:t>当合同工程的性质、规模或计划发生变更时，被保险人应及时通知保险人，并在合同履行期间按照本条规定保证足够的保险额，由此造成的费用由责任方承担。</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32.7  </w:t>
      </w:r>
    </w:p>
    <w:p>
      <w:pPr>
        <w:pStyle w:val="22"/>
        <w:tabs>
          <w:tab w:val="left" w:pos="1320"/>
        </w:tabs>
        <w:adjustRightInd w:val="0"/>
        <w:snapToGrid w:val="0"/>
        <w:spacing w:line="360" w:lineRule="auto"/>
        <w:ind w:left="1575" w:leftChars="75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305"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124"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T9TUdUAAAAIAQAADwAAAAAAAAABACAAAAAiAAAAZHJzL2Rvd25y&#10;ZXYueG1sUEsBAhQAFAAAAAgAh07iQOGJ2Eo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rPr>
        <w:t>从保险人收到的因合同工程本身损失或损坏的保险金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应专项用于修复合同工程的损失或损坏，或作为对未能修复合同工程这些损失或损坏的补偿。</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304"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125"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3Dy41gAAAAkBAAAPAAAAAAAAAAEAIAAAACIAAABkcnMvZG93&#10;bnJldi54bWxQSwECFAAUAAAACACHTuJA26KmVQICAADYAwAADgAAAAAAAAABACAAAAAlAQAAZHJz&#10;L2Uyb0RvYy54bWxQSwUGAAAAAAYABgBZAQAAm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color w:val="auto"/>
          <w:sz w:val="24"/>
          <w:szCs w:val="24"/>
          <w:highlight w:val="none"/>
        </w:rPr>
        <w:t xml:space="preserve">32.8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具体投保内容、保险金、保险期限及相关责任等事项，合同双方当事人应在专用条款中约定。</w:t>
      </w:r>
    </w:p>
    <w:p>
      <w:pPr>
        <w:pStyle w:val="252"/>
        <w:rPr>
          <w:color w:val="auto"/>
          <w:highlight w:val="none"/>
        </w:rPr>
      </w:pPr>
    </w:p>
    <w:p>
      <w:pPr>
        <w:pStyle w:val="22"/>
        <w:adjustRightInd w:val="0"/>
        <w:snapToGrid w:val="0"/>
        <w:spacing w:line="360" w:lineRule="auto"/>
        <w:ind w:right="-238"/>
        <w:jc w:val="center"/>
        <w:outlineLvl w:val="1"/>
        <w:rPr>
          <w:rFonts w:ascii="仿宋" w:hAnsi="仿宋" w:eastAsia="仿宋"/>
          <w:b/>
          <w:bCs/>
          <w:color w:val="auto"/>
          <w:sz w:val="24"/>
          <w:szCs w:val="24"/>
          <w:highlight w:val="none"/>
        </w:rPr>
      </w:pPr>
      <w:bookmarkStart w:id="247" w:name="_Toc3070"/>
      <w:bookmarkStart w:id="248" w:name="_Toc25653640"/>
      <w:bookmarkStart w:id="249" w:name="_Toc469384014"/>
      <w:bookmarkStart w:id="250" w:name="_Toc11103"/>
      <w:r>
        <w:rPr>
          <w:rFonts w:hint="eastAsia" w:ascii="仿宋" w:hAnsi="仿宋" w:eastAsia="仿宋" w:cs="仿宋"/>
          <w:b/>
          <w:bCs/>
          <w:color w:val="auto"/>
          <w:sz w:val="24"/>
          <w:szCs w:val="24"/>
          <w:highlight w:val="none"/>
        </w:rPr>
        <w:t>四、工期</w:t>
      </w:r>
      <w:bookmarkEnd w:id="247"/>
      <w:bookmarkEnd w:id="248"/>
      <w:bookmarkEnd w:id="249"/>
      <w:bookmarkEnd w:id="250"/>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251" w:name="_Toc12628"/>
      <w:bookmarkStart w:id="252" w:name="_Toc18953"/>
      <w:bookmarkStart w:id="253" w:name="_Toc469384015"/>
      <w:bookmarkStart w:id="254" w:name="_Toc25653641"/>
      <w:r>
        <w:rPr>
          <w:rFonts w:ascii="仿宋" w:hAnsi="仿宋" w:eastAsia="仿宋" w:cs="仿宋"/>
          <w:b/>
          <w:bCs/>
          <w:color w:val="auto"/>
          <w:sz w:val="24"/>
          <w:szCs w:val="24"/>
          <w:highlight w:val="none"/>
        </w:rPr>
        <w:t xml:space="preserve">33  </w:t>
      </w:r>
      <w:r>
        <w:rPr>
          <w:rFonts w:hint="eastAsia" w:ascii="仿宋" w:hAnsi="仿宋" w:eastAsia="仿宋" w:cs="仿宋"/>
          <w:b/>
          <w:bCs/>
          <w:color w:val="auto"/>
          <w:sz w:val="24"/>
          <w:szCs w:val="24"/>
          <w:highlight w:val="none"/>
        </w:rPr>
        <w:t>进度计划和报告</w:t>
      </w:r>
      <w:bookmarkEnd w:id="251"/>
      <w:bookmarkEnd w:id="252"/>
      <w:bookmarkEnd w:id="253"/>
      <w:bookmarkEnd w:id="254"/>
    </w:p>
    <w:p>
      <w:pPr>
        <w:pStyle w:val="22"/>
        <w:tabs>
          <w:tab w:val="left" w:pos="1620"/>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303" name="文本框 126"/>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1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3G4O9gAAAAKAQAADwAAAAAAAAABACAAAAAiAAAAZHJzL2Rv&#10;d25yZXYueG1sUEsBAhQAFAAAAAgAh07iQM+K2NIBAgAA2AMAAA4AAAAAAAAAAQAgAAAAJwEAAGRy&#10;cy9lMm9Eb2MueG1sUEsFBgAAAAAGAAYAWQEAAJo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ascii="仿宋" w:hAnsi="仿宋" w:eastAsia="仿宋" w:cs="仿宋"/>
          <w:b/>
          <w:bCs/>
          <w:color w:val="auto"/>
          <w:sz w:val="24"/>
          <w:szCs w:val="24"/>
          <w:highlight w:val="none"/>
        </w:rPr>
        <w:t xml:space="preserve">33.1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天内，向监理工程师提交一式两份施工组织设计和合同工程进度计划，向发包方提交一份施工组织设计和合同工程进度计划。经发包人批准后，监理工程师应在收到该设计和计划后的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22"/>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302"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127"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H7R41wAAAAoBAAAPAAAAAAAAAAEAIAAAACIAAABkcnMvZG93&#10;bnJldi54bWxQSwECFAAUAAAACACHTuJAyuf7YA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ascii="仿宋" w:hAnsi="仿宋" w:eastAsia="仿宋" w:cs="仿宋"/>
          <w:b/>
          <w:bCs/>
          <w:color w:val="auto"/>
          <w:sz w:val="24"/>
          <w:szCs w:val="24"/>
          <w:highlight w:val="none"/>
        </w:rPr>
        <w:t xml:space="preserve">33.2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承包人应按照经监理工程师确认并由其报发包人批准的进度计划组织施工，接受监理工程师对工程进度的监督和检查。</w:t>
      </w:r>
    </w:p>
    <w:p>
      <w:pPr>
        <w:pStyle w:val="22"/>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301"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rot="0" vert="horz" wrap="square" lIns="91440" tIns="45720" rIns="91440" bIns="45720" anchor="t" anchorCtr="0" upright="1">
                        <a:noAutofit/>
                      </wps:bodyPr>
                    </wps:wsp>
                  </a:graphicData>
                </a:graphic>
              </wp:anchor>
            </w:drawing>
          </mc:Choice>
          <mc:Fallback>
            <w:pict>
              <v:shape id="文本框 128"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ubgI1wAAAAoBAAAPAAAAAAAAAAEAIAAAACIAAABkcnMvZG93&#10;bnJldi54bWxQSwECFAAUAAAACACHTuJAJnRUjg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ascii="仿宋" w:hAnsi="仿宋" w:eastAsia="仿宋" w:cs="仿宋"/>
          <w:b/>
          <w:bCs/>
          <w:color w:val="auto"/>
          <w:sz w:val="24"/>
          <w:szCs w:val="24"/>
          <w:highlight w:val="none"/>
        </w:rPr>
        <w:t xml:space="preserve">33.3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除专用条款另有约定外，承包人应编制每月施工进度报告，同时每季度对进度计划修订一次，并在每月或季结束后的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天内向监理工程师提交上述报告和修订计划一式两份。月施工进度报告的内容至少应包括：</w:t>
      </w:r>
    </w:p>
    <w:p>
      <w:pPr>
        <w:pStyle w:val="22"/>
        <w:adjustRightInd w:val="0"/>
        <w:snapToGrid w:val="0"/>
        <w:spacing w:line="360" w:lineRule="auto"/>
        <w:ind w:left="1796" w:leftChars="798" w:hanging="120" w:hanging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）施工、安装、试验以及其他发包人工作等进展情况的图表和说明；</w:t>
      </w:r>
    </w:p>
    <w:p>
      <w:pPr>
        <w:pStyle w:val="22"/>
        <w:adjustRightInd w:val="0"/>
        <w:snapToGrid w:val="0"/>
        <w:spacing w:line="360" w:lineRule="auto"/>
        <w:ind w:left="1796" w:leftChars="798" w:hanging="120" w:hanging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）材料、设备、货物的采购和制造商名称、地点以及进入现场情况；</w:t>
      </w:r>
    </w:p>
    <w:p>
      <w:pPr>
        <w:pStyle w:val="22"/>
        <w:adjustRightInd w:val="0"/>
        <w:snapToGrid w:val="0"/>
        <w:spacing w:line="360" w:lineRule="auto"/>
        <w:ind w:firstLine="1800" w:firstLine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）索赔情况和安全统计；</w:t>
      </w:r>
    </w:p>
    <w:p>
      <w:pPr>
        <w:pStyle w:val="22"/>
        <w:adjustRightInd w:val="0"/>
        <w:snapToGrid w:val="0"/>
        <w:spacing w:line="360" w:lineRule="auto"/>
        <w:ind w:left="2038" w:leftChars="856" w:hanging="240" w:hangingChars="1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）实际进度与计划进度的对比，以及为消除延误正在或准备采取的措施。</w:t>
      </w:r>
    </w:p>
    <w:p>
      <w:pPr>
        <w:pStyle w:val="22"/>
        <w:tabs>
          <w:tab w:val="left" w:pos="1620"/>
        </w:tabs>
        <w:adjustRightInd w:val="0"/>
        <w:snapToGrid w:val="0"/>
        <w:spacing w:line="480" w:lineRule="auto"/>
        <w:rPr>
          <w:rFonts w:ascii="仿宋" w:hAnsi="仿宋" w:eastAsia="仿宋" w:cs="仿宋"/>
          <w:color w:val="auto"/>
          <w:sz w:val="24"/>
          <w:szCs w:val="24"/>
          <w:highlight w:val="none"/>
          <w:u w:val="dotted"/>
        </w:rPr>
      </w:pPr>
      <w:r>
        <w:rPr>
          <w:color w:val="auto"/>
          <w:highlight w:val="none"/>
          <w:lang w:val="en-US"/>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300"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129"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emlUNgAAAAKAQAADwAAAAAAAAABACAAAAAiAAAAZHJzL2Rv&#10;d25yZXYueG1sUEsBAhQAFAAAAAgAh07iQClln1kBAgAA2AMAAA4AAAAAAAAAAQAgAAAAJw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ascii="仿宋" w:hAnsi="仿宋" w:eastAsia="仿宋" w:cs="仿宋"/>
          <w:b/>
          <w:bCs/>
          <w:color w:val="auto"/>
          <w:sz w:val="24"/>
          <w:szCs w:val="24"/>
          <w:highlight w:val="none"/>
        </w:rPr>
        <w:t xml:space="preserve">33.4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款规定向发包人支付由此产生的误期赔偿费。工程进度计划即使经监理工程师确认，也不能免除承包人按照合同约定应承担的任何责任和应履行的任何义务。</w:t>
      </w:r>
    </w:p>
    <w:p>
      <w:pPr>
        <w:pStyle w:val="22"/>
        <w:adjustRightInd w:val="0"/>
        <w:snapToGrid w:val="0"/>
        <w:spacing w:line="360" w:lineRule="auto"/>
        <w:ind w:right="-238"/>
        <w:rPr>
          <w:rFonts w:ascii="仿宋" w:hAnsi="仿宋" w:eastAsia="仿宋"/>
          <w:b/>
          <w:bCs/>
          <w:color w:val="auto"/>
          <w:sz w:val="24"/>
          <w:szCs w:val="24"/>
          <w:highlight w:val="none"/>
        </w:rPr>
      </w:pPr>
    </w:p>
    <w:p>
      <w:pPr>
        <w:pStyle w:val="22"/>
        <w:adjustRightInd w:val="0"/>
        <w:snapToGrid w:val="0"/>
        <w:spacing w:line="360" w:lineRule="auto"/>
        <w:ind w:right="-238"/>
        <w:outlineLvl w:val="2"/>
        <w:rPr>
          <w:rFonts w:ascii="仿宋" w:hAnsi="仿宋" w:eastAsia="仿宋"/>
          <w:b/>
          <w:bCs/>
          <w:color w:val="auto"/>
          <w:sz w:val="24"/>
          <w:szCs w:val="24"/>
          <w:highlight w:val="none"/>
        </w:rPr>
      </w:pPr>
      <w:bookmarkStart w:id="255" w:name="_Toc24363"/>
      <w:bookmarkStart w:id="256" w:name="_Toc6398"/>
      <w:bookmarkStart w:id="257" w:name="_Toc469384016"/>
      <w:bookmarkStart w:id="258" w:name="_Toc25653642"/>
      <w:r>
        <w:rPr>
          <w:rFonts w:ascii="仿宋" w:hAnsi="仿宋" w:eastAsia="仿宋" w:cs="仿宋"/>
          <w:b/>
          <w:bCs/>
          <w:color w:val="auto"/>
          <w:sz w:val="24"/>
          <w:szCs w:val="24"/>
          <w:highlight w:val="none"/>
        </w:rPr>
        <w:t xml:space="preserve">34  </w:t>
      </w:r>
      <w:r>
        <w:rPr>
          <w:rFonts w:hint="eastAsia" w:ascii="仿宋" w:hAnsi="仿宋" w:eastAsia="仿宋" w:cs="仿宋"/>
          <w:b/>
          <w:bCs/>
          <w:color w:val="auto"/>
          <w:sz w:val="24"/>
          <w:szCs w:val="24"/>
          <w:highlight w:val="none"/>
        </w:rPr>
        <w:t>开工</w:t>
      </w:r>
      <w:bookmarkEnd w:id="255"/>
      <w:bookmarkEnd w:id="256"/>
      <w:bookmarkEnd w:id="257"/>
      <w:bookmarkEnd w:id="258"/>
    </w:p>
    <w:p>
      <w:pPr>
        <w:pStyle w:val="22"/>
        <w:tabs>
          <w:tab w:val="left" w:pos="1320"/>
        </w:tabs>
        <w:adjustRightInd w:val="0"/>
        <w:snapToGrid w:val="0"/>
        <w:spacing w:line="360" w:lineRule="auto"/>
        <w:ind w:right="3"/>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299"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wps:txbx>
                      <wps:bodyPr rot="0" vert="horz" wrap="square" lIns="91440" tIns="45720" rIns="91440" bIns="45720" anchor="t" anchorCtr="0" upright="1">
                        <a:noAutofit/>
                      </wps:bodyPr>
                    </wps:wsp>
                  </a:graphicData>
                </a:graphic>
              </wp:anchor>
            </w:drawing>
          </mc:Choice>
          <mc:Fallback>
            <w:pict>
              <v:shape id="文本框 130"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4lYDVAAAACQEAAA8AAAAAAAAAAQAgAAAAIgAAAGRycy9kb3du&#10;cmV2LnhtbFBLAQIUABQAAAAIAIdO4kDpXoFJ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ascii="仿宋" w:hAnsi="仿宋" w:eastAsia="仿宋" w:cs="仿宋"/>
          <w:b/>
          <w:bCs/>
          <w:color w:val="auto"/>
          <w:sz w:val="24"/>
          <w:szCs w:val="24"/>
          <w:highlight w:val="none"/>
        </w:rPr>
        <w:t xml:space="preserve">34.1    </w:t>
      </w:r>
    </w:p>
    <w:p>
      <w:pPr>
        <w:pStyle w:val="22"/>
        <w:adjustRightInd w:val="0"/>
        <w:snapToGrid w:val="0"/>
        <w:spacing w:line="360" w:lineRule="auto"/>
        <w:ind w:left="1619" w:leftChars="771" w:right="6"/>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工程开工必须具备法律规定的开工条件，并已经领取了施工许可证。</w:t>
      </w:r>
    </w:p>
    <w:p>
      <w:pPr>
        <w:pStyle w:val="22"/>
        <w:tabs>
          <w:tab w:val="left" w:pos="1320"/>
        </w:tabs>
        <w:adjustRightInd w:val="0"/>
        <w:snapToGrid w:val="0"/>
        <w:spacing w:line="360" w:lineRule="auto"/>
        <w:ind w:right="3"/>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298" name="文本框 13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wps:txbx>
                      <wps:bodyPr rot="0" vert="horz" wrap="square" lIns="91440" tIns="45720" rIns="91440" bIns="45720" anchor="t" anchorCtr="0" upright="1">
                        <a:noAutofit/>
                      </wps:bodyPr>
                    </wps:wsp>
                  </a:graphicData>
                </a:graphic>
              </wp:anchor>
            </w:drawing>
          </mc:Choice>
          <mc:Fallback>
            <w:pict>
              <v:shape id="文本框 131"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WbpX1gAAAAkBAAAPAAAAAAAAAAEAIAAAACIAAABkcnMvZG93&#10;bnJldi54bWxQSwECFAAUAAAACACHTuJAiHkshQ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ascii="仿宋" w:hAnsi="仿宋" w:eastAsia="仿宋" w:cs="仿宋"/>
          <w:b/>
          <w:bCs/>
          <w:color w:val="auto"/>
          <w:sz w:val="24"/>
          <w:szCs w:val="24"/>
          <w:highlight w:val="none"/>
        </w:rPr>
        <w:t xml:space="preserve">34.2  </w:t>
      </w:r>
    </w:p>
    <w:p>
      <w:pPr>
        <w:pStyle w:val="22"/>
        <w:adjustRightInd w:val="0"/>
        <w:snapToGrid w:val="0"/>
        <w:spacing w:line="360" w:lineRule="auto"/>
        <w:ind w:left="1619" w:leftChars="771" w:right="3"/>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天内，向监理工程师提交开工申请书，并附上表明已做好开工准备的有关资料。除专用条款另有约定外，监理工程师应在本合同签订后的</w:t>
      </w: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天内报发包人批准后向承包人发出开工令；承包人应在接到开工令后的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天内开工，并一直保持合同工程连续均衡施工，直至其被改变为止。</w:t>
      </w:r>
    </w:p>
    <w:p>
      <w:pPr>
        <w:pStyle w:val="22"/>
        <w:tabs>
          <w:tab w:val="left" w:pos="1320"/>
        </w:tabs>
        <w:adjustRightInd w:val="0"/>
        <w:snapToGrid w:val="0"/>
        <w:spacing w:line="360" w:lineRule="auto"/>
        <w:ind w:right="3"/>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97" name="文本框 132"/>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rot="0" vert="horz" wrap="square" lIns="91440" tIns="45720" rIns="91440" bIns="45720" anchor="t" anchorCtr="0" upright="1">
                        <a:noAutofit/>
                      </wps:bodyPr>
                    </wps:wsp>
                  </a:graphicData>
                </a:graphic>
              </wp:anchor>
            </w:drawing>
          </mc:Choice>
          <mc:Fallback>
            <w:pict>
              <v:shape id="文本框 132"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egpODYAAAACgEAAA8AAAAAAAAAAQAgAAAAIgAAAGRycy9k&#10;b3ducmV2LnhtbFBLAQIUABQAAAAIAIdO4kBFtulmAgIAANgDAAAOAAAAAAAAAAEAIAAAACcBAABk&#10;cnMvZTJvRG9jLnhtbFBLBQYAAAAABgAGAFkBAACb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ascii="仿宋" w:hAnsi="仿宋" w:eastAsia="仿宋" w:cs="仿宋"/>
          <w:b/>
          <w:bCs/>
          <w:color w:val="auto"/>
          <w:sz w:val="24"/>
          <w:szCs w:val="24"/>
          <w:highlight w:val="none"/>
        </w:rPr>
        <w:t xml:space="preserve">34.3  </w:t>
      </w:r>
    </w:p>
    <w:p>
      <w:pPr>
        <w:pStyle w:val="22"/>
        <w:adjustRightInd w:val="0"/>
        <w:snapToGrid w:val="0"/>
        <w:spacing w:line="360" w:lineRule="auto"/>
        <w:ind w:left="1619" w:leftChars="771" w:right="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承包人未能按照时开工，应在接到开工令后立即以书面形式向监理工程师提出延期开工的要求并说明理由。监理工程师应当在接到延期开工申请后的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小时内书面予以答复，否则视为同意。由此造成的损失和延误的工期由承包人承担</w:t>
      </w:r>
      <w:r>
        <w:rPr>
          <w:rFonts w:hint="eastAsia" w:ascii="仿宋" w:hAnsi="仿宋" w:eastAsia="仿宋" w:cs="仿宋"/>
          <w:color w:val="auto"/>
          <w:sz w:val="24"/>
          <w:szCs w:val="24"/>
          <w:highlight w:val="none"/>
          <w:lang w:eastAsia="zh-CN"/>
        </w:rPr>
        <w:t>。</w:t>
      </w:r>
    </w:p>
    <w:p>
      <w:pPr>
        <w:pStyle w:val="22"/>
        <w:tabs>
          <w:tab w:val="left" w:pos="1320"/>
        </w:tabs>
        <w:adjustRightInd w:val="0"/>
        <w:snapToGrid w:val="0"/>
        <w:spacing w:line="360" w:lineRule="auto"/>
        <w:ind w:right="3"/>
        <w:rPr>
          <w:rFonts w:ascii="仿宋" w:hAnsi="仿宋" w:eastAsia="仿宋" w:cs="仿宋"/>
          <w:color w:val="auto"/>
          <w:sz w:val="24"/>
          <w:szCs w:val="24"/>
          <w:highlight w:val="none"/>
          <w:u w:val="dotted"/>
        </w:rPr>
      </w:pPr>
      <w:r>
        <w:rPr>
          <w:color w:val="auto"/>
          <w:highlight w:val="none"/>
          <w:lang w:val="en-US"/>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296" name="文本框 133"/>
                <wp:cNvGraphicFramePr/>
                <a:graphic xmlns:a="http://schemas.openxmlformats.org/drawingml/2006/main">
                  <a:graphicData uri="http://schemas.microsoft.com/office/word/2010/wordprocessingShape">
                    <wps:wsp>
                      <wps:cNvSpPr txBox="1">
                        <a:spLocks noChangeArrowheads="1"/>
                      </wps:cNvSpPr>
                      <wps:spPr bwMode="auto">
                        <a:xfrm>
                          <a:off x="0" y="0"/>
                          <a:ext cx="914400" cy="5683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rot="0" vert="horz" wrap="square" lIns="91440" tIns="45720" rIns="91440" bIns="45720" anchor="t" anchorCtr="0" upright="1">
                        <a:noAutofit/>
                      </wps:bodyPr>
                    </wps:wsp>
                  </a:graphicData>
                </a:graphic>
              </wp:anchor>
            </w:drawing>
          </mc:Choice>
          <mc:Fallback>
            <w:pict>
              <v:shape id="文本框 133"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B3ZEtcAAAAKAQAADwAAAAAAAAABACAAAAAiAAAAZHJzL2Rv&#10;d25yZXYueG1sUEsBAhQAFAAAAAgAh07iQK6ZojACAgAA2AMAAA4AAAAAAAAAAQAgAAAAJg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ascii="仿宋" w:hAnsi="仿宋" w:eastAsia="仿宋" w:cs="仿宋"/>
          <w:color w:val="auto"/>
          <w:sz w:val="24"/>
          <w:szCs w:val="24"/>
          <w:highlight w:val="none"/>
        </w:rPr>
        <w:t xml:space="preserve">34.4  </w:t>
      </w:r>
    </w:p>
    <w:p>
      <w:pPr>
        <w:pStyle w:val="22"/>
        <w:adjustRightInd w:val="0"/>
        <w:snapToGrid w:val="0"/>
        <w:spacing w:line="360" w:lineRule="auto"/>
        <w:ind w:left="1619" w:leftChars="771" w:right="3"/>
        <w:rPr>
          <w:rFonts w:ascii="仿宋" w:hAnsi="仿宋" w:eastAsia="仿宋"/>
          <w:color w:val="auto"/>
          <w:sz w:val="24"/>
          <w:szCs w:val="24"/>
          <w:highlight w:val="none"/>
        </w:rPr>
      </w:pPr>
      <w:r>
        <w:rPr>
          <w:rFonts w:hint="eastAsia" w:ascii="仿宋" w:hAnsi="仿宋" w:eastAsia="仿宋" w:cs="仿宋"/>
          <w:color w:val="auto"/>
          <w:sz w:val="24"/>
          <w:szCs w:val="24"/>
          <w:highlight w:val="none"/>
        </w:rPr>
        <w:t>因发包人的原因不能在第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款规定的时间内发出开工令的，监理工程师应至少提前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天以书面形式通知承包人推迟开工。由此造成的损失由发包人承担，开工日期相应顺延。监理工程师未能提前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天通知承包人推迟开工的，由此造成损失的扩大由发包人承担。</w:t>
      </w:r>
    </w:p>
    <w:p>
      <w:pPr>
        <w:pStyle w:val="22"/>
        <w:adjustRightInd w:val="0"/>
        <w:snapToGrid w:val="0"/>
        <w:rPr>
          <w:rFonts w:ascii="仿宋" w:hAnsi="仿宋" w:eastAsia="仿宋" w:cs="仿宋"/>
          <w:b/>
          <w:bCs/>
          <w:color w:val="auto"/>
          <w:sz w:val="24"/>
          <w:szCs w:val="24"/>
          <w:highlight w:val="none"/>
          <w:u w:val="single"/>
        </w:rPr>
      </w:pPr>
    </w:p>
    <w:p>
      <w:pPr>
        <w:pStyle w:val="22"/>
        <w:adjustRightInd w:val="0"/>
        <w:snapToGrid w:val="0"/>
        <w:rPr>
          <w:rFonts w:ascii="仿宋" w:hAnsi="仿宋" w:eastAsia="仿宋"/>
          <w:b/>
          <w:bCs/>
          <w:color w:val="auto"/>
          <w:sz w:val="24"/>
          <w:szCs w:val="24"/>
          <w:highlight w:val="none"/>
        </w:rPr>
      </w:pPr>
    </w:p>
    <w:p>
      <w:pPr>
        <w:pStyle w:val="22"/>
        <w:adjustRightInd w:val="0"/>
        <w:snapToGrid w:val="0"/>
        <w:outlineLvl w:val="2"/>
        <w:rPr>
          <w:rFonts w:ascii="仿宋" w:hAnsi="仿宋" w:eastAsia="仿宋"/>
          <w:b/>
          <w:bCs/>
          <w:color w:val="auto"/>
          <w:sz w:val="24"/>
          <w:szCs w:val="24"/>
          <w:highlight w:val="none"/>
        </w:rPr>
      </w:pPr>
      <w:bookmarkStart w:id="259" w:name="_Toc25653643"/>
      <w:bookmarkStart w:id="260" w:name="_Toc469384017"/>
      <w:bookmarkStart w:id="261" w:name="_Toc27601"/>
      <w:bookmarkStart w:id="262" w:name="_Toc3498"/>
      <w:r>
        <w:rPr>
          <w:rFonts w:ascii="仿宋" w:hAnsi="仿宋" w:eastAsia="仿宋" w:cs="仿宋"/>
          <w:b/>
          <w:bCs/>
          <w:color w:val="auto"/>
          <w:sz w:val="24"/>
          <w:szCs w:val="24"/>
          <w:highlight w:val="none"/>
        </w:rPr>
        <w:t xml:space="preserve">35  </w:t>
      </w:r>
      <w:r>
        <w:rPr>
          <w:rFonts w:hint="eastAsia" w:ascii="仿宋" w:hAnsi="仿宋" w:eastAsia="仿宋" w:cs="仿宋"/>
          <w:b/>
          <w:bCs/>
          <w:color w:val="auto"/>
          <w:sz w:val="24"/>
          <w:szCs w:val="24"/>
          <w:highlight w:val="none"/>
        </w:rPr>
        <w:t>暂停施工和复工</w:t>
      </w:r>
      <w:bookmarkEnd w:id="259"/>
      <w:bookmarkEnd w:id="260"/>
      <w:bookmarkEnd w:id="261"/>
      <w:bookmarkEnd w:id="262"/>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95" name="文本框 134"/>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rot="0" vert="horz" wrap="square" lIns="91440" tIns="45720" rIns="91440" bIns="45720" anchor="t" anchorCtr="0" upright="1">
                        <a:noAutofit/>
                      </wps:bodyPr>
                    </wps:wsp>
                  </a:graphicData>
                </a:graphic>
              </wp:anchor>
            </w:drawing>
          </mc:Choice>
          <mc:Fallback>
            <w:pict>
              <v:shape id="文本框 134"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1TejXAAAACgEAAA8AAAAAAAAAAQAgAAAAIgAAAGRycy9kb3du&#10;cmV2LnhtbFBLAQIUABQAAAAIAIdO4kD/Z2ebAAIAANgDAAAOAAAAAAAAAAEAIAAAACY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ascii="仿宋" w:hAnsi="仿宋" w:eastAsia="仿宋" w:cs="仿宋"/>
          <w:b/>
          <w:bCs/>
          <w:color w:val="auto"/>
          <w:sz w:val="24"/>
          <w:szCs w:val="24"/>
          <w:highlight w:val="none"/>
        </w:rPr>
        <w:t xml:space="preserve">35.1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监理工程师认为有必要时，可向承包人发出暂停施工令，并在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小时内提出处理意见，承包人应按照监理工程师的指令停止施工。不论任何原因造成的暂停施工，暂停施工期间承包人应妥善保护已完工程并提供安全保障。</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小时内予以答复；逾期未答复的，视为承包人的暂停施工报告被认可。</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35.2</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294"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135"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Tc8tNUAAAAIAQAADwAAAAAAAAABACAAAAAiAAAAZHJzL2Rvd25y&#10;ZXYueG1sUEsBAhQAFAAAAAgAh07iQHu40J8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rPr>
        <w:t>承包人实施监理工程师的处理意见后，可向监理工程师提交复工报审表要求复工；监理工程师应在收到复工报审表后的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小时内予以答复。具备复工条件时，监理工程师应立即向承包人发出复工令，承包人应立即组织复工。监理工程师在收到复工报审表后的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小时内未答复也未提出处理意见的，承包人可自行复工，监理工程师应予认可。</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pPr>
        <w:pStyle w:val="22"/>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293"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rot="0" vert="horz" wrap="square" lIns="91440" tIns="45720" rIns="91440" bIns="45720" anchor="t" anchorCtr="0" upright="1">
                        <a:noAutofit/>
                      </wps:bodyPr>
                    </wps:wsp>
                  </a:graphicData>
                </a:graphic>
              </wp:anchor>
            </w:drawing>
          </mc:Choice>
          <mc:Fallback>
            <w:pict>
              <v:shape id="文本框 13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cJ2d9cAAAAKAQAADwAAAAAAAAABACAAAAAiAAAAZHJzL2Rv&#10;d25yZXYueG1sUEsBAhQAFAAAAAgAh07iQGvEiNMCAgAA2AMAAA4AAAAAAAAAAQAgAAAAJgEAAGRy&#10;cy9lMm9Eb2MueG1sUEsFBgAAAAAGAAYAWQEAAJo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ascii="仿宋" w:hAnsi="仿宋" w:eastAsia="仿宋" w:cs="仿宋"/>
          <w:b/>
          <w:bCs/>
          <w:color w:val="auto"/>
          <w:sz w:val="24"/>
          <w:szCs w:val="24"/>
          <w:highlight w:val="none"/>
        </w:rPr>
        <w:t xml:space="preserve">35.3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非承包人的原因造成暂停施工持续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天以上时，承包人可向监理工程师提交复工报审表要求复工；监理工程师应在收到复工报审表后的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天内准许复工。如果在上述期限内监理工程师未予准许，则承包人可以作如下选择：</w:t>
      </w:r>
    </w:p>
    <w:p>
      <w:pPr>
        <w:pStyle w:val="22"/>
        <w:numPr>
          <w:ilvl w:val="0"/>
          <w:numId w:val="18"/>
        </w:numPr>
        <w:tabs>
          <w:tab w:val="left" w:pos="108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如果此项停工仅影响合同工程的一部分时，则根据第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款规定及时提出工程变更，取消该部分工程，并书面通知发包人，抄送监理工程师和造价工程师；</w:t>
      </w:r>
    </w:p>
    <w:p>
      <w:pPr>
        <w:pStyle w:val="22"/>
        <w:numPr>
          <w:ilvl w:val="0"/>
          <w:numId w:val="18"/>
        </w:numPr>
        <w:tabs>
          <w:tab w:val="left" w:pos="1080"/>
        </w:tabs>
        <w:adjustRightInd w:val="0"/>
        <w:snapToGrid w:val="0"/>
        <w:spacing w:line="360" w:lineRule="auto"/>
        <w:ind w:left="2159" w:leftChars="771" w:hanging="540" w:hangingChars="225"/>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如果此项停工影响整个合同工程时，则根据第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w:t>
      </w:r>
    </w:p>
    <w:p>
      <w:pPr>
        <w:pStyle w:val="22"/>
        <w:adjustRightInd w:val="0"/>
        <w:snapToGrid w:val="0"/>
        <w:spacing w:line="360" w:lineRule="auto"/>
        <w:ind w:left="1619"/>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因承包人的原因引起暂停施工持续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天以上，承包人不采取有效的复工措施，造成工期延误的，发包人可根据第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w:t>
      </w:r>
    </w:p>
    <w:p>
      <w:pPr>
        <w:pStyle w:val="22"/>
        <w:tabs>
          <w:tab w:val="left" w:pos="216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35.4  </w:t>
      </w:r>
    </w:p>
    <w:p>
      <w:pPr>
        <w:pStyle w:val="22"/>
        <w:adjustRightInd w:val="0"/>
        <w:snapToGrid w:val="0"/>
        <w:spacing w:line="360" w:lineRule="auto"/>
        <w:ind w:left="1619" w:leftChars="771" w:firstLine="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92"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rot="0" vert="horz" wrap="square" lIns="91440" tIns="45720" rIns="91440" bIns="45720" anchor="t" anchorCtr="0" upright="1">
                        <a:noAutofit/>
                      </wps:bodyPr>
                    </wps:wsp>
                  </a:graphicData>
                </a:graphic>
              </wp:anchor>
            </w:drawing>
          </mc:Choice>
          <mc:Fallback>
            <w:pict>
              <v:shape id="文本框 137"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dqHS9QAAAAIAQAADwAAAAAAAAABACAAAAAiAAAAZHJzL2Rvd25y&#10;ZXYueG1sUEsBAhQAFAAAAAgAh07iQO8bP9cCAgAA2AMAAA4AAAAAAAAAAQAgAAAAIwEAAGRycy9l&#10;Mm9Eb2MueG1sUEsFBgAAAAAGAAYAWQEAAJcFA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 w:hAnsi="仿宋" w:eastAsia="仿宋" w:cs="仿宋"/>
          <w:color w:val="auto"/>
          <w:sz w:val="24"/>
          <w:szCs w:val="24"/>
          <w:highlight w:val="none"/>
        </w:rPr>
        <w:t>因发包人的原因造成暂停施工且引起工期延误的，承包人有权要求发包人增加由此发生的费用和（或）顺延工期，并支付合理利润。</w:t>
      </w:r>
    </w:p>
    <w:p>
      <w:pPr>
        <w:pStyle w:val="22"/>
        <w:adjustRightInd w:val="0"/>
        <w:snapToGrid w:val="0"/>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因承包人下列原因造成的暂停施工，增加的费用和（或）延误的工期由承包人承担：</w:t>
      </w:r>
    </w:p>
    <w:p>
      <w:pPr>
        <w:pStyle w:val="22"/>
        <w:numPr>
          <w:ilvl w:val="0"/>
          <w:numId w:val="19"/>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工作失误或违约造成的；</w:t>
      </w:r>
    </w:p>
    <w:p>
      <w:pPr>
        <w:pStyle w:val="22"/>
        <w:numPr>
          <w:ilvl w:val="0"/>
          <w:numId w:val="19"/>
        </w:numPr>
        <w:adjustRightInd w:val="0"/>
        <w:snapToGrid w:val="0"/>
        <w:spacing w:line="360" w:lineRule="auto"/>
        <w:ind w:left="2157" w:leftChars="770" w:hanging="540" w:hangingChars="225"/>
        <w:rPr>
          <w:rFonts w:ascii="仿宋" w:hAnsi="仿宋" w:eastAsia="仿宋"/>
          <w:color w:val="auto"/>
          <w:sz w:val="24"/>
          <w:szCs w:val="24"/>
          <w:highlight w:val="none"/>
        </w:rPr>
      </w:pPr>
      <w:r>
        <w:rPr>
          <w:rFonts w:hint="eastAsia" w:ascii="仿宋" w:hAnsi="仿宋" w:eastAsia="仿宋" w:cs="仿宋"/>
          <w:color w:val="auto"/>
          <w:sz w:val="24"/>
          <w:szCs w:val="24"/>
          <w:highlight w:val="none"/>
        </w:rPr>
        <w:t>为合同工程合理施工和安全保障所必需的；</w:t>
      </w:r>
    </w:p>
    <w:p>
      <w:pPr>
        <w:pStyle w:val="22"/>
        <w:numPr>
          <w:ilvl w:val="0"/>
          <w:numId w:val="19"/>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施工现场气候条件（除不可抗力停工外）导致的；</w:t>
      </w:r>
    </w:p>
    <w:p>
      <w:pPr>
        <w:pStyle w:val="22"/>
        <w:numPr>
          <w:ilvl w:val="0"/>
          <w:numId w:val="19"/>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擅自停工的；</w:t>
      </w:r>
    </w:p>
    <w:p>
      <w:pPr>
        <w:pStyle w:val="22"/>
        <w:numPr>
          <w:ilvl w:val="0"/>
          <w:numId w:val="19"/>
        </w:numPr>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专用条款约定的其他原因。</w:t>
      </w:r>
    </w:p>
    <w:p>
      <w:pPr>
        <w:pStyle w:val="22"/>
        <w:tabs>
          <w:tab w:val="left" w:pos="1980"/>
        </w:tabs>
        <w:adjustRightInd w:val="0"/>
        <w:snapToGrid w:val="0"/>
        <w:spacing w:line="360" w:lineRule="auto"/>
        <w:ind w:left="1617" w:leftChars="770"/>
        <w:rPr>
          <w:rFonts w:ascii="仿宋" w:hAnsi="仿宋" w:eastAsia="仿宋"/>
          <w:color w:val="auto"/>
          <w:sz w:val="24"/>
          <w:szCs w:val="24"/>
          <w:highlight w:val="none"/>
        </w:rPr>
      </w:pPr>
      <w:r>
        <w:rPr>
          <w:rFonts w:hint="eastAsia" w:ascii="仿宋" w:hAnsi="仿宋" w:eastAsia="仿宋" w:cs="仿宋"/>
          <w:color w:val="auto"/>
          <w:sz w:val="24"/>
          <w:szCs w:val="24"/>
          <w:highlight w:val="none"/>
        </w:rPr>
        <w:t>因不可抗力因素造成暂停施工的，按照第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条规定处理。</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35.5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291"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rot="0" vert="horz" wrap="square" lIns="91440" tIns="45720" rIns="91440" bIns="45720" anchor="t" anchorCtr="0" upright="1">
                        <a:noAutofit/>
                      </wps:bodyPr>
                    </wps:wsp>
                  </a:graphicData>
                </a:graphic>
              </wp:anchor>
            </w:drawing>
          </mc:Choice>
          <mc:Fallback>
            <w:pict>
              <v:shape id="文本框 138"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1Sze1AAAAAkBAAAPAAAAAAAAAAEAIAAAACIAAABkcnMvZG93bnJl&#10;di54bWxQSwECFAAUAAAACACHTuJAaP6s3wECAADYAwAADgAAAAAAAAABACAAAAAjAQAAZHJzL2Uy&#10;b0RvYy54bWxQSwUGAAAAAAYABgBZAQAAlg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 w:hAnsi="仿宋" w:eastAsia="仿宋" w:cs="仿宋"/>
          <w:color w:val="auto"/>
          <w:sz w:val="24"/>
          <w:szCs w:val="24"/>
          <w:highlight w:val="none"/>
        </w:rPr>
        <w:t>如果发包人未按照合同约定支付工程进度款，经催告后在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天内仍未支付的，承包人可以暂停施工，直至收到包括第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款规定的应付利息在内的所欠全部款项。由此造成的暂停施工，视为是因发包人的原因引起的，并按照第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35.6  </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290" name="文本框 13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rot="0" vert="horz" wrap="square" lIns="91440" tIns="45720" rIns="91440" bIns="45720" anchor="t" anchorCtr="0" upright="1">
                        <a:noAutofit/>
                      </wps:bodyPr>
                    </wps:wsp>
                  </a:graphicData>
                </a:graphic>
              </wp:anchor>
            </w:drawing>
          </mc:Choice>
          <mc:Fallback>
            <w:pict>
              <v:shape id="文本框 139"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wb0t0wAAAAcBAAAPAAAAAAAAAAEAIAAAACIAAABkcnMvZG93bnJl&#10;di54bWxQSwECFAAUAAAACACHTuJApgV6PwICAADYAwAADgAAAAAAAAABACAAAAAiAQAAZHJzL2Uy&#10;b0RvYy54bWxQSwUGAAAAAAYABgBZAQAAlgUAAAAA&#10;">
                <v:fill on="f" focussize="0,0"/>
                <v:stroke on="f"/>
                <v:imagedata o:title=""/>
                <o:lock v:ext="edit" aspectratio="f"/>
                <v:textbox>
                  <w:txbxContent>
                    <w:p>
                      <w:pPr>
                        <w:spacing w:line="22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 w:hAnsi="仿宋" w:eastAsia="仿宋" w:cs="仿宋"/>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pPr>
        <w:pStyle w:val="22"/>
        <w:adjustRightInd w:val="0"/>
        <w:snapToGrid w:val="0"/>
        <w:spacing w:line="360" w:lineRule="auto"/>
        <w:outlineLvl w:val="2"/>
        <w:rPr>
          <w:rFonts w:ascii="仿宋" w:hAnsi="仿宋" w:eastAsia="仿宋"/>
          <w:b/>
          <w:bCs/>
          <w:color w:val="auto"/>
          <w:sz w:val="24"/>
          <w:szCs w:val="24"/>
          <w:highlight w:val="none"/>
        </w:rPr>
      </w:pPr>
      <w:bookmarkStart w:id="263" w:name="_Toc469384018"/>
      <w:bookmarkStart w:id="264" w:name="_Toc17258"/>
      <w:bookmarkStart w:id="265" w:name="_Toc21660"/>
      <w:bookmarkStart w:id="266" w:name="_Toc25653644"/>
      <w:r>
        <w:rPr>
          <w:rFonts w:ascii="仿宋" w:hAnsi="仿宋" w:eastAsia="仿宋" w:cs="仿宋"/>
          <w:b/>
          <w:bCs/>
          <w:color w:val="auto"/>
          <w:sz w:val="24"/>
          <w:szCs w:val="24"/>
          <w:highlight w:val="none"/>
        </w:rPr>
        <w:t xml:space="preserve">36  </w:t>
      </w:r>
      <w:r>
        <w:rPr>
          <w:rFonts w:hint="eastAsia" w:ascii="仿宋" w:hAnsi="仿宋" w:eastAsia="仿宋" w:cs="仿宋"/>
          <w:b/>
          <w:bCs/>
          <w:color w:val="auto"/>
          <w:sz w:val="24"/>
          <w:szCs w:val="24"/>
          <w:highlight w:val="none"/>
        </w:rPr>
        <w:t>工期和工期延误</w:t>
      </w:r>
      <w:bookmarkEnd w:id="263"/>
      <w:bookmarkEnd w:id="264"/>
      <w:bookmarkEnd w:id="265"/>
      <w:bookmarkEnd w:id="266"/>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36.1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289" name="文本框 140"/>
                <wp:cNvGraphicFramePr/>
                <a:graphic xmlns:a="http://schemas.openxmlformats.org/drawingml/2006/main">
                  <a:graphicData uri="http://schemas.microsoft.com/office/word/2010/wordprocessingShape">
                    <wps:wsp>
                      <wps:cNvSpPr txBox="1">
                        <a:spLocks noChangeArrowheads="1"/>
                      </wps:cNvSpPr>
                      <wps:spPr bwMode="auto">
                        <a:xfrm>
                          <a:off x="0" y="0"/>
                          <a:ext cx="977900" cy="335915"/>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文本框 140"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3ojXAAAACgEAAA8AAAAAAAAAAQAgAAAAIgAAAGRycy9k&#10;b3ducmV2LnhtbFBLAQIUABQAAAAIAIdO4kCjoH4vAwIAANgDAAAOAAAAAAAAAAEAIAAAACYBAABk&#10;cnMvZTJvRG9jLnhtbFBLBQYAAAAABgAGAFkBAACbBQAAAAA=&#10;">
                <v:fill on="f" focussize="0,0"/>
                <v:stroke on="f"/>
                <v:imagedata o:title=""/>
                <o:lock v:ext="edit" aspectratio="f"/>
                <v:textbox>
                  <w:txbxContent>
                    <w:p/>
                  </w:txbxContent>
                </v:textbox>
              </v:shape>
            </w:pict>
          </mc:Fallback>
        </mc:AlternateContent>
      </w: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88" name="文本框 141"/>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141"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cgpiDVAAAACAEAAA8AAAAAAAAAAQAgAAAAIgAAAGRycy9kb3du&#10;cmV2LnhtbFBLAQIUABQAAAAIAIdO4kCyxbeGAgIAANgDAAAOAAAAAAAAAAEAIAAAACQ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sz w:val="24"/>
          <w:szCs w:val="24"/>
          <w:highlight w:val="none"/>
        </w:rPr>
        <w:t>如合同工期与广东省建设工程工期定额规定不一致的，需说明与省工期定额规定不一致的原因，并制定保障措施，确保质量、施工安全。</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36.2 </w:t>
      </w:r>
    </w:p>
    <w:p>
      <w:pPr>
        <w:pStyle w:val="22"/>
        <w:adjustRightInd w:val="0"/>
        <w:snapToGrid w:val="0"/>
        <w:spacing w:line="360" w:lineRule="auto"/>
        <w:ind w:left="1669" w:leftChars="771" w:hanging="50" w:hangingChars="25"/>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87" name="文本框 142"/>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1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IKYg1QAAAAgBAAAPAAAAAAAAAAEAIAAAACIAAABkcnMvZG93&#10;bnJldi54bWxQSwECFAAUAAAACACHTuJAj6AbfwMCAADYAwAADgAAAAAAAAABACAAAAAkAQAAZHJz&#10;L2Uyb0RvYy54bWxQSwUGAAAAAAYABgBZAQAAm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sz w:val="24"/>
          <w:szCs w:val="24"/>
          <w:highlight w:val="none"/>
        </w:rPr>
        <w:t>合同双方当事人应在专用条款中约定合同工程的工期，工期从开工日期开始计算。合同中包括有多个单位工程的，应在专用条款中约定各单位工程的工期。</w:t>
      </w:r>
    </w:p>
    <w:p>
      <w:pPr>
        <w:pStyle w:val="22"/>
        <w:adjustRightInd w:val="0"/>
        <w:snapToGrid w:val="0"/>
        <w:spacing w:line="360" w:lineRule="auto"/>
        <w:ind w:right="-2"/>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36.3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86"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143"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HbgjVAAAACAEAAA8AAAAAAAAAAQAgAAAAIgAAAGRycy9kb3du&#10;cmV2LnhtbFBLAQIUABQAAAAIAIdO4kACTXf0AgIAANgDAAAOAAAAAAAAAAEAIAAAACQ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sz w:val="24"/>
          <w:szCs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）发包人未能按照专用条款的约定提供施工设计图纸及其它开工条件；</w:t>
      </w:r>
    </w:p>
    <w:p>
      <w:pPr>
        <w:pStyle w:val="22"/>
        <w:adjustRightInd w:val="0"/>
        <w:snapToGrid w:val="0"/>
        <w:spacing w:line="420" w:lineRule="exact"/>
        <w:ind w:left="1680" w:leftChars="8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）发包人未能按照专用条款约定的时间支付工程预付款、绿色施工安全防护费和进度款；</w:t>
      </w:r>
    </w:p>
    <w:p>
      <w:pPr>
        <w:pStyle w:val="22"/>
        <w:adjustRightInd w:val="0"/>
        <w:snapToGrid w:val="0"/>
        <w:spacing w:line="420" w:lineRule="exact"/>
        <w:ind w:left="2339" w:leftChars="771" w:hanging="720" w:hangingChars="3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）发包人代表或施工现场发包人雇用的其他人员造成的人为因素；</w:t>
      </w:r>
    </w:p>
    <w:p>
      <w:pPr>
        <w:pStyle w:val="22"/>
        <w:adjustRightInd w:val="0"/>
        <w:snapToGrid w:val="0"/>
        <w:spacing w:line="420" w:lineRule="exact"/>
        <w:ind w:left="2339" w:leftChars="771" w:hanging="720" w:hangingChars="3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）监理工程师未按照合同约定及时提供所需指令、回复等；</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）工程变更（含增加合同工作内容、改变合同的任何一项工作等）；</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）工程量增加；</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）一周内非承包人原因停水、停电、停气造成停工累计超过</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）不可抗力；</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）发包人风险事件；</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）因发包人的原因导致的暂停施工；</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）非承包人失误、违约，以及监理工程师同意的工期顺延。</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）发包人造成工期延误的其他原因。</w:t>
      </w:r>
    </w:p>
    <w:p>
      <w:pPr>
        <w:pStyle w:val="22"/>
        <w:adjustRightInd w:val="0"/>
        <w:snapToGrid w:val="0"/>
        <w:spacing w:line="360" w:lineRule="auto"/>
        <w:ind w:right="-2"/>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36.4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85" name="文本框 14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144"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uW5mtUAAAAIAQAADwAAAAAAAAABACAAAAAiAAAAZHJzL2Rvd25y&#10;ZXYueG1sUEsBAhQAFAAAAAgAh07iQC18jFcBAgAA2AMAAA4AAAAAAAAAAQAgAAAAJAEAAGRycy9l&#10;Mm9Eb2MueG1sUEsFBgAAAAAGAAYAWQEAAJcFA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rPr>
        <w:t>当第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款所述事件首次发生后，承包人应在</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天内向监理工程师发出工期顺延意向书，并抄送发包人。承包人应在发出工期顺延意向书后的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天内，向监理工程师提交工期顺延报告和有关详细资料。</w:t>
      </w:r>
    </w:p>
    <w:p>
      <w:pPr>
        <w:pStyle w:val="22"/>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36.5 </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84"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145"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ckGrVAAAACAEAAA8AAAAAAAAAAQAgAAAAIgAAAGRycy9kb3du&#10;cmV2LnhtbFBLAQIUABQAAAAIAIdO4kCpoztT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 w:hAnsi="仿宋" w:eastAsia="仿宋" w:cs="仿宋"/>
          <w:color w:val="auto"/>
          <w:sz w:val="24"/>
          <w:szCs w:val="24"/>
          <w:highlight w:val="none"/>
        </w:rPr>
        <w:t>如果工期顺延事件持续发生时，承包人应每隔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天向监理工程师发出工期顺延意向书，并在工期顺延事件终结后的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天内，向监理工程师提交最终工期顺延报告和详细资料。</w:t>
      </w:r>
    </w:p>
    <w:p>
      <w:pPr>
        <w:pStyle w:val="22"/>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36.6  </w:t>
      </w:r>
    </w:p>
    <w:p>
      <w:pPr>
        <w:pStyle w:val="22"/>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83" name="文本框 146"/>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14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l0PH1gAAAAgBAAAPAAAAAAAAAAEAIAAAACIAAABkcnMvZG93&#10;bnJldi54bWxQSwECFAAUAAAACACHTuJA+Y+WAQ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rPr>
        <w:t>如果承包人未能在第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款（发生时）规定的时间内提交（最终）工期顺延报告和详细资料，则视为该事件不影响施工进度或承包人放弃顺延工期的权利。</w:t>
      </w:r>
    </w:p>
    <w:p>
      <w:pPr>
        <w:pStyle w:val="22"/>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36.7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82"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1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qXQ8fWAAAACAEAAA8AAAAAAAAAAQAgAAAAIgAAAGRycy9kb3du&#10;cmV2LnhtbFBLAQIUABQAAAAIAIdO4kB9UCEFAQIAANgDAAAOAAAAAAAAAAEAIAAAACUBAABkcnMv&#10;ZTJvRG9jLnhtbFBLBQYAAAAABgAGAFkBAACY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rPr>
        <w:t>监理工程师应在收到承包人按照第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款（发生时）规定提交（最终）工期顺延报告和详细资料后的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款规定予以核实，或要求承包人进一步补充顺延工期的理由。合同双方当事人一旦协商确定顺延的工期，发包人应承担由此增加的费用，并向承包人支付合理利润。</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如果监理工程师在收到上述报告和资料后的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天内未予核实也未对承包人作出进一步要求，则视为监理工程师已认可承包人上述报告中提出的顺延工期天数。</w:t>
      </w:r>
    </w:p>
    <w:p>
      <w:pPr>
        <w:pStyle w:val="22"/>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36.8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281"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148"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Kjiv1gAAAAkBAAAPAAAAAAAAAAEAIAAAACIAAABkcnMvZG93&#10;bnJldi54bWxQSwECFAAUAAAACACHTuJAdABLXA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 w:hAnsi="仿宋" w:eastAsia="仿宋" w:cs="仿宋"/>
          <w:color w:val="auto"/>
          <w:sz w:val="24"/>
          <w:szCs w:val="24"/>
          <w:highlight w:val="none"/>
        </w:rPr>
        <w:t>承包人未能按照合同进度计划完成工作，或因承包人的原因造成工期延误，发包人可按照本条规定的时限和第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款规定要求承包人支付该支付期的误期赔偿费。</w:t>
      </w:r>
    </w:p>
    <w:p>
      <w:pPr>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36.9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73984"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280"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a:effectLst/>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149" o:spid="_x0000_s1026" o:spt="202" type="#_x0000_t202" style="position:absolute;left:0pt;margin-left:-5.1pt;margin-top:5.15pt;height:35.75pt;width:72.7pt;z-index:252073984;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tiuj1QAAAAkBAAAPAAAAAAAAAAEAIAAAACIAAABkcnMvZG93&#10;bnJldi54bWxQSwECFAAUAAAACACHTuJAVJhrGQMCAADYAwAADgAAAAAAAAABACAAAAAkAQAAZHJz&#10;L2Uyb0RvYy54bWxQSwUGAAAAAAYABgBZAQAAmQU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r>
        <w:rPr>
          <w:rFonts w:hint="eastAsia" w:ascii="仿宋" w:hAnsi="仿宋" w:eastAsia="仿宋" w:cs="仿宋"/>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22"/>
        <w:tabs>
          <w:tab w:val="left" w:pos="540"/>
        </w:tabs>
        <w:adjustRightInd w:val="0"/>
        <w:snapToGrid w:val="0"/>
        <w:spacing w:before="312" w:beforeLines="100"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267" w:name="_Toc24304"/>
      <w:bookmarkStart w:id="268" w:name="_Toc25653645"/>
      <w:bookmarkStart w:id="269" w:name="_Toc22807"/>
      <w:bookmarkStart w:id="270" w:name="_Toc469384019"/>
      <w:r>
        <w:rPr>
          <w:rFonts w:ascii="仿宋" w:hAnsi="仿宋" w:eastAsia="仿宋" w:cs="仿宋"/>
          <w:b/>
          <w:bCs/>
          <w:color w:val="auto"/>
          <w:sz w:val="24"/>
          <w:szCs w:val="24"/>
          <w:highlight w:val="none"/>
        </w:rPr>
        <w:t xml:space="preserve">37  </w:t>
      </w:r>
      <w:r>
        <w:rPr>
          <w:rFonts w:hint="eastAsia" w:ascii="仿宋" w:hAnsi="仿宋" w:eastAsia="仿宋" w:cs="仿宋"/>
          <w:b/>
          <w:bCs/>
          <w:color w:val="auto"/>
          <w:sz w:val="24"/>
          <w:szCs w:val="24"/>
          <w:highlight w:val="none"/>
        </w:rPr>
        <w:t>加快进度</w:t>
      </w:r>
      <w:bookmarkEnd w:id="267"/>
      <w:bookmarkEnd w:id="268"/>
      <w:bookmarkEnd w:id="269"/>
      <w:bookmarkEnd w:id="270"/>
    </w:p>
    <w:p>
      <w:pPr>
        <w:pStyle w:val="22"/>
        <w:tabs>
          <w:tab w:val="left" w:pos="1320"/>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279" name="文本框 150"/>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150"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DRRg1wAAAAoBAAAPAAAAAAAAAAEAIAAAACIAAABkcnMvZG93&#10;bnJldi54bWxQSwECFAAUAAAACACHTuJA346AGAECAADYAwAADgAAAAAAAAABACAAAAAmAQAAZHJz&#10;L2Uyb0RvYy54bWxQSwUGAAAAAAYABgBZAQAAmQU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ascii="仿宋" w:hAnsi="仿宋" w:eastAsia="仿宋" w:cs="仿宋"/>
          <w:b/>
          <w:bCs/>
          <w:color w:val="auto"/>
          <w:sz w:val="24"/>
          <w:szCs w:val="24"/>
          <w:highlight w:val="none"/>
        </w:rPr>
        <w:t xml:space="preserve">37.1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在非发包人延误工期的情况下，如果监理工程师书面指出承包人实施合同工程或其任何部分的进度过慢，迟于进度计划或不能按期竣工，则承包人应按照第</w:t>
      </w:r>
      <w:r>
        <w:rPr>
          <w:rFonts w:ascii="仿宋" w:hAnsi="仿宋" w:eastAsia="仿宋" w:cs="仿宋"/>
          <w:color w:val="auto"/>
          <w:sz w:val="24"/>
          <w:szCs w:val="24"/>
          <w:highlight w:val="none"/>
        </w:rPr>
        <w:t>33.4</w:t>
      </w:r>
      <w:r>
        <w:rPr>
          <w:rFonts w:hint="eastAsia" w:ascii="仿宋" w:hAnsi="仿宋" w:eastAsia="仿宋" w:cs="仿宋"/>
          <w:color w:val="auto"/>
          <w:sz w:val="24"/>
          <w:szCs w:val="24"/>
          <w:highlight w:val="none"/>
        </w:rPr>
        <w:t>款规定采取改进措施，加快工程进度。</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如果承包人在接到监理工程师通知后的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278" name="文本框 151"/>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151"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2u81wAAAAoBAAAPAAAAAAAAAAEAIAAAACIAAABkcnMvZG93&#10;bnJldi54bWxQSwECFAAUAAAACACHTuJA4+BF0wECAADYAwAADgAAAAAAAAABACAAAAAmAQAAZHJz&#10;L2Uyb0RvYy54bWxQSwUGAAAAAAYABgBZAQAAm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ascii="仿宋" w:hAnsi="仿宋" w:eastAsia="仿宋" w:cs="仿宋"/>
          <w:b/>
          <w:bCs/>
          <w:color w:val="auto"/>
          <w:sz w:val="24"/>
          <w:szCs w:val="24"/>
          <w:highlight w:val="none"/>
        </w:rPr>
        <w:t xml:space="preserve">37.2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天内完成编制并向发包人提交提前竣工建议书，该建议书的内容至少应包括：</w:t>
      </w:r>
    </w:p>
    <w:p>
      <w:pPr>
        <w:pStyle w:val="22"/>
        <w:numPr>
          <w:ilvl w:val="0"/>
          <w:numId w:val="20"/>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加快进度拟采取的措施；</w:t>
      </w:r>
    </w:p>
    <w:p>
      <w:pPr>
        <w:pStyle w:val="22"/>
        <w:numPr>
          <w:ilvl w:val="0"/>
          <w:numId w:val="20"/>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加快进度后的进度计划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以及与原计划的对比；</w:t>
      </w:r>
    </w:p>
    <w:p>
      <w:pPr>
        <w:pStyle w:val="22"/>
        <w:numPr>
          <w:ilvl w:val="0"/>
          <w:numId w:val="20"/>
        </w:numPr>
        <w:tabs>
          <w:tab w:val="left" w:pos="198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加快进度所需的合同价款增加额（含第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款规定的提前竣工奖）。该增加额按照第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72.5</w:t>
      </w:r>
      <w:r>
        <w:rPr>
          <w:rFonts w:hint="eastAsia" w:ascii="仿宋" w:hAnsi="仿宋" w:eastAsia="仿宋" w:cs="仿宋"/>
          <w:color w:val="auto"/>
          <w:sz w:val="24"/>
          <w:szCs w:val="24"/>
          <w:highlight w:val="none"/>
        </w:rPr>
        <w:t>款规定计算。</w:t>
      </w:r>
    </w:p>
    <w:p>
      <w:pPr>
        <w:pStyle w:val="22"/>
        <w:adjustRightInd w:val="0"/>
        <w:snapToGrid w:val="0"/>
        <w:spacing w:line="360" w:lineRule="auto"/>
        <w:ind w:left="1617" w:leftChars="770"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发包人应在接到建议书后的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天内予以答复。如果发包人接受了该建议书，则监理工程师应以书面形式发出变更指令，相应调整工期；造价工程师应核实并相应调整合同价款。</w:t>
      </w:r>
    </w:p>
    <w:p>
      <w:pPr>
        <w:pStyle w:val="22"/>
        <w:adjustRightInd w:val="0"/>
        <w:snapToGrid w:val="0"/>
        <w:spacing w:line="240" w:lineRule="exact"/>
        <w:ind w:right="-24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271" w:name="_Toc469384020"/>
      <w:bookmarkStart w:id="272" w:name="_Toc25653646"/>
      <w:bookmarkStart w:id="273" w:name="_Toc10012"/>
      <w:bookmarkStart w:id="274" w:name="_Toc5273"/>
      <w:r>
        <w:rPr>
          <w:rFonts w:ascii="仿宋" w:hAnsi="仿宋" w:eastAsia="仿宋" w:cs="仿宋"/>
          <w:b/>
          <w:bCs/>
          <w:color w:val="auto"/>
          <w:sz w:val="24"/>
          <w:szCs w:val="24"/>
          <w:highlight w:val="none"/>
        </w:rPr>
        <w:t xml:space="preserve">38  </w:t>
      </w:r>
      <w:r>
        <w:rPr>
          <w:rFonts w:hint="eastAsia" w:ascii="仿宋" w:hAnsi="仿宋" w:eastAsia="仿宋" w:cs="仿宋"/>
          <w:b/>
          <w:bCs/>
          <w:color w:val="auto"/>
          <w:sz w:val="24"/>
          <w:szCs w:val="24"/>
          <w:highlight w:val="none"/>
        </w:rPr>
        <w:t>竣工日期</w:t>
      </w:r>
      <w:bookmarkEnd w:id="271"/>
      <w:bookmarkEnd w:id="272"/>
      <w:bookmarkEnd w:id="273"/>
      <w:bookmarkEnd w:id="274"/>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277"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152"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OHVX1wAAAAkBAAAPAAAAAAAAAAEAIAAAACIAAABkcnMv&#10;ZG93bnJldi54bWxQSwECFAAUAAAACACHTuJAkUlAPwQCAADYAwAADgAAAAAAAAABACAAAAAmAQAA&#10;ZHJzL2Uyb0RvYy54bWxQSwUGAAAAAAYABgBZAQAAn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ascii="仿宋" w:hAnsi="仿宋" w:eastAsia="仿宋" w:cs="仿宋"/>
          <w:b/>
          <w:bCs/>
          <w:color w:val="auto"/>
          <w:sz w:val="24"/>
          <w:szCs w:val="24"/>
          <w:highlight w:val="none"/>
        </w:rPr>
        <w:t xml:space="preserve">38.1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合同双方当事人应在协议书和专用条款中约定合同工程的计划竣工日期。</w:t>
      </w:r>
    </w:p>
    <w:p>
      <w:pPr>
        <w:pStyle w:val="22"/>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76"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153"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JmhxtUAAAAHAQAADwAAAAAAAAABACAAAAAiAAAAZHJzL2Rv&#10;d25yZXYueG1sUEsBAhQAFAAAAAgAh07iQBWW9zsEAgAA2AMAAA4AAAAAAAAAAQAgAAAAJA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rPr>
        <w:t>除发生不可抗力事件致使发包人不能按时竣工验收外，实际竣工日期按照下列情况分别确定：</w:t>
      </w:r>
    </w:p>
    <w:p>
      <w:pPr>
        <w:pStyle w:val="22"/>
        <w:numPr>
          <w:ilvl w:val="0"/>
          <w:numId w:val="21"/>
        </w:numPr>
        <w:tabs>
          <w:tab w:val="left" w:pos="1980"/>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工程经竣工验收合格的，以承包人提交竣工验收申请报告之日为实际竣工日期；</w:t>
      </w:r>
    </w:p>
    <w:p>
      <w:pPr>
        <w:pStyle w:val="22"/>
        <w:tabs>
          <w:tab w:val="left" w:pos="1980"/>
          <w:tab w:val="left" w:pos="2160"/>
        </w:tabs>
        <w:adjustRightInd w:val="0"/>
        <w:snapToGrid w:val="0"/>
        <w:spacing w:line="360" w:lineRule="auto"/>
        <w:ind w:left="1613"/>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承包人已按照第</w:t>
      </w:r>
      <w:r>
        <w:rPr>
          <w:rFonts w:ascii="仿宋" w:hAnsi="仿宋" w:eastAsia="仿宋" w:cs="仿宋"/>
          <w:color w:val="auto"/>
          <w:sz w:val="24"/>
          <w:szCs w:val="24"/>
          <w:highlight w:val="none"/>
        </w:rPr>
        <w:t>57.2</w:t>
      </w:r>
      <w:r>
        <w:rPr>
          <w:rFonts w:hint="eastAsia" w:ascii="仿宋" w:hAnsi="仿宋" w:eastAsia="仿宋" w:cs="仿宋"/>
          <w:color w:val="auto"/>
          <w:sz w:val="24"/>
          <w:szCs w:val="24"/>
          <w:highlight w:val="none"/>
        </w:rPr>
        <w:t>款规定提交竣工验收申请报告，但发包人未按照第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款规定完成合同工程验收的，以承包人提交竣工验收申请报告之日为实际竣工日期；</w:t>
      </w:r>
    </w:p>
    <w:p>
      <w:pPr>
        <w:pStyle w:val="22"/>
        <w:tabs>
          <w:tab w:val="left" w:pos="1980"/>
          <w:tab w:val="left" w:pos="2160"/>
        </w:tabs>
        <w:adjustRightInd w:val="0"/>
        <w:snapToGrid w:val="0"/>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工程未经竣工验收，发包人擅自使用的，以转移占有工程之日为实际竣工日期。</w:t>
      </w:r>
    </w:p>
    <w:p>
      <w:pPr>
        <w:pStyle w:val="22"/>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38.3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275"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154"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QzcrVAAAACAEAAA8AAAAAAAAAAQAgAAAAIgAAAGRycy9kb3du&#10;cmV2LnhtbFBLAQIUABQAAAAIAIdO4kDNSTvN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sz w:val="24"/>
          <w:szCs w:val="24"/>
          <w:highlight w:val="none"/>
        </w:rPr>
        <w:t>因发包人的原因导致实际竣工日期迟于计划竣工日期的，发包人应承担由此增加的费用和（或）延误的工期，并向承包人支付合理利润。</w:t>
      </w:r>
    </w:p>
    <w:p>
      <w:pPr>
        <w:spacing w:line="360" w:lineRule="auto"/>
        <w:ind w:left="1619" w:leftChars="771" w:firstLine="60" w:firstLineChars="25"/>
        <w:rPr>
          <w:rFonts w:ascii="仿宋" w:hAnsi="仿宋" w:eastAsia="仿宋"/>
          <w:caps/>
          <w:color w:val="auto"/>
          <w:sz w:val="24"/>
          <w:szCs w:val="24"/>
          <w:highlight w:val="none"/>
        </w:rPr>
      </w:pPr>
      <w:r>
        <w:rPr>
          <w:rFonts w:hint="eastAsia" w:ascii="仿宋" w:hAnsi="仿宋" w:eastAsia="仿宋" w:cs="仿宋"/>
          <w:color w:val="auto"/>
          <w:sz w:val="24"/>
          <w:szCs w:val="24"/>
          <w:highlight w:val="none"/>
        </w:rPr>
        <w:t>因承包人的原因导致实际竣工日期迟于计划竣工日期的，承包人应按照第</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条规定</w:t>
      </w:r>
      <w:r>
        <w:rPr>
          <w:rFonts w:hint="eastAsia" w:ascii="仿宋" w:hAnsi="仿宋" w:eastAsia="仿宋" w:cs="仿宋"/>
          <w:caps/>
          <w:color w:val="auto"/>
          <w:sz w:val="24"/>
          <w:szCs w:val="24"/>
          <w:highlight w:val="none"/>
        </w:rPr>
        <w:t>赔偿发包人由此造成的损失，并向发包人支付误期赔偿费。</w:t>
      </w:r>
    </w:p>
    <w:p>
      <w:pPr>
        <w:rPr>
          <w:rFonts w:ascii="仿宋" w:hAnsi="仿宋" w:eastAsia="仿宋" w:cs="仿宋"/>
          <w:caps/>
          <w:color w:val="auto"/>
          <w:sz w:val="24"/>
          <w:szCs w:val="24"/>
          <w:highlight w:val="none"/>
          <w:u w:val="single"/>
        </w:rPr>
      </w:pPr>
    </w:p>
    <w:p>
      <w:pPr>
        <w:pStyle w:val="22"/>
        <w:tabs>
          <w:tab w:val="left" w:pos="540"/>
        </w:tabs>
        <w:adjustRightInd w:val="0"/>
        <w:snapToGrid w:val="0"/>
        <w:spacing w:before="312" w:beforeLines="100"/>
        <w:outlineLvl w:val="2"/>
        <w:rPr>
          <w:rFonts w:ascii="仿宋" w:hAnsi="仿宋" w:eastAsia="仿宋"/>
          <w:b/>
          <w:bCs/>
          <w:color w:val="auto"/>
          <w:sz w:val="24"/>
          <w:szCs w:val="24"/>
          <w:highlight w:val="none"/>
        </w:rPr>
      </w:pPr>
      <w:bookmarkStart w:id="275" w:name="_Toc469384021"/>
      <w:bookmarkStart w:id="276" w:name="_Toc13401"/>
      <w:bookmarkStart w:id="277" w:name="_Toc25653647"/>
      <w:bookmarkStart w:id="278" w:name="_Toc19809"/>
      <w:r>
        <w:rPr>
          <w:rFonts w:ascii="仿宋" w:hAnsi="仿宋" w:eastAsia="仿宋" w:cs="仿宋"/>
          <w:b/>
          <w:bCs/>
          <w:color w:val="auto"/>
          <w:sz w:val="24"/>
          <w:szCs w:val="24"/>
          <w:highlight w:val="none"/>
        </w:rPr>
        <w:t xml:space="preserve">39  </w:t>
      </w:r>
      <w:r>
        <w:rPr>
          <w:rFonts w:hint="eastAsia" w:ascii="仿宋" w:hAnsi="仿宋" w:eastAsia="仿宋" w:cs="仿宋"/>
          <w:b/>
          <w:bCs/>
          <w:color w:val="auto"/>
          <w:sz w:val="24"/>
          <w:szCs w:val="24"/>
          <w:highlight w:val="none"/>
        </w:rPr>
        <w:t>提前竣工</w:t>
      </w:r>
      <w:bookmarkEnd w:id="275"/>
      <w:bookmarkEnd w:id="276"/>
      <w:bookmarkEnd w:id="277"/>
      <w:bookmarkEnd w:id="278"/>
    </w:p>
    <w:p>
      <w:pPr>
        <w:pStyle w:val="22"/>
        <w:adjustRightInd w:val="0"/>
        <w:snapToGrid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39.1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274" name="文本框 15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155"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HT+P1QAAAAgBAAAPAAAAAAAAAAEAIAAAACIAAABkcnMvZG93&#10;bnJldi54bWxQSwECFAAUAAAACACHTuJAXVZExQMCAADYAwAADgAAAAAAAAABACAAAAAk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rPr>
        <w:t>发包人要求承包人提前竣工，或承包人按照第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款规定提交提前竣工建议书为发包人接受的，监理工程师应与承包人商定采取加快工程进度的措施，并修订合同工程进度计划。</w:t>
      </w:r>
    </w:p>
    <w:p>
      <w:pPr>
        <w:pStyle w:val="22"/>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39.2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73" name="文本框 156"/>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15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JmhxtUAAAAHAQAADwAAAAAAAAABACAAAAAiAAAAZHJzL2Rv&#10;d25yZXYueG1sUEsBAhQAFAAAAAgAh07iQIE3ny0EAgAA2AMAAA4AAAAAAAAAAQAgAAAAJA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rPr>
        <w:t>提前竣工天数按照第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款规定确定的计划竣工天数减去实际竣工天数计算，其公式为：</w:t>
      </w:r>
    </w:p>
    <w:p>
      <w:pPr>
        <w:pStyle w:val="22"/>
        <w:adjustRightInd w:val="0"/>
        <w:snapToGrid w:val="0"/>
        <w:spacing w:line="360" w:lineRule="auto"/>
        <w:ind w:firstLine="2160" w:firstLineChars="900"/>
        <w:rPr>
          <w:rFonts w:ascii="仿宋" w:hAnsi="仿宋" w:eastAsia="仿宋"/>
          <w:color w:val="auto"/>
          <w:sz w:val="24"/>
          <w:szCs w:val="24"/>
          <w:highlight w:val="none"/>
        </w:rPr>
      </w:pPr>
      <w:r>
        <w:rPr>
          <w:rFonts w:hint="eastAsia" w:ascii="仿宋" w:hAnsi="仿宋" w:eastAsia="仿宋" w:cs="仿宋"/>
          <w:color w:val="auto"/>
          <w:sz w:val="24"/>
          <w:szCs w:val="24"/>
          <w:highlight w:val="none"/>
        </w:rPr>
        <w:t>提前竣工天数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计划竣工天数</w:t>
      </w:r>
      <w:r>
        <w:rPr>
          <w:rFonts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rPr>
        <w:t>实际竣工天数</w:t>
      </w:r>
    </w:p>
    <w:p>
      <w:pPr>
        <w:pStyle w:val="22"/>
        <w:tabs>
          <w:tab w:val="left" w:pos="1980"/>
          <w:tab w:val="left" w:pos="2160"/>
        </w:tabs>
        <w:adjustRightInd w:val="0"/>
        <w:snapToGrid w:val="0"/>
        <w:spacing w:line="360" w:lineRule="auto"/>
        <w:ind w:left="1616"/>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合同工程提前竣工，发包人应承担承包人由此增加的费用，并按照第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款规定向承包人支付提前竣工奖。</w:t>
      </w:r>
    </w:p>
    <w:p>
      <w:pPr>
        <w:pStyle w:val="22"/>
        <w:tabs>
          <w:tab w:val="left" w:pos="540"/>
        </w:tabs>
        <w:adjustRightInd w:val="0"/>
        <w:snapToGrid w:val="0"/>
        <w:spacing w:before="312" w:beforeLines="100" w:line="240" w:lineRule="exact"/>
        <w:rPr>
          <w:rFonts w:ascii="仿宋" w:hAnsi="仿宋" w:eastAsia="仿宋" w:cs="仿宋"/>
          <w:b/>
          <w:bCs/>
          <w:caps/>
          <w:color w:val="auto"/>
          <w:sz w:val="24"/>
          <w:szCs w:val="24"/>
          <w:highlight w:val="none"/>
          <w:u w:val="single"/>
        </w:rPr>
      </w:pPr>
    </w:p>
    <w:p>
      <w:pPr>
        <w:pStyle w:val="22"/>
        <w:tabs>
          <w:tab w:val="left" w:pos="540"/>
        </w:tabs>
        <w:adjustRightInd w:val="0"/>
        <w:snapToGrid w:val="0"/>
        <w:spacing w:before="312" w:beforeLines="100"/>
        <w:outlineLvl w:val="2"/>
        <w:rPr>
          <w:rFonts w:ascii="仿宋" w:hAnsi="仿宋" w:eastAsia="仿宋"/>
          <w:b/>
          <w:bCs/>
          <w:color w:val="auto"/>
          <w:sz w:val="24"/>
          <w:szCs w:val="24"/>
          <w:highlight w:val="none"/>
        </w:rPr>
      </w:pPr>
      <w:bookmarkStart w:id="279" w:name="_Toc18863"/>
      <w:bookmarkStart w:id="280" w:name="_Toc32370"/>
      <w:bookmarkStart w:id="281" w:name="_Toc25653648"/>
      <w:bookmarkStart w:id="282" w:name="_Toc469384022"/>
      <w:r>
        <w:rPr>
          <w:rFonts w:ascii="仿宋" w:hAnsi="仿宋" w:eastAsia="仿宋" w:cs="仿宋"/>
          <w:b/>
          <w:bCs/>
          <w:color w:val="auto"/>
          <w:sz w:val="24"/>
          <w:szCs w:val="24"/>
          <w:highlight w:val="none"/>
        </w:rPr>
        <w:t xml:space="preserve">40  </w:t>
      </w:r>
      <w:r>
        <w:rPr>
          <w:rFonts w:hint="eastAsia" w:ascii="仿宋" w:hAnsi="仿宋" w:eastAsia="仿宋" w:cs="仿宋"/>
          <w:b/>
          <w:bCs/>
          <w:color w:val="auto"/>
          <w:sz w:val="24"/>
          <w:szCs w:val="24"/>
          <w:highlight w:val="none"/>
        </w:rPr>
        <w:t>误期赔偿</w:t>
      </w:r>
      <w:bookmarkEnd w:id="279"/>
      <w:bookmarkEnd w:id="280"/>
      <w:bookmarkEnd w:id="281"/>
      <w:bookmarkEnd w:id="282"/>
    </w:p>
    <w:p>
      <w:pPr>
        <w:rPr>
          <w:rFonts w:ascii="仿宋" w:hAnsi="仿宋" w:eastAsia="仿宋"/>
          <w:b/>
          <w:bCs/>
          <w:caps/>
          <w:color w:val="auto"/>
          <w:sz w:val="24"/>
          <w:szCs w:val="24"/>
          <w:highlight w:val="none"/>
        </w:rPr>
      </w:pPr>
      <w:r>
        <w:rPr>
          <w:rFonts w:ascii="仿宋" w:hAnsi="仿宋" w:eastAsia="仿宋" w:cs="仿宋"/>
          <w:b/>
          <w:bCs/>
          <w:color w:val="auto"/>
          <w:sz w:val="24"/>
          <w:szCs w:val="24"/>
          <w:highlight w:val="none"/>
        </w:rPr>
        <w:t>40.1</w:t>
      </w:r>
    </w:p>
    <w:p>
      <w:pPr>
        <w:spacing w:line="360" w:lineRule="auto"/>
        <w:ind w:left="1619" w:leftChars="771"/>
        <w:rPr>
          <w:rFonts w:ascii="仿宋" w:hAnsi="仿宋" w:eastAsia="仿宋"/>
          <w:caps/>
          <w:color w:val="auto"/>
          <w:sz w:val="24"/>
          <w:szCs w:val="24"/>
          <w:highlight w:val="none"/>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272" name="文本框 157"/>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157"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1tREdYAAAAJAQAADwAAAAAAAAABACAAAAAiAAAAZHJzL2Rv&#10;d25yZXYueG1sUEsBAhQAFAAAAAgAh07iQFIzEe0DAgAA2AMAAA4AAAAAAAAAAQAgAAAAJQ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sz w:val="24"/>
          <w:szCs w:val="24"/>
          <w:highlight w:val="none"/>
        </w:rPr>
        <w:t>如果承包人未按照第</w:t>
      </w:r>
      <w:r>
        <w:rPr>
          <w:rFonts w:ascii="仿宋" w:hAnsi="仿宋" w:eastAsia="仿宋" w:cs="仿宋"/>
          <w:caps/>
          <w:color w:val="auto"/>
          <w:sz w:val="24"/>
          <w:szCs w:val="24"/>
          <w:highlight w:val="none"/>
        </w:rPr>
        <w:t>33.4</w:t>
      </w:r>
      <w:r>
        <w:rPr>
          <w:rFonts w:hint="eastAsia" w:ascii="仿宋" w:hAnsi="仿宋" w:eastAsia="仿宋" w:cs="仿宋"/>
          <w:caps/>
          <w:color w:val="auto"/>
          <w:sz w:val="24"/>
          <w:szCs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40.2  </w:t>
      </w:r>
    </w:p>
    <w:p>
      <w:pPr>
        <w:spacing w:line="360" w:lineRule="auto"/>
        <w:ind w:left="1619" w:leftChars="771" w:firstLine="71" w:firstLineChars="34"/>
        <w:rPr>
          <w:rFonts w:ascii="仿宋" w:hAnsi="仿宋" w:eastAsia="仿宋"/>
          <w:caps/>
          <w:color w:val="auto"/>
          <w:sz w:val="24"/>
          <w:szCs w:val="24"/>
          <w:highlight w:val="none"/>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71" name="文本框 158"/>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文本框 158"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4nWAAAACQEAAA8AAAAAAAAAAQAgAAAAIgAAAGRycy9kb3du&#10;cmV2LnhtbFBLAQIUABQAAAAIAIdO4kD8XWKgAQIAANk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 w:hAnsi="仿宋" w:eastAsia="仿宋" w:cs="仿宋"/>
          <w:caps/>
          <w:color w:val="auto"/>
          <w:sz w:val="24"/>
          <w:szCs w:val="24"/>
          <w:highlight w:val="none"/>
        </w:rPr>
        <w:t>误期（实际延误天数）按照实际施工天数减去计划施工天数计算，其公式为：</w:t>
      </w:r>
    </w:p>
    <w:p>
      <w:pPr>
        <w:spacing w:line="360" w:lineRule="auto"/>
        <w:ind w:firstLine="1680" w:firstLineChars="700"/>
        <w:rPr>
          <w:rFonts w:ascii="仿宋" w:hAnsi="仿宋" w:eastAsia="仿宋"/>
          <w:caps/>
          <w:color w:val="auto"/>
          <w:sz w:val="24"/>
          <w:szCs w:val="24"/>
          <w:highlight w:val="none"/>
        </w:rPr>
      </w:pPr>
      <w:r>
        <w:rPr>
          <w:rFonts w:hint="eastAsia" w:ascii="仿宋" w:hAnsi="仿宋" w:eastAsia="仿宋" w:cs="仿宋"/>
          <w:caps/>
          <w:color w:val="auto"/>
          <w:sz w:val="24"/>
          <w:szCs w:val="24"/>
          <w:highlight w:val="none"/>
        </w:rPr>
        <w:t>实际延误天数＝实际施工天数－计划施工天数</w:t>
      </w:r>
    </w:p>
    <w:p>
      <w:pPr>
        <w:spacing w:line="360" w:lineRule="auto"/>
        <w:ind w:left="1680" w:leftChars="800"/>
        <w:rPr>
          <w:rFonts w:ascii="仿宋" w:hAnsi="仿宋" w:eastAsia="仿宋"/>
          <w:caps/>
          <w:color w:val="auto"/>
          <w:sz w:val="24"/>
          <w:szCs w:val="24"/>
          <w:highlight w:val="none"/>
        </w:rPr>
      </w:pPr>
      <w:r>
        <w:rPr>
          <w:rFonts w:hint="eastAsia" w:ascii="仿宋" w:hAnsi="仿宋" w:eastAsia="仿宋" w:cs="仿宋"/>
          <w:caps/>
          <w:color w:val="auto"/>
          <w:sz w:val="24"/>
          <w:szCs w:val="24"/>
          <w:highlight w:val="none"/>
        </w:rPr>
        <w:t>合同工程发生误期，承包人应赔偿发包人由此造成的损失，并按照第</w:t>
      </w:r>
      <w:r>
        <w:rPr>
          <w:rFonts w:ascii="仿宋" w:hAnsi="仿宋" w:eastAsia="仿宋" w:cs="仿宋"/>
          <w:caps/>
          <w:color w:val="auto"/>
          <w:sz w:val="24"/>
          <w:szCs w:val="24"/>
          <w:highlight w:val="none"/>
        </w:rPr>
        <w:t>66.2</w:t>
      </w:r>
      <w:r>
        <w:rPr>
          <w:rFonts w:hint="eastAsia" w:ascii="仿宋" w:hAnsi="仿宋" w:eastAsia="仿宋" w:cs="仿宋"/>
          <w:caps/>
          <w:color w:val="auto"/>
          <w:sz w:val="24"/>
          <w:szCs w:val="24"/>
          <w:highlight w:val="none"/>
        </w:rPr>
        <w:t>款规定向发包人支付误期赔偿费。</w:t>
      </w:r>
    </w:p>
    <w:p>
      <w:pPr>
        <w:pStyle w:val="22"/>
        <w:adjustRightInd w:val="0"/>
        <w:snapToGrid w:val="0"/>
        <w:spacing w:line="360" w:lineRule="auto"/>
        <w:ind w:right="-238"/>
        <w:rPr>
          <w:rFonts w:ascii="仿宋" w:hAnsi="仿宋" w:eastAsia="仿宋"/>
          <w:b/>
          <w:bCs/>
          <w:color w:val="auto"/>
          <w:sz w:val="24"/>
          <w:szCs w:val="24"/>
          <w:highlight w:val="none"/>
          <w:u w:val="single"/>
        </w:rPr>
      </w:pPr>
    </w:p>
    <w:p>
      <w:pPr>
        <w:pStyle w:val="22"/>
        <w:adjustRightInd w:val="0"/>
        <w:snapToGrid w:val="0"/>
        <w:spacing w:line="360" w:lineRule="auto"/>
        <w:ind w:firstLine="2768" w:firstLineChars="1149"/>
        <w:outlineLvl w:val="1"/>
        <w:rPr>
          <w:rFonts w:ascii="仿宋" w:hAnsi="仿宋" w:eastAsia="仿宋"/>
          <w:b/>
          <w:bCs/>
          <w:color w:val="auto"/>
          <w:sz w:val="24"/>
          <w:szCs w:val="24"/>
          <w:highlight w:val="none"/>
        </w:rPr>
      </w:pPr>
      <w:bookmarkStart w:id="283" w:name="_Toc10682"/>
      <w:bookmarkStart w:id="284" w:name="_Toc25653649"/>
      <w:bookmarkStart w:id="285" w:name="_Toc24309"/>
      <w:bookmarkStart w:id="286" w:name="_Toc469384023"/>
      <w:r>
        <w:rPr>
          <w:rFonts w:hint="eastAsia" w:ascii="仿宋" w:hAnsi="仿宋" w:eastAsia="仿宋" w:cs="仿宋"/>
          <w:b/>
          <w:bCs/>
          <w:color w:val="auto"/>
          <w:sz w:val="24"/>
          <w:szCs w:val="24"/>
          <w:highlight w:val="none"/>
        </w:rPr>
        <w:t>五、质量与安全</w:t>
      </w:r>
      <w:bookmarkEnd w:id="283"/>
      <w:bookmarkEnd w:id="284"/>
      <w:bookmarkEnd w:id="285"/>
      <w:bookmarkEnd w:id="286"/>
    </w:p>
    <w:p>
      <w:pPr>
        <w:pStyle w:val="22"/>
        <w:adjustRightInd w:val="0"/>
        <w:snapToGrid w:val="0"/>
        <w:spacing w:line="360" w:lineRule="auto"/>
        <w:outlineLvl w:val="2"/>
        <w:rPr>
          <w:rFonts w:ascii="仿宋" w:hAnsi="仿宋" w:eastAsia="仿宋"/>
          <w:b/>
          <w:bCs/>
          <w:color w:val="auto"/>
          <w:sz w:val="24"/>
          <w:szCs w:val="24"/>
          <w:highlight w:val="none"/>
        </w:rPr>
      </w:pPr>
      <w:bookmarkStart w:id="287" w:name="_Toc25653650"/>
      <w:bookmarkStart w:id="288" w:name="_Toc469384024"/>
      <w:bookmarkStart w:id="289" w:name="_Toc4219"/>
      <w:bookmarkStart w:id="290" w:name="_Toc2557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41  </w:t>
      </w:r>
      <w:r>
        <w:rPr>
          <w:rFonts w:hint="eastAsia" w:ascii="仿宋" w:hAnsi="仿宋" w:eastAsia="仿宋" w:cs="仿宋"/>
          <w:b/>
          <w:bCs/>
          <w:color w:val="auto"/>
          <w:sz w:val="24"/>
          <w:szCs w:val="24"/>
          <w:highlight w:val="none"/>
        </w:rPr>
        <w:t>质量与安全管理</w:t>
      </w:r>
      <w:bookmarkEnd w:id="287"/>
      <w:bookmarkEnd w:id="288"/>
      <w:bookmarkEnd w:id="289"/>
      <w:bookmarkEnd w:id="290"/>
    </w:p>
    <w:p>
      <w:pPr>
        <w:tabs>
          <w:tab w:val="left" w:pos="78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41.1 </w:t>
      </w:r>
      <w:r>
        <w:rPr>
          <w:rFonts w:ascii="仿宋" w:hAnsi="仿宋" w:eastAsia="仿宋" w:cs="仿宋"/>
          <w:b/>
          <w:bCs/>
          <w:color w:val="auto"/>
          <w:sz w:val="24"/>
          <w:szCs w:val="24"/>
          <w:highlight w:val="none"/>
        </w:rPr>
        <w:tab/>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70" name="文本框 159"/>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159"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1nzT3VAAAACQEAAA8AAAAAAAAAAQAgAAAAIgAAAGRycy9kb3du&#10;cmV2LnhtbFBLAQIUABQAAAAIAIdO4kBpmz8F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pStyle w:val="11"/>
        <w:adjustRightInd w:val="0"/>
        <w:snapToGrid w:val="0"/>
        <w:spacing w:line="48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41.2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69" name="文本框 160"/>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160"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Uu4lvVAAAACAEAAA8AAAAAAAAAAQAgAAAAIgAAAGRycy9kb3ducmV2&#10;LnhtbFBLAQIUABQAAAAIAIdO4kBlAzP2/wEAANgDAAAOAAAAAAAAAAEAIAAAACQBAABkcnMvZTJv&#10;RG9jLnhtbFBLBQYAAAAABgAGAFkBAACV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11"/>
        <w:adjustRightInd w:val="0"/>
        <w:snapToGrid w:val="0"/>
        <w:spacing w:line="480" w:lineRule="auto"/>
        <w:ind w:firstLine="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268" name="文本框 161"/>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161"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DO71wAAAAkBAAAPAAAAAAAAAAEAIAAAACIAAABkcnMvZG93&#10;bnJldi54bWxQSwECFAAUAAAACACHTuJAaXes2Q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sz w:val="24"/>
          <w:szCs w:val="24"/>
          <w:highlight w:val="none"/>
        </w:rPr>
        <w:t xml:space="preserve">41.3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11"/>
        <w:adjustRightInd w:val="0"/>
        <w:snapToGrid w:val="0"/>
        <w:spacing w:line="360" w:lineRule="auto"/>
        <w:ind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67" name="文本框 16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162"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3dhBL1gAAAAoBAAAPAAAAAAAAAAEAIAAAACIAAABkcnMvZG93&#10;bnJldi54bWxQSwECFAAUAAAACACHTuJA/nQzhgICAADYAwAADgAAAAAAAAABACAAAAAlAQAAZHJz&#10;L2Uyb0RvYy54bWxQSwUGAAAAAAYABgBZAQAAmQ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仿宋" w:hAnsi="仿宋" w:eastAsia="仿宋" w:cs="仿宋"/>
          <w:b/>
          <w:bCs/>
          <w:color w:val="auto"/>
          <w:sz w:val="24"/>
          <w:szCs w:val="24"/>
          <w:highlight w:val="none"/>
        </w:rPr>
        <w:t xml:space="preserve">41.4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11"/>
        <w:adjustRightInd w:val="0"/>
        <w:snapToGrid w:val="0"/>
        <w:spacing w:line="360" w:lineRule="auto"/>
        <w:ind w:left="1619" w:leftChars="771" w:firstLine="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41.5  </w:t>
      </w:r>
    </w:p>
    <w:p>
      <w:pPr>
        <w:autoSpaceDE w:val="0"/>
        <w:autoSpaceDN w:val="0"/>
        <w:adjustRightInd w:val="0"/>
        <w:spacing w:line="360" w:lineRule="auto"/>
        <w:ind w:left="1495" w:leftChars="712"/>
        <w:jc w:val="left"/>
        <w:rPr>
          <w:rFonts w:ascii="仿宋" w:hAnsi="仿宋" w:eastAsia="仿宋"/>
          <w:color w:val="auto"/>
          <w:kern w:val="0"/>
          <w:sz w:val="24"/>
          <w:szCs w:val="24"/>
          <w:highlight w:val="none"/>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266"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163"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bY0NLVAAAACAEAAA8AAAAAAAAAAQAgAAAAIgAAAGRycy9kb3du&#10;cmV2LnhtbFBLAQIUABQAAAAIAIdO4kCNWUmaAgIAANgDAAAOAAAAAAAAAAEAIAAAACQBAABkcnMv&#10;ZTJvRG9jLnhtbFBLBQYAAAAABgAGAFkBAACYBQAAAAA=&#10;">
                <v:fill on="f" focussize="0,0"/>
                <v:stroke on="f"/>
                <v:imagedata o:title=""/>
                <o:lock v:ext="edit" aspectratio="f"/>
                <v:textbox>
                  <w:txbxContent>
                    <w:p>
                      <w:pPr>
                        <w:spacing w:line="240" w:lineRule="exact"/>
                        <w:jc w:val="left"/>
                        <w:rPr>
                          <w:rFonts w:ascii="楷体_GB2312" w:hAnsi="宋体" w:eastAsia="楷体_GB2312"/>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 w:hAnsi="仿宋" w:eastAsia="仿宋" w:cs="仿宋"/>
          <w:color w:val="auto"/>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60" w:lineRule="auto"/>
        <w:jc w:val="left"/>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41.6 </w:t>
      </w:r>
    </w:p>
    <w:p>
      <w:pPr>
        <w:autoSpaceDE w:val="0"/>
        <w:autoSpaceDN w:val="0"/>
        <w:adjustRightInd w:val="0"/>
        <w:spacing w:line="360" w:lineRule="auto"/>
        <w:ind w:left="1346" w:leftChars="641"/>
        <w:jc w:val="left"/>
        <w:rPr>
          <w:rFonts w:ascii="仿宋" w:hAnsi="仿宋" w:eastAsia="仿宋"/>
          <w:color w:val="auto"/>
          <w:kern w:val="0"/>
          <w:sz w:val="24"/>
          <w:szCs w:val="24"/>
          <w:highlight w:val="none"/>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265" name="文本框 164"/>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a:effectLst/>
                      </wps:spPr>
                      <wps:txbx>
                        <w:txbxContent>
                          <w:p>
                            <w:pPr>
                              <w:rPr>
                                <w:color w:val="FF0000"/>
                              </w:rPr>
                            </w:pPr>
                            <w:r>
                              <w:rPr>
                                <w:rFonts w:hint="eastAsia" w:ascii="楷体_GB2312" w:hAnsi="宋体" w:eastAsia="楷体_GB2312" w:cs="楷体_GB2312"/>
                                <w:b/>
                                <w:bCs/>
                                <w:sz w:val="18"/>
                                <w:szCs w:val="18"/>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164"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kbEE1AAAAAgBAAAPAAAAAAAAAAEAIAAAACIAAABkcnMvZG93bnJl&#10;di54bWxQSwECFAAUAAAACACHTuJA3nFoCwECAADYAwAADgAAAAAAAAABACAAAAAjAQAAZHJzL2Uy&#10;b0RvYy54bWxQSwUGAAAAAAYABgBZAQAAlgUAAAAA&#10;">
                <v:fill on="f" focussize="0,0"/>
                <v:stroke on="f"/>
                <v:imagedata o:title=""/>
                <o:lock v:ext="edit" aspectratio="f"/>
                <v:textbox>
                  <w:txbxContent>
                    <w:p>
                      <w:pPr>
                        <w:rPr>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 w:hAnsi="仿宋" w:eastAsia="仿宋" w:cs="仿宋"/>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11"/>
        <w:adjustRightInd w:val="0"/>
        <w:snapToGrid w:val="0"/>
        <w:spacing w:line="360" w:lineRule="auto"/>
        <w:ind w:firstLine="0"/>
        <w:rPr>
          <w:rFonts w:ascii="仿宋" w:hAnsi="仿宋" w:eastAsia="仿宋" w:cs="仿宋"/>
          <w:b/>
          <w:bCs/>
          <w:color w:val="auto"/>
          <w:sz w:val="24"/>
          <w:szCs w:val="24"/>
          <w:highlight w:val="none"/>
          <w:u w:val="single"/>
        </w:rPr>
      </w:pPr>
    </w:p>
    <w:p>
      <w:pPr>
        <w:pStyle w:val="11"/>
        <w:adjustRightInd w:val="0"/>
        <w:snapToGrid w:val="0"/>
        <w:spacing w:line="360" w:lineRule="auto"/>
        <w:ind w:firstLine="0"/>
        <w:outlineLvl w:val="2"/>
        <w:rPr>
          <w:rFonts w:ascii="仿宋" w:hAnsi="仿宋" w:eastAsia="仿宋"/>
          <w:b/>
          <w:bCs/>
          <w:color w:val="auto"/>
          <w:sz w:val="24"/>
          <w:szCs w:val="24"/>
          <w:highlight w:val="none"/>
        </w:rPr>
      </w:pPr>
      <w:bookmarkStart w:id="291" w:name="_Toc14381"/>
      <w:bookmarkStart w:id="292" w:name="_Toc14129"/>
      <w:bookmarkStart w:id="293" w:name="_Toc25653651"/>
      <w:bookmarkStart w:id="294" w:name="_Toc46938402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42  </w:t>
      </w:r>
      <w:r>
        <w:rPr>
          <w:rFonts w:hint="eastAsia" w:ascii="仿宋" w:hAnsi="仿宋" w:eastAsia="仿宋" w:cs="仿宋"/>
          <w:b/>
          <w:bCs/>
          <w:color w:val="auto"/>
          <w:sz w:val="24"/>
          <w:szCs w:val="24"/>
          <w:highlight w:val="none"/>
        </w:rPr>
        <w:t>质量标准</w:t>
      </w:r>
      <w:bookmarkEnd w:id="291"/>
      <w:bookmarkEnd w:id="292"/>
      <w:bookmarkEnd w:id="293"/>
      <w:bookmarkEnd w:id="294"/>
    </w:p>
    <w:p>
      <w:pPr>
        <w:adjustRightInd w:val="0"/>
        <w:snapToGrid w:val="0"/>
        <w:spacing w:line="360" w:lineRule="auto"/>
        <w:jc w:val="left"/>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42.1 </w:t>
      </w:r>
    </w:p>
    <w:p>
      <w:pPr>
        <w:adjustRightInd w:val="0"/>
        <w:snapToGrid w:val="0"/>
        <w:spacing w:line="360" w:lineRule="auto"/>
        <w:ind w:left="1619" w:leftChars="771"/>
        <w:jc w:val="left"/>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264" name="文本框 165"/>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rot="0" vert="horz" wrap="square" lIns="91440" tIns="45720" rIns="91440" bIns="45720" anchor="t" anchorCtr="0" upright="1">
                        <a:noAutofit/>
                      </wps:bodyPr>
                    </wps:wsp>
                  </a:graphicData>
                </a:graphic>
              </wp:anchor>
            </w:drawing>
          </mc:Choice>
          <mc:Fallback>
            <w:pict>
              <v:shape id="文本框 165"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CMD/PVAAAACAEAAA8AAAAAAAAAAQAgAAAAIgAAAGRycy9kb3du&#10;cmV2LnhtbFBLAQIUABQAAAAIAIdO4kAyazd8AgIAANgDAAAOAAAAAAAAAAEAIAAAACQBAABkcnMv&#10;ZTJvRG9jLnhtbFBLBQYAAAAABgAGAFkBAACY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 w:hAnsi="仿宋" w:eastAsia="仿宋" w:cs="仿宋"/>
          <w:color w:val="auto"/>
          <w:sz w:val="24"/>
          <w:szCs w:val="24"/>
          <w:highlight w:val="none"/>
        </w:rPr>
        <w:t>合同双方当事人应在专用条款中约定工程质量标准，但不得低于国家或行业的强制性标准。工程质量应当达到专用条款约定的质量标准。</w:t>
      </w:r>
    </w:p>
    <w:p>
      <w:pPr>
        <w:adjustRightInd w:val="0"/>
        <w:snapToGrid w:val="0"/>
        <w:spacing w:line="360" w:lineRule="auto"/>
        <w:ind w:left="1619" w:leftChars="771"/>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工程质量验收，按照合同约定的标准执行；合同没有约定的，按照国家或行业的质量验收标准执行。</w:t>
      </w:r>
    </w:p>
    <w:p>
      <w:pPr>
        <w:adjustRightInd w:val="0"/>
        <w:snapToGrid w:val="0"/>
        <w:spacing w:line="360" w:lineRule="auto"/>
        <w:jc w:val="left"/>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263" name="文本框 166"/>
                <wp:cNvGraphicFramePr/>
                <a:graphic xmlns:a="http://schemas.openxmlformats.org/drawingml/2006/main">
                  <a:graphicData uri="http://schemas.microsoft.com/office/word/2010/wordprocessingShape">
                    <wps:wsp>
                      <wps:cNvSpPr txBox="1">
                        <a:spLocks noChangeArrowheads="1"/>
                      </wps:cNvSpPr>
                      <wps:spPr bwMode="auto">
                        <a:xfrm>
                          <a:off x="0" y="0"/>
                          <a:ext cx="977900" cy="47180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rot="0" vert="horz" wrap="square" lIns="91440" tIns="45720" rIns="91440" bIns="45720" anchor="t" anchorCtr="0" upright="1">
                        <a:noAutofit/>
                      </wps:bodyPr>
                    </wps:wsp>
                  </a:graphicData>
                </a:graphic>
              </wp:anchor>
            </w:drawing>
          </mc:Choice>
          <mc:Fallback>
            <w:pict>
              <v:shape id="文本框 16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1YIv1wAAAAoBAAAPAAAAAAAAAAEAIAAAACIAAABkcnMv&#10;ZG93bnJldi54bWxQSwECFAAUAAAACACHTuJA+WZm/AQCAADYAwAADgAAAAAAAAABACAAAAAmAQAA&#10;ZHJzL2Uyb0RvYy54bWxQSwUGAAAAAAYABgBZAQAAnA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仿宋" w:hAnsi="仿宋" w:eastAsia="仿宋" w:cs="仿宋"/>
          <w:b/>
          <w:bCs/>
          <w:color w:val="auto"/>
          <w:sz w:val="24"/>
          <w:szCs w:val="24"/>
          <w:highlight w:val="none"/>
        </w:rPr>
        <w:t>42.2</w:t>
      </w:r>
    </w:p>
    <w:p>
      <w:pPr>
        <w:adjustRightInd w:val="0"/>
        <w:snapToGrid w:val="0"/>
        <w:spacing w:line="360" w:lineRule="auto"/>
        <w:ind w:left="162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承包人对合同工程的质量向发包人负责，其职责包括但不限于下列内容：</w:t>
      </w:r>
    </w:p>
    <w:p>
      <w:pPr>
        <w:adjustRightInd w:val="0"/>
        <w:snapToGrid w:val="0"/>
        <w:spacing w:line="360" w:lineRule="auto"/>
        <w:ind w:left="162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编制施工技术方案，确定施工技术措施；</w:t>
      </w:r>
    </w:p>
    <w:p>
      <w:pPr>
        <w:adjustRightInd w:val="0"/>
        <w:snapToGrid w:val="0"/>
        <w:spacing w:line="360" w:lineRule="auto"/>
        <w:ind w:left="162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提供和组织足够的工程技术人员，检查和控制工程施工质量；</w:t>
      </w:r>
    </w:p>
    <w:p>
      <w:pPr>
        <w:adjustRightInd w:val="0"/>
        <w:snapToGrid w:val="0"/>
        <w:spacing w:line="360" w:lineRule="auto"/>
        <w:ind w:left="1621"/>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控制施工所用的材料和工程设备，使其符合标准与规范、设计要求及合同约定的标准；</w:t>
      </w:r>
    </w:p>
    <w:p>
      <w:pPr>
        <w:tabs>
          <w:tab w:val="right" w:pos="9864"/>
        </w:tabs>
        <w:adjustRightInd w:val="0"/>
        <w:snapToGrid w:val="0"/>
        <w:spacing w:line="360" w:lineRule="auto"/>
        <w:ind w:left="1736" w:leftChars="798" w:hanging="60" w:hangingChars="25"/>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负责合同工程施工中出现质量问题或竣工验收不合格的返修工作；</w:t>
      </w:r>
    </w:p>
    <w:p>
      <w:pPr>
        <w:adjustRightInd w:val="0"/>
        <w:snapToGrid w:val="0"/>
        <w:spacing w:line="360" w:lineRule="auto"/>
        <w:ind w:left="1617"/>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参加合同工程的所有验收工作，包括隐蔽验收、中间验收；参加竣工验收，组织分包人参加工程验收工作；</w:t>
      </w:r>
    </w:p>
    <w:p>
      <w:pPr>
        <w:adjustRightInd w:val="0"/>
        <w:snapToGrid w:val="0"/>
        <w:spacing w:line="360" w:lineRule="auto"/>
        <w:ind w:left="162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rPr>
        <w:t>承担质量保修期的工程保修责任；</w:t>
      </w:r>
    </w:p>
    <w:p>
      <w:pPr>
        <w:adjustRightInd w:val="0"/>
        <w:snapToGrid w:val="0"/>
        <w:spacing w:line="360" w:lineRule="auto"/>
        <w:ind w:left="1620"/>
        <w:jc w:val="left"/>
        <w:rPr>
          <w:rFonts w:ascii="仿宋" w:hAnsi="仿宋" w:eastAsia="仿宋"/>
          <w:color w:val="auto"/>
          <w:sz w:val="24"/>
          <w:szCs w:val="24"/>
          <w:highlight w:val="none"/>
        </w:rPr>
      </w:pPr>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承担其他工程质量责任。</w:t>
      </w:r>
    </w:p>
    <w:p>
      <w:pPr>
        <w:adjustRightInd w:val="0"/>
        <w:snapToGrid w:val="0"/>
        <w:spacing w:line="360" w:lineRule="auto"/>
        <w:jc w:val="left"/>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262" name="文本框 167"/>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167"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swKw9YAAAAJAQAADwAAAAAAAAABACAAAAAiAAAAZHJzL2Rv&#10;d25yZXYueG1sUEsBAhQAFAAAAAgAh07iQFdJ7xYDAgAA2QMAAA4AAAAAAAAAAQAgAAAAJQEAAGRy&#10;cy9lMm9Eb2MueG1sUEsFBgAAAAAGAAYAWQEAAJo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仿宋" w:hAnsi="仿宋" w:eastAsia="仿宋" w:cs="仿宋"/>
          <w:b/>
          <w:bCs/>
          <w:color w:val="auto"/>
          <w:sz w:val="24"/>
          <w:szCs w:val="24"/>
          <w:highlight w:val="none"/>
        </w:rPr>
        <w:t xml:space="preserve">42.3 </w:t>
      </w:r>
    </w:p>
    <w:p>
      <w:pPr>
        <w:pStyle w:val="32"/>
        <w:adjustRightInd w:val="0"/>
        <w:snapToGrid w:val="0"/>
        <w:ind w:left="1703" w:leftChars="771"/>
        <w:rPr>
          <w:rFonts w:ascii="仿宋" w:hAnsi="仿宋" w:eastAsia="仿宋"/>
          <w:color w:val="auto"/>
          <w:highlight w:val="none"/>
        </w:rPr>
      </w:pPr>
      <w:r>
        <w:rPr>
          <w:rFonts w:hint="eastAsia" w:ascii="仿宋" w:hAnsi="仿宋" w:eastAsia="仿宋" w:cs="仿宋"/>
          <w:color w:val="auto"/>
          <w:highlight w:val="none"/>
        </w:rPr>
        <w:t>承包人应建立健全完善的质量保证体系。</w:t>
      </w:r>
    </w:p>
    <w:p>
      <w:pPr>
        <w:autoSpaceDE w:val="0"/>
        <w:autoSpaceDN w:val="0"/>
        <w:adjustRightInd w:val="0"/>
        <w:spacing w:line="360" w:lineRule="auto"/>
        <w:ind w:left="1556" w:leftChars="741"/>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32"/>
        <w:adjustRightInd w:val="0"/>
        <w:snapToGrid w:val="0"/>
        <w:ind w:left="1502" w:leftChars="675"/>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2</w:t>
      </w:r>
      <w:r>
        <w:rPr>
          <w:rFonts w:hint="eastAsia" w:ascii="仿宋" w:hAnsi="仿宋" w:eastAsia="仿宋" w:cs="仿宋"/>
          <w:color w:val="auto"/>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60" w:lineRule="auto"/>
        <w:jc w:val="left"/>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61"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168"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iSrL2AAAAAoBAAAPAAAAAAAAAAEAIAAAACIAAABkcnMv&#10;ZG93bnJldi54bWxQSwECFAAUAAAACACHTuJAqixdowMCAADYAwAADgAAAAAAAAABACAAAAAnAQAA&#10;ZHJzL2Uyb0RvYy54bWxQSwUGAAAAAAYABgBZAQAAnAU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仿宋" w:hAnsi="仿宋" w:eastAsia="仿宋" w:cs="仿宋"/>
          <w:b/>
          <w:bCs/>
          <w:color w:val="auto"/>
          <w:sz w:val="24"/>
          <w:szCs w:val="24"/>
          <w:highlight w:val="none"/>
        </w:rPr>
        <w:t xml:space="preserve">42.4 </w:t>
      </w:r>
    </w:p>
    <w:p>
      <w:pPr>
        <w:adjustRightInd w:val="0"/>
        <w:snapToGrid w:val="0"/>
        <w:spacing w:line="360" w:lineRule="auto"/>
        <w:ind w:left="1619" w:leftChars="771"/>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合同双方当事人对工程质量有争议的，按照第</w:t>
      </w:r>
      <w:r>
        <w:rPr>
          <w:rFonts w:ascii="仿宋" w:hAnsi="仿宋" w:eastAsia="仿宋" w:cs="仿宋"/>
          <w:color w:val="auto"/>
          <w:sz w:val="24"/>
          <w:szCs w:val="24"/>
          <w:highlight w:val="none"/>
        </w:rPr>
        <w:t>86.4</w:t>
      </w:r>
      <w:r>
        <w:rPr>
          <w:rFonts w:hint="eastAsia" w:ascii="仿宋" w:hAnsi="仿宋" w:eastAsia="仿宋" w:cs="仿宋"/>
          <w:color w:val="auto"/>
          <w:sz w:val="24"/>
          <w:szCs w:val="24"/>
          <w:highlight w:val="none"/>
        </w:rPr>
        <w:t>款规定调解或认定，所需的费用及由此造成的损失，由责任方承担。双方均有责任的，由双方根据其责任划分分别承担。</w:t>
      </w:r>
    </w:p>
    <w:p>
      <w:pPr>
        <w:adjustRightInd w:val="0"/>
        <w:snapToGrid w:val="0"/>
        <w:spacing w:line="360" w:lineRule="auto"/>
        <w:ind w:left="1619" w:leftChars="771"/>
        <w:jc w:val="left"/>
        <w:rPr>
          <w:rFonts w:ascii="仿宋" w:hAnsi="仿宋" w:eastAsia="仿宋"/>
          <w:color w:val="auto"/>
          <w:sz w:val="24"/>
          <w:szCs w:val="24"/>
          <w:highlight w:val="none"/>
        </w:rPr>
      </w:pPr>
    </w:p>
    <w:p>
      <w:pPr>
        <w:tabs>
          <w:tab w:val="left" w:pos="1620"/>
        </w:tabs>
        <w:adjustRightInd w:val="0"/>
        <w:snapToGrid w:val="0"/>
        <w:spacing w:line="360" w:lineRule="auto"/>
        <w:rPr>
          <w:rFonts w:ascii="仿宋" w:hAnsi="仿宋" w:eastAsia="仿宋" w:cs="仿宋"/>
          <w:b/>
          <w:bCs/>
          <w:color w:val="auto"/>
          <w:sz w:val="24"/>
          <w:szCs w:val="24"/>
          <w:highlight w:val="none"/>
          <w:u w:val="single"/>
        </w:rPr>
      </w:pPr>
    </w:p>
    <w:p>
      <w:pPr>
        <w:pStyle w:val="9"/>
        <w:tabs>
          <w:tab w:val="left" w:pos="420"/>
        </w:tabs>
        <w:rPr>
          <w:rFonts w:ascii="仿宋" w:hAnsi="仿宋" w:eastAsia="仿宋"/>
          <w:color w:val="auto"/>
          <w:highlight w:val="none"/>
        </w:rPr>
      </w:pPr>
      <w:bookmarkStart w:id="295" w:name="_Toc25653652"/>
      <w:bookmarkStart w:id="296" w:name="_Toc17883"/>
      <w:bookmarkStart w:id="297" w:name="_Toc11258"/>
      <w:bookmarkStart w:id="298" w:name="_Toc469384026"/>
      <w:r>
        <w:rPr>
          <w:rFonts w:hint="eastAsia" w:ascii="仿宋" w:hAnsi="仿宋" w:eastAsia="仿宋" w:cs="仿宋"/>
          <w:color w:val="auto"/>
          <w:highlight w:val="none"/>
        </w:rPr>
        <w:t>★</w:t>
      </w:r>
      <w:r>
        <w:rPr>
          <w:rFonts w:ascii="仿宋" w:hAnsi="仿宋" w:eastAsia="仿宋" w:cs="仿宋"/>
          <w:color w:val="auto"/>
          <w:highlight w:val="none"/>
        </w:rPr>
        <w:t xml:space="preserve">43  </w:t>
      </w:r>
      <w:r>
        <w:rPr>
          <w:rFonts w:hint="eastAsia" w:ascii="仿宋" w:hAnsi="仿宋" w:eastAsia="仿宋" w:cs="仿宋"/>
          <w:color w:val="auto"/>
          <w:highlight w:val="none"/>
        </w:rPr>
        <w:t>工程质量创优</w:t>
      </w:r>
      <w:bookmarkEnd w:id="295"/>
      <w:bookmarkEnd w:id="296"/>
      <w:bookmarkEnd w:id="297"/>
      <w:bookmarkEnd w:id="298"/>
    </w:p>
    <w:p>
      <w:pPr>
        <w:spacing w:line="360" w:lineRule="auto"/>
        <w:rPr>
          <w:rFonts w:ascii="仿宋" w:hAnsi="仿宋" w:eastAsia="仿宋"/>
          <w:b/>
          <w:bCs/>
          <w:caps/>
          <w:color w:val="auto"/>
          <w:sz w:val="24"/>
          <w:szCs w:val="24"/>
          <w:highlight w:val="none"/>
        </w:rPr>
      </w:pPr>
      <w:r>
        <w:rPr>
          <w:rFonts w:ascii="仿宋" w:hAnsi="仿宋" w:eastAsia="仿宋" w:cs="仿宋"/>
          <w:b/>
          <w:bCs/>
          <w:caps/>
          <w:color w:val="auto"/>
          <w:sz w:val="24"/>
          <w:szCs w:val="24"/>
          <w:highlight w:val="none"/>
        </w:rPr>
        <w:t>43.1</w:t>
      </w:r>
    </w:p>
    <w:p>
      <w:pPr>
        <w:spacing w:line="360" w:lineRule="auto"/>
        <w:ind w:left="1619" w:leftChars="771"/>
        <w:rPr>
          <w:rFonts w:ascii="仿宋" w:hAnsi="仿宋" w:eastAsia="仿宋"/>
          <w:caps/>
          <w:color w:val="auto"/>
          <w:sz w:val="24"/>
          <w:szCs w:val="24"/>
          <w:highlight w:val="none"/>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260"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169"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ED77VAAAACAEAAA8AAAAAAAAAAQAgAAAAIgAAAGRycy9kb3ducmV2&#10;LnhtbFBLAQIUABQAAAAIAIdO4kBMjr3d/wEAANgDAAAOAAAAAAAAAAEAIAAAACQBAABkcnMvZTJv&#10;RG9jLnhtbFBLBQYAAAAABgAGAFkBAACV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caps/>
          <w:color w:val="auto"/>
          <w:sz w:val="24"/>
          <w:szCs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仿宋" w:hAnsi="仿宋" w:eastAsia="仿宋" w:cs="仿宋"/>
          <w:caps/>
          <w:color w:val="auto"/>
          <w:sz w:val="24"/>
          <w:szCs w:val="24"/>
          <w:highlight w:val="none"/>
        </w:rPr>
        <w:t>67</w:t>
      </w:r>
      <w:r>
        <w:rPr>
          <w:rFonts w:hint="eastAsia" w:ascii="仿宋" w:hAnsi="仿宋" w:eastAsia="仿宋" w:cs="仿宋"/>
          <w:caps/>
          <w:color w:val="auto"/>
          <w:sz w:val="24"/>
          <w:szCs w:val="24"/>
          <w:highlight w:val="none"/>
        </w:rPr>
        <w:t>条规定向承包人支付工程优质费。</w:t>
      </w:r>
    </w:p>
    <w:p>
      <w:pPr>
        <w:spacing w:line="360" w:lineRule="auto"/>
        <w:rPr>
          <w:rFonts w:ascii="仿宋" w:hAnsi="仿宋" w:eastAsia="仿宋"/>
          <w:b/>
          <w:bCs/>
          <w:caps/>
          <w:color w:val="auto"/>
          <w:sz w:val="24"/>
          <w:szCs w:val="24"/>
          <w:highlight w:val="none"/>
        </w:rPr>
      </w:pPr>
      <w:r>
        <w:rPr>
          <w:rFonts w:ascii="仿宋" w:hAnsi="仿宋" w:eastAsia="仿宋" w:cs="仿宋"/>
          <w:b/>
          <w:bCs/>
          <w:color w:val="auto"/>
          <w:sz w:val="24"/>
          <w:szCs w:val="24"/>
          <w:highlight w:val="none"/>
        </w:rPr>
        <w:t xml:space="preserve">43.2 </w:t>
      </w:r>
    </w:p>
    <w:p>
      <w:pPr>
        <w:spacing w:line="360" w:lineRule="auto"/>
        <w:ind w:left="1619" w:leftChars="771"/>
        <w:rPr>
          <w:rFonts w:ascii="仿宋" w:hAnsi="仿宋" w:eastAsia="仿宋"/>
          <w:caps/>
          <w:color w:val="auto"/>
          <w:sz w:val="24"/>
          <w:szCs w:val="24"/>
          <w:highlight w:val="none"/>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259"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170"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HDXzdcAAAAKAQAADwAAAAAAAAABACAAAAAiAAAAZHJzL2Rvd25y&#10;ZXYueG1sUEsBAhQAFAAAAAgAh07iQFT3Gs7/AQAA2AMAAA4AAAAAAAAAAQAgAAAAJgEAAGRycy9l&#10;Mm9Eb2MueG1sUEsFBgAAAAAGAAYAWQEAAJc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ascii="仿宋" w:hAnsi="仿宋" w:eastAsia="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299" w:name="_Toc28888"/>
      <w:bookmarkStart w:id="300" w:name="_Toc25653653"/>
      <w:bookmarkStart w:id="301" w:name="_Toc5724"/>
      <w:bookmarkStart w:id="302" w:name="_Toc469384027"/>
      <w:r>
        <w:rPr>
          <w:rFonts w:ascii="仿宋" w:hAnsi="仿宋" w:eastAsia="仿宋" w:cs="仿宋"/>
          <w:b/>
          <w:bCs/>
          <w:color w:val="auto"/>
          <w:sz w:val="24"/>
          <w:szCs w:val="24"/>
          <w:highlight w:val="none"/>
        </w:rPr>
        <w:t xml:space="preserve">44  </w:t>
      </w:r>
      <w:r>
        <w:rPr>
          <w:rFonts w:hint="eastAsia" w:ascii="仿宋" w:hAnsi="仿宋" w:eastAsia="仿宋" w:cs="仿宋"/>
          <w:b/>
          <w:bCs/>
          <w:color w:val="auto"/>
          <w:sz w:val="24"/>
          <w:szCs w:val="24"/>
          <w:highlight w:val="none"/>
        </w:rPr>
        <w:t>工程的照管</w:t>
      </w:r>
      <w:bookmarkEnd w:id="299"/>
      <w:bookmarkEnd w:id="300"/>
      <w:bookmarkEnd w:id="301"/>
      <w:bookmarkEnd w:id="302"/>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58"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171"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goMTVAAAACQEAAA8AAAAAAAAAAQAgAAAAIgAAAGRycy9kb3du&#10;cmV2LnhtbFBLAQIUABQAAAAIAIdO4kAKyWnRAgIAANgDAAAOAAAAAAAAAAEAIAAAACQBAABkcnMv&#10;ZTJvRG9jLnhtbFBLBQYAAAAABgAGAFkBAACYBQ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仿宋" w:hAnsi="仿宋" w:eastAsia="仿宋" w:cs="仿宋"/>
          <w:b/>
          <w:bCs/>
          <w:color w:val="auto"/>
          <w:sz w:val="24"/>
          <w:szCs w:val="24"/>
          <w:highlight w:val="none"/>
        </w:rPr>
        <w:t xml:space="preserve">44.1  </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57"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172"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ysXNgAAAAKAQAADwAAAAAAAAABACAAAAAiAAAAZHJzL2Rv&#10;d25yZXYueG1sUEsBAhQAFAAAAAgAh07iQAUote0BAgAA2AMAAA4AAAAAAAAAAQAgAAAAJwEAAGRy&#10;cy9lMm9Eb2MueG1sUEsFBgAAAAAGAAYAWQEAAJoFAAAAAA==&#10;">
                <v:fill on="f" focussize="0,0"/>
                <v:stroke on="f"/>
                <v:imagedata o:title=""/>
                <o:lock v:ext="edit" aspectratio="f"/>
                <v:textbox>
                  <w:txbxContent>
                    <w:p>
                      <w:pPr>
                        <w:spacing w:line="240" w:lineRule="exact"/>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仿宋" w:hAnsi="仿宋" w:eastAsia="仿宋" w:cs="仿宋"/>
          <w:b/>
          <w:bCs/>
          <w:color w:val="auto"/>
          <w:sz w:val="24"/>
          <w:szCs w:val="24"/>
          <w:highlight w:val="none"/>
        </w:rPr>
        <w:t>44.2</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03" w:name="_Toc469384028"/>
      <w:bookmarkStart w:id="304" w:name="_Toc24223"/>
      <w:bookmarkStart w:id="305" w:name="_Toc25653654"/>
      <w:bookmarkStart w:id="306" w:name="_Toc1146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45  </w:t>
      </w:r>
      <w:bookmarkEnd w:id="303"/>
      <w:r>
        <w:rPr>
          <w:rFonts w:hint="eastAsia" w:ascii="仿宋" w:hAnsi="仿宋" w:eastAsia="仿宋" w:cs="仿宋"/>
          <w:b/>
          <w:bCs/>
          <w:color w:val="auto"/>
          <w:sz w:val="24"/>
          <w:szCs w:val="24"/>
          <w:highlight w:val="none"/>
        </w:rPr>
        <w:t>绿色施工安全防护</w:t>
      </w:r>
      <w:bookmarkEnd w:id="304"/>
      <w:bookmarkEnd w:id="305"/>
      <w:bookmarkEnd w:id="306"/>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56" name="文本框 173"/>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173"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vtET2AAAAAoBAAAPAAAAAAAAAAEAIAAAACIAAABkcnMv&#10;ZG93bnJldi54bWxQSwECFAAUAAAACACHTuJAziyQCgMCAADYAwAADgAAAAAAAAABACAAAAAnAQAA&#10;ZHJzL2Uyb0RvYy54bWxQSwUGAAAAAAYABgBZAQAAnA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仿宋" w:hAnsi="仿宋" w:eastAsia="仿宋" w:cs="仿宋"/>
          <w:b/>
          <w:bCs/>
          <w:color w:val="auto"/>
          <w:sz w:val="24"/>
          <w:szCs w:val="24"/>
          <w:highlight w:val="none"/>
        </w:rPr>
        <w:t xml:space="preserve">45.1 </w:t>
      </w:r>
      <w:r>
        <w:rPr>
          <w:rFonts w:ascii="仿宋" w:hAnsi="仿宋" w:eastAsia="仿宋" w:cs="仿宋"/>
          <w:b/>
          <w:bCs/>
          <w:color w:val="auto"/>
          <w:sz w:val="24"/>
          <w:szCs w:val="24"/>
          <w:highlight w:val="none"/>
        </w:rPr>
        <w:tab/>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auto"/>
          <w:sz w:val="24"/>
          <w:szCs w:val="24"/>
          <w:highlight w:val="none"/>
        </w:rPr>
        <w:t xml:space="preserve"> 80 </w:t>
      </w:r>
      <w:r>
        <w:rPr>
          <w:rFonts w:hint="eastAsia" w:ascii="仿宋" w:hAnsi="仿宋" w:eastAsia="仿宋" w:cs="仿宋"/>
          <w:color w:val="auto"/>
          <w:sz w:val="24"/>
          <w:szCs w:val="24"/>
          <w:highlight w:val="none"/>
        </w:rPr>
        <w:t>条规定及时向承包人支付绿色施工安全防护费。</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45.2  </w:t>
      </w:r>
    </w:p>
    <w:p>
      <w:pPr>
        <w:adjustRightInd w:val="0"/>
        <w:snapToGrid w:val="0"/>
        <w:ind w:left="1679" w:hanging="1679" w:hangingChars="697"/>
        <w:rPr>
          <w:rFonts w:ascii="仿宋" w:hAnsi="仿宋" w:eastAsia="仿宋"/>
          <w:b/>
          <w:bCs/>
          <w:color w:val="auto"/>
          <w:sz w:val="24"/>
          <w:szCs w:val="24"/>
          <w:highlight w:val="none"/>
        </w:rPr>
      </w:pPr>
    </w:p>
    <w:p>
      <w:pPr>
        <w:adjustRightInd w:val="0"/>
        <w:snapToGrid w:val="0"/>
        <w:spacing w:line="360" w:lineRule="auto"/>
        <w:ind w:left="1739" w:leftChars="82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1270</wp:posOffset>
                </wp:positionV>
                <wp:extent cx="977900" cy="678180"/>
                <wp:effectExtent l="0" t="0" r="0" b="0"/>
                <wp:wrapNone/>
                <wp:docPr id="255"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977900" cy="67818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174" o:spid="_x0000_s1026" o:spt="202" type="#_x0000_t202" style="position:absolute;left:0pt;margin-left:-9pt;margin-top:0.1pt;height:53.4pt;width:77pt;z-index:252081152;mso-width-relative:page;mso-height-relative:page;" filled="f" stroked="f" coordsize="21600,21600" o:gfxdata="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9eouNUAAAAIAQAADwAAAAAAAAABACAAAAAiAAAAZHJzL2Rv&#10;d25yZXYueG1sUEsBAhQAFAAAAAgAh07iQMSvRhQEAgAA2AMAAA4AAAAAAAAAAQAgAAAAJA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60" w:lineRule="auto"/>
        <w:ind w:left="1739" w:leftChars="82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60" w:lineRule="auto"/>
        <w:ind w:left="1739" w:leftChars="828"/>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60" w:lineRule="auto"/>
        <w:ind w:left="1676" w:leftChars="798"/>
        <w:rPr>
          <w:rFonts w:ascii="仿宋" w:hAnsi="仿宋" w:eastAsia="仿宋"/>
          <w:b/>
          <w:bCs/>
          <w:color w:val="auto"/>
          <w:sz w:val="24"/>
          <w:szCs w:val="24"/>
          <w:highlight w:val="none"/>
          <w:u w:val="dotted"/>
        </w:rPr>
      </w:pPr>
      <w:r>
        <w:rPr>
          <w:rFonts w:hint="eastAsia" w:ascii="仿宋" w:hAnsi="仿宋" w:eastAsia="仿宋" w:cs="仿宋"/>
          <w:color w:val="auto"/>
          <w:sz w:val="24"/>
          <w:szCs w:val="24"/>
          <w:highlight w:val="none"/>
        </w:rPr>
        <w:t>建设单位、施工总承包企业、专业承包企业和劳务分包企业存在违反有关文件规定情形的，需承担相应的责任。</w:t>
      </w:r>
    </w:p>
    <w:p>
      <w:pPr>
        <w:adjustRightInd w:val="0"/>
        <w:snapToGrid w:val="0"/>
        <w:spacing w:line="360" w:lineRule="auto"/>
        <w:rPr>
          <w:rFonts w:ascii="仿宋" w:hAnsi="仿宋" w:eastAsia="仿宋"/>
          <w:color w:val="auto"/>
          <w:sz w:val="24"/>
          <w:szCs w:val="24"/>
          <w:highlight w:val="none"/>
        </w:rPr>
      </w:pPr>
    </w:p>
    <w:p>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45.3  </w:t>
      </w:r>
    </w:p>
    <w:p>
      <w:pPr>
        <w:adjustRightInd w:val="0"/>
        <w:snapToGrid w:val="0"/>
        <w:ind w:left="1679" w:hanging="1679" w:hangingChars="697"/>
        <w:rPr>
          <w:rFonts w:ascii="仿宋" w:hAnsi="仿宋" w:eastAsia="仿宋"/>
          <w:b/>
          <w:bCs/>
          <w:color w:val="auto"/>
          <w:sz w:val="24"/>
          <w:szCs w:val="24"/>
          <w:highlight w:val="none"/>
        </w:rPr>
      </w:pP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254"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175"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lDInUAAAABwEAAA8AAAAAAAAAAQAgAAAAIgAAAGRycy9kb3du&#10;cmV2LnhtbFBLAQIUABQAAAAIAIdO4kDQsZbLAwIAANgDAAAOAAAAAAAAAAEAIAAAACMBAABkcnMv&#10;ZTJvRG9jLnhtbFBLBQYAAAAABgAGAFkBAACY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sz w:val="24"/>
          <w:szCs w:val="24"/>
          <w:highlight w:val="none"/>
        </w:rPr>
        <w:t>在合同工程实施、完成及保修期间，发包人承担下列责任：</w:t>
      </w:r>
    </w:p>
    <w:p>
      <w:pPr>
        <w:adjustRightInd w:val="0"/>
        <w:snapToGrid w:val="0"/>
        <w:spacing w:line="360" w:lineRule="auto"/>
        <w:ind w:left="1619" w:leftChars="771" w:firstLine="60" w:firstLine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）发包人应配合承包人做好绿色施工安全防护工作，定期对其现场机构雇佣的全部人员进行绿色施工安全防护教育和培训。</w:t>
      </w:r>
    </w:p>
    <w:p>
      <w:pPr>
        <w:adjustRightInd w:val="0"/>
        <w:snapToGrid w:val="0"/>
        <w:spacing w:line="360" w:lineRule="auto"/>
        <w:ind w:left="1575" w:left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）发包人应对其现场机构雇佣的全部人员的安全事故承担责任，但由于承包人原因造成发包人人员安全事故的，应由承包人承担责任。</w:t>
      </w:r>
    </w:p>
    <w:p>
      <w:pPr>
        <w:adjustRightInd w:val="0"/>
        <w:snapToGrid w:val="0"/>
        <w:spacing w:line="360" w:lineRule="auto"/>
        <w:ind w:left="1574" w:leftChars="743" w:hanging="14" w:hangingChars="6"/>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）发包人有下列行为之一或由于发包人原因造成安全事故的，由发包人承担责任，由此增加的费用和延误的工期由发包人承担。</w:t>
      </w:r>
    </w:p>
    <w:p>
      <w:pPr>
        <w:tabs>
          <w:tab w:val="left" w:pos="1980"/>
        </w:tabs>
        <w:adjustRightInd w:val="0"/>
        <w:snapToGrid w:val="0"/>
        <w:spacing w:line="360" w:lineRule="auto"/>
        <w:ind w:firstLine="1680" w:firstLineChars="7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）要求承包人违反绿色施工安全防护操作规程施工的；</w:t>
      </w:r>
    </w:p>
    <w:p>
      <w:pPr>
        <w:tabs>
          <w:tab w:val="left" w:pos="1980"/>
        </w:tabs>
        <w:adjustRightInd w:val="0"/>
        <w:snapToGrid w:val="0"/>
        <w:spacing w:line="360" w:lineRule="auto"/>
        <w:ind w:left="1619" w:leftChars="771" w:firstLine="60" w:firstLineChars="25"/>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）对承包人提出不符合国家、省有关安绿色施工安全防护全文明施工法律和强制性标准规定要求的；</w:t>
      </w:r>
    </w:p>
    <w:p>
      <w:pPr>
        <w:tabs>
          <w:tab w:val="left" w:pos="1980"/>
        </w:tabs>
        <w:adjustRightInd w:val="0"/>
        <w:snapToGrid w:val="0"/>
        <w:spacing w:line="360" w:lineRule="auto"/>
        <w:ind w:left="1676" w:leftChars="798"/>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）明示或暗示承包人购买、租赁、使用不符合安全施工要求的安全防护用具、机械设备、施工机具及配件、消防设施和器材的。</w:t>
      </w:r>
    </w:p>
    <w:p>
      <w:pPr>
        <w:adjustRightInd w:val="0"/>
        <w:snapToGrid w:val="0"/>
        <w:spacing w:line="360" w:lineRule="auto"/>
        <w:ind w:left="1796" w:leftChars="798" w:hanging="120" w:hanging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）发包人应负责赔偿下列情形造成的第三者人身伤亡和财产损失。</w:t>
      </w:r>
    </w:p>
    <w:p>
      <w:pPr>
        <w:adjustRightInd w:val="0"/>
        <w:snapToGrid w:val="0"/>
        <w:spacing w:line="360" w:lineRule="auto"/>
        <w:ind w:left="1916" w:leftChars="798" w:hanging="240" w:hangingChars="1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）工程或工程的任何部分对土地的占用所造成的第三者财产损失；</w:t>
      </w:r>
    </w:p>
    <w:p>
      <w:pPr>
        <w:adjustRightInd w:val="0"/>
        <w:snapToGrid w:val="0"/>
        <w:spacing w:line="360" w:lineRule="auto"/>
        <w:ind w:left="1796" w:leftChars="798" w:hanging="120" w:hangingChars="5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）由于发包人原因在施工场地及其毗邻造成的第三者人身伤亡和财产损失。</w:t>
      </w:r>
    </w:p>
    <w:p>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45.4 </w:t>
      </w:r>
    </w:p>
    <w:p>
      <w:pPr>
        <w:adjustRightInd w:val="0"/>
        <w:snapToGrid w:val="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253"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17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BZsFtgAAAAKAQAADwAAAAAAAAABACAAAAAiAAAAZHJz&#10;L2Rvd25yZXYueG1sUEsBAhQAFAAAAAgAh07iQImobssEAgAA2QMAAA4AAAAAAAAAAQAgAAAAJwEA&#10;AGRycy9lMm9Eb2MueG1sUEsFBgAAAAAGAAYAWQEAAJ0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在合同工程实施、完成及保修期间，承包人承担下列责任：</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）承包人应严格按照国家、省、市有关绿色施工安全防护的标准、内容与规范制定绿色施工安全防护操作规程，配备必要的安全生产和劳动保护设施，加强对承包人人员的施工安全教育和培训。</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）承包人应对合同工程的绿色施工安全防护负责，采取有效的安全措施消除安全事故隐患，并接受和配合依法实施的监督检查。</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）承包人应按监理工程师的指令制定应对灾害的紧急预案，并按预案做好安全检查，配置必要的救助物资和器材，切实保护好有关人员的人身和财产安全。</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）承包人违反本条规定或由于承包人原因造成安全事故的，由承包人承担责任，由此增加的费用和延误的工期由承包人承担。</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）承包人应对其履行合同所雇佣的全部人员，包括分包人人员的安全事故承担责任，但由于发包人原因造成承包人人员安全事故的，应由发包人承担责任。</w:t>
      </w:r>
    </w:p>
    <w:p>
      <w:pPr>
        <w:adjustRightInd w:val="0"/>
        <w:snapToGrid w:val="0"/>
        <w:spacing w:line="360" w:lineRule="auto"/>
        <w:ind w:left="1619" w:leftChars="771" w:firstLine="60" w:firstLine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）由于承包人原因在施工场地内及其毗邻造成的第三者人身伤亡和财产损失，由承包人负责赔偿。</w:t>
      </w:r>
    </w:p>
    <w:p>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45.5 </w:t>
      </w:r>
    </w:p>
    <w:p>
      <w:pPr>
        <w:adjustRightInd w:val="0"/>
        <w:snapToGrid w:val="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252"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177"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Gx7BrXAAAACgEAAA8AAAAAAAAAAQAgAAAAIgAAAGRycy9k&#10;b3ducmV2LnhtbFBLAQIUABQAAAAIAIdO4kAMuZxRAwIAANgDAAAOAAAAAAAAAAEAIAAAACYBAABk&#10;cnMvZTJvRG9jLnhtbFBLBQYAAAAABgAGAFkBAACb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小时内仍未整改的，监理工程师可在报经发包人批准后委托第三方采取措施。该款项经造价工程师核实后，由发包人从应付或将付给承包人的款项中扣除。</w:t>
      </w:r>
    </w:p>
    <w:p>
      <w:pPr>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45.6</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251" name="文本框 178"/>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178"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YEY0dQAAAAJAQAADwAAAAAAAAABACAAAAAiAAAAZHJzL2Rvd25y&#10;ZXYueG1sUEsBAhQAFAAAAAgAh07iQDv+LoACAgAA2AMAAA4AAAAAAAAAAQAgAAAAIwEAAGRycy9l&#10;Mm9Eb2MueG1sUEsFBgAAAAAGAAYAWQEAAJc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sz w:val="24"/>
          <w:szCs w:val="24"/>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60" w:lineRule="auto"/>
        <w:ind w:left="1575" w:left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45.7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50"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179"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AGb9YAAAAJAQAADwAAAAAAAAABACAAAAAiAAAAZHJzL2Rv&#10;d25yZXYueG1sUEsBAhQAFAAAAAgAh07iQMPilc4DAgAA2AMAAA4AAAAAAAAAAQAgAAAAJQ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 w:hAnsi="仿宋" w:eastAsia="仿宋" w:cs="仿宋"/>
          <w:color w:val="auto"/>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45.8  </w:t>
      </w:r>
    </w:p>
    <w:p>
      <w:pPr>
        <w:adjustRightInd w:val="0"/>
        <w:snapToGrid w:val="0"/>
        <w:spacing w:line="360" w:lineRule="auto"/>
        <w:ind w:left="1619" w:leftChars="771"/>
        <w:rPr>
          <w:rFonts w:ascii="仿宋" w:hAnsi="仿宋" w:eastAsia="仿宋"/>
          <w:caps/>
          <w:color w:val="auto"/>
          <w:sz w:val="24"/>
          <w:szCs w:val="24"/>
          <w:highlight w:val="none"/>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249"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180"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t6dMNQAAAAFAQAADwAAAAAAAAABACAAAAAiAAAAZHJzL2Rvd25y&#10;ZXYueG1sUEsBAhQAFAAAAAgAh07iQDA/pJQCAgAA2AMAAA4AAAAAAAAAAQAgAAAAIwEAAGRycy9l&#10;Mm9Eb2MueG1sUEsFBgAAAAAGAAYAWQEAAJc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color w:val="auto"/>
          <w:sz w:val="24"/>
          <w:szCs w:val="24"/>
          <w:highlight w:val="none"/>
        </w:rPr>
        <w:t>发包人应配合承包人加强</w:t>
      </w:r>
      <w:r>
        <w:rPr>
          <w:rFonts w:hint="eastAsia" w:ascii="仿宋" w:hAnsi="仿宋" w:eastAsia="仿宋" w:cs="仿宋"/>
          <w:color w:val="auto"/>
          <w:sz w:val="24"/>
          <w:szCs w:val="24"/>
          <w:highlight w:val="none"/>
        </w:rPr>
        <w:t>绿色施工安全防护</w:t>
      </w:r>
      <w:r>
        <w:rPr>
          <w:rFonts w:hint="eastAsia" w:ascii="仿宋" w:hAnsi="仿宋" w:eastAsia="仿宋" w:cs="仿宋"/>
          <w:caps/>
          <w:color w:val="auto"/>
          <w:sz w:val="24"/>
          <w:szCs w:val="24"/>
          <w:highlight w:val="none"/>
        </w:rPr>
        <w:t>管理，鼓励承包人实施省、市级或其它级别文明工地。对于工程获得省、市级或其它级别文明工地的，应按照第</w:t>
      </w:r>
      <w:r>
        <w:rPr>
          <w:rFonts w:ascii="仿宋" w:hAnsi="仿宋" w:eastAsia="仿宋" w:cs="仿宋"/>
          <w:caps/>
          <w:color w:val="auto"/>
          <w:sz w:val="24"/>
          <w:szCs w:val="24"/>
          <w:highlight w:val="none"/>
        </w:rPr>
        <w:t>80</w:t>
      </w:r>
      <w:r>
        <w:rPr>
          <w:rFonts w:hint="eastAsia" w:ascii="仿宋" w:hAnsi="仿宋" w:eastAsia="仿宋" w:cs="仿宋"/>
          <w:caps/>
          <w:color w:val="auto"/>
          <w:sz w:val="24"/>
          <w:szCs w:val="24"/>
          <w:highlight w:val="none"/>
        </w:rPr>
        <w:t>条规定向承包人支付文明工地增加费。</w:t>
      </w:r>
    </w:p>
    <w:p>
      <w:pPr>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45.9 </w:t>
      </w:r>
    </w:p>
    <w:p>
      <w:pPr>
        <w:spacing w:line="360" w:lineRule="auto"/>
        <w:ind w:left="1680" w:leftChars="80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248" name="文本框 181"/>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181" o:spid="_x0000_s1026" o:spt="202" type="#_x0000_t202" style="position:absolute;left:0pt;margin-left:0pt;margin-top:1.35pt;height:46.8pt;width:68.8pt;z-index:25207500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7enTDUAAAABQEAAA8AAAAAAAAAAQAgAAAAIgAAAGRycy9kb3du&#10;cmV2LnhtbFBLAQIUABQAAAAIAIdO4kC04BOQAwIAANgDAAAOAAAAAAAAAAEAIAAAACMBAABkcnMv&#10;ZTJvRG9jLnhtbFBLBQYAAAAABgAGAFkBAACY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left="1676" w:leftChars="7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承包人在动力设备、输电线路、地下管道、密封防震车间、易燃易爆地段以及临街交通要道附近施工时，施工开始前应向发包人和监理人提出安全防护措施，经发包人认可后实施。</w:t>
      </w:r>
    </w:p>
    <w:p>
      <w:pPr>
        <w:spacing w:line="360" w:lineRule="auto"/>
        <w:ind w:left="1556" w:leftChars="741"/>
        <w:rPr>
          <w:rFonts w:ascii="仿宋" w:hAnsi="仿宋" w:eastAsia="仿宋"/>
          <w:color w:val="auto"/>
          <w:sz w:val="24"/>
          <w:szCs w:val="24"/>
          <w:highlight w:val="none"/>
        </w:rPr>
      </w:pPr>
      <w:r>
        <w:rPr>
          <w:rFonts w:hint="eastAsia" w:ascii="仿宋" w:hAnsi="仿宋" w:eastAsia="仿宋" w:cs="仿宋"/>
          <w:color w:val="auto"/>
          <w:sz w:val="24"/>
          <w:szCs w:val="24"/>
          <w:highlight w:val="none"/>
        </w:rPr>
        <w:t>实施爆破作业，在放射、毒害性环境中施工（含储存、运输、使用）及使用毒害性、腐蚀性物品施工时，承包人应在施工前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天以书面通知发包人和监理人，并报送相应的安全防护措施，经发包人认可后实施。</w:t>
      </w:r>
    </w:p>
    <w:p>
      <w:pPr>
        <w:adjustRightInd w:val="0"/>
        <w:snapToGrid w:val="0"/>
        <w:spacing w:line="360" w:lineRule="auto"/>
        <w:ind w:left="1556" w:leftChars="741"/>
        <w:rPr>
          <w:rFonts w:ascii="仿宋" w:hAnsi="仿宋" w:eastAsia="仿宋"/>
          <w:color w:val="auto"/>
          <w:sz w:val="24"/>
          <w:szCs w:val="24"/>
          <w:highlight w:val="none"/>
        </w:rPr>
      </w:pPr>
      <w:r>
        <w:rPr>
          <w:rFonts w:hint="eastAsia" w:ascii="仿宋" w:hAnsi="仿宋" w:eastAsia="仿宋" w:cs="仿宋"/>
          <w:color w:val="auto"/>
          <w:sz w:val="24"/>
          <w:szCs w:val="24"/>
          <w:highlight w:val="none"/>
        </w:rPr>
        <w:t>需单独编制危险性较大分部分项专项工程施工方案的，及要求进行专家论证的超过一定规模的危险性较大的分部分项工程，承包人应及时编制和组织论证。</w:t>
      </w:r>
    </w:p>
    <w:p>
      <w:pPr>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07" w:name="_Toc469384029"/>
      <w:bookmarkStart w:id="308" w:name="_Toc18588"/>
      <w:bookmarkStart w:id="309" w:name="_Toc25653655"/>
      <w:bookmarkStart w:id="310" w:name="_Toc6507"/>
      <w:r>
        <w:rPr>
          <w:rFonts w:ascii="仿宋" w:hAnsi="仿宋" w:eastAsia="仿宋" w:cs="仿宋"/>
          <w:b/>
          <w:bCs/>
          <w:color w:val="auto"/>
          <w:sz w:val="24"/>
          <w:szCs w:val="24"/>
          <w:highlight w:val="none"/>
        </w:rPr>
        <w:t xml:space="preserve">46  </w:t>
      </w:r>
      <w:r>
        <w:rPr>
          <w:rFonts w:hint="eastAsia" w:ascii="仿宋" w:hAnsi="仿宋" w:eastAsia="仿宋" w:cs="仿宋"/>
          <w:b/>
          <w:bCs/>
          <w:color w:val="auto"/>
          <w:sz w:val="24"/>
          <w:szCs w:val="24"/>
          <w:highlight w:val="none"/>
        </w:rPr>
        <w:t>测量放线</w:t>
      </w:r>
      <w:bookmarkEnd w:id="307"/>
      <w:bookmarkEnd w:id="308"/>
      <w:bookmarkEnd w:id="309"/>
      <w:bookmarkEnd w:id="310"/>
    </w:p>
    <w:p>
      <w:pPr>
        <w:pStyle w:val="11"/>
        <w:tabs>
          <w:tab w:val="left" w:pos="1202"/>
        </w:tabs>
        <w:adjustRightInd w:val="0"/>
        <w:snapToGrid w:val="0"/>
        <w:spacing w:line="360" w:lineRule="auto"/>
        <w:ind w:firstLine="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47" name="文本框 182"/>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a:effectLst/>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182"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et63nXAAAACgEAAA8AAAAAAAAAAQAgAAAAIgAAAGRycy9kb3du&#10;cmV2LnhtbFBLAQIUABQAAAAIAIdO4kBTU5J3AAIAANgDAAAOAAAAAAAAAAEAIAAAACYBAABkcnMv&#10;ZTJvRG9jLnhtbFBLBQYAAAAABgAGAFkBAACY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仿宋" w:hAnsi="仿宋" w:eastAsia="仿宋" w:cs="仿宋"/>
          <w:b/>
          <w:bCs/>
          <w:color w:val="auto"/>
          <w:sz w:val="24"/>
          <w:szCs w:val="24"/>
          <w:highlight w:val="none"/>
        </w:rPr>
        <w:t>46.1</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监理工程师应在发出开工令后的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60" w:lineRule="auto"/>
        <w:ind w:left="1619" w:leftChars="771"/>
        <w:rPr>
          <w:rFonts w:ascii="仿宋" w:hAnsi="仿宋" w:eastAsia="仿宋"/>
          <w:color w:val="auto"/>
          <w:sz w:val="24"/>
          <w:szCs w:val="24"/>
          <w:highlight w:val="none"/>
        </w:rPr>
      </w:pP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46.2  </w:t>
      </w:r>
    </w:p>
    <w:p>
      <w:pPr>
        <w:adjustRightInd w:val="0"/>
        <w:snapToGrid w:val="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246"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183"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k0tp1wAAAAoBAAAPAAAAAAAAAAEAIAAAACIAAABkcnMvZG93&#10;bnJldi54bWxQSwECFAAUAAAACACHTuJA/emrBQECAADYAwAADgAAAAAAAAABACAAAAAmAQAAZHJz&#10;L2Uyb0RvYy54bWxQSwUGAAAAAAYABgBZAQAAmQ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监理工程师需要使用施工控制网的，承包人应提供必要的协助，发包人无需为此支付任何费用。</w:t>
      </w: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46.3  </w:t>
      </w:r>
    </w:p>
    <w:p>
      <w:pPr>
        <w:adjustRightInd w:val="0"/>
        <w:snapToGrid w:val="0"/>
        <w:rPr>
          <w:rFonts w:ascii="仿宋" w:hAnsi="仿宋" w:eastAsia="仿宋"/>
          <w:color w:val="auto"/>
          <w:sz w:val="24"/>
          <w:szCs w:val="24"/>
          <w:highlight w:val="none"/>
        </w:rPr>
      </w:pP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245" name="文本框 184"/>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a:effectLst/>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184"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iywvNUAAAAJAQAADwAAAAAAAAABACAAAAAiAAAAZHJzL2Rvd25y&#10;ZXYueG1sUEsBAhQAFAAAAAgAh07iQNppNSQBAgAA2AMAAA4AAAAAAAAAAQAgAAAAJAEAAGRycy9l&#10;Mm9Eb2MueG1sUEsFBgAAAAAGAAYAWQEAAJcFA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11"/>
        <w:tabs>
          <w:tab w:val="left" w:pos="720"/>
          <w:tab w:val="left" w:pos="1080"/>
        </w:tabs>
        <w:adjustRightInd w:val="0"/>
        <w:snapToGrid w:val="0"/>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46.4 </w:t>
      </w:r>
    </w:p>
    <w:p>
      <w:pPr>
        <w:rPr>
          <w:color w:val="auto"/>
          <w:highlight w:val="none"/>
        </w:rPr>
      </w:pP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244" name="文本框 185"/>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a:effectLst/>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185"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ssAs0wAAAAgBAAAPAAAAAAAAAAEAIAAAACIAAABkcnMvZG93bnJl&#10;di54bWxQSwECFAAUAAAACACHTuJAX6QBoAICAADYAwAADgAAAAAAAAABACAAAAAiAQAAZHJzL2Uy&#10;b0RvYy54bWxQSwUGAAAAAAYABgBZAQAAlgU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11"/>
        <w:tabs>
          <w:tab w:val="left" w:pos="720"/>
          <w:tab w:val="left" w:pos="1080"/>
        </w:tabs>
        <w:adjustRightInd w:val="0"/>
        <w:snapToGrid w:val="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46.5 </w:t>
      </w:r>
      <w:r>
        <w:rPr>
          <w:color w:val="auto"/>
          <w:highlight w:val="none"/>
          <w:lang w:val="en-US"/>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43" name="文本框 186"/>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18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S6lP1wAAAAoBAAAPAAAAAAAAAAEAIAAAACIAAABkcnMvZG93&#10;bnJldi54bWxQSwECFAAUAAAACACHTuJABS3BkgECAADYAwAADgAAAAAAAAABACAAAAAm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11"/>
        <w:tabs>
          <w:tab w:val="left" w:pos="2070"/>
        </w:tabs>
        <w:adjustRightInd w:val="0"/>
        <w:snapToGrid w:val="0"/>
        <w:spacing w:line="240" w:lineRule="exact"/>
        <w:ind w:firstLine="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11" w:name="_Toc11457"/>
      <w:bookmarkStart w:id="312" w:name="_Toc469384030"/>
      <w:bookmarkStart w:id="313" w:name="_Toc30559"/>
      <w:bookmarkStart w:id="314" w:name="_Toc25653656"/>
      <w:r>
        <w:rPr>
          <w:rFonts w:ascii="仿宋" w:hAnsi="仿宋" w:eastAsia="仿宋" w:cs="仿宋"/>
          <w:b/>
          <w:bCs/>
          <w:color w:val="auto"/>
          <w:sz w:val="24"/>
          <w:szCs w:val="24"/>
          <w:highlight w:val="none"/>
        </w:rPr>
        <w:t xml:space="preserve">47  </w:t>
      </w:r>
      <w:r>
        <w:rPr>
          <w:rFonts w:hint="eastAsia" w:ascii="仿宋" w:hAnsi="仿宋" w:eastAsia="仿宋" w:cs="仿宋"/>
          <w:b/>
          <w:bCs/>
          <w:color w:val="auto"/>
          <w:sz w:val="24"/>
          <w:szCs w:val="24"/>
          <w:highlight w:val="none"/>
        </w:rPr>
        <w:t>钻孔与勘探性开挖</w:t>
      </w:r>
      <w:bookmarkEnd w:id="311"/>
      <w:bookmarkEnd w:id="312"/>
      <w:bookmarkEnd w:id="313"/>
      <w:bookmarkEnd w:id="314"/>
    </w:p>
    <w:p>
      <w:pPr>
        <w:pStyle w:val="11"/>
        <w:adjustRightInd w:val="0"/>
        <w:snapToGrid w:val="0"/>
        <w:spacing w:line="360" w:lineRule="auto"/>
        <w:ind w:firstLine="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42" name="文本框 187"/>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187"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YtmqtcAAAAKAQAADwAAAAAAAAABACAAAAAiAAAAZHJzL2Rv&#10;d25yZXYueG1sUEsBAhQAFAAAAAgAh07iQPYkqWQCAgAA2AMAAA4AAAAAAAAAAQAgAAAAJgEAAGRy&#10;cy9lMm9Eb2MueG1sUEsFBgAAAAAGAAYAWQEAAJo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仿宋" w:hAnsi="仿宋" w:eastAsia="仿宋" w:cs="仿宋"/>
          <w:b/>
          <w:bCs/>
          <w:color w:val="auto"/>
          <w:sz w:val="24"/>
          <w:szCs w:val="24"/>
          <w:highlight w:val="none"/>
        </w:rPr>
        <w:t>47.1</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在施工过程中，如果需要承包人进行钻孔或勘探性开挖（含疏浚工作在内）工作的，监理工程师应就此项工作按照第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条规定书面发出专项指令。承包人在接到监理工程师指令后，应及时实施相关工作。</w:t>
      </w:r>
    </w:p>
    <w:p>
      <w:pPr>
        <w:pStyle w:val="11"/>
        <w:tabs>
          <w:tab w:val="left" w:pos="720"/>
          <w:tab w:val="left" w:pos="1080"/>
        </w:tabs>
        <w:adjustRightInd w:val="0"/>
        <w:snapToGrid w:val="0"/>
        <w:spacing w:line="360" w:lineRule="auto"/>
        <w:ind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241" name="文本框 188"/>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188"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0M8xtcAAAAKAQAADwAAAAAAAAABACAAAAAiAAAAZHJzL2Rv&#10;d25yZXYueG1sUEsBAhQAFAAAAAgAh07iQO+Ro80CAgAA2AMAAA4AAAAAAAAAAQAgAAAAJgEAAGRy&#10;cy9lMm9Eb2MueG1sUEsFBgAAAAAGAAYAWQEAAJo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sz w:val="18"/>
                          <w:szCs w:val="18"/>
                        </w:rPr>
                      </w:pPr>
                    </w:p>
                  </w:txbxContent>
                </v:textbox>
              </v:shape>
            </w:pict>
          </mc:Fallback>
        </mc:AlternateContent>
      </w:r>
      <w:r>
        <w:rPr>
          <w:rFonts w:ascii="仿宋" w:hAnsi="仿宋" w:eastAsia="仿宋" w:cs="仿宋"/>
          <w:b/>
          <w:bCs/>
          <w:color w:val="auto"/>
          <w:sz w:val="24"/>
          <w:szCs w:val="24"/>
          <w:highlight w:val="none"/>
        </w:rPr>
        <w:t xml:space="preserve">47.2 </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除工程量清单中已列有此类工作的支付项目和额度外，此项工作所发生的一切费用，经造价工程师核实后，由合同双方当事人按照第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条规定办理。</w:t>
      </w:r>
    </w:p>
    <w:p>
      <w:pPr>
        <w:pStyle w:val="22"/>
        <w:tabs>
          <w:tab w:val="left" w:pos="540"/>
        </w:tabs>
        <w:adjustRightInd w:val="0"/>
        <w:snapToGrid w:val="0"/>
        <w:spacing w:before="312" w:beforeLines="100" w:line="240" w:lineRule="exact"/>
        <w:rPr>
          <w:rFonts w:ascii="仿宋" w:hAnsi="仿宋" w:eastAsia="仿宋"/>
          <w:b/>
          <w:bCs/>
          <w:color w:val="auto"/>
          <w:sz w:val="24"/>
          <w:szCs w:val="24"/>
          <w:highlight w:val="none"/>
        </w:rPr>
      </w:pPr>
    </w:p>
    <w:p>
      <w:pPr>
        <w:pStyle w:val="11"/>
        <w:adjustRightInd w:val="0"/>
        <w:snapToGrid w:val="0"/>
        <w:spacing w:line="360" w:lineRule="auto"/>
        <w:ind w:firstLine="0"/>
        <w:outlineLvl w:val="2"/>
        <w:rPr>
          <w:rFonts w:ascii="仿宋" w:hAnsi="仿宋" w:eastAsia="仿宋"/>
          <w:b/>
          <w:bCs/>
          <w:color w:val="auto"/>
          <w:sz w:val="24"/>
          <w:szCs w:val="24"/>
          <w:highlight w:val="none"/>
        </w:rPr>
      </w:pPr>
      <w:bookmarkStart w:id="315" w:name="_Toc469384031"/>
      <w:bookmarkStart w:id="316" w:name="_Toc25653657"/>
      <w:bookmarkStart w:id="317" w:name="_Toc20695"/>
      <w:bookmarkStart w:id="318" w:name="_Toc27697"/>
      <w:r>
        <w:rPr>
          <w:rFonts w:ascii="仿宋" w:hAnsi="仿宋" w:eastAsia="仿宋" w:cs="仿宋"/>
          <w:b/>
          <w:bCs/>
          <w:color w:val="auto"/>
          <w:sz w:val="24"/>
          <w:szCs w:val="24"/>
          <w:highlight w:val="none"/>
        </w:rPr>
        <w:t xml:space="preserve">48  </w:t>
      </w:r>
      <w:r>
        <w:rPr>
          <w:rFonts w:hint="eastAsia" w:ascii="仿宋" w:hAnsi="仿宋" w:eastAsia="仿宋" w:cs="仿宋"/>
          <w:b/>
          <w:bCs/>
          <w:color w:val="auto"/>
          <w:sz w:val="24"/>
          <w:szCs w:val="24"/>
          <w:highlight w:val="none"/>
        </w:rPr>
        <w:t>发包人供应材料和工程设备</w:t>
      </w:r>
      <w:bookmarkEnd w:id="315"/>
      <w:bookmarkEnd w:id="316"/>
      <w:bookmarkEnd w:id="317"/>
      <w:bookmarkEnd w:id="318"/>
    </w:p>
    <w:p>
      <w:pPr>
        <w:pStyle w:val="11"/>
        <w:adjustRightInd w:val="0"/>
        <w:snapToGrid w:val="0"/>
        <w:spacing w:line="360" w:lineRule="auto"/>
        <w:ind w:firstLine="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40" name="文本框 189"/>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189"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6Eg41wAAAAoBAAAPAAAAAAAAAAEAIAAAACIAAABkcnMvZG93&#10;bnJldi54bWxQSwECFAAUAAAACACHTuJAyP5ZLAECAADYAwAADgAAAAAAAAABACAAAAAm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仿宋" w:hAnsi="仿宋" w:eastAsia="仿宋" w:cs="仿宋"/>
          <w:b/>
          <w:bCs/>
          <w:color w:val="auto"/>
          <w:sz w:val="24"/>
          <w:szCs w:val="24"/>
          <w:highlight w:val="none"/>
        </w:rPr>
        <w:t>48.1</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48.2 </w:t>
      </w:r>
    </w:p>
    <w:p>
      <w:pPr>
        <w:pStyle w:val="11"/>
        <w:adjustRightInd w:val="0"/>
        <w:snapToGrid w:val="0"/>
        <w:spacing w:line="360" w:lineRule="auto"/>
        <w:ind w:left="1575" w:leftChars="750" w:firstLine="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239"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190"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0Z4C81QAAAAgBAAAPAAAAAAAAAAEAIAAAACIAAABkcnMvZG93bnJl&#10;di54bWxQSwECFAAUAAAACACHTuJAJdVwVAACAADYAwAADgAAAAAAAAABACAAAAAkAQAAZHJzL2Uy&#10;b0RvYy54bWxQSwUGAAAAAAYABgBZAQAAl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48.3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238"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191"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PNd8XVAAAABwEAAA8AAAAAAAAAAQAgAAAAIgAAAGRycy9kb3du&#10;cmV2LnhtbFBLAQIUABQAAAAIAIdO4kC6jMUTAgIAANgDAAAOAAAAAAAAAAEAIAAAACQBAABkcnMv&#10;ZTJvRG9jLnhtbFBLBQYAAAAABgAGAFkBAACY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 w:hAnsi="仿宋" w:eastAsia="仿宋" w:cs="仿宋"/>
          <w:color w:val="auto"/>
          <w:sz w:val="24"/>
          <w:szCs w:val="24"/>
          <w:highlight w:val="none"/>
        </w:rPr>
        <w:t>发包人应按照一览表内容和第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款交货日期向承包人供应材料和工程设备，并提供产品质量合格证明文件，对材料和工程设备质量负责。发包人应在材料和工程设备到货前至少提前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小时，以书面形式通知承包人和监理工程师，并在监理工程师的见证下与承包人共同清点，同时在施工现场内合理堆放。</w:t>
      </w:r>
    </w:p>
    <w:p>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48.4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237"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192"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Z8DYfVAAAACQEAAA8AAAAAAAAAAQAgAAAAIgAAAGRycy9kb3du&#10;cmV2LnhtbFBLAQIUABQAAAAIAIdO4kCC9hBeAgIAANkDAAAOAAAAAAAAAAEAIAAAACQBAABkcnMv&#10;ZTJvRG9jLnhtbFBLBQYAAAAABgAGAFkBAACY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 w:hAnsi="仿宋" w:eastAsia="仿宋" w:cs="仿宋"/>
          <w:color w:val="auto"/>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48.5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236" name="文本框 193"/>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193"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w3QSNQAAAAIAQAADwAAAAAAAAABACAAAAAiAAAAZHJzL2Rvd25y&#10;ZXYueG1sUEsBAhQAFAAAAAgAh07iQHgQx1cCAgAA2AMAAA4AAAAAAAAAAQAgAAAAIwEAAGRycy9l&#10;Mm9Eb2MueG1sUEsFBgAAAAAGAAYAWQEAAJ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 w:hAnsi="仿宋" w:eastAsia="仿宋" w:cs="仿宋"/>
          <w:color w:val="auto"/>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11"/>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48.6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235" name="文本框 194"/>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194"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KojI9UAAAAJAQAADwAAAAAAAAABACAAAAAiAAAAZHJzL2Rvd25y&#10;ZXYueG1sUEsBAhQAFAAAAAgAh07iQPyG+PsBAgAA2AMAAA4AAAAAAAAAAQAgAAAAJAEAAGRycy9l&#10;Mm9Eb2MueG1sUEsFBgAAAAAGAAYAWQEAAJ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 w:hAnsi="仿宋" w:eastAsia="仿宋" w:cs="仿宋"/>
          <w:color w:val="auto"/>
          <w:sz w:val="24"/>
          <w:szCs w:val="24"/>
          <w:highlight w:val="none"/>
        </w:rPr>
        <w:t>发包人供应的材料和工程设备与一览表不符时，发包人应按照下列规定承担相应责任：</w:t>
      </w:r>
    </w:p>
    <w:p>
      <w:pPr>
        <w:pStyle w:val="11"/>
        <w:numPr>
          <w:ilvl w:val="0"/>
          <w:numId w:val="22"/>
        </w:numPr>
        <w:tabs>
          <w:tab w:val="left" w:pos="1080"/>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材料和工程设备的单价与一览表不符，由发包人承担所有价差；</w:t>
      </w:r>
    </w:p>
    <w:p>
      <w:pPr>
        <w:pStyle w:val="11"/>
        <w:numPr>
          <w:ilvl w:val="0"/>
          <w:numId w:val="22"/>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材料和工程设备的品种、规格、型号、质量标准与一览表不符，承包人可以拒绝接受保管，由发包人运出施工场地并重新采购；</w:t>
      </w:r>
    </w:p>
    <w:p>
      <w:pPr>
        <w:pStyle w:val="11"/>
        <w:numPr>
          <w:ilvl w:val="0"/>
          <w:numId w:val="22"/>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材料和工程设备的品种、规格、型号、质量标准与一览表不符，经发包人同意，承包人可代为调剂替换，由发包人承担相应费用；</w:t>
      </w:r>
    </w:p>
    <w:p>
      <w:pPr>
        <w:pStyle w:val="11"/>
        <w:numPr>
          <w:ilvl w:val="0"/>
          <w:numId w:val="22"/>
        </w:numPr>
        <w:tabs>
          <w:tab w:val="left" w:pos="162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交货地点与一览表不符，除合同双方当事人协商确定外，由发包人重新运至一览表指定地点，并承担由此增加的费用和（或）延误的工期；</w:t>
      </w:r>
    </w:p>
    <w:p>
      <w:pPr>
        <w:pStyle w:val="11"/>
        <w:tabs>
          <w:tab w:val="left" w:pos="2160"/>
        </w:tabs>
        <w:adjustRightInd w:val="0"/>
        <w:snapToGrid w:val="0"/>
        <w:spacing w:line="360" w:lineRule="auto"/>
        <w:ind w:left="1678" w:leftChars="750" w:hanging="103" w:hangingChars="43"/>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供应数量少于一览表约定的数量时，由发包人补齐；多于一览表约定的数量时，发包人应将多出的部分运出施工场地；</w:t>
      </w:r>
    </w:p>
    <w:p>
      <w:pPr>
        <w:pStyle w:val="11"/>
        <w:tabs>
          <w:tab w:val="left" w:pos="1980"/>
        </w:tabs>
        <w:adjustRightInd w:val="0"/>
        <w:snapToGrid w:val="0"/>
        <w:spacing w:line="360" w:lineRule="auto"/>
        <w:ind w:left="1680" w:leftChars="800" w:firstLine="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交货时间早于一览表约定计划和第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款交货日期，由发包人承担由此发生的保管费；交货时间迟于一览表约定计划和第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款交货日期，由发包人承担由此增加的费用和（或）延误的工期。</w:t>
      </w:r>
    </w:p>
    <w:p>
      <w:pPr>
        <w:pStyle w:val="11"/>
        <w:tabs>
          <w:tab w:val="left" w:pos="216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48.7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234"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195"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p0Z6XVAAAACAEAAA8AAAAAAAAAAQAgAAAAIgAAAGRycy9kb3du&#10;cmV2LnhtbFBLAQIUABQAAAAIAIdO4kAD3+43AgIAANgDAAAOAAAAAAAAAAEAIAAAACQBAABkcnMv&#10;ZTJvRG9jLnhtbFBLBQYAAAAABgAGAFkBAACY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 w:hAnsi="仿宋" w:eastAsia="仿宋" w:cs="仿宋"/>
          <w:color w:val="auto"/>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11"/>
        <w:adjustRightInd w:val="0"/>
        <w:snapToGrid w:val="0"/>
        <w:spacing w:before="156" w:beforeLines="5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48.8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233" name="文本框 19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19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WJoN1AAAAAgBAAAPAAAAAAAAAAEAIAAAACIAAABkcnMvZG93&#10;bnJldi54bWxQSwECFAAUAAAACACHTuJAsUVB2QQCAADZAwAADgAAAAAAAAABACAAAAAj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11"/>
        <w:adjustRightInd w:val="0"/>
        <w:snapToGrid w:val="0"/>
        <w:ind w:firstLine="0"/>
        <w:rPr>
          <w:rFonts w:ascii="仿宋" w:hAnsi="仿宋" w:eastAsia="仿宋" w:cs="仿宋"/>
          <w:b/>
          <w:bCs/>
          <w:color w:val="auto"/>
          <w:sz w:val="24"/>
          <w:szCs w:val="24"/>
          <w:highlight w:val="none"/>
          <w:u w:val="single"/>
        </w:rPr>
      </w:pPr>
    </w:p>
    <w:p>
      <w:pPr>
        <w:pStyle w:val="11"/>
        <w:adjustRightInd w:val="0"/>
        <w:snapToGrid w:val="0"/>
        <w:spacing w:line="360" w:lineRule="auto"/>
        <w:ind w:firstLine="0"/>
        <w:outlineLvl w:val="2"/>
        <w:rPr>
          <w:rFonts w:ascii="仿宋" w:hAnsi="仿宋" w:eastAsia="仿宋"/>
          <w:b/>
          <w:bCs/>
          <w:color w:val="auto"/>
          <w:sz w:val="24"/>
          <w:szCs w:val="24"/>
          <w:highlight w:val="none"/>
        </w:rPr>
      </w:pPr>
      <w:bookmarkStart w:id="319" w:name="_Toc29179"/>
      <w:bookmarkStart w:id="320" w:name="_Toc469384032"/>
      <w:bookmarkStart w:id="321" w:name="_Toc20314"/>
      <w:bookmarkStart w:id="322" w:name="_Toc25653658"/>
      <w:r>
        <w:rPr>
          <w:rFonts w:ascii="仿宋" w:hAnsi="仿宋" w:eastAsia="仿宋" w:cs="仿宋"/>
          <w:b/>
          <w:bCs/>
          <w:color w:val="auto"/>
          <w:sz w:val="24"/>
          <w:szCs w:val="24"/>
          <w:highlight w:val="none"/>
        </w:rPr>
        <w:t xml:space="preserve">49  </w:t>
      </w:r>
      <w:r>
        <w:rPr>
          <w:rFonts w:hint="eastAsia" w:ascii="仿宋" w:hAnsi="仿宋" w:eastAsia="仿宋" w:cs="仿宋"/>
          <w:b/>
          <w:bCs/>
          <w:color w:val="auto"/>
          <w:sz w:val="24"/>
          <w:szCs w:val="24"/>
          <w:highlight w:val="none"/>
        </w:rPr>
        <w:t>承包人采购材料和工程设备</w:t>
      </w:r>
      <w:bookmarkEnd w:id="319"/>
      <w:bookmarkEnd w:id="320"/>
      <w:bookmarkEnd w:id="321"/>
      <w:bookmarkEnd w:id="322"/>
    </w:p>
    <w:p>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49.1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32" name="文本框 197"/>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rot="0" vert="horz" wrap="square" lIns="91440" tIns="45720" rIns="91440" bIns="45720" anchor="t" anchorCtr="0" upright="1">
                        <a:noAutofit/>
                      </wps:bodyPr>
                    </wps:wsp>
                  </a:graphicData>
                </a:graphic>
              </wp:anchor>
            </w:drawing>
          </mc:Choice>
          <mc:Fallback>
            <w:pict>
              <v:shape id="文本框 197"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tXWAAAACAEAAA8AAAAAAAAAAQAgAAAAIgAAAGRycy9kb3du&#10;cmV2LnhtbFBLAQIUABQAAAAIAIdO4kC1bWplAQIAANgDAAAOAAAAAAAAAAEAIAAAACUBAABkcnMv&#10;ZTJvRG9jLnhtbFBLBQYAAAAABgAGAFkBAACY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 w:hAnsi="仿宋" w:eastAsia="仿宋" w:cs="仿宋"/>
          <w:color w:val="auto"/>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49.2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231" name="文本框 198"/>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198"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tXWAAAACAEAAA8AAAAAAAAAAQAgAAAAIgAAAGRycy9kb3du&#10;cmV2LnhtbFBLAQIUABQAAAAIAIdO4kC4iqerAQIAANgDAAAOAAAAAAAAAAEAIAAAACUBAABkcnMv&#10;ZTJvRG9jLnhtbFBLBQYAAAAABgAGAFkBAACY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小时，以书面形式通知发包人和监理工程师，并在监理工程师的见证下与发包人共同清点。</w:t>
      </w:r>
    </w:p>
    <w:p>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49.3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230"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rot="0" vert="horz" wrap="square" lIns="91440" tIns="45720" rIns="91440" bIns="45720" anchor="t" anchorCtr="0" upright="1">
                        <a:noAutofit/>
                      </wps:bodyPr>
                    </wps:wsp>
                  </a:graphicData>
                </a:graphic>
              </wp:anchor>
            </w:drawing>
          </mc:Choice>
          <mc:Fallback>
            <w:pict>
              <v:shape id="文本框 199"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PCqtQAAAAIAQAADwAAAAAAAAABACAAAAAiAAAAZHJzL2Rvd25y&#10;ZXYueG1sUEsBAhQAFAAAAAgAh07iQN9a3CgCAgAA2AMAAA4AAAAAAAAAAQAgAAAAIwEAAGRycy9l&#10;Mm9Eb2MueG1sUEsFBgAAAAAGAAYAWQEAAJ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 w:hAnsi="仿宋" w:eastAsia="仿宋" w:cs="仿宋"/>
          <w:color w:val="auto"/>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49.4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229"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rot="0" vert="horz" wrap="square" lIns="91440" tIns="45720" rIns="91440" bIns="45720" anchor="t" anchorCtr="0" upright="1">
                        <a:noAutofit/>
                      </wps:bodyPr>
                    </wps:wsp>
                  </a:graphicData>
                </a:graphic>
              </wp:anchor>
            </w:drawing>
          </mc:Choice>
          <mc:Fallback>
            <w:pict>
              <v:shape id="文本框 200"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quL1AAAAAkBAAAPAAAAAAAAAAEAIAAAACIAAABkcnMvZG93bnJl&#10;di54bWxQSwECFAAUAAAACACHTuJAZK0CGwECAADYAwAADgAAAAAAAAABACAAAAAjAQAAZHJzL2Uy&#10;b0RvYy54bWxQSwUGAAAAAAYABgBZAQAAl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 w:hAnsi="仿宋" w:eastAsia="仿宋" w:cs="仿宋"/>
          <w:color w:val="auto"/>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11"/>
        <w:adjustRightInd w:val="0"/>
        <w:snapToGrid w:val="0"/>
        <w:spacing w:line="360" w:lineRule="auto"/>
        <w:ind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28"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201"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3eY1HXAAAACgEAAA8AAAAAAAAAAQAgAAAAIgAAAGRycy9kb3du&#10;cmV2LnhtbFBLAQIUABQAAAAIAIdO4kDbsEvOAAIAANgDAAAOAAAAAAAAAAEAIAAAACYBAABkcnMv&#10;ZTJvRG9jLnhtbFBLBQYAAAAABgAGAFkBAACY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仿宋" w:hAnsi="仿宋" w:eastAsia="仿宋" w:cs="仿宋"/>
          <w:b/>
          <w:bCs/>
          <w:color w:val="auto"/>
          <w:sz w:val="24"/>
          <w:szCs w:val="24"/>
          <w:highlight w:val="none"/>
        </w:rPr>
        <w:t xml:space="preserve">49.5 </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如果承包人不执行监理工程师依据第</w:t>
      </w:r>
      <w:r>
        <w:rPr>
          <w:rFonts w:ascii="仿宋" w:hAnsi="仿宋" w:eastAsia="仿宋" w:cs="仿宋"/>
          <w:color w:val="auto"/>
          <w:sz w:val="24"/>
          <w:szCs w:val="24"/>
          <w:highlight w:val="none"/>
        </w:rPr>
        <w:t>49.3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49.4</w:t>
      </w:r>
      <w:r>
        <w:rPr>
          <w:rFonts w:hint="eastAsia" w:ascii="仿宋" w:hAnsi="仿宋" w:eastAsia="仿宋" w:cs="仿宋"/>
          <w:color w:val="auto"/>
          <w:sz w:val="24"/>
          <w:szCs w:val="24"/>
          <w:highlight w:val="none"/>
        </w:rPr>
        <w:t>款规定发出的指令</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则发包人可自行或委托第三方执行该指令，由此发生的费用由承包人承担。该笔款项经造价工程师核实后，由发包人从应付或将付给或将付给承包人的工程款中扣除。</w:t>
      </w:r>
    </w:p>
    <w:p>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49.6  </w:t>
      </w:r>
    </w:p>
    <w:p>
      <w:pPr>
        <w:pStyle w:val="11"/>
        <w:tabs>
          <w:tab w:val="left" w:pos="12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227"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914400" cy="41084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rot="0" vert="horz" wrap="square" lIns="91440" tIns="45720" rIns="91440" bIns="45720" anchor="t" anchorCtr="0" upright="1">
                        <a:noAutofit/>
                      </wps:bodyPr>
                    </wps:wsp>
                  </a:graphicData>
                </a:graphic>
              </wp:anchor>
            </w:drawing>
          </mc:Choice>
          <mc:Fallback>
            <w:pict>
              <v:shape id="文本框 202"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rN21AAAAAgBAAAPAAAAAAAAAAEAIAAAACIAAABkcnMvZG93bnJl&#10;di54bWxQSwECFAAUAAAACACHTuJAlDgPwwECAADYAwAADgAAAAAAAAABACAAAAAjAQAAZHJzL2Uy&#10;b0RvYy54bWxQSwUGAAAAAAYABgBZAQAAl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 w:hAnsi="仿宋" w:eastAsia="仿宋" w:cs="仿宋"/>
          <w:color w:val="auto"/>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49.7  </w:t>
      </w:r>
    </w:p>
    <w:p>
      <w:pPr>
        <w:pStyle w:val="11"/>
        <w:tabs>
          <w:tab w:val="left" w:pos="1800"/>
        </w:tabs>
        <w:adjustRightInd w:val="0"/>
        <w:snapToGrid w:val="0"/>
        <w:spacing w:before="156" w:beforeLines="50"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226"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203"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2z3PWAAAACQEAAA8AAAAAAAAAAQAgAAAAIgAAAGRycy9kb3du&#10;cmV2LnhtbFBLAQIUABQAAAAIAIdO4kAzyC8BAQIAANgDAAAOAAAAAAAAAAEAIAAAACUBAABkcnMv&#10;ZTJvRG9jLnhtbFBLBQYAAAAABgAGAFkBAACY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 w:hAnsi="仿宋" w:eastAsia="仿宋" w:cs="仿宋"/>
          <w:color w:val="auto"/>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11"/>
        <w:adjustRightInd w:val="0"/>
        <w:snapToGrid w:val="0"/>
        <w:spacing w:line="360" w:lineRule="auto"/>
        <w:ind w:firstLine="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25" name="文本框 204"/>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rot="0" vert="horz" wrap="square" lIns="91440" tIns="45720" rIns="91440" bIns="45720" anchor="t" anchorCtr="0" upright="1">
                        <a:noAutofit/>
                      </wps:bodyPr>
                    </wps:wsp>
                  </a:graphicData>
                </a:graphic>
              </wp:anchor>
            </w:drawing>
          </mc:Choice>
          <mc:Fallback>
            <w:pict>
              <v:shape id="文本框 204"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UP621wAAAAoBAAAPAAAAAAAAAAEAIAAAACIAAABkcnMvZG93&#10;bnJldi54bWxQSwECFAAUAAAACACHTuJAxgu12gECAADYAwAADgAAAAAAAAABACAAAAAm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仿宋" w:hAnsi="仿宋" w:eastAsia="仿宋" w:cs="仿宋"/>
          <w:b/>
          <w:bCs/>
          <w:color w:val="auto"/>
          <w:sz w:val="24"/>
          <w:szCs w:val="24"/>
          <w:highlight w:val="none"/>
        </w:rPr>
        <w:t xml:space="preserve">49.8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承包人采购材料和工程设备的，除专用条款另有约定外，发包人不得指定生产厂家或供应商。</w:t>
      </w:r>
    </w:p>
    <w:p>
      <w:pPr>
        <w:pStyle w:val="11"/>
        <w:adjustRightInd w:val="0"/>
        <w:snapToGrid w:val="0"/>
        <w:ind w:firstLine="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outlineLvl w:val="2"/>
        <w:rPr>
          <w:rFonts w:ascii="仿宋" w:hAnsi="仿宋" w:eastAsia="仿宋"/>
          <w:b/>
          <w:bCs/>
          <w:color w:val="auto"/>
          <w:sz w:val="24"/>
          <w:szCs w:val="24"/>
          <w:highlight w:val="none"/>
        </w:rPr>
      </w:pPr>
      <w:bookmarkStart w:id="323" w:name="_Toc469384033"/>
      <w:bookmarkStart w:id="324" w:name="_Toc15996"/>
      <w:bookmarkStart w:id="325" w:name="_Toc17145"/>
      <w:bookmarkStart w:id="326" w:name="_Toc25653659"/>
      <w:r>
        <w:rPr>
          <w:rFonts w:ascii="仿宋" w:hAnsi="仿宋" w:eastAsia="仿宋" w:cs="仿宋"/>
          <w:b/>
          <w:bCs/>
          <w:color w:val="auto"/>
          <w:sz w:val="24"/>
          <w:szCs w:val="24"/>
          <w:highlight w:val="none"/>
        </w:rPr>
        <w:t xml:space="preserve">50  </w:t>
      </w:r>
      <w:r>
        <w:rPr>
          <w:rFonts w:hint="eastAsia" w:ascii="仿宋" w:hAnsi="仿宋" w:eastAsia="仿宋" w:cs="仿宋"/>
          <w:b/>
          <w:bCs/>
          <w:color w:val="auto"/>
          <w:sz w:val="24"/>
          <w:szCs w:val="24"/>
          <w:highlight w:val="none"/>
        </w:rPr>
        <w:t>材料和工程设备的检验试验</w:t>
      </w:r>
      <w:bookmarkEnd w:id="323"/>
      <w:bookmarkEnd w:id="324"/>
      <w:bookmarkEnd w:id="325"/>
      <w:bookmarkEnd w:id="326"/>
    </w:p>
    <w:p>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50.1</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224"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205"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GST631AAAAAcBAAAPAAAAAAAAAAEAIAAAACIAAABkcnMvZG93bnJl&#10;di54bWxQSwECFAAUAAAACACHTuJAWzvIzAECAADYAwAADgAAAAAAAAABACAAAAAjAQAAZHJzL2Uy&#10;b0RvYy54bWxQSwUGAAAAAAYABgBZAQAAl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11"/>
        <w:tabs>
          <w:tab w:val="left" w:pos="360"/>
          <w:tab w:val="left" w:pos="720"/>
        </w:tabs>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50.2  </w:t>
      </w:r>
    </w:p>
    <w:p>
      <w:pPr>
        <w:rPr>
          <w:color w:val="auto"/>
          <w:highlight w:val="none"/>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223" name="文本框 206"/>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20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9m5N02AAAAAoBAAAPAAAAAAAAAAEAIAAAACIAAABkcnMvZG93&#10;bnJldi54bWxQSwECFAAUAAAACACHTuJAXWUV+AACAADYAwAADgAAAAAAAAABACAAAAAn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材料和工程设备等产品的检验试验，包括见证取样和不见证取样两种情形：</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标准与规范、涉及结构安全有要求或合同有约定进行见证取样检验试验的材料和工程设备等产品，承包人应在取样前至少提前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小时通知监理工程师参加，并在监理工程师的见证下现场取样，同时送至具有相应资质等级的质量检测机构进行检验试验。</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小时发出延期检验试验指令并书面说明理由，延期不得超过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11"/>
        <w:adjustRightInd w:val="0"/>
        <w:snapToGrid w:val="0"/>
        <w:spacing w:line="360" w:lineRule="auto"/>
        <w:ind w:left="1619" w:leftChars="1" w:hanging="1617" w:hangingChars="67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50.3 </w:t>
      </w:r>
    </w:p>
    <w:p>
      <w:pPr>
        <w:pStyle w:val="11"/>
        <w:adjustRightInd w:val="0"/>
        <w:snapToGrid w:val="0"/>
        <w:spacing w:line="360" w:lineRule="auto"/>
        <w:ind w:left="1575" w:leftChars="750"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222"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rot="0" vert="horz" wrap="square" lIns="91440" tIns="45720" rIns="91440" bIns="45720" anchor="t" anchorCtr="0" upright="1">
                        <a:noAutofit/>
                      </wps:bodyPr>
                    </wps:wsp>
                  </a:graphicData>
                </a:graphic>
              </wp:anchor>
            </w:drawing>
          </mc:Choice>
          <mc:Fallback>
            <w:pict>
              <v:shape id="文本框 207"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H6Ww1AAAAAgBAAAPAAAAAAAAAAEAIAAAACIAAABkcnMvZG93bnJl&#10;di54bWxQSwECFAAUAAAACACHTuJAC+MVKwECAADYAwAADgAAAAAAAAABACAAAAAjAQAAZHJzL2Uy&#10;b0RvYy54bWxQSwUGAAAAAAYABgBZAQAAl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 w:hAnsi="仿宋" w:eastAsia="仿宋" w:cs="仿宋"/>
          <w:color w:val="auto"/>
          <w:sz w:val="24"/>
          <w:szCs w:val="24"/>
          <w:highlight w:val="none"/>
        </w:rPr>
        <w:t>材料和工程设备等产品检验试验合格的，可在合同工程中使用。材料和工程设备等产品检验试验不合格的，禁止在合同工程中使用，并及时清出施工场地。</w:t>
      </w:r>
    </w:p>
    <w:p>
      <w:pPr>
        <w:pStyle w:val="11"/>
        <w:tabs>
          <w:tab w:val="left" w:pos="540"/>
        </w:tabs>
        <w:adjustRightInd w:val="0"/>
        <w:snapToGrid w:val="0"/>
        <w:spacing w:line="360" w:lineRule="auto"/>
        <w:ind w:firstLine="0"/>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50.4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221"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208"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xEegNUAAAAIAQAADwAAAAAAAAABACAAAAAiAAAAZHJzL2Rvd25y&#10;ZXYueG1sUEsBAhQAFAAAAAgAh07iQCzvZNEBAgAA2AMAAA4AAAAAAAAAAQAgAAAAJAEAAGRycy9l&#10;Mm9Eb2MueG1sUEsFBgAAAAAGAAYAWQEAAJ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 w:hAnsi="仿宋" w:eastAsia="仿宋" w:cs="仿宋"/>
          <w:color w:val="auto"/>
          <w:sz w:val="24"/>
          <w:szCs w:val="24"/>
          <w:highlight w:val="none"/>
        </w:rPr>
        <w:t>除合同价款已包括外，材料和工程设备等产品的检验试验费，按照实际发生的费用计算。</w:t>
      </w:r>
    </w:p>
    <w:p>
      <w:pPr>
        <w:pStyle w:val="11"/>
        <w:tabs>
          <w:tab w:val="left" w:pos="1620"/>
          <w:tab w:val="left" w:pos="1980"/>
          <w:tab w:val="left" w:pos="2160"/>
        </w:tabs>
        <w:adjustRightInd w:val="0"/>
        <w:snapToGrid w:val="0"/>
        <w:spacing w:line="360" w:lineRule="auto"/>
        <w:ind w:left="1617"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）现场使用前材料和工程设备等产品的检验试验，发包人供应的，检验试验费由发包人承担；承包人采购的，检验试验费由承包人承担。</w:t>
      </w:r>
    </w:p>
    <w:p>
      <w:pPr>
        <w:pStyle w:val="11"/>
        <w:tabs>
          <w:tab w:val="left" w:pos="1620"/>
          <w:tab w:val="left" w:pos="2160"/>
          <w:tab w:val="left" w:pos="2520"/>
        </w:tabs>
        <w:adjustRightInd w:val="0"/>
        <w:snapToGrid w:val="0"/>
        <w:spacing w:line="360" w:lineRule="auto"/>
        <w:ind w:left="1619" w:firstLine="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）施工过程中材料和工程设备等产品的检验试验，合格的，检验试验费由发包人承担。不合格的，发包人供应的，检验试验费由发包人承担；承包人采购的，检验试验费由承包人承担。</w:t>
      </w:r>
    </w:p>
    <w:p>
      <w:pPr>
        <w:pStyle w:val="11"/>
        <w:tabs>
          <w:tab w:val="left" w:pos="1620"/>
          <w:tab w:val="left" w:pos="1980"/>
          <w:tab w:val="left" w:pos="2520"/>
          <w:tab w:val="left" w:pos="270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50.5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220" name="文本框 20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209"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rdoltUAAAAIAQAADwAAAAAAAAABACAAAAAiAAAAZHJzL2Rvd25y&#10;ZXYueG1sUEsBAhQAFAAAAAgAh07iQACoNBgBAgAA2AMAAA4AAAAAAAAAAQAgAAAAJAEAAGRycy9l&#10;Mm9Eb2MueG1sUEsFBgAAAAAGAAYAWQEAAJ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 w:hAnsi="仿宋" w:eastAsia="仿宋" w:cs="仿宋"/>
          <w:color w:val="auto"/>
          <w:sz w:val="24"/>
          <w:szCs w:val="24"/>
          <w:highlight w:val="none"/>
        </w:rPr>
        <w:t>监理工程师对承包人自行检验试验结果有疑问的，或重新查验检验试验结果的，可要求承包人共同对材料和工程设备等产品再次检验试验。</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）合格的，再次检验试验费和（或）延误的工期由发包人承担，并向承包人支付合理利润。</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）不合格的，发包人供应的，再次检验试验费和（或）延误的工期由发包人承担，并向承包人支付合理利润；承包人采购的，再次检验试验费和（或）延误的工期由承包人承担。</w:t>
      </w:r>
    </w:p>
    <w:p>
      <w:pPr>
        <w:pStyle w:val="11"/>
        <w:tabs>
          <w:tab w:val="left" w:pos="54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50.6 </w:t>
      </w:r>
      <w:r>
        <w:rPr>
          <w:color w:val="auto"/>
          <w:highlight w:val="none"/>
          <w:lang w:val="en-US"/>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219"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210"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Fz6H2AAAAAoBAAAPAAAAAAAAAAEAIAAAACIAAABkcnMvZG93&#10;bnJldi54bWxQSwECFAAUAAAACACHTuJAVD1xXQACAADYAwAADgAAAAAAAAABACAAAAAn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合同双方当事人对材料和工程设备等产品质量有争议的，所需的检验试验费由责任方承担。双方均有责任的，由双方根据其责任划分分别承担。</w:t>
      </w:r>
    </w:p>
    <w:p>
      <w:pPr>
        <w:pStyle w:val="11"/>
        <w:adjustRightInd w:val="0"/>
        <w:snapToGrid w:val="0"/>
        <w:spacing w:line="360" w:lineRule="auto"/>
        <w:ind w:firstLine="0"/>
        <w:rPr>
          <w:rFonts w:ascii="仿宋" w:hAnsi="仿宋" w:eastAsia="仿宋" w:cs="仿宋"/>
          <w:color w:val="auto"/>
          <w:sz w:val="24"/>
          <w:szCs w:val="24"/>
          <w:highlight w:val="none"/>
          <w:u w:val="single"/>
        </w:rPr>
      </w:pPr>
    </w:p>
    <w:p>
      <w:pPr>
        <w:pStyle w:val="11"/>
        <w:adjustRightInd w:val="0"/>
        <w:snapToGrid w:val="0"/>
        <w:spacing w:line="360" w:lineRule="auto"/>
        <w:ind w:firstLine="0"/>
        <w:outlineLvl w:val="2"/>
        <w:rPr>
          <w:rFonts w:ascii="仿宋" w:hAnsi="仿宋" w:eastAsia="仿宋"/>
          <w:b/>
          <w:bCs/>
          <w:color w:val="auto"/>
          <w:sz w:val="24"/>
          <w:szCs w:val="24"/>
          <w:highlight w:val="none"/>
        </w:rPr>
      </w:pPr>
      <w:bookmarkStart w:id="327" w:name="_Toc469384034"/>
      <w:bookmarkStart w:id="328" w:name="_Toc20165"/>
      <w:bookmarkStart w:id="329" w:name="_Toc23770"/>
      <w:bookmarkStart w:id="330" w:name="_Toc25653660"/>
      <w:r>
        <w:rPr>
          <w:rFonts w:ascii="仿宋" w:hAnsi="仿宋" w:eastAsia="仿宋" w:cs="仿宋"/>
          <w:b/>
          <w:bCs/>
          <w:color w:val="auto"/>
          <w:sz w:val="24"/>
          <w:szCs w:val="24"/>
          <w:highlight w:val="none"/>
        </w:rPr>
        <w:t xml:space="preserve">51  </w:t>
      </w:r>
      <w:r>
        <w:rPr>
          <w:rFonts w:hint="eastAsia" w:ascii="仿宋" w:hAnsi="仿宋" w:eastAsia="仿宋" w:cs="仿宋"/>
          <w:b/>
          <w:bCs/>
          <w:color w:val="auto"/>
          <w:sz w:val="24"/>
          <w:szCs w:val="24"/>
          <w:highlight w:val="none"/>
        </w:rPr>
        <w:t>施工设备和临时设施</w:t>
      </w:r>
      <w:bookmarkEnd w:id="327"/>
      <w:bookmarkEnd w:id="328"/>
      <w:bookmarkEnd w:id="329"/>
      <w:bookmarkEnd w:id="330"/>
    </w:p>
    <w:p>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51.1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218"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211"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1usc1QAAAAgBAAAPAAAAAAAAAAEAIAAAACIAAABkcnMvZG93&#10;bnJldi54bWxQSwECFAAUAAAACACHTuJAFbVMlgMCAADYAwAADgAAAAAAAAABACAAAAAk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 w:hAnsi="仿宋" w:eastAsia="仿宋" w:cs="仿宋"/>
          <w:color w:val="auto"/>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进入施工场地的承包人施工设备，需经监理工程师核查后才能投入使用。承包人更换合同约定自身施工设备的，应经监理工程师同意并由其报发包人批准后方可实施。</w:t>
      </w:r>
    </w:p>
    <w:p>
      <w:pPr>
        <w:pStyle w:val="11"/>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72256"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217"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873760" cy="68580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12" o:spid="_x0000_s1026" o:spt="202" type="#_x0000_t202" style="position:absolute;left:0pt;margin-left:-5.25pt;margin-top:17pt;height:54pt;width:68.8pt;z-index:251872256;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JPsD3XAAAACgEAAA8AAAAAAAAAAQAgAAAAIgAAAGRycy9k&#10;b3ducmV2LnhtbFBLAQIUABQAAAAIAIdO4kCM0coWAwIAANgDAAAOAAAAAAAAAAEAIAAAACYBAABk&#10;cnMvZTJvRG9jLnhtbFBLBQYAAAAABgAGAFkBAACb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sz w:val="18"/>
                          <w:szCs w:val="18"/>
                        </w:rPr>
                      </w:pPr>
                    </w:p>
                  </w:txbxContent>
                </v:textbox>
              </v:shape>
            </w:pict>
          </mc:Fallback>
        </mc:AlternateContent>
      </w:r>
      <w:r>
        <w:rPr>
          <w:rFonts w:ascii="仿宋" w:hAnsi="仿宋" w:eastAsia="仿宋" w:cs="仿宋"/>
          <w:b/>
          <w:bCs/>
          <w:color w:val="auto"/>
          <w:sz w:val="24"/>
          <w:szCs w:val="24"/>
          <w:highlight w:val="none"/>
        </w:rPr>
        <w:t xml:space="preserve">51.2 </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如果发包人提供施工设备或临时设施的，合同双方当事人应在专用条款中约定施工设备或临时设施的品种、规格、型号和提供的时间、地点等内容。</w:t>
      </w:r>
    </w:p>
    <w:p>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51.3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6"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213" o:spid="_x0000_s1026" o:spt="202" type="#_x0000_t202" style="position:absolute;left:0pt;margin-left:-5.8pt;margin-top:0.7pt;height:51.95pt;width:68.8pt;z-index:25187123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mFIAdUAAAAJAQAADwAAAAAAAAABACAAAAAiAAAAZHJzL2Rv&#10;d25yZXYueG1sUEsBAhQAFAAAAAgAh07iQEOaX0EEAgAA2AMAAA4AAAAAAAAAAQAgAAAAJAEAAGRy&#10;cy9lMm9Eb2MueG1sUEsFBgAAAAAGAAYAWQEAAJo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 w:hAnsi="仿宋" w:eastAsia="仿宋" w:cs="仿宋"/>
          <w:color w:val="auto"/>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51.4  </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215"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214"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o6pSNUAAAAJAQAADwAAAAAAAAABACAAAAAiAAAAZHJzL2Rvd25y&#10;ZXYueG1sUEsBAhQAFAAAAAgAh07iQHpnTqcBAgAA2AMAAA4AAAAAAAAAAQAgAAAAJAEAAGRycy9l&#10;Mm9Eb2MueG1sUEsFBgAAAAAGAAYAWQEAAJc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 w:hAnsi="仿宋" w:eastAsia="仿宋" w:cs="仿宋"/>
          <w:color w:val="auto"/>
          <w:sz w:val="24"/>
          <w:szCs w:val="24"/>
          <w:highlight w:val="none"/>
        </w:rPr>
        <w:t>外，承包人不得将上述施工设备和临时设施中的任何部分运出施工场地或挪作他用。</w:t>
      </w:r>
    </w:p>
    <w:p>
      <w:pPr>
        <w:pStyle w:val="22"/>
        <w:tabs>
          <w:tab w:val="left" w:pos="540"/>
        </w:tabs>
        <w:adjustRightInd w:val="0"/>
        <w:snapToGrid w:val="0"/>
        <w:spacing w:before="312" w:beforeLines="100"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31" w:name="_Toc27602"/>
      <w:bookmarkStart w:id="332" w:name="_Toc3285"/>
      <w:bookmarkStart w:id="333" w:name="_Toc469384035"/>
      <w:bookmarkStart w:id="334" w:name="_Toc25653661"/>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52  </w:t>
      </w:r>
      <w:r>
        <w:rPr>
          <w:rFonts w:hint="eastAsia" w:ascii="仿宋" w:hAnsi="仿宋" w:eastAsia="仿宋" w:cs="仿宋"/>
          <w:b/>
          <w:bCs/>
          <w:color w:val="auto"/>
          <w:sz w:val="24"/>
          <w:szCs w:val="24"/>
          <w:highlight w:val="none"/>
        </w:rPr>
        <w:t>工程质量检查</w:t>
      </w:r>
      <w:bookmarkEnd w:id="331"/>
      <w:bookmarkEnd w:id="332"/>
      <w:bookmarkEnd w:id="333"/>
      <w:bookmarkEnd w:id="334"/>
    </w:p>
    <w:p>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52.1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214" name="文本框 215"/>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a:effectLst/>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文本框 215"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u+lR1QAAAAcBAAAPAAAAAAAAAAEAIAAAACIAAABkcnMvZG93&#10;bnJldi54bWxQSwECFAAUAAAACACHTuJAJKixKAMCAADYAwAADgAAAAAAAAABACAAAAAkAQAAZHJz&#10;L2Uyb0RvYy54bWxQSwUGAAAAAAYABgBZAQAAmQ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 w:hAnsi="仿宋" w:eastAsia="仿宋" w:cs="仿宋"/>
          <w:color w:val="auto"/>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52.2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213" name="文本框 216"/>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21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alqT1QAAAAgBAAAPAAAAAAAAAAEAIAAAACIAAABkcnMvZG93&#10;bnJldi54bWxQSwECFAAUAAAACACHTuJA0+l3iAMCAADYAwAADgAAAAAAAAABACAAAAAkAQAAZHJz&#10;L2Uyb0RvYy54bWxQSwUGAAAAAAYABgBZAQAAm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60" w:lineRule="auto"/>
        <w:ind w:left="1619" w:leftChars="771"/>
        <w:rPr>
          <w:rFonts w:ascii="仿宋" w:hAnsi="仿宋" w:eastAsia="仿宋"/>
          <w:color w:val="auto"/>
          <w:sz w:val="24"/>
          <w:szCs w:val="24"/>
          <w:highlight w:val="none"/>
        </w:rPr>
      </w:pPr>
    </w:p>
    <w:p>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52.3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212"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217"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mFIAdUAAAAJAQAADwAAAAAAAAABACAAAAAiAAAAZHJzL2Rv&#10;d25yZXYueG1sUEsBAhQAFAAAAAgAh07iQFPkgFMEAgAA2AMAAA4AAAAAAAAAAQAgAAAAJA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 w:hAnsi="仿宋" w:eastAsia="仿宋" w:cs="仿宋"/>
          <w:color w:val="auto"/>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52.4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1"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218"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xoYQdQAAAAIAQAADwAAAAAAAAABACAAAAAiAAAAZHJzL2Rvd25yZXYu&#10;eG1sUEsBAhQAFAAAAAgAh07iQCv0LnX/AQAA2AMAAA4AAAAAAAAAAQAgAAAAIwEAAGRycy9lMm9E&#10;b2MueG1sUEsFBgAAAAAGAAYAWQEAAJ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52.5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210"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219"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xoYQdQAAAAIAQAADwAAAAAAAAABACAAAAAiAAAAZHJzL2Rvd25yZXYu&#10;eG1sUEsBAhQAFAAAAAgAh07iQK8rmXH/AQAA2AMAAA4AAAAAAAAAAQAgAAAAIwEAAGRycy9lMm9E&#10;b2MueG1sUEsFBgAAAAAGAAYAWQEAAJ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11"/>
        <w:adjustRightInd w:val="0"/>
        <w:snapToGrid w:val="0"/>
        <w:ind w:firstLine="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35" w:name="_Toc22395"/>
      <w:bookmarkStart w:id="336" w:name="_Toc13856"/>
      <w:bookmarkStart w:id="337" w:name="_Toc469384036"/>
      <w:bookmarkStart w:id="338" w:name="_Toc2565366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53  </w:t>
      </w:r>
      <w:r>
        <w:rPr>
          <w:rFonts w:hint="eastAsia" w:ascii="仿宋" w:hAnsi="仿宋" w:eastAsia="仿宋" w:cs="仿宋"/>
          <w:b/>
          <w:bCs/>
          <w:color w:val="auto"/>
          <w:sz w:val="24"/>
          <w:szCs w:val="24"/>
          <w:highlight w:val="none"/>
        </w:rPr>
        <w:t>隐蔽工程和中间验收</w:t>
      </w:r>
      <w:bookmarkEnd w:id="335"/>
      <w:bookmarkEnd w:id="336"/>
      <w:bookmarkEnd w:id="337"/>
      <w:bookmarkEnd w:id="338"/>
    </w:p>
    <w:p>
      <w:pPr>
        <w:pStyle w:val="11"/>
        <w:tabs>
          <w:tab w:val="left" w:pos="1320"/>
        </w:tabs>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53.1</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209"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873760" cy="45466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220"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IDs1AAAAAgBAAAPAAAAAAAAAAEAIAAAACIAAABkcnMvZG93bnJl&#10;di54bWxQSwECFAAUAAAACACHTuJAo0xIbAECAADY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 w:hAnsi="仿宋" w:eastAsia="仿宋" w:cs="仿宋"/>
          <w:color w:val="auto"/>
          <w:sz w:val="24"/>
          <w:szCs w:val="24"/>
          <w:highlight w:val="none"/>
        </w:rPr>
        <w:t>没有经监理工程师验收同意，任何工程均不得覆盖或隐蔽。隐蔽工程覆盖前或中间验收部位具备专用条款约定的验收条件时，承包人应进行自检，并在隐蔽或中间验收前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11"/>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53.2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208"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221"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NPRtUAAAAIAQAADwAAAAAAAAABACAAAAAiAAAAZHJzL2Rvd25y&#10;ZXYueG1sUEsBAhQAFAAAAAgAh07iQBxrKio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color w:val="auto"/>
          <w:sz w:val="24"/>
          <w:szCs w:val="24"/>
          <w:highlight w:val="none"/>
        </w:rPr>
        <w:t>如果监理工程师不能按时参加验收，应至少提前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小时发出延期验收指令并书面说明理由，延期不得超过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hAnsi="仿宋" w:eastAsia="仿宋" w:cs="仿宋"/>
          <w:color w:val="auto"/>
          <w:sz w:val="24"/>
          <w:szCs w:val="24"/>
          <w:highlight w:val="none"/>
        </w:rPr>
        <w:t>54.1</w:t>
      </w:r>
      <w:r>
        <w:rPr>
          <w:rFonts w:hint="eastAsia" w:ascii="仿宋" w:hAnsi="仿宋" w:eastAsia="仿宋" w:cs="仿宋"/>
          <w:color w:val="auto"/>
          <w:sz w:val="24"/>
          <w:szCs w:val="24"/>
          <w:highlight w:val="none"/>
        </w:rPr>
        <w:t>款规定重新验收。</w:t>
      </w:r>
    </w:p>
    <w:p>
      <w:pPr>
        <w:pStyle w:val="11"/>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53.3 </w:t>
      </w:r>
    </w:p>
    <w:p>
      <w:pPr>
        <w:pStyle w:val="11"/>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207"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222"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QcWs1AAAAAcBAAAPAAAAAAAAAAEAIAAAACIAAABkcnMvZG93bnJl&#10;di54bWxQSwECFAAUAAAACACHTuJARD11TwECAADY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color w:val="auto"/>
          <w:sz w:val="24"/>
          <w:szCs w:val="24"/>
          <w:highlight w:val="none"/>
        </w:rPr>
        <w:t>验收合格的，监理工程师应在验收记录上签字，并形成验收文件，承包人可进行隐蔽或继续施工。验收合格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小时后，监理工程师仍不在验收记录上签字，视为监理工程师已认可验收记录。</w:t>
      </w:r>
    </w:p>
    <w:p>
      <w:pPr>
        <w:pStyle w:val="11"/>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验收不合格的，承包人应按照监理工程师的指令修改后重新验收，由此增加的费用和（或）延误的工期由承包人承担。</w:t>
      </w:r>
    </w:p>
    <w:p>
      <w:pPr>
        <w:pStyle w:val="11"/>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06"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223"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CLKy1wAAAAoBAAAPAAAAAAAAAAEAIAAAACIAAABkcnMvZG93&#10;bnJldi54bWxQSwECFAAUAAAACACHTuJAFAlDzg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仿宋" w:hAnsi="仿宋" w:eastAsia="仿宋" w:cs="仿宋"/>
          <w:b/>
          <w:bCs/>
          <w:color w:val="auto"/>
          <w:sz w:val="24"/>
          <w:szCs w:val="24"/>
          <w:highlight w:val="none"/>
        </w:rPr>
        <w:t xml:space="preserve">53.4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如监理工程师有指令，承包人应对隐蔽工程进行拍摄或照相，保证监理工程师能充分检查和测量隐蔽的工程。</w:t>
      </w:r>
    </w:p>
    <w:p>
      <w:pPr>
        <w:pStyle w:val="11"/>
        <w:tabs>
          <w:tab w:val="left" w:pos="540"/>
        </w:tabs>
        <w:adjustRightInd w:val="0"/>
        <w:snapToGrid w:val="0"/>
        <w:spacing w:line="360" w:lineRule="auto"/>
        <w:ind w:firstLine="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205" name="文本框 22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224"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CLKy1wAAAAoBAAAPAAAAAAAAAAEAIAAAACIAAABkcnMvZG93&#10;bnJldi54bWxQSwECFAAUAAAACACHTuJA2BZHNAECAADYAwAADgAAAAAAAAABACAAAAAmAQAAZHJz&#10;L2Uyb0RvYy54bWxQSwUGAAAAAAYABgBZAQAAm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仿宋" w:hAnsi="仿宋" w:eastAsia="仿宋" w:cs="仿宋"/>
          <w:b/>
          <w:bCs/>
          <w:color w:val="auto"/>
          <w:sz w:val="24"/>
          <w:szCs w:val="24"/>
          <w:highlight w:val="none"/>
        </w:rPr>
        <w:t xml:space="preserve">53.5  </w:t>
      </w:r>
    </w:p>
    <w:p>
      <w:pPr>
        <w:pStyle w:val="11"/>
        <w:adjustRightInd w:val="0"/>
        <w:snapToGrid w:val="0"/>
        <w:spacing w:line="360" w:lineRule="auto"/>
        <w:ind w:left="1619" w:leftChars="771" w:firstLine="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承包人未通知监理工程师到场验收，私自将隐蔽工程覆盖的，监理工程师有权指令承包人进行钻孔探测或剥露验收，由此增加的费用和（或）延误的工期由承包人承担。</w:t>
      </w:r>
    </w:p>
    <w:p>
      <w:pPr>
        <w:pStyle w:val="11"/>
        <w:adjustRightInd w:val="0"/>
        <w:snapToGrid w:val="0"/>
        <w:ind w:firstLine="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39" w:name="_Toc4422"/>
      <w:bookmarkStart w:id="340" w:name="_Toc11639"/>
      <w:bookmarkStart w:id="341" w:name="_Toc25653663"/>
      <w:bookmarkStart w:id="342" w:name="_Toc46938403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54  </w:t>
      </w:r>
      <w:r>
        <w:rPr>
          <w:rFonts w:hint="eastAsia" w:ascii="仿宋" w:hAnsi="仿宋" w:eastAsia="仿宋" w:cs="仿宋"/>
          <w:b/>
          <w:bCs/>
          <w:color w:val="auto"/>
          <w:sz w:val="24"/>
          <w:szCs w:val="24"/>
          <w:highlight w:val="none"/>
        </w:rPr>
        <w:t>重新验收和额外检查检验</w:t>
      </w:r>
      <w:bookmarkEnd w:id="339"/>
      <w:bookmarkEnd w:id="340"/>
      <w:bookmarkEnd w:id="341"/>
      <w:bookmarkEnd w:id="342"/>
    </w:p>
    <w:p>
      <w:pPr>
        <w:pStyle w:val="11"/>
        <w:adjustRightInd w:val="0"/>
        <w:snapToGrid w:val="0"/>
        <w:spacing w:line="360" w:lineRule="auto"/>
        <w:ind w:firstLine="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204" name="文本框 225"/>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225"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3HCFvVAAAACQEAAA8AAAAAAAAAAQAgAAAAIgAAAGRycy9kb3du&#10;cmV2LnhtbFBLAQIUABQAAAAIAIdO4kBVFKaS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仿宋" w:hAnsi="仿宋" w:eastAsia="仿宋" w:cs="仿宋"/>
          <w:b/>
          <w:bCs/>
          <w:color w:val="auto"/>
          <w:sz w:val="24"/>
          <w:szCs w:val="24"/>
          <w:highlight w:val="none"/>
        </w:rPr>
        <w:t>54.1</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11"/>
        <w:tabs>
          <w:tab w:val="left" w:pos="540"/>
          <w:tab w:val="left" w:pos="72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54.2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203"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2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xgWidUAAAAJAQAADwAAAAAAAAABACAAAAAiAAAAZHJzL2Rvd25y&#10;ZXYueG1sUEsBAhQAFAAAAAgAh07iQDshmTo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仿宋" w:hAnsi="仿宋" w:eastAsia="仿宋" w:cs="仿宋"/>
          <w:color w:val="auto"/>
          <w:sz w:val="24"/>
          <w:szCs w:val="24"/>
          <w:highlight w:val="none"/>
        </w:rPr>
        <w:t>50.5</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52.3</w:t>
      </w:r>
      <w:r>
        <w:rPr>
          <w:rFonts w:hint="eastAsia" w:ascii="仿宋" w:hAnsi="仿宋" w:eastAsia="仿宋" w:cs="仿宋"/>
          <w:color w:val="auto"/>
          <w:sz w:val="24"/>
          <w:szCs w:val="24"/>
          <w:highlight w:val="none"/>
        </w:rPr>
        <w:t>款规定处理；没有缺陷的，检查检验的费用和（或）延误的工期由发包人承担，并向承包人支付合理利润。</w:t>
      </w:r>
    </w:p>
    <w:p>
      <w:pPr>
        <w:adjustRightInd w:val="0"/>
        <w:snapToGrid w:val="0"/>
        <w:spacing w:line="360" w:lineRule="auto"/>
        <w:rPr>
          <w:rFonts w:ascii="仿宋" w:hAnsi="仿宋" w:eastAsia="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43" w:name="_Toc25653664"/>
      <w:bookmarkStart w:id="344" w:name="_Toc30886"/>
      <w:bookmarkStart w:id="345" w:name="_Toc13905"/>
      <w:bookmarkStart w:id="346" w:name="_Toc469384038"/>
      <w:r>
        <w:rPr>
          <w:rFonts w:ascii="仿宋" w:hAnsi="仿宋" w:eastAsia="仿宋" w:cs="仿宋"/>
          <w:b/>
          <w:bCs/>
          <w:color w:val="auto"/>
          <w:sz w:val="24"/>
          <w:szCs w:val="24"/>
          <w:highlight w:val="none"/>
        </w:rPr>
        <w:t xml:space="preserve">55  </w:t>
      </w:r>
      <w:r>
        <w:rPr>
          <w:rFonts w:hint="eastAsia" w:ascii="仿宋" w:hAnsi="仿宋" w:eastAsia="仿宋" w:cs="仿宋"/>
          <w:b/>
          <w:bCs/>
          <w:color w:val="auto"/>
          <w:sz w:val="24"/>
          <w:szCs w:val="24"/>
          <w:highlight w:val="none"/>
        </w:rPr>
        <w:t>工程试车</w:t>
      </w:r>
      <w:bookmarkEnd w:id="343"/>
      <w:bookmarkEnd w:id="344"/>
      <w:bookmarkEnd w:id="345"/>
      <w:bookmarkEnd w:id="346"/>
    </w:p>
    <w:p>
      <w:pPr>
        <w:adjustRightInd w:val="0"/>
        <w:snapToGrid w:val="0"/>
        <w:spacing w:line="360" w:lineRule="auto"/>
        <w:ind w:left="-2" w:leftChars="-1" w:firstLine="1"/>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55.1 </w:t>
      </w:r>
    </w:p>
    <w:p>
      <w:pPr>
        <w:adjustRightInd w:val="0"/>
        <w:snapToGrid w:val="0"/>
        <w:spacing w:line="360" w:lineRule="auto"/>
        <w:ind w:left="162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202" name="文本框 22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227"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Heyv9QAAAAIAQAADwAAAAAAAAABACAAAAAiAAAAZHJzL2Rvd25y&#10;ZXYueG1sUEsBAhQAFAAAAAgAh07iQAr3dEMCAgAA2AMAAA4AAAAAAAAAAQAgAAAAIwEAAGRycy9l&#10;Mm9Eb2MueG1sUEsFBgAAAAAGAAYAWQEAAJ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sz w:val="24"/>
          <w:szCs w:val="24"/>
          <w:highlight w:val="none"/>
        </w:rPr>
        <w:t>按照合同约定需要试车的，试车的内容应与承包人承包的安装范围相一致。</w:t>
      </w:r>
    </w:p>
    <w:p>
      <w:pPr>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55.2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201"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228"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B/bZ1AAAAAcBAAAPAAAAAAAAAAEAIAAAACIAAABkcnMvZG93bnJl&#10;di54bWxQSwECFAAUAAAACACHTuJAPjoTiAECAADYAwAADgAAAAAAAAABACAAAAAjAQAAZHJzL2Uy&#10;b0RvYy54bWxQSwUGAAAAAAYABgBZAQAAl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sz w:val="24"/>
          <w:szCs w:val="24"/>
          <w:highlight w:val="none"/>
        </w:rPr>
        <w:t>设备安装工程具备单机无负荷试车条件时，承包人应组织试车，并在试车前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小时以书面形式通知监理工程师。通知包括试车内容、时间和地点。承包人应自行准备试车记录，发包人应为承包人试车提供便利和协助。</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监理工程师不能按时参加试车的，应在开始试车前至少提前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小时发出延期试车指令并书面说明理由，延期不能超过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55.3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200" name="文本框 229"/>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229"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CzoPUAAAABwEAAA8AAAAAAAAAAQAgAAAAIgAAAGRycy9kb3du&#10;cmV2LnhtbFBLAQIUABQAAAAIAIdO4kD44YyYAwIAANgDAAAOAAAAAAAAAAEAIAAAACMBAABkcnMv&#10;ZTJvRG9jLnhtbFBLBQYAAAAABgAGAFkBAACYBQ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sz w:val="24"/>
          <w:szCs w:val="24"/>
          <w:highlight w:val="none"/>
        </w:rPr>
        <w:t>单机试车合格，监理工程师应在试车记录上签字，承包人可继续施工或申请办理竣工验收手续。单机试车合格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小时后，监理工程师仍不在试车记录上签字的，视为监理工程师已认可试车记录。</w:t>
      </w:r>
    </w:p>
    <w:p>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55.4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99"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a:effectLst/>
                      </wps:spPr>
                      <wps:txb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230"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FbAA1QAAAAgBAAAPAAAAAAAAAAEAIAAAACIAAABkcnMvZG93bnJl&#10;di54bWxQSwECFAAUAAAACACHTuJAb99mfwACAADYAwAADgAAAAAAAAABACAAAAAkAQAAZHJzL2Uy&#10;b0RvYy54bWxQSwUGAAAAAAYABgBZAQAAlgUAAAAA&#10;">
                <v:fill on="f" focussize="0,0"/>
                <v:stroke on="f"/>
                <v:imagedata o:title=""/>
                <o:lock v:ext="edit" aspectratio="f"/>
                <v:textbox>
                  <w:txbxContent>
                    <w:p>
                      <w:pPr>
                        <w:jc w:val="lef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 w:hAnsi="仿宋" w:eastAsia="仿宋" w:cs="仿宋"/>
          <w:color w:val="auto"/>
          <w:sz w:val="24"/>
          <w:szCs w:val="24"/>
          <w:highlight w:val="none"/>
        </w:rPr>
        <w:t>设备安装工程具备联动无负荷试车条件时，发包人应组织试车，并在试车前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小时以书面形式通知承包人。通知包括试车内容、时间、地点和对承包人的要求，承包人应按照要求做好准备工作。试车合格，合同双方当事人均应在试车记录上签字。</w:t>
      </w:r>
    </w:p>
    <w:p>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55.5  </w:t>
      </w:r>
    </w:p>
    <w:p>
      <w:pPr>
        <w:adjustRightInd w:val="0"/>
        <w:snapToGrid w:val="0"/>
        <w:spacing w:line="360" w:lineRule="auto"/>
        <w:ind w:left="1620"/>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198" name="文本框 231"/>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231"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mHzh1gAAAAkBAAAPAAAAAAAAAAEAIAAAACIAAABkcnMvZG93&#10;bnJldi54bWxQSwECFAAUAAAACACHTuJAGxEs7g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 w:hAnsi="仿宋" w:eastAsia="仿宋" w:cs="仿宋"/>
          <w:color w:val="auto"/>
          <w:sz w:val="24"/>
          <w:szCs w:val="24"/>
          <w:highlight w:val="none"/>
        </w:rPr>
        <w:t>试车费用，除已含在合同价款外，由发包人承担。试车达不到验收要求的，按照下列规定处理：</w:t>
      </w:r>
    </w:p>
    <w:p>
      <w:pPr>
        <w:numPr>
          <w:ilvl w:val="0"/>
          <w:numId w:val="23"/>
        </w:numPr>
        <w:tabs>
          <w:tab w:val="left" w:pos="1080"/>
          <w:tab w:val="left" w:pos="162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由于设计原因试车达不到验收要求，发包人应要求设计人修改设计，承包人按照修改后的设计重新安装。发包人承担修改设计、拆除及重新安装的全部费用和延误的工期。</w:t>
      </w:r>
    </w:p>
    <w:p>
      <w:pPr>
        <w:numPr>
          <w:ilvl w:val="0"/>
          <w:numId w:val="23"/>
        </w:numPr>
        <w:tabs>
          <w:tab w:val="left" w:pos="1080"/>
          <w:tab w:val="left" w:pos="162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3"/>
        </w:numPr>
        <w:tabs>
          <w:tab w:val="left" w:pos="1080"/>
          <w:tab w:val="left" w:pos="1980"/>
        </w:tabs>
        <w:adjustRightInd w:val="0"/>
        <w:snapToGrid w:val="0"/>
        <w:spacing w:line="360" w:lineRule="auto"/>
        <w:ind w:left="1617" w:leftChars="77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由于承包人施工原因试车达不到验收要求，承包人应按照监理工程师要求重新安装和试车，并承担拆除、重新安装和重新试车的费用和延误的工期。</w:t>
      </w: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55.6  </w:t>
      </w:r>
    </w:p>
    <w:p>
      <w:pPr>
        <w:adjustRightInd w:val="0"/>
        <w:snapToGrid w:val="0"/>
        <w:rPr>
          <w:rFonts w:ascii="仿宋" w:hAnsi="仿宋" w:eastAsia="仿宋" w:cs="仿宋"/>
          <w:b/>
          <w:bCs/>
          <w:color w:val="auto"/>
          <w:sz w:val="24"/>
          <w:szCs w:val="24"/>
          <w:highlight w:val="none"/>
          <w:u w:val="dotted"/>
        </w:rPr>
      </w:pPr>
    </w:p>
    <w:p>
      <w:pPr>
        <w:pStyle w:val="32"/>
        <w:adjustRightInd w:val="0"/>
        <w:snapToGrid w:val="0"/>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97"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232"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nO0gNQAAAAIAQAADwAAAAAAAAABACAAAAAiAAAAZHJzL2Rvd25y&#10;ZXYueG1sUEsBAhQAFAAAAAgAh07iQHKnBKYCAgAA2AMAAA4AAAAAAAAAAQAgAAAAIw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rPr>
        <w:t>投料试车应在永久工程竣工验收后，由发包人负责。如果发包人要求在永久工程竣工验收前进行试车或需要承包人配合时，应事先取得承包人同意，并另行签订补充协议。</w:t>
      </w:r>
    </w:p>
    <w:p>
      <w:pPr>
        <w:pStyle w:val="11"/>
        <w:adjustRightInd w:val="0"/>
        <w:snapToGrid w:val="0"/>
        <w:spacing w:line="240" w:lineRule="exact"/>
        <w:ind w:firstLine="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47" w:name="_Toc469384039"/>
      <w:bookmarkStart w:id="348" w:name="_Toc13741"/>
      <w:bookmarkStart w:id="349" w:name="_Toc25653665"/>
      <w:bookmarkStart w:id="350" w:name="_Toc892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56  </w:t>
      </w:r>
      <w:r>
        <w:rPr>
          <w:rFonts w:hint="eastAsia" w:ascii="仿宋" w:hAnsi="仿宋" w:eastAsia="仿宋" w:cs="仿宋"/>
          <w:b/>
          <w:bCs/>
          <w:color w:val="auto"/>
          <w:sz w:val="24"/>
          <w:szCs w:val="24"/>
          <w:highlight w:val="none"/>
        </w:rPr>
        <w:t>工程变更</w:t>
      </w:r>
      <w:bookmarkEnd w:id="347"/>
      <w:bookmarkEnd w:id="348"/>
      <w:bookmarkEnd w:id="349"/>
      <w:bookmarkEnd w:id="350"/>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56.1</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96" name="文本框 23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233"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rMkyrTAAAABwEAAA8AAAAAAAAAAQAgAAAAIgAAAGRycy9kb3du&#10;cmV2LnhtbFBLAQIUABQAAAAIAIdO4kC0O2eZBAIAANkDAAAOAAAAAAAAAAEAIAAAACI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rPr>
        <w:t>合同履行期间，经发包人批准，监理工程师可按照第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款约定的变更程序向承包人发出变更指令，承包人应按照合同约定实施变更工作。</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没有经发包人批准也没有监理工程师的工程变更指令，承包人应按照合同约定施工，无权对合同工程作出任何变更。</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工程量偏差不属于工程变更，该项工程量增减不需要任何指令。</w:t>
      </w:r>
    </w:p>
    <w:p>
      <w:pPr>
        <w:pStyle w:val="22"/>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56.2 </w:t>
      </w:r>
    </w:p>
    <w:p>
      <w:pPr>
        <w:pStyle w:val="22"/>
        <w:adjustRightInd w:val="0"/>
        <w:snapToGrid w:val="0"/>
        <w:rPr>
          <w:rFonts w:ascii="仿宋" w:hAnsi="仿宋" w:eastAsia="仿宋"/>
          <w:color w:val="auto"/>
          <w:sz w:val="24"/>
          <w:szCs w:val="24"/>
          <w:highlight w:val="none"/>
        </w:rPr>
      </w:pP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195" name="文本框 23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234"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D6XtXWAAAACQEAAA8AAAAAAAAAAQAgAAAAIgAAAGRycy9kb3du&#10;cmV2LnhtbFBLAQIUABQAAAAIAIdO4kA051/HAQIAANg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color w:val="auto"/>
          <w:sz w:val="24"/>
          <w:szCs w:val="24"/>
          <w:highlight w:val="none"/>
        </w:rPr>
        <w:t>合同履行期间，发包人可对合同工程或其任何部分的形式、质量或数量作出变更。发生下列情形之一，应按照本条规定进行变更。</w:t>
      </w:r>
    </w:p>
    <w:p>
      <w:pPr>
        <w:pStyle w:val="22"/>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改变合同工程中任何工程数量（不含工程量的偏差）；</w:t>
      </w:r>
    </w:p>
    <w:p>
      <w:pPr>
        <w:pStyle w:val="22"/>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删减任何工作，但删减的工作不能转由发包人或其他人实施；</w:t>
      </w:r>
    </w:p>
    <w:p>
      <w:pPr>
        <w:pStyle w:val="22"/>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改变任何工作内容的性质、质量或其他特征；</w:t>
      </w:r>
    </w:p>
    <w:p>
      <w:pPr>
        <w:pStyle w:val="22"/>
        <w:adjustRightInd w:val="0"/>
        <w:snapToGrid w:val="0"/>
        <w:spacing w:line="360" w:lineRule="auto"/>
        <w:ind w:left="1619" w:leftChars="771" w:firstLine="1"/>
        <w:rPr>
          <w:rFonts w:ascii="仿宋" w:hAnsi="仿宋" w:eastAsia="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改变工程任何部分的标高、基线、位置和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尺寸；</w:t>
      </w:r>
    </w:p>
    <w:p>
      <w:pPr>
        <w:pStyle w:val="22"/>
        <w:adjustRightInd w:val="0"/>
        <w:snapToGrid w:val="0"/>
        <w:spacing w:line="360" w:lineRule="auto"/>
        <w:ind w:left="1619" w:leftChars="771" w:firstLine="1"/>
        <w:rPr>
          <w:rFonts w:ascii="仿宋" w:hAnsi="仿宋" w:eastAsia="仿宋"/>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为完成永久工程所必须的任何额外工作；</w:t>
      </w:r>
    </w:p>
    <w:p>
      <w:pPr>
        <w:pStyle w:val="22"/>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但对合同工程工期、质量标准等实质性变更的，应在作出变更前，与承包人签订补充协议书，作为本合同的补充文件。</w:t>
      </w:r>
    </w:p>
    <w:p>
      <w:pPr>
        <w:pStyle w:val="22"/>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56.3  </w:t>
      </w:r>
    </w:p>
    <w:p>
      <w:pPr>
        <w:pStyle w:val="22"/>
        <w:adjustRightInd w:val="0"/>
        <w:snapToGrid w:val="0"/>
        <w:rPr>
          <w:rFonts w:ascii="仿宋" w:hAnsi="仿宋" w:eastAsia="仿宋"/>
          <w:b/>
          <w:bCs/>
          <w:color w:val="auto"/>
          <w:sz w:val="24"/>
          <w:szCs w:val="24"/>
          <w:highlight w:val="none"/>
        </w:rPr>
      </w:pP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194"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235"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DD/2NUAAAAIAQAADwAAAAAAAAABACAAAAAiAAAAZHJzL2Rvd25y&#10;ZXYueG1sUEsBAhQAFAAAAAgAh07iQNMiUY0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351" w:name="OLE_LINK1"/>
      <w:r>
        <w:rPr>
          <w:rFonts w:hint="eastAsia" w:ascii="仿宋" w:hAnsi="仿宋" w:eastAsia="仿宋" w:cs="仿宋"/>
          <w:color w:val="auto"/>
          <w:sz w:val="24"/>
          <w:szCs w:val="24"/>
          <w:highlight w:val="none"/>
        </w:rPr>
        <w:t>合同工程发生变更</w:t>
      </w:r>
      <w:bookmarkEnd w:id="351"/>
      <w:r>
        <w:rPr>
          <w:rFonts w:hint="eastAsia" w:ascii="仿宋" w:hAnsi="仿宋" w:eastAsia="仿宋" w:cs="仿宋"/>
          <w:color w:val="auto"/>
          <w:sz w:val="24"/>
          <w:szCs w:val="24"/>
          <w:highlight w:val="none"/>
        </w:rPr>
        <w:t>，合同双方当事人以及监理工程师、造价工程师应遵循下列程序实施工程变更的相关工作。</w:t>
      </w:r>
    </w:p>
    <w:p>
      <w:pPr>
        <w:pStyle w:val="22"/>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合同工程可能发生或发生工程变更时，监理工程师或承包人可依据下列情况及时提出。</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款所列情形的，监理工程师可向承包人发出变更意向书，并附必要的施工设计图纸及其说明等资料。承包人应在收到变更意向书后的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天内，向监理工程师书面提交包括拟实施变更工作的计划、措施、竣工时间、修改内容和所需金额等在内的实施方案。发包人应在收到实施方案后的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天内予以答复；同意承包人提交的实施方案的，监理工程师应在收到实施方案后的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）合同工程发生第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款所列情形的，监理工程师应至少提前</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天以书面形式向承包人发出变更指令，并提供变更的施工设计图纸及其说明等资料。</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）承包人收到发包人为实施合同工程所提供的施工设计图纸和文件，经检查认为存在第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天内发出变更指令。不同意作为变更的，应由监理工程师书面答复承包人。</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）承包人应在收到监理工程师发出变更指令或变更意向书后的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天内，向发包人提交工程变更报告，并抄送监理工程师、造价工程师。报告内容应包括变更原因、根据第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条约定详细开列变更工作的价格组成和依据，并附变更的施工设计图纸及其相关说明。</w:t>
      </w:r>
    </w:p>
    <w:p>
      <w:pPr>
        <w:pStyle w:val="22"/>
        <w:adjustRightInd w:val="0"/>
        <w:snapToGrid w:val="0"/>
        <w:spacing w:line="360" w:lineRule="auto"/>
        <w:ind w:left="1620"/>
        <w:rPr>
          <w:rFonts w:ascii="仿宋" w:hAnsi="仿宋" w:eastAsia="仿宋"/>
          <w:color w:val="auto"/>
          <w:sz w:val="24"/>
          <w:szCs w:val="24"/>
          <w:highlight w:val="none"/>
        </w:rPr>
      </w:pPr>
      <w:r>
        <w:rPr>
          <w:rFonts w:hint="eastAsia" w:ascii="仿宋" w:hAnsi="仿宋" w:eastAsia="仿宋" w:cs="仿宋"/>
          <w:color w:val="auto"/>
          <w:sz w:val="24"/>
          <w:szCs w:val="24"/>
          <w:highlight w:val="none"/>
        </w:rPr>
        <w:t>变更工作影响工期的，承包人应提出调整工期的要求。发包人认为有必要时，可要求承包人提交提前或者延长工期的施工进度计划或相应施工措施等资料。</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发包人在收到承包人工程变更报告后，应通知监理工程师、造价工程师及时对报告内容予以核实，并在收到报告后的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天内予以确定或提出修改意见。发包人在收到承包人工程变更报告后的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天内未确定也未提出修改意见的，视为承包人提交的工程变更报告已被认可。</w:t>
      </w:r>
    </w:p>
    <w:p>
      <w:pPr>
        <w:pStyle w:val="22"/>
        <w:adjustRightInd w:val="0"/>
        <w:snapToGrid w:val="0"/>
        <w:spacing w:line="360" w:lineRule="auto"/>
        <w:ind w:left="1575" w:leftChars="750"/>
        <w:rPr>
          <w:rFonts w:ascii="仿宋" w:hAnsi="仿宋" w:eastAsia="仿宋"/>
          <w:b/>
          <w:bCs/>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承包人应在发包人确定工程变更报告后的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天内，按照监理工程师发出的变更指令及时组织实施变更工作。否则，由此引起的损失和（或）延误的工期由承包人承担。</w:t>
      </w:r>
    </w:p>
    <w:p>
      <w:pPr>
        <w:pStyle w:val="22"/>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56.4  </w:t>
      </w:r>
    </w:p>
    <w:p>
      <w:pPr>
        <w:pStyle w:val="22"/>
        <w:adjustRightInd w:val="0"/>
        <w:snapToGrid w:val="0"/>
        <w:rPr>
          <w:rFonts w:ascii="仿宋" w:hAnsi="仿宋" w:eastAsia="仿宋"/>
          <w:b/>
          <w:bCs/>
          <w:color w:val="auto"/>
          <w:sz w:val="24"/>
          <w:szCs w:val="24"/>
          <w:highlight w:val="none"/>
        </w:rPr>
      </w:pP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193"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914400" cy="4121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23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uE611AAAAAgBAAAPAAAAAAAAAAEAIAAAACIAAABkcnMvZG93bnJl&#10;di54bWxQSwECFAAUAAAACACHTuJAHnih7wECAADY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 w:hAnsi="仿宋" w:eastAsia="仿宋" w:cs="仿宋"/>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款规定向承包人发出变更指令。</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pPr>
        <w:pStyle w:val="22"/>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56.5  </w:t>
      </w:r>
    </w:p>
    <w:p>
      <w:pPr>
        <w:pStyle w:val="22"/>
        <w:adjustRightInd w:val="0"/>
        <w:snapToGrid w:val="0"/>
        <w:rPr>
          <w:rFonts w:ascii="仿宋" w:hAnsi="仿宋" w:eastAsia="仿宋"/>
          <w:b/>
          <w:bCs/>
          <w:color w:val="auto"/>
          <w:sz w:val="24"/>
          <w:szCs w:val="24"/>
          <w:highlight w:val="none"/>
        </w:rPr>
      </w:pP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192" name="文本框 237"/>
                <wp:cNvGraphicFramePr/>
                <a:graphic xmlns:a="http://schemas.openxmlformats.org/drawingml/2006/main">
                  <a:graphicData uri="http://schemas.microsoft.com/office/word/2010/wordprocessingShape">
                    <wps:wsp>
                      <wps:cNvSpPr txBox="1">
                        <a:spLocks noChangeArrowheads="1"/>
                      </wps:cNvSpPr>
                      <wps:spPr bwMode="auto">
                        <a:xfrm>
                          <a:off x="0" y="0"/>
                          <a:ext cx="914400" cy="5880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rot="0" vert="horz" wrap="square" lIns="91440" tIns="45720" rIns="91440" bIns="45720" anchor="t" anchorCtr="0" upright="1">
                        <a:noAutofit/>
                      </wps:bodyPr>
                    </wps:wsp>
                  </a:graphicData>
                </a:graphic>
              </wp:anchor>
            </w:drawing>
          </mc:Choice>
          <mc:Fallback>
            <w:pict>
              <v:shape id="文本框 237"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zKxEtUAAAAIAQAADwAAAAAAAAABACAAAAAiAAAAZHJzL2Rvd25y&#10;ZXYueG1sUEsBAhQAFAAAAAgAh07iQOuteEQ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 w:hAnsi="仿宋" w:eastAsia="仿宋" w:cs="仿宋"/>
          <w:color w:val="auto"/>
          <w:sz w:val="24"/>
          <w:szCs w:val="24"/>
          <w:highlight w:val="none"/>
        </w:rPr>
        <w:t>工程变更不应使合同作废或无效。工程变更应按照第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条规定确定变更的工程款；影响工期的，工期应相应调整。但由于下列原因引起的变更，承包人无权要求任何额外或附加的费用，工期不予顺延：</w:t>
      </w:r>
    </w:p>
    <w:p>
      <w:pPr>
        <w:pStyle w:val="22"/>
        <w:numPr>
          <w:ilvl w:val="0"/>
          <w:numId w:val="24"/>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为了便于组织施工而采取的技术措施变更或临时工程变更；</w:t>
      </w:r>
    </w:p>
    <w:p>
      <w:pPr>
        <w:pStyle w:val="22"/>
        <w:adjustRightInd w:val="0"/>
        <w:snapToGrid w:val="0"/>
        <w:spacing w:line="360" w:lineRule="auto"/>
        <w:ind w:left="1436" w:leftChars="684" w:firstLine="120" w:firstLine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）为了施工安全、避免干扰等原因而采取的技术措施变更或临时工程变更；</w:t>
      </w:r>
    </w:p>
    <w:p>
      <w:pPr>
        <w:pStyle w:val="22"/>
        <w:numPr>
          <w:ilvl w:val="0"/>
          <w:numId w:val="24"/>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因承包人违约、过错或承包人引起的其他变更。</w:t>
      </w:r>
    </w:p>
    <w:p>
      <w:pPr>
        <w:pStyle w:val="22"/>
        <w:adjustRightInd w:val="0"/>
        <w:snapToGrid w:val="0"/>
        <w:spacing w:line="360" w:lineRule="auto"/>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52" w:name="_Toc469384040"/>
      <w:bookmarkStart w:id="353" w:name="_Toc30291"/>
      <w:bookmarkStart w:id="354" w:name="_Toc25653666"/>
      <w:bookmarkStart w:id="355" w:name="_Toc26447"/>
      <w:r>
        <w:rPr>
          <w:rFonts w:ascii="仿宋" w:hAnsi="仿宋" w:eastAsia="仿宋" w:cs="仿宋"/>
          <w:b/>
          <w:bCs/>
          <w:color w:val="auto"/>
          <w:sz w:val="24"/>
          <w:szCs w:val="24"/>
          <w:highlight w:val="none"/>
        </w:rPr>
        <w:t xml:space="preserve">57  </w:t>
      </w:r>
      <w:r>
        <w:rPr>
          <w:rFonts w:hint="eastAsia" w:ascii="仿宋" w:hAnsi="仿宋" w:eastAsia="仿宋" w:cs="仿宋"/>
          <w:b/>
          <w:bCs/>
          <w:color w:val="auto"/>
          <w:sz w:val="24"/>
          <w:szCs w:val="24"/>
          <w:highlight w:val="none"/>
        </w:rPr>
        <w:t>竣工验收条件</w:t>
      </w:r>
      <w:bookmarkEnd w:id="352"/>
      <w:bookmarkEnd w:id="353"/>
      <w:bookmarkEnd w:id="354"/>
      <w:bookmarkEnd w:id="355"/>
    </w:p>
    <w:p>
      <w:pPr>
        <w:pStyle w:val="11"/>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57.1</w:t>
      </w:r>
    </w:p>
    <w:p>
      <w:pPr>
        <w:spacing w:line="360" w:lineRule="auto"/>
        <w:ind w:left="1618" w:hanging="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91"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238"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6HlN1QAAAAgBAAAPAAAAAAAAAAEAIAAAACIAAABkcnMvZG93bnJl&#10;di54bWxQSwECFAAUAAAACACHTuJAGA0jJwACAADY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sz w:val="24"/>
          <w:szCs w:val="24"/>
          <w:highlight w:val="none"/>
        </w:rPr>
        <w:t>承包人实施、完成合同工程的全部工作内容，经自检评定并符合下列条件的，则认为合同工程已具备竣工验收条件。</w:t>
      </w:r>
    </w:p>
    <w:p>
      <w:pPr>
        <w:spacing w:line="360" w:lineRule="auto"/>
        <w:ind w:left="1618" w:hanging="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60" w:lineRule="auto"/>
        <w:ind w:left="1680" w:leftChars="8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）已按照合同约定的内容和份数备齐了符合国家或行业、省要求的竣工资料（质量控制资料、竣工结算文件等）；</w:t>
      </w:r>
    </w:p>
    <w:p>
      <w:pPr>
        <w:spacing w:line="360" w:lineRule="auto"/>
        <w:ind w:left="1618" w:hanging="1"/>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）已按照监理工程师的指令编制了在缺陷责任期内完成的尾工（甩项）工程和缺陷修补工作清单，以及相应的实施计划；</w:t>
      </w:r>
    </w:p>
    <w:p>
      <w:pPr>
        <w:spacing w:line="360" w:lineRule="auto"/>
        <w:ind w:firstLine="1620" w:firstLineChars="675"/>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）监理工程师要求在竣工验收前应完成的其他工作：</w:t>
      </w:r>
    </w:p>
    <w:p>
      <w:pPr>
        <w:spacing w:line="360" w:lineRule="auto"/>
        <w:ind w:firstLine="1620" w:firstLineChars="675"/>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）监理工程师要求提交的竣工验收资料清单。</w:t>
      </w:r>
    </w:p>
    <w:p>
      <w:pPr>
        <w:pStyle w:val="11"/>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57.2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w:t>
      </w:r>
      <w:r>
        <w:rPr>
          <w:color w:val="auto"/>
          <w:highlight w:val="none"/>
          <w:lang w:val="en-US"/>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190" name="文本框 239"/>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239"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6HlN1QAAAAgBAAAPAAAAAAAAAAEAIAAAACIAAABkcnMvZG93bnJl&#10;di54bWxQSwECFAAUAAAACACHTuJAnNKUIwACAADYAwAADgAAAAAAAAABACAAAAAkAQAAZHJzL2Uy&#10;b0RvYy54bWxQSwUGAAAAAAYABgBZAQAAlg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条规定进行验收。</w:t>
      </w:r>
    </w:p>
    <w:p>
      <w:pPr>
        <w:pStyle w:val="11"/>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57.3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89"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240"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wfxE3VAAAACAEAAA8AAAAAAAAAAQAgAAAAIgAAAGRycy9kb3du&#10;cmV2LnhtbFBLAQIUABQAAAAIAIdO4kAn6PvZ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sz w:val="24"/>
          <w:szCs w:val="24"/>
          <w:highlight w:val="none"/>
        </w:rPr>
        <w:t>如果承包人不按照规定提交竣工资料或提交的资料不符合要求，则认为合同工程尚未具备竣工验收条件。</w:t>
      </w:r>
    </w:p>
    <w:p>
      <w:pPr>
        <w:adjustRightInd w:val="0"/>
        <w:snapToGrid w:val="0"/>
        <w:rPr>
          <w:rFonts w:ascii="仿宋" w:hAnsi="仿宋" w:eastAsia="仿宋"/>
          <w:b/>
          <w:bCs/>
          <w:color w:val="auto"/>
          <w:sz w:val="24"/>
          <w:szCs w:val="24"/>
          <w:highlight w:val="none"/>
          <w:u w:val="single"/>
        </w:rPr>
      </w:pPr>
    </w:p>
    <w:p>
      <w:pPr>
        <w:pStyle w:val="22"/>
        <w:tabs>
          <w:tab w:val="left" w:pos="540"/>
        </w:tabs>
        <w:adjustRightInd w:val="0"/>
        <w:snapToGrid w:val="0"/>
        <w:spacing w:before="312" w:beforeLines="100"/>
        <w:outlineLvl w:val="2"/>
        <w:rPr>
          <w:rFonts w:ascii="仿宋" w:hAnsi="仿宋" w:eastAsia="仿宋"/>
          <w:b/>
          <w:bCs/>
          <w:color w:val="auto"/>
          <w:sz w:val="24"/>
          <w:szCs w:val="24"/>
          <w:highlight w:val="none"/>
        </w:rPr>
      </w:pPr>
      <w:bookmarkStart w:id="356" w:name="_Toc25653667"/>
      <w:bookmarkStart w:id="357" w:name="_Toc23903"/>
      <w:bookmarkStart w:id="358" w:name="_Toc469384041"/>
      <w:bookmarkStart w:id="359" w:name="_Toc6563"/>
      <w:r>
        <w:rPr>
          <w:rFonts w:ascii="仿宋" w:hAnsi="仿宋" w:eastAsia="仿宋" w:cs="仿宋"/>
          <w:b/>
          <w:bCs/>
          <w:color w:val="auto"/>
          <w:sz w:val="24"/>
          <w:szCs w:val="24"/>
          <w:highlight w:val="none"/>
        </w:rPr>
        <w:t xml:space="preserve">58  </w:t>
      </w:r>
      <w:r>
        <w:rPr>
          <w:rFonts w:hint="eastAsia" w:ascii="仿宋" w:hAnsi="仿宋" w:eastAsia="仿宋" w:cs="仿宋"/>
          <w:b/>
          <w:bCs/>
          <w:color w:val="auto"/>
          <w:sz w:val="24"/>
          <w:szCs w:val="24"/>
          <w:highlight w:val="none"/>
        </w:rPr>
        <w:t>竣工验收</w:t>
      </w:r>
      <w:bookmarkEnd w:id="356"/>
      <w:bookmarkEnd w:id="357"/>
      <w:bookmarkEnd w:id="358"/>
      <w:bookmarkEnd w:id="359"/>
    </w:p>
    <w:p>
      <w:pPr>
        <w:tabs>
          <w:tab w:val="left" w:pos="1620"/>
        </w:tabs>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8" name="文本框 241"/>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241"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7JEI1gAAAAoBAAAPAAAAAAAAAAEAIAAAACIAAABkcnMvZG93&#10;bnJldi54bWxQSwECFAAUAAAACACHTuJAGUjPQg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仿宋" w:hAnsi="仿宋" w:eastAsia="仿宋" w:cs="仿宋"/>
          <w:b/>
          <w:bCs/>
          <w:color w:val="auto"/>
          <w:sz w:val="24"/>
          <w:szCs w:val="24"/>
          <w:highlight w:val="none"/>
        </w:rPr>
        <w:t>58.1</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合同双方当事人应在专用条款中约定合同工程竣工验收标准，但约定的竣工验收标准应符合国家或行业、省的有关规定。</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合同工程需要进行国家验收的，竣工验收是国家验收的一部分。</w:t>
      </w:r>
    </w:p>
    <w:p>
      <w:pPr>
        <w:tabs>
          <w:tab w:val="left" w:pos="1620"/>
        </w:tabs>
        <w:adjustRightInd w:val="0"/>
        <w:snapToGrid w:val="0"/>
        <w:spacing w:line="48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87"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242"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7JEI1gAAAAoBAAAPAAAAAAAAAAEAIAAAACIAAABkcnMvZG93&#10;bnJldi54bWxQSwECFAAUAAAACACHTuJAJC1juw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仿宋" w:hAnsi="仿宋" w:eastAsia="仿宋" w:cs="仿宋"/>
          <w:b/>
          <w:bCs/>
          <w:color w:val="auto"/>
          <w:sz w:val="24"/>
          <w:szCs w:val="24"/>
          <w:highlight w:val="none"/>
        </w:rPr>
        <w:t>58.2</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发包人收到承包人按照第</w:t>
      </w:r>
      <w:r>
        <w:rPr>
          <w:rFonts w:ascii="仿宋" w:hAnsi="仿宋" w:eastAsia="仿宋" w:cs="仿宋"/>
          <w:color w:val="auto"/>
          <w:sz w:val="24"/>
          <w:szCs w:val="24"/>
          <w:highlight w:val="none"/>
        </w:rPr>
        <w:t xml:space="preserve">57.2 </w:t>
      </w:r>
      <w:r>
        <w:rPr>
          <w:rFonts w:hint="eastAsia" w:ascii="仿宋" w:hAnsi="仿宋" w:eastAsia="仿宋" w:cs="仿宋"/>
          <w:color w:val="auto"/>
          <w:sz w:val="24"/>
          <w:szCs w:val="24"/>
          <w:highlight w:val="none"/>
        </w:rPr>
        <w:t>款规定提交的竣工验收申请报告后，应及时通知监理工程师核查合同工程是否具备竣工验收条件。</w:t>
      </w:r>
    </w:p>
    <w:p>
      <w:pPr>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）经核查未具备竣工验收条件的，监理工程师应在收到竣工验收申请报告后的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天内通知承包人，指出在颁发接收证书前承包人应进一步完成的工作内容。承包人完成监理工程师通知的全部工作内容后，应再次提交竣工验收申请报告，直至监理工程师同意为止。</w:t>
      </w:r>
    </w:p>
    <w:p>
      <w:pPr>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）经核查已具备竣工验收条件的，监理工程师应在收到竣工验收申请报告后的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天内书面提请发包人组织合同工程验收。</w:t>
      </w:r>
    </w:p>
    <w:p>
      <w:pPr>
        <w:tabs>
          <w:tab w:val="left" w:pos="1620"/>
        </w:tabs>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58.3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-122555</wp:posOffset>
                </wp:positionH>
                <wp:positionV relativeFrom="paragraph">
                  <wp:posOffset>5715</wp:posOffset>
                </wp:positionV>
                <wp:extent cx="873760" cy="407670"/>
                <wp:effectExtent l="0" t="0" r="0" b="0"/>
                <wp:wrapNone/>
                <wp:docPr id="186" name="文本框 243"/>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243" o:spid="_x0000_s1026" o:spt="202" type="#_x0000_t202" style="position:absolute;left:0pt;margin-left:-9.65pt;margin-top:0.45pt;height:32.1pt;width:68.8pt;z-index:251902976;mso-width-relative:page;mso-height-relative:page;" filled="f" stroked="f" coordsize="21600,21600" o:gfxdata="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EGljTUAAAABwEAAA8AAAAAAAAAAQAgAAAAIgAAAGRycy9kb3du&#10;cmV2LnhtbFBLAQIUABQAAAAIAIdO4kCg8tS/AwIAANgDAAAOAAAAAAAAAAEAIAAAACMBAABkcnMv&#10;ZTJvRG9jLnhtbFBLBQYAAAAABgAGAFkBAACY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color w:val="auto"/>
          <w:sz w:val="24"/>
          <w:szCs w:val="24"/>
          <w:highlight w:val="none"/>
        </w:rPr>
        <w:t>经监理工程师按照第</w:t>
      </w:r>
      <w:r>
        <w:rPr>
          <w:rFonts w:ascii="仿宋" w:hAnsi="仿宋" w:eastAsia="仿宋" w:cs="仿宋"/>
          <w:color w:val="auto"/>
          <w:sz w:val="24"/>
          <w:szCs w:val="24"/>
          <w:highlight w:val="none"/>
        </w:rPr>
        <w:t xml:space="preserve">58.2 </w:t>
      </w:r>
      <w:r>
        <w:rPr>
          <w:rFonts w:hint="eastAsia" w:ascii="仿宋" w:hAnsi="仿宋" w:eastAsia="仿宋" w:cs="仿宋"/>
          <w:color w:val="auto"/>
          <w:sz w:val="24"/>
          <w:szCs w:val="24"/>
          <w:highlight w:val="none"/>
        </w:rPr>
        <w:t>款规定核查合同工程已具备竣工验收条件的，发包人应在收到监理工程师书面提请后的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天内，根据合同约定的竣工验收标准和施工设计图纸等文件，按照第</w:t>
      </w:r>
      <w:r>
        <w:rPr>
          <w:rFonts w:ascii="仿宋" w:hAnsi="仿宋" w:eastAsia="仿宋" w:cs="仿宋"/>
          <w:color w:val="auto"/>
          <w:sz w:val="24"/>
          <w:szCs w:val="24"/>
          <w:highlight w:val="none"/>
        </w:rPr>
        <w:t>19.5</w:t>
      </w:r>
      <w:r>
        <w:rPr>
          <w:rFonts w:hint="eastAsia" w:ascii="仿宋" w:hAnsi="仿宋" w:eastAsia="仿宋" w:cs="仿宋"/>
          <w:color w:val="auto"/>
          <w:sz w:val="24"/>
          <w:szCs w:val="24"/>
          <w:highlight w:val="none"/>
        </w:rPr>
        <w:t>款规定组织参加验收各方完成合同工程验收，并在竣工验收后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天内予以确认或提出修改意见。</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480" w:lineRule="auto"/>
        <w:ind w:left="1626" w:leftChars="1" w:hanging="1624" w:hangingChars="674"/>
        <w:rPr>
          <w:rFonts w:ascii="仿宋" w:hAnsi="仿宋" w:eastAsia="仿宋"/>
          <w:color w:val="auto"/>
          <w:sz w:val="24"/>
          <w:szCs w:val="24"/>
          <w:highlight w:val="none"/>
        </w:rPr>
      </w:pPr>
      <w:r>
        <w:rPr>
          <w:rFonts w:ascii="仿宋" w:hAnsi="仿宋" w:eastAsia="仿宋" w:cs="仿宋"/>
          <w:b/>
          <w:bCs/>
          <w:color w:val="auto"/>
          <w:sz w:val="24"/>
          <w:szCs w:val="24"/>
          <w:highlight w:val="none"/>
        </w:rPr>
        <w:t>58.4</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85" name="文本框 244"/>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244"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tYrt1gAAAAgBAAAPAAAAAAAAAAEAIAAAACIAAABkcnMvZG93&#10;bnJldi54bWxQSwECFAAUAAAACACHTuJAKrpx9g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款规定完成合同工程验收，或验收后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天内未予确认也未提出修改意见，视为承包人提交的竣工验收申请报告已被认可。</w:t>
      </w:r>
    </w:p>
    <w:p>
      <w:pPr>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竣工验收申请报告被认可，则表明已完成合同工程，视为竣工验收合格，但由于不可抗力事件致使发包人不能完成验收的除外。</w:t>
      </w:r>
    </w:p>
    <w:p>
      <w:pPr>
        <w:tabs>
          <w:tab w:val="left" w:pos="1620"/>
        </w:tabs>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58.5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84"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245"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qv+TdUAAAAIAQAADwAAAAAAAAABACAAAAAiAAAAZHJzL2Rvd25y&#10;ZXYueG1sUEsBAhQAFAAAAAgAh07iQG4Yv4kBAgAA2A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款规定完成合同工程验收，从收到监理工程师书面提请后的第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天起承担合同工程照管责任和其他一切意外责任。</w:t>
      </w:r>
    </w:p>
    <w:p>
      <w:pPr>
        <w:tabs>
          <w:tab w:val="left" w:pos="16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58.6</w:t>
      </w:r>
    </w:p>
    <w:p>
      <w:pPr>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竣工</w:t>
      </w: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83"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24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gJC/1AAAAAcBAAAPAAAAAAAAAAEAIAAAACIAAABkcnMvZG93bnJl&#10;di54bWxQSwECFAAUAAAACACHTuJA4L3MgAECAADY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sz w:val="24"/>
          <w:szCs w:val="24"/>
          <w:highlight w:val="none"/>
        </w:rPr>
        <w:t>验收合格的，发包人应接收工程，并在收到承包人提交的竣工验收申请报告后的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天内向承包人颁发工程接收证书。</w:t>
      </w:r>
    </w:p>
    <w:p>
      <w:pPr>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58.7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82"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a:effectLst/>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247"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gJC/1AAAAAcBAAAPAAAAAAAAAAEAIAAAACIAAABkcnMvZG93bnJl&#10;di54bWxQSwECFAAUAAAACACHTuJAZGJ7hAECAADYAwAADgAAAAAAAAABACAAAAAjAQAAZHJzL2Uy&#10;b0RvYy54bWxQSwUGAAAAAAYABgBZAQAAlg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sz w:val="24"/>
          <w:szCs w:val="24"/>
          <w:highlight w:val="none"/>
        </w:rPr>
        <w:t>竣工验收合格的合同工程，发包人应按照第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款规定在工程接收证书上写明合同工程的实际竣工日期。</w:t>
      </w:r>
    </w:p>
    <w:p>
      <w:pPr>
        <w:tabs>
          <w:tab w:val="left" w:pos="16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58.8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181" name="文本框 248"/>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rot="0" vert="horz" wrap="square" lIns="91440" tIns="45720" rIns="91440" bIns="45720" anchor="t" anchorCtr="0" upright="1">
                        <a:noAutofit/>
                      </wps:bodyPr>
                    </wps:wsp>
                  </a:graphicData>
                </a:graphic>
              </wp:anchor>
            </w:drawing>
          </mc:Choice>
          <mc:Fallback>
            <w:pict>
              <v:shape id="文本框 248"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o/crNUAAAAIAQAADwAAAAAAAAABACAAAAAiAAAAZHJzL2Rvd25y&#10;ZXYueG1sUEsBAhQAFAAAAAgAh07iQPojyCsBAgAA2Q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 w:hAnsi="仿宋" w:eastAsia="仿宋" w:cs="仿宋"/>
          <w:color w:val="auto"/>
          <w:sz w:val="24"/>
          <w:szCs w:val="24"/>
          <w:highlight w:val="none"/>
        </w:rPr>
        <w:t>发包人要求某一单位工程或任一工程部位提前办理竣工验收的，应与承包人签订单位工程或工程部位竣工验收协议，作为本合同的附件。</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仿宋" w:hAnsi="仿宋" w:eastAsia="仿宋" w:cs="仿宋"/>
          <w:color w:val="auto"/>
          <w:sz w:val="24"/>
          <w:szCs w:val="24"/>
          <w:highlight w:val="none"/>
        </w:rPr>
        <w:t>57</w:t>
      </w:r>
      <w:r>
        <w:rPr>
          <w:rFonts w:hint="eastAsia" w:ascii="仿宋" w:hAnsi="仿宋" w:eastAsia="仿宋" w:cs="仿宋"/>
          <w:color w:val="auto"/>
          <w:sz w:val="24"/>
          <w:szCs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）发包人在全部工程竣工前，使用已接收的单位工程或工程部位导致承包人费用增加的，发包人应承担由此增加的费用和（或）延误的工期，并向承包人支付合理利润。</w:t>
      </w:r>
    </w:p>
    <w:p>
      <w:pPr>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58.9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80"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文本框 249"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fQKfvUAAAABwEAAA8AAAAAAAAAAQAgAAAAIgAAAGRycy9kb3ducmV2&#10;LnhtbFBLAQIUABQAAAAIAIdO4kCkGtFBAAIAANgDAAAOAAAAAAAAAAEAIAAAACMBAABkcnMvZTJv&#10;RG9jLnhtbFBLBQYAAAAABgAGAFkBAACV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 w:hAnsi="仿宋" w:eastAsia="仿宋" w:cs="仿宋"/>
          <w:color w:val="auto"/>
          <w:sz w:val="24"/>
          <w:szCs w:val="24"/>
          <w:highlight w:val="none"/>
        </w:rPr>
        <w:t>合同工程尚未全部竣工（其中某项或某几项单位工程或工程部位已竣工），根据合同约定需要在施工期运行的，应由发包人按照第</w:t>
      </w:r>
      <w:r>
        <w:rPr>
          <w:rFonts w:ascii="仿宋" w:hAnsi="仿宋" w:eastAsia="仿宋" w:cs="仿宋"/>
          <w:color w:val="auto"/>
          <w:sz w:val="24"/>
          <w:szCs w:val="24"/>
          <w:highlight w:val="none"/>
        </w:rPr>
        <w:t>58.8</w:t>
      </w:r>
      <w:r>
        <w:rPr>
          <w:rFonts w:hint="eastAsia" w:ascii="仿宋" w:hAnsi="仿宋" w:eastAsia="仿宋" w:cs="仿宋"/>
          <w:color w:val="auto"/>
          <w:sz w:val="24"/>
          <w:szCs w:val="24"/>
          <w:highlight w:val="none"/>
        </w:rPr>
        <w:t>款规定验收合格，并确保安全后，才能投入施工期运行。</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在施工期运行中，发现单位工程或工程部位存在缺陷或损坏的，由承包人按照第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款规定进行修复。</w:t>
      </w:r>
    </w:p>
    <w:p>
      <w:pPr>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58.10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79"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250"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9Ap+9QAAAAHAQAADwAAAAAAAAABACAAAAAiAAAAZHJzL2Rvd25yZXYu&#10;eG1sUEsBAhQAFAAAAAgAh07iQKOU5O7/AQAA2AMAAA4AAAAAAAAAAQAgAAAAIwEAAGRycy9lMm9E&#10;b2MueG1sUEsFBgAAAAAGAAYAWQEAAJ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sz w:val="24"/>
          <w:szCs w:val="24"/>
          <w:highlight w:val="none"/>
        </w:rPr>
        <w:t>专用条款没有约定的，工程接收证书颁发后，承包人应按照下列要求对施工场地进行清理，直至监理工程师检验合格为止。竣工清场费用由承包人承担。</w:t>
      </w:r>
    </w:p>
    <w:p>
      <w:pPr>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）施工场地内残留的垃圾已全部清除出场；</w:t>
      </w:r>
    </w:p>
    <w:p>
      <w:pPr>
        <w:spacing w:line="360" w:lineRule="auto"/>
        <w:ind w:left="1736" w:leftChars="798" w:hanging="60" w:hangingChars="2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）临时设施已拆除，场地已按照合同要求进行清理、平整或复原；</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）按照合同约定应撤离的承包人设备和剩余的材料，包括废弃的施工设备和材料，已按照计划撤离施工场地；</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）建筑物周边及其附近道路、河道的施工堆积物，已按照监理工程师指令全部清理；</w:t>
      </w:r>
    </w:p>
    <w:p>
      <w:pPr>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）监理工程师指令的其他场地清理工作已全部完成。</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58.11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78"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251"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fQKfvUAAAABwEAAA8AAAAAAAAAAQAgAAAAIgAAAGRycy9kb3ducmV2&#10;LnhtbFBLAQIUABQAAAAIAIdO4kAnS1PqAAIAANgDAAAOAAAAAAAAAAEAIAAAACMBAABkcnMvZTJv&#10;RG9jLnhtbFBLBQYAAAAABgAGAFkBAACV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sz w:val="24"/>
          <w:szCs w:val="24"/>
          <w:highlight w:val="none"/>
        </w:rPr>
        <w:t>工程接收证书颁发后的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480" w:lineRule="auto"/>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77"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252"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acUR1wAAAAoBAAAPAAAAAAAAAAEAIAAAACIAAABkcnMvZG93&#10;bnJldi54bWxQSwECFAAUAAAACACHTuJAtd3YWAECAADY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仿宋" w:hAnsi="仿宋" w:eastAsia="仿宋" w:cs="仿宋"/>
          <w:b/>
          <w:bCs/>
          <w:color w:val="auto"/>
          <w:sz w:val="24"/>
          <w:szCs w:val="24"/>
          <w:highlight w:val="none"/>
        </w:rPr>
        <w:t>58.12</w:t>
      </w:r>
    </w:p>
    <w:p>
      <w:pPr>
        <w:pStyle w:val="32"/>
        <w:adjustRightInd w:val="0"/>
        <w:snapToGrid w:val="0"/>
        <w:ind w:left="1703" w:leftChars="771"/>
        <w:rPr>
          <w:rFonts w:ascii="仿宋" w:hAnsi="仿宋" w:eastAsia="仿宋"/>
          <w:color w:val="auto"/>
          <w:highlight w:val="none"/>
        </w:rPr>
      </w:pPr>
      <w:r>
        <w:rPr>
          <w:rFonts w:hint="eastAsia" w:ascii="仿宋" w:hAnsi="仿宋" w:eastAsia="仿宋" w:cs="仿宋"/>
          <w:color w:val="auto"/>
          <w:highlight w:val="none"/>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58.13</w:t>
      </w:r>
    </w:p>
    <w:p>
      <w:pPr>
        <w:pStyle w:val="32"/>
        <w:adjustRightInd w:val="0"/>
        <w:snapToGrid w:val="0"/>
        <w:ind w:left="1703" w:leftChars="771"/>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76" name="文本框 253"/>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253"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fzPi9UAAAAIAQAADwAAAAAAAAABACAAAAAiAAAAZHJzL2Rvd25yZXYu&#10;eG1sUEsBAhQAFAAAAAgAh07iQF+6LsT+AQAA2AMAAA4AAAAAAAAAAQAgAAAAJAEAAGRycy9lMm9E&#10;b2MueG1sUEsFBgAAAAAGAAYAWQEAAJQ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仿宋" w:hAnsi="仿宋" w:eastAsia="仿宋" w:cs="仿宋"/>
          <w:color w:val="auto"/>
          <w:highlight w:val="none"/>
        </w:rPr>
        <w:t>合同工程竣工验收时发生工程质量争议，经第</w:t>
      </w:r>
      <w:r>
        <w:rPr>
          <w:rFonts w:ascii="仿宋" w:hAnsi="仿宋" w:eastAsia="仿宋" w:cs="仿宋"/>
          <w:color w:val="auto"/>
          <w:highlight w:val="none"/>
        </w:rPr>
        <w:t>86.4</w:t>
      </w:r>
      <w:r>
        <w:rPr>
          <w:rFonts w:hint="eastAsia" w:ascii="仿宋" w:hAnsi="仿宋" w:eastAsia="仿宋" w:cs="仿宋"/>
          <w:color w:val="auto"/>
          <w:highlight w:val="none"/>
        </w:rPr>
        <w:t>款规定调解或认定工程质量符合合同要求的，由发包人承担由此增加的费用和（或）延误的工期。</w:t>
      </w:r>
    </w:p>
    <w:p>
      <w:pPr>
        <w:adjustRightInd w:val="0"/>
        <w:snapToGrid w:val="0"/>
        <w:rPr>
          <w:rFonts w:ascii="仿宋" w:hAnsi="仿宋" w:eastAsia="仿宋" w:cs="仿宋"/>
          <w:b/>
          <w:bCs/>
          <w:color w:val="auto"/>
          <w:sz w:val="24"/>
          <w:szCs w:val="24"/>
          <w:highlight w:val="none"/>
          <w:u w:val="single"/>
        </w:rPr>
      </w:pPr>
    </w:p>
    <w:p>
      <w:pPr>
        <w:pStyle w:val="22"/>
        <w:tabs>
          <w:tab w:val="left" w:pos="540"/>
        </w:tabs>
        <w:adjustRightInd w:val="0"/>
        <w:snapToGrid w:val="0"/>
        <w:spacing w:before="468" w:beforeLines="150" w:line="360" w:lineRule="auto"/>
        <w:outlineLvl w:val="2"/>
        <w:rPr>
          <w:rFonts w:ascii="仿宋" w:hAnsi="仿宋" w:eastAsia="仿宋"/>
          <w:b/>
          <w:bCs/>
          <w:color w:val="auto"/>
          <w:sz w:val="24"/>
          <w:szCs w:val="24"/>
          <w:highlight w:val="none"/>
        </w:rPr>
      </w:pPr>
      <w:bookmarkStart w:id="360" w:name="_Toc19207"/>
      <w:bookmarkStart w:id="361" w:name="_Toc25653668"/>
      <w:bookmarkStart w:id="362" w:name="_Toc469384042"/>
      <w:bookmarkStart w:id="363" w:name="_Toc23449"/>
      <w:r>
        <w:rPr>
          <w:rFonts w:ascii="仿宋" w:hAnsi="仿宋" w:eastAsia="仿宋" w:cs="仿宋"/>
          <w:b/>
          <w:bCs/>
          <w:color w:val="auto"/>
          <w:sz w:val="24"/>
          <w:szCs w:val="24"/>
          <w:highlight w:val="none"/>
        </w:rPr>
        <w:t xml:space="preserve">59  </w:t>
      </w:r>
      <w:r>
        <w:rPr>
          <w:rFonts w:hint="eastAsia" w:ascii="仿宋" w:hAnsi="仿宋" w:eastAsia="仿宋" w:cs="仿宋"/>
          <w:b/>
          <w:bCs/>
          <w:color w:val="auto"/>
          <w:sz w:val="24"/>
          <w:szCs w:val="24"/>
          <w:highlight w:val="none"/>
        </w:rPr>
        <w:t>缺陷责任与质量保修</w:t>
      </w:r>
      <w:bookmarkEnd w:id="360"/>
      <w:bookmarkEnd w:id="361"/>
      <w:bookmarkEnd w:id="362"/>
      <w:bookmarkEnd w:id="363"/>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5" name="文本框 254"/>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254"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Fm/p3YAAAACgEAAA8AAAAAAAAAAQAgAAAAIgAAAGRycy9k&#10;b3ducmV2LnhtbFBLAQIUABQAAAAIAIdO4kCq1AmcAgIAANgDAAAOAAAAAAAAAAEAIAAAACcBAABk&#10;cnMvZTJvRG9jLnhtbFBLBQYAAAAABgAGAFkBAACb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仿宋" w:hAnsi="仿宋" w:eastAsia="仿宋" w:cs="仿宋"/>
          <w:b/>
          <w:bCs/>
          <w:color w:val="auto"/>
          <w:sz w:val="24"/>
          <w:szCs w:val="24"/>
          <w:highlight w:val="none"/>
        </w:rPr>
        <w:t xml:space="preserve">59.1  </w:t>
      </w:r>
    </w:p>
    <w:p>
      <w:pPr>
        <w:spacing w:line="360" w:lineRule="auto"/>
        <w:ind w:firstLine="1574" w:firstLineChars="656"/>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合同双方当事人应在专用条款中约定缺陷责任期。</w:t>
      </w:r>
    </w:p>
    <w:p>
      <w:pPr>
        <w:adjustRightInd w:val="0"/>
        <w:snapToGrid w:val="0"/>
        <w:spacing w:line="360" w:lineRule="auto"/>
        <w:ind w:left="1575" w:leftChars="75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缺陷责任期自实际竣工之日起计算。在全部工程竣工验收前，已经发包人提前验收的单位工程，其缺陷责任期的起算日期相应提前。</w:t>
      </w:r>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4"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255"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Fm/p3YAAAACgEAAA8AAAAAAAAAAQAgAAAAIgAAAGRycy9k&#10;b3ducmV2LnhtbFBLAQIUABQAAAAIAIdO4kAuC76YAgIAANgDAAAOAAAAAAAAAAEAIAAAACcBAABk&#10;cnMvZTJvRG9jLnhtbFBLBQYAAAAABgAGAFkBAACb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仿宋" w:hAnsi="仿宋" w:eastAsia="仿宋" w:cs="仿宋"/>
          <w:b/>
          <w:bCs/>
          <w:color w:val="auto"/>
          <w:sz w:val="24"/>
          <w:szCs w:val="24"/>
          <w:highlight w:val="none"/>
        </w:rPr>
        <w:t xml:space="preserve">59.2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年。</w:t>
      </w:r>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3"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25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Fm/p3YAAAACgEAAA8AAAAAAAAAAQAgAAAAIgAAAGRycy9k&#10;b3ducmV2LnhtbFBLAQIUABQAAAAIAIdO4kDyamVwAgIAANgDAAAOAAAAAAAAAAEAIAAAACcBAABk&#10;cnMvZTJvRG9jLnhtbFBLBQYAAAAABgAGAFkBAACb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仿宋" w:hAnsi="仿宋" w:eastAsia="仿宋" w:cs="仿宋"/>
          <w:b/>
          <w:bCs/>
          <w:color w:val="auto"/>
          <w:sz w:val="24"/>
          <w:szCs w:val="24"/>
          <w:highlight w:val="none"/>
        </w:rPr>
        <w:t xml:space="preserve">59.3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合同工程存在某项缺陷或损坏的，合同双方当事人应按照下列规定承担缺陷责任以及由此产生的费用。</w:t>
      </w:r>
    </w:p>
    <w:p>
      <w:pPr>
        <w:pStyle w:val="32"/>
        <w:adjustRightInd w:val="0"/>
        <w:snapToGrid w:val="0"/>
        <w:ind w:left="0" w:leftChars="0" w:firstLine="1574" w:firstLineChars="656"/>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w:t>
      </w:r>
      <w:r>
        <w:rPr>
          <w:rFonts w:hint="eastAsia" w:ascii="仿宋" w:hAnsi="仿宋" w:eastAsia="仿宋" w:cs="仿宋"/>
          <w:color w:val="auto"/>
          <w:highlight w:val="none"/>
        </w:rPr>
        <w:t>）承包人应在缺陷责任期内对已交付使用的工程承担缺陷责任。</w:t>
      </w:r>
    </w:p>
    <w:p>
      <w:pPr>
        <w:spacing w:line="360" w:lineRule="auto"/>
        <w:ind w:left="1575" w:left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天内派人修复，直至检验合格为止。承包人未能在规定时间内修复的，发包人可自行或委托第三方修复，所需费用和利润按照本款第（</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）点规定办理。</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2"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257"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Fm/p3YAAAACgEAAA8AAAAAAAAAAQAgAAAAIgAAAGRycy9k&#10;b3ducmV2LnhtbFBLAQIUABQAAAAIAIdO4kB2tdJ0AgIAANgDAAAOAAAAAAAAAAEAIAAAACcBAABk&#10;cnMvZTJvRG9jLnhtbFBLBQYAAAAABgAGAFkBAACb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仿宋" w:hAnsi="仿宋" w:eastAsia="仿宋" w:cs="仿宋"/>
          <w:b/>
          <w:bCs/>
          <w:color w:val="auto"/>
          <w:sz w:val="24"/>
          <w:szCs w:val="24"/>
          <w:highlight w:val="none"/>
        </w:rPr>
        <w:t xml:space="preserve">59.4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任何一项缺陷或损坏修复后，经检查证明其影响了工程或工程设备的使用性能，承包人应按照第</w:t>
      </w:r>
      <w:r>
        <w:rPr>
          <w:rFonts w:ascii="仿宋" w:hAnsi="仿宋" w:eastAsia="仿宋" w:cs="仿宋"/>
          <w:color w:val="auto"/>
          <w:sz w:val="24"/>
          <w:szCs w:val="24"/>
          <w:highlight w:val="none"/>
        </w:rPr>
        <w:t>54</w:t>
      </w:r>
      <w:r>
        <w:rPr>
          <w:rFonts w:hint="eastAsia" w:ascii="仿宋" w:hAnsi="仿宋" w:eastAsia="仿宋" w:cs="仿宋"/>
          <w:color w:val="auto"/>
          <w:sz w:val="24"/>
          <w:szCs w:val="24"/>
          <w:highlight w:val="none"/>
        </w:rPr>
        <w:t>条规定重新检（试）验，重新检（试）验的费用由责任方承担。</w:t>
      </w:r>
    </w:p>
    <w:p>
      <w:pPr>
        <w:adjustRightInd w:val="0"/>
        <w:snapToGrid w:val="0"/>
        <w:spacing w:line="48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1"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258"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Zv6d2AAAAAoBAAAPAAAAAAAAAAEAIAAAACIAAABkcnMv&#10;ZG93bnJldi54bWxQSwECFAAUAAAACACHTuJAe1IfugMCAADYAwAADgAAAAAAAAABACAAAAAnAQAA&#10;ZHJzL2Uyb0RvYy54bWxQSwUGAAAAAAYABgBZAQAAn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仿宋" w:hAnsi="仿宋" w:eastAsia="仿宋" w:cs="仿宋"/>
          <w:b/>
          <w:bCs/>
          <w:color w:val="auto"/>
          <w:sz w:val="24"/>
          <w:szCs w:val="24"/>
          <w:highlight w:val="none"/>
        </w:rPr>
        <w:t xml:space="preserve">59.5  </w:t>
      </w:r>
    </w:p>
    <w:p>
      <w:pPr>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缺陷责任期内承包人为缺陷修复工作需要，有权进入工程现场，但应遵守发包人的保安和保密等规定。</w:t>
      </w:r>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70" name="文本框 259"/>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259"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Fm/p3YAAAACgEAAA8AAAAAAAAAAQAgAAAAIgAAAGRycy9k&#10;b3ducmV2LnhtbFBLAQIUABQAAAAIAIdO4kD/jai+AgIAANgDAAAOAAAAAAAAAAEAIAAAACcBAABk&#10;cnMvZTJvRG9jLnhtbFBLBQYAAAAABgAGAFkBAACb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仿宋" w:hAnsi="仿宋" w:eastAsia="仿宋" w:cs="仿宋"/>
          <w:b/>
          <w:bCs/>
          <w:color w:val="auto"/>
          <w:sz w:val="24"/>
          <w:szCs w:val="24"/>
          <w:highlight w:val="none"/>
        </w:rPr>
        <w:t xml:space="preserve">59.6  </w:t>
      </w:r>
    </w:p>
    <w:p>
      <w:pPr>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在专用条款约定的缺陷责任期（包括第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款延长的期限）终止后的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天内，发包人应向承包人颁发缺陷责任期终止证书。</w:t>
      </w:r>
    </w:p>
    <w:p>
      <w:pPr>
        <w:adjustRightInd w:val="0"/>
        <w:snapToGrid w:val="0"/>
        <w:spacing w:line="360" w:lineRule="auto"/>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9" name="文本框 26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260"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Wb+ndgAAAAKAQAADwAAAAAAAAABACAAAAAiAAAAZHJzL2Rv&#10;d25yZXYueG1sUEsBAhQAFAAAAAgAh07iQGoT3aMBAgAA2AMAAA4AAAAAAAAAAQAgAAAAJw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仿宋" w:hAnsi="仿宋" w:eastAsia="仿宋" w:cs="仿宋"/>
          <w:b/>
          <w:bCs/>
          <w:color w:val="auto"/>
          <w:sz w:val="24"/>
          <w:szCs w:val="24"/>
          <w:highlight w:val="none"/>
        </w:rPr>
        <w:t xml:space="preserve">59.7  </w:t>
      </w:r>
    </w:p>
    <w:p>
      <w:pPr>
        <w:pStyle w:val="32"/>
        <w:adjustRightInd w:val="0"/>
        <w:snapToGrid w:val="0"/>
        <w:ind w:left="1703" w:leftChars="771"/>
        <w:rPr>
          <w:rFonts w:ascii="仿宋" w:hAnsi="仿宋" w:eastAsia="仿宋"/>
          <w:color w:val="auto"/>
          <w:highlight w:val="none"/>
        </w:rPr>
      </w:pPr>
      <w:r>
        <w:rPr>
          <w:rFonts w:hint="eastAsia" w:ascii="仿宋" w:hAnsi="仿宋" w:eastAsia="仿宋" w:cs="仿宋"/>
          <w:color w:val="auto"/>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480" w:lineRule="auto"/>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68" name="文本框 26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261"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Wb+ndgAAAAKAQAADwAAAAAAAAABACAAAAAiAAAAZHJzL2Rv&#10;d25yZXYueG1sUEsBAhQAFAAAAAgAh07iQO7MaqcBAgAA2AMAAA4AAAAAAAAAAQAgAAAAJwEAAGRy&#10;cy9lMm9Eb2MueG1sUEsFBgAAAAAGAAYAWQEAAJo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仿宋" w:hAnsi="仿宋" w:eastAsia="仿宋" w:cs="仿宋"/>
          <w:b/>
          <w:bCs/>
          <w:color w:val="auto"/>
          <w:sz w:val="24"/>
          <w:szCs w:val="24"/>
          <w:highlight w:val="none"/>
        </w:rPr>
        <w:t xml:space="preserve">59.8 </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合同双方当事人应在专用条款和合同工程质量保修书中约定质量保修期。</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59.9  </w:t>
      </w:r>
    </w:p>
    <w:p>
      <w:pPr>
        <w:adjustRightInd w:val="0"/>
        <w:snapToGrid w:val="0"/>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67" name="文本框 262"/>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a:effectLst/>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262"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YolDtUAAAAIAQAADwAAAAAAAAABACAAAAAiAAAAZHJzL2Rvd25y&#10;ZXYueG1sUEsBAhQAFAAAAAgAh07iQMBO8kEBAgAA2AMAAA4AAAAAAAAAAQAgAAAAJAEAAGRycy9l&#10;Mm9Eb2MueG1sUEsFBgAAAAAGAAYAWQEAAJc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166" name="文本框 263"/>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263"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hxmetYAAAAKAQAADwAAAAAAAAABACAAAAAiAAAAZHJzL2Rv&#10;d25yZXYueG1sUEsBAhQAFAAAAAgAh07iQCJK1FoDAgAA2AMAAA4AAAAAAAAAAQAgAAAAJQEAAGRy&#10;cy9lMm9Eb2MueG1sUEsFBgAAAAAGAAYAWQEAAJo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仿宋" w:hAnsi="仿宋" w:eastAsia="仿宋" w:cs="仿宋"/>
          <w:b/>
          <w:bCs/>
          <w:color w:val="auto"/>
          <w:sz w:val="24"/>
          <w:szCs w:val="24"/>
          <w:highlight w:val="none"/>
        </w:rPr>
        <w:t xml:space="preserve">59.10 </w:t>
      </w:r>
    </w:p>
    <w:p>
      <w:pPr>
        <w:adjustRightInd w:val="0"/>
        <w:snapToGrid w:val="0"/>
        <w:spacing w:line="360" w:lineRule="auto"/>
        <w:ind w:firstLine="1574" w:firstLineChars="656"/>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承包人修复属于质量缺陷以外的费用，由责任方承担。</w:t>
      </w:r>
    </w:p>
    <w:p>
      <w:pPr>
        <w:adjustRightInd w:val="0"/>
        <w:snapToGrid w:val="0"/>
        <w:spacing w:line="360" w:lineRule="auto"/>
        <w:rPr>
          <w:rFonts w:ascii="仿宋" w:hAnsi="仿宋" w:eastAsia="仿宋" w:cs="仿宋"/>
          <w:color w:val="auto"/>
          <w:sz w:val="24"/>
          <w:szCs w:val="24"/>
          <w:highlight w:val="none"/>
          <w:u w:val="single"/>
        </w:rPr>
      </w:pPr>
    </w:p>
    <w:p>
      <w:pPr>
        <w:tabs>
          <w:tab w:val="left" w:pos="1620"/>
        </w:tabs>
        <w:adjustRightInd w:val="0"/>
        <w:snapToGrid w:val="0"/>
        <w:spacing w:line="360" w:lineRule="auto"/>
        <w:outlineLvl w:val="1"/>
        <w:rPr>
          <w:rFonts w:ascii="仿宋" w:hAnsi="仿宋" w:eastAsia="仿宋"/>
          <w:b/>
          <w:bCs/>
          <w:color w:val="auto"/>
          <w:sz w:val="24"/>
          <w:szCs w:val="24"/>
          <w:highlight w:val="none"/>
        </w:rPr>
      </w:pPr>
      <w:bookmarkStart w:id="364" w:name="_Toc469384043"/>
      <w:bookmarkStart w:id="365" w:name="_Toc1210"/>
      <w:bookmarkStart w:id="366" w:name="_Toc25653669"/>
      <w:bookmarkStart w:id="367" w:name="_Toc29744"/>
      <w:r>
        <w:rPr>
          <w:rFonts w:hint="eastAsia" w:ascii="仿宋" w:hAnsi="仿宋" w:eastAsia="仿宋" w:cs="仿宋"/>
          <w:b/>
          <w:bCs/>
          <w:color w:val="auto"/>
          <w:sz w:val="24"/>
          <w:szCs w:val="24"/>
          <w:highlight w:val="none"/>
        </w:rPr>
        <w:t>六、造价</w:t>
      </w:r>
      <w:bookmarkEnd w:id="364"/>
      <w:bookmarkEnd w:id="365"/>
      <w:bookmarkEnd w:id="366"/>
      <w:bookmarkEnd w:id="367"/>
    </w:p>
    <w:p>
      <w:pPr>
        <w:pStyle w:val="9"/>
        <w:tabs>
          <w:tab w:val="left" w:pos="420"/>
        </w:tabs>
        <w:rPr>
          <w:rFonts w:ascii="仿宋" w:hAnsi="仿宋" w:eastAsia="仿宋"/>
          <w:color w:val="auto"/>
          <w:highlight w:val="none"/>
        </w:rPr>
      </w:pPr>
      <w:bookmarkStart w:id="368" w:name="_Toc469384044"/>
      <w:bookmarkStart w:id="369" w:name="_Toc14605"/>
      <w:bookmarkStart w:id="370" w:name="_Toc25653670"/>
      <w:bookmarkStart w:id="371" w:name="_Toc32088"/>
      <w:r>
        <w:rPr>
          <w:rFonts w:ascii="仿宋" w:hAnsi="仿宋" w:eastAsia="仿宋" w:cs="仿宋"/>
          <w:color w:val="auto"/>
          <w:highlight w:val="none"/>
        </w:rPr>
        <w:t xml:space="preserve">60  </w:t>
      </w:r>
      <w:r>
        <w:rPr>
          <w:rFonts w:hint="eastAsia" w:ascii="仿宋" w:hAnsi="仿宋" w:eastAsia="仿宋" w:cs="仿宋"/>
          <w:color w:val="auto"/>
          <w:highlight w:val="none"/>
        </w:rPr>
        <w:t>资金计划和安排</w:t>
      </w:r>
      <w:bookmarkEnd w:id="368"/>
      <w:bookmarkEnd w:id="369"/>
      <w:bookmarkEnd w:id="370"/>
      <w:bookmarkEnd w:id="371"/>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60.1</w:t>
      </w:r>
    </w:p>
    <w:p>
      <w:pPr>
        <w:pStyle w:val="22"/>
        <w:adjustRightInd w:val="0"/>
        <w:snapToGrid w:val="0"/>
        <w:spacing w:line="360" w:lineRule="auto"/>
        <w:ind w:left="1579" w:leftChars="752"/>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24480" behindDoc="0" locked="0" layoutInCell="1" allowOverlap="1">
                <wp:simplePos x="0" y="0"/>
                <wp:positionH relativeFrom="column">
                  <wp:posOffset>-111760</wp:posOffset>
                </wp:positionH>
                <wp:positionV relativeFrom="paragraph">
                  <wp:posOffset>9525</wp:posOffset>
                </wp:positionV>
                <wp:extent cx="914400" cy="497840"/>
                <wp:effectExtent l="0" t="0" r="0" b="0"/>
                <wp:wrapNone/>
                <wp:docPr id="165" name="文本框 264"/>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a:effectLst/>
                      </wps:spPr>
                      <wps:txb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264" o:spid="_x0000_s1026" o:spt="202" type="#_x0000_t202" style="position:absolute;left:0pt;margin-left:-8.8pt;margin-top:0.75pt;height:39.2pt;width:72pt;z-index:251924480;mso-width-relative:page;mso-height-relative:page;" filled="f" stroked="f" coordsize="21600,21600" o:gfxdata="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1CqnfWAAAACAEAAA8AAAAAAAAAAQAgAAAAIgAAAGRycy9kb3du&#10;cmV2LnhtbFBLAQIUABQAAAAIAIdO4kClL/NOAQIAANgDAAAOAAAAAAAAAAEAIAAAACUBAABkcnMv&#10;ZTJvRG9jLnhtbFBLBQYAAAAABgAGAFkBAACYBQAAAAA=&#10;">
                <v:fill on="f" focussize="0,0"/>
                <v:stroke on="f"/>
                <v:imagedata o:title=""/>
                <o:lock v:ext="edit" aspectratio="f"/>
                <v:textbo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仿宋" w:hAnsi="仿宋" w:eastAsia="仿宋" w:cs="仿宋"/>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pPr>
        <w:pStyle w:val="22"/>
        <w:adjustRightInd w:val="0"/>
        <w:snapToGrid w:val="0"/>
        <w:ind w:left="1619" w:leftChars="1" w:hanging="1617" w:hangingChars="671"/>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60.2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64" name="文本框 265"/>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265"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sHe1QAAAAgBAAAPAAAAAAAAAAEAIAAAACIAAABkcnMvZG93bnJl&#10;di54bWxQSwECFAAUAAAACACHTuJAf1jMngACAADYAwAADgAAAAAAAAABACAAAAAkAQAAZHJzL2Uy&#10;b0RvYy54bWxQSwUGAAAAAAYABgBZAQAAlgUAAAAA&#10;">
                <v:fill on="f" focussize="0,0"/>
                <v:stroke on="f"/>
                <v:imagedata o:title=""/>
                <o:lock v:ext="edit" aspectratio="f"/>
                <v:textbo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仿宋" w:hAnsi="仿宋" w:eastAsia="仿宋" w:cs="仿宋"/>
          <w:color w:val="auto"/>
          <w:sz w:val="24"/>
          <w:szCs w:val="24"/>
          <w:highlight w:val="none"/>
        </w:rPr>
        <w:t>发包人在收到承包人提交的工程资金需求计划书后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天内，应根据合同约定提供已做出资金安排的合理证据，表明自己有能力按照第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条规定支付合同价款。如果发包人对资金安排作出任何变更时，应及时将变更的详情通知承包人。</w:t>
      </w:r>
    </w:p>
    <w:p>
      <w:pPr>
        <w:pStyle w:val="22"/>
        <w:tabs>
          <w:tab w:val="left" w:pos="1800"/>
        </w:tabs>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outlineLvl w:val="2"/>
        <w:rPr>
          <w:rFonts w:ascii="仿宋" w:hAnsi="仿宋" w:eastAsia="仿宋"/>
          <w:b/>
          <w:bCs/>
          <w:color w:val="auto"/>
          <w:sz w:val="24"/>
          <w:szCs w:val="24"/>
          <w:highlight w:val="none"/>
        </w:rPr>
      </w:pPr>
      <w:bookmarkStart w:id="372" w:name="_Toc469384045"/>
      <w:bookmarkStart w:id="373" w:name="_Toc19911"/>
      <w:bookmarkStart w:id="374" w:name="_Toc25653671"/>
      <w:bookmarkStart w:id="375" w:name="_Toc3161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61  </w:t>
      </w:r>
      <w:r>
        <w:rPr>
          <w:rFonts w:hint="eastAsia" w:ascii="仿宋" w:hAnsi="仿宋" w:eastAsia="仿宋" w:cs="仿宋"/>
          <w:b/>
          <w:bCs/>
          <w:color w:val="auto"/>
          <w:sz w:val="24"/>
          <w:szCs w:val="24"/>
          <w:highlight w:val="none"/>
        </w:rPr>
        <w:t>工程量</w:t>
      </w:r>
      <w:bookmarkEnd w:id="372"/>
      <w:bookmarkEnd w:id="373"/>
      <w:bookmarkEnd w:id="374"/>
      <w:bookmarkEnd w:id="375"/>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61.1</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w:t>
      </w:r>
      <w:r>
        <w:rPr>
          <w:color w:val="auto"/>
          <w:highlight w:val="none"/>
          <w:lang w:val="en-US"/>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163"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a:effectLst/>
                      </wps:spPr>
                      <wps:txb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26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uOd11AAAAAgBAAAPAAAAAAAAAAEAIAAAACIAAABkcnMvZG93bnJl&#10;di54bWxQSwECFAAUAAAACACHTuJA9IKlVgECAADYAwAADgAAAAAAAAABACAAAAAjAQAAZHJzL2Uy&#10;b0RvYy54bWxQSwUGAAAAAAYABgBZAQAAlgUAAAAA&#10;">
                <v:fill on="f" focussize="0,0"/>
                <v:stroke on="f"/>
                <v:imagedata o:title=""/>
                <o:lock v:ext="edit" aspectratio="f"/>
                <v:textbo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仿宋" w:hAnsi="仿宋" w:eastAsia="仿宋" w:cs="仿宋"/>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条规定确定合同价款的增加额。</w:t>
      </w:r>
    </w:p>
    <w:p>
      <w:pPr>
        <w:pStyle w:val="22"/>
        <w:adjustRightInd w:val="0"/>
        <w:snapToGrid w:val="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61.2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62" name="文本框 267"/>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a:effectLst/>
                      </wps:spPr>
                      <wps:txb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267"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2NEa1AAAAAgBAAAPAAAAAAAAAAEAIAAAACIAAABkcnMvZG93&#10;bnJldi54bWxQSwECFAAUAAAACACHTuJAK1rQuQQCAADZAwAADgAAAAAAAAABACAAAAAjAQAAZHJz&#10;L2Uyb0RvYy54bWxQSwUGAAAAAAYABgBZAQAAmQUAAAAA&#10;">
                <v:fill on="f" focussize="0,0"/>
                <v:stroke on="f"/>
                <v:imagedata o:title=""/>
                <o:lock v:ext="edit" aspectratio="f"/>
                <v:textbo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sz w:val="24"/>
          <w:szCs w:val="24"/>
          <w:highlight w:val="none"/>
        </w:rPr>
        <w:t>工程量清单中开列的工程量是根据合同工程施工设计图纸提供的预计工程量，不能作为承包人履行合同义务中应予完成合同工程的实际和准确工程量。</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发包人应按照承包人实际完成的应予计量的工程量与其在工程量清单中填报的单价或合价的乘积向承包人支付工程款。</w:t>
      </w:r>
    </w:p>
    <w:p>
      <w:pPr>
        <w:pStyle w:val="22"/>
        <w:adjustRightInd w:val="0"/>
        <w:snapToGrid w:val="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76" w:name="_Toc469384046"/>
      <w:bookmarkStart w:id="377" w:name="_Toc19175"/>
      <w:bookmarkStart w:id="378" w:name="_Toc25653672"/>
      <w:bookmarkStart w:id="379" w:name="_Toc1252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62  </w:t>
      </w:r>
      <w:r>
        <w:rPr>
          <w:rFonts w:hint="eastAsia" w:ascii="仿宋" w:hAnsi="仿宋" w:eastAsia="仿宋" w:cs="仿宋"/>
          <w:b/>
          <w:bCs/>
          <w:color w:val="auto"/>
          <w:sz w:val="24"/>
          <w:szCs w:val="24"/>
          <w:highlight w:val="none"/>
        </w:rPr>
        <w:t>工程计量和计价</w:t>
      </w:r>
      <w:bookmarkEnd w:id="376"/>
      <w:bookmarkEnd w:id="377"/>
      <w:bookmarkEnd w:id="378"/>
      <w:bookmarkEnd w:id="379"/>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62.1</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61" name="文本框 26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rot="0" vert="horz" wrap="square" lIns="91440" tIns="45720" rIns="91440" bIns="45720" anchor="t" anchorCtr="0" upright="1">
                        <a:noAutofit/>
                      </wps:bodyPr>
                    </wps:wsp>
                  </a:graphicData>
                </a:graphic>
              </wp:anchor>
            </w:drawing>
          </mc:Choice>
          <mc:Fallback>
            <w:pict>
              <v:shape id="文本框 268"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AesJLWAAAACAEAAA8AAAAAAAAAAQAgAAAAIgAAAGRycy9kb3du&#10;cmV2LnhtbFBLAQIUABQAAAAIAIdO4kC92ZqgAQIAANgDAAAOAAAAAAAAAAEAIAAAACUBAABkcnMv&#10;ZTJvRG9jLnhtbFBLBQYAAAAABgAGAFkBAACYBQAAAAA=&#10;">
                <v:fill on="f" focussize="0,0"/>
                <v:stroke on="f"/>
                <v:imagedata o:title=""/>
                <o:lock v:ext="edit" aspectratio="f"/>
                <v:textbo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60" name="文本框 26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rot="0" vert="horz" wrap="square" lIns="91440" tIns="45720" rIns="91440" bIns="45720" anchor="t" anchorCtr="0" upright="1">
                        <a:noAutofit/>
                      </wps:bodyPr>
                    </wps:wsp>
                  </a:graphicData>
                </a:graphic>
              </wp:anchor>
            </w:drawing>
          </mc:Choice>
          <mc:Fallback>
            <w:pict>
              <v:shape id="文本框 269"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vOwRdYAAAAIAQAADwAAAAAAAAABACAAAAAiAAAAZHJzL2Rvd25y&#10;ZXYueG1sUEsBAhQAFAAAAAgAh07iQDkGLaQAAgAA2AMAAA4AAAAAAAAAAQAgAAAAJQEAAGRycy9l&#10;Mm9Eb2MueG1sUEsFBgAAAAAGAAYAWQEAAJcFAAAAAA==&#10;">
                <v:fill on="f" focussize="0,0"/>
                <v:stroke on="f"/>
                <v:imagedata o:title=""/>
                <o:lock v:ext="edit" aspectratio="f"/>
                <v:textbox>
                  <w:txbxContent>
                    <w:p>
                      <w:pPr>
                        <w:pStyle w:val="7"/>
                        <w:spacing w:line="220" w:lineRule="exact"/>
                        <w:ind w:firstLine="392"/>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造价工程师负责工程计量和计价的核实工作。</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159" name="文本框 270"/>
                <wp:cNvGraphicFramePr/>
                <a:graphic xmlns:a="http://schemas.openxmlformats.org/drawingml/2006/main">
                  <a:graphicData uri="http://schemas.microsoft.com/office/word/2010/wordprocessingShape">
                    <wps:wsp>
                      <wps:cNvSpPr txBox="1">
                        <a:spLocks noChangeArrowheads="1"/>
                      </wps:cNvSpPr>
                      <wps:spPr bwMode="auto">
                        <a:xfrm>
                          <a:off x="0" y="0"/>
                          <a:ext cx="914400" cy="54800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270"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5H2vTUAAAACAEAAA8AAAAAAAAAAQAgAAAAIgAAAGRycy9kb3ducmV2&#10;LnhtbFBLAQIUABQAAAAIAIdO4kDr9WmwAAIAANgDAAAOAAAAAAAAAAEAIAAAACMBAABkcnMvZTJv&#10;RG9jLnhtbFBLBQYAAAAABgAGAFkBAACV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款规定向造价工程师提交已完工程款额报告。造价工程师应在收到报告后的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天内核实工程量，并将核实结果通知承包人、抄报发包人，作为工程计价和工程款支付的依据。</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58" name="文本框 271"/>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271"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OGbdUAAAAIAQAADwAAAAAAAAABACAAAAAiAAAAZHJzL2Rvd25y&#10;ZXYueG1sUEsBAhQAFAAAAAgAh07iQOjuvZs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rPr>
        <w:t>当造价工程师进行现场计量时，应在计量前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157" name="文本框 272"/>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rot="0" vert="horz" wrap="square" lIns="91440" tIns="45720" rIns="91440" bIns="45720" anchor="t" anchorCtr="0" upright="1">
                        <a:noAutofit/>
                      </wps:bodyPr>
                    </wps:wsp>
                  </a:graphicData>
                </a:graphic>
              </wp:anchor>
            </w:drawing>
          </mc:Choice>
          <mc:Fallback>
            <w:pict>
              <v:shape id="文本框 272"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v9Z9dUAAAAJAQAADwAAAAAAAAABACAAAAAiAAAAZHJzL2Rvd25y&#10;ZXYueG1sUEsBAhQAFAAAAAgAh07iQGJdagM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仿宋" w:hAnsi="仿宋" w:eastAsia="仿宋" w:cs="仿宋"/>
          <w:color w:val="auto"/>
          <w:sz w:val="24"/>
          <w:szCs w:val="24"/>
          <w:highlight w:val="none"/>
        </w:rPr>
        <w:t>造价工程师收到承包人按照第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款规定提交的已完工程款额报告后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天内，未进行计量或未向承包人通知计量结果的，从第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天起，承包人报告中开列的工程量即视为被确认，作为工程计价和工程款支付的依据。</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62.6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156"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273"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Z9UAAAAIAQAADwAAAAAAAAABACAAAAAiAAAAZHJzL2Rvd25y&#10;ZXYueG1sUEsBAhQAFAAAAAgAh07iQMG0fpw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rPr>
        <w:t>如果承包人认为造价工程师的计量结果有误，应在收到计量结果通知后的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62.7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55"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274"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FK6ZNQAAAAIAQAADwAAAAAAAAABACAAAAAiAAAAZHJzL2Rvd25y&#10;ZXYueG1sUEsBAhQAFAAAAAgAh07iQMoNDpICAgAA2AMAAA4AAAAAAAAAAQAgAAAAIw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rPr>
        <w:t>对承包人超出施工设计图纸范围或因承包人的原因造成返工的工程量，造价工程师均不予计量。</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62.8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154"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275"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r1qW1AAAAAgBAAAPAAAAAAAAAAEAIAAAACIAAABkcnMvZG93bnJl&#10;di54bWxQSwECFAAUAAAACACHTuJAkWZBewECAADYAwAADgAAAAAAAAABACAAAAAj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rPr>
        <w:t>除按照第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73</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条规定所做的调整外，每项工作所适用的单价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费率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22"/>
        <w:tabs>
          <w:tab w:val="left" w:pos="1620"/>
        </w:tabs>
        <w:adjustRightInd w:val="0"/>
        <w:snapToGrid w:val="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dstrike/>
          <w:color w:val="auto"/>
          <w:sz w:val="24"/>
          <w:szCs w:val="24"/>
          <w:highlight w:val="none"/>
        </w:rPr>
      </w:pPr>
      <w:bookmarkStart w:id="380" w:name="_Toc25653673"/>
      <w:bookmarkStart w:id="381" w:name="_Toc469384047"/>
      <w:bookmarkStart w:id="382" w:name="_Toc382"/>
      <w:bookmarkStart w:id="383" w:name="_Toc1476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63  </w:t>
      </w:r>
      <w:r>
        <w:rPr>
          <w:rFonts w:hint="eastAsia" w:ascii="仿宋" w:hAnsi="仿宋" w:eastAsia="仿宋" w:cs="仿宋"/>
          <w:b/>
          <w:bCs/>
          <w:color w:val="auto"/>
          <w:sz w:val="24"/>
          <w:szCs w:val="24"/>
          <w:highlight w:val="none"/>
        </w:rPr>
        <w:t>暂列金额</w:t>
      </w:r>
      <w:bookmarkEnd w:id="380"/>
      <w:bookmarkEnd w:id="381"/>
      <w:bookmarkEnd w:id="382"/>
      <w:bookmarkEnd w:id="38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63.1</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153"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1143000" cy="6883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rot="0" vert="horz" wrap="square" lIns="91440" tIns="45720" rIns="91440" bIns="45720" anchor="t" anchorCtr="0" upright="1">
                        <a:noAutofit/>
                      </wps:bodyPr>
                    </wps:wsp>
                  </a:graphicData>
                </a:graphic>
              </wp:anchor>
            </w:drawing>
          </mc:Choice>
          <mc:Fallback>
            <w:pict>
              <v:shape id="文本框 276"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CMM9UAAAAKAQAADwAAAAAAAAABACAAAAAiAAAAZHJzL2Rv&#10;d25yZXYueG1sUEsBAhQAFAAAAAgAh07iQBf9tS4EAgAA2QMAAA4AAAAAAAAAAQAgAAAAJAEAAGRy&#10;cy9lMm9Eb2MueG1sUEsFBgAAAAAGAAYAWQEAAJo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仿宋" w:hAnsi="仿宋" w:eastAsia="仿宋" w:cs="仿宋"/>
          <w:color w:val="auto"/>
          <w:sz w:val="24"/>
          <w:szCs w:val="24"/>
          <w:highlight w:val="none"/>
        </w:rPr>
        <w:t>合同双方当事人应在专用条款中明确工程量清单中开列的已标价的暂列金额。</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63.2  </w:t>
      </w:r>
    </w:p>
    <w:p>
      <w:pPr>
        <w:pStyle w:val="22"/>
        <w:adjustRightInd w:val="0"/>
        <w:snapToGrid w:val="0"/>
        <w:spacing w:line="360" w:lineRule="auto"/>
        <w:ind w:left="1575" w:leftChars="75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52" name="文本框 277"/>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rot="0" vert="horz" wrap="square" lIns="91440" tIns="45720" rIns="91440" bIns="45720" anchor="t" anchorCtr="0" upright="1">
                        <a:noAutofit/>
                      </wps:bodyPr>
                    </wps:wsp>
                  </a:graphicData>
                </a:graphic>
              </wp:anchor>
            </w:drawing>
          </mc:Choice>
          <mc:Fallback>
            <w:pict>
              <v:shape id="文本框 277"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LfJn9YAAAAKAQAADwAAAAAAAAABACAAAAAiAAAAZHJzL2Rv&#10;d25yZXYueG1sUEsBAhQAFAAAAAgAh07iQKGYuF4DAgAA2QMAAA4AAAAAAAAAAQAgAAAAJQEAAGRy&#10;cy9lMm9Eb2MueG1sUEsFBgAAAAAGAAYAWQEAAJo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仿宋" w:hAnsi="仿宋" w:eastAsia="仿宋" w:cs="仿宋"/>
          <w:color w:val="auto"/>
          <w:sz w:val="24"/>
          <w:szCs w:val="24"/>
          <w:highlight w:val="none"/>
        </w:rPr>
        <w:t>经发包人批准后，监理工程师应就承包人实施第</w:t>
      </w:r>
      <w:r>
        <w:rPr>
          <w:rFonts w:ascii="仿宋" w:hAnsi="仿宋" w:eastAsia="仿宋" w:cs="仿宋"/>
          <w:color w:val="auto"/>
          <w:sz w:val="24"/>
          <w:szCs w:val="24"/>
          <w:highlight w:val="none"/>
        </w:rPr>
        <w:t>63.1</w:t>
      </w:r>
      <w:r>
        <w:rPr>
          <w:rFonts w:hint="eastAsia" w:ascii="仿宋" w:hAnsi="仿宋" w:eastAsia="仿宋" w:cs="仿宋"/>
          <w:color w:val="auto"/>
          <w:sz w:val="24"/>
          <w:szCs w:val="24"/>
          <w:highlight w:val="none"/>
        </w:rPr>
        <w:t>款规定的工作发出书面指令。承包人应就此项指令提出所需价款，经造价工程师核实并由其报发包人确认后，向承包人支付相关款项。</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63.3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51" name="文本框 27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278"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8/wcNUAAAAIAQAADwAAAAAAAAABACAAAAAiAAAAZHJzL2Rvd25y&#10;ZXYueG1sUEsBAhQAFAAAAAgAh07iQBUL8Cs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rPr>
        <w:t>造价工程师有要求时，承包人应提供使用暂列金额支付项目的所有报价单、发票、账单或收据。</w:t>
      </w:r>
    </w:p>
    <w:p>
      <w:pPr>
        <w:pStyle w:val="22"/>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dstrike/>
          <w:color w:val="auto"/>
          <w:sz w:val="24"/>
          <w:szCs w:val="24"/>
          <w:highlight w:val="none"/>
        </w:rPr>
      </w:pPr>
      <w:bookmarkStart w:id="384" w:name="_Toc12960"/>
      <w:bookmarkStart w:id="385" w:name="_Toc469384048"/>
      <w:bookmarkStart w:id="386" w:name="_Toc31591"/>
      <w:bookmarkStart w:id="387" w:name="_Toc2565367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64  </w:t>
      </w:r>
      <w:r>
        <w:rPr>
          <w:rFonts w:hint="eastAsia" w:ascii="仿宋" w:hAnsi="仿宋" w:eastAsia="仿宋" w:cs="仿宋"/>
          <w:b/>
          <w:bCs/>
          <w:color w:val="auto"/>
          <w:sz w:val="24"/>
          <w:szCs w:val="24"/>
          <w:highlight w:val="none"/>
        </w:rPr>
        <w:t>计日工</w:t>
      </w:r>
      <w:bookmarkEnd w:id="384"/>
      <w:bookmarkEnd w:id="385"/>
      <w:bookmarkEnd w:id="386"/>
      <w:bookmarkEnd w:id="387"/>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64.1</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150" name="文本框 279"/>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279"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v8r0tUAAAAIAQAADwAAAAAAAAABACAAAAAiAAAAZHJzL2Rvd25y&#10;ZXYueG1sUEsBAhQAFAAAAAgAh07iQC1vFhQ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rPr>
        <w:t>承包人投标文件中填报的计日工单价或价格是用于实施发包人要求的合同以外零星工作项目所需的人工单价、材料、工程设备价格和施工设备机械台班单价。</w:t>
      </w:r>
    </w:p>
    <w:p>
      <w:pPr>
        <w:pStyle w:val="22"/>
        <w:adjustRightInd w:val="0"/>
        <w:snapToGrid w:val="0"/>
        <w:spacing w:line="48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64.2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经发包人批准后，监理工程师应就使用计日工项目发出书面指令。</w:t>
      </w:r>
      <w:r>
        <w:rPr>
          <w:color w:val="auto"/>
          <w:highlight w:val="none"/>
          <w:lang w:val="en-US"/>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149"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280"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W6Ma9YAAAAIAQAADwAAAAAAAAABACAAAAAiAAAAZHJzL2Rvd25y&#10;ZXYueG1sUEsBAhQAFAAAAAgAh07iQP2yX/MAAgAA2AMAAA4AAAAAAAAAAQAgAAAAJQ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rPr>
        <w:t>任一按照计日工方式计价的工作，承包人应在该项工作实施结束后的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小时内，向监理工程师提交有计日工记录的现场签证报告一式两份。</w:t>
      </w:r>
    </w:p>
    <w:p>
      <w:pPr>
        <w:pStyle w:val="22"/>
        <w:adjustRightInd w:val="0"/>
        <w:snapToGrid w:val="0"/>
        <w:spacing w:line="360" w:lineRule="auto"/>
        <w:ind w:left="1575" w:left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当此工作持续进行时，承包人应每天向监理工程师提交当天计日工记录完毕的现场签证报告。监理工程师在收到承包人提交现场签证报告后的</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pPr>
        <w:pStyle w:val="22"/>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64.3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148" name="文本框 28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281"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FDTn1AAAAAcBAAAPAAAAAAAAAAEAIAAAACIAAABkcnMvZG93bnJl&#10;di54bWxQSwECFAAUAAAACACHTuJAsTP5rAECAADYAwAADgAAAAAAAAABACAAAAAj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22"/>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每个支付期末，承包人应按照第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款规定向发包人提交本期间所有计日工记录的签证汇总表，以说明本期间自己认为有权得到的计日工费用。</w:t>
      </w:r>
    </w:p>
    <w:p>
      <w:pPr>
        <w:pStyle w:val="22"/>
        <w:tabs>
          <w:tab w:val="left" w:pos="540"/>
        </w:tabs>
        <w:adjustRightInd w:val="0"/>
        <w:snapToGrid w:val="0"/>
        <w:spacing w:before="312" w:beforeLines="100" w:line="360" w:lineRule="auto"/>
        <w:rPr>
          <w:rFonts w:ascii="仿宋" w:hAnsi="仿宋" w:eastAsia="仿宋"/>
          <w:b/>
          <w:bCs/>
          <w:color w:val="auto"/>
          <w:sz w:val="24"/>
          <w:szCs w:val="24"/>
          <w:highlight w:val="none"/>
        </w:rPr>
      </w:pPr>
    </w:p>
    <w:p>
      <w:pPr>
        <w:pStyle w:val="22"/>
        <w:tabs>
          <w:tab w:val="left" w:pos="540"/>
        </w:tabs>
        <w:adjustRightInd w:val="0"/>
        <w:snapToGrid w:val="0"/>
        <w:spacing w:before="312" w:beforeLines="100" w:line="360" w:lineRule="auto"/>
        <w:outlineLvl w:val="2"/>
        <w:rPr>
          <w:rFonts w:ascii="仿宋" w:hAnsi="仿宋" w:eastAsia="仿宋"/>
          <w:b/>
          <w:bCs/>
          <w:dstrike/>
          <w:color w:val="auto"/>
          <w:sz w:val="24"/>
          <w:szCs w:val="24"/>
          <w:highlight w:val="none"/>
        </w:rPr>
      </w:pPr>
      <w:bookmarkStart w:id="388" w:name="_Toc32238"/>
      <w:bookmarkStart w:id="389" w:name="_Toc25653675"/>
      <w:bookmarkStart w:id="390" w:name="_Toc8865"/>
      <w:bookmarkStart w:id="391" w:name="_Toc46938404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65  </w:t>
      </w:r>
      <w:r>
        <w:rPr>
          <w:rFonts w:hint="eastAsia" w:ascii="仿宋" w:hAnsi="仿宋" w:eastAsia="仿宋" w:cs="仿宋"/>
          <w:b/>
          <w:bCs/>
          <w:color w:val="auto"/>
          <w:sz w:val="24"/>
          <w:szCs w:val="24"/>
          <w:highlight w:val="none"/>
        </w:rPr>
        <w:t>暂估价</w:t>
      </w:r>
      <w:bookmarkEnd w:id="388"/>
      <w:bookmarkEnd w:id="389"/>
      <w:bookmarkEnd w:id="390"/>
      <w:bookmarkEnd w:id="391"/>
    </w:p>
    <w:p>
      <w:pPr>
        <w:pStyle w:val="22"/>
        <w:adjustRightInd w:val="0"/>
        <w:snapToGrid w:val="0"/>
        <w:spacing w:line="360" w:lineRule="auto"/>
        <w:ind w:left="1400" w:hanging="1400" w:hangingChars="70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147" name="文本框 282"/>
                <wp:cNvGraphicFramePr/>
                <a:graphic xmlns:a="http://schemas.openxmlformats.org/drawingml/2006/main">
                  <a:graphicData uri="http://schemas.microsoft.com/office/word/2010/wordprocessingShape">
                    <wps:wsp>
                      <wps:cNvSpPr txBox="1">
                        <a:spLocks noChangeArrowheads="1"/>
                      </wps:cNvSpPr>
                      <wps:spPr bwMode="auto">
                        <a:xfrm>
                          <a:off x="0" y="0"/>
                          <a:ext cx="1047750" cy="48387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82"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n+PjXAAAACgEAAA8AAAAAAAAAAQAgAAAAIgAAAGRycy9k&#10;b3ducmV2LnhtbFBLAQIUABQAAAAIAIdO4kA7WhmwAwIAANkDAAAOAAAAAAAAAAEAIAAAACYBAABk&#10;cnMvZTJvRG9jLnhtbFBLBQYAAAAABgAGAFkBAACb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b/>
                          <w:bCs/>
                          <w:color w:val="000000"/>
                          <w:sz w:val="18"/>
                          <w:szCs w:val="18"/>
                        </w:rPr>
                      </w:pPr>
                    </w:p>
                    <w:p>
                      <w:pPr>
                        <w:rPr>
                          <w:sz w:val="18"/>
                          <w:szCs w:val="18"/>
                        </w:rPr>
                      </w:pPr>
                    </w:p>
                  </w:txbxContent>
                </v:textbox>
              </v:shape>
            </w:pict>
          </mc:Fallback>
        </mc:AlternateContent>
      </w:r>
      <w:r>
        <w:rPr>
          <w:rFonts w:ascii="仿宋" w:hAnsi="仿宋" w:eastAsia="仿宋" w:cs="仿宋"/>
          <w:b/>
          <w:bCs/>
          <w:color w:val="auto"/>
          <w:sz w:val="24"/>
          <w:szCs w:val="24"/>
          <w:highlight w:val="none"/>
        </w:rPr>
        <w:t xml:space="preserve">65.1         </w:t>
      </w:r>
    </w:p>
    <w:p>
      <w:pPr>
        <w:pStyle w:val="22"/>
        <w:adjustRightInd w:val="0"/>
        <w:snapToGrid w:val="0"/>
        <w:spacing w:line="360" w:lineRule="auto"/>
        <w:ind w:left="1676" w:leftChars="798"/>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22"/>
        <w:adjustRightInd w:val="0"/>
        <w:snapToGrid w:val="0"/>
        <w:spacing w:line="48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43936" behindDoc="0" locked="0" layoutInCell="1" allowOverlap="1">
                <wp:simplePos x="0" y="0"/>
                <wp:positionH relativeFrom="column">
                  <wp:posOffset>-137795</wp:posOffset>
                </wp:positionH>
                <wp:positionV relativeFrom="paragraph">
                  <wp:posOffset>319405</wp:posOffset>
                </wp:positionV>
                <wp:extent cx="1028700" cy="956310"/>
                <wp:effectExtent l="0" t="0" r="0" b="0"/>
                <wp:wrapNone/>
                <wp:docPr id="146"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1028700" cy="95631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83" o:spid="_x0000_s1026" o:spt="202" type="#_x0000_t202" style="position:absolute;left:0pt;margin-left:-10.85pt;margin-top:25.15pt;height:75.3pt;width:81pt;z-index:251943936;mso-width-relative:page;mso-height-relative:page;" filled="f" stroked="f" coordsize="21600,21600" o:gfxdata="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aZel/WAAAACgEAAA8AAAAAAAAAAQAgAAAAIgAAAGRycy9k&#10;b3ducmV2LnhtbFBLAQIUABQAAAAIAIdO4kANx1CABAIAANkDAAAOAAAAAAAAAAEAIAAAACUBAABk&#10;cnMvZTJvRG9jLnhtbFBLBQYAAAAABgAGAFkBAACb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sz w:val="18"/>
                          <w:szCs w:val="18"/>
                        </w:rPr>
                      </w:pPr>
                    </w:p>
                  </w:txbxContent>
                </v:textbox>
              </v:shape>
            </w:pict>
          </mc:Fallback>
        </mc:AlternateContent>
      </w:r>
      <w:r>
        <w:rPr>
          <w:rFonts w:ascii="仿宋" w:hAnsi="仿宋" w:eastAsia="仿宋" w:cs="仿宋"/>
          <w:b/>
          <w:bCs/>
          <w:color w:val="auto"/>
          <w:sz w:val="24"/>
          <w:szCs w:val="24"/>
          <w:highlight w:val="none"/>
        </w:rPr>
        <w:t xml:space="preserve">65.2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发包人在工程量清单中给定暂估价的材料和工程设备，未达到依法必须招标的规模、标准的，由承包人按照第</w:t>
      </w:r>
      <w:r>
        <w:rPr>
          <w:rFonts w:ascii="仿宋" w:hAnsi="仿宋" w:eastAsia="仿宋" w:cs="仿宋"/>
          <w:color w:val="auto"/>
          <w:sz w:val="24"/>
          <w:szCs w:val="24"/>
          <w:highlight w:val="none"/>
        </w:rPr>
        <w:t>49</w:t>
      </w:r>
      <w:r>
        <w:rPr>
          <w:rFonts w:hint="eastAsia" w:ascii="仿宋" w:hAnsi="仿宋" w:eastAsia="仿宋" w:cs="仿宋"/>
          <w:color w:val="auto"/>
          <w:sz w:val="24"/>
          <w:szCs w:val="24"/>
          <w:highlight w:val="none"/>
        </w:rPr>
        <w:t>条规定采购。经造价工程师确认的材料和工程设备价格与工程量清单中所列的暂估价的差额以及相应的规费、税金等其他费用，应列入合同价款。</w:t>
      </w:r>
    </w:p>
    <w:p>
      <w:pPr>
        <w:pStyle w:val="22"/>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65.3  </w:t>
      </w:r>
    </w:p>
    <w:p>
      <w:pPr>
        <w:pStyle w:val="22"/>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145"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1028700" cy="86360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rot="0" vert="horz" wrap="square" lIns="91440" tIns="45720" rIns="91440" bIns="45720" anchor="t" anchorCtr="0" upright="1">
                        <a:noAutofit/>
                      </wps:bodyPr>
                    </wps:wsp>
                  </a:graphicData>
                </a:graphic>
              </wp:anchor>
            </w:drawing>
          </mc:Choice>
          <mc:Fallback>
            <w:pict>
              <v:shape id="文本框 284"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3/6P1wAAAAoBAAAPAAAAAAAAAAEAIAAAACIAAABkcnMvZG93&#10;bnJldi54bWxQSwECFAAUAAAACACHTuJAM6XD2gECAADZAwAADgAAAAAAAAABACAAAAAm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仿宋" w:hAnsi="仿宋" w:eastAsia="仿宋" w:cs="仿宋"/>
          <w:color w:val="auto"/>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款规定确定专业工程款。经确认的专业工程款与工程量清单中所列的暂估价的差额以及相应的规费、税金等其他费用，应列入合同价款。</w:t>
      </w:r>
    </w:p>
    <w:p>
      <w:pPr>
        <w:pStyle w:val="22"/>
        <w:tabs>
          <w:tab w:val="left" w:pos="3038"/>
        </w:tabs>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392" w:name="_Toc469384050"/>
      <w:bookmarkStart w:id="393" w:name="_Toc545"/>
      <w:bookmarkStart w:id="394" w:name="_Toc25653676"/>
      <w:bookmarkStart w:id="395" w:name="_Toc1965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66  </w:t>
      </w:r>
      <w:r>
        <w:rPr>
          <w:rFonts w:hint="eastAsia" w:ascii="仿宋" w:hAnsi="仿宋" w:eastAsia="仿宋" w:cs="仿宋"/>
          <w:b/>
          <w:bCs/>
          <w:color w:val="auto"/>
          <w:sz w:val="24"/>
          <w:szCs w:val="24"/>
          <w:highlight w:val="none"/>
        </w:rPr>
        <w:t>提前竣工奖与误期赔偿费</w:t>
      </w:r>
      <w:bookmarkEnd w:id="392"/>
      <w:bookmarkEnd w:id="393"/>
      <w:bookmarkEnd w:id="394"/>
      <w:bookmarkEnd w:id="395"/>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66.1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44" name="文本框 285"/>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285"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NERvVAAAACAEAAA8AAAAAAAAAAQAgAAAAIgAAAGRycy9kb3du&#10;cmV2LnhtbFBLAQIUABQAAAAIAIdO4kDYuwufAgIAANkDAAAOAAAAAAAAAAEAIAAAACQBAABkcnMv&#10;ZTJvRG9jLnhtbFBLBQYAAAAABgAGAFkBAACY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。提前竣工奖列入竣工结算文件中，与结算款一并支付。</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66.2  </w:t>
      </w:r>
    </w:p>
    <w:p>
      <w:pPr>
        <w:pStyle w:val="22"/>
        <w:adjustRightInd w:val="0"/>
        <w:snapToGrid w:val="0"/>
        <w:spacing w:line="460" w:lineRule="exact"/>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43" name="文本框 286"/>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28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TSSmdQAAAAIAQAADwAAAAAAAAABACAAAAAiAAAAZHJzL2Rvd25y&#10;ZXYueG1sUEsBAhQAFAAAAAgAh07iQO7+Mg4CAgAA2AMAAA4AAAAAAAAAAQAgAAAAIw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。误期赔偿费列入进度支付文件或竣工结算文件中，在进度款或结算款中扣除。</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22"/>
        <w:adjustRightInd w:val="0"/>
        <w:snapToGrid w:val="0"/>
        <w:spacing w:line="360" w:lineRule="auto"/>
        <w:ind w:right="-238"/>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outlineLvl w:val="2"/>
        <w:rPr>
          <w:rFonts w:ascii="仿宋" w:hAnsi="仿宋" w:eastAsia="仿宋"/>
          <w:b/>
          <w:bCs/>
          <w:color w:val="auto"/>
          <w:sz w:val="24"/>
          <w:szCs w:val="24"/>
          <w:highlight w:val="none"/>
        </w:rPr>
      </w:pPr>
      <w:bookmarkStart w:id="396" w:name="_Toc25653677"/>
      <w:bookmarkStart w:id="397" w:name="_Toc469384051"/>
      <w:bookmarkStart w:id="398" w:name="_Toc10078"/>
      <w:bookmarkStart w:id="399" w:name="_Toc2183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67  </w:t>
      </w:r>
      <w:r>
        <w:rPr>
          <w:rFonts w:hint="eastAsia" w:ascii="仿宋" w:hAnsi="仿宋" w:eastAsia="仿宋" w:cs="仿宋"/>
          <w:b/>
          <w:bCs/>
          <w:color w:val="auto"/>
          <w:sz w:val="24"/>
          <w:szCs w:val="24"/>
          <w:highlight w:val="none"/>
        </w:rPr>
        <w:t>工程优质费</w:t>
      </w:r>
      <w:bookmarkEnd w:id="396"/>
      <w:bookmarkEnd w:id="397"/>
      <w:bookmarkEnd w:id="398"/>
      <w:bookmarkEnd w:id="399"/>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67.1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42" name="文本框 287"/>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rot="0" vert="horz" wrap="square" lIns="91440" tIns="45720" rIns="91440" bIns="45720" anchor="t" anchorCtr="0" upright="1">
                        <a:noAutofit/>
                      </wps:bodyPr>
                    </wps:wsp>
                  </a:graphicData>
                </a:graphic>
              </wp:anchor>
            </w:drawing>
          </mc:Choice>
          <mc:Fallback>
            <w:pict>
              <v:shape id="文本框 287"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Xf1wNQAAAAIAQAADwAAAAAAAAABACAAAAAiAAAAZHJzL2Rvd25y&#10;ZXYueG1sUEsBAhQAFAAAAAgAh07iQBIKzTACAgAA2QMAAA4AAAAAAAAAAQAgAAAAIw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仿宋" w:hAnsi="仿宋" w:eastAsia="仿宋" w:cs="仿宋"/>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22"/>
        <w:adjustRightInd w:val="0"/>
        <w:snapToGrid w:val="0"/>
        <w:spacing w:line="48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141" name="文本框 288"/>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rot="0" vert="horz" wrap="square" lIns="91440" tIns="45720" rIns="91440" bIns="45720" anchor="t" anchorCtr="0" upright="1">
                        <a:noAutofit/>
                      </wps:bodyPr>
                    </wps:wsp>
                  </a:graphicData>
                </a:graphic>
              </wp:anchor>
            </w:drawing>
          </mc:Choice>
          <mc:Fallback>
            <w:pict>
              <v:shape id="文本框 288"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7z1s2AAAAAoBAAAPAAAAAAAAAAEAIAAAACIAAABkcnMvZG93&#10;bnJldi54bWxQSwECFAAUAAAACACHTuJAsfqAzgACAADYAwAADgAAAAAAAAABACAAAAAn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ascii="仿宋" w:hAnsi="仿宋" w:eastAsia="仿宋" w:cs="仿宋"/>
          <w:b/>
          <w:bCs/>
          <w:color w:val="auto"/>
          <w:sz w:val="24"/>
          <w:szCs w:val="24"/>
          <w:highlight w:val="none"/>
        </w:rPr>
        <w:t xml:space="preserve">67.2  </w:t>
      </w:r>
    </w:p>
    <w:p>
      <w:pPr>
        <w:pStyle w:val="22"/>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pPr>
        <w:pStyle w:val="22"/>
        <w:adjustRightInd w:val="0"/>
        <w:snapToGrid w:val="0"/>
        <w:spacing w:line="240" w:lineRule="exact"/>
        <w:jc w:val="left"/>
        <w:rPr>
          <w:rFonts w:ascii="仿宋" w:hAnsi="仿宋" w:eastAsia="仿宋"/>
          <w:b/>
          <w:bCs/>
          <w:color w:val="auto"/>
          <w:sz w:val="24"/>
          <w:szCs w:val="24"/>
          <w:highlight w:val="non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00" w:name="_Toc8936"/>
      <w:bookmarkStart w:id="401" w:name="_Toc25653678"/>
      <w:bookmarkStart w:id="402" w:name="_Toc17992"/>
      <w:bookmarkStart w:id="403" w:name="_Toc46938405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68  </w:t>
      </w:r>
      <w:r>
        <w:rPr>
          <w:rFonts w:hint="eastAsia" w:ascii="仿宋" w:hAnsi="仿宋" w:eastAsia="仿宋" w:cs="仿宋"/>
          <w:b/>
          <w:bCs/>
          <w:color w:val="auto"/>
          <w:sz w:val="24"/>
          <w:szCs w:val="24"/>
          <w:highlight w:val="none"/>
        </w:rPr>
        <w:t>合同价款的约定与调整</w:t>
      </w:r>
      <w:bookmarkEnd w:id="400"/>
      <w:bookmarkEnd w:id="401"/>
      <w:bookmarkEnd w:id="402"/>
      <w:bookmarkEnd w:id="403"/>
    </w:p>
    <w:p>
      <w:pPr>
        <w:pStyle w:val="22"/>
        <w:adjustRightInd w:val="0"/>
        <w:snapToGrid w:val="0"/>
        <w:spacing w:line="360" w:lineRule="auto"/>
        <w:ind w:left="1446" w:hanging="1446" w:hangingChars="60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68.1       </w:t>
      </w:r>
    </w:p>
    <w:p>
      <w:pPr>
        <w:pStyle w:val="22"/>
        <w:adjustRightInd w:val="0"/>
        <w:snapToGrid w:val="0"/>
        <w:spacing w:line="360" w:lineRule="auto"/>
        <w:ind w:left="1438" w:leftChars="685" w:firstLine="24" w:firstLineChars="1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140"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rot="0" vert="horz" wrap="square" lIns="91440" tIns="45720" rIns="91440" bIns="45720" anchor="t" anchorCtr="0" upright="1">
                        <a:noAutofit/>
                      </wps:bodyPr>
                    </wps:wsp>
                  </a:graphicData>
                </a:graphic>
              </wp:anchor>
            </w:drawing>
          </mc:Choice>
          <mc:Fallback>
            <w:pict>
              <v:shape id="文本框 289"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VkIb1QAAAAgBAAAPAAAAAAAAAAEAIAAAACIAAABkcnMvZG93&#10;bnJldi54bWxQSwECFAAUAAAACACHTuJAHJjRbwMCAADZAwAADgAAAAAAAAABACAAAAAk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仿宋" w:hAnsi="仿宋" w:eastAsia="仿宋" w:cs="仿宋"/>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22"/>
        <w:adjustRightInd w:val="0"/>
        <w:snapToGrid w:val="0"/>
        <w:spacing w:line="480" w:lineRule="auto"/>
        <w:rPr>
          <w:rFonts w:ascii="仿宋" w:hAnsi="仿宋" w:eastAsia="仿宋" w:cs="仿宋"/>
          <w:color w:val="auto"/>
          <w:sz w:val="24"/>
          <w:szCs w:val="24"/>
          <w:highlight w:val="none"/>
          <w:u w:val="dotted"/>
        </w:rPr>
      </w:pPr>
      <w:r>
        <w:rPr>
          <w:color w:val="auto"/>
          <w:highlight w:val="none"/>
          <w:lang w:val="en-US"/>
        </w:rPr>
        <mc:AlternateContent>
          <mc:Choice Requires="wps">
            <w:drawing>
              <wp:anchor distT="0" distB="0" distL="114300" distR="114300" simplePos="0" relativeHeight="251951104" behindDoc="0" locked="0" layoutInCell="1" allowOverlap="1">
                <wp:simplePos x="0" y="0"/>
                <wp:positionH relativeFrom="column">
                  <wp:posOffset>-146685</wp:posOffset>
                </wp:positionH>
                <wp:positionV relativeFrom="paragraph">
                  <wp:posOffset>346710</wp:posOffset>
                </wp:positionV>
                <wp:extent cx="726440" cy="483235"/>
                <wp:effectExtent l="0" t="0" r="0" b="0"/>
                <wp:wrapNone/>
                <wp:docPr id="139"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a:effectLst/>
                      </wps:spPr>
                      <wps:txbx>
                        <w:txbxContent>
                          <w:p>
                            <w:pPr>
                              <w:pStyle w:val="2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rot="0" vert="horz" wrap="square" lIns="91440" tIns="45720" rIns="91440" bIns="45720" anchor="t" anchorCtr="0" upright="1">
                        <a:noAutofit/>
                      </wps:bodyPr>
                    </wps:wsp>
                  </a:graphicData>
                </a:graphic>
              </wp:anchor>
            </w:drawing>
          </mc:Choice>
          <mc:Fallback>
            <w:pict>
              <v:shape id="文本框 290" o:spid="_x0000_s1026" o:spt="202" type="#_x0000_t202" style="position:absolute;left:0pt;margin-left:-11.55pt;margin-top:27.3pt;height:38.05pt;width:57.2pt;z-index:251951104;mso-width-relative:page;mso-height-relative:page;" filled="f" stroked="f" coordsize="21600,21600" o:gfxdata="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5vpE1wAAAAkBAAAPAAAAAAAAAAEAIAAAACIAAABkcnMvZG93&#10;bnJldi54bWxQSwECFAAUAAAACACHTuJA48QVUAECAADYAwAADgAAAAAAAAABACAAAAAm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ascii="仿宋" w:hAnsi="仿宋" w:eastAsia="仿宋" w:cs="仿宋"/>
          <w:color w:val="auto"/>
          <w:sz w:val="24"/>
          <w:szCs w:val="24"/>
          <w:highlight w:val="none"/>
        </w:rPr>
        <w:t xml:space="preserve">68.2  </w:t>
      </w:r>
    </w:p>
    <w:p>
      <w:pPr>
        <w:pStyle w:val="22"/>
        <w:adjustRightInd w:val="0"/>
        <w:snapToGrid w:val="0"/>
        <w:spacing w:line="360" w:lineRule="auto"/>
        <w:ind w:left="1677" w:leftChars="684" w:hanging="241" w:hangingChars="10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下列各种确定合同价款的方式，双方可在专用条款内约定采用其中一种：</w:t>
      </w:r>
    </w:p>
    <w:p>
      <w:pPr>
        <w:pStyle w:val="22"/>
        <w:adjustRightInd w:val="0"/>
        <w:snapToGrid w:val="0"/>
        <w:spacing w:line="360" w:lineRule="auto"/>
        <w:ind w:left="1515" w:leftChars="683" w:hanging="81" w:hangingChars="34"/>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ascii="仿宋" w:hAnsi="仿宋" w:eastAsia="仿宋" w:cs="仿宋"/>
          <w:color w:val="auto"/>
          <w:sz w:val="24"/>
          <w:szCs w:val="24"/>
          <w:highlight w:val="none"/>
        </w:rPr>
        <w:t>。</w:t>
      </w:r>
    </w:p>
    <w:p>
      <w:pPr>
        <w:pStyle w:val="22"/>
        <w:adjustRightInd w:val="0"/>
        <w:snapToGrid w:val="0"/>
        <w:spacing w:line="36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单价合同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ascii="仿宋" w:hAnsi="仿宋" w:eastAsia="仿宋" w:cs="仿宋"/>
          <w:color w:val="auto"/>
          <w:sz w:val="24"/>
          <w:szCs w:val="24"/>
          <w:highlight w:val="none"/>
        </w:rPr>
        <w:t>。</w:t>
      </w:r>
    </w:p>
    <w:p>
      <w:pPr>
        <w:spacing w:line="360" w:lineRule="auto"/>
        <w:ind w:left="1535" w:leftChars="674" w:hanging="120" w:hangingChars="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3）按实结算合同</w:t>
      </w:r>
      <w:r>
        <w:rPr>
          <w:rFonts w:hint="eastAsia" w:ascii="仿宋" w:hAnsi="仿宋" w:eastAsia="仿宋" w:cs="仿宋"/>
          <w:color w:val="auto"/>
          <w:sz w:val="24"/>
          <w:szCs w:val="24"/>
          <w:highlight w:val="none"/>
        </w:rPr>
        <w:t>。承包方根据相关资料编制预算，合同价款是暂定价，双方在专用条款内</w:t>
      </w:r>
      <w:r>
        <w:rPr>
          <w:rFonts w:ascii="仿宋" w:hAnsi="仿宋" w:eastAsia="仿宋" w:cs="仿宋"/>
          <w:color w:val="auto"/>
          <w:sz w:val="24"/>
          <w:szCs w:val="24"/>
          <w:highlight w:val="none"/>
        </w:rPr>
        <w:t>约定</w:t>
      </w:r>
      <w:r>
        <w:rPr>
          <w:rFonts w:hint="eastAsia" w:ascii="仿宋" w:hAnsi="仿宋" w:eastAsia="仿宋" w:cs="仿宋"/>
          <w:color w:val="auto"/>
          <w:sz w:val="24"/>
          <w:szCs w:val="24"/>
          <w:highlight w:val="none"/>
        </w:rPr>
        <w:t>合同价款调整方法</w:t>
      </w:r>
      <w:r>
        <w:rPr>
          <w:rFonts w:ascii="仿宋" w:hAnsi="仿宋" w:eastAsia="仿宋" w:cs="仿宋"/>
          <w:color w:val="auto"/>
          <w:sz w:val="24"/>
          <w:szCs w:val="24"/>
          <w:highlight w:val="none"/>
        </w:rPr>
        <w:t>。</w:t>
      </w:r>
    </w:p>
    <w:p>
      <w:pPr>
        <w:pStyle w:val="22"/>
        <w:adjustRightInd w:val="0"/>
        <w:snapToGrid w:val="0"/>
        <w:spacing w:line="36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4）其它价格形式</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合同当事人可在专用条款中约定其他合同价格形式。</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68.3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38"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rot="0" vert="horz" wrap="square" lIns="91440" tIns="45720" rIns="91440" bIns="45720" anchor="t" anchorCtr="0" upright="1">
                        <a:noAutofit/>
                      </wps:bodyPr>
                    </wps:wsp>
                  </a:graphicData>
                </a:graphic>
              </wp:anchor>
            </w:drawing>
          </mc:Choice>
          <mc:Fallback>
            <w:pict>
              <v:shape id="文本框 291"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7hr+9MAAAAHAQAADwAAAAAAAAABACAAAAAiAAAAZHJzL2Rvd25yZXYu&#10;eG1sUEsBAhQAFAAAAAgAh07iQJ4PGX8AAgAA2AMAAA4AAAAAAAAAAQAgAAAAIgEAAGRycy9lMm9E&#10;b2MueG1sUEsFBgAAAAAGAAYAWQEAAJQ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仿宋" w:hAnsi="仿宋" w:eastAsia="仿宋" w:cs="仿宋"/>
          <w:b/>
          <w:bCs/>
          <w:color w:val="auto"/>
          <w:sz w:val="24"/>
          <w:szCs w:val="24"/>
          <w:highlight w:val="none"/>
        </w:rPr>
        <w:t>合同双方当事人应明确合同价款的调整事件。除专用条款另有约定外，调整事件应包括：</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后继法律变化事件；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项目特征描述不符事件；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分部分项工程量清单缺项漏项事件；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工程变更事件；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工程量偏差事件；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费用索赔事件；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现场签证事件；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物价涨落事件；</w:t>
      </w:r>
    </w:p>
    <w:p>
      <w:pPr>
        <w:pStyle w:val="22"/>
        <w:numPr>
          <w:ilvl w:val="0"/>
          <w:numId w:val="25"/>
        </w:numPr>
        <w:adjustRightInd w:val="0"/>
        <w:snapToGrid w:val="0"/>
        <w:spacing w:line="360" w:lineRule="auto"/>
        <w:ind w:firstLine="420"/>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专用条款约定的其他事件。</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本款</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调整事件应分别按照第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条的规定调整合同价款。</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68.4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37"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a:effectLst/>
                      </wps:spPr>
                      <wps:txbx>
                        <w:txbxContent>
                          <w:p>
                            <w:pPr>
                              <w:pStyle w:val="20"/>
                              <w:spacing w:line="200" w:lineRule="exact"/>
                              <w:rPr>
                                <w:sz w:val="18"/>
                                <w:szCs w:val="18"/>
                              </w:rPr>
                            </w:pPr>
                            <w:r>
                              <w:rPr>
                                <w:rFonts w:hint="eastAsia" w:ascii="楷体_GB2312" w:hAnsi="宋体" w:eastAsia="楷体_GB2312" w:cs="楷体_GB2312"/>
                                <w:b/>
                                <w:bCs/>
                                <w:color w:val="000000"/>
                                <w:sz w:val="18"/>
                                <w:szCs w:val="18"/>
                              </w:rPr>
                              <w:t>调整合同价款</w:t>
                            </w:r>
                          </w:p>
                        </w:txbxContent>
                      </wps:txbx>
                      <wps:bodyPr rot="0" vert="horz" wrap="square" lIns="91440" tIns="45720" rIns="91440" bIns="45720" anchor="t" anchorCtr="0" upright="1">
                        <a:noAutofit/>
                      </wps:bodyPr>
                    </wps:wsp>
                  </a:graphicData>
                </a:graphic>
              </wp:anchor>
            </w:drawing>
          </mc:Choice>
          <mc:Fallback>
            <w:pict>
              <v:shape id="文本框 292"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O4a/vTAAAABwEAAA8AAAAAAAAAAQAgAAAAIgAAAGRycy9kb3ducmV2&#10;LnhtbFBLAQIUABQAAAAIAIdO4kCjarWGAQIAANgDAAAOAAAAAAAAAAEAIAAAACIBAABkcnMvZTJv&#10;RG9jLnhtbFBLBQYAAAAABgAGAFkBAACVBQAAAAA=&#10;">
                <v:fill on="f" focussize="0,0"/>
                <v:stroke on="f"/>
                <v:imagedata o:title=""/>
                <o:lock v:ext="edit" aspectratio="f"/>
                <v:textbox>
                  <w:txbxContent>
                    <w:p>
                      <w:pPr>
                        <w:pStyle w:val="20"/>
                        <w:spacing w:line="200" w:lineRule="exact"/>
                        <w:rPr>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款规定调整合同价款事件的，合同双方当事人应调整合同价款。除费用索赔、现场签证事件分别按照第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条规定外，调整合同价款的提出、核实、确认与支付等事项，由合同双方当事人按照第</w:t>
      </w:r>
      <w:r>
        <w:rPr>
          <w:rFonts w:ascii="仿宋" w:hAnsi="仿宋" w:eastAsia="仿宋" w:cs="仿宋"/>
          <w:color w:val="auto"/>
          <w:sz w:val="24"/>
          <w:szCs w:val="24"/>
          <w:highlight w:val="none"/>
        </w:rPr>
        <w:t>77</w:t>
      </w:r>
      <w:r>
        <w:rPr>
          <w:rFonts w:hint="eastAsia" w:ascii="仿宋" w:hAnsi="仿宋" w:eastAsia="仿宋" w:cs="仿宋"/>
          <w:color w:val="auto"/>
          <w:sz w:val="24"/>
          <w:szCs w:val="24"/>
          <w:highlight w:val="none"/>
        </w:rPr>
        <w:t>条规定办理。</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款规定事件调整合同价款，如果是按照第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条规定由发包人自行供应或发包人招标、承包人采购材料和工程设备的，均不应考虑第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款规定的承包人报价下浮率因素。</w:t>
      </w:r>
    </w:p>
    <w:p>
      <w:pPr>
        <w:pStyle w:val="22"/>
        <w:tabs>
          <w:tab w:val="left" w:pos="3480"/>
        </w:tabs>
        <w:adjustRightInd w:val="0"/>
        <w:snapToGrid w:val="0"/>
        <w:spacing w:line="360" w:lineRule="exact"/>
        <w:rPr>
          <w:rFonts w:ascii="仿宋" w:hAnsi="仿宋" w:eastAsia="仿宋" w:cs="仿宋"/>
          <w:b/>
          <w:bCs/>
          <w:color w:val="auto"/>
          <w:sz w:val="24"/>
          <w:szCs w:val="24"/>
          <w:highlight w:val="none"/>
          <w:u w:val="single"/>
        </w:rPr>
      </w:pPr>
    </w:p>
    <w:p>
      <w:pPr>
        <w:pStyle w:val="9"/>
        <w:tabs>
          <w:tab w:val="left" w:pos="420"/>
        </w:tabs>
        <w:rPr>
          <w:rFonts w:ascii="仿宋" w:hAnsi="仿宋" w:eastAsia="仿宋"/>
          <w:color w:val="auto"/>
          <w:highlight w:val="none"/>
        </w:rPr>
      </w:pPr>
      <w:bookmarkStart w:id="404" w:name="_Toc469384053"/>
      <w:bookmarkStart w:id="405" w:name="_Toc25653679"/>
      <w:bookmarkStart w:id="406" w:name="_Toc13722"/>
      <w:bookmarkStart w:id="407" w:name="_Toc11340"/>
      <w:r>
        <w:rPr>
          <w:rFonts w:hint="eastAsia" w:ascii="仿宋" w:hAnsi="仿宋" w:eastAsia="仿宋" w:cs="仿宋"/>
          <w:b/>
          <w:bCs/>
          <w:color w:val="auto"/>
          <w:highlight w:val="none"/>
        </w:rPr>
        <w:t>★</w:t>
      </w:r>
      <w:r>
        <w:rPr>
          <w:rFonts w:ascii="仿宋" w:hAnsi="仿宋" w:eastAsia="仿宋" w:cs="仿宋"/>
          <w:color w:val="auto"/>
          <w:highlight w:val="none"/>
        </w:rPr>
        <w:t xml:space="preserve">69  </w:t>
      </w:r>
      <w:r>
        <w:rPr>
          <w:rFonts w:hint="eastAsia" w:ascii="仿宋" w:hAnsi="仿宋" w:eastAsia="仿宋" w:cs="仿宋"/>
          <w:color w:val="auto"/>
          <w:highlight w:val="none"/>
        </w:rPr>
        <w:t>后继法律变化事件</w:t>
      </w:r>
      <w:bookmarkEnd w:id="404"/>
      <w:bookmarkEnd w:id="405"/>
      <w:bookmarkEnd w:id="406"/>
      <w:bookmarkEnd w:id="407"/>
    </w:p>
    <w:p>
      <w:pPr>
        <w:pStyle w:val="22"/>
        <w:adjustRightInd w:val="0"/>
        <w:snapToGrid w:val="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36" name="文本框 293"/>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293"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dgAc1wAAAAoBAAAPAAAAAAAAAAEAIAAAACIAAABkcnMvZG93&#10;bnJldi54bWxQSwECFAAUAAAACACHTuJAhV34CgECAADYAwAADgAAAAAAAAABACAAAAAm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ascii="仿宋" w:hAnsi="仿宋" w:eastAsia="仿宋" w:cs="仿宋"/>
          <w:b/>
          <w:bCs/>
          <w:color w:val="auto"/>
          <w:sz w:val="24"/>
          <w:szCs w:val="24"/>
          <w:highlight w:val="none"/>
        </w:rPr>
        <w:t xml:space="preserve">69.1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合同履行期间，出现国家或省颁布的法律和政策在合同工程基准日期后发生变化，且因执行上述法律和政策引起除第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条规定以外的工程造价增减事件的，合同双方当事人应调整合同价款。</w:t>
      </w:r>
    </w:p>
    <w:p>
      <w:pPr>
        <w:pStyle w:val="22"/>
        <w:tabs>
          <w:tab w:val="left" w:pos="54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69.2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35"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294"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gMB9UAAAAJAQAADwAAAAAAAAABACAAAAAiAAAAZHJzL2Rvd25y&#10;ZXYueG1sUEsBAhQAFAAAAAgAh07iQElC/PA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69.1</w:t>
      </w:r>
      <w:r>
        <w:rPr>
          <w:rFonts w:hint="eastAsia" w:ascii="仿宋" w:hAnsi="仿宋" w:eastAsia="仿宋" w:cs="仿宋"/>
          <w:color w:val="auto"/>
          <w:sz w:val="24"/>
          <w:szCs w:val="24"/>
          <w:highlight w:val="none"/>
        </w:rPr>
        <w:t>款情况的，应根据合同工程实际情况，按照上述法律和政策规定计算调整的合同价款。</w:t>
      </w:r>
    </w:p>
    <w:p>
      <w:pPr>
        <w:tabs>
          <w:tab w:val="left" w:pos="1620"/>
        </w:tabs>
        <w:spacing w:line="360" w:lineRule="auto"/>
        <w:rPr>
          <w:rFonts w:ascii="仿宋" w:hAnsi="仿宋" w:eastAsia="仿宋"/>
          <w:b/>
          <w:bCs/>
          <w:color w:val="auto"/>
          <w:sz w:val="24"/>
          <w:szCs w:val="24"/>
          <w:highlight w:val="none"/>
          <w:u w:val="single"/>
        </w:rPr>
      </w:pPr>
    </w:p>
    <w:p>
      <w:pPr>
        <w:pStyle w:val="9"/>
        <w:tabs>
          <w:tab w:val="left" w:pos="420"/>
        </w:tabs>
        <w:rPr>
          <w:rFonts w:ascii="仿宋" w:hAnsi="仿宋" w:eastAsia="仿宋"/>
          <w:b/>
          <w:bCs/>
          <w:color w:val="auto"/>
          <w:highlight w:val="none"/>
        </w:rPr>
      </w:pPr>
      <w:bookmarkStart w:id="408" w:name="_Toc582"/>
      <w:bookmarkStart w:id="409" w:name="_Toc469384054"/>
      <w:bookmarkStart w:id="410" w:name="_Toc23455"/>
      <w:bookmarkStart w:id="411" w:name="_Toc25653680"/>
      <w:r>
        <w:rPr>
          <w:rFonts w:hint="eastAsia" w:ascii="仿宋" w:hAnsi="仿宋" w:eastAsia="仿宋" w:cs="仿宋"/>
          <w:b/>
          <w:bCs/>
          <w:color w:val="auto"/>
          <w:highlight w:val="none"/>
        </w:rPr>
        <w:t>★</w:t>
      </w:r>
      <w:r>
        <w:rPr>
          <w:rFonts w:ascii="仿宋" w:hAnsi="仿宋" w:eastAsia="仿宋" w:cs="仿宋"/>
          <w:bCs/>
          <w:color w:val="auto"/>
          <w:highlight w:val="none"/>
        </w:rPr>
        <w:t xml:space="preserve">70  </w:t>
      </w:r>
      <w:r>
        <w:rPr>
          <w:rFonts w:hint="eastAsia" w:ascii="仿宋" w:hAnsi="仿宋" w:eastAsia="仿宋" w:cs="仿宋"/>
          <w:bCs/>
          <w:color w:val="auto"/>
          <w:highlight w:val="none"/>
        </w:rPr>
        <w:t>项目特征描述不符事件</w:t>
      </w:r>
      <w:bookmarkEnd w:id="408"/>
      <w:bookmarkEnd w:id="409"/>
      <w:bookmarkEnd w:id="410"/>
      <w:bookmarkEnd w:id="411"/>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34"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rot="0" vert="horz" wrap="square" lIns="91440" tIns="45720" rIns="91440" bIns="45720" anchor="t" anchorCtr="0" upright="1">
                        <a:noAutofit/>
                      </wps:bodyPr>
                    </wps:wsp>
                  </a:graphicData>
                </a:graphic>
              </wp:anchor>
            </w:drawing>
          </mc:Choice>
          <mc:Fallback>
            <w:pict>
              <v:shape id="文本框 295"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JKYXWAAAACQEAAA8AAAAAAAAAAQAgAAAAIgAAAGRycy9kb3du&#10;cmV2LnhtbFBLAQIUABQAAAAIAIdO4kDNnUv0AQIAANgDAAAOAAAAAAAAAAEAIAAAACUBAABkcnMv&#10;ZTJvRG9jLnhtbFBLBQYAAAAABgAGAFkBAACY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仿宋" w:hAnsi="仿宋" w:eastAsia="仿宋" w:cs="仿宋"/>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22"/>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70.2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33"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35"/>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9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3/+R1AAAAAcBAAAPAAAAAAAAAAEAIAAAACIAAABkcnMvZG93bnJl&#10;di54bWxQSwECFAAUAAAACACHTuJAEfyQHAECAADYAwAADgAAAAAAAAABACAAAAAj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35"/>
                        <w:spacing w:line="200" w:lineRule="exact"/>
                        <w:ind w:firstLine="392"/>
                        <w:rPr>
                          <w:sz w:val="18"/>
                          <w:szCs w:val="18"/>
                        </w:rPr>
                      </w:pPr>
                    </w:p>
                  </w:txbxContent>
                </v:textbox>
              </v:shape>
            </w:pict>
          </mc:Fallback>
        </mc:AlternateContent>
      </w:r>
      <w:r>
        <w:rPr>
          <w:rFonts w:hint="eastAsia" w:ascii="仿宋" w:hAnsi="仿宋" w:eastAsia="仿宋" w:cs="仿宋"/>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pPr>
        <w:pStyle w:val="22"/>
        <w:adjustRightInd w:val="0"/>
        <w:snapToGrid w:val="0"/>
        <w:spacing w:line="48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32"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color w:val="FF0000"/>
                                <w:szCs w:val="24"/>
                              </w:rPr>
                            </w:pPr>
                            <w:r>
                              <w:rPr>
                                <w:rFonts w:hint="eastAsia" w:ascii="楷体_GB2312" w:hAnsi="宋体" w:eastAsia="楷体_GB2312" w:cs="楷体_GB2312"/>
                                <w:b/>
                                <w:bCs/>
                                <w:color w:val="000000"/>
                                <w:sz w:val="18"/>
                                <w:szCs w:val="18"/>
                              </w:rPr>
                              <w:t>调整价款的方法</w:t>
                            </w:r>
                          </w:p>
                          <w:p>
                            <w:pPr>
                              <w:pStyle w:val="35"/>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297"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3/+R1AAAAAcBAAAPAAAAAAAAAAEAIAAAACIAAABkcnMvZG93bnJl&#10;di54bWxQSwECFAAUAAAACACHTuJAlSMnGAECAADYAwAADgAAAAAAAAABACAAAAAjAQAAZHJzL2Uy&#10;b0RvYy54bWxQSwUGAAAAAAYABgBZAQAAlgUAAAAA&#10;">
                <v:fill on="f" focussize="0,0"/>
                <v:stroke on="f"/>
                <v:imagedata o:title=""/>
                <o:lock v:ext="edit" aspectratio="f"/>
                <v:textbox>
                  <w:txbxContent>
                    <w:p>
                      <w:pPr>
                        <w:pStyle w:val="20"/>
                        <w:spacing w:line="200" w:lineRule="exact"/>
                        <w:rPr>
                          <w:color w:val="FF0000"/>
                          <w:szCs w:val="24"/>
                        </w:rPr>
                      </w:pPr>
                      <w:r>
                        <w:rPr>
                          <w:rFonts w:hint="eastAsia" w:ascii="楷体_GB2312" w:hAnsi="宋体" w:eastAsia="楷体_GB2312" w:cs="楷体_GB2312"/>
                          <w:b/>
                          <w:bCs/>
                          <w:color w:val="000000"/>
                          <w:sz w:val="18"/>
                          <w:szCs w:val="18"/>
                        </w:rPr>
                        <w:t>调整价款的方法</w:t>
                      </w:r>
                    </w:p>
                    <w:p>
                      <w:pPr>
                        <w:pStyle w:val="35"/>
                        <w:spacing w:line="200" w:lineRule="exact"/>
                        <w:ind w:firstLine="392"/>
                        <w:rPr>
                          <w:sz w:val="18"/>
                          <w:szCs w:val="18"/>
                        </w:rPr>
                      </w:pP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70.2</w:t>
      </w:r>
      <w:r>
        <w:rPr>
          <w:rFonts w:hint="eastAsia" w:ascii="仿宋" w:hAnsi="仿宋" w:eastAsia="仿宋" w:cs="仿宋"/>
          <w:color w:val="auto"/>
          <w:sz w:val="24"/>
          <w:szCs w:val="24"/>
          <w:highlight w:val="none"/>
        </w:rPr>
        <w:t>款情况的，应按照实际施工的项目特征重新确定相应工程量清单项目的综合单价，计算调整的合同价款。</w:t>
      </w:r>
    </w:p>
    <w:p>
      <w:pPr>
        <w:pStyle w:val="22"/>
        <w:adjustRightInd w:val="0"/>
        <w:snapToGrid w:val="0"/>
        <w:spacing w:line="360" w:lineRule="auto"/>
        <w:rPr>
          <w:rFonts w:ascii="仿宋" w:hAnsi="仿宋" w:eastAsia="仿宋" w:cs="仿宋"/>
          <w:b/>
          <w:bCs/>
          <w:color w:val="auto"/>
          <w:sz w:val="24"/>
          <w:szCs w:val="24"/>
          <w:highlight w:val="none"/>
          <w:u w:val="single"/>
        </w:rPr>
      </w:pPr>
    </w:p>
    <w:p>
      <w:pPr>
        <w:pStyle w:val="22"/>
        <w:adjustRightInd w:val="0"/>
        <w:snapToGrid w:val="0"/>
        <w:spacing w:line="360" w:lineRule="auto"/>
        <w:outlineLvl w:val="2"/>
        <w:rPr>
          <w:rFonts w:ascii="仿宋" w:hAnsi="仿宋" w:eastAsia="仿宋"/>
          <w:color w:val="auto"/>
          <w:sz w:val="24"/>
          <w:szCs w:val="24"/>
          <w:highlight w:val="none"/>
        </w:rPr>
      </w:pPr>
      <w:bookmarkStart w:id="412" w:name="_Toc25653681"/>
      <w:bookmarkStart w:id="413" w:name="_Toc469384055"/>
      <w:bookmarkStart w:id="414" w:name="_Toc14171"/>
      <w:bookmarkStart w:id="415" w:name="_Toc737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71  </w:t>
      </w:r>
      <w:r>
        <w:rPr>
          <w:rFonts w:hint="eastAsia" w:ascii="仿宋" w:hAnsi="仿宋" w:eastAsia="仿宋" w:cs="仿宋"/>
          <w:b/>
          <w:bCs/>
          <w:color w:val="auto"/>
          <w:sz w:val="24"/>
          <w:szCs w:val="24"/>
          <w:highlight w:val="none"/>
        </w:rPr>
        <w:t>分部分项工程量清单缺项漏项事件</w:t>
      </w:r>
      <w:bookmarkEnd w:id="412"/>
      <w:bookmarkEnd w:id="413"/>
      <w:bookmarkEnd w:id="414"/>
      <w:bookmarkEnd w:id="415"/>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71.1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31"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rot="0" vert="horz" wrap="square" lIns="91440" tIns="45720" rIns="91440" bIns="45720" anchor="t" anchorCtr="0" upright="1">
                        <a:noAutofit/>
                      </wps:bodyPr>
                    </wps:wsp>
                  </a:graphicData>
                </a:graphic>
              </wp:anchor>
            </w:drawing>
          </mc:Choice>
          <mc:Fallback>
            <w:pict>
              <v:shape id="文本框 298"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ZN4w1AAAAAkBAAAPAAAAAAAAAAEAIAAAACIAAABkcnMvZG93bnJl&#10;di54bWxQSwECFAAUAAAACACHTuJAOh+OtgECAADYAwAADgAAAAAAAAABACAAAAAj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color w:val="auto"/>
          <w:highlight w:val="none"/>
          <w:lang w:val="en-US"/>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130"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文本框 299"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YmpE1AAAAAkBAAAPAAAAAAAAAAEAIAAAACIAAABkcnMvZG93bnJl&#10;di54bWxQSwECFAAUAAAACACHTuJAkuMGNAECAADYAwAADgAAAAAAAAABACAAAAAjAQAAZHJzL2Uy&#10;b0RvYy54bWxQSwUGAAAAAAYABgBZAQAAlgUAAAAA&#10;">
                <v:fill on="f" focussize="0,0"/>
                <v:stroke on="f"/>
                <v:imagedata o:title=""/>
                <o:lock v:ext="edit" aspectratio="f"/>
                <v:textbox>
                  <w:txbxContent>
                    <w:p/>
                  </w:txbxContent>
                </v:textbox>
              </v:shape>
            </w:pict>
          </mc:Fallback>
        </mc:AlternateContent>
      </w:r>
      <w:r>
        <w:rPr>
          <w:rFonts w:hint="eastAsia" w:ascii="仿宋" w:hAnsi="仿宋" w:eastAsia="仿宋" w:cs="仿宋"/>
          <w:color w:val="auto"/>
          <w:sz w:val="24"/>
          <w:szCs w:val="24"/>
          <w:highlight w:val="none"/>
        </w:rPr>
        <w:t>合同履行期间，出现工程量清单中分部分项工程缺项漏项事件的，合同双方当事人应调整合同价款。</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71.2   </w:t>
      </w:r>
    </w:p>
    <w:p>
      <w:pPr>
        <w:pStyle w:val="22"/>
        <w:adjustRightInd w:val="0"/>
        <w:snapToGrid w:val="0"/>
        <w:spacing w:line="360" w:lineRule="auto"/>
        <w:ind w:left="1619" w:leftChars="771" w:firstLine="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129"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00"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iKMt1AAAAAkBAAAPAAAAAAAAAAEAIAAAACIAAABkcnMvZG93bnJl&#10;di54bWxQSwECFAAUAAAACACHTuJAP92GmQECAADYAwAADgAAAAAAAAABACAAAAAj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工程量清单中分部分项工程出现缺项漏项，造成新增工程量清单项目的，应按照第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款规定计算调整的分部分项工程费。</w:t>
      </w:r>
    </w:p>
    <w:p>
      <w:pPr>
        <w:pStyle w:val="22"/>
        <w:tabs>
          <w:tab w:val="left" w:pos="540"/>
        </w:tabs>
        <w:adjustRightInd w:val="0"/>
        <w:snapToGrid w:val="0"/>
        <w:spacing w:before="312" w:beforeLines="100"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71.3  </w:t>
      </w:r>
    </w:p>
    <w:p>
      <w:pPr>
        <w:pStyle w:val="22"/>
        <w:adjustRightInd w:val="0"/>
        <w:snapToGrid w:val="0"/>
        <w:spacing w:line="360" w:lineRule="auto"/>
        <w:ind w:left="1619" w:leftChars="771" w:firstLine="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28"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01"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3xw51QAAAAgBAAAPAAAAAAAAAAEAIAAAACIAAABkcnMvZG93bnJl&#10;di54bWxQSwECFAAUAAAACACHTuJAuwIxnQACAADYAwAADgAAAAAAAAABACAAAAAk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工程量清单中分部分项工程出现缺项漏项，引起增加措施项目的，应按照第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款规定在提交的实施方案被批准后计算调整的措施项目费。</w:t>
      </w:r>
    </w:p>
    <w:p>
      <w:pPr>
        <w:pStyle w:val="22"/>
        <w:adjustRightInd w:val="0"/>
        <w:snapToGrid w:val="0"/>
        <w:spacing w:line="38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16" w:name="_Toc2756"/>
      <w:bookmarkStart w:id="417" w:name="_Toc469384056"/>
      <w:bookmarkStart w:id="418" w:name="_Toc25653682"/>
      <w:bookmarkStart w:id="419" w:name="_Toc2096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72  </w:t>
      </w:r>
      <w:r>
        <w:rPr>
          <w:rFonts w:hint="eastAsia" w:ascii="仿宋" w:hAnsi="仿宋" w:eastAsia="仿宋" w:cs="仿宋"/>
          <w:b/>
          <w:bCs/>
          <w:color w:val="auto"/>
          <w:sz w:val="24"/>
          <w:szCs w:val="24"/>
          <w:highlight w:val="none"/>
        </w:rPr>
        <w:t>工程变更事件</w:t>
      </w:r>
      <w:bookmarkEnd w:id="416"/>
      <w:bookmarkEnd w:id="417"/>
      <w:bookmarkEnd w:id="418"/>
      <w:bookmarkEnd w:id="419"/>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127"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文本框 302"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yuP0rXAAAACQEAAA8AAAAAAAAAAQAgAAAAIgAAAGRycy9k&#10;b3ducmV2LnhtbFBLAQIUABQAAAAIAIdO4kCzHazhAwIAANkDAAAOAAAAAAAAAAEAIAAAACYBAABk&#10;cnMvZTJvRG9jLnhtbFBLBQYAAAAABgAGAFkBAACb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ascii="仿宋" w:hAnsi="仿宋" w:eastAsia="仿宋" w:cs="仿宋"/>
          <w:b/>
          <w:bCs/>
          <w:color w:val="auto"/>
          <w:sz w:val="24"/>
          <w:szCs w:val="24"/>
          <w:highlight w:val="none"/>
        </w:rPr>
        <w:t xml:space="preserve">72.1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条工程变更事件的，合同双方当事人应调整合同价款。</w:t>
      </w:r>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72.2   </w:t>
      </w:r>
    </w:p>
    <w:p>
      <w:pPr>
        <w:pStyle w:val="22"/>
        <w:adjustRightInd w:val="0"/>
        <w:snapToGrid w:val="0"/>
        <w:spacing w:line="360" w:lineRule="auto"/>
        <w:ind w:left="162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26"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文本框 303"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GOP/NUAAAAIAQAADwAAAAAAAAABACAAAAAiAAAAZHJzL2Rvd25y&#10;ZXYueG1sUEsBAhQAFAAAAAgAh07iQAmXPts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工程变更引起分部分项工程项目发生变化，属于第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款规定情况的，按照其规定调整；否则按照下列规定调整分部分项工程费：</w:t>
      </w:r>
    </w:p>
    <w:p>
      <w:pPr>
        <w:pStyle w:val="22"/>
        <w:tabs>
          <w:tab w:val="left" w:pos="1380"/>
          <w:tab w:val="left" w:pos="2160"/>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合同中有适用于变更工程项目的，按照该项目的单价或合价调整</w:t>
      </w:r>
      <w:r>
        <w:rPr>
          <w:rFonts w:ascii="仿宋" w:hAnsi="仿宋" w:eastAsia="仿宋" w:cs="仿宋"/>
          <w:color w:val="auto"/>
          <w:sz w:val="24"/>
          <w:szCs w:val="24"/>
          <w:highlight w:val="none"/>
        </w:rPr>
        <w:t>;</w:t>
      </w:r>
    </w:p>
    <w:p>
      <w:pPr>
        <w:pStyle w:val="22"/>
        <w:tabs>
          <w:tab w:val="left" w:pos="1620"/>
          <w:tab w:val="left" w:pos="2160"/>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合同中没有适用、只有类似于变更工程项目的，可在合理范围内参照类似项目的单价或合价调整</w:t>
      </w:r>
      <w:r>
        <w:rPr>
          <w:rFonts w:ascii="仿宋" w:hAnsi="仿宋" w:eastAsia="仿宋" w:cs="仿宋"/>
          <w:color w:val="auto"/>
          <w:sz w:val="24"/>
          <w:szCs w:val="24"/>
          <w:highlight w:val="none"/>
        </w:rPr>
        <w:t>;</w:t>
      </w:r>
    </w:p>
    <w:p>
      <w:pPr>
        <w:pStyle w:val="22"/>
        <w:tabs>
          <w:tab w:val="left" w:pos="1380"/>
          <w:tab w:val="left" w:pos="2160"/>
        </w:tabs>
        <w:adjustRightInd w:val="0"/>
        <w:snapToGrid w:val="0"/>
        <w:spacing w:line="360" w:lineRule="auto"/>
        <w:ind w:left="1619"/>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ascii="仿宋" w:hAnsi="仿宋" w:eastAsia="仿宋" w:cs="仿宋"/>
          <w:color w:val="auto"/>
          <w:sz w:val="24"/>
          <w:szCs w:val="24"/>
          <w:highlight w:val="none"/>
        </w:rPr>
        <w:t>;</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其中，招标工程：承包人报价浮动率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中标价格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最高投标限价）×</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pPr>
        <w:pStyle w:val="22"/>
        <w:adjustRightInd w:val="0"/>
        <w:snapToGrid w:val="0"/>
        <w:spacing w:line="360" w:lineRule="auto"/>
        <w:ind w:left="1676" w:leftChars="798"/>
        <w:rPr>
          <w:rFonts w:ascii="仿宋" w:hAnsi="仿宋" w:eastAsia="仿宋"/>
          <w:color w:val="auto"/>
          <w:sz w:val="24"/>
          <w:szCs w:val="24"/>
          <w:highlight w:val="none"/>
        </w:rPr>
      </w:pPr>
      <w:r>
        <w:rPr>
          <w:rFonts w:hint="eastAsia" w:ascii="仿宋" w:hAnsi="仿宋" w:eastAsia="仿宋" w:cs="仿宋"/>
          <w:color w:val="auto"/>
          <w:sz w:val="24"/>
          <w:szCs w:val="24"/>
          <w:highlight w:val="none"/>
        </w:rPr>
        <w:t>非招标工程：承包人报价浮动率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报价值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施工图预算）×</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pPr>
        <w:pStyle w:val="22"/>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式中：中标价格、最高投标限价或报价值、施工图预算，均不含绿色施工安全防护费。</w:t>
      </w:r>
    </w:p>
    <w:p>
      <w:pPr>
        <w:pStyle w:val="22"/>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72.3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25"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文本框 304"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T0tN9UAAAAIAQAADwAAAAAAAAABACAAAAAiAAAAZHJzL2Rvd25y&#10;ZXYueG1sUEsBAhQAFAAAAAgAh07iQKigcPg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22"/>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绿色施工安全防护费，按照实际发生变化的措施项目调整，不得浮动。</w:t>
      </w:r>
    </w:p>
    <w:p>
      <w:pPr>
        <w:pStyle w:val="22"/>
        <w:adjustRightInd w:val="0"/>
        <w:snapToGrid w:val="0"/>
        <w:spacing w:line="360" w:lineRule="auto"/>
        <w:ind w:left="1630" w:leftChars="776"/>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凡可计算工程量的措施项目费，按照实际发生变化的措施项目的工程量乘以第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款规定的单价或合价调整。</w:t>
      </w:r>
    </w:p>
    <w:p>
      <w:pPr>
        <w:pStyle w:val="22"/>
        <w:adjustRightInd w:val="0"/>
        <w:snapToGrid w:val="0"/>
        <w:spacing w:line="360" w:lineRule="auto"/>
        <w:ind w:left="1619" w:leftChars="771"/>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凡按系数计算的措施项目费，除本款第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点情形外，按照实际发生变化的措施项目调整，但应考虑承包人报价浮动因素，即调整金额按照实际调整金额乘以第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款规定的承包人报价浮动率计算。</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72.4  </w:t>
      </w:r>
    </w:p>
    <w:p>
      <w:pPr>
        <w:spacing w:line="360" w:lineRule="auto"/>
        <w:ind w:left="1676" w:leftChars="798"/>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24"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1028700" cy="76644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rot="0" vert="horz" wrap="square" lIns="91440" tIns="45720" rIns="91440" bIns="45720" anchor="t" anchorCtr="0" upright="1">
                        <a:noAutofit/>
                      </wps:bodyPr>
                    </wps:wsp>
                  </a:graphicData>
                </a:graphic>
              </wp:anchor>
            </w:drawing>
          </mc:Choice>
          <mc:Fallback>
            <w:pict>
              <v:shape id="文本框 305"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Ay5AdYAAAAJAQAADwAAAAAAAAABACAAAAAiAAAAZHJzL2Rv&#10;d25yZXYueG1sUEsBAhQAFAAAAAgAh07iQEyLvf4DAgAA2QMAAA4AAAAAAAAAAQAgAAAAJQEAAGRy&#10;cy9lMm9Eb2MueG1sUEsFBgAAAAAGAAYAWQEAAJo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仿宋" w:hAnsi="仿宋" w:eastAsia="仿宋" w:cs="仿宋"/>
          <w:color w:val="auto"/>
          <w:sz w:val="24"/>
          <w:szCs w:val="24"/>
          <w:highlight w:val="none"/>
        </w:rPr>
        <w:t>工程量发生变化的分部分项工程项目，如承包人投标价分部分项清单项目填报的综合单价与发包人最高投标限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pStyle w:val="22"/>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&lt;P</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p>
    <w:p>
      <w:pPr>
        <w:pStyle w:val="22"/>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&gt;P</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p>
    <w:p>
      <w:pPr>
        <w:pStyle w:val="22"/>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pPr>
        <w:pStyle w:val="22"/>
        <w:adjustRightInd w:val="0"/>
        <w:snapToGrid w:val="0"/>
        <w:spacing w:line="360" w:lineRule="auto"/>
        <w:ind w:left="2454" w:leftChars="1140" w:hanging="60" w:hangingChars="25"/>
        <w:rPr>
          <w:rFonts w:ascii="仿宋" w:hAnsi="仿宋" w:eastAsia="仿宋"/>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发包人最高投标限价或施工预算相应清单项目的综合单价。</w:t>
      </w:r>
    </w:p>
    <w:p>
      <w:pPr>
        <w:pStyle w:val="22"/>
        <w:adjustRightInd w:val="0"/>
        <w:snapToGrid w:val="0"/>
        <w:spacing w:line="360" w:lineRule="auto"/>
        <w:ind w:firstLine="2340" w:firstLineChars="975"/>
        <w:rPr>
          <w:rFonts w:ascii="仿宋" w:hAnsi="仿宋" w:eastAsia="仿宋"/>
          <w:b/>
          <w:bCs/>
          <w:color w:val="auto"/>
          <w:sz w:val="24"/>
          <w:szCs w:val="24"/>
          <w:highlight w:val="none"/>
        </w:rPr>
      </w:pP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w:t>
      </w:r>
    </w:p>
    <w:p>
      <w:pPr>
        <w:pStyle w:val="22"/>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72.5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23"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306"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T0tN9UAAAAIAQAADwAAAAAAAAABACAAAAAiAAAAZHJzL2Rvd25y&#10;ZXYueG1sUEsBAhQAFAAAAAgAh07iQPAeHBQ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rPr>
        <w:t>如果因为非承包人原因删减了合同中的某项原定工作或工程，致使承包人发生的费用或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得到的收益不能被包括在其他已支付或应支付的项目中，也未被包含在任何替代的工作或工程中，则承包人有权按照本条规定提出并得到补偿。</w:t>
      </w:r>
    </w:p>
    <w:p>
      <w:pPr>
        <w:pStyle w:val="22"/>
        <w:adjustRightInd w:val="0"/>
        <w:snapToGrid w:val="0"/>
        <w:ind w:right="-238"/>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20" w:name="_Toc469384057"/>
      <w:bookmarkStart w:id="421" w:name="_Toc25653683"/>
      <w:bookmarkStart w:id="422" w:name="_Toc20835"/>
      <w:bookmarkStart w:id="423" w:name="_Toc1266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73  </w:t>
      </w:r>
      <w:r>
        <w:rPr>
          <w:rFonts w:hint="eastAsia" w:ascii="仿宋" w:hAnsi="仿宋" w:eastAsia="仿宋" w:cs="仿宋"/>
          <w:b/>
          <w:bCs/>
          <w:color w:val="auto"/>
          <w:sz w:val="24"/>
          <w:szCs w:val="24"/>
          <w:highlight w:val="none"/>
        </w:rPr>
        <w:t>工程量偏差事件</w:t>
      </w:r>
      <w:bookmarkEnd w:id="420"/>
      <w:bookmarkEnd w:id="421"/>
      <w:bookmarkEnd w:id="422"/>
      <w:bookmarkEnd w:id="42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73.1</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122"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1028700" cy="76009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rot="0" vert="horz" wrap="square" lIns="91440" tIns="45720" rIns="91440" bIns="45720" anchor="t" anchorCtr="0" upright="1">
                        <a:noAutofit/>
                      </wps:bodyPr>
                    </wps:wsp>
                  </a:graphicData>
                </a:graphic>
              </wp:anchor>
            </w:drawing>
          </mc:Choice>
          <mc:Fallback>
            <w:pict>
              <v:shape id="文本框 307"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589U7UAAAACAEAAA8AAAAAAAAAAQAgAAAAIgAAAGRycy9kb3du&#10;cmV2LnhtbFBLAQIUABQAAAAIAIdO4kBFBcDeAwIAANkDAAAOAAAAAAAAAAEAIAAAACMBAABkcnMv&#10;ZTJvRG9jLnhtbFBLBQYAAAAABgAGAFkBAACY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仿宋" w:hAnsi="仿宋" w:eastAsia="仿宋" w:cs="仿宋"/>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合同履行期间，出现工程量偏差，且符合第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73.3</w:t>
      </w:r>
      <w:r>
        <w:rPr>
          <w:rFonts w:hint="eastAsia" w:ascii="仿宋" w:hAnsi="仿宋" w:eastAsia="仿宋" w:cs="仿宋"/>
          <w:color w:val="auto"/>
          <w:sz w:val="24"/>
          <w:szCs w:val="24"/>
          <w:highlight w:val="none"/>
        </w:rPr>
        <w:t>款规定事件的，合同双方当事人应调整合同价款。调整合同价款时，出现第</w:t>
      </w:r>
      <w:r>
        <w:rPr>
          <w:rFonts w:ascii="仿宋" w:hAnsi="仿宋" w:eastAsia="仿宋" w:cs="仿宋"/>
          <w:color w:val="auto"/>
          <w:sz w:val="24"/>
          <w:szCs w:val="24"/>
          <w:highlight w:val="none"/>
        </w:rPr>
        <w:t>72.4</w:t>
      </w:r>
      <w:r>
        <w:rPr>
          <w:rFonts w:hint="eastAsia" w:ascii="仿宋" w:hAnsi="仿宋" w:eastAsia="仿宋" w:cs="仿宋"/>
          <w:color w:val="auto"/>
          <w:sz w:val="24"/>
          <w:szCs w:val="24"/>
          <w:highlight w:val="none"/>
        </w:rPr>
        <w:t>款情形的，应先按照其规定调整，再按照本条规定调整。</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73.2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121"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914400" cy="444500"/>
                        </a:xfrm>
                        <a:prstGeom prst="rect">
                          <a:avLst/>
                        </a:prstGeom>
                        <a:noFill/>
                        <a:ln>
                          <a:noFill/>
                        </a:ln>
                        <a:effectLst/>
                      </wps:spPr>
                      <wps:txbx>
                        <w:txbxContent>
                          <w:p>
                            <w:pPr>
                              <w:pStyle w:val="20"/>
                              <w:spacing w:line="200" w:lineRule="exact"/>
                              <w:rPr>
                                <w:sz w:val="18"/>
                                <w:szCs w:val="18"/>
                              </w:rPr>
                            </w:pPr>
                            <w:r>
                              <w:rPr>
                                <w:rFonts w:hint="eastAsia" w:ascii="楷体_GB2312" w:hAnsi="宋体" w:eastAsia="楷体_GB2312" w:cs="楷体_GB2312"/>
                                <w:b/>
                                <w:bCs/>
                                <w:color w:val="000000"/>
                                <w:sz w:val="18"/>
                                <w:szCs w:val="18"/>
                              </w:rPr>
                              <w:t>调整分部分项工程费的方法</w:t>
                            </w:r>
                          </w:p>
                        </w:txbxContent>
                      </wps:txbx>
                      <wps:bodyPr rot="0" vert="horz" wrap="square" lIns="91440" tIns="45720" rIns="91440" bIns="45720" anchor="t" anchorCtr="0" upright="1">
                        <a:noAutofit/>
                      </wps:bodyPr>
                    </wps:wsp>
                  </a:graphicData>
                </a:graphic>
              </wp:anchor>
            </w:drawing>
          </mc:Choice>
          <mc:Fallback>
            <w:pict>
              <v:shape id="文本框 308"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SKr63VAAAACAEAAA8AAAAAAAAAAQAgAAAAIgAAAGRycy9kb3ducmV2&#10;LnhtbFBLAQIUABQAAAAIAIdO4kAtpiIy/wEAANgDAAAOAAAAAAAAAAEAIAAAACQBAABkcnMvZTJv&#10;RG9jLnhtbFBLBQYAAAAABgAGAFkBAACVBQAAAAA=&#10;">
                <v:fill on="f" focussize="0,0"/>
                <v:stroke on="f"/>
                <v:imagedata o:title=""/>
                <o:lock v:ext="edit" aspectratio="f"/>
                <v:textbox>
                  <w:txbxContent>
                    <w:p>
                      <w:pPr>
                        <w:pStyle w:val="20"/>
                        <w:spacing w:line="200" w:lineRule="exact"/>
                        <w:rPr>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对于某一分部分项工程项目，如果因本条规定工程量偏差和第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条规定工程变更等原因导致工程量偏差超过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，且该变化使其分部分项工程费变化超过</w:t>
      </w:r>
      <w:r>
        <w:rPr>
          <w:rFonts w:ascii="仿宋" w:hAnsi="仿宋" w:eastAsia="仿宋" w:cs="仿宋"/>
          <w:color w:val="auto"/>
          <w:sz w:val="24"/>
          <w:szCs w:val="24"/>
          <w:highlight w:val="none"/>
        </w:rPr>
        <w:t>0.1%</w:t>
      </w:r>
      <w:r>
        <w:rPr>
          <w:rFonts w:hint="eastAsia" w:ascii="仿宋" w:hAnsi="仿宋" w:eastAsia="仿宋" w:cs="仿宋"/>
          <w:color w:val="auto"/>
          <w:sz w:val="24"/>
          <w:szCs w:val="24"/>
          <w:highlight w:val="none"/>
        </w:rPr>
        <w:t>，则超过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部分的综合单价应予调整。除专用条款另有约定外，应按照下列规定调整该分部分项工程费结算价：</w:t>
      </w:r>
    </w:p>
    <w:p>
      <w:pPr>
        <w:pStyle w:val="22"/>
        <w:adjustRightInd w:val="0"/>
        <w:snapToGrid w:val="0"/>
        <w:spacing w:line="360" w:lineRule="auto"/>
        <w:ind w:left="2145" w:leftChars="707" w:hanging="660" w:hangingChars="2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pPr>
        <w:pStyle w:val="22"/>
        <w:adjustRightInd w:val="0"/>
        <w:snapToGrid w:val="0"/>
        <w:spacing w:line="360" w:lineRule="auto"/>
        <w:ind w:left="2057" w:leftChars="694" w:hanging="600" w:hangingChars="250"/>
        <w:rPr>
          <w:rFonts w:ascii="仿宋" w:hAnsi="仿宋" w:eastAsia="仿宋" w:cs="仿宋"/>
          <w:color w:val="auto"/>
          <w:sz w:val="24"/>
          <w:szCs w:val="24"/>
          <w:highlight w:val="none"/>
          <w:vertAlign w:val="subscript"/>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pPr>
        <w:pStyle w:val="22"/>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S——</w:t>
      </w:r>
      <w:r>
        <w:rPr>
          <w:rFonts w:hint="eastAsia" w:ascii="仿宋" w:hAnsi="仿宋" w:eastAsia="仿宋" w:cs="仿宋"/>
          <w:color w:val="auto"/>
          <w:sz w:val="24"/>
          <w:szCs w:val="24"/>
          <w:highlight w:val="none"/>
        </w:rPr>
        <w:t>调整后的某一分部分项工程费结算价；</w:t>
      </w:r>
    </w:p>
    <w:p>
      <w:pPr>
        <w:pStyle w:val="22"/>
        <w:adjustRightInd w:val="0"/>
        <w:snapToGrid w:val="0"/>
        <w:spacing w:line="360" w:lineRule="auto"/>
        <w:ind w:firstLine="2160" w:firstLineChars="900"/>
        <w:rPr>
          <w:rFonts w:ascii="仿宋" w:hAnsi="仿宋" w:eastAsia="仿宋"/>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最终完成的工程量；</w:t>
      </w:r>
    </w:p>
    <w:p>
      <w:pPr>
        <w:pStyle w:val="22"/>
        <w:adjustRightInd w:val="0"/>
        <w:snapToGrid w:val="0"/>
        <w:spacing w:line="360" w:lineRule="auto"/>
        <w:ind w:firstLine="2160" w:firstLineChars="900"/>
        <w:rPr>
          <w:rFonts w:ascii="仿宋" w:hAnsi="仿宋" w:eastAsia="仿宋"/>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工程量清单中开列的工程量；</w:t>
      </w:r>
    </w:p>
    <w:p>
      <w:pPr>
        <w:pStyle w:val="22"/>
        <w:adjustRightInd w:val="0"/>
        <w:snapToGrid w:val="0"/>
        <w:spacing w:line="360" w:lineRule="auto"/>
        <w:ind w:firstLine="2160" w:firstLineChars="900"/>
        <w:rPr>
          <w:rFonts w:ascii="仿宋" w:hAnsi="仿宋" w:eastAsia="仿宋"/>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按照最终完成工程量重新调整后的综合单价；</w:t>
      </w:r>
    </w:p>
    <w:p>
      <w:pPr>
        <w:pStyle w:val="22"/>
        <w:adjustRightInd w:val="0"/>
        <w:snapToGrid w:val="0"/>
        <w:spacing w:line="360" w:lineRule="auto"/>
        <w:ind w:firstLine="2160" w:firstLineChars="900"/>
        <w:rPr>
          <w:rFonts w:ascii="仿宋" w:hAnsi="仿宋" w:eastAsia="仿宋"/>
          <w:b/>
          <w:bCs/>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pPr>
        <w:pStyle w:val="22"/>
        <w:adjustRightInd w:val="0"/>
        <w:snapToGrid w:val="0"/>
        <w:spacing w:line="48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73.3</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20"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rot="0" vert="horz" wrap="square" lIns="91440" tIns="45720" rIns="91440" bIns="45720" anchor="t" anchorCtr="0" upright="1">
                        <a:noAutofit/>
                      </wps:bodyPr>
                    </wps:wsp>
                  </a:graphicData>
                </a:graphic>
              </wp:anchor>
            </w:drawing>
          </mc:Choice>
          <mc:Fallback>
            <w:pict>
              <v:shape id="文本框 309"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VFjKbUAAAACAEAAA8AAAAAAAAAAQAgAAAAIgAAAGRycy9kb3ducmV2&#10;LnhtbFBLAQIUABQAAAAIAIdO4kBtrWJcAAIAANgDAAAOAAAAAAAAAAEAIAAAACMBAABkcnMvZTJv&#10;RG9jLnhtbFBLBQYAAAAABgAGAFkBAACV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如果因本条规定工程量偏差使某一分部分项工程费的变化超过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，且该变化引起措施项目相应发生变化，则发生变化部分的措施项目费应按照第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款规定调整。除专用条款另有约定外，应按照下列规定调整发生变化的措施项目费结算价：</w:t>
      </w:r>
    </w:p>
    <w:p>
      <w:pPr>
        <w:pStyle w:val="22"/>
        <w:tabs>
          <w:tab w:val="left" w:pos="900"/>
        </w:tabs>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pPr>
        <w:pStyle w:val="22"/>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pPr>
        <w:pStyle w:val="22"/>
        <w:adjustRightInd w:val="0"/>
        <w:snapToGrid w:val="0"/>
        <w:spacing w:line="360" w:lineRule="auto"/>
        <w:ind w:firstLine="1800" w:firstLineChars="750"/>
        <w:rPr>
          <w:rFonts w:ascii="仿宋" w:hAnsi="仿宋" w:eastAsia="仿宋"/>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调整后的发生变化措施项目费结算价；</w:t>
      </w:r>
    </w:p>
    <w:p>
      <w:pPr>
        <w:pStyle w:val="22"/>
        <w:adjustRightInd w:val="0"/>
        <w:snapToGrid w:val="0"/>
        <w:spacing w:line="360" w:lineRule="auto"/>
        <w:ind w:firstLine="2280" w:firstLineChars="950"/>
        <w:rPr>
          <w:rFonts w:ascii="仿宋" w:hAnsi="仿宋" w:eastAsia="仿宋"/>
          <w:color w:val="auto"/>
          <w:sz w:val="24"/>
          <w:szCs w:val="24"/>
          <w:highlight w:val="none"/>
        </w:rPr>
      </w:pP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承包人在工程量清单中填报的措施项目费；</w:t>
      </w:r>
    </w:p>
    <w:p>
      <w:pPr>
        <w:pStyle w:val="22"/>
        <w:adjustRightInd w:val="0"/>
        <w:snapToGrid w:val="0"/>
        <w:spacing w:line="360" w:lineRule="auto"/>
        <w:ind w:left="2157" w:leftChars="1027" w:firstLine="120" w:firstLineChars="50"/>
        <w:rPr>
          <w:rFonts w:ascii="仿宋" w:hAnsi="仿宋" w:eastAsia="仿宋"/>
          <w:color w:val="auto"/>
          <w:sz w:val="24"/>
          <w:szCs w:val="24"/>
          <w:highlight w:val="none"/>
        </w:rPr>
      </w:pPr>
      <w:r>
        <w:rPr>
          <w:rFonts w:ascii="Courier New" w:eastAsia="仿宋" w:cs="Courier New"/>
          <w:color w:val="auto"/>
          <w:sz w:val="24"/>
          <w:szCs w:val="24"/>
          <w:highlight w:val="none"/>
        </w:rPr>
        <w:t>∆</w:t>
      </w:r>
      <w:r>
        <w:rPr>
          <w:rFonts w:ascii="仿宋" w:hAnsi="仿宋" w:eastAsia="仿宋" w:cs="仿宋"/>
          <w:color w:val="auto"/>
          <w:sz w:val="24"/>
          <w:szCs w:val="24"/>
          <w:highlight w:val="none"/>
        </w:rPr>
        <w:t>M——</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款规定调整的发生变化部分的措施项目费；</w:t>
      </w:r>
    </w:p>
    <w:p>
      <w:pPr>
        <w:pStyle w:val="22"/>
        <w:adjustRightInd w:val="0"/>
        <w:snapToGrid w:val="0"/>
        <w:spacing w:line="360" w:lineRule="auto"/>
        <w:ind w:firstLine="2280" w:firstLineChars="950"/>
        <w:rPr>
          <w:rFonts w:ascii="仿宋" w:hAnsi="仿宋" w:eastAsia="仿宋"/>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调整后的某一分部分项工程费结算价；</w:t>
      </w:r>
    </w:p>
    <w:p>
      <w:pPr>
        <w:pStyle w:val="22"/>
        <w:adjustRightInd w:val="0"/>
        <w:snapToGrid w:val="0"/>
        <w:spacing w:line="360" w:lineRule="auto"/>
        <w:ind w:firstLine="2280" w:firstLineChars="950"/>
        <w:rPr>
          <w:rFonts w:ascii="仿宋" w:hAnsi="仿宋" w:eastAsia="仿宋"/>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承包人报价文件对应的某一分部分项工程费。</w:t>
      </w:r>
    </w:p>
    <w:p>
      <w:pPr>
        <w:tabs>
          <w:tab w:val="left" w:pos="1620"/>
        </w:tabs>
        <w:rPr>
          <w:rFonts w:ascii="仿宋" w:hAnsi="仿宋" w:eastAsia="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24" w:name="_Toc12205"/>
      <w:bookmarkStart w:id="425" w:name="_Toc25653684"/>
      <w:bookmarkStart w:id="426" w:name="_Toc469384058"/>
      <w:bookmarkStart w:id="427" w:name="_Toc736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74  </w:t>
      </w:r>
      <w:r>
        <w:rPr>
          <w:rFonts w:hint="eastAsia" w:ascii="仿宋" w:hAnsi="仿宋" w:eastAsia="仿宋" w:cs="仿宋"/>
          <w:b/>
          <w:bCs/>
          <w:color w:val="auto"/>
          <w:sz w:val="24"/>
          <w:szCs w:val="24"/>
          <w:highlight w:val="none"/>
        </w:rPr>
        <w:t>费用索赔事件</w:t>
      </w:r>
      <w:bookmarkEnd w:id="424"/>
      <w:bookmarkEnd w:id="425"/>
      <w:bookmarkEnd w:id="426"/>
      <w:bookmarkEnd w:id="427"/>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19"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310"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z/Bw1QAAAAgBAAAPAAAAAAAAAAEAIAAAACIAAABkcnMvZG93bnJl&#10;di54bWxQSwECFAAUAAAACACHTuJA5YB2yQACAADYAwAADgAAAAAAAAABACAAAAAk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color w:val="auto"/>
          <w:sz w:val="24"/>
          <w:szCs w:val="24"/>
          <w:highlight w:val="none"/>
        </w:rPr>
        <w:t>费用索赔是指合同履行期间，对于非自己过错而应由对方当事人承担责任的情况造成的损失，向对方当事人提出经济补偿要求的行为。</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合同履行期间，出现费用索赔事件的，合同双方当事人应调整合同价款。</w:t>
      </w:r>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18"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311"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8/wcNUAAAAIAQAADwAAAAAAAAABACAAAAAiAAAAZHJzL2Rvd25y&#10;ZXYueG1sUEsBAhQAFAAAAAgAh07iQGFfwc0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rPr>
        <w:t>如果承包人根据合同约定提出任何费用或其它形式的损失索赔时，应在该索赔事件首次发生之后的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天内向造价工程师发出索赔意向书，并抄送发包人。</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117"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312"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02QKdMAAAAHAQAADwAAAAAAAAABACAAAAAiAAAAZHJzL2Rvd25yZXYu&#10;eG1sUEsBAhQAFAAAAAgAh07iQEpWaysAAgAA2AMAAA4AAAAAAAAAAQAgAAAAIgEAAGRycy9lMm9E&#10;b2MueG1sUEsFBgAAAAAGAAYAWQEAAJQ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74.4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116"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文本框 313"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ZrJc0wAAAAcBAAAPAAAAAAAAAAEAIAAAACIAAABkcnMvZG93bnJl&#10;di54bWxQSwECFAAUAAAACACHTuJAwfTCXAICAADZAwAADgAAAAAAAAABACAAAAAi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仿宋" w:hAnsi="仿宋" w:eastAsia="仿宋" w:cs="仿宋"/>
          <w:color w:val="auto"/>
          <w:sz w:val="24"/>
          <w:szCs w:val="24"/>
          <w:highlight w:val="none"/>
        </w:rPr>
        <w:t>在发出索赔意向书后的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天内，承包人应向造价工程师提交费用索赔报告和有关资料。如果索赔事件持续进行，承包人应每隔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天向造价工程师发出索赔意向书，在索赔事件终结后的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天内，提交最终费用索赔报告和有关资料。</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115"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314"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NXai1gAAAAkBAAAPAAAAAAAAAAEAIAAAACIAAABkcnMvZG93&#10;bnJldi54bWxQSwECFAAUAAAACACHTuJAjrkYGQICAADYAwAADgAAAAAAAAABACAAAAAl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ascii="仿宋" w:hAnsi="仿宋" w:eastAsia="仿宋" w:cs="仿宋"/>
          <w:b/>
          <w:bCs/>
          <w:color w:val="auto"/>
          <w:sz w:val="24"/>
          <w:szCs w:val="24"/>
          <w:highlight w:val="none"/>
        </w:rPr>
        <w:t xml:space="preserve">74.5  </w:t>
      </w:r>
    </w:p>
    <w:p>
      <w:pPr>
        <w:pStyle w:val="22"/>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如果承包人提出的索赔未能遵守第</w:t>
      </w:r>
      <w:r>
        <w:rPr>
          <w:rFonts w:ascii="仿宋" w:hAnsi="仿宋" w:eastAsia="仿宋" w:cs="仿宋"/>
          <w:color w:val="auto"/>
          <w:sz w:val="24"/>
          <w:szCs w:val="24"/>
          <w:highlight w:val="none"/>
        </w:rPr>
        <w:t>74.2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74.4</w:t>
      </w:r>
      <w:r>
        <w:rPr>
          <w:rFonts w:hint="eastAsia" w:ascii="仿宋" w:hAnsi="仿宋" w:eastAsia="仿宋" w:cs="仿宋"/>
          <w:color w:val="auto"/>
          <w:sz w:val="24"/>
          <w:szCs w:val="24"/>
          <w:highlight w:val="none"/>
        </w:rPr>
        <w:t>款规定，则承包人无权获得索赔或只限于获得由造价工程师按照提供记录予以核实的部分款额。</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74.6  </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114"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315"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9NBdUAAAAIAQAADwAAAAAAAAABACAAAAAiAAAAZHJzL2Rvd25y&#10;ZXYueG1sUEsBAhQAFAAAAAgAh07iQABL4xk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仿宋" w:hAnsi="仿宋" w:eastAsia="仿宋" w:cs="仿宋"/>
          <w:color w:val="auto"/>
          <w:sz w:val="24"/>
          <w:szCs w:val="24"/>
          <w:highlight w:val="none"/>
        </w:rPr>
        <w:t>造价工程师应在收到承包人提交的费用索赔报告和有关资料后的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74.7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113"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316"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6SadMAAAAIAQAADwAAAAAAAAABACAAAAAiAAAAZHJzL2Rvd25y&#10;ZXYueG1sUEsBAhQAFAAAAAgAh07iQF8TUZoDAgAA2AMAAA4AAAAAAAAAAQAgAAAAIg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rPr>
        <w:t>承包人未能按照合同约定履行各项义务或发生错误，给发包人造成损失，发包人可按照本条规定的时限和要求向承包人提出索赔。</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74.8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112"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rot="0" vert="horz" wrap="square" lIns="91440" tIns="45720" rIns="91440" bIns="45720" anchor="t" anchorCtr="0" upright="1">
                        <a:noAutofit/>
                      </wps:bodyPr>
                    </wps:wsp>
                  </a:graphicData>
                </a:graphic>
              </wp:anchor>
            </w:drawing>
          </mc:Choice>
          <mc:Fallback>
            <w:pict>
              <v:shape id="文本框 317"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rrpr1gAAAAkBAAAPAAAAAAAAAAEAIAAAACIAAABkcnMvZG93bnJl&#10;di54bWxQSwECFAAUAAAACACHTuJACfRJLf8BAADYAwAADgAAAAAAAAABACAAAAAl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仿宋" w:hAnsi="仿宋" w:eastAsia="仿宋" w:cs="仿宋"/>
          <w:color w:val="auto"/>
          <w:sz w:val="24"/>
          <w:szCs w:val="24"/>
          <w:highlight w:val="none"/>
        </w:rPr>
        <w:t>费用索赔报告被认可，则表明该事件已索赔成功，合同双方当事人应确认由此引起调整的合同价款，并作为追加（减）合同价款，与工程进度款或结算款同期支付。</w:t>
      </w:r>
    </w:p>
    <w:p>
      <w:pPr>
        <w:pStyle w:val="22"/>
        <w:adjustRightInd w:val="0"/>
        <w:snapToGrid w:val="0"/>
        <w:ind w:right="-238"/>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28" w:name="_Toc7815"/>
      <w:bookmarkStart w:id="429" w:name="_Toc11072"/>
      <w:bookmarkStart w:id="430" w:name="_Toc25653685"/>
      <w:bookmarkStart w:id="431" w:name="_Toc46938405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75  </w:t>
      </w:r>
      <w:r>
        <w:rPr>
          <w:rFonts w:hint="eastAsia" w:ascii="仿宋" w:hAnsi="仿宋" w:eastAsia="仿宋" w:cs="仿宋"/>
          <w:b/>
          <w:bCs/>
          <w:color w:val="auto"/>
          <w:sz w:val="24"/>
          <w:szCs w:val="24"/>
          <w:highlight w:val="none"/>
        </w:rPr>
        <w:t>现场签证事件</w:t>
      </w:r>
      <w:bookmarkEnd w:id="428"/>
      <w:bookmarkEnd w:id="429"/>
      <w:bookmarkEnd w:id="430"/>
      <w:bookmarkEnd w:id="431"/>
    </w:p>
    <w:p>
      <w:pPr>
        <w:pStyle w:val="22"/>
        <w:adjustRightInd w:val="0"/>
        <w:snapToGrid w:val="0"/>
        <w:spacing w:line="360" w:lineRule="auto"/>
        <w:rPr>
          <w:rFonts w:ascii="仿宋" w:hAnsi="仿宋" w:eastAsia="仿宋"/>
          <w:b/>
          <w:bCs/>
          <w:color w:val="auto"/>
          <w:sz w:val="24"/>
          <w:szCs w:val="24"/>
          <w:highlight w:val="none"/>
          <w:u w:val="dotted"/>
        </w:rPr>
      </w:pPr>
      <w:r>
        <w:rPr>
          <w:rFonts w:ascii="仿宋" w:hAnsi="仿宋" w:eastAsia="仿宋" w:cs="仿宋"/>
          <w:b/>
          <w:bCs/>
          <w:color w:val="auto"/>
          <w:sz w:val="24"/>
          <w:szCs w:val="24"/>
          <w:highlight w:val="none"/>
        </w:rPr>
        <w:t xml:space="preserve">75.1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11"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txbxContent>
                      </wps:txbx>
                      <wps:bodyPr rot="0" vert="horz" wrap="square" lIns="91440" tIns="45720" rIns="91440" bIns="45720" anchor="t" anchorCtr="0" upright="1">
                        <a:noAutofit/>
                      </wps:bodyPr>
                    </wps:wsp>
                  </a:graphicData>
                </a:graphic>
              </wp:anchor>
            </w:drawing>
          </mc:Choice>
          <mc:Fallback>
            <w:pict>
              <v:shape id="文本框 318"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W41/tMAAAAHAQAADwAAAAAAAAABACAAAAAiAAAAZHJzL2Rvd25yZXYu&#10;eG1sUEsBAhQAFAAAAAgAh07iQCceXZoAAgAA2AMAAA4AAAAAAAAAAQAgAAAAIgEAAGRycy9lMm9E&#10;b2MueG1sUEsFBgAAAAAGAAYAWQEAAJQ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txbxContent>
                </v:textbox>
              </v:shape>
            </w:pict>
          </mc:Fallback>
        </mc:AlternateContent>
      </w:r>
      <w:r>
        <w:rPr>
          <w:rFonts w:hint="eastAsia" w:ascii="仿宋" w:hAnsi="仿宋" w:eastAsia="仿宋" w:cs="仿宋"/>
          <w:color w:val="auto"/>
          <w:sz w:val="24"/>
          <w:szCs w:val="24"/>
          <w:highlight w:val="none"/>
        </w:rPr>
        <w:t>现场签证是指合同双方当事人就施工过程中涉及的责任事件所作的签认证明。</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合同履行期间，出现现场签证事件的，合同双方当事人应调整合同价款。</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75.2  </w:t>
      </w:r>
    </w:p>
    <w:p>
      <w:pPr>
        <w:pStyle w:val="22"/>
        <w:adjustRightInd w:val="0"/>
        <w:snapToGrid w:val="0"/>
        <w:spacing w:line="360" w:lineRule="auto"/>
        <w:ind w:left="1617" w:leftChars="770" w:firstLine="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110"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txbxContent>
                      </wps:txbx>
                      <wps:bodyPr rot="0" vert="horz" wrap="square" lIns="91440" tIns="45720" rIns="91440" bIns="45720" anchor="t" anchorCtr="0" upright="1">
                        <a:noAutofit/>
                      </wps:bodyPr>
                    </wps:wsp>
                  </a:graphicData>
                </a:graphic>
              </wp:anchor>
            </w:drawing>
          </mc:Choice>
          <mc:Fallback>
            <w:pict>
              <v:shape id="文本框 319"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l5531QAAAAgBAAAPAAAAAAAAAAEAIAAAACIAAABkcnMvZG93bnJl&#10;di54bWxQSwECFAAUAAAACACHTuJAo8HqngACAADYAwAADgAAAAAAAAABACAAAAAk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txbxContent>
                </v:textbox>
              </v:shape>
            </w:pict>
          </mc:Fallback>
        </mc:AlternateContent>
      </w:r>
      <w:r>
        <w:rPr>
          <w:rFonts w:hint="eastAsia" w:ascii="仿宋" w:hAnsi="仿宋" w:eastAsia="仿宋" w:cs="仿宋"/>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09"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txbxContent>
                      </wps:txbx>
                      <wps:bodyPr rot="0" vert="horz" wrap="square" lIns="91440" tIns="45720" rIns="91440" bIns="45720" anchor="t" anchorCtr="0" upright="1">
                        <a:noAutofit/>
                      </wps:bodyPr>
                    </wps:wsp>
                  </a:graphicData>
                </a:graphic>
              </wp:anchor>
            </w:drawing>
          </mc:Choice>
          <mc:Fallback>
            <w:pict>
              <v:shape id="文本框 320"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bjX+0wAAAAcBAAAPAAAAAAAAAAEAIAAAACIAAABkcnMvZG93bnJldi54&#10;bWxQSwECFAAUAAAACACHTuJANl+fg/8BAADYAwAADgAAAAAAAAABACAAAAAiAQAAZHJzL2Uyb0Rv&#10;Yy54bWxQSwUGAAAAAAYABgBZAQAAkw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txbxContent>
                </v:textbox>
              </v:shape>
            </w:pict>
          </mc:Fallback>
        </mc:AlternateContent>
      </w:r>
      <w:r>
        <w:rPr>
          <w:rFonts w:hint="eastAsia" w:ascii="仿宋" w:hAnsi="仿宋" w:eastAsia="仿宋" w:cs="仿宋"/>
          <w:color w:val="auto"/>
          <w:sz w:val="24"/>
          <w:szCs w:val="24"/>
          <w:highlight w:val="none"/>
        </w:rPr>
        <w:t>除专用条款另有约定外，承包人应在收到监理工程师书面通知后的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小时内予以确认或提出修改意见。发包人在收到承包人现场签证报告后的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小时内未确认也未提出修改意见的，视为承包人提交的现场签证报告已被认可。</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108"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22"/>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文本框 321"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cztPfVAAAACAEAAA8AAAAAAAAAAQAgAAAAIgAAAGRycy9kb3ducmV2&#10;LnhtbFBLAQIUABQAAAAIAIdO4kA5qudk/wEAANgDAAAOAAAAAAAAAAEAIAAAACQBAABkcnMvZTJv&#10;RG9jLnhtbFBLBQYAAAAABgAGAFkBAACV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22"/>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仿宋" w:hAnsi="仿宋" w:eastAsia="仿宋" w:cs="仿宋"/>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pPr>
        <w:pStyle w:val="22"/>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75.5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7" name="文本框 322"/>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文本框 322"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x6enNYAAAAJAQAADwAAAAAAAAABACAAAAAiAAAAZHJzL2Rvd25y&#10;ZXYueG1sUEsBAhQAFAAAAAgAh07iQATPS50AAgAA2AMAAA4AAAAAAAAAAQAgAAAAJQ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仿宋" w:hAnsi="仿宋" w:eastAsia="仿宋" w:cs="仿宋"/>
          <w:color w:val="auto"/>
          <w:sz w:val="24"/>
          <w:szCs w:val="24"/>
          <w:highlight w:val="none"/>
        </w:rPr>
        <w:t>承包人应在发包人确认现场签证报告后的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小时内，按照监理工程师发出的工作指令及时组织实施相关工作。否则，由此引起的损失和（或）延误的工期由承包人承担。</w:t>
      </w:r>
    </w:p>
    <w:p>
      <w:pPr>
        <w:pStyle w:val="22"/>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75.6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6"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20"/>
                              <w:spacing w:line="200" w:lineRule="exact"/>
                              <w:rPr>
                                <w:rFonts w:ascii="楷体_GB2312" w:hAnsi="宋体" w:eastAsia="楷体_GB2312"/>
                                <w:b/>
                                <w:bCs/>
                                <w:color w:val="000000"/>
                                <w:sz w:val="18"/>
                                <w:szCs w:val="18"/>
                              </w:rPr>
                            </w:pPr>
                          </w:p>
                          <w:p>
                            <w:pPr>
                              <w:pStyle w:val="22"/>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文本框 323"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senpzWAAAACQEAAA8AAAAAAAAAAQAgAAAAIgAAAGRycy9kb3du&#10;cmV2LnhtbFBLAQIUABQAAAAIAIdO4kCAEPyZAQIAANgDAAAOAAAAAAAAAAEAIAAAACUBAABkcnMv&#10;ZTJvRG9jLnhtbFBLBQYAAAAABgAGAFkBAACY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20"/>
                        <w:spacing w:line="200" w:lineRule="exact"/>
                        <w:rPr>
                          <w:rFonts w:ascii="楷体_GB2312" w:hAnsi="宋体" w:eastAsia="楷体_GB2312"/>
                          <w:b/>
                          <w:bCs/>
                          <w:color w:val="000000"/>
                          <w:sz w:val="18"/>
                          <w:szCs w:val="18"/>
                        </w:rPr>
                      </w:pPr>
                    </w:p>
                    <w:p>
                      <w:pPr>
                        <w:pStyle w:val="22"/>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仿宋" w:hAnsi="仿宋" w:eastAsia="仿宋" w:cs="仿宋"/>
          <w:color w:val="auto"/>
          <w:sz w:val="24"/>
          <w:szCs w:val="24"/>
          <w:highlight w:val="none"/>
        </w:rPr>
        <w:t>合同工程发生现场签证事件，未经发包人签证、确认，承包人便擅自实施相关工作的，除非征得发包人同意，否则发生的费用由承包人承担。</w:t>
      </w:r>
    </w:p>
    <w:p>
      <w:pPr>
        <w:pStyle w:val="22"/>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75.7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05"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文本框 324"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x6enNYAAAAJAQAADwAAAAAAAAABACAAAAAiAAAAZHJzL2Rvd25y&#10;ZXYueG1sUEsBAhQAFAAAAAgAh07iQEwP+GMAAgAA2AMAAA4AAAAAAAAAAQAgAAAAJQ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仿宋" w:hAnsi="仿宋" w:eastAsia="仿宋" w:cs="仿宋"/>
          <w:color w:val="auto"/>
          <w:sz w:val="24"/>
          <w:szCs w:val="24"/>
          <w:highlight w:val="none"/>
        </w:rPr>
        <w:t>现场签证工作完成后的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小时内，合同双方当事人应确认由此引起调整的合同价款，并作为追加合同价款，与工程进度款同期支付。</w:t>
      </w:r>
    </w:p>
    <w:p>
      <w:pPr>
        <w:pStyle w:val="22"/>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32" w:name="_Toc5209"/>
      <w:bookmarkStart w:id="433" w:name="_Toc469384060"/>
      <w:bookmarkStart w:id="434" w:name="_Toc25653686"/>
      <w:bookmarkStart w:id="435" w:name="_Toc87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76  </w:t>
      </w:r>
      <w:r>
        <w:rPr>
          <w:rFonts w:hint="eastAsia" w:ascii="仿宋" w:hAnsi="仿宋" w:eastAsia="仿宋" w:cs="仿宋"/>
          <w:b/>
          <w:bCs/>
          <w:color w:val="auto"/>
          <w:sz w:val="24"/>
          <w:szCs w:val="24"/>
          <w:highlight w:val="none"/>
        </w:rPr>
        <w:t>物价涨落事件</w:t>
      </w:r>
      <w:bookmarkEnd w:id="432"/>
      <w:bookmarkEnd w:id="433"/>
      <w:bookmarkEnd w:id="434"/>
      <w:bookmarkEnd w:id="435"/>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104"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rot="0" vert="horz" wrap="square" lIns="91440" tIns="45720" rIns="91440" bIns="45720" anchor="t" anchorCtr="0" upright="1">
                        <a:noAutofit/>
                      </wps:bodyPr>
                    </wps:wsp>
                  </a:graphicData>
                </a:graphic>
              </wp:anchor>
            </w:drawing>
          </mc:Choice>
          <mc:Fallback>
            <w:pict>
              <v:shape id="文本框 325"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Mqot1wAAAAoBAAAPAAAAAAAAAAEAIAAAACIAAABkcnMvZG93&#10;bnJldi54bWxQSwECFAAUAAAACACHTuJAFe9KVwECAADYAwAADgAAAAAAAAABACAAAAAm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ascii="仿宋" w:hAnsi="仿宋" w:eastAsia="仿宋" w:cs="仿宋"/>
          <w:b/>
          <w:bCs/>
          <w:color w:val="auto"/>
          <w:sz w:val="24"/>
          <w:szCs w:val="24"/>
          <w:highlight w:val="none"/>
        </w:rPr>
        <w:t xml:space="preserve">76.1      </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合同履行期间，除专用合同条款另有约定外，市场价格波动超过合同当事人约定的范围，合同价格应当调整。合同当事人可以在专用条款中约定按通用条款</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款选择一种方式对合同价格进行调整。</w:t>
      </w:r>
    </w:p>
    <w:p>
      <w:pPr>
        <w:spacing w:line="360" w:lineRule="auto"/>
        <w:ind w:firstLine="480" w:firstLineChars="200"/>
        <w:rPr>
          <w:rFonts w:ascii="仿宋" w:hAnsi="仿宋" w:eastAsia="仿宋"/>
          <w:color w:val="auto"/>
          <w:sz w:val="24"/>
          <w:szCs w:val="24"/>
          <w:highlight w:val="none"/>
        </w:rPr>
      </w:pPr>
    </w:p>
    <w:p>
      <w:pPr>
        <w:pStyle w:val="22"/>
        <w:tabs>
          <w:tab w:val="left" w:pos="54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103"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326"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z62X1wAAAAoBAAAPAAAAAAAAAAEAIAAAACIAAABkcnMvZG93&#10;bnJldi54bWxQSwECFAAUAAAACACHTuJAuSX0GAECAADYAwAADgAAAAAAAAABACAAAAAmAQAAZHJz&#10;L2Uyb0RvYy54bWxQSwUGAAAAAAYABgBZAQAAmQ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ascii="仿宋" w:hAnsi="仿宋" w:eastAsia="仿宋" w:cs="仿宋"/>
          <w:b/>
          <w:bCs/>
          <w:color w:val="auto"/>
          <w:sz w:val="24"/>
          <w:szCs w:val="24"/>
          <w:highlight w:val="none"/>
        </w:rPr>
        <w:t xml:space="preserve">76.2  </w:t>
      </w:r>
    </w:p>
    <w:p>
      <w:pPr>
        <w:pStyle w:val="22"/>
        <w:adjustRightInd w:val="0"/>
        <w:snapToGrid w:val="0"/>
        <w:spacing w:line="420" w:lineRule="exact"/>
        <w:ind w:left="1619" w:leftChars="771"/>
        <w:rPr>
          <w:color w:val="auto"/>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22"/>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76.3  </w:t>
      </w:r>
    </w:p>
    <w:p>
      <w:pPr>
        <w:spacing w:line="360" w:lineRule="auto"/>
        <w:ind w:firstLine="1470" w:firstLineChars="700"/>
        <w:rPr>
          <w:rFonts w:eastAsia="仿宋_GB2312"/>
          <w:color w:val="auto"/>
          <w:sz w:val="30"/>
          <w:szCs w:val="30"/>
          <w:highlight w:val="none"/>
        </w:rPr>
      </w:pPr>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102"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rot="0" vert="horz" wrap="square" lIns="91440" tIns="45720" rIns="91440" bIns="45720" anchor="t" anchorCtr="0" upright="1">
                        <a:noAutofit/>
                      </wps:bodyPr>
                    </wps:wsp>
                  </a:graphicData>
                </a:graphic>
              </wp:anchor>
            </w:drawing>
          </mc:Choice>
          <mc:Fallback>
            <w:pict>
              <v:shape id="文本框 327"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QLvP1gAAAAkBAAAPAAAAAAAAAAEAIAAAACIAAABkcnMvZG93bnJl&#10;di54bWxQSwECFAAUAAAACACHTuJApsBeT/8BAADZAwAADgAAAAAAAAABACAAAAAl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w:t>
      </w:r>
    </w:p>
    <w:p>
      <w:pPr>
        <w:spacing w:line="360" w:lineRule="auto"/>
        <w:ind w:left="1438" w:leftChars="685"/>
        <w:rPr>
          <w:color w:val="auto"/>
          <w:highlight w:val="none"/>
        </w:rPr>
      </w:pPr>
      <w:r>
        <w:rPr>
          <w:rFonts w:hint="eastAsia" w:ascii="仿宋" w:hAnsi="仿宋" w:eastAsia="仿宋" w:cs="仿宋"/>
          <w:color w:val="auto"/>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60" w:lineRule="auto"/>
        <w:ind w:left="1559" w:leftChars="628" w:hanging="240" w:hanging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）材料、工程设备价格变化的价款调整按照发包人提供的基准价格，按以下风险范围规定执行</w:t>
      </w:r>
      <w:r>
        <w:rPr>
          <w:rFonts w:ascii="仿宋" w:hAnsi="仿宋" w:eastAsia="仿宋" w:cs="仿宋"/>
          <w:color w:val="auto"/>
          <w:sz w:val="24"/>
          <w:szCs w:val="24"/>
          <w:highlight w:val="none"/>
        </w:rPr>
        <w:t>:</w:t>
      </w:r>
    </w:p>
    <w:p>
      <w:pPr>
        <w:spacing w:line="360" w:lineRule="auto"/>
        <w:ind w:left="1514" w:leftChars="721"/>
        <w:rPr>
          <w:rFonts w:ascii="仿宋" w:hAnsi="仿宋" w:eastAsia="仿宋"/>
          <w:color w:val="auto"/>
          <w:sz w:val="24"/>
          <w:szCs w:val="24"/>
          <w:highlight w:val="none"/>
        </w:rPr>
      </w:pPr>
      <w:r>
        <w:rPr>
          <w:rFonts w:hint="eastAsia" w:ascii="仿宋" w:hAnsi="仿宋" w:eastAsia="仿宋" w:cs="仿宋"/>
          <w:color w:val="auto"/>
          <w:sz w:val="24"/>
          <w:szCs w:val="24"/>
          <w:highlight w:val="none"/>
        </w:rPr>
        <w:t>①承包人在已标价工程量清单或预算书中载明材料单价低于基准价格的：除专用合同条款另有约定外，合同履行期间材料单价涨幅以基准价格为基础超</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时，或材料单价跌幅以在已标价工程量清单或预算书中载明材料单价为基础超过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14" w:leftChars="721"/>
        <w:rPr>
          <w:rFonts w:ascii="仿宋" w:hAnsi="仿宋" w:eastAsia="仿宋"/>
          <w:color w:val="auto"/>
          <w:sz w:val="24"/>
          <w:szCs w:val="24"/>
          <w:highlight w:val="none"/>
        </w:rPr>
      </w:pPr>
      <w:r>
        <w:rPr>
          <w:rFonts w:hint="eastAsia" w:ascii="仿宋" w:hAnsi="仿宋" w:eastAsia="仿宋" w:cs="仿宋"/>
          <w:color w:val="auto"/>
          <w:sz w:val="24"/>
          <w:szCs w:val="24"/>
          <w:highlight w:val="none"/>
        </w:rPr>
        <w:t>②承包人在已标价工程量清单或预算书中载明材料单价高于基准价格的：除专用合同条款另有约定外，合同履行期间材料单价跌幅以基准价格为基础超过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时，材料单价涨</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14" w:leftChars="721"/>
        <w:rPr>
          <w:rFonts w:eastAsia="仿宋_GB2312"/>
          <w:color w:val="auto"/>
          <w:sz w:val="30"/>
          <w:szCs w:val="30"/>
          <w:highlight w:val="none"/>
        </w:rPr>
      </w:pPr>
      <w:r>
        <w:rPr>
          <w:rFonts w:hint="eastAsia" w:ascii="仿宋" w:hAnsi="仿宋" w:eastAsia="仿宋" w:cs="仿宋"/>
          <w:color w:val="auto"/>
          <w:sz w:val="24"/>
          <w:szCs w:val="24"/>
          <w:highlight w:val="none"/>
        </w:rPr>
        <w:t>③承包人在已标价工程量清单或预算书中载明材料单价等于基准价格的：除专用合同条款另有约定外，合同履行期间材料单价涨跌幅以基准价格为基础超过±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29" w:leftChars="728"/>
        <w:rPr>
          <w:rFonts w:eastAsia="仿宋_GB2312"/>
          <w:color w:val="auto"/>
          <w:sz w:val="30"/>
          <w:szCs w:val="30"/>
          <w:highlight w:val="none"/>
        </w:rPr>
      </w:pPr>
      <w:r>
        <w:rPr>
          <w:rFonts w:hint="eastAsia" w:ascii="仿宋" w:hAnsi="仿宋" w:eastAsia="仿宋" w:cs="仿宋"/>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left="1470" w:leftChars="7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）施工机械台班单价或施工机械使用费发生变化超过省级或行业建设主管部门或其授权的工程造价管理机构规定的范围时，按规定调整合同价格。</w:t>
      </w:r>
    </w:p>
    <w:p>
      <w:pPr>
        <w:rPr>
          <w:rFonts w:ascii="仿宋" w:hAnsi="仿宋" w:eastAsia="仿宋"/>
          <w:color w:val="auto"/>
          <w:sz w:val="24"/>
          <w:szCs w:val="24"/>
          <w:highlight w:val="none"/>
        </w:rPr>
      </w:pPr>
    </w:p>
    <w:p>
      <w:pPr>
        <w:ind w:firstLine="1680" w:firstLineChars="700"/>
        <w:rPr>
          <w:color w:val="auto"/>
          <w:highlight w:val="none"/>
        </w:rPr>
      </w:pP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种方式：专用合同条款约定的其他方式。</w:t>
      </w:r>
    </w:p>
    <w:p>
      <w:pPr>
        <w:rPr>
          <w:color w:val="auto"/>
          <w:highlight w:val="none"/>
        </w:rPr>
      </w:pPr>
    </w:p>
    <w:p>
      <w:pPr>
        <w:pStyle w:val="22"/>
        <w:tabs>
          <w:tab w:val="left" w:pos="540"/>
        </w:tabs>
        <w:adjustRightInd w:val="0"/>
        <w:snapToGrid w:val="0"/>
        <w:spacing w:line="48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76.4</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天内不予答复的视为认可，作为调整合同价格的依据。未经发包人事先核对，承包人自行采购材料的，发包人有权不予调整合同价格。发包人同意的，可以调整合同价格。</w:t>
      </w:r>
      <w:r>
        <w:rPr>
          <w:color w:val="auto"/>
          <w:highlight w:val="none"/>
          <w:lang w:val="en-US"/>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101"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rot="0" vert="horz" wrap="square" lIns="91440" tIns="45720" rIns="91440" bIns="45720" anchor="t" anchorCtr="0" upright="1">
                        <a:noAutofit/>
                      </wps:bodyPr>
                    </wps:wsp>
                  </a:graphicData>
                </a:graphic>
              </wp:anchor>
            </w:drawing>
          </mc:Choice>
          <mc:Fallback>
            <w:pict>
              <v:shape id="文本框 328"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jPssHWAAAACQEAAA8AAAAAAAAAAQAgAAAAIgAAAGRycy9kb3du&#10;cmV2LnhtbFBLAQIUABQAAAAIAIdO4kBnO5QwAQIAANgDAAAOAAAAAAAAAAEAIAAAACUBAABkcnMv&#10;ZTJvRG9jLnhtbFBLBQYAAAAABgAGAFkBAACYBQ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pPr>
        <w:pStyle w:val="22"/>
        <w:adjustRightInd w:val="0"/>
        <w:snapToGrid w:val="0"/>
        <w:spacing w:line="420" w:lineRule="exact"/>
        <w:ind w:left="1619" w:leftChars="771" w:firstLine="9600" w:firstLineChars="4000"/>
        <w:rPr>
          <w:rFonts w:ascii="仿宋" w:hAnsi="仿宋" w:eastAsia="仿宋"/>
          <w:color w:val="auto"/>
          <w:sz w:val="24"/>
          <w:szCs w:val="24"/>
          <w:highlight w:val="none"/>
        </w:rPr>
      </w:pPr>
      <w:r>
        <w:rPr>
          <w:rFonts w:hint="eastAsia" w:ascii="仿宋" w:hAnsi="仿宋" w:eastAsia="仿宋" w:cs="仿宋"/>
          <w:color w:val="auto"/>
          <w:sz w:val="24"/>
          <w:szCs w:val="24"/>
          <w:highlight w:val="none"/>
        </w:rPr>
        <w:t>承</w:t>
      </w:r>
    </w:p>
    <w:p>
      <w:pPr>
        <w:pStyle w:val="22"/>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76.5 </w:t>
      </w:r>
    </w:p>
    <w:p>
      <w:pPr>
        <w:pStyle w:val="22"/>
        <w:adjustRightInd w:val="0"/>
        <w:snapToGrid w:val="0"/>
        <w:spacing w:line="420" w:lineRule="exact"/>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00"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rFonts w:ascii="楷体_GB2312"/>
                                <w:sz w:val="18"/>
                                <w:szCs w:val="18"/>
                              </w:rPr>
                            </w:pPr>
                            <w:r>
                              <w:rPr>
                                <w:rFonts w:hint="eastAsia" w:ascii="楷体_GB2312" w:hAnsi="宋体" w:eastAsia="楷体_GB2312" w:cs="楷体_GB2312"/>
                                <w:b/>
                                <w:bCs/>
                                <w:color w:val="000000"/>
                                <w:sz w:val="18"/>
                                <w:szCs w:val="18"/>
                              </w:rPr>
                              <w:t>发包人供应材料设备的价款调整</w:t>
                            </w:r>
                          </w:p>
                        </w:txbxContent>
                      </wps:txbx>
                      <wps:bodyPr rot="0" vert="horz" wrap="square" lIns="91440" tIns="45720" rIns="91440" bIns="45720" anchor="t" anchorCtr="0" upright="1">
                        <a:noAutofit/>
                      </wps:bodyPr>
                    </wps:wsp>
                  </a:graphicData>
                </a:graphic>
              </wp:anchor>
            </w:drawing>
          </mc:Choice>
          <mc:Fallback>
            <w:pict>
              <v:shape id="文本框 329"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yAwH1QAAAAkBAAAPAAAAAAAAAAEAIAAAACIAAABkcnMvZG93bnJl&#10;di54bWxQSwECFAAUAAAACACHTuJAtMI51gACAADYAwAADgAAAAAAAAABACAAAAAkAQAAZHJzL2Uy&#10;b0RvYy54bWxQSwUGAAAAAAYABgBZAQAAlgUAAAAA&#10;">
                <v:fill on="f" focussize="0,0"/>
                <v:stroke on="f"/>
                <v:imagedata o:title=""/>
                <o:lock v:ext="edit" aspectratio="f"/>
                <v:textbox>
                  <w:txbxContent>
                    <w:p>
                      <w:pPr>
                        <w:pStyle w:val="20"/>
                        <w:spacing w:line="200" w:lineRule="exact"/>
                        <w:rPr>
                          <w:rFonts w:ascii="楷体_GB2312"/>
                          <w:sz w:val="18"/>
                          <w:szCs w:val="18"/>
                        </w:rPr>
                      </w:pPr>
                      <w:r>
                        <w:rPr>
                          <w:rFonts w:hint="eastAsia" w:ascii="楷体_GB2312" w:hAnsi="宋体" w:eastAsia="楷体_GB2312" w:cs="楷体_GB2312"/>
                          <w:b/>
                          <w:bCs/>
                          <w:color w:val="000000"/>
                          <w:sz w:val="18"/>
                          <w:szCs w:val="18"/>
                        </w:rPr>
                        <w:t>发包人供应材料设备的价款调整</w:t>
                      </w:r>
                    </w:p>
                  </w:txbxContent>
                </v:textbox>
              </v:shape>
            </w:pict>
          </mc:Fallback>
        </mc:AlternateContent>
      </w:r>
      <w:r>
        <w:rPr>
          <w:rFonts w:hint="eastAsia" w:ascii="仿宋" w:hAnsi="仿宋" w:eastAsia="仿宋" w:cs="仿宋"/>
          <w:color w:val="auto"/>
          <w:sz w:val="24"/>
          <w:szCs w:val="24"/>
          <w:highlight w:val="none"/>
        </w:rPr>
        <w:t>发包人供应材料和工程设备的，由发包人按照实际变化调整，列入合同工程的工程造价内。</w:t>
      </w:r>
    </w:p>
    <w:p>
      <w:pPr>
        <w:pStyle w:val="22"/>
        <w:adjustRightInd w:val="0"/>
        <w:snapToGrid w:val="0"/>
        <w:ind w:right="-238"/>
        <w:rPr>
          <w:rFonts w:ascii="仿宋" w:hAnsi="仿宋" w:eastAsia="仿宋"/>
          <w:b/>
          <w:bCs/>
          <w:color w:val="auto"/>
          <w:sz w:val="24"/>
          <w:szCs w:val="24"/>
          <w:highlight w:val="none"/>
          <w:u w:val="single"/>
        </w:rPr>
      </w:pPr>
    </w:p>
    <w:p>
      <w:pPr>
        <w:pStyle w:val="9"/>
        <w:tabs>
          <w:tab w:val="left" w:pos="420"/>
        </w:tabs>
        <w:rPr>
          <w:rFonts w:ascii="仿宋" w:hAnsi="仿宋" w:eastAsia="仿宋"/>
          <w:b/>
          <w:bCs/>
          <w:color w:val="auto"/>
          <w:highlight w:val="none"/>
        </w:rPr>
      </w:pPr>
      <w:bookmarkStart w:id="436" w:name="_Toc12212"/>
      <w:bookmarkStart w:id="437" w:name="_Toc12184"/>
      <w:bookmarkStart w:id="438" w:name="_Toc25653687"/>
      <w:bookmarkStart w:id="439" w:name="_Toc469384061"/>
      <w:r>
        <w:rPr>
          <w:rFonts w:hint="eastAsia" w:ascii="仿宋" w:hAnsi="仿宋" w:eastAsia="仿宋" w:cs="仿宋"/>
          <w:b/>
          <w:bCs/>
          <w:color w:val="auto"/>
          <w:highlight w:val="none"/>
        </w:rPr>
        <w:t>★</w:t>
      </w:r>
      <w:r>
        <w:rPr>
          <w:rFonts w:ascii="仿宋" w:hAnsi="仿宋" w:eastAsia="仿宋" w:cs="仿宋"/>
          <w:bCs/>
          <w:color w:val="auto"/>
          <w:highlight w:val="none"/>
        </w:rPr>
        <w:t xml:space="preserve">77  </w:t>
      </w:r>
      <w:r>
        <w:rPr>
          <w:rFonts w:hint="eastAsia" w:ascii="仿宋" w:hAnsi="仿宋" w:eastAsia="仿宋" w:cs="仿宋"/>
          <w:bCs/>
          <w:color w:val="auto"/>
          <w:highlight w:val="none"/>
        </w:rPr>
        <w:t>合同价款调整程序</w:t>
      </w:r>
      <w:bookmarkEnd w:id="436"/>
      <w:bookmarkEnd w:id="437"/>
      <w:bookmarkEnd w:id="438"/>
      <w:bookmarkEnd w:id="439"/>
    </w:p>
    <w:p>
      <w:pPr>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77.1</w:t>
      </w:r>
    </w:p>
    <w:p>
      <w:pPr>
        <w:spacing w:line="360" w:lineRule="auto"/>
        <w:ind w:left="1619" w:leftChars="771" w:firstLine="2"/>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99"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pStyle w:val="20"/>
                              <w:spacing w:line="200" w:lineRule="exact"/>
                            </w:pPr>
                            <w:r>
                              <w:rPr>
                                <w:rFonts w:hint="eastAsia" w:ascii="楷体_GB2312" w:hAnsi="宋体" w:eastAsia="楷体_GB2312" w:cs="楷体_GB2312"/>
                                <w:b/>
                                <w:bCs/>
                                <w:color w:val="000000"/>
                                <w:sz w:val="18"/>
                                <w:szCs w:val="18"/>
                              </w:rPr>
                              <w:t>合同价款调整程序的规定</w:t>
                            </w:r>
                          </w:p>
                        </w:txbxContent>
                      </wps:txbx>
                      <wps:bodyPr rot="0" vert="horz" wrap="square" lIns="91440" tIns="45720" rIns="91440" bIns="45720" anchor="t" anchorCtr="0" upright="1">
                        <a:noAutofit/>
                      </wps:bodyPr>
                    </wps:wsp>
                  </a:graphicData>
                </a:graphic>
              </wp:anchor>
            </w:drawing>
          </mc:Choice>
          <mc:Fallback>
            <w:pict>
              <v:shape id="文本框 330"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4+31gAAAAkBAAAPAAAAAAAAAAEAIAAAACIAAABkcnMvZG93bnJl&#10;di54bWxQSwECFAAUAAAACACHTuJAwjDlxv8BAADXAwAADgAAAAAAAAABACAAAAAlAQAAZHJzL2Uy&#10;b0RvYy54bWxQSwUGAAAAAAYABgBZAQAAlgUAAAAA&#10;">
                <v:fill on="f" focussize="0,0"/>
                <v:stroke on="f"/>
                <v:imagedata o:title=""/>
                <o:lock v:ext="edit" aspectratio="f"/>
                <v:textbox>
                  <w:txbxContent>
                    <w:p>
                      <w:pPr>
                        <w:pStyle w:val="20"/>
                        <w:spacing w:line="200" w:lineRule="exact"/>
                      </w:pPr>
                      <w:r>
                        <w:rPr>
                          <w:rFonts w:hint="eastAsia" w:ascii="楷体_GB2312" w:hAnsi="宋体" w:eastAsia="楷体_GB2312" w:cs="楷体_GB2312"/>
                          <w:b/>
                          <w:bCs/>
                          <w:color w:val="000000"/>
                          <w:sz w:val="18"/>
                          <w:szCs w:val="18"/>
                        </w:rPr>
                        <w:t>合同价款调整程序的规定</w:t>
                      </w:r>
                    </w:p>
                  </w:txbxContent>
                </v:textbox>
              </v:shape>
            </w:pict>
          </mc:Fallback>
        </mc:AlternateContent>
      </w: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条规定程序外，合同双方当事人应按照本条规定程序调整合同价款。</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98"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a:effectLst/>
                      </wps:spPr>
                      <wps:txbx>
                        <w:txbxContent>
                          <w:p>
                            <w:pPr>
                              <w:pStyle w:val="20"/>
                              <w:spacing w:line="200" w:lineRule="exact"/>
                              <w:rPr>
                                <w:rFonts w:ascii="楷体_GB2312"/>
                                <w:sz w:val="18"/>
                                <w:szCs w:val="18"/>
                              </w:rPr>
                            </w:pPr>
                            <w:r>
                              <w:rPr>
                                <w:rFonts w:hint="eastAsia" w:ascii="楷体_GB2312" w:hAnsi="宋体" w:eastAsia="楷体_GB2312" w:cs="楷体_GB2312"/>
                                <w:b/>
                                <w:bCs/>
                                <w:color w:val="000000"/>
                                <w:sz w:val="18"/>
                                <w:szCs w:val="18"/>
                              </w:rPr>
                              <w:t>合同价款调增报告的提出</w:t>
                            </w:r>
                          </w:p>
                          <w:p>
                            <w:pPr>
                              <w:pStyle w:val="35"/>
                              <w:spacing w:line="200" w:lineRule="exact"/>
                              <w:ind w:firstLine="392"/>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331"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C8H/tUAAAAJAQAADwAAAAAAAAABACAAAAAiAAAAZHJzL2Rvd25y&#10;ZXYueG1sUEsBAhQAFAAAAAgAh07iQMgXCSQBAgAA1wMAAA4AAAAAAAAAAQAgAAAAJAEAAGRycy9l&#10;Mm9Eb2MueG1sUEsFBgAAAAAGAAYAWQEAAJcFAAAAAA==&#10;">
                <v:fill on="f" focussize="0,0"/>
                <v:stroke on="f"/>
                <v:imagedata o:title=""/>
                <o:lock v:ext="edit" aspectratio="f"/>
                <v:textbox>
                  <w:txbxContent>
                    <w:p>
                      <w:pPr>
                        <w:pStyle w:val="20"/>
                        <w:spacing w:line="200" w:lineRule="exact"/>
                        <w:rPr>
                          <w:rFonts w:ascii="楷体_GB2312"/>
                          <w:sz w:val="18"/>
                          <w:szCs w:val="18"/>
                        </w:rPr>
                      </w:pPr>
                      <w:r>
                        <w:rPr>
                          <w:rFonts w:hint="eastAsia" w:ascii="楷体_GB2312" w:hAnsi="宋体" w:eastAsia="楷体_GB2312" w:cs="楷体_GB2312"/>
                          <w:b/>
                          <w:bCs/>
                          <w:color w:val="000000"/>
                          <w:sz w:val="18"/>
                          <w:szCs w:val="18"/>
                        </w:rPr>
                        <w:t>合同价款调增报告的提出</w:t>
                      </w:r>
                    </w:p>
                    <w:p>
                      <w:pPr>
                        <w:pStyle w:val="35"/>
                        <w:spacing w:line="200" w:lineRule="exact"/>
                        <w:ind w:firstLine="392"/>
                        <w:rPr>
                          <w:sz w:val="18"/>
                          <w:szCs w:val="18"/>
                        </w:rPr>
                      </w:pPr>
                    </w:p>
                  </w:txbxContent>
                </v:textbox>
              </v:shape>
            </w:pict>
          </mc:Fallback>
        </mc:AlternateContent>
      </w:r>
      <w:r>
        <w:rPr>
          <w:rFonts w:ascii="仿宋" w:hAnsi="仿宋" w:eastAsia="仿宋" w:cs="仿宋"/>
          <w:b/>
          <w:bCs/>
          <w:color w:val="auto"/>
          <w:sz w:val="24"/>
          <w:szCs w:val="24"/>
          <w:highlight w:val="none"/>
        </w:rPr>
        <w:t xml:space="preserve">77.2 </w:t>
      </w:r>
    </w:p>
    <w:p>
      <w:pPr>
        <w:pStyle w:val="22"/>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天内，承包人应向造价工程师提交合同价款调增报告。并附上相关资料。如承包人在出现合同价款调增事件后的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天内未提交合同价款调增报告的，则造价工程师可在报发包人批准后，根据实际情况决定是否调整合同价款以及调整的金额。</w:t>
      </w:r>
    </w:p>
    <w:p>
      <w:pPr>
        <w:pStyle w:val="22"/>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77.3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97"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20"/>
                              <w:spacing w:line="200" w:lineRule="exact"/>
                              <w:rPr>
                                <w:rFonts w:ascii="楷体_GB2312"/>
                                <w:b/>
                                <w:sz w:val="18"/>
                                <w:szCs w:val="18"/>
                              </w:rPr>
                            </w:pPr>
                            <w:r>
                              <w:rPr>
                                <w:rFonts w:hint="eastAsia" w:ascii="楷体_GB2312" w:hAnsi="宋体" w:eastAsia="楷体_GB2312" w:cs="楷体_GB2312"/>
                                <w:b/>
                                <w:bCs/>
                                <w:color w:val="000000"/>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332"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IYRtUAAAAIAQAADwAAAAAAAAABACAAAAAiAAAAZHJzL2Rvd25y&#10;ZXYueG1sUEsBAhQAFAAAAAgAh07iQJkYcQo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b/>
                          <w:sz w:val="18"/>
                          <w:szCs w:val="18"/>
                        </w:rPr>
                      </w:pPr>
                      <w:r>
                        <w:rPr>
                          <w:rFonts w:hint="eastAsia" w:ascii="楷体_GB2312" w:hAnsi="宋体" w:eastAsia="楷体_GB2312" w:cs="楷体_GB2312"/>
                          <w:b/>
                          <w:bCs/>
                          <w:color w:val="000000"/>
                          <w:sz w:val="18"/>
                          <w:szCs w:val="18"/>
                        </w:rPr>
                        <w:t>调增价款的核实</w:t>
                      </w:r>
                    </w:p>
                  </w:txbxContent>
                </v:textbox>
              </v:shape>
            </w:pict>
          </mc:Fallback>
        </mc:AlternateContent>
      </w:r>
      <w:r>
        <w:rPr>
          <w:rFonts w:hint="eastAsia" w:ascii="仿宋" w:hAnsi="仿宋" w:eastAsia="仿宋" w:cs="仿宋"/>
          <w:color w:val="auto"/>
          <w:sz w:val="24"/>
          <w:szCs w:val="24"/>
          <w:highlight w:val="none"/>
        </w:rPr>
        <w:t>造价工程师应在收到合同价款调增报告及相关资料之日起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天内对其核实，并予以确认或提出协商意见。造价工程师在收到合同价款调增报告之日起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天内未确认也未提出协商意见的，视为承包人提交的合同价款调增报告已被认可。造价工程师提出协商意见的，合同双方当事人应在承包人收到协商意见后的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22"/>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77.4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96"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333"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IYRtUAAAAIAQAADwAAAAAAAAABACAAAAAiAAAAZHJzL2Rvd25y&#10;ZXYueG1sUEsBAhQAFAAAAAgAh07iQH/ooOABAgAA2A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调增价款的支付</w:t>
                      </w:r>
                    </w:p>
                  </w:txbxContent>
                </v:textbox>
              </v:shape>
            </w:pict>
          </mc:Fallback>
        </mc:AlternateContent>
      </w:r>
      <w:r>
        <w:rPr>
          <w:rFonts w:hint="eastAsia" w:ascii="仿宋" w:hAnsi="仿宋" w:eastAsia="仿宋" w:cs="仿宋"/>
          <w:color w:val="auto"/>
          <w:sz w:val="24"/>
          <w:szCs w:val="24"/>
          <w:highlight w:val="none"/>
        </w:rPr>
        <w:t>经合同双方当事人确认或造价工程师暂定调增的合同价款，作为追加合同价款，与工程进度款或结算款同期支付。</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77.5 </w:t>
      </w:r>
    </w:p>
    <w:p>
      <w:pPr>
        <w:pStyle w:val="22"/>
        <w:adjustRightInd w:val="0"/>
        <w:snapToGrid w:val="0"/>
        <w:spacing w:line="360" w:lineRule="auto"/>
        <w:ind w:left="1606" w:leftChars="765"/>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95"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合同价款调减事件的处理</w:t>
                            </w:r>
                          </w:p>
                        </w:txbxContent>
                      </wps:txbx>
                      <wps:bodyPr rot="0" vert="horz" wrap="square" lIns="91440" tIns="45720" rIns="91440" bIns="45720" anchor="t" anchorCtr="0" upright="1">
                        <a:noAutofit/>
                      </wps:bodyPr>
                    </wps:wsp>
                  </a:graphicData>
                </a:graphic>
              </wp:anchor>
            </w:drawing>
          </mc:Choice>
          <mc:Fallback>
            <w:pict>
              <v:shape id="文本框 334"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ZqXjnTAAAABwEAAA8AAAAAAAAAAQAgAAAAIgAAAGRycy9kb3ducmV2&#10;LnhtbFBLAQIUABQAAAAIAIdO4kAGfongAQIAANgDAAAOAAAAAAAAAAEAIAAAACIBAABkcnMvZTJv&#10;RG9jLnhtbFBLBQYAAAAABgAGAFkBAACVBQ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合同价款调减事件的处理</w:t>
                      </w:r>
                    </w:p>
                  </w:txbxContent>
                </v:textbox>
              </v:shape>
            </w:pict>
          </mc:Fallback>
        </mc:AlternateContent>
      </w:r>
      <w:r>
        <w:rPr>
          <w:rFonts w:hint="eastAsia" w:ascii="仿宋" w:hAnsi="仿宋" w:eastAsia="仿宋" w:cs="仿宋"/>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pPr>
        <w:pStyle w:val="22"/>
        <w:adjustRightInd w:val="0"/>
        <w:snapToGrid w:val="0"/>
        <w:ind w:left="1626" w:right="-238" w:hanging="1626" w:hangingChars="675"/>
        <w:rPr>
          <w:rFonts w:ascii="仿宋" w:hAnsi="仿宋" w:eastAsia="仿宋"/>
          <w:b/>
          <w:bCs/>
          <w:color w:val="auto"/>
          <w:sz w:val="24"/>
          <w:szCs w:val="24"/>
          <w:highlight w:val="none"/>
          <w:u w:val="single"/>
        </w:rPr>
      </w:pPr>
    </w:p>
    <w:p>
      <w:pPr>
        <w:pStyle w:val="9"/>
        <w:tabs>
          <w:tab w:val="left" w:pos="420"/>
        </w:tabs>
        <w:rPr>
          <w:rFonts w:ascii="仿宋" w:hAnsi="仿宋" w:eastAsia="仿宋"/>
          <w:color w:val="auto"/>
          <w:highlight w:val="none"/>
        </w:rPr>
      </w:pPr>
      <w:bookmarkStart w:id="440" w:name="_Toc469384062"/>
      <w:bookmarkStart w:id="441" w:name="_Toc25653688"/>
      <w:bookmarkStart w:id="442" w:name="_Toc3580"/>
      <w:bookmarkStart w:id="443" w:name="_Toc23397"/>
      <w:r>
        <w:rPr>
          <w:rFonts w:hint="eastAsia" w:ascii="仿宋" w:hAnsi="仿宋" w:eastAsia="仿宋" w:cs="仿宋"/>
          <w:b/>
          <w:bCs/>
          <w:color w:val="auto"/>
          <w:highlight w:val="none"/>
        </w:rPr>
        <w:t>★</w:t>
      </w:r>
      <w:r>
        <w:rPr>
          <w:rFonts w:ascii="仿宋" w:hAnsi="仿宋" w:eastAsia="仿宋" w:cs="仿宋"/>
          <w:color w:val="auto"/>
          <w:highlight w:val="none"/>
        </w:rPr>
        <w:t xml:space="preserve">78  </w:t>
      </w:r>
      <w:r>
        <w:rPr>
          <w:rFonts w:hint="eastAsia" w:ascii="仿宋" w:hAnsi="仿宋" w:eastAsia="仿宋" w:cs="仿宋"/>
          <w:color w:val="auto"/>
          <w:highlight w:val="none"/>
        </w:rPr>
        <w:t>支付事项</w:t>
      </w:r>
      <w:bookmarkEnd w:id="440"/>
      <w:bookmarkEnd w:id="441"/>
      <w:bookmarkEnd w:id="442"/>
      <w:bookmarkEnd w:id="44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78.1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94"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支付工程款项</w:t>
                            </w:r>
                          </w:p>
                        </w:txbxContent>
                      </wps:txbx>
                      <wps:bodyPr rot="0" vert="horz" wrap="square" lIns="91440" tIns="45720" rIns="91440" bIns="45720" anchor="t" anchorCtr="0" upright="1">
                        <a:noAutofit/>
                      </wps:bodyPr>
                    </wps:wsp>
                  </a:graphicData>
                </a:graphic>
              </wp:anchor>
            </w:drawing>
          </mc:Choice>
          <mc:Fallback>
            <w:pict>
              <v:shape id="文本框 335"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aF9MvVAAAACAEAAA8AAAAAAAAAAQAgAAAAIgAAAGRycy9kb3du&#10;cmV2LnhtbFBLAQIUABQAAAAIAIdO4kCPRffYAgIAANgDAAAOAAAAAAAAAAEAIAAAACQBAABkcnMv&#10;ZTJvRG9jLnhtbFBLBQYAAAAABgAGAFkBAACYBQ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支付工程款项</w:t>
                      </w:r>
                    </w:p>
                  </w:txbxContent>
                </v:textbox>
              </v:shape>
            </w:pict>
          </mc:Fallback>
        </mc:AlternateContent>
      </w:r>
      <w:r>
        <w:rPr>
          <w:rFonts w:hint="eastAsia" w:ascii="仿宋" w:hAnsi="仿宋" w:eastAsia="仿宋" w:cs="仿宋"/>
          <w:color w:val="auto"/>
          <w:sz w:val="24"/>
          <w:szCs w:val="24"/>
          <w:highlight w:val="none"/>
        </w:rPr>
        <w:t>发包人应按照下列规定向承包人支付工程款及其他各种款项：</w:t>
      </w:r>
    </w:p>
    <w:p>
      <w:pPr>
        <w:pStyle w:val="22"/>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预付款按照第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条的规定支付；</w:t>
      </w:r>
    </w:p>
    <w:p>
      <w:pPr>
        <w:pStyle w:val="22"/>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绿色施工安全防护费按照第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条规定支付；</w:t>
      </w:r>
    </w:p>
    <w:p>
      <w:pPr>
        <w:pStyle w:val="22"/>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进度款按照第</w:t>
      </w:r>
      <w:r>
        <w:rPr>
          <w:rFonts w:ascii="仿宋" w:hAnsi="仿宋" w:eastAsia="仿宋" w:cs="仿宋"/>
          <w:color w:val="auto"/>
          <w:sz w:val="24"/>
          <w:szCs w:val="24"/>
          <w:highlight w:val="none"/>
        </w:rPr>
        <w:t>81</w:t>
      </w:r>
      <w:r>
        <w:rPr>
          <w:rFonts w:hint="eastAsia" w:ascii="仿宋" w:hAnsi="仿宋" w:eastAsia="仿宋" w:cs="仿宋"/>
          <w:color w:val="auto"/>
          <w:sz w:val="24"/>
          <w:szCs w:val="24"/>
          <w:highlight w:val="none"/>
        </w:rPr>
        <w:t>条的规定支付；</w:t>
      </w:r>
    </w:p>
    <w:p>
      <w:pPr>
        <w:pStyle w:val="22"/>
        <w:adjustRightInd w:val="0"/>
        <w:snapToGrid w:val="0"/>
        <w:spacing w:line="360" w:lineRule="auto"/>
        <w:ind w:left="481" w:leftChars="229" w:firstLine="1320" w:firstLineChars="550"/>
        <w:rPr>
          <w:rFonts w:ascii="仿宋" w:hAnsi="仿宋" w:eastAsia="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结算款按照第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条的规定支付；</w:t>
      </w:r>
    </w:p>
    <w:p>
      <w:pPr>
        <w:pStyle w:val="22"/>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质量保证金按照第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条的规定支付；</w:t>
      </w:r>
    </w:p>
    <w:p>
      <w:pPr>
        <w:pStyle w:val="22"/>
        <w:adjustRightInd w:val="0"/>
        <w:snapToGrid w:val="0"/>
        <w:spacing w:line="360" w:lineRule="auto"/>
        <w:ind w:left="1079" w:leftChars="514" w:firstLine="720" w:firstLineChars="30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w:t>
      </w:r>
      <w:r>
        <w:rPr>
          <w:rFonts w:hint="eastAsia" w:ascii="仿宋" w:hAnsi="仿宋" w:eastAsia="仿宋" w:cs="仿宋"/>
          <w:color w:val="auto"/>
          <w:sz w:val="24"/>
          <w:szCs w:val="24"/>
          <w:highlight w:val="none"/>
        </w:rPr>
        <w:t>条的规定支付。</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78.2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93"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336"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4J2j1AAAAAgBAAAPAAAAAAAAAAEAIAAAACIAAABkcnMvZG93bnJl&#10;di54bWxQSwECFAAUAAAACACHTuJAFNiNwwECAADXAwAADgAAAAAAAAABACAAAAAj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延迟支付的利息计算</w:t>
                      </w:r>
                    </w:p>
                  </w:txbxContent>
                </v:textbox>
              </v:shape>
            </w:pict>
          </mc:Fallback>
        </mc:AlternateContent>
      </w:r>
      <w:r>
        <w:rPr>
          <w:rFonts w:hint="eastAsia" w:ascii="仿宋" w:hAnsi="仿宋" w:eastAsia="仿宋" w:cs="仿宋"/>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78.3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92"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337"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q7ui1AAAAAcBAAAPAAAAAAAAAAEAIAAAACIAAABkcnMvZG93bnJl&#10;di54bWxQSwECFAAUAAAACACHTuJAYCONDwECAADXAwAADgAAAAAAAAABACAAAAAjAQAAZHJzL2Uy&#10;b0RvYy54bWxQSwUGAAAAAAYABgBZAQAAlgU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承包人提供支付凭证</w:t>
                      </w:r>
                    </w:p>
                  </w:txbxContent>
                </v:textbox>
              </v:shape>
            </w:pict>
          </mc:Fallback>
        </mc:AlternateContent>
      </w:r>
      <w:r>
        <w:rPr>
          <w:rFonts w:hint="eastAsia" w:ascii="仿宋" w:hAnsi="仿宋" w:eastAsia="仿宋" w:cs="仿宋"/>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78.4  </w:t>
      </w:r>
    </w:p>
    <w:p>
      <w:pPr>
        <w:pStyle w:val="22"/>
        <w:adjustRightInd w:val="0"/>
        <w:snapToGrid w:val="0"/>
        <w:spacing w:line="420" w:lineRule="exact"/>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91"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文本框 338"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Unsp9UAAAAIAQAADwAAAAAAAAABACAAAAAiAAAAZHJzL2Rvd25y&#10;ZXYueG1sUEsBAhQAFAAAAAgAh07iQIh9vGkBAgAA1w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承包人未按规定支付款项的限制</w:t>
                      </w:r>
                    </w:p>
                  </w:txbxContent>
                </v:textbox>
              </v:shape>
            </w:pict>
          </mc:Fallback>
        </mc:AlternateContent>
      </w:r>
      <w:r>
        <w:rPr>
          <w:rFonts w:hint="eastAsia" w:ascii="仿宋" w:hAnsi="仿宋" w:eastAsia="仿宋" w:cs="仿宋"/>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天内，承包人仍未采取措施补救的，发包人可在不损害承包人其他权利的前提下，实施下列工作：</w:t>
      </w:r>
    </w:p>
    <w:p>
      <w:pPr>
        <w:pStyle w:val="22"/>
        <w:numPr>
          <w:ilvl w:val="0"/>
          <w:numId w:val="26"/>
        </w:numPr>
        <w:tabs>
          <w:tab w:val="left" w:pos="2160"/>
        </w:tabs>
        <w:adjustRightInd w:val="0"/>
        <w:snapToGrid w:val="0"/>
        <w:spacing w:line="420" w:lineRule="exact"/>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立即停止向承包人支付应付的款项；</w:t>
      </w:r>
    </w:p>
    <w:p>
      <w:pPr>
        <w:pStyle w:val="22"/>
        <w:numPr>
          <w:ilvl w:val="0"/>
          <w:numId w:val="26"/>
        </w:numPr>
        <w:tabs>
          <w:tab w:val="left" w:pos="2160"/>
        </w:tabs>
        <w:adjustRightInd w:val="0"/>
        <w:snapToGrid w:val="0"/>
        <w:spacing w:line="420" w:lineRule="exact"/>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在相应支付期应付的工程款范围内，直接向雇员、分包人和材料设备供应商支付承包人应付的款项。</w:t>
      </w:r>
    </w:p>
    <w:p>
      <w:pPr>
        <w:pStyle w:val="22"/>
        <w:adjustRightInd w:val="0"/>
        <w:snapToGrid w:val="0"/>
        <w:spacing w:line="420" w:lineRule="exact"/>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发包人在实施上述工作后的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22"/>
        <w:adjustRightInd w:val="0"/>
        <w:snapToGrid w:val="0"/>
        <w:spacing w:line="240" w:lineRule="exact"/>
        <w:ind w:right="-238"/>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240" w:lineRule="exact"/>
        <w:ind w:firstLine="482"/>
        <w:rPr>
          <w:rFonts w:ascii="仿宋" w:hAnsi="仿宋" w:eastAsia="仿宋"/>
          <w:b/>
          <w:bCs/>
          <w:color w:val="auto"/>
          <w:sz w:val="24"/>
          <w:szCs w:val="24"/>
          <w:highlight w:val="non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44" w:name="_Toc469384063"/>
      <w:bookmarkStart w:id="445" w:name="_Toc17019"/>
      <w:bookmarkStart w:id="446" w:name="_Toc1848"/>
      <w:bookmarkStart w:id="447" w:name="_Toc2565368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79  </w:t>
      </w:r>
      <w:r>
        <w:rPr>
          <w:rFonts w:hint="eastAsia" w:ascii="仿宋" w:hAnsi="仿宋" w:eastAsia="仿宋" w:cs="仿宋"/>
          <w:b/>
          <w:bCs/>
          <w:color w:val="auto"/>
          <w:sz w:val="24"/>
          <w:szCs w:val="24"/>
          <w:highlight w:val="none"/>
        </w:rPr>
        <w:t>预付款</w:t>
      </w:r>
      <w:bookmarkEnd w:id="444"/>
      <w:bookmarkEnd w:id="445"/>
      <w:bookmarkEnd w:id="446"/>
      <w:bookmarkEnd w:id="447"/>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90"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预付款的约定</w:t>
                            </w:r>
                          </w:p>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339"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ho/39cAAAAKAQAADwAAAAAAAAABACAAAAAiAAAAZHJzL2Rv&#10;d25yZXYueG1sUEsBAhQAFAAAAAgAh07iQCmbBrYCAgAA2AMAAA4AAAAAAAAAAQAgAAAAJgEAAGRy&#10;cy9lMm9Eb2MueG1sUEsFBgAAAAAGAAYAWQEAAJoFA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预付款的约定</w:t>
                      </w:r>
                    </w:p>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及管理</w:t>
                      </w:r>
                    </w:p>
                  </w:txbxContent>
                </v:textbox>
              </v:shape>
            </w:pict>
          </mc:Fallback>
        </mc:AlternateContent>
      </w:r>
      <w:r>
        <w:rPr>
          <w:rFonts w:ascii="仿宋" w:hAnsi="仿宋" w:eastAsia="仿宋" w:cs="仿宋"/>
          <w:b/>
          <w:bCs/>
          <w:color w:val="auto"/>
          <w:sz w:val="24"/>
          <w:szCs w:val="24"/>
          <w:highlight w:val="none"/>
        </w:rPr>
        <w:t xml:space="preserve">79.1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除专用条款另有约定外，合同双方当事人应约定预付款，并在专用条款中明确预付款金额、支付办法和抵扣方式。</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，不高于合同价款（扣除暂列金额）的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79.2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89"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340"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nifOTVAAAACAEAAA8AAAAAAAAAAQAgAAAAIgAAAGRycy9kb3ducmV2&#10;LnhtbFBLAQIUABQAAAAIAIdO4kDiQ4zN/wEAANcDAAAOAAAAAAAAAAEAIAAAACQBAABkcnMvZTJv&#10;RG9jLnhtbFBLBQYAAAAABgAGAFkBAACVBQ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预付款支付申请的提交、核实与支付</w:t>
                      </w:r>
                    </w:p>
                  </w:txbxContent>
                </v:textbox>
              </v:shape>
            </w:pict>
          </mc:Fallback>
        </mc:AlternateContent>
      </w:r>
      <w:r>
        <w:rPr>
          <w:rFonts w:hint="eastAsia" w:ascii="仿宋" w:hAnsi="仿宋" w:eastAsia="仿宋" w:cs="仿宋"/>
          <w:color w:val="auto"/>
          <w:sz w:val="24"/>
          <w:szCs w:val="24"/>
          <w:highlight w:val="none"/>
        </w:rPr>
        <w:t>承包人在完成下列工作后，应按照专用条款约定的期限内向造价工程师提交预付款支付申请，并抄送发包人。</w:t>
      </w:r>
    </w:p>
    <w:p>
      <w:pPr>
        <w:pStyle w:val="22"/>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）签订本合同；</w:t>
      </w:r>
    </w:p>
    <w:p>
      <w:pPr>
        <w:pStyle w:val="22"/>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款规定提供履约担保；</w:t>
      </w:r>
    </w:p>
    <w:p>
      <w:pPr>
        <w:pStyle w:val="22"/>
        <w:adjustRightInd w:val="0"/>
        <w:snapToGrid w:val="0"/>
        <w:spacing w:line="360" w:lineRule="auto"/>
        <w:ind w:firstLine="1620" w:firstLineChars="67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）向发包人提供与预付款等额的预付款保函的正本。</w:t>
      </w:r>
    </w:p>
    <w:p>
      <w:pPr>
        <w:pStyle w:val="22"/>
        <w:adjustRightInd w:val="0"/>
        <w:snapToGrid w:val="0"/>
        <w:spacing w:line="360" w:lineRule="auto"/>
        <w:ind w:left="1619"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发包人在造价工程师签发支付证书后的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天内向承包人支付预付款，并通知造价工程师。</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79.3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88"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341"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f4wzVAAAACAEAAA8AAAAAAAAAAQAgAAAAIgAAAGRycy9kb3ducmV2&#10;LnhtbFBLAQIUABQAAAAIAIdO4kCwv6Fr/wEAANcDAAAOAAAAAAAAAAEAIAAAACQBAABkcnMvZTJv&#10;RG9jLnhtbFBLBQYAAAAABgAGAFkBAACVBQ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预付款支付的限制</w:t>
                      </w:r>
                    </w:p>
                  </w:txbxContent>
                </v:textbox>
              </v:shape>
            </w:pict>
          </mc:Fallback>
        </mc:AlternateContent>
      </w:r>
      <w:r>
        <w:rPr>
          <w:rFonts w:hint="eastAsia" w:ascii="仿宋" w:hAnsi="仿宋" w:eastAsia="仿宋" w:cs="仿宋"/>
          <w:color w:val="auto"/>
          <w:sz w:val="24"/>
          <w:szCs w:val="24"/>
          <w:highlight w:val="none"/>
        </w:rPr>
        <w:t>发包人没有按时支付预付款的，承包人应在付款期满后的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款规定获得延期支付的利息。发包方承担由此增加的费用和（或）延误的工期，并向承包人支付合理利润。</w:t>
      </w:r>
    </w:p>
    <w:p>
      <w:pPr>
        <w:pStyle w:val="22"/>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79.4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87"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342"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xF3HWAAAACAEAAA8AAAAAAAAAAQAgAAAAIgAAAGRycy9k&#10;b3ducmV2LnhtbFBLAQIUABQAAAAIAIdO4kAZeJ2/BAIAANgDAAAOAAAAAAAAAAEAIAAAACUBAABk&#10;cnMvZTJvRG9jLnhtbFBLBQYAAAAABgAGAFkBAACbBQ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预付款的扣回</w:t>
                      </w:r>
                    </w:p>
                  </w:txbxContent>
                </v:textbox>
              </v:shape>
            </w:pict>
          </mc:Fallback>
        </mc:AlternateContent>
      </w:r>
      <w:r>
        <w:rPr>
          <w:rFonts w:hint="eastAsia" w:ascii="仿宋" w:hAnsi="仿宋" w:eastAsia="仿宋" w:cs="仿宋"/>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79.5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86"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914400" cy="40830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343"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3FFtdUAAAAIAQAADwAAAAAAAAABACAAAAAiAAAAZHJzL2Rvd25y&#10;ZXYueG1sUEsBAhQAFAAAAAgAh07iQGL//zMBAgAA1wMAAA4AAAAAAAAAAQAgAAAAJA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预付款保函的有效与退还</w:t>
                      </w:r>
                    </w:p>
                  </w:txbxContent>
                </v:textbox>
              </v:shape>
            </w:pict>
          </mc:Fallback>
        </mc:AlternateContent>
      </w:r>
      <w:r>
        <w:rPr>
          <w:rFonts w:hint="eastAsia" w:ascii="仿宋" w:hAnsi="仿宋" w:eastAsia="仿宋" w:cs="仿宋"/>
          <w:color w:val="auto"/>
          <w:sz w:val="24"/>
          <w:szCs w:val="24"/>
          <w:highlight w:val="none"/>
        </w:rPr>
        <w:t>承包人应保持预付款保函在预付款全部扣回之前一直有效。发包人应在预付款扣完后的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天内将预付款保函退还承包人，并不得向承包人收取预付款的任何利息。</w:t>
      </w:r>
    </w:p>
    <w:p>
      <w:pPr>
        <w:pStyle w:val="22"/>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240" w:lineRule="exact"/>
        <w:ind w:firstLine="482"/>
        <w:rPr>
          <w:rFonts w:ascii="仿宋" w:hAnsi="仿宋" w:eastAsia="仿宋"/>
          <w:b/>
          <w:bCs/>
          <w:color w:val="auto"/>
          <w:sz w:val="24"/>
          <w:szCs w:val="24"/>
          <w:highlight w:val="non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48" w:name="_Toc25653690"/>
      <w:bookmarkStart w:id="449" w:name="_Toc25708"/>
      <w:bookmarkStart w:id="450" w:name="_Toc469384064"/>
      <w:bookmarkStart w:id="451" w:name="_Toc2630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80  </w:t>
      </w:r>
      <w:r>
        <w:rPr>
          <w:rFonts w:hint="eastAsia" w:ascii="仿宋" w:hAnsi="仿宋" w:eastAsia="仿宋" w:cs="仿宋"/>
          <w:b/>
          <w:bCs/>
          <w:color w:val="auto"/>
          <w:sz w:val="24"/>
          <w:szCs w:val="24"/>
          <w:highlight w:val="none"/>
        </w:rPr>
        <w:t>绿色施工安全防护费</w:t>
      </w:r>
      <w:bookmarkEnd w:id="448"/>
      <w:bookmarkEnd w:id="449"/>
      <w:bookmarkEnd w:id="450"/>
      <w:bookmarkEnd w:id="451"/>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80.1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85"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内容、范围和</w:t>
                            </w:r>
                          </w:p>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金额</w:t>
                            </w:r>
                          </w:p>
                        </w:txbxContent>
                      </wps:txbx>
                      <wps:bodyPr rot="0" vert="horz" wrap="square" lIns="91440" tIns="45720" rIns="91440" bIns="45720" anchor="t" anchorCtr="0" upright="1">
                        <a:noAutofit/>
                      </wps:bodyPr>
                    </wps:wsp>
                  </a:graphicData>
                </a:graphic>
              </wp:anchor>
            </w:drawing>
          </mc:Choice>
          <mc:Fallback>
            <w:pict>
              <v:shape id="文本框 344"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tsiLdQAAAAIAQAADwAAAAAAAAABACAAAAAiAAAAZHJzL2Rvd25y&#10;ZXYueG1sUEsBAhQAFAAAAAgAh07iQL2oelICAgAA2AMAAA4AAAAAAAAAAQAgAAAAIw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内容、范围和</w:t>
                      </w:r>
                    </w:p>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金额</w:t>
                      </w:r>
                    </w:p>
                  </w:txbxContent>
                </v:textbox>
              </v:shape>
            </w:pict>
          </mc:Fallback>
        </mc:AlternateContent>
      </w:r>
      <w:r>
        <w:rPr>
          <w:rFonts w:hint="eastAsia" w:ascii="仿宋" w:hAnsi="仿宋" w:eastAsia="仿宋" w:cs="仿宋"/>
          <w:color w:val="auto"/>
          <w:sz w:val="24"/>
          <w:szCs w:val="24"/>
          <w:highlight w:val="none"/>
        </w:rPr>
        <w:t>合同双方当事人应在专用条款中约定绿色施工安全防护费的内容、范围和金额，并按照第</w:t>
      </w:r>
      <w:r>
        <w:rPr>
          <w:rFonts w:ascii="仿宋" w:hAnsi="仿宋" w:eastAsia="仿宋" w:cs="仿宋"/>
          <w:color w:val="auto"/>
          <w:sz w:val="24"/>
          <w:szCs w:val="24"/>
          <w:highlight w:val="none"/>
        </w:rPr>
        <w:t>45</w:t>
      </w:r>
      <w:r>
        <w:rPr>
          <w:rFonts w:hint="eastAsia" w:ascii="仿宋" w:hAnsi="仿宋" w:eastAsia="仿宋" w:cs="仿宋"/>
          <w:color w:val="auto"/>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pPr>
        <w:pStyle w:val="22"/>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80.2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84"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a:effectLst/>
                      </wps:spPr>
                      <wps:txb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345"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JF4sfWAAAACQEAAA8AAAAAAAAAAQAgAAAAIgAAAGRycy9kb3du&#10;cmV2LnhtbFBLAQIUABQAAAAIAIdO4kAg4y+eAQIAANcDAAAOAAAAAAAAAAEAIAAAACUBAABkcnMv&#10;ZTJvRG9jLnhtbFBLBQYAAAAABgAGAFkBAACYBQAAAAA=&#10;">
                <v:fill on="f" focussize="0,0"/>
                <v:stroke on="f"/>
                <v:imagedata o:title=""/>
                <o:lock v:ext="edit" aspectratio="f"/>
                <v:textbox>
                  <w:txbxContent>
                    <w:p>
                      <w:pPr>
                        <w:pStyle w:val="20"/>
                        <w:spacing w:line="20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rPr>
        <w:t>专用条款没有约定的，承包人应在接到监理工程师按照第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天内向造价工程师提交绿色施工安全防护费支付申请，并抄送发包人。造价工程师应对支付申请进行核实，并在收到支付申请后的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80.3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合同双方当事人应按照建设行政主管部门的规定，在专用条款中约定绿色施工安全防护费的支付办法和抵扣方式。除专用条款另有约定外，</w:t>
      </w:r>
      <w:r>
        <w:rPr>
          <w:color w:val="auto"/>
          <w:highlight w:val="none"/>
          <w:lang w:val="en-US"/>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83"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346"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6C131QAAAAkBAAAPAAAAAAAAAAEAIAAAACIAAABkcnMvZG93&#10;bnJldi54bWxQSwECFAAUAAAACACHTuJAoDIC5QMCAADYAwAADgAAAAAAAAABACAAAAAkAQAAZHJz&#10;L2Uyb0RvYy54bWxQSwUGAAAAAAYABgBZAQAAmQ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rPr>
        <w:t>发包人应在造价工程师签发支付证书后的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天内向承包人支付绿色施工安全防护费，并保证在工程开工后的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天内支付绿色施工安全防护费金额的</w:t>
      </w:r>
      <w:r>
        <w:rPr>
          <w:rFonts w:hint="eastAsia" w:ascii="仿宋" w:hAnsi="仿宋" w:eastAsia="仿宋" w:cs="仿宋"/>
          <w:color w:val="auto"/>
          <w:sz w:val="24"/>
          <w:szCs w:val="24"/>
          <w:highlight w:val="none"/>
          <w:lang w:val="en-US"/>
        </w:rPr>
        <w:t>3</w:t>
      </w:r>
      <w:r>
        <w:rPr>
          <w:rFonts w:ascii="仿宋" w:hAnsi="仿宋" w:eastAsia="仿宋" w:cs="仿宋"/>
          <w:color w:val="auto"/>
          <w:sz w:val="24"/>
          <w:szCs w:val="24"/>
          <w:highlight w:val="none"/>
        </w:rPr>
        <w:t>0%</w:t>
      </w:r>
      <w:r>
        <w:rPr>
          <w:rFonts w:hint="eastAsia" w:ascii="仿宋" w:hAnsi="仿宋" w:eastAsia="仿宋" w:cs="仿宋"/>
          <w:color w:val="auto"/>
          <w:sz w:val="24"/>
          <w:szCs w:val="24"/>
          <w:highlight w:val="none"/>
        </w:rPr>
        <w:t>，同时通知造价工程师。其余部分与进度款同期支付。</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80.4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82"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347"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3+MM1QAAAAgBAAAPAAAAAAAAAAEAIAAAACIAAABkcnMvZG93bnJl&#10;di54bWxQSwECFAAUAAAACACHTuJAGXtlhAACAADXAwAADgAAAAAAAAABACAAAAAkAQAAZHJzL2Uy&#10;b0RvYy54bWxQSwUGAAAAAAYABgBZAQAAlg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rPr>
        <w:t>发包人没有按时支付绿色施工安全防护费的，承包人应在付款期满后的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天后暂停施工。发包人应承担由此增加的费用和（或）延误的工期，并向承包人支付合理利润。</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80.5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81"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a:effectLst/>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348"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NTH1QAAAAcBAAAPAAAAAAAAAAEAIAAAACIAAABkcnMvZG93bnJl&#10;di54bWxQSwECFAAUAAAACACHTuJAkG1RLQACAADXAwAADgAAAAAAAAABACAAAAAkAQAAZHJzL2Uy&#10;b0RvYy54bWxQSwUGAAAAAAYABgBZAQAAlgU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pStyle w:val="22"/>
        <w:adjustRightInd w:val="0"/>
        <w:snapToGrid w:val="0"/>
        <w:spacing w:line="36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80"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a:effectLst/>
                      </wps:spPr>
                      <wps:txbx>
                        <w:txbxContent>
                          <w:p>
                            <w:pPr>
                              <w:pStyle w:val="20"/>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文本框 349"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OGMh7SAAAABwEAAA8AAAAAAAAAAQAgAAAAIgAAAGRycy9kb3ducmV2Lnht&#10;bFBLAQIUABQAAAAIAIdO4kCd4sZI/wEAANcDAAAOAAAAAAAAAAEAIAAAACEBAABkcnMvZTJvRG9j&#10;LnhtbFBLBQYAAAAABgAGAFkBAACSBQAAAAA=&#10;">
                <v:fill on="f" focussize="0,0"/>
                <v:stroke on="f"/>
                <v:imagedata o:title=""/>
                <o:lock v:ext="edit" aspectratio="f"/>
                <v:textbox>
                  <w:txbxContent>
                    <w:p>
                      <w:pPr>
                        <w:pStyle w:val="20"/>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ascii="仿宋" w:hAnsi="仿宋" w:eastAsia="仿宋" w:cs="仿宋"/>
          <w:b/>
          <w:bCs/>
          <w:color w:val="auto"/>
          <w:sz w:val="24"/>
          <w:szCs w:val="24"/>
          <w:highlight w:val="none"/>
        </w:rPr>
        <w:t xml:space="preserve">80.6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w:t>
      </w:r>
      <w:r>
        <w:rPr>
          <w:rFonts w:hint="eastAsia" w:ascii="仿宋" w:hAnsi="仿宋" w:eastAsia="仿宋" w:cs="仿宋"/>
          <w:caps/>
          <w:color w:val="auto"/>
          <w:sz w:val="24"/>
          <w:szCs w:val="24"/>
          <w:highlight w:val="none"/>
        </w:rPr>
        <w:t>获得省、市级或其它级别文明工地的文明工地增加费</w:t>
      </w:r>
      <w:r>
        <w:rPr>
          <w:rFonts w:hint="eastAsia" w:ascii="仿宋" w:hAnsi="仿宋" w:eastAsia="仿宋" w:cs="仿宋"/>
          <w:color w:val="auto"/>
          <w:sz w:val="24"/>
          <w:szCs w:val="24"/>
          <w:highlight w:val="none"/>
        </w:rPr>
        <w:t>，招标工程的根据中标通知书日期，非招标工程的根据合同签订日期的同时期执行的广东省建设工程计价依据</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、广州市住房和城乡建设局发布的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、广州市建设工程造价管理站发布的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计算。当合同工程同时获得上述多个奖项的，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只按最高奖项的额度计算。</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列入竣工结算文件中，与竣工结算款一并支付。在竣工结算后获得奖项的，发包人应在获得奖项后的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52" w:name="_Toc25653691"/>
      <w:bookmarkStart w:id="453" w:name="_Toc3373"/>
      <w:bookmarkStart w:id="454" w:name="_Toc30703"/>
      <w:bookmarkStart w:id="455" w:name="_Toc46938406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81  </w:t>
      </w:r>
      <w:r>
        <w:rPr>
          <w:rFonts w:hint="eastAsia" w:ascii="仿宋" w:hAnsi="仿宋" w:eastAsia="仿宋" w:cs="仿宋"/>
          <w:b/>
          <w:bCs/>
          <w:color w:val="auto"/>
          <w:sz w:val="24"/>
          <w:szCs w:val="24"/>
          <w:highlight w:val="none"/>
        </w:rPr>
        <w:t>进度款</w:t>
      </w:r>
      <w:bookmarkEnd w:id="452"/>
      <w:bookmarkEnd w:id="453"/>
      <w:bookmarkEnd w:id="454"/>
      <w:bookmarkEnd w:id="455"/>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81.1</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79"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350"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lby79UAAAAJAQAADwAAAAAAAAABACAAAAAiAAAAZHJzL2Rvd25y&#10;ZXYueG1sUEsBAhQAFAAAAAgAh07iQKFmw7EBAgAA1wMAAA4AAAAAAAAAAQAgAAAAJAEAAGRycy9l&#10;Mm9Eb2MueG1sUEsFBgAAAAAGAAYAWQEAAJc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承包人应在每个支付期结束后的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已完工程款；</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已实际支付的工程款；</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本期间完成的工程款；</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本期间完成的计日工费用；</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本期间应支付的暂列金额价款；</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条规定本期间应扣除的误期赔偿费；</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条规定本期间应支付的调整工程款；</w:t>
      </w:r>
    </w:p>
    <w:p>
      <w:pPr>
        <w:pStyle w:val="22"/>
        <w:numPr>
          <w:ilvl w:val="0"/>
          <w:numId w:val="27"/>
        </w:numPr>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条本期间应扣回的预付款；</w:t>
      </w:r>
    </w:p>
    <w:p>
      <w:pPr>
        <w:pStyle w:val="22"/>
        <w:numPr>
          <w:ilvl w:val="0"/>
          <w:numId w:val="27"/>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条规定本期间应支付或扣回的绿色施工安全防护费；</w:t>
      </w:r>
    </w:p>
    <w:p>
      <w:pPr>
        <w:pStyle w:val="22"/>
        <w:numPr>
          <w:ilvl w:val="0"/>
          <w:numId w:val="27"/>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条本期间应扣留的质量保证金；</w:t>
      </w:r>
    </w:p>
    <w:p>
      <w:pPr>
        <w:pStyle w:val="22"/>
        <w:numPr>
          <w:ilvl w:val="0"/>
          <w:numId w:val="27"/>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根据合同约定，本期间应支付或扣留（回）的其他款项；</w:t>
      </w:r>
    </w:p>
    <w:p>
      <w:pPr>
        <w:pStyle w:val="22"/>
        <w:numPr>
          <w:ilvl w:val="0"/>
          <w:numId w:val="27"/>
        </w:numPr>
        <w:tabs>
          <w:tab w:val="left" w:pos="2160"/>
        </w:tabs>
        <w:adjustRightInd w:val="0"/>
        <w:snapToGrid w:val="0"/>
        <w:spacing w:line="360" w:lineRule="auto"/>
        <w:ind w:left="1620"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本期间应支付的工程款。</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81.2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77"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352" o:spid="_x0000_s1026" o:spt="202" type="#_x0000_t202" style="position:absolute;left:0pt;margin-left:-9pt;margin-top:0pt;height:52.8pt;width:72pt;z-index:252013568;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dhSwnUAAAACAEAAA8AAAAAAAAAAQAgAAAAIgAAAGRycy9kb3ducmV2&#10;LnhtbFBLAQIUABQAAAAIAIdO4kAHiL2AAAIAANcDAAAOAAAAAAAAAAEAIAAAACMBAABkcnMvZTJv&#10;RG9jLnhtbFBLBQYAAAAABgAGAFkBAACV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条的规定进行计量，并根据计量结果和合同约定对资料内容予以核实。在收到上述资料后的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天内报发包人确认后向发包人签发期中支付证书，同时抄送承包人。</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造价工程师签发期中支付证书，不应视为发包人已同意、批准或接受了承包人完成该部分工作。</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81.3  </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14592" behindDoc="0" locked="0" layoutInCell="1" allowOverlap="1">
                <wp:simplePos x="0" y="0"/>
                <wp:positionH relativeFrom="column">
                  <wp:posOffset>-100330</wp:posOffset>
                </wp:positionH>
                <wp:positionV relativeFrom="paragraph">
                  <wp:posOffset>86995</wp:posOffset>
                </wp:positionV>
                <wp:extent cx="1028700" cy="267970"/>
                <wp:effectExtent l="0" t="0" r="0" b="0"/>
                <wp:wrapNone/>
                <wp:docPr id="76"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353" o:spid="_x0000_s1026" o:spt="202" type="#_x0000_t202" style="position:absolute;left:0pt;margin-left:-7.9pt;margin-top:6.85pt;height:21.1pt;width:81pt;z-index:252014592;mso-width-relative:page;mso-height-relative:page;" filled="f" stroked="f" coordsize="21600,21600" o:gfxdata="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DEGe1wAAAAkBAAAPAAAAAAAAAAEAIAAAACIAAABkcnMv&#10;ZG93bnJldi54bWxQSwECFAAUAAAACACHTuJAO1wyKgQCAADYAwAADgAAAAAAAAABACAAAAAmAQAA&#10;ZHJzL2Uyb0RvYy54bWxQSwUGAAAAAAYABgBZAQAAnA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rPr>
        <w:t>发包人应在造价工程师签发期中支付证书后的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天内，按照期中支付证书列明的金额向承包人支付进度款，并通知造价工程师。</w:t>
      </w:r>
    </w:p>
    <w:p>
      <w:pPr>
        <w:pStyle w:val="22"/>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81.4</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75"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354" o:spid="_x0000_s1026" o:spt="202" type="#_x0000_t202" style="position:absolute;left:0pt;margin-left:-9pt;margin-top:0.65pt;height:51pt;width:72pt;z-index:252015616;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d92fLVAAAACQEAAA8AAAAAAAAAAQAgAAAAIgAAAGRycy9kb3ducmV2&#10;LnhtbFBLAQIUABQAAAAIAIdO4kCJZQnv/wEAANcDAAAOAAAAAAAAAAEAIAAAACQBAABkcnMvZTJv&#10;RG9jLnhtbFBLBQYAAAAABgAGAFkBAACVBQ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81.2</w:t>
      </w:r>
      <w:r>
        <w:rPr>
          <w:rFonts w:hint="eastAsia" w:ascii="仿宋" w:hAnsi="仿宋" w:eastAsia="仿宋" w:cs="仿宋"/>
          <w:color w:val="auto"/>
          <w:sz w:val="24"/>
          <w:szCs w:val="24"/>
          <w:highlight w:val="none"/>
        </w:rPr>
        <w:t>款规定的期限内签发期中支付证书的，则视为承包人提交的支付申请已被认可，承包人应及时向发包人发出要求支付的通知。发包人应在收到通知后的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天内，按照承包人支付申请列明的金额向承包人支付进度款。</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81.5  </w:t>
      </w:r>
    </w:p>
    <w:p>
      <w:pPr>
        <w:pStyle w:val="11"/>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74"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ffectLst/>
                      </wps:spPr>
                      <wps:txb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355" o:spid="_x0000_s1026" o:spt="202" type="#_x0000_t202" style="position:absolute;left:0pt;margin-left:-9pt;margin-top:0.95pt;height:50.95pt;width:72pt;z-index:252016640;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mMZXtUAAAAJAQAADwAAAAAAAAABACAAAAAiAAAAZHJzL2Rvd25y&#10;ZXYueG1sUEsBAhQAFAAAAAgAh07iQEkkU6YBAgAA1wMAAA4AAAAAAAAAAQAgAAAAJAEAAGRycy9l&#10;Mm9Eb2MueG1sUEsFBgAAAAAGAAYAWQEAAJcFAAAAAA==&#10;">
                <v:fill on="f" focussize="0,0"/>
                <v:stroke on="f"/>
                <v:imagedata o:title=""/>
                <o:lock v:ext="edit" aspectratio="f"/>
                <v:textbox>
                  <w:txbxContent>
                    <w:p>
                      <w:pPr>
                        <w:jc w:val="left"/>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81.3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81.4</w:t>
      </w:r>
      <w:r>
        <w:rPr>
          <w:rFonts w:hint="eastAsia" w:ascii="仿宋" w:hAnsi="仿宋" w:eastAsia="仿宋" w:cs="仿宋"/>
          <w:color w:val="auto"/>
          <w:sz w:val="24"/>
          <w:szCs w:val="24"/>
          <w:highlight w:val="none"/>
        </w:rPr>
        <w:t>款规定支付进度款的，承包人应及时向发包人发出要求支付的通知；发包人收到通知后仍不按要求支付的，可与承包人协商签订延期支付协议，经承包人同意后可延期支付，承包人有权按照第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pPr>
        <w:pStyle w:val="11"/>
        <w:adjustRightInd w:val="0"/>
        <w:snapToGrid w:val="0"/>
        <w:spacing w:line="360" w:lineRule="auto"/>
        <w:ind w:left="1640" w:leftChars="78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pPr>
        <w:pStyle w:val="22"/>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81.6</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73"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a:effectLst/>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356" o:spid="_x0000_s1026" o:spt="202" type="#_x0000_t202" style="position:absolute;left:0pt;margin-left:-9pt;margin-top:1.25pt;height:20.95pt;width:81pt;z-index:252017664;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nQVMdUAAAAIAQAADwAAAAAAAAABACAAAAAiAAAAZHJzL2Rv&#10;d25yZXYueG1sUEsBAhQAFAAAAAgAh07iQIjmBm4EAgAA2AMAAA4AAAAAAAAAAQAgAAAAJAEAAGRy&#10;cy9lMm9Eb2MueG1sUEsFBgAAAAAGAAYAWQEAAJo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22"/>
        <w:adjustRightInd w:val="0"/>
        <w:snapToGrid w:val="0"/>
        <w:spacing w:line="240" w:lineRule="exact"/>
        <w:ind w:right="-238"/>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56" w:name="_Toc5834"/>
      <w:bookmarkStart w:id="457" w:name="_Toc25653692"/>
      <w:bookmarkStart w:id="458" w:name="_Toc469384066"/>
      <w:bookmarkStart w:id="459" w:name="_Toc526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82  </w:t>
      </w:r>
      <w:r>
        <w:rPr>
          <w:rFonts w:hint="eastAsia" w:ascii="仿宋" w:hAnsi="仿宋" w:eastAsia="仿宋" w:cs="仿宋"/>
          <w:b/>
          <w:bCs/>
          <w:color w:val="auto"/>
          <w:sz w:val="24"/>
          <w:szCs w:val="24"/>
          <w:highlight w:val="none"/>
        </w:rPr>
        <w:t>竣工结算</w:t>
      </w:r>
      <w:bookmarkEnd w:id="456"/>
      <w:bookmarkEnd w:id="457"/>
      <w:bookmarkEnd w:id="458"/>
      <w:bookmarkEnd w:id="459"/>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82.1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72"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357" o:spid="_x0000_s1026" o:spt="202" type="#_x0000_t202" style="position:absolute;left:0pt;margin-left:-9pt;margin-top:3.05pt;height:31.2pt;width:72pt;z-index:252018688;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7AwV1AAAAAgBAAAPAAAAAAAAAAEAIAAAACIAAABkcnMvZG93bnJl&#10;di54bWxQSwECFAAUAAAACACHTuJA2IKcDQECAADX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rPr>
        <w:t>合同双方当事人应按照国家标准《建设工程工程量清单计价规范》（</w:t>
      </w:r>
      <w:r>
        <w:rPr>
          <w:rFonts w:ascii="仿宋" w:hAnsi="仿宋" w:eastAsia="仿宋" w:cs="仿宋"/>
          <w:color w:val="auto"/>
          <w:sz w:val="24"/>
          <w:szCs w:val="24"/>
          <w:highlight w:val="none"/>
        </w:rPr>
        <w:t>GBGB50500-2013</w:t>
      </w:r>
      <w:r>
        <w:rPr>
          <w:rFonts w:hint="eastAsia" w:ascii="仿宋" w:hAnsi="仿宋" w:eastAsia="仿宋" w:cs="仿宋"/>
          <w:color w:val="auto"/>
          <w:sz w:val="24"/>
          <w:szCs w:val="24"/>
          <w:highlight w:val="none"/>
        </w:rPr>
        <w:t>）规定在专用条款中明确办理竣工结算的程序和时限。专用条款没有约定的，竣工结算按照第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82.5</w:t>
      </w:r>
      <w:r>
        <w:rPr>
          <w:rFonts w:hint="eastAsia" w:ascii="仿宋" w:hAnsi="仿宋" w:eastAsia="仿宋" w:cs="仿宋"/>
          <w:color w:val="auto"/>
          <w:sz w:val="24"/>
          <w:szCs w:val="24"/>
          <w:highlight w:val="none"/>
        </w:rPr>
        <w:t>款规定办理。</w:t>
      </w:r>
    </w:p>
    <w:p>
      <w:pPr>
        <w:spacing w:line="360" w:lineRule="auto"/>
        <w:ind w:left="1676" w:leftChars="684" w:hanging="240" w:hangingChars="100"/>
        <w:rPr>
          <w:rFonts w:ascii="仿宋" w:hAnsi="仿宋" w:eastAsia="仿宋"/>
          <w:color w:val="auto"/>
          <w:sz w:val="24"/>
          <w:szCs w:val="24"/>
          <w:highlight w:val="none"/>
        </w:rPr>
      </w:pPr>
      <w:r>
        <w:rPr>
          <w:rFonts w:hint="eastAsia" w:ascii="仿宋" w:hAnsi="仿宋" w:eastAsia="仿宋" w:cs="仿宋"/>
          <w:color w:val="auto"/>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在办理竣工结算期间，发包人按照第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条规定应向承包人支付的工程款及其他款项不停止。</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82.2  </w:t>
      </w:r>
    </w:p>
    <w:p>
      <w:pPr>
        <w:pStyle w:val="22"/>
        <w:tabs>
          <w:tab w:val="left" w:pos="2641"/>
        </w:tabs>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71"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358" o:spid="_x0000_s1026" o:spt="202" type="#_x0000_t202" style="position:absolute;left:0pt;margin-left:-9pt;margin-top:1.85pt;height:36.15pt;width:72pt;z-index:252019712;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B/HitUAAAAIAQAADwAAAAAAAAABACAAAAAiAAAAZHJzL2Rvd25y&#10;ZXYueG1sUEsBAhQAFAAAAAgAh07iQEKggn4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 xml:space="preserve">82.3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70"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359" o:spid="_x0000_s1026" o:spt="202" type="#_x0000_t202" style="position:absolute;left:0pt;margin-left:-9pt;margin-top:3.05pt;height:32.95pt;width:72pt;z-index:252020736;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UJJ49UAAAAIAQAADwAAAAAAAAABACAAAAAiAAAAZHJzL2Rvd25y&#10;ZXYueG1sUEsBAhQAFAAAAAgAh07iQFyfOSA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天内按照造价工程师提出的合理要求补充资料，修改竣工结算文件，并再次递交给造价工程师。</w:t>
      </w:r>
      <w:r>
        <w:rPr>
          <w:rFonts w:ascii="仿宋" w:hAnsi="仿宋" w:eastAsia="仿宋"/>
          <w:color w:val="auto"/>
          <w:sz w:val="24"/>
          <w:szCs w:val="24"/>
          <w:highlight w:val="none"/>
        </w:rPr>
        <w:br w:type="textWrapping"/>
      </w:r>
      <w:r>
        <w:rPr>
          <w:rFonts w:hint="eastAsia" w:ascii="仿宋" w:hAnsi="仿宋" w:eastAsia="仿宋" w:cs="仿宋"/>
          <w:color w:val="auto"/>
          <w:sz w:val="24"/>
          <w:szCs w:val="24"/>
          <w:highlight w:val="none"/>
        </w:rPr>
        <w:t>造价工程师在收到竣工结算文件后的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天内，不核实竣工结算或未提出核实意见的，视为承包人递交的竣工结算已被认可。</w:t>
      </w:r>
    </w:p>
    <w:p>
      <w:pPr>
        <w:pStyle w:val="22"/>
        <w:adjustRightInd w:val="0"/>
        <w:snapToGrid w:val="0"/>
        <w:spacing w:line="360" w:lineRule="auto"/>
        <w:ind w:left="1619" w:leftChars="771"/>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承包人在收到造价工程师提出的核实意见后的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天内，不确认也未提出异议的，视为造价工程师提出的核实意见已被认可，竣工结算办理完毕。</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 xml:space="preserve">82.4  </w:t>
      </w:r>
    </w:p>
    <w:p>
      <w:pPr>
        <w:pStyle w:val="22"/>
        <w:adjustRightInd w:val="0"/>
        <w:snapToGrid w:val="0"/>
        <w:spacing w:line="360" w:lineRule="auto"/>
        <w:ind w:left="1619" w:leftChars="771"/>
        <w:rPr>
          <w:rFonts w:ascii="仿宋" w:hAnsi="仿宋" w:eastAsia="仿宋"/>
          <w:color w:val="auto"/>
          <w:sz w:val="24"/>
          <w:szCs w:val="24"/>
          <w:highlight w:val="none"/>
          <w:u w:val="single"/>
        </w:rPr>
      </w:pPr>
      <w:r>
        <w:rPr>
          <w:color w:val="auto"/>
          <w:highlight w:val="none"/>
          <w:lang w:val="en-US"/>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9"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360" o:spid="_x0000_s1026" o:spt="202" type="#_x0000_t202" style="position:absolute;left:0pt;margin-left:-9pt;margin-top:1.25pt;height:56.55pt;width:72pt;z-index:25202176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ZCALtYAAAAJAQAADwAAAAAAAAABACAAAAAiAAAAZHJzL2Rvd25y&#10;ZXYueG1sUEsBAhQAFAAAAAgAh07iQIr69x4AAgAA1wMAAA4AAAAAAAAAAQAgAAAAJQ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款规定再次递交的竣工结算文件后的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天内予以复核，并将复核结果通知承包人、抄报发包人。</w:t>
      </w:r>
    </w:p>
    <w:p>
      <w:pPr>
        <w:pStyle w:val="22"/>
        <w:adjustRightInd w:val="0"/>
        <w:snapToGrid w:val="0"/>
        <w:spacing w:line="360" w:lineRule="auto"/>
        <w:ind w:left="1615"/>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）经复核无误的，除属于第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条规定的争议外，发包人应在</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天内在竣工结算文件上签字确认，竣工结算办理完毕。</w:t>
      </w:r>
    </w:p>
    <w:p>
      <w:pPr>
        <w:pStyle w:val="22"/>
        <w:adjustRightInd w:val="0"/>
        <w:snapToGrid w:val="0"/>
        <w:spacing w:line="360" w:lineRule="auto"/>
        <w:ind w:left="1615"/>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）经复核认为有误的：无误部分按照本款第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点规定办理不完全竣工结算；有误部分由造价工程师与合同双方当事人协商解决，或按照第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82.5</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8"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361" o:spid="_x0000_s1026" o:spt="202" type="#_x0000_t202" style="position:absolute;left:0pt;margin-left:-9pt;margin-top:0.45pt;height:31.2pt;width:72pt;z-index:25202278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QKal1QAAAAcBAAAPAAAAAAAAAAEAIAAAACIAAABkcnMvZG93bnJl&#10;di54bWxQSwECFAAUAAAACACHTuJAQPsk3g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rPr>
        <w:t>发包人应在已核实无误的竣工结算文件上签名确认，拒不签认的，承包人可不交付竣工工程。</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承包人未及时递交竣工结算文件的，发包人要求交付竣工工程，承包人应当交付；发包人不要求交付竣工工程，承包人承担照管永久工程责任。</w:t>
      </w:r>
    </w:p>
    <w:p>
      <w:pPr>
        <w:pStyle w:val="22"/>
        <w:adjustRightInd w:val="0"/>
        <w:snapToGrid w:val="0"/>
        <w:spacing w:line="240" w:lineRule="exact"/>
        <w:rPr>
          <w:rFonts w:ascii="仿宋" w:hAnsi="仿宋" w:eastAsia="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60" w:name="_Toc24423"/>
      <w:bookmarkStart w:id="461" w:name="_Toc25653693"/>
      <w:bookmarkStart w:id="462" w:name="_Toc12185"/>
      <w:bookmarkStart w:id="463" w:name="_Toc46938406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83  </w:t>
      </w:r>
      <w:r>
        <w:rPr>
          <w:rFonts w:hint="eastAsia" w:ascii="仿宋" w:hAnsi="仿宋" w:eastAsia="仿宋" w:cs="仿宋"/>
          <w:b/>
          <w:bCs/>
          <w:color w:val="auto"/>
          <w:sz w:val="24"/>
          <w:szCs w:val="24"/>
          <w:highlight w:val="none"/>
        </w:rPr>
        <w:t>结算款</w:t>
      </w:r>
      <w:bookmarkEnd w:id="460"/>
      <w:bookmarkEnd w:id="461"/>
      <w:bookmarkEnd w:id="462"/>
      <w:bookmarkEnd w:id="463"/>
    </w:p>
    <w:p>
      <w:pPr>
        <w:pStyle w:val="22"/>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83.1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67"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362" o:spid="_x0000_s1026" o:spt="202" type="#_x0000_t202" style="position:absolute;left:0pt;margin-left:-9pt;margin-top:2.85pt;height:36.15pt;width:72pt;z-index:252023808;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yr9J9UAAAAIAQAADwAAAAAAAAABACAAAAAiAAAAZHJzL2Rvd25y&#10;ZXYueG1sUEsBAhQAFAAAAAgAh07iQOpbW5o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合同双方当事人应在专用条款中明确结算款的支付时限。专用条款没有约定的，结算款支付按照第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款规定办理。涉及政府投资资金的工程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支付期、支付方法等需调整的，应在专用条款中约定。</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22"/>
        <w:tabs>
          <w:tab w:val="left" w:pos="2641"/>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）根据合同完成全部或所有工程的总造价；</w:t>
      </w:r>
    </w:p>
    <w:p>
      <w:pPr>
        <w:pStyle w:val="22"/>
        <w:tabs>
          <w:tab w:val="left" w:pos="2641"/>
        </w:tabs>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）根据合同约定发包人应付的所有款项。</w:t>
      </w:r>
    </w:p>
    <w:p>
      <w:pPr>
        <w:pStyle w:val="22"/>
        <w:tabs>
          <w:tab w:val="left" w:pos="2641"/>
        </w:tabs>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 xml:space="preserve">83.2  </w:t>
      </w:r>
    </w:p>
    <w:p>
      <w:pPr>
        <w:pStyle w:val="22"/>
        <w:adjustRightInd w:val="0"/>
        <w:snapToGrid w:val="0"/>
        <w:spacing w:line="360" w:lineRule="auto"/>
        <w:ind w:left="1619" w:leftChars="771"/>
        <w:rPr>
          <w:rFonts w:ascii="仿宋" w:hAnsi="仿宋" w:eastAsia="仿宋"/>
          <w:color w:val="auto"/>
          <w:sz w:val="24"/>
          <w:szCs w:val="24"/>
          <w:highlight w:val="none"/>
          <w:u w:val="single"/>
        </w:rPr>
      </w:pPr>
      <w:r>
        <w:rPr>
          <w:color w:val="auto"/>
          <w:highlight w:val="none"/>
          <w:lang w:val="en-US"/>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6"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363" o:spid="_x0000_s1026" o:spt="202" type="#_x0000_t202" style="position:absolute;left:0pt;margin-left:-9pt;margin-top:1.25pt;height:56.55pt;width:72pt;z-index:25202483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QgC7WAAAACQEAAA8AAAAAAAAAAQAgAAAAIgAAAGRycy9kb3du&#10;cmV2LnhtbFBLAQIUABQAAAAIAIdO4kC3n1vnAQIAANc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款规定核实竣工结算文件，并在发包人签字确认竣工结算文件后的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天内，向发包人签发竣工结算支付证书，同时抄送承包人。</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83.3</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65"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364" o:spid="_x0000_s1026" o:spt="202" type="#_x0000_t202" style="position:absolute;left:0pt;margin-left:-9pt;margin-top:0.45pt;height:31.2pt;width:72pt;z-index:25202585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ECmpdUAAAAHAQAADwAAAAAAAAABACAAAAAiAAAAZHJzL2Rvd25y&#10;ZXYueG1sUEsBAhQAFAAAAAgAh07iQDVeO9k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rPr>
        <w:t>发包人应在造价工程师签发竣工结算支付证书后的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天内，按照竣工结算支付证书列明的金额向承包人支付结算款，并通知造价工程师。</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83.4  </w:t>
      </w:r>
    </w:p>
    <w:p>
      <w:pPr>
        <w:pStyle w:val="22"/>
        <w:adjustRightInd w:val="0"/>
        <w:snapToGrid w:val="0"/>
        <w:spacing w:line="360" w:lineRule="auto"/>
        <w:ind w:left="1678" w:leftChars="799" w:firstLine="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26880"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64" name="文本框 365"/>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wps:txbx>
                      <wps:bodyPr rot="0" vert="horz" wrap="square" lIns="91440" tIns="45720" rIns="91440" bIns="45720" anchor="t" anchorCtr="0" upright="1">
                        <a:noAutofit/>
                      </wps:bodyPr>
                    </wps:wsp>
                  </a:graphicData>
                </a:graphic>
              </wp:anchor>
            </w:drawing>
          </mc:Choice>
          <mc:Fallback>
            <w:pict>
              <v:shape id="文本框 365" o:spid="_x0000_s1026" o:spt="202" type="#_x0000_t202" style="position:absolute;left:0pt;margin-left:-5.25pt;margin-top:0.95pt;height:65.3pt;width:82.5pt;z-index:252026880;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NBqndUAAAAJAQAADwAAAAAAAAABACAAAAAiAAAAZHJzL2Rv&#10;d25yZXYueG1sUEsBAhQAFAAAAAgAh07iQIUqzmYEAgAA2AMAAA4AAAAAAAAAAQAgAAAAJAEAAGRy&#10;cy9lMm9Eb2MueG1sUEsFBgAAAAAGAAYAWQEAAJo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天内，按照承包人支付申请列明的金额向承包人支付竣工结算款。</w:t>
      </w:r>
    </w:p>
    <w:p>
      <w:pPr>
        <w:pStyle w:val="22"/>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83.5  </w:t>
      </w:r>
    </w:p>
    <w:p>
      <w:pPr>
        <w:pStyle w:val="22"/>
        <w:adjustRightInd w:val="0"/>
        <w:snapToGrid w:val="0"/>
        <w:spacing w:line="360" w:lineRule="auto"/>
        <w:ind w:left="1680" w:leftChars="800"/>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63" name="文本框 366"/>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366" o:spid="_x0000_s1026" o:spt="202" type="#_x0000_t202" style="position:absolute;left:0pt;margin-left:-9pt;margin-top:4.6pt;height:32.1pt;width:72pt;z-index:252027904;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rLMuPWAAAACAEAAA8AAAAAAAAAAQAgAAAAIgAAAGRycy9kb3du&#10;cmV2LnhtbFBLAQIUABQAAAAIAIdO4kDXiGCeAQIAANc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83.3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83.4</w:t>
      </w:r>
      <w:r>
        <w:rPr>
          <w:rFonts w:hint="eastAsia" w:ascii="仿宋" w:hAnsi="仿宋" w:eastAsia="仿宋" w:cs="仿宋"/>
          <w:color w:val="auto"/>
          <w:sz w:val="24"/>
          <w:szCs w:val="24"/>
          <w:highlight w:val="none"/>
        </w:rPr>
        <w:t>款规定支付竣工结算款的，承包人可催告发包人支付竣工结算款，如双方达成延期支付协议，承包人有权按照第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pPr>
        <w:pStyle w:val="22"/>
        <w:adjustRightInd w:val="0"/>
        <w:snapToGrid w:val="0"/>
        <w:spacing w:line="360" w:lineRule="auto"/>
        <w:ind w:left="1680" w:leftChars="80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发包人在收到竣工结算支付证书后的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22"/>
        <w:adjustRightInd w:val="0"/>
        <w:snapToGrid w:val="0"/>
        <w:spacing w:line="360" w:lineRule="auto"/>
        <w:rPr>
          <w:rFonts w:ascii="仿宋" w:hAnsi="仿宋" w:eastAsia="仿宋"/>
          <w:b/>
          <w:bCs/>
          <w:color w:val="auto"/>
          <w:sz w:val="24"/>
          <w:szCs w:val="24"/>
          <w:highlight w:val="none"/>
          <w:u w:val="single"/>
        </w:rPr>
      </w:pPr>
    </w:p>
    <w:p>
      <w:pPr>
        <w:tabs>
          <w:tab w:val="left" w:pos="1620"/>
        </w:tabs>
        <w:spacing w:before="100" w:line="360" w:lineRule="auto"/>
        <w:rPr>
          <w:rFonts w:ascii="仿宋" w:hAnsi="仿宋" w:eastAsia="仿宋"/>
          <w:b/>
          <w:bCs/>
          <w:color w:val="auto"/>
          <w:sz w:val="24"/>
          <w:szCs w:val="24"/>
          <w:highlight w:val="non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64" w:name="_Toc165"/>
      <w:bookmarkStart w:id="465" w:name="_Toc26725"/>
      <w:bookmarkStart w:id="466" w:name="_Toc25653694"/>
      <w:bookmarkStart w:id="467" w:name="_Toc46938406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84  </w:t>
      </w:r>
      <w:r>
        <w:rPr>
          <w:rFonts w:hint="eastAsia" w:ascii="仿宋" w:hAnsi="仿宋" w:eastAsia="仿宋" w:cs="仿宋"/>
          <w:b/>
          <w:bCs/>
          <w:color w:val="auto"/>
          <w:sz w:val="24"/>
          <w:szCs w:val="24"/>
          <w:highlight w:val="none"/>
        </w:rPr>
        <w:t>质量保证金</w:t>
      </w:r>
      <w:bookmarkEnd w:id="464"/>
      <w:bookmarkEnd w:id="465"/>
      <w:bookmarkEnd w:id="466"/>
      <w:bookmarkEnd w:id="467"/>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84.1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2" name="文本框 36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367" o:spid="_x0000_s1026" o:spt="202" type="#_x0000_t202" style="position:absolute;left:0pt;margin-left:-9pt;margin-top:0.65pt;height:31.2pt;width:72pt;z-index:25202892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rdoltUAAAAIAQAADwAAAAAAAAABACAAAAAiAAAAZHJzL2Rvd25y&#10;ZXYueG1sUEsBAhQAFAAAAAgAh07iQOk/4DE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 w:hAnsi="仿宋" w:eastAsia="仿宋" w:cs="仿宋"/>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pPr>
        <w:pStyle w:val="22"/>
        <w:tabs>
          <w:tab w:val="left" w:pos="90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84.2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合同双方当事人应在专用条款中约定质量保证金金额</w:t>
      </w:r>
      <w:r>
        <w:rPr>
          <w:color w:val="auto"/>
          <w:highlight w:val="none"/>
          <w:lang w:val="en-US"/>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61" name="文本框 368"/>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368" o:spid="_x0000_s1026" o:spt="202" type="#_x0000_t202" style="position:absolute;left:0pt;margin-left:-9pt;margin-top:1.6pt;height:40.9pt;width:72pt;z-index:252029952;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RW8TVAAAACAEAAA8AAAAAAAAAAQAgAAAAIgAAAGRycy9kb3du&#10;cmV2LnhtbFBLAQIUABQAAAAIAIdO4kCE2CQNAgIAANc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 w:hAnsi="仿宋" w:eastAsia="仿宋" w:cs="仿宋"/>
          <w:color w:val="auto"/>
          <w:sz w:val="24"/>
          <w:szCs w:val="24"/>
          <w:highlight w:val="none"/>
        </w:rPr>
        <w:t>。除专用条款另有约定外，质量保证金为合同价款的</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％（采取银行保函）。发包人应按照该比例从每支付期应支付给承包人的进度款或结算款中扣留，直到扣留的质量保证金总额达到专用条款约定的的金额为止。</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84.3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60"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369" o:spid="_x0000_s1026" o:spt="202" type="#_x0000_t202" style="position:absolute;left:0pt;margin-left:-9pt;margin-top:3.6pt;height:36.45pt;width:72pt;z-index:252030976;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ldgVtUAAAAIAQAADwAAAAAAAAABACAAAAAiAAAAZHJzL2Rvd25y&#10;ZXYueG1sUEsBAhQAFAAAAAgAh07iQLmkxnA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天内将剩余的质量保证金返还给承包人。剩余质量保证金的返还，并不能免除承包人按照合同约定应承担的质量保修责任和应履行的质量保修义务。</w:t>
      </w:r>
      <w:r>
        <w:rPr>
          <w:rFonts w:hint="eastAsia" w:eastAsia="仿宋_GB2312" w:cs="仿宋_GB2312"/>
          <w:color w:val="auto"/>
          <w:sz w:val="24"/>
          <w:szCs w:val="24"/>
          <w:highlight w:val="none"/>
        </w:rPr>
        <w:t>发包人在退还质量保证金的同时按照中国人民银行发布的同期同类贷款基准利率支付利息。</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84.4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59"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370"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V2BW1QAAAAgBAAAPAAAAAAAAAAEAIAAAACIAAABkcnMvZG93bnJl&#10;di54bWxQSwECFAAUAAAACACHTuJAod1hYw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款延长的期限）满时，承包人没有完成缺陷责任的，发包人有权扣留承包人未完成缺陷责任剩余工作所需的部分质量保证金余额，并有权根据第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款约定要求延长缺陷责任期，直到完成剩余工作为止。</w:t>
      </w:r>
    </w:p>
    <w:p>
      <w:pPr>
        <w:pStyle w:val="22"/>
        <w:adjustRightInd w:val="0"/>
        <w:snapToGrid w:val="0"/>
        <w:spacing w:line="240" w:lineRule="exact"/>
        <w:ind w:right="-238"/>
        <w:rPr>
          <w:rFonts w:ascii="仿宋" w:hAnsi="仿宋" w:eastAsia="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68" w:name="_Toc25653695"/>
      <w:bookmarkStart w:id="469" w:name="_Toc26975"/>
      <w:bookmarkStart w:id="470" w:name="_Toc19019"/>
      <w:r>
        <w:rPr>
          <w:rFonts w:ascii="仿宋" w:hAnsi="仿宋" w:eastAsia="仿宋" w:cs="仿宋"/>
          <w:b/>
          <w:bCs/>
          <w:color w:val="auto"/>
          <w:sz w:val="24"/>
          <w:szCs w:val="24"/>
          <w:highlight w:val="none"/>
        </w:rPr>
        <w:t xml:space="preserve">85  </w:t>
      </w:r>
      <w:r>
        <w:rPr>
          <w:rFonts w:hint="eastAsia" w:ascii="仿宋" w:hAnsi="仿宋" w:eastAsia="仿宋" w:cs="仿宋"/>
          <w:b/>
          <w:bCs/>
          <w:color w:val="auto"/>
          <w:sz w:val="24"/>
          <w:szCs w:val="24"/>
          <w:highlight w:val="none"/>
        </w:rPr>
        <w:t>最终清算款</w:t>
      </w:r>
      <w:bookmarkEnd w:id="468"/>
      <w:bookmarkEnd w:id="469"/>
      <w:bookmarkEnd w:id="470"/>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85.1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58" name="文本框 37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371" o:spid="_x0000_s1026" o:spt="202" type="#_x0000_t202" style="position:absolute;left:0pt;margin-left:-9pt;margin-top:5.85pt;height:31.2pt;width:72pt;z-index:252033024;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yIFbWAAAACQEAAA8AAAAAAAAAAQAgAAAAIgAAAGRycy9kb3du&#10;cmV2LnhtbFBLAQIUABQAAAAIAIdO4kD8oYrsAQIAANcDAAAOAAAAAAAAAAEAIAAAACU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合同双方当事人应在专用条款中明确最终清算款的支付时限。专用条款没有约定的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85.5</w:t>
      </w:r>
      <w:r>
        <w:rPr>
          <w:rFonts w:hint="eastAsia" w:ascii="仿宋" w:hAnsi="仿宋" w:eastAsia="仿宋" w:cs="仿宋"/>
          <w:color w:val="auto"/>
          <w:sz w:val="24"/>
          <w:szCs w:val="24"/>
          <w:highlight w:val="none"/>
        </w:rPr>
        <w:t>款规定办理。涉及政府投资资金的工程，支付期、支付方法等需调整的，应在专用条款中约定。</w:t>
      </w:r>
    </w:p>
    <w:p>
      <w:pPr>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22"/>
        <w:tabs>
          <w:tab w:val="left" w:pos="90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85.2</w:t>
      </w:r>
    </w:p>
    <w:p>
      <w:pPr>
        <w:pStyle w:val="22"/>
        <w:adjustRightInd w:val="0"/>
        <w:snapToGrid w:val="0"/>
        <w:spacing w:line="360" w:lineRule="auto"/>
        <w:ind w:left="1619" w:leftChars="771"/>
        <w:rPr>
          <w:rFonts w:ascii="仿宋" w:hAnsi="仿宋" w:eastAsia="仿宋"/>
          <w:color w:val="auto"/>
          <w:sz w:val="24"/>
          <w:szCs w:val="24"/>
          <w:highlight w:val="none"/>
          <w:u w:val="single"/>
        </w:rPr>
      </w:pPr>
      <w:r>
        <w:rPr>
          <w:color w:val="auto"/>
          <w:highlight w:val="none"/>
          <w:lang w:val="en-US"/>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57"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文本框 372" o:spid="_x0000_s1026" o:spt="202" type="#_x0000_t202" style="position:absolute;left:0pt;margin-left:-9pt;margin-top:0.7pt;height:36.45pt;width:81pt;z-index:252034048;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5Ykz9UAAAAIAQAADwAAAAAAAAABACAAAAAiAAAAZHJzL2Rv&#10;d25yZXYueG1sUEsBAhQAFAAAAAgAh07iQJBLiiYEAgAA2AMAAA4AAAAAAAAAAQAgAAAAJAEAAGRy&#10;cy9lMm9Eb2MueG1sUEsFBgAAAAAGAAYAWQEAAJo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 w:hAnsi="仿宋" w:eastAsia="仿宋" w:cs="仿宋"/>
          <w:color w:val="auto"/>
          <w:sz w:val="24"/>
          <w:szCs w:val="24"/>
          <w:highlight w:val="none"/>
        </w:rPr>
        <w:t>造价工程师应在收到最终清算支付申请后的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天内予以计量、核实，并将核实结果通知承包人、抄报发包人。发包人应在收到核实结果后的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天内在最终清算文件上签字确认。造价工程师应在发包人签字确认最终清算文件后的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天内，向发包人签发最终清算支付证书，同时抄送承包人。</w:t>
      </w:r>
    </w:p>
    <w:p>
      <w:pPr>
        <w:pStyle w:val="22"/>
        <w:adjustRightInd w:val="0"/>
        <w:snapToGrid w:val="0"/>
        <w:spacing w:line="36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56" name="文本框 373"/>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373" o:spid="_x0000_s1026" o:spt="202" type="#_x0000_t202" style="position:absolute;left:0pt;margin-left:-9pt;margin-top:18.15pt;height:36.45pt;width:72pt;z-index:252035072;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WPPmdgAAAAKAQAADwAAAAAAAAABACAAAAAiAAAAZHJzL2Rv&#10;d25yZXYueG1sUEsBAhQAFAAAAAgAh07iQJy4zZoBAgAA1wMAAA4AAAAAAAAAAQAgAAAAJwEAAGRy&#10;cy9lMm9Eb2MueG1sUEsFBgAAAAAGAAYAWQEAAJo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ascii="仿宋" w:hAnsi="仿宋" w:eastAsia="仿宋" w:cs="仿宋"/>
          <w:b/>
          <w:bCs/>
          <w:color w:val="auto"/>
          <w:sz w:val="24"/>
          <w:szCs w:val="24"/>
          <w:highlight w:val="none"/>
        </w:rPr>
        <w:t>85.3</w:t>
      </w:r>
    </w:p>
    <w:p>
      <w:pPr>
        <w:pStyle w:val="22"/>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发包人应在造价工程师签发最终清算支付证书后的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天内，按照最终清算支付证书列明的金额向承包人支付最终清算款，并通知造价工程师。</w:t>
      </w:r>
    </w:p>
    <w:p>
      <w:pPr>
        <w:pStyle w:val="22"/>
        <w:adjustRightInd w:val="0"/>
        <w:snapToGrid w:val="0"/>
        <w:spacing w:line="48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55"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374" o:spid="_x0000_s1026" o:spt="202" type="#_x0000_t202" style="position:absolute;left:0pt;margin-left:-9pt;margin-top:18.45pt;height:36.45pt;width:72pt;z-index:252036096;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3t4tgAAAAKAQAADwAAAAAAAAABACAAAAAiAAAAZHJzL2Rv&#10;d25yZXYueG1sUEsBAhQAFAAAAAgAh07iQFCnyWABAgAA1wMAAA4AAAAAAAAAAQAgAAAAJwEAAGRy&#10;cy9lMm9Eb2MueG1sUEsFBgAAAAAGAAYAWQEAAJoFA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ascii="仿宋" w:hAnsi="仿宋" w:eastAsia="仿宋" w:cs="仿宋"/>
          <w:b/>
          <w:bCs/>
          <w:color w:val="auto"/>
          <w:sz w:val="24"/>
          <w:szCs w:val="24"/>
          <w:highlight w:val="none"/>
        </w:rPr>
        <w:t xml:space="preserve">85.4 </w:t>
      </w:r>
    </w:p>
    <w:p>
      <w:pPr>
        <w:pStyle w:val="22"/>
        <w:adjustRightInd w:val="0"/>
        <w:snapToGrid w:val="0"/>
        <w:spacing w:line="360" w:lineRule="auto"/>
        <w:ind w:left="1576" w:leftChars="75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天内，按照承包人提交最终清算支付申请列明的金额向承包人支付最终清算款。</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85.5 </w:t>
      </w:r>
    </w:p>
    <w:p>
      <w:pPr>
        <w:spacing w:line="360" w:lineRule="auto"/>
        <w:ind w:left="1576" w:leftChars="750" w:hanging="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19"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文本框 375" o:spid="_x0000_s1026" o:spt="202" type="#_x0000_t202" style="position:absolute;left:0pt;margin-left:-9pt;margin-top:0.65pt;height:32.1pt;width:81pt;z-index:252037120;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BvX01QAAAAgBAAAPAAAAAAAAAAEAIAAAACIAAABkcnMvZG93&#10;bnJldi54bWxQSwECFAAUAAAACACHTuJAhKDYiQMCAADYAwAADgAAAAAAAAABACAAAAAkAQAAZHJz&#10;L2Uyb0RvYy54bWxQSwUGAAAAAAYABgBZAQAAm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85.3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85.4</w:t>
      </w:r>
      <w:r>
        <w:rPr>
          <w:rFonts w:hint="eastAsia" w:ascii="仿宋" w:hAnsi="仿宋" w:eastAsia="仿宋" w:cs="仿宋"/>
          <w:color w:val="auto"/>
          <w:sz w:val="24"/>
          <w:szCs w:val="24"/>
          <w:highlight w:val="none"/>
        </w:rPr>
        <w:t>款规定支付最终清算款的，承包人可催告发包人支付最终清算款，如双方达成延期支付协议，承包人有权按照第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款规定获得延期支付的利息。若该永久工程按照第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款规定进行折价或依法拍卖的，承包人就该工程折价或拍卖的价款优先受偿。</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85.6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20" name="文本框 376"/>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376" o:spid="_x0000_s1026" o:spt="202" type="#_x0000_t202" style="position:absolute;left:0pt;margin-left:-9pt;margin-top:3.6pt;height:36.45pt;width:72pt;z-index:25203814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V2BW1QAAAAgBAAAPAAAAAAAAAAEAIAAAACIAAABkcnMvZG93bnJl&#10;di54bWxQSwECFAAUAAAACACHTuJAdnSqGA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color w:val="auto"/>
          <w:sz w:val="24"/>
          <w:szCs w:val="24"/>
          <w:highlight w:val="none"/>
        </w:rPr>
        <w:t>承包人对发包人支付的最终清算款有异议的，按照第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条约定的争议处理。</w:t>
      </w:r>
    </w:p>
    <w:p>
      <w:pPr>
        <w:pStyle w:val="22"/>
        <w:adjustRightInd w:val="0"/>
        <w:snapToGrid w:val="0"/>
        <w:spacing w:line="360" w:lineRule="auto"/>
        <w:rPr>
          <w:rFonts w:ascii="仿宋" w:hAnsi="仿宋" w:eastAsia="仿宋"/>
          <w:b/>
          <w:bCs/>
          <w:color w:val="auto"/>
          <w:sz w:val="24"/>
          <w:szCs w:val="24"/>
          <w:highlight w:val="none"/>
        </w:rPr>
      </w:pPr>
    </w:p>
    <w:p>
      <w:pPr>
        <w:pStyle w:val="22"/>
        <w:adjustRightInd w:val="0"/>
        <w:snapToGrid w:val="0"/>
        <w:spacing w:line="360" w:lineRule="auto"/>
        <w:outlineLvl w:val="1"/>
        <w:rPr>
          <w:rFonts w:ascii="仿宋" w:hAnsi="仿宋" w:eastAsia="仿宋"/>
          <w:b/>
          <w:bCs/>
          <w:color w:val="auto"/>
          <w:sz w:val="24"/>
          <w:szCs w:val="24"/>
          <w:highlight w:val="none"/>
        </w:rPr>
      </w:pPr>
      <w:bookmarkStart w:id="471" w:name="_Toc16872"/>
      <w:bookmarkStart w:id="472" w:name="_Toc20673"/>
      <w:bookmarkStart w:id="473" w:name="_Toc469384069"/>
      <w:bookmarkStart w:id="474" w:name="_Toc25653696"/>
      <w:r>
        <w:rPr>
          <w:rFonts w:hint="eastAsia" w:ascii="仿宋" w:hAnsi="仿宋" w:eastAsia="仿宋" w:cs="仿宋"/>
          <w:b/>
          <w:bCs/>
          <w:color w:val="auto"/>
          <w:sz w:val="24"/>
          <w:szCs w:val="24"/>
          <w:highlight w:val="none"/>
        </w:rPr>
        <w:t>七、合同争议、解除与终止</w:t>
      </w:r>
      <w:bookmarkEnd w:id="471"/>
      <w:bookmarkEnd w:id="472"/>
      <w:bookmarkEnd w:id="473"/>
      <w:bookmarkEnd w:id="474"/>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75" w:name="_Toc25653697"/>
      <w:bookmarkStart w:id="476" w:name="_Toc24855"/>
      <w:bookmarkStart w:id="477" w:name="_Toc31892"/>
      <w:bookmarkStart w:id="478" w:name="_Toc469384070"/>
      <w:r>
        <w:rPr>
          <w:rFonts w:ascii="仿宋" w:hAnsi="仿宋" w:eastAsia="仿宋" w:cs="仿宋"/>
          <w:b/>
          <w:bCs/>
          <w:color w:val="auto"/>
          <w:sz w:val="24"/>
          <w:szCs w:val="24"/>
          <w:highlight w:val="none"/>
        </w:rPr>
        <w:t xml:space="preserve">86  </w:t>
      </w:r>
      <w:r>
        <w:rPr>
          <w:rFonts w:hint="eastAsia" w:ascii="仿宋" w:hAnsi="仿宋" w:eastAsia="仿宋" w:cs="仿宋"/>
          <w:b/>
          <w:bCs/>
          <w:color w:val="auto"/>
          <w:sz w:val="24"/>
          <w:szCs w:val="24"/>
          <w:highlight w:val="none"/>
        </w:rPr>
        <w:t>合同争议</w:t>
      </w:r>
      <w:bookmarkEnd w:id="475"/>
      <w:bookmarkEnd w:id="476"/>
      <w:bookmarkEnd w:id="477"/>
      <w:bookmarkEnd w:id="478"/>
    </w:p>
    <w:p>
      <w:pPr>
        <w:pStyle w:val="22"/>
        <w:adjustRightInd w:val="0"/>
        <w:snapToGrid w:val="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21"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377" o:spid="_x0000_s1026" o:spt="202" type="#_x0000_t202" style="position:absolute;left:0pt;margin-left:-9pt;margin-top:22.4pt;height:37pt;width:72pt;z-index:252039168;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JsOatcAAAAKAQAADwAAAAAAAAABACAAAAAiAAAAZHJzL2Rvd25y&#10;ZXYueG1sUEsBAhQAFAAAAAgAh07iQDOAaij/AQAA1wMAAA4AAAAAAAAAAQAgAAAAJg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ascii="仿宋" w:hAnsi="仿宋" w:eastAsia="仿宋" w:cs="仿宋"/>
          <w:b/>
          <w:bCs/>
          <w:color w:val="auto"/>
          <w:sz w:val="24"/>
          <w:szCs w:val="24"/>
          <w:highlight w:val="none"/>
        </w:rPr>
        <w:t xml:space="preserve">86.1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本合同履行期间，合同双方当事人应在收到监理工程师或造价工程师依据合同约定作出暂定结果之后的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合同双方当事人在收到监理工程师或造价工程师的暂定结果之日起，超过</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天，未对暂定结果予以确认也未提出意见的，视为合同双方当事人已认可暂定结果。</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86.2  </w:t>
      </w:r>
    </w:p>
    <w:p>
      <w:pPr>
        <w:pStyle w:val="22"/>
        <w:tabs>
          <w:tab w:val="left" w:pos="1320"/>
        </w:tabs>
        <w:adjustRightInd w:val="0"/>
        <w:snapToGrid w:val="0"/>
        <w:spacing w:line="360" w:lineRule="auto"/>
        <w:ind w:left="1680" w:leftChars="80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22" name="文本框 378"/>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378" o:spid="_x0000_s1026" o:spt="202" type="#_x0000_t202" style="position:absolute;left:0pt;margin-left:-9pt;margin-top:2.1pt;height:29.4pt;width:63pt;z-index:252040192;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v2ZadQAAAAIAQAADwAAAAAAAAABACAAAAAiAAAAZHJzL2Rvd25y&#10;ZXYueG1sUEsBAhQAFAAAAAgAh07iQEo63tECAgAA1wMAAA4AAAAAAAAAAQAgAAAAIw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rPr>
        <w:t>争议发生后的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天内，合同双方当事人可进一步进行协商。协商达成一致的，合同双方当事人应签订书面协议，并将结果抄送监理工程师或造价工程师；协商仍不能达成一致的，按照第</w:t>
      </w:r>
      <w:r>
        <w:rPr>
          <w:rFonts w:ascii="仿宋" w:hAnsi="仿宋" w:eastAsia="仿宋" w:cs="仿宋"/>
          <w:color w:val="auto"/>
          <w:sz w:val="24"/>
          <w:szCs w:val="24"/>
          <w:highlight w:val="none"/>
        </w:rPr>
        <w:t>86.3</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款规定进行调解或认定、仲裁或诉讼。</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23" name="文本框 379"/>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379" o:spid="_x0000_s1026" o:spt="202" type="#_x0000_t202" style="position:absolute;left:0pt;margin-left:-9pt;margin-top:0.9pt;height:25.6pt;width:81pt;z-index:252041216;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XgIh1AAAAAgBAAAPAAAAAAAAAAEAIAAAACIAAABkcnMvZG93&#10;bnJldi54bWxQSwECFAAUAAAACACHTuJAbpyiEAQCAADYAwAADgAAAAAAAAABACAAAAAjAQAAZHJz&#10;L2Uyb0RvYy54bWxQSwUGAAAAAAYABgBZAQAAm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rPr>
        <w:t>合同双方当事人没有按照第</w:t>
      </w:r>
      <w:r>
        <w:rPr>
          <w:rFonts w:ascii="仿宋" w:hAnsi="仿宋" w:eastAsia="仿宋" w:cs="仿宋"/>
          <w:color w:val="auto"/>
          <w:sz w:val="24"/>
          <w:szCs w:val="24"/>
          <w:highlight w:val="none"/>
        </w:rPr>
        <w:t>86.2</w:t>
      </w:r>
      <w:r>
        <w:rPr>
          <w:rFonts w:hint="eastAsia" w:ascii="仿宋" w:hAnsi="仿宋" w:eastAsia="仿宋" w:cs="仿宋"/>
          <w:color w:val="auto"/>
          <w:sz w:val="24"/>
          <w:szCs w:val="24"/>
          <w:highlight w:val="none"/>
        </w:rPr>
        <w:t>款规定进一步协商的，或虽然协商但未在规定期限内达成一致的，合同双方或一方当事人可在争议发生后的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天内，将争议提交争议调解或认定机构处理，或直接按照专用条款第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款规定提请仲裁或诉讼。</w:t>
      </w:r>
    </w:p>
    <w:p>
      <w:pPr>
        <w:pStyle w:val="22"/>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86.4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26" name="文本框 380"/>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380" o:spid="_x0000_s1026" o:spt="202" type="#_x0000_t202" style="position:absolute;left:0pt;margin-left:-9pt;margin-top:4.7pt;height:29.8pt;width:81pt;z-index:252042240;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c4X5nVAAAACAEAAA8AAAAAAAAAAQAgAAAAIgAAAGRycy9kb3du&#10;cmV2LnhtbFBLAQIUABQAAAAIAIdO4kDoxPfaAgIAANg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建设工程安全监督机构，负责有关工程安全方面争议的调解或认定；</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建设工程质量监督机构，负责有关工程质量方面争议的调解或认定；</w:t>
      </w:r>
    </w:p>
    <w:p>
      <w:pPr>
        <w:pStyle w:val="22"/>
        <w:adjustRightInd w:val="0"/>
        <w:snapToGrid w:val="0"/>
        <w:spacing w:line="360" w:lineRule="auto"/>
        <w:ind w:left="1620"/>
        <w:rPr>
          <w:rFonts w:ascii="仿宋" w:hAnsi="仿宋" w:eastAsia="仿宋"/>
          <w:b/>
          <w:bCs/>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建设工程造价管理机构，负责有关工程造价方面争议的调解或认定。</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48"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381" o:spid="_x0000_s1026" o:spt="202" type="#_x0000_t202" style="position:absolute;left:0pt;margin-left:-9pt;margin-top:2.55pt;height:36.6pt;width:72pt;z-index:252043264;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W2tN1QAAAAgBAAAPAAAAAAAAAAEAIAAAACIAAABkcnMvZG93bnJl&#10;di54bWxQSwECFAAUAAAACACHTuJAf+q57w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rPr>
        <w:t>合同双方当事人应在收到争议调解或认定机构书面结果后的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天内，对调解或认定结果以书面形式予以确认。</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86.6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47"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382" o:spid="_x0000_s1026" o:spt="202" type="#_x0000_t202" style="position:absolute;left:0pt;margin-left:-9pt;margin-top:0.95pt;height:26.35pt;width:81pt;z-index:252044288;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J+rI1QAAAAgBAAAPAAAAAAAAAAEAIAAAACIAAABkcnMvZG93&#10;bnJldi54bWxQSwECFAAUAAAACACHTuJAj+yq4gMCAADYAwAADgAAAAAAAAABACAAAAAkAQAAZHJz&#10;L2Uyb0RvYy54bWxQSwUGAAAAAAYABgBZAQAAm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rPr>
        <w:t>若合同双方或一方当事人在收到争议调解或认定机构的书面结果后明确表示不同意，或在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天内没有书面确认，任何一方均可按照专用条款约定的下列任一种方式解决争议：</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向约定的仲裁委员会申请仲裁；</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向有管辖权的人民法院提起诉讼。</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86.7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46" name="文本框 383"/>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383" o:spid="_x0000_s1026" o:spt="202" type="#_x0000_t202" style="position:absolute;left:0pt;margin-left:-9pt;margin-top:1.25pt;height:36.25pt;width:72pt;z-index:252045312;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uoOVNUAAAAIAQAADwAAAAAAAAABACAAAAAiAAAAZHJzL2Rvd25y&#10;ZXYueG1sUEsBAhQAFAAAAAgAh07iQBkByIU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rPr>
        <w:t>争议期间，除下列情况停止施工外，合同双方当事人都应继续履行合同，保持工程连续施工，保护好已完工程：</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合同双方当事人协商同意；</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合同一方当事人违约导致合同无法履行；</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工程造价管理机构调解需要，且合同双方当事人同意；</w:t>
      </w:r>
    </w:p>
    <w:p>
      <w:pPr>
        <w:pStyle w:val="22"/>
        <w:adjustRightInd w:val="0"/>
        <w:snapToGrid w:val="0"/>
        <w:spacing w:line="360" w:lineRule="auto"/>
        <w:ind w:left="16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仲裁委员会仲裁需要，且合同双方当事人同意：</w:t>
      </w:r>
    </w:p>
    <w:p>
      <w:pPr>
        <w:pStyle w:val="22"/>
        <w:adjustRightInd w:val="0"/>
        <w:snapToGrid w:val="0"/>
        <w:spacing w:line="360" w:lineRule="auto"/>
        <w:ind w:firstLine="1560" w:firstLineChars="6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人民法院诉讼需要。</w:t>
      </w:r>
    </w:p>
    <w:p>
      <w:pPr>
        <w:pStyle w:val="22"/>
        <w:tabs>
          <w:tab w:val="left" w:pos="1620"/>
        </w:tabs>
        <w:adjustRightInd w:val="0"/>
        <w:snapToGrid w:val="0"/>
        <w:spacing w:line="240" w:lineRule="exact"/>
        <w:ind w:right="-24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79" w:name="_Toc6927"/>
      <w:bookmarkStart w:id="480" w:name="_Toc469384071"/>
      <w:bookmarkStart w:id="481" w:name="_Toc25653698"/>
      <w:bookmarkStart w:id="482" w:name="_Toc15291"/>
      <w:r>
        <w:rPr>
          <w:rFonts w:ascii="仿宋" w:hAnsi="仿宋" w:eastAsia="仿宋" w:cs="仿宋"/>
          <w:b/>
          <w:bCs/>
          <w:color w:val="auto"/>
          <w:sz w:val="24"/>
          <w:szCs w:val="24"/>
          <w:highlight w:val="none"/>
        </w:rPr>
        <w:t xml:space="preserve">87  </w:t>
      </w:r>
      <w:r>
        <w:rPr>
          <w:rFonts w:hint="eastAsia" w:ascii="仿宋" w:hAnsi="仿宋" w:eastAsia="仿宋" w:cs="仿宋"/>
          <w:b/>
          <w:bCs/>
          <w:color w:val="auto"/>
          <w:sz w:val="24"/>
          <w:szCs w:val="24"/>
          <w:highlight w:val="none"/>
        </w:rPr>
        <w:t>合同解除</w:t>
      </w:r>
      <w:bookmarkEnd w:id="479"/>
      <w:bookmarkEnd w:id="480"/>
      <w:bookmarkEnd w:id="481"/>
      <w:bookmarkEnd w:id="482"/>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87.1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45" name="文本框 384"/>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384" o:spid="_x0000_s1026" o:spt="202" type="#_x0000_t202" style="position:absolute;left:0pt;margin-left:-9pt;margin-top:-0.3pt;height:20.75pt;width:81pt;z-index:252046336;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7Jum1AAAAAgBAAAPAAAAAAAAAAEAIAAAACIAAABkcnMvZG93&#10;bnJldi54bWxQSwECFAAUAAAACACHTuJATS7HrAQCAADYAwAADgAAAAAAAAABACAAAAAjAQAAZHJz&#10;L2Uyb0RvYy54bWxQSwUGAAAAAAYABgBZAQAAm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color w:val="auto"/>
          <w:sz w:val="24"/>
          <w:szCs w:val="24"/>
          <w:highlight w:val="none"/>
        </w:rPr>
        <w:t>合同双方当事人协商一致，可以解除合同。</w:t>
      </w:r>
    </w:p>
    <w:p>
      <w:pPr>
        <w:rPr>
          <w:color w:val="auto"/>
          <w:highlight w:val="none"/>
        </w:rPr>
      </w:pPr>
    </w:p>
    <w:p>
      <w:pPr>
        <w:pStyle w:val="22"/>
        <w:tabs>
          <w:tab w:val="left" w:pos="1320"/>
        </w:tabs>
        <w:adjustRightInd w:val="0"/>
        <w:snapToGrid w:val="0"/>
        <w:spacing w:line="36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44" name="文本框 38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385" o:spid="_x0000_s1026" o:spt="202" type="#_x0000_t202" style="position:absolute;left:0pt;margin-left:-9pt;margin-top:22.95pt;height:39pt;width:72pt;z-index:252047360;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7o+PnXAAAACgEAAA8AAAAAAAAAAQAgAAAAIgAAAGRycy9kb3du&#10;cmV2LnhtbFBLAQIUABQAAAAIAIdO4kCre/JTAAIAANcDAAAOAAAAAAAAAAEAIAAAACY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ascii="仿宋" w:hAnsi="仿宋" w:eastAsia="仿宋" w:cs="仿宋"/>
          <w:b/>
          <w:bCs/>
          <w:color w:val="auto"/>
          <w:sz w:val="24"/>
          <w:szCs w:val="24"/>
          <w:highlight w:val="none"/>
        </w:rPr>
        <w:t xml:space="preserve">87.2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因不可抗力事件致使合同无法继续履行的，合同双方当事人可以解除合同。</w:t>
      </w:r>
    </w:p>
    <w:p>
      <w:pPr>
        <w:rPr>
          <w:color w:val="auto"/>
          <w:highlight w:val="none"/>
        </w:rPr>
      </w:pPr>
    </w:p>
    <w:p>
      <w:pPr>
        <w:pStyle w:val="22"/>
        <w:tabs>
          <w:tab w:val="left" w:pos="132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87.3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43" name="文本框 386"/>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386" o:spid="_x0000_s1026" o:spt="202" type="#_x0000_t202" style="position:absolute;left:0pt;margin-left:-9pt;margin-top:2.95pt;height:31.85pt;width:72pt;z-index:252048384;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t/8+dUAAAAIAQAADwAAAAAAAAABACAAAAAiAAAAZHJzL2Rvd25y&#10;ZXYueG1sUEsBAhQAFAAAAAgAh07iQBeKFEc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rPr>
        <w:t>承包人有下列情形之一者，发包人可以解除合同：</w:t>
      </w:r>
    </w:p>
    <w:p>
      <w:pPr>
        <w:pStyle w:val="22"/>
        <w:numPr>
          <w:ilvl w:val="0"/>
          <w:numId w:val="28"/>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承包人未能按照第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款规定的开工期限内开工，经监理工程师催告后的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天内仍未开工的；</w:t>
      </w:r>
    </w:p>
    <w:p>
      <w:pPr>
        <w:pStyle w:val="22"/>
        <w:numPr>
          <w:ilvl w:val="0"/>
          <w:numId w:val="28"/>
        </w:numPr>
        <w:adjustRightInd w:val="0"/>
        <w:snapToGrid w:val="0"/>
        <w:spacing w:line="360" w:lineRule="auto"/>
        <w:ind w:left="1621" w:leftChars="771" w:hanging="2"/>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条规定的进度计划未表明有停工且监理工程师也未按照第</w:t>
      </w:r>
      <w:r>
        <w:rPr>
          <w:rFonts w:ascii="仿宋" w:hAnsi="仿宋" w:eastAsia="仿宋" w:cs="仿宋"/>
          <w:color w:val="auto"/>
          <w:sz w:val="24"/>
          <w:szCs w:val="24"/>
          <w:highlight w:val="none"/>
        </w:rPr>
        <w:t>35.1</w:t>
      </w:r>
      <w:r>
        <w:rPr>
          <w:rFonts w:hint="eastAsia" w:ascii="仿宋" w:hAnsi="仿宋" w:eastAsia="仿宋" w:cs="仿宋"/>
          <w:color w:val="auto"/>
          <w:sz w:val="24"/>
          <w:szCs w:val="24"/>
          <w:highlight w:val="none"/>
        </w:rPr>
        <w:t>款规定发出暂停施工令，但承包人停止施工时间持续达</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天或累计停止施工时间达</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p>
    <w:p>
      <w:pPr>
        <w:pStyle w:val="22"/>
        <w:numPr>
          <w:ilvl w:val="0"/>
          <w:numId w:val="28"/>
        </w:numPr>
        <w:tabs>
          <w:tab w:val="left" w:pos="1680"/>
        </w:tabs>
        <w:adjustRightInd w:val="0"/>
        <w:snapToGrid w:val="0"/>
        <w:spacing w:line="360" w:lineRule="auto"/>
        <w:ind w:left="1659" w:leftChars="770" w:hanging="42"/>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承包人违反第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款或第</w:t>
      </w:r>
      <w:r>
        <w:rPr>
          <w:rFonts w:ascii="仿宋" w:hAnsi="仿宋" w:eastAsia="仿宋" w:cs="仿宋"/>
          <w:color w:val="auto"/>
          <w:sz w:val="24"/>
          <w:szCs w:val="24"/>
          <w:highlight w:val="none"/>
        </w:rPr>
        <w:t>51.4</w:t>
      </w:r>
      <w:r>
        <w:rPr>
          <w:rFonts w:hint="eastAsia" w:ascii="仿宋" w:hAnsi="仿宋" w:eastAsia="仿宋" w:cs="仿宋"/>
          <w:color w:val="auto"/>
          <w:sz w:val="24"/>
          <w:szCs w:val="24"/>
          <w:highlight w:val="none"/>
        </w:rPr>
        <w:t>款规定未经监理工程师批准，私自将已按照合同约定进入施工现场的施工设备、临时设施或材料运出施工现场的；</w:t>
      </w:r>
    </w:p>
    <w:p>
      <w:pPr>
        <w:pStyle w:val="22"/>
        <w:numPr>
          <w:ilvl w:val="0"/>
          <w:numId w:val="28"/>
        </w:numPr>
        <w:adjustRightInd w:val="0"/>
        <w:snapToGrid w:val="0"/>
        <w:spacing w:line="360" w:lineRule="auto"/>
        <w:ind w:left="1678" w:leftChars="799" w:firstLine="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承包人拖延完工且能偿付的误期赔偿费已达到专用条款约定最高限额的；</w:t>
      </w:r>
    </w:p>
    <w:p>
      <w:pPr>
        <w:pStyle w:val="22"/>
        <w:numPr>
          <w:ilvl w:val="0"/>
          <w:numId w:val="28"/>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承包人转包工程、违法分包或未经许可擅自分包工程的；</w:t>
      </w:r>
    </w:p>
    <w:p>
      <w:pPr>
        <w:pStyle w:val="22"/>
        <w:numPr>
          <w:ilvl w:val="0"/>
          <w:numId w:val="28"/>
        </w:numPr>
        <w:adjustRightInd w:val="0"/>
        <w:snapToGrid w:val="0"/>
        <w:spacing w:line="360" w:lineRule="auto"/>
        <w:ind w:left="1617" w:leftChars="770"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承包人未按照合同约定或监理工程师的指令，经监理工程师书面指出后仍未按要求改正的；</w:t>
      </w:r>
    </w:p>
    <w:p>
      <w:pPr>
        <w:pStyle w:val="22"/>
        <w:numPr>
          <w:ilvl w:val="0"/>
          <w:numId w:val="28"/>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承包人履行合同期间有欺诈行为的；</w:t>
      </w:r>
    </w:p>
    <w:p>
      <w:pPr>
        <w:pStyle w:val="22"/>
        <w:numPr>
          <w:ilvl w:val="0"/>
          <w:numId w:val="28"/>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承包人向任何人付给或企图付给任何贿赂、礼品、赏金、回扣或其他贵重物品，以引诱或报偿他人，但付给承包人相关人员的奖励则属例外；</w:t>
      </w:r>
    </w:p>
    <w:p>
      <w:pPr>
        <w:pStyle w:val="22"/>
        <w:adjustRightInd w:val="0"/>
        <w:snapToGrid w:val="0"/>
        <w:spacing w:line="360" w:lineRule="auto"/>
        <w:ind w:left="1617"/>
        <w:rPr>
          <w:rFonts w:ascii="仿宋" w:hAnsi="仿宋" w:eastAsia="仿宋"/>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承包人在缺陷责任期内未能对发生的缺陷进行修复，且又拒绝按照监理工程师指令再进行修补的；</w:t>
      </w:r>
    </w:p>
    <w:p>
      <w:pPr>
        <w:pStyle w:val="22"/>
        <w:adjustRightInd w:val="0"/>
        <w:snapToGrid w:val="0"/>
        <w:spacing w:line="360" w:lineRule="auto"/>
        <w:ind w:left="1680" w:leftChars="800"/>
        <w:rPr>
          <w:rFonts w:ascii="仿宋" w:hAnsi="仿宋" w:eastAsia="仿宋"/>
          <w:color w:val="auto"/>
          <w:sz w:val="24"/>
          <w:szCs w:val="24"/>
          <w:highlight w:val="none"/>
        </w:rPr>
      </w:pP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承包人无法继续履行、明确表示或以行为表明不履行合同约定主要义务的；</w:t>
      </w:r>
    </w:p>
    <w:p>
      <w:pPr>
        <w:pStyle w:val="22"/>
        <w:adjustRightInd w:val="0"/>
        <w:snapToGrid w:val="0"/>
        <w:spacing w:line="360" w:lineRule="auto"/>
        <w:ind w:left="1680"/>
        <w:rPr>
          <w:rFonts w:ascii="仿宋" w:hAnsi="仿宋" w:eastAsia="仿宋"/>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承包人延迟履行合同约定主要义务，经催告后在合理期限内仍未履行的；</w:t>
      </w:r>
    </w:p>
    <w:p>
      <w:pPr>
        <w:pStyle w:val="22"/>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承包人破产或清偿的，但以机构重组或联合为目的的除外；</w:t>
      </w:r>
    </w:p>
    <w:p>
      <w:pPr>
        <w:spacing w:line="360" w:lineRule="auto"/>
        <w:ind w:left="1916" w:leftChars="798" w:hanging="240" w:hangingChars="100"/>
        <w:rPr>
          <w:rFonts w:ascii="仿宋" w:hAnsi="仿宋" w:eastAsia="仿宋"/>
          <w:color w:val="auto"/>
          <w:sz w:val="24"/>
          <w:szCs w:val="24"/>
          <w:highlight w:val="none"/>
        </w:rPr>
      </w:pP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承包人被认为是严重违反合同的其他违约行为。</w:t>
      </w:r>
    </w:p>
    <w:p>
      <w:pPr>
        <w:pStyle w:val="22"/>
        <w:adjustRightInd w:val="0"/>
        <w:snapToGrid w:val="0"/>
        <w:spacing w:line="360" w:lineRule="auto"/>
        <w:ind w:left="1619" w:leftChars="771"/>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在这种情况下，发包人可自行或委托第三方实施、完成合同工程或其任何部分，并可使用根据第</w:t>
      </w:r>
      <w:r>
        <w:rPr>
          <w:rFonts w:ascii="仿宋" w:hAnsi="仿宋" w:eastAsia="仿宋" w:cs="仿宋"/>
          <w:color w:val="auto"/>
          <w:sz w:val="24"/>
          <w:szCs w:val="24"/>
          <w:highlight w:val="none"/>
        </w:rPr>
        <w:t>18.2</w:t>
      </w:r>
      <w:r>
        <w:rPr>
          <w:rFonts w:hint="eastAsia" w:ascii="仿宋" w:hAnsi="仿宋" w:eastAsia="仿宋" w:cs="仿宋"/>
          <w:color w:val="auto"/>
          <w:sz w:val="24"/>
          <w:szCs w:val="24"/>
          <w:highlight w:val="none"/>
        </w:rPr>
        <w:t>款留下的承包人临时工程，直至永久工程完工为止。</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87.4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42" name="文本框 387"/>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387" o:spid="_x0000_s1026" o:spt="202" type="#_x0000_t202" style="position:absolute;left:0pt;margin-left:-9pt;margin-top:2.35pt;height:39.65pt;width:72pt;z-index:252049408;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Y8uONUAAAAIAQAADwAAAAAAAAABACAAAAAiAAAAZHJzL2Rvd25y&#10;ZXYueG1sUEsBAhQAFAAAAAgAh07iQJ/Zkg0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rPr>
        <w:t>发包人有下列情形之一者，承包人可以解除合同：</w:t>
      </w:r>
    </w:p>
    <w:p>
      <w:pPr>
        <w:pStyle w:val="22"/>
        <w:numPr>
          <w:ilvl w:val="0"/>
          <w:numId w:val="29"/>
        </w:numPr>
        <w:tabs>
          <w:tab w:val="left" w:pos="2160"/>
        </w:tabs>
        <w:adjustRightInd w:val="0"/>
        <w:snapToGrid w:val="0"/>
        <w:spacing w:line="360" w:lineRule="auto"/>
        <w:ind w:left="1619" w:leftChars="771" w:firstLine="1"/>
        <w:rPr>
          <w:rFonts w:ascii="仿宋" w:hAnsi="仿宋" w:eastAsia="仿宋"/>
          <w:color w:val="auto"/>
          <w:sz w:val="24"/>
          <w:szCs w:val="24"/>
          <w:highlight w:val="none"/>
        </w:rPr>
      </w:pPr>
      <w:r>
        <w:rPr>
          <w:rFonts w:hint="eastAsia" w:ascii="仿宋" w:hAnsi="仿宋" w:eastAsia="仿宋" w:cs="仿宋"/>
          <w:color w:val="auto"/>
          <w:sz w:val="24"/>
          <w:szCs w:val="24"/>
          <w:highlight w:val="none"/>
        </w:rPr>
        <w:t>非承包人原因未按照第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款规定期限内发出开工令，经承包人催告后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天内仍未发出开工令的；</w:t>
      </w:r>
    </w:p>
    <w:p>
      <w:pPr>
        <w:pStyle w:val="22"/>
        <w:numPr>
          <w:ilvl w:val="0"/>
          <w:numId w:val="29"/>
        </w:numPr>
        <w:tabs>
          <w:tab w:val="left" w:pos="21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35.3</w:t>
      </w:r>
      <w:r>
        <w:rPr>
          <w:rFonts w:hint="eastAsia" w:ascii="仿宋" w:hAnsi="仿宋" w:eastAsia="仿宋" w:cs="仿宋"/>
          <w:color w:val="auto"/>
          <w:sz w:val="24"/>
          <w:szCs w:val="24"/>
          <w:highlight w:val="none"/>
        </w:rPr>
        <w:t>款规定非承包人原因造成暂停施工持续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天以上或累计停工时间超过了</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p>
    <w:p>
      <w:pPr>
        <w:pStyle w:val="22"/>
        <w:numPr>
          <w:ilvl w:val="0"/>
          <w:numId w:val="29"/>
        </w:numPr>
        <w:tabs>
          <w:tab w:val="left" w:pos="1800"/>
        </w:tabs>
        <w:adjustRightInd w:val="0"/>
        <w:snapToGrid w:val="0"/>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发包人按照第</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条规定提供的施工设计图纸存在缺陷或按照第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条规定供应的材料和工程设备不符合强制性标准，致使承包人无法施工，经承包人催告后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天内仍未修正或更换的；</w:t>
      </w:r>
    </w:p>
    <w:p>
      <w:pPr>
        <w:pStyle w:val="22"/>
        <w:numPr>
          <w:ilvl w:val="0"/>
          <w:numId w:val="29"/>
        </w:numPr>
        <w:tabs>
          <w:tab w:val="left" w:pos="21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监理工程师未按照合同约定及时发出工作指令，导致承包人无法继续施工的；</w:t>
      </w:r>
    </w:p>
    <w:p>
      <w:pPr>
        <w:pStyle w:val="22"/>
        <w:numPr>
          <w:ilvl w:val="0"/>
          <w:numId w:val="29"/>
        </w:numPr>
        <w:tabs>
          <w:tab w:val="left" w:pos="2160"/>
        </w:tabs>
        <w:adjustRightInd w:val="0"/>
        <w:snapToGrid w:val="0"/>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78.1</w:t>
      </w:r>
      <w:r>
        <w:rPr>
          <w:rFonts w:hint="eastAsia" w:ascii="仿宋" w:hAnsi="仿宋" w:eastAsia="仿宋" w:cs="仿宋"/>
          <w:color w:val="auto"/>
          <w:sz w:val="24"/>
          <w:szCs w:val="24"/>
          <w:highlight w:val="none"/>
        </w:rPr>
        <w:t>款规定向承包人支付工程款，经承包人催告后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w:t>
      </w:r>
    </w:p>
    <w:p>
      <w:pPr>
        <w:pStyle w:val="22"/>
        <w:numPr>
          <w:ilvl w:val="0"/>
          <w:numId w:val="29"/>
        </w:numPr>
        <w:tabs>
          <w:tab w:val="left" w:pos="2160"/>
        </w:tabs>
        <w:adjustRightInd w:val="0"/>
        <w:snapToGrid w:val="0"/>
        <w:spacing w:line="360" w:lineRule="auto"/>
        <w:ind w:left="1620" w:leftChars="771"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发包人无法继续履行、明确表示或以行为表明不履行合同约定主要义务的；</w:t>
      </w:r>
    </w:p>
    <w:p>
      <w:pPr>
        <w:pStyle w:val="22"/>
        <w:tabs>
          <w:tab w:val="left" w:pos="2160"/>
        </w:tabs>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发包人延迟履行合同约定主要义务，经催告后在合理期限内仍未履行的；</w:t>
      </w:r>
    </w:p>
    <w:p>
      <w:pPr>
        <w:pStyle w:val="22"/>
        <w:tabs>
          <w:tab w:val="left" w:pos="2160"/>
        </w:tabs>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发包人破产或清偿的，但以机构重组或联合为目的的除外；</w:t>
      </w:r>
    </w:p>
    <w:p>
      <w:pPr>
        <w:pStyle w:val="22"/>
        <w:tabs>
          <w:tab w:val="left" w:pos="2160"/>
        </w:tabs>
        <w:adjustRightInd w:val="0"/>
        <w:snapToGrid w:val="0"/>
        <w:spacing w:line="360" w:lineRule="auto"/>
        <w:ind w:left="1619"/>
        <w:rPr>
          <w:rFonts w:ascii="仿宋" w:hAnsi="仿宋" w:eastAsia="仿宋"/>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发包人被认为是严重违反合同的其他违约行为。</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41" name="文本框 388"/>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388" o:spid="_x0000_s1026" o:spt="202" type="#_x0000_t202" style="position:absolute;left:0pt;margin-left:-9pt;margin-top:15.95pt;height:31.2pt;width:72pt;z-index:252050432;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Q1uI1wAAAAkBAAAPAAAAAAAAAAEAIAAAACIAAABkcnMvZG93&#10;bnJldi54bWxQSwECFAAUAAAACACHTuJAWJmDawECAADXAwAADgAAAAAAAAABACAAAAAmAQAAZHJz&#10;L2Uyb0RvYy54bWxQSwUGAAAAAAYABgBZAQAAm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ascii="仿宋" w:hAnsi="仿宋" w:eastAsia="仿宋" w:cs="仿宋"/>
          <w:b/>
          <w:bCs/>
          <w:color w:val="auto"/>
          <w:sz w:val="24"/>
          <w:szCs w:val="24"/>
          <w:highlight w:val="none"/>
        </w:rPr>
        <w:t xml:space="preserve">87.5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款规定要求解除合同的，解除方应以书面形式向另一方当事人发出解除合同的通知，另一方当事人收到通知时合同即告解除。对解除合同有争议的，应按照第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22"/>
        <w:tabs>
          <w:tab w:val="left" w:pos="1320"/>
        </w:tabs>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87.6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40" name="文本框 389"/>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389" o:spid="_x0000_s1026" o:spt="202" type="#_x0000_t202" style="position:absolute;left:0pt;margin-left:-9pt;margin-top:0.55pt;height:46.8pt;width:72pt;z-index:252051456;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ManK1AAAAAgBAAAPAAAAAAAAAAEAIAAAACIAAABkcnMvZG93bnJl&#10;di54bWxQSwECFAAUAAAACACHTuJAImy16gECAADX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 w:hAnsi="仿宋" w:eastAsia="仿宋" w:cs="仿宋"/>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22"/>
        <w:adjustRightInd w:val="0"/>
        <w:snapToGrid w:val="0"/>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483" w:name="_Toc30129"/>
      <w:bookmarkStart w:id="484" w:name="_Toc25653699"/>
      <w:bookmarkStart w:id="485" w:name="_Toc469384072"/>
      <w:bookmarkStart w:id="486" w:name="_Toc12522"/>
      <w:r>
        <w:rPr>
          <w:rFonts w:ascii="仿宋" w:hAnsi="仿宋" w:eastAsia="仿宋" w:cs="仿宋"/>
          <w:b/>
          <w:bCs/>
          <w:color w:val="auto"/>
          <w:sz w:val="24"/>
          <w:szCs w:val="24"/>
          <w:highlight w:val="none"/>
        </w:rPr>
        <w:t xml:space="preserve">88  </w:t>
      </w:r>
      <w:r>
        <w:rPr>
          <w:rFonts w:hint="eastAsia" w:ascii="仿宋" w:hAnsi="仿宋" w:eastAsia="仿宋" w:cs="仿宋"/>
          <w:b/>
          <w:bCs/>
          <w:color w:val="auto"/>
          <w:sz w:val="24"/>
          <w:szCs w:val="24"/>
          <w:highlight w:val="none"/>
        </w:rPr>
        <w:t>合同解除的支付</w:t>
      </w:r>
      <w:bookmarkEnd w:id="483"/>
      <w:bookmarkEnd w:id="484"/>
      <w:bookmarkEnd w:id="485"/>
      <w:bookmarkEnd w:id="486"/>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052480"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9" name="文本框 39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390" o:spid="_x0000_s1026" o:spt="202" type="#_x0000_t202" style="position:absolute;left:0pt;margin-left:-5.25pt;margin-top:14.85pt;height:31.2pt;width:72pt;z-index:252052480;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5kRl1gAAAAkBAAAPAAAAAAAAAAEAIAAAACIAAABkcnMvZG93bnJl&#10;di54bWxQSwECFAAUAAAACACHTuJAMW0dF/8BAADXAwAADgAAAAAAAAABACAAAAAl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ascii="仿宋" w:hAnsi="仿宋" w:eastAsia="仿宋" w:cs="仿宋"/>
          <w:b/>
          <w:bCs/>
          <w:color w:val="auto"/>
          <w:sz w:val="24"/>
          <w:szCs w:val="24"/>
          <w:highlight w:val="none"/>
        </w:rPr>
        <w:t xml:space="preserve">88.1     </w:t>
      </w:r>
    </w:p>
    <w:p>
      <w:pPr>
        <w:pStyle w:val="22"/>
        <w:adjustRightInd w:val="0"/>
        <w:snapToGrid w:val="0"/>
        <w:spacing w:line="360" w:lineRule="auto"/>
        <w:ind w:left="1676" w:leftChars="798"/>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87.1</w:t>
      </w:r>
      <w:r>
        <w:rPr>
          <w:rFonts w:hint="eastAsia" w:ascii="仿宋" w:hAnsi="仿宋" w:eastAsia="仿宋" w:cs="仿宋"/>
          <w:color w:val="auto"/>
          <w:sz w:val="24"/>
          <w:szCs w:val="24"/>
          <w:highlight w:val="none"/>
        </w:rPr>
        <w:t>款规定解除合同的，按照达成的协议办理结算和支付工程款。</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88.2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38" name="文本框 391"/>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391" o:spid="_x0000_s1026" o:spt="202" type="#_x0000_t202" style="position:absolute;left:0pt;margin-left:-9pt;margin-top:1.25pt;height:54.6pt;width:72pt;z-index:25205350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PuPt9YAAAAJAQAADwAAAAAAAAABACAAAAAiAAAAZHJzL2Rvd25y&#10;ZXYueG1sUEsBAhQAFAAAAAgAh07iQP+Wy/cAAgAA1wMAAA4AAAAAAAAAAQAgAAAAJQ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款规定解除合同的，发包人应向承包人支付合同解除之日前已完成工程但尚未支付的工程款。此外，发包人还应支付下列款项：</w:t>
      </w:r>
    </w:p>
    <w:p>
      <w:pPr>
        <w:pStyle w:val="22"/>
        <w:numPr>
          <w:ilvl w:val="0"/>
          <w:numId w:val="30"/>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已实施或部分实施的措施项目应付款项；</w:t>
      </w:r>
    </w:p>
    <w:p>
      <w:pPr>
        <w:pStyle w:val="22"/>
        <w:numPr>
          <w:ilvl w:val="0"/>
          <w:numId w:val="30"/>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承包人为合同工程合理订购且已交付的材料和工程设备货款。发包人一经支付此项货款，该材料和工程设备即成为发包人的财产；</w:t>
      </w:r>
    </w:p>
    <w:p>
      <w:pPr>
        <w:pStyle w:val="22"/>
        <w:numPr>
          <w:ilvl w:val="0"/>
          <w:numId w:val="30"/>
        </w:numPr>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承包人为完成合同工程而预期开支的任何合理款项，且该项款项未包括在本款其他各项支付之内；</w:t>
      </w:r>
    </w:p>
    <w:p>
      <w:pPr>
        <w:pStyle w:val="22"/>
        <w:numPr>
          <w:ilvl w:val="0"/>
          <w:numId w:val="30"/>
        </w:numPr>
        <w:adjustRightInd w:val="0"/>
        <w:snapToGrid w:val="0"/>
        <w:spacing w:line="360" w:lineRule="auto"/>
        <w:ind w:left="2096" w:leftChars="771" w:hanging="477" w:hangingChars="199"/>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31.3</w:t>
      </w:r>
      <w:r>
        <w:rPr>
          <w:rFonts w:hint="eastAsia" w:ascii="仿宋" w:hAnsi="仿宋" w:eastAsia="仿宋" w:cs="仿宋"/>
          <w:color w:val="auto"/>
          <w:sz w:val="24"/>
          <w:szCs w:val="24"/>
          <w:highlight w:val="none"/>
        </w:rPr>
        <w:t>款规定的任何工作应支付的款项；</w:t>
      </w:r>
    </w:p>
    <w:p>
      <w:pPr>
        <w:pStyle w:val="22"/>
        <w:numPr>
          <w:ilvl w:val="0"/>
          <w:numId w:val="30"/>
        </w:numPr>
        <w:tabs>
          <w:tab w:val="left" w:pos="198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87.6</w:t>
      </w:r>
      <w:r>
        <w:rPr>
          <w:rFonts w:hint="eastAsia" w:ascii="仿宋" w:hAnsi="仿宋" w:eastAsia="仿宋" w:cs="仿宋"/>
          <w:color w:val="auto"/>
          <w:sz w:val="24"/>
          <w:szCs w:val="24"/>
          <w:highlight w:val="none"/>
        </w:rPr>
        <w:t>款规定承包人撤离现场所需的合理款项，包括雇员遣送费和临时工程拆除、施工设备运离现场的款项。</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合同双方当事人按照第</w:t>
      </w:r>
      <w:r>
        <w:rPr>
          <w:rFonts w:ascii="仿宋" w:hAnsi="仿宋" w:eastAsia="仿宋" w:cs="仿宋"/>
          <w:color w:val="auto"/>
          <w:sz w:val="24"/>
          <w:szCs w:val="24"/>
          <w:highlight w:val="none"/>
        </w:rPr>
        <w:t>82</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条规定办理结算工程款，但应扣除合同解除之日前发包人向承包人收回的任何款项。如果发包人应扣除的款项超过了应支付的款项，则承包人应在合同解除后的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88.3  </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37" name="文本框 392"/>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392" o:spid="_x0000_s1026" o:spt="202" type="#_x0000_t202" style="position:absolute;left:0pt;margin-left:-9pt;margin-top:3.9pt;height:54.6pt;width:72pt;z-index:252054528;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QGvndYAAAAJAQAADwAAAAAAAAABACAAAAAiAAAAZHJzL2Rvd25y&#10;ZXYueG1sUEsBAhQAFAAAAAgAh07iQMLzZw4AAgAA1wMAAA4AAAAAAAAAAQAgAAAAJQ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款规定解除合同的，发包人暂停向承包人支付任何款项，造价工程师应在合同解除后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天内予以确认或提出意见，并按照第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款规定办理结算工程款。如果发包人应扣除的款项超过了应支付的款项，则承包人应在合同解除后的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88.4  </w:t>
      </w:r>
    </w:p>
    <w:p>
      <w:pPr>
        <w:pStyle w:val="22"/>
        <w:adjustRightInd w:val="0"/>
        <w:snapToGrid w:val="0"/>
        <w:spacing w:line="360" w:lineRule="auto"/>
        <w:ind w:left="1619" w:leftChars="771"/>
        <w:jc w:val="left"/>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36" name="文本框 393"/>
                <wp:cNvGraphicFramePr/>
                <a:graphic xmlns:a="http://schemas.openxmlformats.org/drawingml/2006/main">
                  <a:graphicData uri="http://schemas.microsoft.com/office/word/2010/wordprocessingShape">
                    <wps:wsp>
                      <wps:cNvSpPr txBox="1">
                        <a:spLocks noChangeArrowheads="1"/>
                      </wps:cNvSpPr>
                      <wps:spPr bwMode="auto">
                        <a:xfrm>
                          <a:off x="0" y="0"/>
                          <a:ext cx="914400" cy="46355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393" o:spid="_x0000_s1026" o:spt="202" type="#_x0000_t202" style="position:absolute;left:0pt;margin-left:-9pt;margin-top:3.6pt;height:36.5pt;width:72pt;z-index:252055552;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PRNvXVAAAACAEAAA8AAAAAAAAAAQAgAAAAIgAAAGRycy9kb3ducmV2&#10;LnhtbFBLAQIUABQAAAAIAIdO4kAYsG5Z/wEAANcDAAAOAAAAAAAAAAEAIAAAACQBAABkcnMvZTJv&#10;RG9jLnhtbFBLBQYAAAAABgAGAFkBAACV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款规定解除合同的，发包人除应按照第</w:t>
      </w:r>
      <w:r>
        <w:rPr>
          <w:rFonts w:ascii="仿宋" w:hAnsi="仿宋" w:eastAsia="仿宋" w:cs="仿宋"/>
          <w:color w:val="auto"/>
          <w:sz w:val="24"/>
          <w:szCs w:val="24"/>
          <w:highlight w:val="none"/>
        </w:rPr>
        <w:t>88.2</w:t>
      </w:r>
      <w:r>
        <w:rPr>
          <w:rFonts w:hint="eastAsia" w:ascii="仿宋" w:hAnsi="仿宋" w:eastAsia="仿宋" w:cs="仿宋"/>
          <w:color w:val="auto"/>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天内由造价工程师向发包人签发支付证书，抄送承包人。协商不能达成一致的，按照第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22"/>
        <w:adjustRightInd w:val="0"/>
        <w:snapToGrid w:val="0"/>
        <w:spacing w:line="360" w:lineRule="auto"/>
        <w:jc w:val="left"/>
        <w:rPr>
          <w:rFonts w:ascii="仿宋" w:hAnsi="仿宋" w:eastAsia="仿宋" w:cs="仿宋"/>
          <w:b/>
          <w:bCs/>
          <w:color w:val="auto"/>
          <w:sz w:val="24"/>
          <w:szCs w:val="24"/>
          <w:highlight w:val="none"/>
          <w:u w:val="single"/>
        </w:rPr>
      </w:pPr>
    </w:p>
    <w:p>
      <w:pPr>
        <w:pStyle w:val="22"/>
        <w:adjustRightInd w:val="0"/>
        <w:snapToGrid w:val="0"/>
        <w:spacing w:line="360" w:lineRule="auto"/>
        <w:jc w:val="left"/>
        <w:outlineLvl w:val="2"/>
        <w:rPr>
          <w:rFonts w:ascii="仿宋" w:hAnsi="仿宋" w:eastAsia="仿宋"/>
          <w:b/>
          <w:bCs/>
          <w:color w:val="auto"/>
          <w:sz w:val="24"/>
          <w:szCs w:val="24"/>
          <w:highlight w:val="none"/>
        </w:rPr>
      </w:pPr>
      <w:bookmarkStart w:id="487" w:name="_Toc25653700"/>
      <w:bookmarkStart w:id="488" w:name="_Toc469384073"/>
      <w:bookmarkStart w:id="489" w:name="_Toc22014"/>
      <w:bookmarkStart w:id="490" w:name="_Toc21183"/>
      <w:r>
        <w:rPr>
          <w:rFonts w:ascii="仿宋" w:hAnsi="仿宋" w:eastAsia="仿宋" w:cs="仿宋"/>
          <w:b/>
          <w:bCs/>
          <w:color w:val="auto"/>
          <w:sz w:val="24"/>
          <w:szCs w:val="24"/>
          <w:highlight w:val="none"/>
        </w:rPr>
        <w:t xml:space="preserve">89  </w:t>
      </w:r>
      <w:r>
        <w:rPr>
          <w:rFonts w:hint="eastAsia" w:ascii="仿宋" w:hAnsi="仿宋" w:eastAsia="仿宋" w:cs="仿宋"/>
          <w:b/>
          <w:bCs/>
          <w:color w:val="auto"/>
          <w:sz w:val="24"/>
          <w:szCs w:val="24"/>
          <w:highlight w:val="none"/>
        </w:rPr>
        <w:t>合同终止</w:t>
      </w:r>
      <w:bookmarkEnd w:id="487"/>
      <w:bookmarkEnd w:id="488"/>
      <w:bookmarkEnd w:id="489"/>
      <w:bookmarkEnd w:id="490"/>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89.1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5" name="文本框 39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394" o:spid="_x0000_s1026" o:spt="202" type="#_x0000_t202" style="position:absolute;left:0pt;margin-left:-9pt;margin-top:1.25pt;height:31.2pt;width:72pt;z-index:2520565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z/Bw1QAAAAgBAAAPAAAAAAAAAAEAIAAAACIAAABkcnMvZG93bnJl&#10;di54bWxQSwECFAAUAAAACACHTuJAwBe1FA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rPr>
        <w:t>合同解除后，除合同双方当事人享有第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88</w:t>
      </w:r>
      <w:r>
        <w:rPr>
          <w:rFonts w:hint="eastAsia" w:ascii="仿宋" w:hAnsi="仿宋" w:eastAsia="仿宋" w:cs="仿宋"/>
          <w:color w:val="auto"/>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89.2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34" name="文本框 395"/>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395" o:spid="_x0000_s1026" o:spt="202" type="#_x0000_t202" style="position:absolute;left:0pt;margin-left:-9pt;margin-top:0.05pt;height:67.05pt;width:72pt;z-index:252057600;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wqp+1QAAAAgBAAAPAAAAAAAAAAEAIAAAACIAAABkcnMvZG93bnJl&#10;di54bWxQSwECFAAUAAAACACHTuJAjamusg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 w:hAnsi="仿宋" w:eastAsia="仿宋" w:cs="仿宋"/>
          <w:color w:val="auto"/>
          <w:sz w:val="24"/>
          <w:szCs w:val="24"/>
          <w:highlight w:val="none"/>
        </w:rPr>
        <w:t>除第</w:t>
      </w:r>
      <w:r>
        <w:rPr>
          <w:rFonts w:ascii="仿宋" w:hAnsi="仿宋" w:eastAsia="仿宋" w:cs="仿宋"/>
          <w:color w:val="auto"/>
          <w:sz w:val="24"/>
          <w:szCs w:val="24"/>
          <w:highlight w:val="none"/>
        </w:rPr>
        <w:t>59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条规定的质量保修条款外，合同双方当事人履行完本合同全部义务，发包人向承包人支付完竣工结算款，承包人向发包人交付竣工工程后，本合同即告终止。</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89.3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3" name="文本框 396"/>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396" o:spid="_x0000_s1026" o:spt="202" type="#_x0000_t202" style="position:absolute;left:0pt;margin-left:-9pt;margin-top:1.05pt;height:32.75pt;width:72pt;z-index:25205862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EyWpNUAAAAIAQAADwAAAAAAAAABACAAAAAiAAAAZHJzL2Rvd25y&#10;ZXYueG1sUEsBAhQAFAAAAAgAh07iQIwhHUE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rPr>
        <w:t>本合同的权利义务终止后，合同双方当事人仍应遵循诚实信用原则，继续履行合同约定的通知、协助、保密等义务。</w:t>
      </w:r>
    </w:p>
    <w:p>
      <w:pPr>
        <w:pStyle w:val="22"/>
        <w:adjustRightInd w:val="0"/>
        <w:snapToGrid w:val="0"/>
        <w:spacing w:line="480" w:lineRule="auto"/>
        <w:ind w:right="-238"/>
        <w:rPr>
          <w:rFonts w:ascii="仿宋" w:hAnsi="仿宋" w:eastAsia="仿宋" w:cs="仿宋"/>
          <w:color w:val="auto"/>
          <w:sz w:val="24"/>
          <w:szCs w:val="24"/>
          <w:highlight w:val="none"/>
          <w:u w:val="single"/>
        </w:rPr>
      </w:pPr>
    </w:p>
    <w:p>
      <w:pPr>
        <w:ind w:firstLine="2951" w:firstLineChars="1225"/>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八、违约责任</w:t>
      </w:r>
    </w:p>
    <w:p>
      <w:pPr>
        <w:jc w:val="left"/>
        <w:rPr>
          <w:color w:val="auto"/>
          <w:highlight w:val="none"/>
        </w:rPr>
      </w:pPr>
    </w:p>
    <w:p>
      <w:pPr>
        <w:pStyle w:val="22"/>
        <w:adjustRightInd w:val="0"/>
        <w:snapToGrid w:val="0"/>
        <w:spacing w:line="360" w:lineRule="auto"/>
        <w:jc w:val="left"/>
        <w:outlineLvl w:val="2"/>
        <w:rPr>
          <w:rFonts w:ascii="仿宋" w:hAnsi="仿宋" w:eastAsia="仿宋"/>
          <w:b/>
          <w:bCs/>
          <w:color w:val="auto"/>
          <w:sz w:val="24"/>
          <w:szCs w:val="24"/>
          <w:highlight w:val="none"/>
        </w:rPr>
      </w:pPr>
      <w:bookmarkStart w:id="491" w:name="_Toc25653701"/>
      <w:bookmarkStart w:id="492" w:name="_Toc1843"/>
      <w:bookmarkStart w:id="493" w:name="_Toc23812"/>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90  </w:t>
      </w:r>
      <w:r>
        <w:rPr>
          <w:rFonts w:hint="eastAsia" w:ascii="仿宋" w:hAnsi="仿宋" w:eastAsia="仿宋" w:cs="仿宋"/>
          <w:b/>
          <w:bCs/>
          <w:color w:val="auto"/>
          <w:sz w:val="24"/>
          <w:szCs w:val="24"/>
          <w:highlight w:val="none"/>
        </w:rPr>
        <w:t>承包人的违约责任</w:t>
      </w:r>
      <w:bookmarkEnd w:id="491"/>
      <w:bookmarkEnd w:id="492"/>
      <w:bookmarkEnd w:id="49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90.1</w:t>
      </w:r>
    </w:p>
    <w:p>
      <w:pPr>
        <w:adjustRightInd w:val="0"/>
        <w:snapToGrid w:val="0"/>
        <w:spacing w:line="360" w:lineRule="auto"/>
        <w:ind w:left="2199" w:leftChars="897" w:hanging="315" w:hangingChars="15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2" name="文本框 39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397" o:spid="_x0000_s1026" o:spt="202" type="#_x0000_t202" style="position:absolute;left:0pt;margin-left:-9pt;margin-top:1.25pt;height:31.2pt;width:72pt;z-index:2520760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z/Bw1QAAAAgBAAAPAAAAAAAAAAEAIAAAACIAAABkcnMvZG93bnJl&#10;di54bWxQSwECFAAUAAAACACHTuJAHHZu/A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hint="eastAsia" w:ascii="仿宋" w:hAnsi="仿宋" w:eastAsia="仿宋" w:cs="仿宋"/>
          <w:color w:val="auto"/>
          <w:sz w:val="24"/>
          <w:szCs w:val="24"/>
          <w:highlight w:val="none"/>
        </w:rPr>
        <w:t>因承包人违反本合同约定给发包人造成损失的，承包人应当赔偿包人损失。</w:t>
      </w:r>
    </w:p>
    <w:p>
      <w:pPr>
        <w:adjustRightInd w:val="0"/>
        <w:snapToGrid w:val="0"/>
        <w:spacing w:line="360" w:lineRule="auto"/>
        <w:rPr>
          <w:rFonts w:ascii="仿宋" w:hAnsi="仿宋" w:eastAsia="仿宋"/>
          <w:b/>
          <w:bCs/>
          <w:color w:val="auto"/>
          <w:sz w:val="24"/>
          <w:szCs w:val="24"/>
          <w:highlight w:val="none"/>
        </w:rPr>
      </w:pPr>
    </w:p>
    <w:p>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90.2  </w:t>
      </w:r>
    </w:p>
    <w:p>
      <w:pPr>
        <w:spacing w:line="360" w:lineRule="auto"/>
        <w:ind w:left="2001" w:leftChars="825" w:hanging="268" w:hangingChars="128"/>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31" name="文本框 398"/>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398" o:spid="_x0000_s1026" o:spt="202" type="#_x0000_t202" style="position:absolute;left:0pt;margin-left:-9pt;margin-top:1.05pt;height:32.75pt;width:72pt;z-index:252077056;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EyWpNUAAAAIAQAADwAAAAAAAAABACAAAAAiAAAAZHJzL2Rvd25y&#10;ZXYueG1sUEsBAhQAFAAAAAgAh07iQAUZZ4s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b/>
                          <w:bCs/>
                          <w:sz w:val="18"/>
                          <w:szCs w:val="18"/>
                        </w:rPr>
                      </w:pPr>
                    </w:p>
                    <w:p>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sz w:val="24"/>
          <w:szCs w:val="24"/>
          <w:highlight w:val="none"/>
        </w:rPr>
        <w:t>承包人向发包人的索赔不成立时，承包人应赔偿发包人由此发生的费用。</w:t>
      </w:r>
    </w:p>
    <w:p>
      <w:pPr>
        <w:spacing w:line="360" w:lineRule="auto"/>
        <w:ind w:left="2291" w:leftChars="27" w:hanging="2234" w:hangingChars="931"/>
        <w:rPr>
          <w:rFonts w:ascii="仿宋" w:hAnsi="仿宋" w:eastAsia="仿宋"/>
          <w:color w:val="auto"/>
          <w:sz w:val="24"/>
          <w:szCs w:val="24"/>
          <w:highlight w:val="none"/>
        </w:rPr>
      </w:pPr>
    </w:p>
    <w:p>
      <w:pPr>
        <w:pStyle w:val="22"/>
        <w:adjustRightInd w:val="0"/>
        <w:snapToGrid w:val="0"/>
        <w:spacing w:line="360" w:lineRule="auto"/>
        <w:ind w:firstLine="120" w:firstLineChars="50"/>
        <w:jc w:val="left"/>
        <w:outlineLvl w:val="2"/>
        <w:rPr>
          <w:rFonts w:ascii="仿宋" w:hAnsi="仿宋" w:eastAsia="仿宋"/>
          <w:b/>
          <w:bCs/>
          <w:color w:val="auto"/>
          <w:sz w:val="24"/>
          <w:szCs w:val="24"/>
          <w:highlight w:val="none"/>
        </w:rPr>
      </w:pPr>
      <w:bookmarkStart w:id="494" w:name="_Toc9887"/>
      <w:bookmarkStart w:id="495" w:name="_Toc429"/>
      <w:bookmarkStart w:id="496" w:name="_Toc25653702"/>
      <w:bookmarkStart w:id="497" w:name="_Toc489260630"/>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91 </w:t>
      </w:r>
      <w:r>
        <w:rPr>
          <w:rFonts w:hint="eastAsia" w:ascii="仿宋" w:hAnsi="仿宋" w:eastAsia="仿宋" w:cs="仿宋"/>
          <w:b/>
          <w:bCs/>
          <w:color w:val="auto"/>
          <w:sz w:val="24"/>
          <w:szCs w:val="24"/>
          <w:highlight w:val="none"/>
        </w:rPr>
        <w:t>发包人的违约责任</w:t>
      </w:r>
      <w:bookmarkEnd w:id="494"/>
      <w:bookmarkEnd w:id="495"/>
      <w:bookmarkEnd w:id="496"/>
      <w:bookmarkEnd w:id="497"/>
    </w:p>
    <w:p>
      <w:pPr>
        <w:pStyle w:val="22"/>
        <w:adjustRightInd w:val="0"/>
        <w:snapToGrid w:val="0"/>
        <w:spacing w:line="360" w:lineRule="auto"/>
        <w:ind w:firstLine="118" w:firstLineChars="49"/>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91.1 </w:t>
      </w:r>
    </w:p>
    <w:p>
      <w:pPr>
        <w:adjustRightInd w:val="0"/>
        <w:snapToGrid w:val="0"/>
        <w:spacing w:line="360" w:lineRule="auto"/>
        <w:ind w:left="1035" w:leftChars="493" w:firstLine="420" w:firstLineChars="20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30" name="文本框 3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 xml:space="preserve">发包人责任 </w:t>
                            </w:r>
                          </w:p>
                        </w:txbxContent>
                      </wps:txbx>
                      <wps:bodyPr rot="0" vert="horz" wrap="square" lIns="91440" tIns="45720" rIns="91440" bIns="45720" anchor="t" anchorCtr="0" upright="1">
                        <a:noAutofit/>
                      </wps:bodyPr>
                    </wps:wsp>
                  </a:graphicData>
                </a:graphic>
              </wp:anchor>
            </w:drawing>
          </mc:Choice>
          <mc:Fallback>
            <w:pict>
              <v:shape id="文本框 399"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z/Bw1QAAAAgBAAAPAAAAAAAAAAEAIAAAACIAAABkcnMvZG93bnJl&#10;di54bWxQSwECFAAUAAAACACHTuJAlU4UNg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 xml:space="preserve">发包人责任 </w:t>
                      </w:r>
                    </w:p>
                  </w:txbxContent>
                </v:textbox>
              </v:shape>
            </w:pict>
          </mc:Fallback>
        </mc:AlternateContent>
      </w:r>
      <w:r>
        <w:rPr>
          <w:rFonts w:hint="eastAsia" w:ascii="仿宋" w:hAnsi="仿宋" w:eastAsia="仿宋" w:cs="仿宋"/>
          <w:color w:val="auto"/>
          <w:sz w:val="24"/>
          <w:szCs w:val="24"/>
          <w:highlight w:val="none"/>
        </w:rPr>
        <w:t>因发包人违反本合同约定造成承包人损失的，发包人应予以赔偿。</w:t>
      </w:r>
    </w:p>
    <w:p>
      <w:pPr>
        <w:adjustRightInd w:val="0"/>
        <w:snapToGrid w:val="0"/>
        <w:spacing w:line="360" w:lineRule="auto"/>
        <w:ind w:left="1035" w:leftChars="493" w:firstLine="361" w:firstLineChars="150"/>
        <w:rPr>
          <w:rFonts w:ascii="仿宋" w:hAnsi="仿宋" w:eastAsia="仿宋"/>
          <w:b/>
          <w:bCs/>
          <w:color w:val="auto"/>
          <w:sz w:val="24"/>
          <w:szCs w:val="24"/>
          <w:highlight w:val="none"/>
        </w:rPr>
      </w:pPr>
    </w:p>
    <w:p>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91.2  </w:t>
      </w:r>
    </w:p>
    <w:p>
      <w:pPr>
        <w:adjustRightInd w:val="0"/>
        <w:snapToGrid w:val="0"/>
        <w:spacing w:line="360" w:lineRule="auto"/>
        <w:ind w:left="1470" w:leftChars="70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29" name="文本框 400"/>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wps:txbx>
                      <wps:bodyPr rot="0" vert="horz" wrap="square" lIns="91440" tIns="45720" rIns="91440" bIns="45720" anchor="t" anchorCtr="0" upright="1">
                        <a:noAutofit/>
                      </wps:bodyPr>
                    </wps:wsp>
                  </a:graphicData>
                </a:graphic>
              </wp:anchor>
            </w:drawing>
          </mc:Choice>
          <mc:Fallback>
            <w:pict>
              <v:shape id="文本框 400" o:spid="_x0000_s1026" o:spt="202" type="#_x0000_t202" style="position:absolute;left:0pt;margin-left:-9pt;margin-top:1.05pt;height:32.75pt;width:72pt;z-index:2520791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EyWpNUAAAAIAQAADwAAAAAAAAABACAAAAAiAAAAZHJzL2Rvd25yZXYu&#10;eG1sUEsBAhQAFAAAAAgAh07iQE7lzYz+AQAA1wMAAA4AAAAAAAAAAQAgAAAAJAEAAGRycy9lMm9E&#10;b2MueG1sUEsFBgAAAAAGAAYAWQEAAJQ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hint="eastAsia" w:ascii="仿宋" w:hAnsi="仿宋" w:eastAsia="仿宋" w:cs="仿宋"/>
          <w:color w:val="auto"/>
          <w:sz w:val="24"/>
          <w:szCs w:val="24"/>
          <w:highlight w:val="none"/>
        </w:rPr>
        <w:t>发包人向承包人的索赔不成立时，发包人应赔偿承包人由此发生的费用。</w:t>
      </w:r>
    </w:p>
    <w:p>
      <w:pPr>
        <w:adjustRightInd w:val="0"/>
        <w:snapToGrid w:val="0"/>
        <w:spacing w:line="360" w:lineRule="auto"/>
        <w:rPr>
          <w:rFonts w:ascii="仿宋" w:hAnsi="仿宋" w:eastAsia="仿宋"/>
          <w:b/>
          <w:bCs/>
          <w:color w:val="auto"/>
          <w:sz w:val="24"/>
          <w:szCs w:val="24"/>
          <w:highlight w:val="none"/>
          <w:u w:val="dotted"/>
        </w:rPr>
      </w:pPr>
    </w:p>
    <w:p>
      <w:pPr>
        <w:spacing w:line="360" w:lineRule="auto"/>
        <w:ind w:left="210" w:leftChars="100"/>
        <w:outlineLvl w:val="2"/>
        <w:rPr>
          <w:rFonts w:ascii="仿宋" w:hAnsi="仿宋" w:eastAsia="仿宋"/>
          <w:b/>
          <w:bCs/>
          <w:color w:val="auto"/>
          <w:sz w:val="24"/>
          <w:szCs w:val="24"/>
          <w:highlight w:val="none"/>
        </w:rPr>
      </w:pPr>
      <w:bookmarkStart w:id="498" w:name="_Toc10621"/>
      <w:bookmarkStart w:id="499" w:name="_Toc489260631"/>
      <w:bookmarkStart w:id="500" w:name="_Toc6836"/>
      <w:bookmarkStart w:id="501" w:name="_Toc25653703"/>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92  </w:t>
      </w:r>
      <w:r>
        <w:rPr>
          <w:rFonts w:hint="eastAsia" w:ascii="仿宋" w:hAnsi="仿宋" w:eastAsia="仿宋" w:cs="仿宋"/>
          <w:b/>
          <w:bCs/>
          <w:color w:val="auto"/>
          <w:sz w:val="24"/>
          <w:szCs w:val="24"/>
          <w:highlight w:val="none"/>
        </w:rPr>
        <w:t>除外责任</w:t>
      </w:r>
      <w:bookmarkEnd w:id="498"/>
      <w:bookmarkEnd w:id="499"/>
      <w:bookmarkEnd w:id="500"/>
      <w:bookmarkEnd w:id="501"/>
    </w:p>
    <w:p>
      <w:pPr>
        <w:adjustRightInd w:val="0"/>
        <w:snapToGrid w:val="0"/>
        <w:spacing w:line="360" w:lineRule="auto"/>
        <w:ind w:left="1470" w:leftChars="70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8" name="文本框 40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401" o:spid="_x0000_s1026" o:spt="202" type="#_x0000_t202" style="position:absolute;left:0pt;margin-left:-9pt;margin-top:1.25pt;height:31.2pt;width:72pt;z-index:25208012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z/Bw1QAAAAgBAAAPAAAAAAAAAAEAIAAAACIAAABkcnMvZG93bnJl&#10;di54bWxQSwECFAAUAAAACACHTuJA3rK+MQACAADXAwAADgAAAAAAAAABACAAAAAk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sz w:val="24"/>
          <w:szCs w:val="24"/>
          <w:highlight w:val="none"/>
        </w:rPr>
        <w:t>非承包人的原因，且承包人无过错，而产生的各类损失，承包人不承担赔偿责任。</w:t>
      </w:r>
    </w:p>
    <w:p>
      <w:pPr>
        <w:adjustRightInd w:val="0"/>
        <w:snapToGrid w:val="0"/>
        <w:spacing w:line="360" w:lineRule="auto"/>
        <w:ind w:left="1436" w:leftChars="684"/>
        <w:rPr>
          <w:rFonts w:ascii="仿宋" w:hAnsi="仿宋" w:eastAsia="仿宋"/>
          <w:color w:val="auto"/>
          <w:sz w:val="24"/>
          <w:szCs w:val="24"/>
          <w:highlight w:val="none"/>
        </w:rPr>
      </w:pPr>
      <w:r>
        <w:rPr>
          <w:rFonts w:hint="eastAsia" w:ascii="仿宋" w:hAnsi="仿宋" w:eastAsia="仿宋" w:cs="仿宋"/>
          <w:color w:val="auto"/>
          <w:sz w:val="24"/>
          <w:szCs w:val="24"/>
          <w:highlight w:val="none"/>
        </w:rPr>
        <w:t>因不可抗力导致本合同全部或部分不能履行时，双方各自承担其因此而造成的损失、损害。</w:t>
      </w:r>
    </w:p>
    <w:p>
      <w:pPr>
        <w:rPr>
          <w:color w:val="auto"/>
          <w:highlight w:val="none"/>
        </w:rPr>
      </w:pPr>
    </w:p>
    <w:p>
      <w:pPr>
        <w:pStyle w:val="22"/>
        <w:adjustRightInd w:val="0"/>
        <w:snapToGrid w:val="0"/>
        <w:spacing w:line="480" w:lineRule="auto"/>
        <w:ind w:right="-238"/>
        <w:rPr>
          <w:rFonts w:ascii="仿宋" w:hAnsi="仿宋" w:eastAsia="仿宋"/>
          <w:color w:val="auto"/>
          <w:sz w:val="24"/>
          <w:szCs w:val="24"/>
          <w:highlight w:val="none"/>
          <w:u w:val="single"/>
        </w:rPr>
      </w:pPr>
    </w:p>
    <w:p>
      <w:pPr>
        <w:pStyle w:val="22"/>
        <w:adjustRightInd w:val="0"/>
        <w:snapToGrid w:val="0"/>
        <w:spacing w:line="360" w:lineRule="auto"/>
        <w:ind w:firstLine="3004" w:firstLineChars="1247"/>
        <w:outlineLvl w:val="1"/>
        <w:rPr>
          <w:rFonts w:ascii="仿宋" w:hAnsi="仿宋" w:eastAsia="仿宋"/>
          <w:b/>
          <w:bCs/>
          <w:color w:val="auto"/>
          <w:sz w:val="24"/>
          <w:szCs w:val="24"/>
          <w:highlight w:val="none"/>
        </w:rPr>
      </w:pPr>
      <w:bookmarkStart w:id="502" w:name="_Toc469384074"/>
      <w:bookmarkStart w:id="503" w:name="_Toc25653704"/>
      <w:bookmarkStart w:id="504" w:name="_Toc20167"/>
      <w:bookmarkStart w:id="505" w:name="_Toc1642"/>
      <w:r>
        <w:rPr>
          <w:rFonts w:hint="eastAsia" w:ascii="仿宋" w:hAnsi="仿宋" w:eastAsia="仿宋" w:cs="仿宋"/>
          <w:b/>
          <w:bCs/>
          <w:color w:val="auto"/>
          <w:sz w:val="24"/>
          <w:szCs w:val="24"/>
          <w:highlight w:val="none"/>
        </w:rPr>
        <w:t>九、其他</w:t>
      </w:r>
      <w:bookmarkEnd w:id="502"/>
      <w:bookmarkEnd w:id="503"/>
      <w:bookmarkEnd w:id="504"/>
      <w:bookmarkEnd w:id="505"/>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506" w:name="_Toc469384075"/>
      <w:bookmarkStart w:id="507" w:name="_Toc25653705"/>
      <w:bookmarkStart w:id="508" w:name="_Toc28241"/>
      <w:bookmarkStart w:id="509" w:name="_Toc11883"/>
      <w:r>
        <w:rPr>
          <w:rFonts w:ascii="仿宋" w:hAnsi="仿宋" w:eastAsia="仿宋" w:cs="仿宋"/>
          <w:b/>
          <w:bCs/>
          <w:color w:val="auto"/>
          <w:sz w:val="24"/>
          <w:szCs w:val="24"/>
          <w:highlight w:val="none"/>
        </w:rPr>
        <w:t xml:space="preserve">93  </w:t>
      </w:r>
      <w:r>
        <w:rPr>
          <w:rFonts w:hint="eastAsia" w:ascii="仿宋" w:hAnsi="仿宋" w:eastAsia="仿宋" w:cs="仿宋"/>
          <w:b/>
          <w:bCs/>
          <w:color w:val="auto"/>
          <w:sz w:val="24"/>
          <w:szCs w:val="24"/>
          <w:highlight w:val="none"/>
        </w:rPr>
        <w:t>缴纳税费</w:t>
      </w:r>
      <w:bookmarkEnd w:id="506"/>
      <w:bookmarkEnd w:id="507"/>
      <w:bookmarkEnd w:id="508"/>
      <w:bookmarkEnd w:id="509"/>
    </w:p>
    <w:p>
      <w:pPr>
        <w:pStyle w:val="22"/>
        <w:tabs>
          <w:tab w:val="left" w:pos="1320"/>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93.1      </w:t>
      </w:r>
    </w:p>
    <w:p>
      <w:pPr>
        <w:pStyle w:val="22"/>
        <w:adjustRightInd w:val="0"/>
        <w:snapToGrid w:val="0"/>
        <w:spacing w:line="360" w:lineRule="auto"/>
        <w:ind w:left="1619"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w:t>
      </w:r>
      <w:r>
        <w:rPr>
          <w:color w:val="auto"/>
          <w:highlight w:val="none"/>
          <w:lang w:val="en-US"/>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27" name="文本框 402"/>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402" o:spid="_x0000_s1026" o:spt="202" type="#_x0000_t202" style="position:absolute;left:0pt;margin-left:-9pt;margin-top:0.05pt;height:38.15pt;width:72pt;z-index:252059648;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ApaCvUAAAABwEAAA8AAAAAAAAAAQAgAAAAIgAAAGRycy9kb3ducmV2&#10;LnhtbFBLAQIUABQAAAAIAIdO4kAZofQRAAIAANcDAAAOAAAAAAAAAAEAIAAAACMBAABkcnMvZTJv&#10;RG9jLnhtbFBLBQYAAAAABgAGAFkBAACV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sz w:val="24"/>
          <w:szCs w:val="24"/>
          <w:highlight w:val="none"/>
        </w:rPr>
        <w:t>应按照国家现行税法和有关部门现行规定缴纳合同工程需缴的一切税费。</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93.2  </w:t>
      </w:r>
    </w:p>
    <w:p>
      <w:pPr>
        <w:pStyle w:val="22"/>
        <w:adjustRightInd w:val="0"/>
        <w:snapToGrid w:val="0"/>
        <w:spacing w:line="360" w:lineRule="auto"/>
        <w:ind w:left="1619"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49" name="文本框 40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403" o:spid="_x0000_s1026" o:spt="202" type="#_x0000_t202" style="position:absolute;left:0pt;margin-left:-9pt;margin-top:2.55pt;height:31.2pt;width:72pt;z-index:252060672;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PyM9UAAAAIAQAADwAAAAAAAAABACAAAAAiAAAAZHJzL2Rvd25y&#10;ZXYueG1sUEsBAhQAFAAAAAgAh07iQIW14cA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sz w:val="24"/>
          <w:szCs w:val="24"/>
          <w:highlight w:val="none"/>
        </w:rPr>
        <w:t>合同任何一方当事人没交或少交合同工程需缴税费的，违法方应足额补交，并承担相应的法律责任；给另一方当事人造成损失的，违法方应赔偿损失。</w:t>
      </w: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510" w:name="_Toc21862"/>
      <w:bookmarkStart w:id="511" w:name="_Toc469384076"/>
      <w:bookmarkStart w:id="512" w:name="_Toc5564"/>
      <w:bookmarkStart w:id="513" w:name="_Toc25653706"/>
      <w:r>
        <w:rPr>
          <w:rFonts w:ascii="仿宋" w:hAnsi="仿宋" w:eastAsia="仿宋" w:cs="仿宋"/>
          <w:b/>
          <w:bCs/>
          <w:color w:val="auto"/>
          <w:sz w:val="24"/>
          <w:szCs w:val="24"/>
          <w:highlight w:val="none"/>
        </w:rPr>
        <w:t xml:space="preserve">94  </w:t>
      </w:r>
      <w:r>
        <w:rPr>
          <w:rFonts w:hint="eastAsia" w:ascii="仿宋" w:hAnsi="仿宋" w:eastAsia="仿宋" w:cs="仿宋"/>
          <w:b/>
          <w:bCs/>
          <w:color w:val="auto"/>
          <w:sz w:val="24"/>
          <w:szCs w:val="24"/>
          <w:highlight w:val="none"/>
        </w:rPr>
        <w:t>保密要求</w:t>
      </w:r>
      <w:bookmarkEnd w:id="510"/>
      <w:bookmarkEnd w:id="511"/>
      <w:bookmarkEnd w:id="512"/>
      <w:bookmarkEnd w:id="51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94.1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50" name="文本框 40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404" o:spid="_x0000_s1026" o:spt="202" type="#_x0000_t202" style="position:absolute;left:0pt;margin-left:-9pt;margin-top:2.7pt;height:46.8pt;width:72pt;z-index:252061696;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2a19dUAAAAIAQAADwAAAAAAAAABACAAAAAiAAAAZHJzL2Rvd25y&#10;ZXYueG1sUEsBAhQAFAAAAAgAh07iQNPRrbABAgAA1wMAAA4AAAAAAAAAAQAgAAAAJA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 w:hAnsi="仿宋" w:eastAsia="仿宋" w:cs="仿宋"/>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51" name="文本框 40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405" o:spid="_x0000_s1026" o:spt="202" type="#_x0000_t202" style="position:absolute;left:0pt;margin-left:-9pt;margin-top:5.4pt;height:39pt;width:72pt;z-index:252062720;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BYoLvVAAAACQEAAA8AAAAAAAAAAQAgAAAAIgAAAGRycy9kb3ducmV2&#10;LnhtbFBLAQIUABQAAAAIAIdO4kAPn0sr/wEAANcDAAAOAAAAAAAAAAEAIAAAACQBAABkcnMvZTJv&#10;RG9jLnhtbFBLBQYAAAAABgAGAFkBAACV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94.3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52" name="文本框 406"/>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406" o:spid="_x0000_s1026" o:spt="202" type="#_x0000_t202" style="position:absolute;left:0pt;margin-left:-9pt;margin-top:0.25pt;height:23.7pt;width:81pt;z-index:252063744;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yYKjUAAAABwEAAA8AAAAAAAAAAQAgAAAAIgAAAGRycy9kb3du&#10;cmV2LnhtbFBLAQIUABQAAAAIAIdO4kAzPiKnAwIAANgDAAAOAAAAAAAAAAEAIAAAACM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94.4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53"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407" o:spid="_x0000_s1026" o:spt="202" type="#_x0000_t202" style="position:absolute;left:0pt;margin-left:-9pt;margin-top:5.15pt;height:57.3pt;width:72pt;z-index:252064768;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hvZ9YAAAAKAQAADwAAAAAAAAABACAAAAAiAAAAZHJzL2Rvd25y&#10;ZXYueG1sUEsBAhQAFAAAAAgAh07iQGAOvLwAAgAA1wMAAA4AAAAAAAAAAQAgAAAAJQ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94.5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54"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408" o:spid="_x0000_s1026" o:spt="202" type="#_x0000_t202" style="position:absolute;left:0pt;margin-left:-9pt;margin-top:1.75pt;height:39pt;width:72pt;z-index:252065792;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gUjOjVAAAACAEAAA8AAAAAAAAAAQAgAAAAIgAAAGRycy9kb3ducmV2&#10;LnhtbFBLAQIUABQAAAAIAIdO4kBaxuoJ/wEAANcDAAAOAAAAAAAAAAEAIAAAACQBAABkcnMvZTJv&#10;RG9jLnhtbFBLBQYAAAAABgAGAFkBAACV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sz w:val="24"/>
          <w:szCs w:val="24"/>
          <w:highlight w:val="none"/>
        </w:rPr>
        <w:t>保密信息应由提供方以书面形式说明保密程度；以口头形式提供的，则提供方应在提供后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pPr>
        <w:pStyle w:val="22"/>
        <w:numPr>
          <w:ilvl w:val="0"/>
          <w:numId w:val="31"/>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提供前已由合同双方当事人所持有的；</w:t>
      </w:r>
    </w:p>
    <w:p>
      <w:pPr>
        <w:pStyle w:val="22"/>
        <w:numPr>
          <w:ilvl w:val="0"/>
          <w:numId w:val="31"/>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已公开发表或非对方当事人原因向公众公开的；</w:t>
      </w:r>
    </w:p>
    <w:p>
      <w:pPr>
        <w:pStyle w:val="22"/>
        <w:numPr>
          <w:ilvl w:val="0"/>
          <w:numId w:val="31"/>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已由各相关方书面同意其公开的；</w:t>
      </w:r>
    </w:p>
    <w:p>
      <w:pPr>
        <w:pStyle w:val="22"/>
        <w:numPr>
          <w:ilvl w:val="0"/>
          <w:numId w:val="31"/>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pPr>
        <w:pStyle w:val="22"/>
        <w:numPr>
          <w:ilvl w:val="0"/>
          <w:numId w:val="31"/>
        </w:numPr>
        <w:tabs>
          <w:tab w:val="left" w:pos="1620"/>
          <w:tab w:val="left" w:pos="2340"/>
          <w:tab w:val="left" w:pos="27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对方当事人从对保密信息不承担保密义务的第三方处合法获得的。</w:t>
      </w:r>
    </w:p>
    <w:p>
      <w:pPr>
        <w:pStyle w:val="22"/>
        <w:tabs>
          <w:tab w:val="left" w:pos="1620"/>
        </w:tabs>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514" w:name="_Toc25653707"/>
      <w:bookmarkStart w:id="515" w:name="_Toc12651"/>
      <w:bookmarkStart w:id="516" w:name="_Toc15813"/>
      <w:bookmarkStart w:id="517" w:name="_Toc469384077"/>
      <w:r>
        <w:rPr>
          <w:rFonts w:ascii="仿宋" w:hAnsi="仿宋" w:eastAsia="仿宋" w:cs="仿宋"/>
          <w:b/>
          <w:bCs/>
          <w:color w:val="auto"/>
          <w:sz w:val="24"/>
          <w:szCs w:val="24"/>
          <w:highlight w:val="none"/>
        </w:rPr>
        <w:t xml:space="preserve">95 </w:t>
      </w:r>
      <w:r>
        <w:rPr>
          <w:rFonts w:hint="eastAsia" w:ascii="仿宋" w:hAnsi="仿宋" w:eastAsia="仿宋" w:cs="仿宋"/>
          <w:b/>
          <w:bCs/>
          <w:color w:val="auto"/>
          <w:sz w:val="24"/>
          <w:szCs w:val="24"/>
          <w:highlight w:val="none"/>
        </w:rPr>
        <w:t>廉政建设</w:t>
      </w:r>
      <w:bookmarkEnd w:id="514"/>
      <w:bookmarkEnd w:id="515"/>
      <w:bookmarkEnd w:id="516"/>
      <w:bookmarkEnd w:id="517"/>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95.1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8" name="文本框 40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409" o:spid="_x0000_s1026" o:spt="202" type="#_x0000_t202" style="position:absolute;left:0pt;margin-left:-9pt;margin-top:1.25pt;height:23.4pt;width:63pt;z-index:25206681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WHbJHVAAAACAEAAA8AAAAAAAAAAQAgAAAAIgAAAGRycy9kb3du&#10;cmV2LnhtbFBLAQIUABQAAAAIAIdO4kDJTS6dAgIAANcDAAAOAAAAAAAAAAEAIAAAACQBAABkcnMv&#10;ZTJvRG9jLnhtbFBLBQYAAAAABgAGAFkBAACY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pPr>
        <w:pStyle w:val="22"/>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95.2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428" name="文本框 410"/>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410" o:spid="_x0000_s1026" o:spt="202" type="#_x0000_t202" style="position:absolute;left:0pt;margin-left:-9pt;margin-top:4.25pt;height:24.95pt;width:63pt;z-index:252067840;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Mdgn1AAAAAgBAAAPAAAAAAAAAAEAIAAAACIAAABkcnMvZG93bnJl&#10;di54bWxQSwECFAAUAAAACACHTuJAgYqLvwECAADY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款规定解除合同，并按照第</w:t>
      </w:r>
      <w:r>
        <w:rPr>
          <w:rFonts w:ascii="仿宋" w:hAnsi="仿宋" w:eastAsia="仿宋" w:cs="仿宋"/>
          <w:color w:val="auto"/>
          <w:sz w:val="24"/>
          <w:szCs w:val="24"/>
          <w:highlight w:val="none"/>
        </w:rPr>
        <w:t>88.3</w:t>
      </w:r>
      <w:r>
        <w:rPr>
          <w:rFonts w:hint="eastAsia" w:ascii="仿宋" w:hAnsi="仿宋" w:eastAsia="仿宋" w:cs="仿宋"/>
          <w:color w:val="auto"/>
          <w:sz w:val="24"/>
          <w:szCs w:val="24"/>
          <w:highlight w:val="none"/>
        </w:rPr>
        <w:t>款规定办理合同解除的支付。</w:t>
      </w:r>
    </w:p>
    <w:p>
      <w:pPr>
        <w:pStyle w:val="22"/>
        <w:adjustRightInd w:val="0"/>
        <w:snapToGrid w:val="0"/>
        <w:spacing w:line="240" w:lineRule="exact"/>
        <w:rPr>
          <w:rFonts w:ascii="仿宋" w:hAnsi="仿宋" w:eastAsia="仿宋" w:cs="仿宋"/>
          <w:b/>
          <w:bCs/>
          <w:color w:val="auto"/>
          <w:sz w:val="24"/>
          <w:szCs w:val="24"/>
          <w:highlight w:val="none"/>
          <w:u w:val="singl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518" w:name="_Toc27945"/>
      <w:bookmarkStart w:id="519" w:name="_Toc25653708"/>
      <w:bookmarkStart w:id="520" w:name="_Toc469384078"/>
      <w:bookmarkStart w:id="521" w:name="_Toc621"/>
      <w:r>
        <w:rPr>
          <w:rFonts w:ascii="仿宋" w:hAnsi="仿宋" w:eastAsia="仿宋" w:cs="仿宋"/>
          <w:b/>
          <w:bCs/>
          <w:color w:val="auto"/>
          <w:sz w:val="24"/>
          <w:szCs w:val="24"/>
          <w:highlight w:val="none"/>
        </w:rPr>
        <w:t xml:space="preserve">96  </w:t>
      </w:r>
      <w:r>
        <w:rPr>
          <w:rFonts w:hint="eastAsia" w:ascii="仿宋" w:hAnsi="仿宋" w:eastAsia="仿宋" w:cs="仿宋"/>
          <w:b/>
          <w:bCs/>
          <w:color w:val="auto"/>
          <w:sz w:val="24"/>
          <w:szCs w:val="24"/>
          <w:highlight w:val="none"/>
        </w:rPr>
        <w:t>禁止转让</w:t>
      </w:r>
      <w:bookmarkEnd w:id="518"/>
      <w:bookmarkEnd w:id="519"/>
      <w:bookmarkEnd w:id="520"/>
      <w:bookmarkEnd w:id="521"/>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96.1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429" name="文本框 41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411" o:spid="_x0000_s1026" o:spt="202" type="#_x0000_t202" style="position:absolute;left:0pt;margin-left:-9pt;margin-top:1.25pt;height:23.4pt;width:63pt;z-index:25206886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WHbJHVAAAACAEAAA8AAAAAAAAAAQAgAAAAIgAAAGRycy9kb3du&#10;cmV2LnhtbFBLAQIUABQAAAAIAIdO4kB+QLRzAgIAANgDAAAOAAAAAAAAAAEAIAAAACQBAABkcnMv&#10;ZTJvRG9jLnhtbFBLBQYAAAAABgAGAFkBAACYBQ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sz w:val="24"/>
          <w:szCs w:val="24"/>
          <w:highlight w:val="none"/>
        </w:rPr>
        <w:t>本合同一经签署，合同双方当事人均应按照本合同规定行使各自的权利、履行各自的义务。</w:t>
      </w:r>
    </w:p>
    <w:p>
      <w:pPr>
        <w:pStyle w:val="22"/>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96.2  </w:t>
      </w:r>
    </w:p>
    <w:p>
      <w:pPr>
        <w:spacing w:line="360" w:lineRule="auto"/>
        <w:ind w:left="1619"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30" name="文本框 41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412" o:spid="_x0000_s1026" o:spt="202" type="#_x0000_t202" style="position:absolute;left:0pt;margin-left:-9pt;margin-top:7.75pt;height:23.4pt;width:63pt;z-index:252069888;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R7Jo1gAAAAkBAAAPAAAAAAAAAAEAIAAAACIAAABkcnMvZG93&#10;bnJldi54bWxQSwECFAAUAAAACACHTuJAlnGlcQICAADYAwAADgAAAAAAAAABACAAAAAlAQAAZHJz&#10;L2Uyb0RvYy54bWxQSwUGAAAAAAYABgBZAQAAm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sz w:val="24"/>
          <w:szCs w:val="24"/>
          <w:highlight w:val="none"/>
        </w:rPr>
        <w:t>除合同另有约定外，未经另一方当事人同意，合同一方当事人不得将本合同的全部或部分权利、义务转让给第三方。</w:t>
      </w:r>
    </w:p>
    <w:p>
      <w:pPr>
        <w:pStyle w:val="22"/>
        <w:adjustRightInd w:val="0"/>
        <w:snapToGrid w:val="0"/>
        <w:spacing w:line="480" w:lineRule="auto"/>
        <w:rPr>
          <w:rFonts w:ascii="仿宋" w:hAnsi="仿宋" w:eastAsia="仿宋"/>
          <w:b/>
          <w:bCs/>
          <w:color w:val="auto"/>
          <w:sz w:val="24"/>
          <w:szCs w:val="24"/>
          <w:highlight w:val="none"/>
        </w:rPr>
      </w:pPr>
    </w:p>
    <w:p>
      <w:pPr>
        <w:pStyle w:val="22"/>
        <w:tabs>
          <w:tab w:val="left" w:pos="540"/>
        </w:tabs>
        <w:adjustRightInd w:val="0"/>
        <w:snapToGrid w:val="0"/>
        <w:spacing w:before="312" w:beforeLines="100" w:line="360" w:lineRule="auto"/>
        <w:outlineLvl w:val="2"/>
        <w:rPr>
          <w:rFonts w:ascii="仿宋" w:hAnsi="仿宋" w:eastAsia="仿宋"/>
          <w:b/>
          <w:bCs/>
          <w:color w:val="auto"/>
          <w:sz w:val="24"/>
          <w:szCs w:val="24"/>
          <w:highlight w:val="none"/>
        </w:rPr>
      </w:pPr>
      <w:bookmarkStart w:id="522" w:name="_Toc25653709"/>
      <w:bookmarkStart w:id="523" w:name="_Toc469384079"/>
      <w:bookmarkStart w:id="524" w:name="_Toc16692"/>
      <w:bookmarkStart w:id="525" w:name="_Toc6245"/>
      <w:r>
        <w:rPr>
          <w:rFonts w:ascii="仿宋" w:hAnsi="仿宋" w:eastAsia="仿宋" w:cs="仿宋"/>
          <w:b/>
          <w:bCs/>
          <w:color w:val="auto"/>
          <w:sz w:val="24"/>
          <w:szCs w:val="24"/>
          <w:highlight w:val="none"/>
        </w:rPr>
        <w:t xml:space="preserve">97  </w:t>
      </w:r>
      <w:r>
        <w:rPr>
          <w:rFonts w:hint="eastAsia" w:ascii="仿宋" w:hAnsi="仿宋" w:eastAsia="仿宋" w:cs="仿宋"/>
          <w:b/>
          <w:bCs/>
          <w:color w:val="auto"/>
          <w:sz w:val="24"/>
          <w:szCs w:val="24"/>
          <w:highlight w:val="none"/>
        </w:rPr>
        <w:t>合同份数</w:t>
      </w:r>
      <w:bookmarkEnd w:id="522"/>
      <w:bookmarkEnd w:id="523"/>
      <w:bookmarkEnd w:id="524"/>
      <w:bookmarkEnd w:id="525"/>
    </w:p>
    <w:p>
      <w:pPr>
        <w:pStyle w:val="22"/>
        <w:adjustRightInd w:val="0"/>
        <w:snapToGrid w:val="0"/>
        <w:spacing w:line="360" w:lineRule="auto"/>
        <w:ind w:left="1581" w:hanging="1581" w:hangingChars="656"/>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97.1        </w:t>
      </w:r>
    </w:p>
    <w:p>
      <w:pPr>
        <w:pStyle w:val="22"/>
        <w:adjustRightInd w:val="0"/>
        <w:snapToGrid w:val="0"/>
        <w:spacing w:line="360" w:lineRule="auto"/>
        <w:ind w:left="1682" w:leftChars="800" w:hanging="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70912"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431" name="文本框 41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413" o:spid="_x0000_s1026" o:spt="202" type="#_x0000_t202" style="position:absolute;left:0pt;margin-left:-5.25pt;margin-top:0.8pt;height:31.2pt;width:72pt;z-index:252070912;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WIfx1AAAAAgBAAAPAAAAAAAAAAEAIAAAACIAAABkcnMvZG93bnJl&#10;di54bWxQSwECFAAUAAAACACHTuJAHC766gECAADYAwAADgAAAAAAAAABACAAAAAjAQAAZHJzL2Uy&#10;b0RvYy54bWxQSwUGAAAAAAYABgBZAQAAl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color w:val="auto"/>
          <w:sz w:val="24"/>
          <w:szCs w:val="24"/>
          <w:highlight w:val="none"/>
        </w:rPr>
        <w:t>除专用条款另有约定外，发包人应按照第</w:t>
      </w:r>
      <w:r>
        <w:rPr>
          <w:rFonts w:ascii="仿宋" w:hAnsi="仿宋" w:eastAsia="仿宋" w:cs="仿宋"/>
          <w:color w:val="auto"/>
          <w:sz w:val="24"/>
          <w:szCs w:val="24"/>
          <w:highlight w:val="none"/>
        </w:rPr>
        <w:t>94.2</w:t>
      </w:r>
      <w:r>
        <w:rPr>
          <w:rFonts w:hint="eastAsia" w:ascii="仿宋" w:hAnsi="仿宋" w:eastAsia="仿宋" w:cs="仿宋"/>
          <w:color w:val="auto"/>
          <w:sz w:val="24"/>
          <w:szCs w:val="24"/>
          <w:highlight w:val="none"/>
        </w:rPr>
        <w:t>款规定的份数免费为承包人提供合同文本。</w:t>
      </w:r>
    </w:p>
    <w:p>
      <w:pPr>
        <w:pStyle w:val="22"/>
        <w:adjustRightInd w:val="0"/>
        <w:snapToGrid w:val="0"/>
        <w:spacing w:line="48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97.2  </w:t>
      </w:r>
    </w:p>
    <w:p>
      <w:pPr>
        <w:pStyle w:val="22"/>
        <w:adjustRightInd w:val="0"/>
        <w:snapToGrid w:val="0"/>
        <w:spacing w:line="360" w:lineRule="auto"/>
        <w:ind w:left="1619"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432" name="文本框 41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414" o:spid="_x0000_s1026" o:spt="202" type="#_x0000_t202" style="position:absolute;left:0pt;margin-left:-9pt;margin-top:0.65pt;height:23.6pt;width:63pt;z-index:252071936;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H92+tQAAAAIAQAADwAAAAAAAAABACAAAAAiAAAAZHJzL2Rvd25y&#10;ZXYueG1sUEsBAhQAFAAAAAgAh07iQI4AkN0CAgAA2AMAAA4AAAAAAAAAAQAgAAAAIwEAAGRycy9l&#10;Mm9Eb2MueG1sUEsFBgAAAAAGAAYAWQEAAJc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sz w:val="24"/>
          <w:szCs w:val="24"/>
          <w:highlight w:val="none"/>
        </w:rPr>
        <w:t>本合同正、副本份数，由合同双方当事人根据需要在专用条款中约定。正本与副本具有同等效力，当正本与副本不一致时，以正本为准。</w:t>
      </w:r>
    </w:p>
    <w:p>
      <w:pPr>
        <w:pStyle w:val="22"/>
        <w:adjustRightInd w:val="0"/>
        <w:snapToGrid w:val="0"/>
        <w:spacing w:line="480" w:lineRule="auto"/>
        <w:rPr>
          <w:rFonts w:ascii="仿宋" w:hAnsi="仿宋" w:eastAsia="仿宋" w:cs="仿宋"/>
          <w:b/>
          <w:bCs/>
          <w:color w:val="auto"/>
          <w:sz w:val="24"/>
          <w:szCs w:val="24"/>
          <w:highlight w:val="none"/>
          <w:u w:val="single"/>
        </w:rPr>
      </w:pPr>
    </w:p>
    <w:p>
      <w:pPr>
        <w:pStyle w:val="22"/>
        <w:adjustRightInd w:val="0"/>
        <w:snapToGrid w:val="0"/>
        <w:spacing w:line="360" w:lineRule="auto"/>
        <w:outlineLvl w:val="2"/>
        <w:rPr>
          <w:rFonts w:ascii="仿宋" w:hAnsi="仿宋" w:eastAsia="仿宋"/>
          <w:b/>
          <w:bCs/>
          <w:color w:val="auto"/>
          <w:sz w:val="24"/>
          <w:szCs w:val="24"/>
          <w:highlight w:val="none"/>
        </w:rPr>
      </w:pPr>
      <w:bookmarkStart w:id="526" w:name="_Toc469384080"/>
      <w:bookmarkStart w:id="527" w:name="_Toc21604"/>
      <w:bookmarkStart w:id="528" w:name="_Toc25653710"/>
      <w:bookmarkStart w:id="529" w:name="_Toc21234"/>
      <w:r>
        <w:rPr>
          <w:rFonts w:ascii="仿宋" w:hAnsi="仿宋" w:eastAsia="仿宋" w:cs="仿宋"/>
          <w:b/>
          <w:bCs/>
          <w:color w:val="auto"/>
          <w:sz w:val="24"/>
          <w:szCs w:val="24"/>
          <w:highlight w:val="none"/>
        </w:rPr>
        <w:t xml:space="preserve">98  </w:t>
      </w:r>
      <w:r>
        <w:rPr>
          <w:rFonts w:hint="eastAsia" w:ascii="仿宋" w:hAnsi="仿宋" w:eastAsia="仿宋" w:cs="仿宋"/>
          <w:b/>
          <w:bCs/>
          <w:color w:val="auto"/>
          <w:sz w:val="24"/>
          <w:szCs w:val="24"/>
          <w:highlight w:val="none"/>
        </w:rPr>
        <w:t>合同</w:t>
      </w:r>
      <w:bookmarkEnd w:id="526"/>
      <w:r>
        <w:rPr>
          <w:rFonts w:hint="eastAsia" w:ascii="仿宋" w:hAnsi="仿宋" w:eastAsia="仿宋" w:cs="仿宋"/>
          <w:b/>
          <w:bCs/>
          <w:color w:val="auto"/>
          <w:sz w:val="24"/>
          <w:szCs w:val="24"/>
          <w:highlight w:val="none"/>
        </w:rPr>
        <w:t>管理</w:t>
      </w:r>
      <w:bookmarkEnd w:id="527"/>
      <w:bookmarkEnd w:id="528"/>
      <w:bookmarkEnd w:id="529"/>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434" name="文本框 415"/>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a:effectLst/>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415" o:spid="_x0000_s1026" o:spt="202" type="#_x0000_t202" style="position:absolute;left:0pt;margin-left:-9pt;margin-top:16.45pt;height:41.7pt;width:81.85pt;z-index:252072960;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7qs2NgAAAAKAQAADwAAAAAAAAABACAAAAAiAAAAZHJz&#10;L2Rvd25yZXYueG1sUEsBAhQAFAAAAAgAh07iQFT/2HMEAgAA2QMAAA4AAAAAAAAAAQAgAAAAJwEA&#10;AGRycy9lMm9Eb2MueG1sUEsFBgAAAAAGAAYAWQEAAJ0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b/>
                          <w:bCs/>
                          <w:sz w:val="18"/>
                          <w:szCs w:val="18"/>
                        </w:rPr>
                      </w:pPr>
                    </w:p>
                  </w:txbxContent>
                </v:textbox>
              </v:shape>
            </w:pict>
          </mc:Fallback>
        </mc:AlternateContent>
      </w:r>
      <w:r>
        <w:rPr>
          <w:rFonts w:ascii="仿宋" w:hAnsi="仿宋" w:eastAsia="仿宋" w:cs="仿宋"/>
          <w:b/>
          <w:bCs/>
          <w:color w:val="auto"/>
          <w:sz w:val="24"/>
          <w:szCs w:val="24"/>
          <w:highlight w:val="none"/>
        </w:rPr>
        <w:t xml:space="preserve">98.1  </w:t>
      </w:r>
    </w:p>
    <w:p>
      <w:pPr>
        <w:spacing w:line="360" w:lineRule="auto"/>
        <w:ind w:left="1676" w:leftChars="798"/>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25</w:t>
      </w:r>
      <w:r>
        <w:rPr>
          <w:rFonts w:hint="eastAsia" w:ascii="仿宋" w:hAnsi="仿宋" w:eastAsia="仿宋" w:cs="仿宋"/>
          <w:color w:val="auto"/>
          <w:sz w:val="24"/>
          <w:szCs w:val="24"/>
          <w:highlight w:val="none"/>
        </w:rPr>
        <w:t>条的职责划分，督促各自人员认真履行合同管理职责，加强合同管理。</w:t>
      </w:r>
    </w:p>
    <w:p>
      <w:pPr>
        <w:spacing w:line="360" w:lineRule="auto"/>
        <w:ind w:left="1709" w:leftChars="814"/>
        <w:rPr>
          <w:color w:val="auto"/>
          <w:highlight w:val="none"/>
        </w:rPr>
      </w:pPr>
      <w:r>
        <w:rPr>
          <w:rFonts w:hint="eastAsia" w:ascii="仿宋" w:hAnsi="仿宋" w:eastAsia="仿宋" w:cs="仿宋"/>
          <w:color w:val="auto"/>
          <w:sz w:val="24"/>
          <w:szCs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p>
    <w:p>
      <w:pPr>
        <w:pStyle w:val="22"/>
        <w:adjustRightInd w:val="0"/>
        <w:snapToGrid w:val="0"/>
        <w:spacing w:line="480" w:lineRule="auto"/>
        <w:jc w:val="left"/>
        <w:rPr>
          <w:b/>
          <w:bCs/>
          <w:color w:val="auto"/>
          <w:sz w:val="36"/>
          <w:szCs w:val="36"/>
          <w:highlight w:val="none"/>
        </w:rPr>
      </w:pPr>
      <w:r>
        <w:rPr>
          <w:rFonts w:ascii="仿宋" w:hAnsi="仿宋" w:eastAsia="仿宋" w:cs="仿宋"/>
          <w:b/>
          <w:bCs/>
          <w:color w:val="auto"/>
          <w:sz w:val="24"/>
          <w:szCs w:val="24"/>
          <w:highlight w:val="none"/>
          <w:u w:val="single"/>
        </w:rPr>
        <w:br w:type="page"/>
      </w:r>
    </w:p>
    <w:p>
      <w:pPr>
        <w:rPr>
          <w:color w:val="auto"/>
          <w:highlight w:val="none"/>
        </w:rPr>
      </w:pPr>
      <w:bookmarkStart w:id="530" w:name="_Toc2830"/>
      <w:bookmarkStart w:id="531" w:name="_Toc25653711"/>
      <w:bookmarkStart w:id="532" w:name="_Toc469384081"/>
    </w:p>
    <w:p>
      <w:pPr>
        <w:pStyle w:val="4"/>
        <w:tabs>
          <w:tab w:val="left" w:pos="420"/>
        </w:tabs>
        <w:ind w:left="433" w:leftChars="206" w:firstLine="176" w:firstLineChars="49"/>
        <w:rPr>
          <w:rFonts w:hAnsi="宋体"/>
          <w:b w:val="0"/>
          <w:bCs/>
          <w:color w:val="auto"/>
          <w:sz w:val="36"/>
          <w:szCs w:val="36"/>
          <w:highlight w:val="none"/>
        </w:rPr>
      </w:pPr>
      <w:bookmarkStart w:id="533" w:name="_Toc10147"/>
      <w:r>
        <w:rPr>
          <w:rFonts w:hint="eastAsia" w:hAnsi="宋体"/>
          <w:b w:val="0"/>
          <w:bCs/>
          <w:color w:val="auto"/>
          <w:sz w:val="36"/>
          <w:szCs w:val="36"/>
          <w:highlight w:val="none"/>
        </w:rPr>
        <w:t>第三部分专用条款</w:t>
      </w:r>
      <w:bookmarkEnd w:id="530"/>
      <w:bookmarkEnd w:id="531"/>
      <w:bookmarkEnd w:id="532"/>
      <w:bookmarkEnd w:id="533"/>
    </w:p>
    <w:p>
      <w:pPr>
        <w:jc w:val="center"/>
        <w:rPr>
          <w:rFonts w:ascii="宋体"/>
          <w:b/>
          <w:bCs/>
          <w:color w:val="auto"/>
          <w:sz w:val="24"/>
          <w:szCs w:val="24"/>
          <w:highlight w:val="none"/>
        </w:rPr>
      </w:pPr>
    </w:p>
    <w:p>
      <w:pPr>
        <w:pStyle w:val="8"/>
        <w:tabs>
          <w:tab w:val="left" w:pos="420"/>
        </w:tabs>
        <w:rPr>
          <w:rFonts w:ascii="仿宋" w:hAnsi="仿宋" w:eastAsia="仿宋"/>
          <w:b w:val="0"/>
          <w:bCs/>
          <w:color w:val="auto"/>
          <w:highlight w:val="none"/>
        </w:rPr>
      </w:pPr>
      <w:bookmarkStart w:id="534" w:name="_Toc28535"/>
      <w:bookmarkStart w:id="535" w:name="_Toc25653712"/>
      <w:bookmarkStart w:id="536" w:name="_Toc31696"/>
      <w:bookmarkStart w:id="537" w:name="_Toc469384082"/>
      <w:r>
        <w:rPr>
          <w:rFonts w:ascii="仿宋" w:hAnsi="仿宋" w:eastAsia="仿宋" w:cs="仿宋"/>
          <w:b w:val="0"/>
          <w:bCs/>
          <w:color w:val="auto"/>
          <w:highlight w:val="none"/>
        </w:rPr>
        <w:t>1</w:t>
      </w:r>
      <w:r>
        <w:rPr>
          <w:rFonts w:hint="eastAsia" w:ascii="仿宋" w:hAnsi="仿宋" w:eastAsia="仿宋" w:cs="仿宋"/>
          <w:b w:val="0"/>
          <w:bCs/>
          <w:color w:val="auto"/>
          <w:highlight w:val="none"/>
        </w:rPr>
        <w:t>．定义</w:t>
      </w:r>
      <w:bookmarkEnd w:id="534"/>
      <w:bookmarkEnd w:id="535"/>
      <w:bookmarkEnd w:id="536"/>
      <w:bookmarkEnd w:id="537"/>
    </w:p>
    <w:p>
      <w:pPr>
        <w:autoSpaceDE w:val="0"/>
        <w:autoSpaceDN w:val="0"/>
        <w:adjustRightInd w:val="0"/>
        <w:spacing w:line="360" w:lineRule="auto"/>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1.43 </w:t>
      </w:r>
      <w:r>
        <w:rPr>
          <w:rFonts w:hint="eastAsia" w:ascii="仿宋" w:hAnsi="仿宋" w:eastAsia="仿宋" w:cs="仿宋"/>
          <w:color w:val="auto"/>
          <w:kern w:val="0"/>
          <w:sz w:val="24"/>
          <w:szCs w:val="24"/>
          <w:highlight w:val="none"/>
        </w:rPr>
        <w:t>单位工程</w:t>
      </w:r>
    </w:p>
    <w:p>
      <w:pPr>
        <w:autoSpaceDE w:val="0"/>
        <w:autoSpaceDN w:val="0"/>
        <w:adjustRightInd w:val="0"/>
        <w:spacing w:line="360" w:lineRule="auto"/>
        <w:ind w:firstLine="360" w:firstLineChars="150"/>
        <w:jc w:val="left"/>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名称：</w:t>
      </w:r>
      <w:r>
        <w:rPr>
          <w:rFonts w:hint="eastAsia" w:ascii="仿宋" w:hAnsi="仿宋" w:eastAsia="仿宋" w:cs="仿宋"/>
          <w:color w:val="auto"/>
          <w:kern w:val="0"/>
          <w:sz w:val="24"/>
          <w:szCs w:val="24"/>
          <w:highlight w:val="none"/>
          <w:u w:val="single"/>
          <w:lang w:eastAsia="zh-CN"/>
        </w:rPr>
        <w:t>田心调压站扩容改造工程施工项目</w:t>
      </w:r>
      <w:r>
        <w:rPr>
          <w:rFonts w:ascii="仿宋" w:hAnsi="仿宋" w:eastAsia="仿宋" w:cs="仿宋"/>
          <w:color w:val="auto"/>
          <w:kern w:val="0"/>
          <w:sz w:val="24"/>
          <w:szCs w:val="24"/>
          <w:highlight w:val="none"/>
          <w:u w:val="single"/>
        </w:rPr>
        <w:t xml:space="preserve"> </w:t>
      </w:r>
    </w:p>
    <w:p>
      <w:pPr>
        <w:autoSpaceDE w:val="0"/>
        <w:autoSpaceDN w:val="0"/>
        <w:adjustRightInd w:val="0"/>
        <w:spacing w:line="360" w:lineRule="auto"/>
        <w:ind w:firstLine="360" w:firstLineChars="150"/>
        <w:jc w:val="left"/>
        <w:rPr>
          <w:rFonts w:hint="eastAsia"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内容：</w:t>
      </w:r>
      <w:r>
        <w:rPr>
          <w:rFonts w:hint="eastAsia" w:ascii="仿宋" w:hAnsi="仿宋" w:eastAsia="仿宋" w:cs="仿宋"/>
          <w:color w:val="auto"/>
          <w:kern w:val="0"/>
          <w:sz w:val="24"/>
          <w:szCs w:val="24"/>
          <w:highlight w:val="none"/>
          <w:lang w:val="en-US" w:eastAsia="zh-CN"/>
        </w:rPr>
        <w:t>本次工程拆除站内原有城市中压过滤计量调压装置，并对太和调压站来气收球装置进行改造，在广州市天然气利用工程四期工程田心调压站在建工艺装置区北部新增相应的工艺装置用于给城市中压和佛山南海中压用户供气。扩容改造后田心调压站设计规模将达到近期12×10</w:t>
      </w:r>
      <w:r>
        <w:rPr>
          <w:rFonts w:hint="eastAsia" w:ascii="仿宋" w:hAnsi="仿宋" w:eastAsia="仿宋" w:cs="仿宋"/>
          <w:color w:val="auto"/>
          <w:kern w:val="0"/>
          <w:sz w:val="24"/>
          <w:szCs w:val="24"/>
          <w:highlight w:val="none"/>
          <w:vertAlign w:val="superscript"/>
          <w:lang w:val="en-US" w:eastAsia="zh-CN"/>
        </w:rPr>
        <w:t>4</w:t>
      </w:r>
      <w:r>
        <w:rPr>
          <w:rFonts w:hint="eastAsia" w:ascii="仿宋" w:hAnsi="仿宋" w:eastAsia="仿宋" w:cs="仿宋"/>
          <w:color w:val="auto"/>
          <w:kern w:val="0"/>
          <w:sz w:val="24"/>
          <w:szCs w:val="24"/>
          <w:highlight w:val="none"/>
          <w:lang w:val="en-US" w:eastAsia="zh-CN"/>
        </w:rPr>
        <w:t>Nm³/h，远期16×10</w:t>
      </w:r>
      <w:r>
        <w:rPr>
          <w:rFonts w:hint="eastAsia" w:ascii="仿宋" w:hAnsi="仿宋" w:eastAsia="仿宋" w:cs="仿宋"/>
          <w:color w:val="auto"/>
          <w:kern w:val="0"/>
          <w:sz w:val="24"/>
          <w:szCs w:val="24"/>
          <w:highlight w:val="none"/>
          <w:vertAlign w:val="superscript"/>
          <w:lang w:val="en-US" w:eastAsia="zh-CN"/>
        </w:rPr>
        <w:t>4</w:t>
      </w:r>
      <w:r>
        <w:rPr>
          <w:rFonts w:hint="eastAsia" w:ascii="仿宋" w:hAnsi="仿宋" w:eastAsia="仿宋" w:cs="仿宋"/>
          <w:color w:val="auto"/>
          <w:kern w:val="0"/>
          <w:sz w:val="24"/>
          <w:szCs w:val="24"/>
          <w:highlight w:val="none"/>
          <w:lang w:val="en-US" w:eastAsia="zh-CN"/>
        </w:rPr>
        <w:t>Nm³/h，其中佛山南海供气规模8×10</w:t>
      </w:r>
      <w:r>
        <w:rPr>
          <w:rFonts w:hint="eastAsia" w:ascii="仿宋" w:hAnsi="仿宋" w:eastAsia="仿宋" w:cs="仿宋"/>
          <w:color w:val="auto"/>
          <w:kern w:val="0"/>
          <w:sz w:val="24"/>
          <w:szCs w:val="24"/>
          <w:highlight w:val="none"/>
          <w:vertAlign w:val="superscript"/>
          <w:lang w:val="en-US" w:eastAsia="zh-CN"/>
        </w:rPr>
        <w:t>4</w:t>
      </w:r>
      <w:r>
        <w:rPr>
          <w:rFonts w:hint="eastAsia" w:ascii="仿宋" w:hAnsi="仿宋" w:eastAsia="仿宋" w:cs="仿宋"/>
          <w:color w:val="auto"/>
          <w:kern w:val="0"/>
          <w:sz w:val="24"/>
          <w:szCs w:val="24"/>
          <w:highlight w:val="none"/>
          <w:lang w:val="en-US" w:eastAsia="zh-CN"/>
        </w:rPr>
        <w:t>Nm³/h，原有城市中压供气规模近期4×10</w:t>
      </w:r>
      <w:r>
        <w:rPr>
          <w:rFonts w:hint="eastAsia" w:ascii="仿宋" w:hAnsi="仿宋" w:eastAsia="仿宋" w:cs="仿宋"/>
          <w:color w:val="auto"/>
          <w:kern w:val="0"/>
          <w:sz w:val="24"/>
          <w:szCs w:val="24"/>
          <w:highlight w:val="none"/>
          <w:vertAlign w:val="superscript"/>
          <w:lang w:val="en-US" w:eastAsia="zh-CN"/>
        </w:rPr>
        <w:t>4</w:t>
      </w:r>
      <w:r>
        <w:rPr>
          <w:rFonts w:hint="eastAsia" w:ascii="仿宋" w:hAnsi="仿宋" w:eastAsia="仿宋" w:cs="仿宋"/>
          <w:color w:val="auto"/>
          <w:kern w:val="0"/>
          <w:sz w:val="24"/>
          <w:szCs w:val="24"/>
          <w:highlight w:val="none"/>
          <w:lang w:val="en-US" w:eastAsia="zh-CN"/>
        </w:rPr>
        <w:t>Nm³/h，远期8×10</w:t>
      </w:r>
      <w:r>
        <w:rPr>
          <w:rFonts w:hint="eastAsia" w:ascii="仿宋" w:hAnsi="仿宋" w:eastAsia="仿宋" w:cs="仿宋"/>
          <w:color w:val="auto"/>
          <w:kern w:val="0"/>
          <w:sz w:val="24"/>
          <w:szCs w:val="24"/>
          <w:highlight w:val="none"/>
          <w:vertAlign w:val="superscript"/>
          <w:lang w:val="en-US" w:eastAsia="zh-CN"/>
        </w:rPr>
        <w:t>4</w:t>
      </w:r>
      <w:r>
        <w:rPr>
          <w:rFonts w:hint="eastAsia" w:ascii="仿宋" w:hAnsi="仿宋" w:eastAsia="仿宋" w:cs="仿宋"/>
          <w:color w:val="auto"/>
          <w:kern w:val="0"/>
          <w:sz w:val="24"/>
          <w:szCs w:val="24"/>
          <w:highlight w:val="none"/>
          <w:lang w:val="en-US" w:eastAsia="zh-CN"/>
        </w:rPr>
        <w:t>Nm³/h。</w:t>
      </w:r>
    </w:p>
    <w:p>
      <w:pPr>
        <w:autoSpaceDE w:val="0"/>
        <w:autoSpaceDN w:val="0"/>
        <w:adjustRightInd w:val="0"/>
        <w:spacing w:line="360" w:lineRule="auto"/>
        <w:ind w:firstLine="360" w:firstLineChars="1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范围：</w:t>
      </w:r>
      <w:r>
        <w:rPr>
          <w:rFonts w:hint="eastAsia" w:ascii="仿宋" w:hAnsi="仿宋" w:eastAsia="仿宋" w:cs="仿宋"/>
          <w:color w:val="auto"/>
          <w:kern w:val="0"/>
          <w:sz w:val="24"/>
          <w:szCs w:val="24"/>
          <w:highlight w:val="none"/>
          <w:u w:val="single"/>
        </w:rPr>
        <w:t>包括但不限于材料采购（甲供料除外）、工程施工、调试验收、项目管理（含相关监督检验手续办理、工程协调）等工作。</w:t>
      </w:r>
    </w:p>
    <w:p>
      <w:pPr>
        <w:autoSpaceDE w:val="0"/>
        <w:autoSpaceDN w:val="0"/>
        <w:adjustRightInd w:val="0"/>
        <w:spacing w:line="360" w:lineRule="auto"/>
        <w:ind w:firstLine="240" w:firstLineChars="100"/>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1.53  </w:t>
      </w:r>
      <w:r>
        <w:rPr>
          <w:rFonts w:hint="eastAsia" w:ascii="仿宋" w:hAnsi="仿宋" w:eastAsia="仿宋" w:cs="仿宋"/>
          <w:color w:val="auto"/>
          <w:kern w:val="0"/>
          <w:sz w:val="24"/>
          <w:szCs w:val="24"/>
          <w:highlight w:val="none"/>
        </w:rPr>
        <w:t>所采用的书面形式包括：</w:t>
      </w:r>
      <w:r>
        <w:rPr>
          <w:rFonts w:ascii="仿宋" w:hAnsi="仿宋" w:eastAsia="仿宋" w:cs="仿宋"/>
          <w:color w:val="auto"/>
          <w:kern w:val="0"/>
          <w:sz w:val="24"/>
          <w:szCs w:val="24"/>
          <w:highlight w:val="none"/>
        </w:rPr>
        <w:t xml:space="preserve"> </w:t>
      </w:r>
    </w:p>
    <w:p>
      <w:pPr>
        <w:autoSpaceDE w:val="0"/>
        <w:autoSpaceDN w:val="0"/>
        <w:adjustRightInd w:val="0"/>
        <w:spacing w:line="360" w:lineRule="auto"/>
        <w:ind w:firstLine="360" w:firstLineChars="150"/>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文书；</w:t>
      </w:r>
      <w:r>
        <w:rPr>
          <w:rFonts w:ascii="仿宋" w:hAnsi="仿宋" w:eastAsia="仿宋" w:cs="仿宋"/>
          <w:color w:val="auto"/>
          <w:kern w:val="0"/>
          <w:sz w:val="24"/>
          <w:szCs w:val="24"/>
          <w:highlight w:val="none"/>
        </w:rPr>
        <w:t xml:space="preserve"> </w:t>
      </w:r>
    </w:p>
    <w:p>
      <w:pPr>
        <w:autoSpaceDE w:val="0"/>
        <w:autoSpaceDN w:val="0"/>
        <w:adjustRightInd w:val="0"/>
        <w:spacing w:line="360" w:lineRule="auto"/>
        <w:ind w:firstLine="360" w:firstLineChars="150"/>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传真；</w:t>
      </w:r>
      <w:r>
        <w:rPr>
          <w:rFonts w:ascii="仿宋" w:hAnsi="仿宋" w:eastAsia="仿宋" w:cs="仿宋"/>
          <w:color w:val="auto"/>
          <w:kern w:val="0"/>
          <w:sz w:val="24"/>
          <w:szCs w:val="24"/>
          <w:highlight w:val="none"/>
        </w:rPr>
        <w:t xml:space="preserve"> </w:t>
      </w:r>
    </w:p>
    <w:p>
      <w:pPr>
        <w:spacing w:line="360" w:lineRule="auto"/>
        <w:rPr>
          <w:rFonts w:ascii="仿宋" w:hAnsi="仿宋" w:eastAsia="仿宋"/>
          <w:b/>
          <w:bCs/>
          <w:color w:val="auto"/>
          <w:sz w:val="24"/>
          <w:szCs w:val="24"/>
          <w:highlight w:val="none"/>
        </w:rPr>
      </w:pPr>
    </w:p>
    <w:p>
      <w:pPr>
        <w:pStyle w:val="8"/>
        <w:tabs>
          <w:tab w:val="left" w:pos="420"/>
        </w:tabs>
        <w:spacing w:before="0" w:line="360" w:lineRule="auto"/>
        <w:rPr>
          <w:rFonts w:ascii="仿宋" w:hAnsi="仿宋" w:eastAsia="仿宋"/>
          <w:b w:val="0"/>
          <w:bCs/>
          <w:color w:val="auto"/>
          <w:highlight w:val="none"/>
        </w:rPr>
      </w:pPr>
      <w:bookmarkStart w:id="538" w:name="_Toc31481"/>
      <w:bookmarkStart w:id="539" w:name="_Toc3443"/>
      <w:bookmarkStart w:id="540" w:name="_Toc469384083"/>
      <w:bookmarkStart w:id="541" w:name="_Toc25653713"/>
      <w:r>
        <w:rPr>
          <w:rFonts w:ascii="仿宋" w:hAnsi="仿宋" w:eastAsia="仿宋" w:cs="仿宋"/>
          <w:b w:val="0"/>
          <w:bCs/>
          <w:color w:val="auto"/>
          <w:highlight w:val="none"/>
        </w:rPr>
        <w:t>2</w:t>
      </w:r>
      <w:r>
        <w:rPr>
          <w:rFonts w:hint="eastAsia" w:ascii="仿宋" w:hAnsi="仿宋" w:eastAsia="仿宋" w:cs="仿宋"/>
          <w:b w:val="0"/>
          <w:bCs/>
          <w:color w:val="auto"/>
          <w:highlight w:val="none"/>
        </w:rPr>
        <w:t>．合同文件及解释</w:t>
      </w:r>
      <w:bookmarkEnd w:id="538"/>
      <w:bookmarkEnd w:id="539"/>
      <w:bookmarkEnd w:id="540"/>
      <w:bookmarkEnd w:id="541"/>
    </w:p>
    <w:p>
      <w:pPr>
        <w:spacing w:line="360" w:lineRule="auto"/>
        <w:ind w:firstLine="240" w:firstLineChars="1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2.2</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rPr>
        <w:t>）组成合同的其他文件：</w:t>
      </w:r>
    </w:p>
    <w:p>
      <w:pPr>
        <w:spacing w:line="360" w:lineRule="auto"/>
        <w:ind w:firstLine="240" w:firstLineChars="1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下列文件应被认为是组成本协议书的一部分，并互为补充和解释的</w:t>
      </w:r>
      <w:r>
        <w:rPr>
          <w:rFonts w:ascii="仿宋" w:hAnsi="仿宋" w:eastAsia="仿宋" w:cs="仿宋"/>
          <w:color w:val="auto"/>
          <w:kern w:val="0"/>
          <w:sz w:val="24"/>
          <w:szCs w:val="24"/>
          <w:highlight w:val="none"/>
          <w:u w:val="single"/>
        </w:rPr>
        <w:t>,如上述各部分存在不一致之处,以排列在先的其效力优先：</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1）本合同协议书、工程量质量保修书；</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2）本合同专用条款；</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3）本合同附件；</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4）本合同通用条款；</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5）中标通知书；</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6）招标答疑会议纪要；</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7）招标文件（含补充、修改、澄清文件、工程量清单及编制说明等）及其附件；</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8）投标文件及其附件</w:t>
      </w:r>
      <w:r>
        <w:rPr>
          <w:rFonts w:ascii="宋体" w:hAnsi="宋体" w:cs="宋体"/>
          <w:color w:val="auto"/>
          <w:sz w:val="24"/>
          <w:szCs w:val="24"/>
          <w:highlight w:val="none"/>
        </w:rPr>
        <w:t>(</w:t>
      </w:r>
      <w:r>
        <w:rPr>
          <w:rFonts w:hint="eastAsia" w:ascii="仿宋" w:hAnsi="仿宋" w:eastAsia="仿宋" w:cs="仿宋"/>
          <w:color w:val="auto"/>
          <w:kern w:val="0"/>
          <w:sz w:val="24"/>
          <w:szCs w:val="24"/>
          <w:highlight w:val="none"/>
          <w:u w:val="single"/>
        </w:rPr>
        <w:t>投标文件相比招标文件的更优响应将优于招标文件解释</w:t>
      </w:r>
      <w:r>
        <w:rPr>
          <w:rFonts w:ascii="仿宋" w:hAnsi="仿宋" w:eastAsia="仿宋" w:cs="仿宋"/>
          <w:color w:val="auto"/>
          <w:kern w:val="0"/>
          <w:sz w:val="24"/>
          <w:szCs w:val="24"/>
          <w:highlight w:val="none"/>
          <w:u w:val="single"/>
        </w:rPr>
        <w:t>)；</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9）标准、规范及有关技术文件；</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10）图纸及会审记录；</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11）经双方确认的工程量清单项目费汇总表。</w:t>
      </w:r>
    </w:p>
    <w:p>
      <w:pPr>
        <w:spacing w:line="360" w:lineRule="auto"/>
        <w:ind w:firstLine="240" w:firstLineChars="1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u w:val="single"/>
        </w:rPr>
        <w:t>双方有关工程的协商、变更的书面协议或文件（包括阶段性进度计划）应被视为本合同的组成部分，且其效力优先于上述文件。</w:t>
      </w:r>
    </w:p>
    <w:p>
      <w:pPr>
        <w:spacing w:line="360" w:lineRule="auto"/>
        <w:rPr>
          <w:rFonts w:ascii="仿宋" w:hAnsi="仿宋" w:eastAsia="仿宋"/>
          <w:color w:val="auto"/>
          <w:kern w:val="0"/>
          <w:sz w:val="24"/>
          <w:szCs w:val="24"/>
          <w:highlight w:val="none"/>
        </w:rPr>
      </w:pPr>
    </w:p>
    <w:p>
      <w:pPr>
        <w:pStyle w:val="8"/>
        <w:tabs>
          <w:tab w:val="left" w:pos="420"/>
        </w:tabs>
        <w:spacing w:before="0" w:line="360" w:lineRule="auto"/>
        <w:rPr>
          <w:rFonts w:ascii="仿宋" w:hAnsi="仿宋" w:eastAsia="仿宋"/>
          <w:b w:val="0"/>
          <w:bCs/>
          <w:color w:val="auto"/>
          <w:highlight w:val="none"/>
        </w:rPr>
      </w:pPr>
      <w:bookmarkStart w:id="542" w:name="_Toc15751"/>
      <w:bookmarkStart w:id="543" w:name="_Toc6688"/>
      <w:bookmarkStart w:id="544" w:name="_Toc25653714"/>
      <w:bookmarkStart w:id="545" w:name="_Toc469384084"/>
      <w:r>
        <w:rPr>
          <w:rFonts w:ascii="仿宋" w:hAnsi="仿宋" w:eastAsia="仿宋" w:cs="仿宋"/>
          <w:b w:val="0"/>
          <w:bCs/>
          <w:color w:val="auto"/>
          <w:highlight w:val="none"/>
        </w:rPr>
        <w:t>4</w:t>
      </w:r>
      <w:r>
        <w:rPr>
          <w:rFonts w:hint="eastAsia" w:ascii="仿宋" w:hAnsi="仿宋" w:eastAsia="仿宋" w:cs="仿宋"/>
          <w:b w:val="0"/>
          <w:bCs/>
          <w:color w:val="auto"/>
          <w:highlight w:val="none"/>
        </w:rPr>
        <w:t>．语言及适用的法律、标准与规范</w:t>
      </w:r>
      <w:bookmarkEnd w:id="542"/>
      <w:bookmarkEnd w:id="543"/>
      <w:bookmarkEnd w:id="544"/>
      <w:bookmarkEnd w:id="545"/>
    </w:p>
    <w:p>
      <w:pPr>
        <w:spacing w:line="360" w:lineRule="auto"/>
        <w:ind w:firstLine="240" w:firstLineChars="1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4.3 </w:t>
      </w:r>
      <w:r>
        <w:rPr>
          <w:rFonts w:hint="eastAsia" w:ascii="仿宋" w:hAnsi="仿宋" w:eastAsia="仿宋" w:cs="仿宋"/>
          <w:color w:val="auto"/>
          <w:kern w:val="0"/>
          <w:sz w:val="24"/>
          <w:szCs w:val="24"/>
          <w:highlight w:val="none"/>
        </w:rPr>
        <w:t>约定适用的标准、规范的名称：</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《输气管道工程设计规范》(GB50251—2015)</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《油气输送管道穿越工程设计规范》（GB50423—2013）</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《混凝土结构设计规范》（GB 50010-2010）</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《工业建筑防腐蚀设计规范》（GB50046-2008）</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《工业金属管道工程施工规范》（GB50235-2010）</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《工业金属管道工程施工质量验收规范》（GB50184-2011）</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《油气输送管道穿越工程施工规范》（GB 50424-2015）</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《现场设备、工业管道焊接工程施工规范》（GB50236-2011）</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《现场设备、工业管道焊接工程施工质量验收规范》（GB50683-2011）</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《钢质管道焊接及验收》（SY/T 4103-2006）</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 xml:space="preserve">《焊缝无损检测 </w:t>
      </w:r>
      <w:r>
        <w:rPr>
          <w:rFonts w:hint="eastAsia" w:ascii="仿宋" w:hAnsi="仿宋" w:eastAsia="仿宋"/>
          <w:color w:val="auto"/>
          <w:kern w:val="0"/>
          <w:sz w:val="24"/>
          <w:szCs w:val="24"/>
          <w:highlight w:val="none"/>
        </w:rPr>
        <w:t>超声检测技术、检测等级和评定》（</w:t>
      </w:r>
      <w:r>
        <w:rPr>
          <w:rFonts w:ascii="仿宋" w:hAnsi="仿宋" w:eastAsia="仿宋"/>
          <w:color w:val="auto"/>
          <w:kern w:val="0"/>
          <w:sz w:val="24"/>
          <w:szCs w:val="24"/>
          <w:highlight w:val="none"/>
        </w:rPr>
        <w:t>GB11345-2013）</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《石油天然气钢制管道无损检测》（SY/T4109-2013）</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《石油天然气钢制管道对接焊缝射线照相及质量分级》（SY/T4056-93）</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《金属熔化焊焊接接头射线照相》（GB3323-2005）</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《油气输送管道线路工程抗震技术规范》（GB 50470-2017）</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《埋地钢质管道阴极保护技术规范》（GB/T21448-2017）</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《钢质管道熔结环氧粉末外涂层技术规范》（SY/T 0315-2013）</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《管线钢管规范》（API SPEC 5L 45版）</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 xml:space="preserve">《埋地钢质管道聚乙烯防腐层 </w:t>
      </w:r>
      <w:r>
        <w:rPr>
          <w:rFonts w:hint="eastAsia" w:ascii="仿宋" w:hAnsi="仿宋" w:eastAsia="仿宋"/>
          <w:color w:val="auto"/>
          <w:kern w:val="0"/>
          <w:sz w:val="24"/>
          <w:szCs w:val="24"/>
          <w:highlight w:val="none"/>
        </w:rPr>
        <w:t>》</w:t>
      </w:r>
      <w:r>
        <w:rPr>
          <w:rFonts w:ascii="仿宋" w:hAnsi="仿宋" w:eastAsia="仿宋"/>
          <w:color w:val="auto"/>
          <w:kern w:val="0"/>
          <w:sz w:val="24"/>
          <w:szCs w:val="24"/>
          <w:highlight w:val="none"/>
        </w:rPr>
        <w:t>(GB/T23257-2017)</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《涂装前钢材表面锈蚀等级和除锈等级》（GB/T8923-2011）</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《石油化工钢制压力容器》（SH/T 3074-2018）</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《工业企业厂界环境噪声排放标准》（GB12348-2008）</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《大气污染物综合排放标准》（GB16297-1996）</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《污水综合排放标准》（GB8979-1996）</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《公路路基设计规范》（JTG D30-2015）</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《公路工程技术标准》（JTG B01-2014）</w:t>
      </w:r>
    </w:p>
    <w:p>
      <w:pPr>
        <w:numPr>
          <w:ilvl w:val="0"/>
          <w:numId w:val="32"/>
        </w:numPr>
        <w:spacing w:line="360" w:lineRule="auto"/>
        <w:rPr>
          <w:rFonts w:ascii="仿宋" w:hAnsi="仿宋" w:eastAsia="仿宋"/>
          <w:color w:val="auto"/>
          <w:kern w:val="0"/>
          <w:sz w:val="24"/>
          <w:szCs w:val="24"/>
          <w:highlight w:val="none"/>
        </w:rPr>
      </w:pPr>
      <w:r>
        <w:rPr>
          <w:rFonts w:ascii="仿宋" w:hAnsi="仿宋" w:eastAsia="仿宋"/>
          <w:color w:val="auto"/>
          <w:kern w:val="0"/>
          <w:sz w:val="24"/>
          <w:szCs w:val="24"/>
          <w:highlight w:val="none"/>
        </w:rPr>
        <w:t>《建设工程项目管理规范》（GB/T50326-2017）</w:t>
      </w:r>
    </w:p>
    <w:p>
      <w:pPr>
        <w:numPr>
          <w:ilvl w:val="0"/>
          <w:numId w:val="32"/>
        </w:numPr>
        <w:spacing w:line="360" w:lineRule="auto"/>
        <w:rPr>
          <w:rFonts w:ascii="仿宋" w:hAnsi="仿宋" w:eastAsia="仿宋"/>
          <w:color w:val="auto"/>
          <w:kern w:val="0"/>
          <w:sz w:val="24"/>
          <w:szCs w:val="24"/>
          <w:highlight w:val="none"/>
        </w:rPr>
      </w:pPr>
      <w:r>
        <w:rPr>
          <w:rFonts w:hint="eastAsia" w:ascii="仿宋" w:hAnsi="仿宋" w:eastAsia="仿宋"/>
          <w:color w:val="auto"/>
          <w:kern w:val="0"/>
          <w:sz w:val="24"/>
          <w:szCs w:val="24"/>
          <w:highlight w:val="none"/>
        </w:rPr>
        <w:t>《</w:t>
      </w:r>
      <w:r>
        <w:rPr>
          <w:rFonts w:ascii="仿宋" w:hAnsi="仿宋" w:eastAsia="仿宋"/>
          <w:color w:val="auto"/>
          <w:kern w:val="0"/>
          <w:sz w:val="24"/>
          <w:szCs w:val="24"/>
          <w:highlight w:val="none"/>
        </w:rPr>
        <w:t>市政工程施工安全检查标准</w:t>
      </w:r>
      <w:r>
        <w:rPr>
          <w:rFonts w:hint="eastAsia" w:ascii="仿宋" w:hAnsi="仿宋" w:eastAsia="仿宋"/>
          <w:color w:val="auto"/>
          <w:kern w:val="0"/>
          <w:sz w:val="24"/>
          <w:szCs w:val="24"/>
          <w:highlight w:val="none"/>
        </w:rPr>
        <w:t>》（</w:t>
      </w:r>
      <w:r>
        <w:rPr>
          <w:rFonts w:ascii="仿宋" w:hAnsi="仿宋" w:eastAsia="仿宋"/>
          <w:color w:val="auto"/>
          <w:kern w:val="0"/>
          <w:sz w:val="24"/>
          <w:szCs w:val="24"/>
          <w:highlight w:val="none"/>
        </w:rPr>
        <w:t>CJJ/T 275-2018</w:t>
      </w:r>
      <w:r>
        <w:rPr>
          <w:rFonts w:hint="eastAsia" w:ascii="仿宋" w:hAnsi="仿宋" w:eastAsia="仿宋"/>
          <w:color w:val="auto"/>
          <w:kern w:val="0"/>
          <w:sz w:val="24"/>
          <w:szCs w:val="24"/>
          <w:highlight w:val="none"/>
        </w:rPr>
        <w:t>）</w:t>
      </w:r>
    </w:p>
    <w:p>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若合同履行时建设主管部门颁布新的规范、标准，则按照新的规范、标准执行。</w:t>
      </w:r>
    </w:p>
    <w:p>
      <w:pPr>
        <w:pStyle w:val="8"/>
        <w:tabs>
          <w:tab w:val="left" w:pos="420"/>
        </w:tabs>
        <w:spacing w:line="360" w:lineRule="auto"/>
        <w:rPr>
          <w:rFonts w:ascii="仿宋" w:hAnsi="仿宋" w:eastAsia="仿宋"/>
          <w:b w:val="0"/>
          <w:bCs/>
          <w:color w:val="auto"/>
          <w:highlight w:val="none"/>
        </w:rPr>
      </w:pPr>
      <w:bookmarkStart w:id="546" w:name="_Toc4066"/>
      <w:bookmarkStart w:id="547" w:name="_Toc469384085"/>
      <w:bookmarkStart w:id="548" w:name="_Toc25653715"/>
      <w:bookmarkStart w:id="549" w:name="_Toc29686"/>
      <w:r>
        <w:rPr>
          <w:rFonts w:ascii="仿宋" w:hAnsi="仿宋" w:eastAsia="仿宋" w:cs="仿宋"/>
          <w:b w:val="0"/>
          <w:bCs/>
          <w:color w:val="auto"/>
          <w:highlight w:val="none"/>
        </w:rPr>
        <w:t xml:space="preserve">5. </w:t>
      </w:r>
      <w:r>
        <w:rPr>
          <w:rFonts w:hint="eastAsia" w:ascii="仿宋" w:hAnsi="仿宋" w:eastAsia="仿宋" w:cs="仿宋"/>
          <w:b w:val="0"/>
          <w:bCs/>
          <w:color w:val="auto"/>
          <w:highlight w:val="none"/>
        </w:rPr>
        <w:t>施工设计图纸</w:t>
      </w:r>
      <w:bookmarkEnd w:id="546"/>
      <w:bookmarkEnd w:id="547"/>
      <w:bookmarkEnd w:id="548"/>
      <w:bookmarkEnd w:id="549"/>
    </w:p>
    <w:p>
      <w:pPr>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rPr>
        <w:t xml:space="preserve">  5.1 </w:t>
      </w:r>
      <w:r>
        <w:rPr>
          <w:rFonts w:hint="eastAsia" w:ascii="仿宋" w:hAnsi="仿宋" w:eastAsia="仿宋" w:cs="仿宋"/>
          <w:color w:val="auto"/>
          <w:sz w:val="24"/>
          <w:szCs w:val="24"/>
          <w:highlight w:val="none"/>
        </w:rPr>
        <w:t>发包人提供施工设计图纸</w:t>
      </w:r>
    </w:p>
    <w:p>
      <w:p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）提供的时间：</w:t>
      </w:r>
      <w:r>
        <w:rPr>
          <w:rFonts w:hint="eastAsia" w:ascii="仿宋" w:hAnsi="仿宋" w:eastAsia="仿宋" w:cs="仿宋"/>
          <w:color w:val="auto"/>
          <w:sz w:val="24"/>
          <w:szCs w:val="24"/>
          <w:highlight w:val="none"/>
          <w:u w:val="single"/>
        </w:rPr>
        <w:t>签订合同后</w:t>
      </w:r>
      <w:r>
        <w:rPr>
          <w:rFonts w:ascii="仿宋" w:hAnsi="仿宋" w:eastAsia="仿宋" w:cs="仿宋"/>
          <w:color w:val="auto"/>
          <w:sz w:val="24"/>
          <w:szCs w:val="24"/>
          <w:highlight w:val="none"/>
          <w:u w:val="single"/>
        </w:rPr>
        <w:t>30日内</w:t>
      </w:r>
    </w:p>
    <w:p>
      <w:pPr>
        <w:spacing w:line="360" w:lineRule="auto"/>
        <w:rPr>
          <w:rFonts w:ascii="仿宋" w:hAnsi="仿宋" w:eastAsia="仿宋"/>
          <w:strike/>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）提供的数量：</w:t>
      </w:r>
      <w:r>
        <w:rPr>
          <w:rFonts w:ascii="仿宋" w:hAnsi="仿宋" w:eastAsia="仿宋" w:cs="仿宋"/>
          <w:color w:val="auto"/>
          <w:sz w:val="24"/>
          <w:szCs w:val="24"/>
          <w:highlight w:val="none"/>
          <w:u w:val="single"/>
        </w:rPr>
        <w:t>3套</w:t>
      </w:r>
    </w:p>
    <w:p>
      <w:pPr>
        <w:spacing w:line="360" w:lineRule="auto"/>
        <w:rPr>
          <w:rFonts w:ascii="仿宋" w:hAnsi="仿宋" w:eastAsia="仿宋"/>
          <w:color w:val="auto"/>
          <w:sz w:val="24"/>
          <w:szCs w:val="24"/>
          <w:highlight w:val="none"/>
        </w:rPr>
      </w:pPr>
    </w:p>
    <w:p>
      <w:pPr>
        <w:pStyle w:val="8"/>
        <w:tabs>
          <w:tab w:val="left" w:pos="420"/>
        </w:tabs>
        <w:spacing w:line="360" w:lineRule="auto"/>
        <w:rPr>
          <w:rFonts w:ascii="仿宋" w:hAnsi="仿宋" w:eastAsia="仿宋"/>
          <w:b w:val="0"/>
          <w:bCs/>
          <w:color w:val="auto"/>
          <w:highlight w:val="none"/>
        </w:rPr>
      </w:pPr>
      <w:bookmarkStart w:id="550" w:name="_Toc469384086"/>
      <w:bookmarkStart w:id="551" w:name="_Toc22787"/>
      <w:bookmarkStart w:id="552" w:name="_Toc12028"/>
      <w:bookmarkStart w:id="553" w:name="_Toc25653716"/>
      <w:r>
        <w:rPr>
          <w:rFonts w:ascii="仿宋" w:hAnsi="仿宋" w:eastAsia="仿宋" w:cs="仿宋"/>
          <w:b w:val="0"/>
          <w:bCs/>
          <w:color w:val="auto"/>
          <w:highlight w:val="none"/>
        </w:rPr>
        <w:t xml:space="preserve">6. </w:t>
      </w:r>
      <w:r>
        <w:rPr>
          <w:rFonts w:hint="eastAsia" w:ascii="仿宋" w:hAnsi="仿宋" w:eastAsia="仿宋" w:cs="仿宋"/>
          <w:b w:val="0"/>
          <w:bCs/>
          <w:color w:val="auto"/>
          <w:highlight w:val="none"/>
        </w:rPr>
        <w:t>通信联络</w:t>
      </w:r>
      <w:bookmarkEnd w:id="550"/>
      <w:bookmarkEnd w:id="551"/>
      <w:bookmarkEnd w:id="552"/>
      <w:bookmarkEnd w:id="553"/>
    </w:p>
    <w:p>
      <w:pPr>
        <w:spacing w:line="360" w:lineRule="auto"/>
        <w:rPr>
          <w:rFonts w:ascii="仿宋" w:hAnsi="仿宋" w:eastAsia="仿宋"/>
          <w:color w:val="auto"/>
          <w:sz w:val="24"/>
          <w:szCs w:val="24"/>
          <w:highlight w:val="none"/>
        </w:rPr>
      </w:pPr>
      <w:r>
        <w:rPr>
          <w:rFonts w:ascii="仿宋" w:hAnsi="仿宋" w:eastAsia="仿宋" w:cs="仿宋"/>
          <w:color w:val="auto"/>
          <w:sz w:val="24"/>
          <w:szCs w:val="24"/>
          <w:highlight w:val="none"/>
        </w:rPr>
        <w:t xml:space="preserve">  6.2</w:t>
      </w:r>
      <w:r>
        <w:rPr>
          <w:rFonts w:hint="eastAsia" w:ascii="仿宋" w:hAnsi="仿宋" w:eastAsia="仿宋" w:cs="仿宋"/>
          <w:color w:val="auto"/>
          <w:sz w:val="24"/>
          <w:szCs w:val="24"/>
          <w:highlight w:val="none"/>
        </w:rPr>
        <w:t>各方通讯地址、收件人及其他送达方式</w:t>
      </w:r>
    </w:p>
    <w:p>
      <w:pPr>
        <w:numPr>
          <w:ilvl w:val="0"/>
          <w:numId w:val="33"/>
        </w:num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各方通讯地址和收件人：</w:t>
      </w:r>
    </w:p>
    <w:p>
      <w:pPr>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w:t>
      </w:r>
      <w:r>
        <w:rPr>
          <w:rFonts w:hint="eastAsia" w:ascii="仿宋" w:hAnsi="仿宋" w:eastAsia="仿宋" w:cs="仿宋"/>
          <w:color w:val="auto"/>
          <w:sz w:val="24"/>
          <w:szCs w:val="24"/>
          <w:highlight w:val="none"/>
          <w:u w:val="single"/>
        </w:rPr>
        <w:t>广州燃气集团有限公司</w:t>
      </w:r>
    </w:p>
    <w:p>
      <w:pPr>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通讯地址：</w:t>
      </w:r>
      <w:r>
        <w:rPr>
          <w:rFonts w:hint="eastAsia" w:ascii="仿宋" w:hAnsi="仿宋" w:eastAsia="仿宋" w:cs="仿宋"/>
          <w:color w:val="auto"/>
          <w:sz w:val="24"/>
          <w:szCs w:val="24"/>
          <w:highlight w:val="none"/>
          <w:u w:val="single"/>
        </w:rPr>
        <w:t>广州市天河区</w:t>
      </w:r>
      <w:r>
        <w:rPr>
          <w:rFonts w:hint="eastAsia" w:ascii="仿宋" w:hAnsi="仿宋" w:eastAsia="仿宋" w:cs="仿宋"/>
          <w:color w:val="auto"/>
          <w:sz w:val="24"/>
          <w:szCs w:val="24"/>
          <w:highlight w:val="none"/>
          <w:u w:val="single"/>
          <w:lang w:val="en-US" w:eastAsia="zh-CN"/>
        </w:rPr>
        <w:t>龙口中路77号首层</w:t>
      </w:r>
      <w:r>
        <w:rPr>
          <w:rFonts w:hint="eastAsia" w:ascii="仿宋" w:hAnsi="仿宋" w:eastAsia="仿宋" w:cs="仿宋"/>
          <w:color w:val="auto"/>
          <w:sz w:val="24"/>
          <w:szCs w:val="24"/>
          <w:highlight w:val="none"/>
        </w:rPr>
        <w:t xml:space="preserve">                </w:t>
      </w:r>
    </w:p>
    <w:p>
      <w:pPr>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收件人：</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邮政编码：</w:t>
      </w:r>
      <w:r>
        <w:rPr>
          <w:rFonts w:ascii="仿宋" w:hAnsi="仿宋" w:eastAsia="仿宋" w:cs="仿宋"/>
          <w:color w:val="auto"/>
          <w:sz w:val="24"/>
          <w:szCs w:val="24"/>
          <w:highlight w:val="none"/>
          <w:u w:val="single"/>
        </w:rPr>
        <w:t>/</w:t>
      </w:r>
    </w:p>
    <w:p>
      <w:pPr>
        <w:spacing w:line="360" w:lineRule="auto"/>
        <w:ind w:firstLine="240" w:firstLineChars="100"/>
        <w:rPr>
          <w:rFonts w:ascii="仿宋" w:hAnsi="仿宋"/>
          <w:color w:val="auto"/>
          <w:sz w:val="24"/>
          <w:highlight w:val="none"/>
          <w:u w:val="single"/>
        </w:rPr>
      </w:pP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u w:val="single"/>
        </w:rPr>
        <w:t xml:space="preserve">                                   </w:t>
      </w:r>
    </w:p>
    <w:p>
      <w:pPr>
        <w:spacing w:line="360" w:lineRule="auto"/>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通讯地址： </w:t>
      </w:r>
      <w:r>
        <w:rPr>
          <w:rFonts w:ascii="仿宋" w:hAnsi="仿宋" w:eastAsia="仿宋" w:cs="仿宋"/>
          <w:color w:val="auto"/>
          <w:sz w:val="24"/>
          <w:szCs w:val="24"/>
          <w:highlight w:val="none"/>
        </w:rPr>
        <w:t xml:space="preserve">       </w:t>
      </w:r>
    </w:p>
    <w:p>
      <w:pPr>
        <w:spacing w:line="360" w:lineRule="auto"/>
        <w:ind w:firstLine="240" w:firstLineChars="10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收件人：</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邮政编码：</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p>
    <w:p>
      <w:pPr>
        <w:spacing w:line="360" w:lineRule="auto"/>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监理人：</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spacing w:line="360" w:lineRule="auto"/>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通讯地址：</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spacing w:line="360" w:lineRule="auto"/>
        <w:ind w:firstLine="240" w:firstLineChars="100"/>
        <w:rPr>
          <w:rFonts w:ascii="仿宋" w:hAnsi="仿宋" w:eastAsia="仿宋"/>
          <w:color w:val="auto"/>
          <w:sz w:val="24"/>
          <w:szCs w:val="24"/>
          <w:highlight w:val="none"/>
        </w:rPr>
      </w:pPr>
      <w:r>
        <w:rPr>
          <w:rFonts w:hint="eastAsia" w:ascii="仿宋" w:hAnsi="仿宋" w:eastAsia="仿宋" w:cs="仿宋"/>
          <w:color w:val="auto"/>
          <w:sz w:val="24"/>
          <w:szCs w:val="24"/>
          <w:highlight w:val="none"/>
        </w:rPr>
        <w:t>收件人：</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邮政编码：</w:t>
      </w:r>
      <w:r>
        <w:rPr>
          <w:rFonts w:ascii="仿宋" w:hAnsi="仿宋" w:eastAsia="仿宋" w:cs="仿宋"/>
          <w:color w:val="auto"/>
          <w:sz w:val="24"/>
          <w:szCs w:val="24"/>
          <w:highlight w:val="none"/>
          <w:u w:val="single"/>
        </w:rPr>
        <w:t>/</w:t>
      </w:r>
    </w:p>
    <w:p>
      <w:pPr>
        <w:numPr>
          <w:ilvl w:val="0"/>
          <w:numId w:val="33"/>
        </w:numPr>
        <w:spacing w:line="360" w:lineRule="auto"/>
        <w:rPr>
          <w:rFonts w:ascii="仿宋" w:hAnsi="仿宋" w:eastAsia="仿宋"/>
          <w:color w:val="auto"/>
          <w:sz w:val="24"/>
          <w:szCs w:val="24"/>
          <w:highlight w:val="none"/>
        </w:rPr>
      </w:pPr>
      <w:r>
        <w:rPr>
          <w:rFonts w:hint="eastAsia" w:ascii="仿宋" w:hAnsi="仿宋" w:eastAsia="仿宋" w:cs="仿宋"/>
          <w:color w:val="auto"/>
          <w:sz w:val="24"/>
          <w:szCs w:val="24"/>
          <w:highlight w:val="none"/>
        </w:rPr>
        <w:t>视为送达的其他方式：</w:t>
      </w:r>
    </w:p>
    <w:p>
      <w:pPr>
        <w:ind w:left="120"/>
        <w:rPr>
          <w:rFonts w:ascii="仿宋" w:hAnsi="仿宋" w:eastAsia="仿宋"/>
          <w:color w:val="auto"/>
          <w:sz w:val="24"/>
          <w:szCs w:val="24"/>
          <w:highlight w:val="none"/>
        </w:rPr>
      </w:pPr>
    </w:p>
    <w:p>
      <w:pPr>
        <w:pStyle w:val="8"/>
        <w:tabs>
          <w:tab w:val="left" w:pos="420"/>
        </w:tabs>
        <w:spacing w:before="0" w:line="360" w:lineRule="auto"/>
        <w:rPr>
          <w:rFonts w:ascii="仿宋" w:hAnsi="仿宋" w:eastAsia="仿宋" w:cs="仿宋"/>
          <w:color w:val="auto"/>
          <w:highlight w:val="none"/>
        </w:rPr>
      </w:pPr>
      <w:bookmarkStart w:id="554" w:name="_Toc25653718"/>
      <w:bookmarkStart w:id="555" w:name="_Toc5466"/>
      <w:bookmarkStart w:id="556" w:name="_Toc18658"/>
      <w:bookmarkStart w:id="557" w:name="_Toc469384088"/>
      <w:r>
        <w:rPr>
          <w:rFonts w:ascii="仿宋" w:hAnsi="仿宋" w:eastAsia="仿宋" w:cs="仿宋"/>
          <w:b w:val="0"/>
          <w:bCs/>
          <w:color w:val="auto"/>
          <w:highlight w:val="none"/>
        </w:rPr>
        <w:t xml:space="preserve">13. </w:t>
      </w:r>
      <w:r>
        <w:rPr>
          <w:rFonts w:hint="eastAsia" w:ascii="仿宋" w:hAnsi="仿宋" w:eastAsia="仿宋" w:cs="仿宋"/>
          <w:b w:val="0"/>
          <w:bCs/>
          <w:color w:val="auto"/>
          <w:highlight w:val="none"/>
        </w:rPr>
        <w:t>交通运输</w:t>
      </w:r>
      <w:bookmarkEnd w:id="554"/>
      <w:bookmarkEnd w:id="555"/>
      <w:bookmarkEnd w:id="556"/>
      <w:bookmarkEnd w:id="557"/>
    </w:p>
    <w:p>
      <w:pPr>
        <w:spacing w:line="360" w:lineRule="auto"/>
        <w:ind w:left="120"/>
        <w:rPr>
          <w:rFonts w:ascii="仿宋" w:hAnsi="仿宋" w:eastAsia="仿宋"/>
          <w:color w:val="auto"/>
          <w:sz w:val="24"/>
          <w:szCs w:val="24"/>
          <w:highlight w:val="none"/>
          <w:u w:val="single"/>
        </w:rPr>
      </w:pPr>
      <w:r>
        <w:rPr>
          <w:rFonts w:ascii="仿宋" w:hAnsi="仿宋" w:eastAsia="仿宋" w:cs="仿宋"/>
          <w:color w:val="auto"/>
          <w:sz w:val="24"/>
          <w:szCs w:val="24"/>
          <w:highlight w:val="none"/>
        </w:rPr>
        <w:t xml:space="preserve">13.1 </w:t>
      </w:r>
      <w:r>
        <w:rPr>
          <w:rFonts w:hint="eastAsia" w:ascii="仿宋" w:hAnsi="仿宋" w:eastAsia="仿宋" w:cs="仿宋"/>
          <w:color w:val="auto"/>
          <w:sz w:val="24"/>
          <w:szCs w:val="24"/>
          <w:highlight w:val="none"/>
        </w:rPr>
        <w:t>办理道路通行权和修建场外设施的费用：</w:t>
      </w:r>
      <w:r>
        <w:rPr>
          <w:rFonts w:hint="eastAsia" w:ascii="仿宋" w:hAnsi="仿宋" w:eastAsia="仿宋" w:cs="仿宋"/>
          <w:color w:val="auto"/>
          <w:sz w:val="24"/>
          <w:szCs w:val="24"/>
          <w:highlight w:val="none"/>
          <w:u w:val="single"/>
        </w:rPr>
        <w:t>承包人承担。</w:t>
      </w:r>
    </w:p>
    <w:p>
      <w:pPr>
        <w:spacing w:line="360" w:lineRule="auto"/>
        <w:ind w:left="120"/>
        <w:rPr>
          <w:rFonts w:ascii="仿宋" w:hAnsi="仿宋" w:eastAsia="仿宋"/>
          <w:color w:val="auto"/>
          <w:sz w:val="24"/>
          <w:szCs w:val="24"/>
          <w:highlight w:val="none"/>
          <w:u w:val="single"/>
        </w:rPr>
      </w:pPr>
    </w:p>
    <w:p>
      <w:pPr>
        <w:ind w:left="12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13.2 </w:t>
      </w:r>
      <w:r>
        <w:rPr>
          <w:rFonts w:hint="eastAsia" w:ascii="仿宋" w:hAnsi="仿宋" w:eastAsia="仿宋" w:cs="仿宋"/>
          <w:color w:val="auto"/>
          <w:sz w:val="24"/>
          <w:szCs w:val="24"/>
          <w:highlight w:val="none"/>
        </w:rPr>
        <w:t>修建场内临时道路和交通设施的费用：</w:t>
      </w:r>
      <w:r>
        <w:rPr>
          <w:rFonts w:hint="eastAsia" w:ascii="仿宋" w:hAnsi="仿宋" w:eastAsia="仿宋" w:cs="仿宋"/>
          <w:color w:val="auto"/>
          <w:sz w:val="24"/>
          <w:szCs w:val="24"/>
          <w:highlight w:val="none"/>
          <w:u w:val="single"/>
        </w:rPr>
        <w:t>承包人承担。</w:t>
      </w:r>
    </w:p>
    <w:p>
      <w:pPr>
        <w:ind w:left="120"/>
        <w:rPr>
          <w:rFonts w:ascii="仿宋" w:hAnsi="仿宋" w:eastAsia="仿宋" w:cs="仿宋"/>
          <w:color w:val="auto"/>
          <w:sz w:val="24"/>
          <w:szCs w:val="24"/>
          <w:highlight w:val="none"/>
          <w:u w:val="single"/>
        </w:rPr>
      </w:pPr>
    </w:p>
    <w:p>
      <w:pPr>
        <w:ind w:left="12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13.4 </w:t>
      </w:r>
      <w:r>
        <w:rPr>
          <w:rFonts w:hint="eastAsia" w:ascii="仿宋" w:hAnsi="仿宋" w:eastAsia="仿宋" w:cs="仿宋"/>
          <w:color w:val="auto"/>
          <w:sz w:val="24"/>
          <w:szCs w:val="24"/>
          <w:highlight w:val="none"/>
        </w:rPr>
        <w:t>运输超大件和超重件的费用：</w:t>
      </w:r>
      <w:r>
        <w:rPr>
          <w:rFonts w:hint="eastAsia" w:ascii="仿宋" w:hAnsi="仿宋" w:eastAsia="仿宋" w:cs="仿宋"/>
          <w:color w:val="auto"/>
          <w:sz w:val="24"/>
          <w:szCs w:val="24"/>
          <w:highlight w:val="none"/>
          <w:u w:val="single"/>
        </w:rPr>
        <w:t>承包人承担。</w:t>
      </w:r>
    </w:p>
    <w:p>
      <w:pPr>
        <w:ind w:left="120"/>
        <w:rPr>
          <w:rFonts w:ascii="仿宋" w:hAnsi="仿宋" w:eastAsia="仿宋"/>
          <w:color w:val="auto"/>
          <w:sz w:val="24"/>
          <w:szCs w:val="24"/>
          <w:highlight w:val="none"/>
        </w:rPr>
      </w:pPr>
    </w:p>
    <w:p>
      <w:pPr>
        <w:pStyle w:val="8"/>
        <w:tabs>
          <w:tab w:val="left" w:pos="420"/>
        </w:tabs>
        <w:ind w:firstLine="240" w:firstLineChars="100"/>
        <w:jc w:val="center"/>
        <w:rPr>
          <w:rFonts w:ascii="仿宋" w:hAnsi="仿宋" w:eastAsia="仿宋"/>
          <w:b w:val="0"/>
          <w:bCs/>
          <w:color w:val="auto"/>
          <w:highlight w:val="none"/>
        </w:rPr>
      </w:pPr>
      <w:bookmarkStart w:id="558" w:name="_Toc469384089"/>
      <w:bookmarkStart w:id="559" w:name="_Toc25653719"/>
      <w:bookmarkStart w:id="560" w:name="_Toc30755"/>
      <w:bookmarkStart w:id="561" w:name="_Toc17580"/>
      <w:r>
        <w:rPr>
          <w:rFonts w:ascii="仿宋" w:hAnsi="仿宋" w:eastAsia="仿宋" w:cs="仿宋"/>
          <w:b w:val="0"/>
          <w:bCs/>
          <w:color w:val="auto"/>
          <w:highlight w:val="none"/>
        </w:rPr>
        <w:t xml:space="preserve">14. </w:t>
      </w:r>
      <w:r>
        <w:rPr>
          <w:rFonts w:hint="eastAsia" w:ascii="仿宋" w:hAnsi="仿宋" w:eastAsia="仿宋" w:cs="仿宋"/>
          <w:b w:val="0"/>
          <w:bCs/>
          <w:color w:val="auto"/>
          <w:highlight w:val="none"/>
        </w:rPr>
        <w:t>专项批准事件的签认</w:t>
      </w:r>
      <w:bookmarkEnd w:id="558"/>
      <w:bookmarkEnd w:id="559"/>
      <w:r>
        <w:rPr>
          <w:rFonts w:hint="eastAsia" w:ascii="仿宋" w:hAnsi="仿宋" w:eastAsia="仿宋" w:cs="仿宋"/>
          <w:b w:val="0"/>
          <w:bCs/>
          <w:color w:val="auto"/>
          <w:highlight w:val="none"/>
        </w:rPr>
        <w:t>：</w:t>
      </w:r>
      <w:bookmarkEnd w:id="560"/>
      <w:bookmarkEnd w:id="561"/>
    </w:p>
    <w:p>
      <w:pPr>
        <w:ind w:left="120"/>
        <w:rPr>
          <w:rFonts w:ascii="仿宋" w:hAnsi="仿宋" w:eastAsia="仿宋"/>
          <w:color w:val="auto"/>
          <w:sz w:val="24"/>
          <w:szCs w:val="24"/>
          <w:highlight w:val="none"/>
        </w:rPr>
      </w:pPr>
    </w:p>
    <w:p>
      <w:pPr>
        <w:ind w:left="1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14.2 </w:t>
      </w:r>
      <w:r>
        <w:rPr>
          <w:rFonts w:hint="eastAsia" w:ascii="仿宋" w:hAnsi="仿宋" w:eastAsia="仿宋" w:cs="仿宋"/>
          <w:color w:val="auto"/>
          <w:sz w:val="24"/>
          <w:szCs w:val="24"/>
          <w:highlight w:val="none"/>
        </w:rPr>
        <w:t>专项批准事件的签认人选</w:t>
      </w:r>
    </w:p>
    <w:p>
      <w:pPr>
        <w:ind w:left="120"/>
        <w:rPr>
          <w:rFonts w:ascii="仿宋" w:hAnsi="仿宋" w:eastAsia="仿宋"/>
          <w:color w:val="auto"/>
          <w:sz w:val="24"/>
          <w:szCs w:val="24"/>
          <w:highlight w:val="none"/>
        </w:rPr>
      </w:pPr>
    </w:p>
    <w:p>
      <w:pPr>
        <w:numPr>
          <w:ilvl w:val="0"/>
          <w:numId w:val="34"/>
        </w:numPr>
        <w:rPr>
          <w:rFonts w:ascii="仿宋" w:hAnsi="仿宋" w:eastAsia="仿宋"/>
          <w:color w:val="auto"/>
          <w:sz w:val="24"/>
          <w:szCs w:val="24"/>
          <w:highlight w:val="none"/>
        </w:rPr>
      </w:pPr>
      <w:r>
        <w:rPr>
          <w:rFonts w:hint="eastAsia" w:ascii="仿宋" w:hAnsi="仿宋" w:eastAsia="仿宋"/>
          <w:color w:val="auto"/>
          <w:sz w:val="24"/>
          <w:szCs w:val="24"/>
          <w:highlight w:val="none"/>
        </w:rPr>
        <w:t>发包人派驻的工程师（发包人代表）：</w:t>
      </w:r>
    </w:p>
    <w:p>
      <w:pPr>
        <w:ind w:left="240"/>
        <w:rPr>
          <w:rFonts w:ascii="仿宋" w:hAnsi="仿宋" w:eastAsia="仿宋" w:cs="仿宋"/>
          <w:color w:val="auto"/>
          <w:sz w:val="24"/>
          <w:szCs w:val="24"/>
          <w:highlight w:val="none"/>
        </w:rPr>
      </w:pPr>
    </w:p>
    <w:p>
      <w:pPr>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印章样式：</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签字样式：</w:t>
      </w:r>
    </w:p>
    <w:p>
      <w:pPr>
        <w:ind w:firstLine="480" w:firstLineChars="200"/>
        <w:rPr>
          <w:rFonts w:ascii="仿宋" w:hAnsi="仿宋" w:eastAsia="仿宋"/>
          <w:color w:val="auto"/>
          <w:sz w:val="24"/>
          <w:szCs w:val="24"/>
          <w:highlight w:val="none"/>
        </w:rPr>
      </w:pPr>
    </w:p>
    <w:p>
      <w:pPr>
        <w:numPr>
          <w:ilvl w:val="0"/>
          <w:numId w:val="34"/>
        </w:numPr>
        <w:rPr>
          <w:rFonts w:ascii="仿宋" w:hAnsi="仿宋" w:eastAsia="仿宋"/>
          <w:color w:val="auto"/>
          <w:sz w:val="24"/>
          <w:szCs w:val="24"/>
          <w:highlight w:val="none"/>
        </w:rPr>
      </w:pPr>
      <w:r>
        <w:rPr>
          <w:rFonts w:hint="eastAsia" w:ascii="仿宋" w:hAnsi="仿宋" w:eastAsia="仿宋" w:cs="仿宋"/>
          <w:color w:val="auto"/>
          <w:sz w:val="24"/>
          <w:szCs w:val="24"/>
          <w:highlight w:val="none"/>
        </w:rPr>
        <w:t>监理工程师：</w:t>
      </w:r>
    </w:p>
    <w:p>
      <w:pPr>
        <w:ind w:left="240"/>
        <w:rPr>
          <w:rFonts w:ascii="仿宋" w:hAnsi="仿宋" w:eastAsia="仿宋"/>
          <w:color w:val="auto"/>
          <w:sz w:val="24"/>
          <w:szCs w:val="24"/>
          <w:highlight w:val="none"/>
        </w:rPr>
      </w:pPr>
    </w:p>
    <w:p>
      <w:pPr>
        <w:ind w:left="24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印章样式：</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签字样式：</w:t>
      </w:r>
    </w:p>
    <w:p>
      <w:pPr>
        <w:ind w:left="240"/>
        <w:rPr>
          <w:rFonts w:ascii="仿宋" w:hAnsi="仿宋" w:eastAsia="仿宋"/>
          <w:color w:val="auto"/>
          <w:sz w:val="24"/>
          <w:szCs w:val="24"/>
          <w:highlight w:val="none"/>
        </w:rPr>
      </w:pPr>
    </w:p>
    <w:p>
      <w:pPr>
        <w:numPr>
          <w:ilvl w:val="0"/>
          <w:numId w:val="34"/>
        </w:numPr>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造价工程师</w:t>
      </w:r>
      <w:r>
        <w:rPr>
          <w:rFonts w:ascii="仿宋" w:hAnsi="仿宋" w:eastAsia="仿宋" w:cs="仿宋"/>
          <w:color w:val="auto"/>
          <w:sz w:val="24"/>
          <w:szCs w:val="24"/>
          <w:highlight w:val="none"/>
        </w:rPr>
        <w:t>/造价管理员：</w:t>
      </w:r>
    </w:p>
    <w:p>
      <w:pPr>
        <w:ind w:left="240"/>
        <w:rPr>
          <w:rFonts w:ascii="仿宋" w:hAnsi="仿宋" w:eastAsia="仿宋"/>
          <w:color w:val="auto"/>
          <w:sz w:val="24"/>
          <w:szCs w:val="24"/>
          <w:highlight w:val="none"/>
        </w:rPr>
      </w:pPr>
    </w:p>
    <w:p>
      <w:pPr>
        <w:ind w:left="239" w:leftChars="114" w:firstLine="120" w:firstLineChars="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hint="eastAsia" w:ascii="宋体" w:hAnsi="宋体"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   印章样式： </w:t>
      </w:r>
      <w:r>
        <w:rPr>
          <w:rFonts w:hint="eastAsia" w:ascii="宋体" w:hAnsi="宋体"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  签字样式：</w:t>
      </w:r>
      <w:r>
        <w:rPr>
          <w:rFonts w:hint="eastAsia" w:ascii="宋体" w:hAnsi="宋体" w:cs="仿宋"/>
          <w:color w:val="auto"/>
          <w:sz w:val="24"/>
          <w:szCs w:val="24"/>
          <w:highlight w:val="none"/>
          <w:u w:val="single"/>
        </w:rPr>
        <w:t xml:space="preserve">   /   </w:t>
      </w:r>
    </w:p>
    <w:p>
      <w:pPr>
        <w:ind w:left="239" w:leftChars="114" w:firstLine="120" w:firstLineChars="50"/>
        <w:rPr>
          <w:rFonts w:ascii="仿宋" w:hAnsi="仿宋" w:eastAsia="仿宋"/>
          <w:color w:val="auto"/>
          <w:sz w:val="24"/>
          <w:szCs w:val="24"/>
          <w:highlight w:val="none"/>
        </w:rPr>
      </w:pPr>
    </w:p>
    <w:p>
      <w:pPr>
        <w:numPr>
          <w:ilvl w:val="0"/>
          <w:numId w:val="34"/>
        </w:numPr>
        <w:rPr>
          <w:rFonts w:ascii="仿宋" w:hAnsi="仿宋" w:eastAsia="仿宋"/>
          <w:color w:val="auto"/>
          <w:sz w:val="24"/>
          <w:szCs w:val="24"/>
          <w:highlight w:val="none"/>
        </w:rPr>
      </w:pPr>
      <w:r>
        <w:rPr>
          <w:rFonts w:hint="eastAsia" w:ascii="仿宋" w:hAnsi="仿宋" w:eastAsia="仿宋" w:cs="仿宋"/>
          <w:color w:val="auto"/>
          <w:sz w:val="24"/>
          <w:szCs w:val="24"/>
          <w:highlight w:val="none"/>
        </w:rPr>
        <w:t>建造师：</w:t>
      </w:r>
    </w:p>
    <w:p>
      <w:pPr>
        <w:ind w:left="240"/>
        <w:rPr>
          <w:rFonts w:ascii="仿宋" w:hAnsi="仿宋" w:eastAsia="仿宋"/>
          <w:color w:val="auto"/>
          <w:sz w:val="24"/>
          <w:szCs w:val="24"/>
          <w:highlight w:val="none"/>
        </w:rPr>
      </w:pPr>
    </w:p>
    <w:p>
      <w:pPr>
        <w:ind w:left="239" w:leftChars="114" w:firstLine="120" w:firstLine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姓名：</w:t>
      </w:r>
      <w:r>
        <w:rPr>
          <w:rFonts w:hint="eastAsia" w:ascii="宋体" w:hAnsi="宋体"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   印章样式： </w:t>
      </w:r>
      <w:r>
        <w:rPr>
          <w:rFonts w:hint="eastAsia" w:ascii="宋体" w:hAnsi="宋体"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  签字样式：</w:t>
      </w:r>
      <w:r>
        <w:rPr>
          <w:rFonts w:hint="eastAsia" w:ascii="宋体" w:hAnsi="宋体" w:cs="仿宋"/>
          <w:color w:val="auto"/>
          <w:sz w:val="24"/>
          <w:szCs w:val="24"/>
          <w:highlight w:val="none"/>
          <w:u w:val="single"/>
        </w:rPr>
        <w:t xml:space="preserve">   /    </w:t>
      </w:r>
    </w:p>
    <w:p>
      <w:pPr>
        <w:ind w:left="239" w:leftChars="114" w:firstLine="120" w:firstLineChars="50"/>
        <w:rPr>
          <w:rFonts w:ascii="仿宋" w:hAnsi="仿宋" w:eastAsia="仿宋"/>
          <w:color w:val="auto"/>
          <w:sz w:val="24"/>
          <w:szCs w:val="24"/>
          <w:highlight w:val="none"/>
        </w:rPr>
      </w:pPr>
    </w:p>
    <w:p>
      <w:pPr>
        <w:ind w:left="239" w:leftChars="114" w:firstLine="120" w:firstLineChars="50"/>
        <w:rPr>
          <w:rFonts w:ascii="仿宋" w:hAnsi="仿宋" w:eastAsia="仿宋"/>
          <w:color w:val="auto"/>
          <w:sz w:val="24"/>
          <w:szCs w:val="24"/>
          <w:highlight w:val="none"/>
        </w:rPr>
      </w:pPr>
    </w:p>
    <w:p>
      <w:pPr>
        <w:pStyle w:val="8"/>
        <w:tabs>
          <w:tab w:val="left" w:pos="420"/>
        </w:tabs>
        <w:rPr>
          <w:rFonts w:ascii="仿宋" w:hAnsi="仿宋" w:eastAsia="仿宋"/>
          <w:b w:val="0"/>
          <w:bCs/>
          <w:color w:val="auto"/>
          <w:highlight w:val="none"/>
        </w:rPr>
      </w:pPr>
      <w:bookmarkStart w:id="562" w:name="_Toc18215"/>
      <w:bookmarkStart w:id="563" w:name="_Toc469384090"/>
      <w:bookmarkStart w:id="564" w:name="_Toc6647"/>
      <w:bookmarkStart w:id="565" w:name="_Toc25653720"/>
      <w:r>
        <w:rPr>
          <w:rFonts w:ascii="仿宋" w:hAnsi="仿宋" w:eastAsia="仿宋" w:cs="仿宋"/>
          <w:b w:val="0"/>
          <w:bCs/>
          <w:color w:val="auto"/>
          <w:highlight w:val="none"/>
        </w:rPr>
        <w:t xml:space="preserve">19. </w:t>
      </w:r>
      <w:r>
        <w:rPr>
          <w:rFonts w:hint="eastAsia" w:ascii="仿宋" w:hAnsi="仿宋" w:eastAsia="仿宋" w:cs="仿宋"/>
          <w:b w:val="0"/>
          <w:bCs/>
          <w:color w:val="auto"/>
          <w:highlight w:val="none"/>
        </w:rPr>
        <w:t>发包人</w:t>
      </w:r>
      <w:bookmarkEnd w:id="562"/>
      <w:bookmarkEnd w:id="563"/>
      <w:bookmarkEnd w:id="564"/>
      <w:bookmarkEnd w:id="565"/>
    </w:p>
    <w:p>
      <w:pPr>
        <w:rPr>
          <w:rFonts w:ascii="仿宋" w:hAnsi="仿宋" w:eastAsia="仿宋"/>
          <w:color w:val="auto"/>
          <w:sz w:val="24"/>
          <w:szCs w:val="24"/>
          <w:highlight w:val="none"/>
        </w:rPr>
      </w:pPr>
    </w:p>
    <w:p>
      <w:pPr>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19.2 </w:t>
      </w:r>
      <w:r>
        <w:rPr>
          <w:rFonts w:hint="eastAsia" w:ascii="仿宋" w:hAnsi="仿宋" w:eastAsia="仿宋" w:cs="仿宋"/>
          <w:color w:val="auto"/>
          <w:sz w:val="24"/>
          <w:szCs w:val="24"/>
          <w:highlight w:val="none"/>
        </w:rPr>
        <w:t>发包人完成下列工作的约定</w:t>
      </w:r>
    </w:p>
    <w:p>
      <w:pPr>
        <w:ind w:firstLine="120" w:firstLineChars="50"/>
        <w:rPr>
          <w:rFonts w:ascii="仿宋" w:hAnsi="仿宋" w:eastAsia="仿宋"/>
          <w:color w:val="auto"/>
          <w:sz w:val="24"/>
          <w:szCs w:val="24"/>
          <w:highlight w:val="none"/>
        </w:rPr>
      </w:pPr>
    </w:p>
    <w:p>
      <w:pPr>
        <w:numPr>
          <w:ilvl w:val="0"/>
          <w:numId w:val="35"/>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办理土地征用、拆迁、平整施工场地等工作的时间：</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rPr>
        <w:t>。</w:t>
      </w:r>
    </w:p>
    <w:p>
      <w:pPr>
        <w:numPr>
          <w:ilvl w:val="255"/>
          <w:numId w:val="0"/>
        </w:numPr>
        <w:ind w:left="120"/>
        <w:rPr>
          <w:rFonts w:ascii="仿宋" w:hAnsi="仿宋" w:eastAsia="仿宋" w:cs="仿宋"/>
          <w:color w:val="auto"/>
          <w:sz w:val="24"/>
          <w:szCs w:val="24"/>
          <w:highlight w:val="none"/>
          <w:u w:val="single"/>
        </w:rPr>
      </w:pPr>
    </w:p>
    <w:p>
      <w:pPr>
        <w:rPr>
          <w:rFonts w:ascii="仿宋" w:hAnsi="仿宋" w:eastAsia="仿宋"/>
          <w:color w:val="auto"/>
          <w:sz w:val="24"/>
          <w:szCs w:val="24"/>
          <w:highlight w:val="none"/>
        </w:rPr>
      </w:pPr>
    </w:p>
    <w:p>
      <w:pPr>
        <w:numPr>
          <w:ilvl w:val="0"/>
          <w:numId w:val="35"/>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完成施工所需水、电、通讯线路接驳的时间及地点：</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承包人自行负责</w:t>
      </w:r>
      <w:r>
        <w:rPr>
          <w:rFonts w:hint="eastAsia" w:ascii="仿宋" w:hAnsi="仿宋" w:eastAsia="仿宋" w:cs="仿宋"/>
          <w:color w:val="auto"/>
          <w:sz w:val="24"/>
          <w:szCs w:val="24"/>
          <w:highlight w:val="none"/>
          <w:u w:val="single"/>
          <w:lang w:eastAsia="zh-CN"/>
        </w:rPr>
        <w:t>）</w:t>
      </w:r>
    </w:p>
    <w:p>
      <w:pPr>
        <w:rPr>
          <w:rFonts w:ascii="仿宋" w:hAnsi="仿宋" w:eastAsia="仿宋"/>
          <w:color w:val="auto"/>
          <w:sz w:val="24"/>
          <w:szCs w:val="24"/>
          <w:highlight w:val="none"/>
          <w:u w:val="single"/>
        </w:rPr>
      </w:pPr>
    </w:p>
    <w:p>
      <w:pPr>
        <w:numPr>
          <w:ilvl w:val="0"/>
          <w:numId w:val="35"/>
        </w:numPr>
        <w:rPr>
          <w:rFonts w:ascii="仿宋" w:hAnsi="仿宋" w:eastAsia="仿宋"/>
          <w:color w:val="auto"/>
          <w:sz w:val="24"/>
          <w:szCs w:val="24"/>
          <w:highlight w:val="none"/>
        </w:rPr>
      </w:pPr>
      <w:r>
        <w:rPr>
          <w:rFonts w:hint="eastAsia" w:ascii="仿宋" w:hAnsi="仿宋" w:eastAsia="仿宋" w:cs="仿宋"/>
          <w:color w:val="auto"/>
          <w:sz w:val="24"/>
          <w:szCs w:val="24"/>
          <w:highlight w:val="none"/>
        </w:rPr>
        <w:t>开通施工现场与城乡公共道路间的通道的时间：</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承包人自行负责</w:t>
      </w:r>
      <w:r>
        <w:rPr>
          <w:rFonts w:hint="eastAsia" w:ascii="仿宋" w:hAnsi="仿宋" w:eastAsia="仿宋" w:cs="仿宋"/>
          <w:color w:val="auto"/>
          <w:sz w:val="24"/>
          <w:szCs w:val="24"/>
          <w:highlight w:val="none"/>
          <w:u w:val="single"/>
          <w:lang w:eastAsia="zh-CN"/>
        </w:rPr>
        <w:t>）</w:t>
      </w:r>
    </w:p>
    <w:p>
      <w:pPr>
        <w:rPr>
          <w:rFonts w:ascii="仿宋" w:hAnsi="仿宋" w:eastAsia="仿宋"/>
          <w:color w:val="auto"/>
          <w:sz w:val="24"/>
          <w:szCs w:val="24"/>
          <w:highlight w:val="none"/>
        </w:rPr>
      </w:pPr>
    </w:p>
    <w:p>
      <w:pPr>
        <w:numPr>
          <w:ilvl w:val="0"/>
          <w:numId w:val="35"/>
        </w:numPr>
        <w:rPr>
          <w:rFonts w:ascii="仿宋" w:hAnsi="仿宋" w:eastAsia="仿宋"/>
          <w:color w:val="auto"/>
          <w:sz w:val="24"/>
          <w:szCs w:val="24"/>
          <w:highlight w:val="none"/>
        </w:rPr>
      </w:pPr>
      <w:r>
        <w:rPr>
          <w:rFonts w:hint="eastAsia" w:ascii="仿宋" w:hAnsi="仿宋" w:eastAsia="仿宋" w:cs="仿宋"/>
          <w:color w:val="auto"/>
          <w:sz w:val="24"/>
          <w:szCs w:val="24"/>
          <w:highlight w:val="none"/>
        </w:rPr>
        <w:t>提供施工所需的有关资料的时间：</w:t>
      </w:r>
      <w:r>
        <w:rPr>
          <w:rFonts w:hint="eastAsia" w:ascii="仿宋" w:hAnsi="仿宋" w:eastAsia="仿宋" w:cs="仿宋"/>
          <w:color w:val="auto"/>
          <w:sz w:val="24"/>
          <w:szCs w:val="24"/>
          <w:highlight w:val="none"/>
          <w:u w:val="single"/>
        </w:rPr>
        <w:t>由发包人发出书面通知为准。</w:t>
      </w:r>
    </w:p>
    <w:p>
      <w:pPr>
        <w:rPr>
          <w:rFonts w:ascii="仿宋" w:hAnsi="仿宋" w:eastAsia="仿宋"/>
          <w:color w:val="auto"/>
          <w:sz w:val="24"/>
          <w:szCs w:val="24"/>
          <w:highlight w:val="none"/>
        </w:rPr>
      </w:pPr>
    </w:p>
    <w:p>
      <w:pPr>
        <w:numPr>
          <w:ilvl w:val="0"/>
          <w:numId w:val="35"/>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办理施工所需的有关证件和批准手续的时间：</w:t>
      </w:r>
      <w:r>
        <w:rPr>
          <w:rFonts w:hint="eastAsia" w:ascii="仿宋" w:hAnsi="仿宋" w:eastAsia="仿宋" w:cs="仿宋"/>
          <w:color w:val="auto"/>
          <w:sz w:val="24"/>
          <w:szCs w:val="24"/>
          <w:highlight w:val="none"/>
          <w:u w:val="single"/>
        </w:rPr>
        <w:t>由发包人发出书面通知为准。</w:t>
      </w:r>
    </w:p>
    <w:p>
      <w:pPr>
        <w:rPr>
          <w:rFonts w:ascii="仿宋" w:hAnsi="仿宋" w:eastAsia="仿宋"/>
          <w:color w:val="auto"/>
          <w:sz w:val="24"/>
          <w:szCs w:val="24"/>
          <w:highlight w:val="none"/>
          <w:u w:val="single"/>
        </w:rPr>
      </w:pPr>
    </w:p>
    <w:p>
      <w:pPr>
        <w:numPr>
          <w:ilvl w:val="0"/>
          <w:numId w:val="35"/>
        </w:num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现场交验的时间：</w:t>
      </w:r>
      <w:r>
        <w:rPr>
          <w:rFonts w:hint="eastAsia" w:ascii="仿宋" w:hAnsi="仿宋" w:eastAsia="仿宋" w:cs="仿宋"/>
          <w:color w:val="auto"/>
          <w:sz w:val="24"/>
          <w:szCs w:val="24"/>
          <w:highlight w:val="none"/>
          <w:u w:val="single"/>
        </w:rPr>
        <w:t>由发包人发出书面通知为准。</w:t>
      </w:r>
    </w:p>
    <w:p>
      <w:pPr>
        <w:rPr>
          <w:rFonts w:ascii="仿宋" w:hAnsi="仿宋" w:eastAsia="仿宋"/>
          <w:color w:val="auto"/>
          <w:sz w:val="24"/>
          <w:szCs w:val="24"/>
          <w:highlight w:val="none"/>
        </w:rPr>
      </w:pPr>
    </w:p>
    <w:p>
      <w:pPr>
        <w:numPr>
          <w:ilvl w:val="0"/>
          <w:numId w:val="35"/>
        </w:numPr>
        <w:rPr>
          <w:rFonts w:ascii="仿宋" w:hAnsi="仿宋" w:eastAsia="仿宋"/>
          <w:color w:val="auto"/>
          <w:sz w:val="24"/>
          <w:szCs w:val="24"/>
          <w:highlight w:val="none"/>
        </w:rPr>
      </w:pPr>
      <w:r>
        <w:rPr>
          <w:rFonts w:hint="eastAsia" w:ascii="仿宋" w:hAnsi="仿宋" w:eastAsia="仿宋" w:cs="仿宋"/>
          <w:color w:val="auto"/>
          <w:sz w:val="24"/>
          <w:szCs w:val="24"/>
          <w:highlight w:val="none"/>
        </w:rPr>
        <w:t>提供标准与规范的时间：</w:t>
      </w:r>
      <w:r>
        <w:rPr>
          <w:rFonts w:hint="eastAsia" w:ascii="仿宋" w:hAnsi="仿宋" w:eastAsia="仿宋" w:cs="仿宋"/>
          <w:color w:val="auto"/>
          <w:sz w:val="24"/>
          <w:szCs w:val="24"/>
          <w:highlight w:val="none"/>
          <w:u w:val="single"/>
        </w:rPr>
        <w:t>开工前提供设计图纸、设计文件，标准与规范由承包人自行收集。</w:t>
      </w:r>
    </w:p>
    <w:p>
      <w:pPr>
        <w:rPr>
          <w:rFonts w:ascii="仿宋" w:hAnsi="仿宋" w:eastAsia="仿宋"/>
          <w:color w:val="auto"/>
          <w:sz w:val="24"/>
          <w:szCs w:val="24"/>
          <w:highlight w:val="none"/>
        </w:rPr>
      </w:pPr>
    </w:p>
    <w:p>
      <w:pPr>
        <w:numPr>
          <w:ilvl w:val="0"/>
          <w:numId w:val="35"/>
        </w:numPr>
        <w:rPr>
          <w:rFonts w:ascii="仿宋" w:hAnsi="仿宋" w:eastAsia="仿宋"/>
          <w:color w:val="auto"/>
          <w:sz w:val="24"/>
          <w:szCs w:val="24"/>
          <w:highlight w:val="none"/>
        </w:rPr>
      </w:pPr>
      <w:r>
        <w:rPr>
          <w:rFonts w:hint="eastAsia" w:ascii="仿宋" w:hAnsi="仿宋" w:eastAsia="仿宋" w:cs="仿宋"/>
          <w:color w:val="auto"/>
          <w:sz w:val="24"/>
          <w:szCs w:val="24"/>
          <w:highlight w:val="none"/>
        </w:rPr>
        <w:t>组织图纸会审和设计交底的时间：</w:t>
      </w:r>
      <w:r>
        <w:rPr>
          <w:rFonts w:hint="eastAsia" w:ascii="仿宋" w:hAnsi="仿宋" w:eastAsia="仿宋" w:cs="仿宋"/>
          <w:color w:val="auto"/>
          <w:sz w:val="24"/>
          <w:szCs w:val="24"/>
          <w:highlight w:val="none"/>
          <w:u w:val="single"/>
        </w:rPr>
        <w:t>开工前由发包人组织承包人、设计、监理等单位进行图纸会审、设计交底，承包人应做好会审、交底纪要。</w:t>
      </w:r>
    </w:p>
    <w:p>
      <w:pPr>
        <w:rPr>
          <w:rFonts w:ascii="仿宋" w:hAnsi="仿宋" w:eastAsia="仿宋" w:cs="仿宋"/>
          <w:color w:val="auto"/>
          <w:sz w:val="24"/>
          <w:szCs w:val="24"/>
          <w:highlight w:val="none"/>
          <w:u w:val="single"/>
        </w:rPr>
      </w:pPr>
    </w:p>
    <w:p>
      <w:pPr>
        <w:ind w:left="720" w:hanging="720" w:hangingChars="3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9）协调处理施工周围场地问题和邻近建筑物等保护工作的约定：</w:t>
      </w:r>
      <w:r>
        <w:rPr>
          <w:rFonts w:hint="eastAsia" w:ascii="仿宋" w:hAnsi="仿宋" w:eastAsia="仿宋"/>
          <w:color w:val="auto"/>
          <w:sz w:val="24"/>
          <w:szCs w:val="24"/>
          <w:highlight w:val="none"/>
          <w:u w:val="single"/>
        </w:rPr>
        <w:t>发包人负责向公路、交警等部门办理开挖许可证相关手续。</w:t>
      </w:r>
    </w:p>
    <w:p>
      <w:pPr>
        <w:ind w:left="120"/>
        <w:rPr>
          <w:rFonts w:ascii="仿宋" w:hAnsi="仿宋" w:eastAsia="仿宋" w:cs="仿宋"/>
          <w:color w:val="auto"/>
          <w:sz w:val="24"/>
          <w:szCs w:val="24"/>
          <w:highlight w:val="none"/>
        </w:rPr>
      </w:pPr>
    </w:p>
    <w:p>
      <w:pPr>
        <w:ind w:left="120"/>
        <w:rPr>
          <w:rFonts w:ascii="仿宋" w:hAnsi="仿宋" w:eastAsia="仿宋" w:cs="仿宋"/>
          <w:color w:val="auto"/>
          <w:sz w:val="24"/>
          <w:szCs w:val="24"/>
          <w:highlight w:val="none"/>
        </w:rPr>
      </w:pPr>
    </w:p>
    <w:p>
      <w:pPr>
        <w:ind w:left="12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19.3 </w:t>
      </w:r>
      <w:r>
        <w:rPr>
          <w:rFonts w:hint="eastAsia" w:ascii="仿宋" w:hAnsi="仿宋" w:eastAsia="仿宋" w:cs="仿宋"/>
          <w:color w:val="auto"/>
          <w:sz w:val="24"/>
          <w:szCs w:val="24"/>
          <w:highlight w:val="none"/>
        </w:rPr>
        <w:t>提供施工场地的时间：</w:t>
      </w:r>
      <w:r>
        <w:rPr>
          <w:rFonts w:hint="eastAsia" w:ascii="仿宋" w:hAnsi="仿宋" w:eastAsia="仿宋" w:cs="仿宋"/>
          <w:color w:val="auto"/>
          <w:sz w:val="24"/>
          <w:szCs w:val="24"/>
          <w:highlight w:val="none"/>
          <w:u w:val="single"/>
        </w:rPr>
        <w:t>由发包人发出书面通知为准。</w:t>
      </w:r>
    </w:p>
    <w:p>
      <w:pPr>
        <w:ind w:left="120"/>
        <w:rPr>
          <w:rFonts w:ascii="仿宋" w:hAnsi="仿宋" w:eastAsia="仿宋" w:cs="仿宋"/>
          <w:color w:val="auto"/>
          <w:sz w:val="24"/>
          <w:szCs w:val="24"/>
          <w:highlight w:val="none"/>
          <w:u w:val="single"/>
        </w:rPr>
      </w:pPr>
    </w:p>
    <w:p>
      <w:pPr>
        <w:ind w:left="120"/>
        <w:rPr>
          <w:rFonts w:ascii="仿宋" w:hAnsi="仿宋" w:eastAsia="仿宋"/>
          <w:color w:val="auto"/>
          <w:sz w:val="24"/>
          <w:szCs w:val="24"/>
          <w:highlight w:val="none"/>
        </w:rPr>
      </w:pPr>
    </w:p>
    <w:p>
      <w:pPr>
        <w:ind w:left="120"/>
        <w:rPr>
          <w:rFonts w:ascii="仿宋" w:hAnsi="仿宋" w:eastAsia="仿宋"/>
          <w:color w:val="auto"/>
          <w:sz w:val="24"/>
          <w:szCs w:val="24"/>
          <w:highlight w:val="none"/>
        </w:rPr>
      </w:pPr>
      <w:r>
        <w:rPr>
          <w:rFonts w:ascii="仿宋" w:hAnsi="仿宋" w:eastAsia="仿宋" w:cs="仿宋"/>
          <w:color w:val="auto"/>
          <w:sz w:val="24"/>
          <w:szCs w:val="24"/>
          <w:highlight w:val="none"/>
        </w:rPr>
        <w:t xml:space="preserve">19.4 </w:t>
      </w:r>
      <w:r>
        <w:rPr>
          <w:rFonts w:hint="eastAsia" w:ascii="仿宋" w:hAnsi="仿宋" w:eastAsia="仿宋" w:cs="仿宋"/>
          <w:color w:val="auto"/>
          <w:sz w:val="24"/>
          <w:szCs w:val="24"/>
          <w:highlight w:val="none"/>
        </w:rPr>
        <w:t>支付款项</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p>
    <w:p>
      <w:pPr>
        <w:ind w:firstLine="360" w:firstLineChars="15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按专用条款第</w:t>
      </w:r>
      <w:r>
        <w:rPr>
          <w:rFonts w:ascii="仿宋" w:hAnsi="仿宋" w:eastAsia="仿宋"/>
          <w:color w:val="auto"/>
          <w:kern w:val="0"/>
          <w:sz w:val="24"/>
          <w:szCs w:val="24"/>
          <w:highlight w:val="none"/>
          <w:u w:val="single"/>
        </w:rPr>
        <w:t>80.3、第81.1、第</w:t>
      </w:r>
      <w:r>
        <w:rPr>
          <w:rFonts w:hint="eastAsia" w:ascii="仿宋" w:hAnsi="仿宋" w:eastAsia="仿宋"/>
          <w:color w:val="auto"/>
          <w:kern w:val="0"/>
          <w:sz w:val="24"/>
          <w:szCs w:val="24"/>
          <w:highlight w:val="none"/>
          <w:u w:val="single"/>
        </w:rPr>
        <w:t>83.1</w:t>
      </w:r>
      <w:r>
        <w:rPr>
          <w:rFonts w:ascii="仿宋" w:hAnsi="仿宋" w:eastAsia="仿宋"/>
          <w:color w:val="auto"/>
          <w:kern w:val="0"/>
          <w:sz w:val="24"/>
          <w:szCs w:val="24"/>
          <w:highlight w:val="none"/>
          <w:u w:val="single"/>
        </w:rPr>
        <w:t>款支付，承包人提交工程进度完成情况和支付申请，发包人核实进度和审批价款后、并收到承包人开具发票15个工作日内，发包人向承包人支付资金。</w:t>
      </w:r>
    </w:p>
    <w:p>
      <w:pPr>
        <w:spacing w:line="360" w:lineRule="auto"/>
        <w:ind w:firstLine="120" w:firstLineChars="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）工程款支付方式</w:t>
      </w:r>
    </w:p>
    <w:p>
      <w:pPr>
        <w:spacing w:line="360" w:lineRule="auto"/>
        <w:ind w:firstLine="240" w:firstLineChars="1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按协议书所注明的银行账户转账。</w:t>
      </w:r>
    </w:p>
    <w:p>
      <w:pPr>
        <w:rPr>
          <w:rFonts w:ascii="仿宋" w:hAnsi="仿宋" w:eastAsia="仿宋"/>
          <w:color w:val="auto"/>
          <w:kern w:val="0"/>
          <w:sz w:val="24"/>
          <w:szCs w:val="24"/>
          <w:highlight w:val="none"/>
        </w:rPr>
      </w:pP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566" w:name="_Toc25653721"/>
      <w:bookmarkStart w:id="567" w:name="_Toc10065"/>
      <w:bookmarkStart w:id="568" w:name="_Toc24867"/>
      <w:bookmarkStart w:id="569" w:name="_Toc469384091"/>
      <w:r>
        <w:rPr>
          <w:rFonts w:ascii="仿宋" w:hAnsi="仿宋" w:eastAsia="仿宋" w:cs="仿宋"/>
          <w:b w:val="0"/>
          <w:bCs/>
          <w:color w:val="auto"/>
          <w:highlight w:val="none"/>
        </w:rPr>
        <w:t xml:space="preserve">20. </w:t>
      </w:r>
      <w:r>
        <w:rPr>
          <w:rFonts w:hint="eastAsia" w:ascii="仿宋" w:hAnsi="仿宋" w:eastAsia="仿宋" w:cs="仿宋"/>
          <w:b w:val="0"/>
          <w:bCs/>
          <w:color w:val="auto"/>
          <w:highlight w:val="none"/>
        </w:rPr>
        <w:t>承包人</w:t>
      </w:r>
      <w:bookmarkEnd w:id="566"/>
      <w:bookmarkEnd w:id="567"/>
      <w:bookmarkEnd w:id="568"/>
      <w:bookmarkEnd w:id="569"/>
    </w:p>
    <w:p>
      <w:pPr>
        <w:rPr>
          <w:rFonts w:ascii="仿宋" w:hAnsi="仿宋" w:eastAsia="仿宋"/>
          <w:b/>
          <w:bCs/>
          <w:color w:val="auto"/>
          <w:kern w:val="0"/>
          <w:sz w:val="24"/>
          <w:szCs w:val="24"/>
          <w:highlight w:val="none"/>
        </w:rPr>
      </w:pPr>
    </w:p>
    <w:p>
      <w:pPr>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20.1 </w:t>
      </w:r>
      <w:r>
        <w:rPr>
          <w:rFonts w:hint="eastAsia" w:ascii="仿宋" w:hAnsi="仿宋" w:eastAsia="仿宋" w:cs="仿宋"/>
          <w:color w:val="auto"/>
          <w:kern w:val="0"/>
          <w:sz w:val="24"/>
          <w:szCs w:val="24"/>
          <w:highlight w:val="none"/>
        </w:rPr>
        <w:t>遵守法律</w:t>
      </w:r>
    </w:p>
    <w:p>
      <w:pPr>
        <w:rPr>
          <w:rFonts w:ascii="仿宋" w:hAnsi="仿宋" w:eastAsia="仿宋"/>
          <w:b/>
          <w:bCs/>
          <w:color w:val="auto"/>
          <w:kern w:val="0"/>
          <w:sz w:val="24"/>
          <w:szCs w:val="24"/>
          <w:highlight w:val="none"/>
        </w:rPr>
      </w:pPr>
    </w:p>
    <w:p>
      <w:pPr>
        <w:spacing w:line="360" w:lineRule="auto"/>
        <w:rPr>
          <w:rFonts w:ascii="仿宋" w:hAnsi="仿宋" w:eastAsia="仿宋"/>
          <w:color w:val="auto"/>
          <w:kern w:val="0"/>
          <w:sz w:val="24"/>
          <w:szCs w:val="24"/>
          <w:highlight w:val="none"/>
          <w:u w:val="single"/>
        </w:rPr>
      </w:pPr>
      <w:r>
        <w:rPr>
          <w:rFonts w:hint="eastAsia" w:ascii="仿宋" w:hAnsi="仿宋" w:eastAsia="仿宋" w:cs="仿宋"/>
          <w:color w:val="auto"/>
          <w:kern w:val="0"/>
          <w:sz w:val="24"/>
          <w:szCs w:val="24"/>
          <w:highlight w:val="none"/>
        </w:rPr>
        <w:t>承包人在本项目发包人的工程项目中存在通用条款</w:t>
      </w:r>
      <w:r>
        <w:rPr>
          <w:rFonts w:ascii="仿宋" w:hAnsi="仿宋" w:eastAsia="仿宋" w:cs="仿宋"/>
          <w:color w:val="auto"/>
          <w:kern w:val="0"/>
          <w:sz w:val="24"/>
          <w:szCs w:val="24"/>
          <w:highlight w:val="none"/>
        </w:rPr>
        <w:t>20.1</w:t>
      </w:r>
      <w:r>
        <w:rPr>
          <w:rFonts w:hint="eastAsia" w:ascii="仿宋" w:hAnsi="仿宋" w:eastAsia="仿宋" w:cs="仿宋"/>
          <w:color w:val="auto"/>
          <w:kern w:val="0"/>
          <w:sz w:val="24"/>
          <w:szCs w:val="24"/>
          <w:highlight w:val="none"/>
        </w:rPr>
        <w:t>所列行为的，将被拒绝参与发包人后续工程投标。拒绝投标时限：</w:t>
      </w:r>
      <w:r>
        <w:rPr>
          <w:rFonts w:ascii="仿宋" w:hAnsi="仿宋" w:eastAsia="仿宋" w:cs="仿宋"/>
          <w:color w:val="auto"/>
          <w:kern w:val="0"/>
          <w:sz w:val="24"/>
          <w:szCs w:val="24"/>
          <w:highlight w:val="none"/>
          <w:u w:val="single"/>
        </w:rPr>
        <w:t>2年</w:t>
      </w:r>
      <w:r>
        <w:rPr>
          <w:rFonts w:hint="eastAsia" w:ascii="仿宋" w:hAnsi="仿宋" w:eastAsia="仿宋" w:cs="仿宋"/>
          <w:color w:val="auto"/>
          <w:kern w:val="0"/>
          <w:sz w:val="24"/>
          <w:szCs w:val="24"/>
          <w:highlight w:val="none"/>
        </w:rPr>
        <w:t>。</w:t>
      </w:r>
    </w:p>
    <w:p>
      <w:pPr>
        <w:rPr>
          <w:rFonts w:ascii="仿宋" w:hAnsi="仿宋" w:eastAsia="仿宋"/>
          <w:b/>
          <w:bCs/>
          <w:color w:val="auto"/>
          <w:kern w:val="0"/>
          <w:sz w:val="24"/>
          <w:szCs w:val="24"/>
          <w:highlight w:val="none"/>
        </w:rPr>
      </w:pPr>
    </w:p>
    <w:p>
      <w:pPr>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20.2 </w:t>
      </w:r>
      <w:r>
        <w:rPr>
          <w:rFonts w:hint="eastAsia" w:ascii="仿宋" w:hAnsi="仿宋" w:eastAsia="仿宋" w:cs="仿宋"/>
          <w:color w:val="auto"/>
          <w:kern w:val="0"/>
          <w:sz w:val="24"/>
          <w:szCs w:val="24"/>
          <w:highlight w:val="none"/>
        </w:rPr>
        <w:t>承包人完成下列工作的约定</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p>
    <w:p>
      <w:pPr>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）向发包人提供施工场地办公和生活的房屋及设施的数量和时间等要求：</w:t>
      </w:r>
      <w:r>
        <w:rPr>
          <w:rFonts w:hint="eastAsia" w:ascii="仿宋" w:hAnsi="仿宋" w:eastAsia="仿宋" w:cs="仿宋"/>
          <w:color w:val="auto"/>
          <w:kern w:val="0"/>
          <w:sz w:val="24"/>
          <w:szCs w:val="24"/>
          <w:highlight w:val="none"/>
          <w:u w:val="single"/>
        </w:rPr>
        <w:t>无。</w:t>
      </w:r>
    </w:p>
    <w:p>
      <w:pPr>
        <w:spacing w:line="360" w:lineRule="auto"/>
        <w:ind w:left="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u w:val="single"/>
        </w:rPr>
        <w:t>工程项目竣工（实体）验收合格后，承包人在</w:t>
      </w:r>
      <w:r>
        <w:rPr>
          <w:rFonts w:ascii="仿宋" w:hAnsi="仿宋" w:eastAsia="仿宋" w:cs="仿宋"/>
          <w:color w:val="auto"/>
          <w:kern w:val="0"/>
          <w:sz w:val="24"/>
          <w:szCs w:val="24"/>
          <w:highlight w:val="none"/>
          <w:u w:val="single"/>
        </w:rPr>
        <w:t>28天内向发</w:t>
      </w:r>
      <w:r>
        <w:rPr>
          <w:rFonts w:hint="eastAsia" w:ascii="仿宋" w:hAnsi="仿宋" w:eastAsia="仿宋" w:cs="仿宋"/>
          <w:color w:val="auto"/>
          <w:kern w:val="0"/>
          <w:sz w:val="24"/>
          <w:szCs w:val="24"/>
          <w:highlight w:val="none"/>
          <w:u w:val="single"/>
        </w:rPr>
        <w:t>包人代表提交结算文件，发包人组织发包人代表和造价工程师（造价管理员）审核结算价款。承包人应承诺提交结算文件的真实性、合法性、完整性和无少报漏报错报，并向发包人提交承诺函。如承包人在提交结算文件后再补充或修改结算文件资料的，发包人有权拒绝接收补充资料及有权拒绝计取相关补充资料费用申请，发包人要求补充的除外。</w:t>
      </w:r>
    </w:p>
    <w:p>
      <w:pPr>
        <w:pStyle w:val="8"/>
        <w:ind w:left="0" w:firstLine="0"/>
        <w:jc w:val="left"/>
        <w:rPr>
          <w:rFonts w:hint="default" w:eastAsia="仿宋"/>
          <w:color w:val="auto"/>
          <w:highlight w:val="none"/>
          <w:lang w:val="en-US" w:eastAsia="zh-CN"/>
        </w:rPr>
      </w:pPr>
      <w:bookmarkStart w:id="570" w:name="_Toc17713"/>
      <w:r>
        <w:rPr>
          <w:rFonts w:hint="eastAsia" w:eastAsia="仿宋"/>
          <w:color w:val="auto"/>
          <w:highlight w:val="none"/>
          <w:lang w:val="en-US" w:eastAsia="zh-CN"/>
        </w:rPr>
        <w:t>补充约定如下：</w:t>
      </w:r>
      <w:bookmarkEnd w:id="570"/>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1、承包人协助向公路、交警等部门办理开挖许可证相关手续及</w:t>
      </w:r>
      <w:r>
        <w:rPr>
          <w:rFonts w:hint="eastAsia" w:ascii="仿宋" w:hAnsi="仿宋" w:eastAsia="仿宋" w:cs="仿宋"/>
          <w:color w:val="auto"/>
          <w:kern w:val="0"/>
          <w:sz w:val="24"/>
          <w:szCs w:val="24"/>
          <w:highlight w:val="none"/>
          <w:u w:val="single"/>
          <w:lang w:val="en-US" w:eastAsia="zh-CN"/>
        </w:rPr>
        <w:t>负责</w:t>
      </w:r>
      <w:r>
        <w:rPr>
          <w:rFonts w:ascii="仿宋" w:hAnsi="仿宋" w:eastAsia="仿宋" w:cs="仿宋"/>
          <w:color w:val="auto"/>
          <w:kern w:val="0"/>
          <w:sz w:val="24"/>
          <w:szCs w:val="24"/>
          <w:highlight w:val="none"/>
          <w:u w:val="single"/>
        </w:rPr>
        <w:t>平整施工场地，协调处理周围场地施工问题和邻近建筑物等保护工作，使施工场地具备施工条件，并负责一切协调费用。</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2、应提供计划、报表的名称及完成时间：要求开工前提供项目总体控制计划；每月18日前提交下月计划安排及本月计划完成情况；每周四提交本周工程“工程进度报表”和下周计划安排；</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3、承担施工安全保卫工作及非夜间施工照明的责任和要求：承包人应负责现场全部作业的安全；在合同工程施工、完工及修补缺陷的整个工程期限内，全面负责所有留在现场上的人员的安全，保护其管辖范围的现场（包括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施工围蔽按穗建质〔2020〕1号、穗埔建〔2020〕183号、穗建质[2016]1008号文、穗建质〔2016〕1085号文、穗建质〔2018〕1953号文及穗建质【2008】937号文要求执行，若政府部门提出新要求标准则遵照执行。工程完工后按要求及时拆除围栏和管沟回填，否则视情节严重程度给予警告，仍不按要求落实的给予扣除1000元至5000元违约金。遵守和执行防火、安全文明施工和夜间施工规定。承包人应保证施工</w:t>
      </w:r>
      <w:r>
        <w:rPr>
          <w:rFonts w:hint="eastAsia" w:ascii="仿宋" w:hAnsi="仿宋" w:eastAsia="仿宋" w:cs="仿宋"/>
          <w:color w:val="auto"/>
          <w:kern w:val="0"/>
          <w:sz w:val="24"/>
          <w:szCs w:val="24"/>
          <w:highlight w:val="none"/>
          <w:u w:val="single"/>
        </w:rPr>
        <w:t>期间周边道路行人、车辆等的通行。同时承包人有责任协助公安、交通等部门维护所在现场地段的交通与人流，既保证施工安全，也保护车辆和行人的畅通和安全。如承包人未履行或</w:t>
      </w:r>
      <w:r>
        <w:rPr>
          <w:rFonts w:hint="eastAsia" w:ascii="仿宋" w:hAnsi="仿宋" w:eastAsia="仿宋" w:cs="仿宋"/>
          <w:color w:val="auto"/>
          <w:kern w:val="0"/>
          <w:sz w:val="24"/>
          <w:szCs w:val="24"/>
          <w:highlight w:val="none"/>
          <w:u w:val="single"/>
          <w:lang w:val="en-US" w:eastAsia="zh-CN"/>
        </w:rPr>
        <w:t>未</w:t>
      </w:r>
      <w:r>
        <w:rPr>
          <w:rFonts w:hint="eastAsia" w:ascii="仿宋" w:hAnsi="仿宋" w:eastAsia="仿宋" w:cs="仿宋"/>
          <w:color w:val="auto"/>
          <w:kern w:val="0"/>
          <w:sz w:val="24"/>
          <w:szCs w:val="24"/>
          <w:highlight w:val="none"/>
          <w:u w:val="single"/>
        </w:rPr>
        <w:t>充分履行上述义务造成财产和人身伤害等，由承包人承担责任及由此所发生的费用。承包人应在投标报价中考虑有关费用，并保证发包人免于受到或承担应由承包人负责的上述事项所引起的或与之有关的索赔、诉讼、以及其它开支。</w:t>
      </w:r>
    </w:p>
    <w:p>
      <w:pPr>
        <w:spacing w:line="360" w:lineRule="auto"/>
        <w:rPr>
          <w:rFonts w:hint="eastAsia" w:ascii="宋体" w:hAnsi="宋体" w:eastAsia="宋体" w:cs="宋体"/>
          <w:color w:val="auto"/>
          <w:kern w:val="0"/>
          <w:sz w:val="24"/>
          <w:szCs w:val="24"/>
          <w:highlight w:val="none"/>
        </w:rPr>
      </w:pPr>
      <w:r>
        <w:rPr>
          <w:rFonts w:ascii="仿宋" w:hAnsi="仿宋" w:eastAsia="仿宋" w:cs="仿宋"/>
          <w:color w:val="auto"/>
          <w:kern w:val="0"/>
          <w:sz w:val="24"/>
          <w:szCs w:val="24"/>
          <w:highlight w:val="none"/>
          <w:u w:val="single"/>
        </w:rPr>
        <w:t>4、承包人应当承担其出入现场所需要的专用或临时道路（含水路）通行权，养路费、租金等一切费用和税费，办理相关手续，包括进场须要提供的各类保证金、押金等。承包人还应自费提供其所需要的工地以外的供工程使用的任何附加设施。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w:t>
      </w:r>
      <w:r>
        <w:rPr>
          <w:rFonts w:hint="default" w:ascii="仿宋" w:hAnsi="仿宋" w:eastAsia="仿宋" w:cs="仿宋"/>
          <w:color w:val="auto"/>
          <w:kern w:val="0"/>
          <w:sz w:val="24"/>
          <w:szCs w:val="24"/>
          <w:highlight w:val="none"/>
          <w:u w:val="single"/>
        </w:rPr>
        <w:t>承包人</w:t>
      </w:r>
      <w:r>
        <w:rPr>
          <w:rFonts w:hint="default" w:ascii="仿宋" w:hAnsi="仿宋" w:eastAsia="仿宋" w:cs="仿宋"/>
          <w:color w:val="auto"/>
          <w:kern w:val="0"/>
          <w:sz w:val="24"/>
          <w:szCs w:val="24"/>
          <w:highlight w:val="none"/>
          <w:u w:val="single"/>
          <w:lang w:val="en-US" w:eastAsia="zh-CN"/>
        </w:rPr>
        <w:t>需按有关规范或要求办理</w:t>
      </w:r>
      <w:r>
        <w:rPr>
          <w:rFonts w:hint="default" w:ascii="仿宋" w:hAnsi="仿宋" w:eastAsia="仿宋" w:cs="仿宋"/>
          <w:color w:val="auto"/>
          <w:kern w:val="0"/>
          <w:sz w:val="24"/>
          <w:szCs w:val="24"/>
          <w:highlight w:val="none"/>
          <w:u w:val="single"/>
        </w:rPr>
        <w:t>有关施工场地交通、环卫和施工噪音管理等手续</w:t>
      </w:r>
      <w:r>
        <w:rPr>
          <w:rFonts w:hint="default" w:ascii="仿宋" w:hAnsi="仿宋" w:eastAsia="仿宋" w:cs="仿宋"/>
          <w:color w:val="auto"/>
          <w:kern w:val="0"/>
          <w:sz w:val="24"/>
          <w:szCs w:val="24"/>
          <w:highlight w:val="none"/>
          <w:u w:val="single"/>
          <w:lang w:eastAsia="zh-CN"/>
        </w:rPr>
        <w:t>，</w:t>
      </w:r>
      <w:r>
        <w:rPr>
          <w:rFonts w:hint="default" w:ascii="仿宋" w:hAnsi="仿宋" w:eastAsia="仿宋" w:cs="仿宋"/>
          <w:color w:val="auto"/>
          <w:kern w:val="0"/>
          <w:sz w:val="24"/>
          <w:szCs w:val="24"/>
          <w:highlight w:val="none"/>
          <w:u w:val="single"/>
          <w:lang w:val="en-US" w:eastAsia="zh-CN"/>
        </w:rPr>
        <w:t>承担噪声污染</w:t>
      </w:r>
      <w:r>
        <w:rPr>
          <w:rFonts w:hint="eastAsia" w:ascii="仿宋" w:hAnsi="仿宋" w:eastAsia="仿宋" w:cs="仿宋"/>
          <w:color w:val="auto"/>
          <w:kern w:val="0"/>
          <w:sz w:val="24"/>
          <w:szCs w:val="24"/>
          <w:highlight w:val="none"/>
          <w:u w:val="single"/>
          <w:lang w:val="en-US" w:eastAsia="zh-CN"/>
        </w:rPr>
        <w:t>防治</w:t>
      </w:r>
      <w:r>
        <w:rPr>
          <w:rFonts w:hint="default" w:ascii="仿宋" w:hAnsi="仿宋" w:eastAsia="仿宋" w:cs="仿宋"/>
          <w:color w:val="auto"/>
          <w:kern w:val="0"/>
          <w:sz w:val="24"/>
          <w:szCs w:val="24"/>
          <w:highlight w:val="none"/>
          <w:u w:val="single"/>
          <w:lang w:val="en-US" w:eastAsia="zh-CN"/>
        </w:rPr>
        <w:t>责任，制定噪声污染防治实施方案。</w:t>
      </w:r>
      <w:r>
        <w:rPr>
          <w:rFonts w:hint="default" w:ascii="仿宋" w:hAnsi="仿宋" w:eastAsia="仿宋" w:cs="仿宋"/>
          <w:color w:val="auto"/>
          <w:kern w:val="0"/>
          <w:sz w:val="24"/>
          <w:szCs w:val="24"/>
          <w:highlight w:val="none"/>
          <w:u w:val="single"/>
        </w:rPr>
        <w:t>在合同工程施工期间，根据政府有关环境保护的规定，承包人应采取所有合理的措施来保护现场内外的环境，并避免由于其操作方法所造成的污染、噪声或其它问题而对附近的人员或公私财产造成的干扰、损失或损害。噪声污染防治费用</w:t>
      </w:r>
      <w:r>
        <w:rPr>
          <w:rFonts w:hint="default" w:ascii="仿宋" w:hAnsi="仿宋" w:eastAsia="仿宋" w:cs="仿宋"/>
          <w:color w:val="auto"/>
          <w:kern w:val="0"/>
          <w:sz w:val="24"/>
          <w:szCs w:val="24"/>
          <w:highlight w:val="none"/>
          <w:u w:val="single"/>
          <w:lang w:eastAsia="zh-CN"/>
        </w:rPr>
        <w:t>已</w:t>
      </w:r>
      <w:r>
        <w:rPr>
          <w:rFonts w:hint="default" w:ascii="仿宋" w:hAnsi="仿宋" w:eastAsia="仿宋" w:cs="仿宋"/>
          <w:color w:val="auto"/>
          <w:kern w:val="0"/>
          <w:sz w:val="24"/>
          <w:szCs w:val="24"/>
          <w:highlight w:val="none"/>
          <w:u w:val="single"/>
          <w:lang w:val="en-US" w:eastAsia="zh-CN"/>
        </w:rPr>
        <w:t>包含在本合同总价中</w:t>
      </w:r>
      <w:r>
        <w:rPr>
          <w:rFonts w:hint="default" w:ascii="仿宋" w:hAnsi="仿宋" w:eastAsia="仿宋" w:cs="仿宋"/>
          <w:color w:val="auto"/>
          <w:kern w:val="0"/>
          <w:sz w:val="24"/>
          <w:szCs w:val="24"/>
          <w:highlight w:val="none"/>
          <w:u w:val="single"/>
        </w:rPr>
        <w:t>，</w:t>
      </w:r>
      <w:r>
        <w:rPr>
          <w:rFonts w:hint="default" w:ascii="仿宋" w:hAnsi="仿宋" w:eastAsia="仿宋" w:cs="仿宋"/>
          <w:color w:val="auto"/>
          <w:kern w:val="0"/>
          <w:sz w:val="24"/>
          <w:szCs w:val="24"/>
          <w:highlight w:val="none"/>
          <w:u w:val="single"/>
          <w:lang w:val="en-US" w:eastAsia="zh-CN"/>
        </w:rPr>
        <w:t>承包人</w:t>
      </w:r>
      <w:r>
        <w:rPr>
          <w:rFonts w:hint="default" w:ascii="仿宋" w:hAnsi="仿宋" w:eastAsia="仿宋" w:cs="仿宋"/>
          <w:color w:val="auto"/>
          <w:kern w:val="0"/>
          <w:sz w:val="24"/>
          <w:szCs w:val="24"/>
          <w:highlight w:val="none"/>
          <w:u w:val="single"/>
        </w:rPr>
        <w:t>保证发包人免于受到或承担应由承包人负责的上述事项所引起的或与之有关的索赔、诉讼、以及其它开支</w:t>
      </w:r>
      <w:r>
        <w:rPr>
          <w:rFonts w:hint="eastAsia" w:ascii="宋体" w:hAnsi="宋体" w:eastAsia="宋体" w:cs="宋体"/>
          <w:color w:val="auto"/>
          <w:kern w:val="0"/>
          <w:sz w:val="24"/>
          <w:szCs w:val="24"/>
          <w:highlight w:val="none"/>
        </w:rPr>
        <w:t>。</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5、已完工程成品和半成品保护的特殊要求及费用承担：未竣工验收合格之前，由承包人承担。已竣工未交付发包人之前，承包人按协议条款约定负责已完工程的成品保护工作；保护期间所发生的损坏，由承包人予以自费修复；发包人提前使用后发生损坏的修复费用，如属发包人原因损坏的,由发包人承担,如属质量原因引起的损坏,由承包人负责自费修复。</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6、</w:t>
      </w:r>
      <w:r>
        <w:rPr>
          <w:rFonts w:hint="eastAsia" w:ascii="仿宋" w:hAnsi="仿宋" w:eastAsia="仿宋" w:cs="仿宋"/>
          <w:color w:val="auto"/>
          <w:kern w:val="0"/>
          <w:sz w:val="24"/>
          <w:szCs w:val="24"/>
          <w:highlight w:val="none"/>
          <w:u w:val="single"/>
        </w:rPr>
        <w:t>承包人必须做好施工场地和周围地下管线、公路、铁路、轨道、邻近建筑物、构筑物（包括文物保护建筑）、古树名木的保护工作。</w:t>
      </w:r>
      <w:r>
        <w:rPr>
          <w:rFonts w:ascii="仿宋" w:hAnsi="仿宋" w:eastAsia="仿宋" w:cs="仿宋"/>
          <w:color w:val="auto"/>
          <w:kern w:val="0"/>
          <w:sz w:val="24"/>
          <w:szCs w:val="24"/>
          <w:highlight w:val="none"/>
          <w:u w:val="single"/>
        </w:rPr>
        <w:t>施工期间发现文物，应按国家文物和省、市有关文物管理规定保护现场，并通知有关部门。施工期间执行</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广州市城市树木保护专章编制技术指引》</w:t>
      </w:r>
      <w:r>
        <w:rPr>
          <w:rFonts w:hint="eastAsia" w:ascii="仿宋" w:hAnsi="仿宋" w:eastAsia="仿宋" w:cs="仿宋"/>
          <w:color w:val="auto"/>
          <w:kern w:val="0"/>
          <w:sz w:val="24"/>
          <w:szCs w:val="24"/>
          <w:highlight w:val="none"/>
          <w:u w:val="single"/>
          <w:lang w:eastAsia="zh-CN"/>
        </w:rPr>
        <w:t>、</w:t>
      </w:r>
      <w:r>
        <w:rPr>
          <w:rFonts w:ascii="仿宋" w:hAnsi="仿宋" w:eastAsia="仿宋" w:cs="仿宋"/>
          <w:color w:val="auto"/>
          <w:kern w:val="0"/>
          <w:sz w:val="24"/>
          <w:szCs w:val="24"/>
          <w:highlight w:val="none"/>
          <w:u w:val="single"/>
        </w:rPr>
        <w:t>《关于进一步规范建设工程施工现场围蔽的通知》（穗建质[2008]1008号）》、《关于完善广州市建设工程施工围蔽管理提升实施技术要求和标准图集的通知》（穗建质〔2016〕1085号文）、《广州市住房和城乡建设局等9部门关于印发广州市建设工程绿色施工</w:t>
      </w:r>
      <w:r>
        <w:rPr>
          <w:rFonts w:hint="eastAsia" w:ascii="仿宋" w:hAnsi="仿宋" w:eastAsia="仿宋" w:cs="仿宋"/>
          <w:color w:val="auto"/>
          <w:kern w:val="0"/>
          <w:sz w:val="24"/>
          <w:szCs w:val="24"/>
          <w:highlight w:val="none"/>
          <w:u w:val="single"/>
        </w:rPr>
        <w:t>围蔽指导图集（</w:t>
      </w:r>
      <w:r>
        <w:rPr>
          <w:rFonts w:ascii="仿宋" w:hAnsi="仿宋" w:eastAsia="仿宋" w:cs="仿宋"/>
          <w:color w:val="auto"/>
          <w:kern w:val="0"/>
          <w:sz w:val="24"/>
          <w:szCs w:val="24"/>
          <w:highlight w:val="none"/>
          <w:u w:val="single"/>
        </w:rPr>
        <w:t>V2.0版）的通知》（穗建质〔2020〕1号）、《广州开发区建设和交通局关于进一步规范全区建设工程施工围蔽标准的通知》（穗埔建〔2020〕183号）工程施工围蔽标准的通知等的规定，否则，因此造成的损失或被有关部门处罚，均由承包人负责。除文物保护外，其它保护工作费用以及相关权属人或行政主管部门要求的第三方检测费已包含在承包人的投标报价中，不另行计量支付。</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7、施工场地文明施工的要求：本合同工程现场文明施工必须严格按以下文件执行，若政府相关要求文件更新则遵照执行，并挂牌施工接受监督：</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a.广州市人民政府制定的《广州市建设工程文明施工管理规定》（广州市人民政府令第62号）、广州市建设委员会制定的《广州市建设工程现场文明施工管理办法》（穗建质【2008】937号）、《关于进一步规范建设工程施工现场围蔽的通知》（穗建质[2008]1008号）、《广州市住房和城乡建设局等9部门关于印发广州市建设工程绿色施工围蔽指导图集（V2.0版）的通知》（穗建质〔2020〕1号）、《广州开发区建设和交通局关于进一步规范全区建设工程施工围蔽标准的通知》（穗埔建〔2020〕183号）；</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 xml:space="preserve">b.广州市市政园林局制定的《关于加强市政园林和管线建设工程文明施工管理的通知》（市政园林【2001】1273号）； </w:t>
      </w:r>
      <w:r>
        <w:rPr>
          <w:rFonts w:hint="eastAsia" w:ascii="仿宋" w:hAnsi="仿宋" w:eastAsia="仿宋" w:cs="仿宋"/>
          <w:color w:val="auto"/>
          <w:kern w:val="0"/>
          <w:sz w:val="24"/>
          <w:szCs w:val="24"/>
          <w:highlight w:val="none"/>
          <w:u w:val="single"/>
        </w:rPr>
        <w:t>承包人应保持现场整洁，保证卫生要求，合理地安排临时设施，存放和处置好设备及材料，及时清运垃圾和余泥，处理好污水、余泥排放。工程完工后，承包人应立即从施工现场搬走或清除承包人的设备、材料、垃圾以及各种临时设施，并保持施工现场和工程清洁整齐，但承包人应保留他为在缺陷责任期内履行其义务而需要的材料、设备和临时设施，其费用已包含在承包人的投标报价中，不另行计量支付。</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8、双方约定承包人应做的其他工作：</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施工场地具备施工条件的要求及完成的时间：提供现场的日期与开工日期相同，施工场地的征借、房屋拆迁工作由发包人承担，其他由承包人根据投标前现场踏勘的情况自行考虑场地清理、平整的工作，费用已包含在投标报价中，发包人不另外支付。</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2）将施工所需的水、电、电讯线路接至施工场地的时间、地点和供应要求：施工临时用水、用电、通讯设施由承包人自行负责，费用已包含在投标报价中，发</w:t>
      </w:r>
      <w:r>
        <w:rPr>
          <w:rFonts w:hint="eastAsia" w:ascii="仿宋" w:hAnsi="仿宋" w:eastAsia="仿宋" w:cs="仿宋"/>
          <w:color w:val="auto"/>
          <w:kern w:val="0"/>
          <w:sz w:val="24"/>
          <w:szCs w:val="24"/>
          <w:highlight w:val="none"/>
          <w:u w:val="single"/>
        </w:rPr>
        <w:t>包人不另行计量支付。</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 xml:space="preserve">3）施工场地与公共道路的通道开通时间和要求：由承包人根据现场的需要或发包人要求确定，相关费用已包含在投标报价中。 </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 xml:space="preserve">4）工程地质和地下管线资料的提供时间： 工程地质资料由发包人提供；地下管线资料由承包人自行调查核实，并承担由此引起的责任和损失，费用已包含在投标报价中，发包人不另行计量支付，发包人可提供可能的协助和方便。 </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5）</w:t>
      </w:r>
      <w:r>
        <w:rPr>
          <w:rFonts w:hint="eastAsia" w:ascii="仿宋" w:hAnsi="仿宋" w:eastAsia="仿宋" w:cs="仿宋"/>
          <w:color w:val="auto"/>
          <w:kern w:val="0"/>
          <w:sz w:val="24"/>
          <w:szCs w:val="24"/>
          <w:highlight w:val="none"/>
          <w:u w:val="single"/>
        </w:rPr>
        <w:t>有关施工所需证件、</w:t>
      </w:r>
      <w:r>
        <w:rPr>
          <w:rFonts w:hint="eastAsia" w:ascii="仿宋" w:hAnsi="仿宋" w:eastAsia="仿宋" w:cs="仿宋"/>
          <w:color w:val="auto"/>
          <w:kern w:val="0"/>
          <w:sz w:val="24"/>
          <w:szCs w:val="24"/>
          <w:highlight w:val="none"/>
          <w:u w:val="single"/>
          <w:lang w:val="en-US" w:eastAsia="zh-CN"/>
        </w:rPr>
        <w:t>手续、</w:t>
      </w:r>
      <w:r>
        <w:rPr>
          <w:rFonts w:hint="eastAsia" w:ascii="仿宋" w:hAnsi="仿宋" w:eastAsia="仿宋" w:cs="仿宋"/>
          <w:color w:val="auto"/>
          <w:kern w:val="0"/>
          <w:sz w:val="24"/>
          <w:szCs w:val="24"/>
          <w:highlight w:val="none"/>
          <w:u w:val="single"/>
        </w:rPr>
        <w:t>文件由承包人办理，发包人可提供必要的协助，费用已包含投标报价中。</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 xml:space="preserve">6）协调处理施工场地周围地下管线和邻近建筑物、构筑物（含文物保护建筑）、古树名木的保护工作：发包人协助承包人做好上述保护工作的协调处理，除文物保护外，其它保护工作费用已包含在承包人的投标报价中。  </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7）工程承包方式为：包工、包料（除发包人提供的材料外）、包工期、包质量、包绿色施工安全防护措施</w:t>
      </w:r>
      <w:r>
        <w:rPr>
          <w:rFonts w:hint="eastAsia" w:ascii="仿宋" w:hAnsi="仿宋" w:eastAsia="仿宋" w:cs="仿宋"/>
          <w:color w:val="auto"/>
          <w:kern w:val="0"/>
          <w:sz w:val="24"/>
          <w:szCs w:val="24"/>
          <w:highlight w:val="none"/>
          <w:u w:val="single"/>
        </w:rPr>
        <w:t>、包施工协调、</w:t>
      </w:r>
      <w:r>
        <w:rPr>
          <w:rFonts w:ascii="仿宋" w:hAnsi="仿宋" w:eastAsia="仿宋" w:cs="仿宋"/>
          <w:color w:val="auto"/>
          <w:kern w:val="0"/>
          <w:sz w:val="24"/>
          <w:szCs w:val="24"/>
          <w:highlight w:val="none"/>
          <w:u w:val="single"/>
        </w:rPr>
        <w:t>包总承包范围内验收、包联合调试的总体组织和协调。</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8）承包人必须及时协助发包人办理施工许可证、报质监、安监、技监等工程建设手续，以及协助发包人协调与本工程相关的业务关系（包括电力、供水、排水、通讯、绿化、道路等），根据需要及时提供相关方案，资质证明文件及人员设备支持。若在发包人发出需协助的通知10天内未给予有效协助，则发生一宗视情况按1-5万元支付违约金。</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9）其他要求</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a．承包人不按文明施工要求和规定进行施工，在发包人发出通知1-2天内，承包人应按要求进行整改，如承包人不整改或整改后仍达不到要求的，工程师有权委托第三人进行整改，所发生的费用由承包人承担，发包人可在应付的进度款或</w:t>
      </w:r>
      <w:r>
        <w:rPr>
          <w:rFonts w:hint="eastAsia" w:ascii="仿宋" w:hAnsi="仿宋" w:eastAsia="仿宋" w:cs="仿宋"/>
          <w:color w:val="auto"/>
          <w:kern w:val="0"/>
          <w:sz w:val="24"/>
          <w:szCs w:val="24"/>
          <w:highlight w:val="none"/>
          <w:u w:val="single"/>
        </w:rPr>
        <w:t>履约担保</w:t>
      </w:r>
      <w:r>
        <w:rPr>
          <w:rFonts w:ascii="仿宋" w:hAnsi="仿宋" w:eastAsia="仿宋" w:cs="仿宋"/>
          <w:color w:val="auto"/>
          <w:kern w:val="0"/>
          <w:sz w:val="24"/>
          <w:szCs w:val="24"/>
          <w:highlight w:val="none"/>
          <w:u w:val="single"/>
        </w:rPr>
        <w:t>内直接抵扣。承包人协助办理占道开挖、余泥排放许可和质量安全监督登记等有关手续。对施工图、技术资料做认真地复核和检查，有预见性的发现和指正设计缺陷和错误，应提出能实质性地节约资金和缩短工期的建议和措施，并书面通知发包人。</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b．干扰与协调</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b1.承包人应当清楚地预计到施工期间对外界可能产生的不可避免的干扰，并为此保证主动努力减少这些干扰对外界的影响，且应当积极主动与外界进行协调。</w:t>
      </w:r>
      <w:r>
        <w:rPr>
          <w:rFonts w:hint="eastAsia" w:ascii="仿宋" w:hAnsi="仿宋" w:eastAsia="仿宋" w:cs="仿宋"/>
          <w:color w:val="auto"/>
          <w:kern w:val="0"/>
          <w:sz w:val="24"/>
          <w:szCs w:val="24"/>
          <w:highlight w:val="none"/>
          <w:u w:val="single"/>
        </w:rPr>
        <w:t>协调费用由承包人负责。</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b2.承包人应负责协调施工期间外界的各种干扰，协调不果，方可书面要求发包人出面协调。</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b3.发包人将在承包人的配合下，充分运用自己对各方面的影响力，尽可能地将外界对工程的干扰减少到最低程度。这种协调并不解除承包人的各项责任与义务。</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b4.包协调：包括以下内容。</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sym w:font="Wingdings 2" w:char="F052"/>
      </w:r>
      <w:r>
        <w:rPr>
          <w:rFonts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承包人协助发包人办理施工许可证。</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sym w:font="Wingdings 2" w:char="F052"/>
      </w:r>
      <w:r>
        <w:rPr>
          <w:rFonts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协助取得所有本工程所需的各种批准和许可手续（包括但不限于施工、调试、竣工、测量、验收、备案等所需的各类批准和许可）。政府明确应由发包人缴纳的各项行政规费由发包人负责缴纳。</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sym w:font="Wingdings 2" w:char="F052"/>
      </w:r>
      <w:r>
        <w:rPr>
          <w:rFonts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负责消除不利于工程质量、进度的因素（发包人因素和不可抗力因素除外）。</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sym w:font="Wingdings 2" w:char="F052"/>
      </w:r>
      <w:r>
        <w:rPr>
          <w:rFonts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根据发包人要求，协助发包人准备有关技术资料（包括但不限于竣工图及相关文件、政府批准文件等所需的各类文件、资料）。</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sym w:font="Wingdings 2" w:char="F052"/>
      </w:r>
      <w:r>
        <w:rPr>
          <w:rFonts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根据发包人要求，协助发包人进行与本项目工作有关的谈判、澄清、审查等工作。</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sym w:font="Wingdings 2" w:char="F052"/>
      </w:r>
      <w:r>
        <w:rPr>
          <w:rFonts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根据发包人的要求配合本工程涉及的其他部门或施工单位的工作。</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sym w:font="Wingdings 2" w:char="F052"/>
      </w:r>
      <w:r>
        <w:rPr>
          <w:rFonts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rPr>
        <w:t>其他相关的工作及费用。</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9、承包人应无条件配合有关部门的检查工作，由于不配合检查造成通报批评和不良影响，承担相应违约责任。</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10、承包人应对本标段内的道路建设或整体项目进展情况进行跟踪掌握，及时跟进施工，承担由于跟进不及时而增加的所有费用。</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11、施工过程需发包人或监理人确认的工作（包括隐蔽工程、中间交接、现场签证等），承包人必须在现场验收前自检合格，资料齐全，一律现场签认，否则造成后果由承包人负责。</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 xml:space="preserve">12、压力管道施工告知及监检手续，由承包人办理。监检费由发包人承担。 </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lang w:val="en-US" w:eastAsia="zh-CN"/>
        </w:rPr>
        <w:t>3</w:t>
      </w:r>
      <w:r>
        <w:rPr>
          <w:rFonts w:ascii="仿宋" w:hAnsi="仿宋" w:eastAsia="仿宋" w:cs="仿宋"/>
          <w:color w:val="auto"/>
          <w:kern w:val="0"/>
          <w:sz w:val="24"/>
          <w:szCs w:val="24"/>
          <w:highlight w:val="none"/>
          <w:u w:val="single"/>
        </w:rPr>
        <w:t>、承包人在施工过程中应注意对公路路产的保护，因承包人责任损坏公路路产的，由承包人承担赔偿责任。</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lang w:val="en-US" w:eastAsia="zh-CN"/>
        </w:rPr>
        <w:t>4</w:t>
      </w:r>
      <w:r>
        <w:rPr>
          <w:rFonts w:ascii="仿宋" w:hAnsi="仿宋" w:eastAsia="仿宋" w:cs="仿宋"/>
          <w:color w:val="auto"/>
          <w:kern w:val="0"/>
          <w:sz w:val="24"/>
          <w:szCs w:val="24"/>
          <w:highlight w:val="none"/>
          <w:u w:val="single"/>
        </w:rPr>
        <w:t>、承包人接收发包人提供的施工场地后，须在接到进场指令后1周内进场，且须于1个月内完成场地围蔽。</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lang w:val="en-US" w:eastAsia="zh-CN"/>
        </w:rPr>
        <w:t>5</w:t>
      </w:r>
      <w:r>
        <w:rPr>
          <w:rFonts w:ascii="仿宋" w:hAnsi="仿宋" w:eastAsia="仿宋" w:cs="仿宋"/>
          <w:color w:val="auto"/>
          <w:kern w:val="0"/>
          <w:sz w:val="24"/>
          <w:szCs w:val="24"/>
          <w:highlight w:val="none"/>
          <w:u w:val="single"/>
        </w:rPr>
        <w:t>、由于发包人的工期调整需求，承包人应积极响应，相应费用由承包人承担。</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lang w:val="en-US" w:eastAsia="zh-CN"/>
        </w:rPr>
        <w:t>6</w:t>
      </w:r>
      <w:r>
        <w:rPr>
          <w:rFonts w:ascii="仿宋" w:hAnsi="仿宋" w:eastAsia="仿宋" w:cs="仿宋"/>
          <w:color w:val="auto"/>
          <w:kern w:val="0"/>
          <w:sz w:val="24"/>
          <w:szCs w:val="24"/>
          <w:highlight w:val="none"/>
          <w:u w:val="single"/>
        </w:rPr>
        <w:t>、由于工程手续办理等需要，在接到发包人指令后的3天内，承包人必须提供相应方案、资质等资料（包含专项施工方案、施工计划等）。</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lang w:val="en-US" w:eastAsia="zh-CN"/>
        </w:rPr>
        <w:t>7</w:t>
      </w:r>
      <w:r>
        <w:rPr>
          <w:rFonts w:ascii="仿宋" w:hAnsi="仿宋" w:eastAsia="仿宋" w:cs="仿宋"/>
          <w:color w:val="auto"/>
          <w:kern w:val="0"/>
          <w:sz w:val="24"/>
          <w:szCs w:val="24"/>
          <w:highlight w:val="none"/>
          <w:u w:val="single"/>
        </w:rPr>
        <w:t>、承包人自行解决并承担施工人员驻地及施工设备材料堆放场地相应费用。</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lang w:val="en-US" w:eastAsia="zh-CN"/>
        </w:rPr>
        <w:t>8</w:t>
      </w:r>
      <w:r>
        <w:rPr>
          <w:rFonts w:ascii="仿宋" w:hAnsi="仿宋" w:eastAsia="仿宋" w:cs="仿宋"/>
          <w:color w:val="auto"/>
          <w:kern w:val="0"/>
          <w:sz w:val="24"/>
          <w:szCs w:val="24"/>
          <w:highlight w:val="none"/>
          <w:u w:val="single"/>
        </w:rPr>
        <w:t>、承包人须按发包人要求认真填报工程项目WHS质量控制关键点设置审批表、停工待检点（H）质量控制记录表、见证点（w）质量控制记录表、旁站点（s）质量控制记录表。</w:t>
      </w:r>
    </w:p>
    <w:p>
      <w:pPr>
        <w:spacing w:line="360" w:lineRule="auto"/>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val="en-US" w:eastAsia="zh-CN"/>
        </w:rPr>
        <w:t>19</w:t>
      </w:r>
      <w:r>
        <w:rPr>
          <w:rFonts w:ascii="仿宋" w:hAnsi="仿宋" w:eastAsia="仿宋" w:cs="仿宋"/>
          <w:color w:val="auto"/>
          <w:kern w:val="0"/>
          <w:sz w:val="24"/>
          <w:szCs w:val="24"/>
          <w:highlight w:val="none"/>
          <w:u w:val="single"/>
        </w:rPr>
        <w:t>、承包人须按发包人要求认真填报管道完整性施工期项目信息表，包括但不限于项目信息、管道本体信息、防腐层破坏点信息、管道保护信息、套管信息、管沟回填信息、焊缝信息、大小头信息、开孔信息、三通信息、阀门信息、绝缘接口信息、收发球桶信息、封堵物信息、标志桩信息、测试桩信息、电子标签信息、水工保护信息、地下障碍物信息、恒电位仪信息、阳极底床信息等。</w:t>
      </w:r>
    </w:p>
    <w:p>
      <w:pPr>
        <w:pStyle w:val="36"/>
        <w:spacing w:before="0" w:beforeAutospacing="0" w:after="0" w:afterAutospacing="0" w:line="360" w:lineRule="auto"/>
        <w:rPr>
          <w:rFonts w:ascii="宋体" w:hAnsi="宋体" w:cs="宋体"/>
          <w:color w:val="auto"/>
          <w:highlight w:val="none"/>
        </w:rPr>
      </w:pPr>
      <w:r>
        <w:rPr>
          <w:rFonts w:hint="eastAsia" w:ascii="仿宋" w:hAnsi="仿宋" w:eastAsia="仿宋" w:cs="仿宋"/>
          <w:color w:val="auto"/>
          <w:highlight w:val="none"/>
          <w:u w:val="single"/>
        </w:rPr>
        <w:t>20</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rPr>
        <w:t>承包人提供施工所需劳务、材料、国产设备、施工设备和其他物品</w:t>
      </w:r>
      <w:r>
        <w:rPr>
          <w:rFonts w:hint="eastAsia" w:ascii="仿宋" w:hAnsi="仿宋" w:eastAsia="仿宋" w:cs="仿宋"/>
          <w:color w:val="auto"/>
          <w:highlight w:val="none"/>
          <w:u w:val="single"/>
          <w:lang w:eastAsia="zh-CN"/>
        </w:rPr>
        <w:t>。</w:t>
      </w:r>
    </w:p>
    <w:p>
      <w:pPr>
        <w:pStyle w:val="8"/>
        <w:tabs>
          <w:tab w:val="left" w:pos="420"/>
        </w:tabs>
        <w:rPr>
          <w:rFonts w:ascii="仿宋" w:hAnsi="仿宋" w:eastAsia="仿宋"/>
          <w:b w:val="0"/>
          <w:bCs/>
          <w:color w:val="auto"/>
          <w:highlight w:val="none"/>
        </w:rPr>
      </w:pPr>
      <w:bookmarkStart w:id="571" w:name="_Toc4329"/>
      <w:bookmarkStart w:id="572" w:name="_Toc4951"/>
      <w:bookmarkStart w:id="573" w:name="_Toc469384092"/>
      <w:bookmarkStart w:id="574" w:name="_Toc25653722"/>
      <w:r>
        <w:rPr>
          <w:rFonts w:ascii="仿宋" w:hAnsi="仿宋" w:eastAsia="仿宋" w:cs="仿宋"/>
          <w:b w:val="0"/>
          <w:bCs/>
          <w:color w:val="auto"/>
          <w:highlight w:val="none"/>
        </w:rPr>
        <w:t xml:space="preserve">21. </w:t>
      </w:r>
      <w:r>
        <w:rPr>
          <w:rFonts w:hint="eastAsia" w:ascii="仿宋" w:hAnsi="仿宋" w:eastAsia="仿宋" w:cs="仿宋"/>
          <w:b w:val="0"/>
          <w:bCs/>
          <w:color w:val="auto"/>
          <w:highlight w:val="none"/>
        </w:rPr>
        <w:t>现场管理人员任命和更换</w:t>
      </w:r>
      <w:bookmarkEnd w:id="571"/>
      <w:bookmarkEnd w:id="572"/>
      <w:bookmarkEnd w:id="573"/>
      <w:bookmarkEnd w:id="574"/>
    </w:p>
    <w:p>
      <w:pPr>
        <w:ind w:left="120"/>
        <w:rPr>
          <w:rFonts w:ascii="仿宋" w:hAnsi="仿宋" w:eastAsia="仿宋"/>
          <w:color w:val="auto"/>
          <w:kern w:val="0"/>
          <w:sz w:val="24"/>
          <w:szCs w:val="24"/>
          <w:highlight w:val="none"/>
        </w:rPr>
      </w:pPr>
    </w:p>
    <w:p>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21.1 </w:t>
      </w:r>
      <w:r>
        <w:rPr>
          <w:rFonts w:hint="eastAsia" w:ascii="仿宋" w:hAnsi="仿宋" w:eastAsia="仿宋" w:cs="仿宋"/>
          <w:color w:val="auto"/>
          <w:kern w:val="0"/>
          <w:sz w:val="24"/>
          <w:szCs w:val="24"/>
          <w:highlight w:val="none"/>
        </w:rPr>
        <w:t>发包人现场管理人员任命和更换：</w:t>
      </w:r>
      <w:r>
        <w:rPr>
          <w:rFonts w:hint="eastAsia" w:ascii="仿宋" w:hAnsi="仿宋" w:eastAsia="仿宋" w:cs="仿宋"/>
          <w:color w:val="auto"/>
          <w:kern w:val="0"/>
          <w:sz w:val="24"/>
          <w:szCs w:val="24"/>
          <w:highlight w:val="none"/>
          <w:u w:val="single"/>
        </w:rPr>
        <w:t>由发包人发出书面通知为准。</w:t>
      </w:r>
    </w:p>
    <w:p>
      <w:pPr>
        <w:ind w:left="120"/>
        <w:rPr>
          <w:rFonts w:ascii="仿宋" w:hAnsi="仿宋" w:eastAsia="仿宋" w:cs="仿宋"/>
          <w:color w:val="auto"/>
          <w:kern w:val="0"/>
          <w:sz w:val="24"/>
          <w:szCs w:val="24"/>
          <w:highlight w:val="none"/>
        </w:rPr>
      </w:pPr>
    </w:p>
    <w:p>
      <w:pPr>
        <w:ind w:left="12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21.2 </w:t>
      </w:r>
      <w:r>
        <w:rPr>
          <w:rFonts w:hint="eastAsia" w:ascii="仿宋" w:hAnsi="仿宋" w:eastAsia="仿宋" w:cs="仿宋"/>
          <w:color w:val="auto"/>
          <w:kern w:val="0"/>
          <w:sz w:val="24"/>
          <w:szCs w:val="24"/>
          <w:highlight w:val="none"/>
          <w:u w:val="single"/>
        </w:rPr>
        <w:t>承包人代表任命和更换：</w:t>
      </w:r>
    </w:p>
    <w:p>
      <w:pPr>
        <w:ind w:left="12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21.2.1</w:t>
      </w:r>
      <w:r>
        <w:rPr>
          <w:rFonts w:hint="eastAsia" w:ascii="仿宋" w:hAnsi="仿宋" w:eastAsia="仿宋" w:cs="仿宋"/>
          <w:color w:val="auto"/>
          <w:kern w:val="0"/>
          <w:sz w:val="24"/>
          <w:szCs w:val="24"/>
          <w:highlight w:val="none"/>
          <w:u w:val="single"/>
        </w:rPr>
        <w:t>承包人所投入的工程管理人员和工程技术人员应与投标文件保持一致，发包人不要求更换时不得更换。因特殊情况需要更换的，承包人应以书面形式向监理单位提出申请（附前任和后任人员的详细履历资料），经总监理工程师签署意见后向发包人提出申请，并征得发包人同意。承包人必须保证后任人员的资质、资历、业绩、实际工作能力不低于前任人员的能力素质。前任人员更换后，后任继续形式合同文件约定的职权，履行相关义务。</w:t>
      </w:r>
    </w:p>
    <w:p>
      <w:pPr>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项目经理必须常驻现场，承包人擅自更换项目经理及现场管理机构主要部门负责人的，按专用条款第</w:t>
      </w:r>
      <w:r>
        <w:rPr>
          <w:rFonts w:ascii="仿宋" w:hAnsi="仿宋" w:eastAsia="仿宋" w:cs="仿宋"/>
          <w:color w:val="auto"/>
          <w:kern w:val="0"/>
          <w:sz w:val="24"/>
          <w:szCs w:val="24"/>
          <w:highlight w:val="none"/>
          <w:u w:val="single"/>
        </w:rPr>
        <w:t>90条承担违约责任。</w:t>
      </w:r>
    </w:p>
    <w:p>
      <w:pPr>
        <w:ind w:left="12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21.2.2现场管理机构主要人员的实际工作能力和工作表现达不到招标文件明确要求或投标文件的承诺，或工作态度存在严重不足，不适应现场工作需要，发包人有权向承包人提出撤换。承包人可以提出整改承诺，如发包人不予接受，或认为整改效果不明显的，则承包人必须在7天内无条件撤换，并按专用条款第90条承担违约责任。所调换人员的资质、资历、学历、职称、业绩、实际工作能力不低于投标文件中承诺人员的素质。</w:t>
      </w:r>
    </w:p>
    <w:p>
      <w:pPr>
        <w:ind w:left="12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21.2.3现场管理机构主要人员必须全职在现场办公，不得兼职或者擅自离岗。因特殊情况需短暂离岗的，应当事先报监理单位批准，必须妥善安排工地现场的工作交接，并按以下规定执行：</w:t>
      </w:r>
    </w:p>
    <w:p>
      <w:pPr>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离场</w:t>
      </w:r>
      <w:r>
        <w:rPr>
          <w:rFonts w:ascii="仿宋" w:hAnsi="仿宋" w:eastAsia="仿宋" w:cs="仿宋"/>
          <w:color w:val="auto"/>
          <w:kern w:val="0"/>
          <w:sz w:val="24"/>
          <w:szCs w:val="24"/>
          <w:highlight w:val="none"/>
          <w:u w:val="single"/>
        </w:rPr>
        <w:t>1天内，须将工作交接情况知会现场监理工程师；</w:t>
      </w:r>
    </w:p>
    <w:p>
      <w:pPr>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离场</w:t>
      </w:r>
      <w:r>
        <w:rPr>
          <w:rFonts w:ascii="仿宋" w:hAnsi="仿宋" w:eastAsia="仿宋" w:cs="仿宋"/>
          <w:color w:val="auto"/>
          <w:kern w:val="0"/>
          <w:sz w:val="24"/>
          <w:szCs w:val="24"/>
          <w:highlight w:val="none"/>
          <w:u w:val="single"/>
        </w:rPr>
        <w:t>2到3天，须将工作交接情况知会现场监理工程师，经总监理工程师批准，并向发包人报告；</w:t>
      </w:r>
    </w:p>
    <w:p>
      <w:pPr>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离场</w:t>
      </w:r>
      <w:r>
        <w:rPr>
          <w:rFonts w:ascii="仿宋" w:hAnsi="仿宋" w:eastAsia="仿宋" w:cs="仿宋"/>
          <w:color w:val="auto"/>
          <w:kern w:val="0"/>
          <w:sz w:val="24"/>
          <w:szCs w:val="24"/>
          <w:highlight w:val="none"/>
          <w:u w:val="single"/>
        </w:rPr>
        <w:t>3天以上，须将工作交接情况知会总监理工程师，并经发包人批准；</w:t>
      </w:r>
    </w:p>
    <w:p>
      <w:pPr>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一个月内累计离场时间不得超过</w:t>
      </w:r>
      <w:r>
        <w:rPr>
          <w:rFonts w:ascii="仿宋" w:hAnsi="仿宋" w:eastAsia="仿宋" w:cs="仿宋"/>
          <w:color w:val="auto"/>
          <w:kern w:val="0"/>
          <w:sz w:val="24"/>
          <w:szCs w:val="24"/>
          <w:highlight w:val="none"/>
          <w:u w:val="single"/>
        </w:rPr>
        <w:t>7天（工作日）。</w:t>
      </w:r>
    </w:p>
    <w:p>
      <w:pPr>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若违反上述规定，总监理工程师可发出停工令，待人员回到岗位后才批准开工。承包人必须就此作出书面解释和保证，自行承担由此产生的工期延误等损失，并按照本合同的约定承担违约责任。</w:t>
      </w:r>
    </w:p>
    <w:p>
      <w:pPr>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本合同所称“现场办公”，指在工程实施过程中，施工总承包管理部及属下专业项目部的主要负责人员必须在施工场地全职上班，履行各自的职责。</w:t>
      </w:r>
    </w:p>
    <w:p>
      <w:pPr>
        <w:ind w:left="120"/>
        <w:rPr>
          <w:rFonts w:ascii="仿宋" w:hAnsi="仿宋" w:eastAsia="仿宋" w:cs="仿宋"/>
          <w:color w:val="auto"/>
          <w:kern w:val="0"/>
          <w:sz w:val="24"/>
          <w:szCs w:val="24"/>
          <w:highlight w:val="none"/>
        </w:rPr>
      </w:pPr>
    </w:p>
    <w:p>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21.3 </w:t>
      </w:r>
      <w:r>
        <w:rPr>
          <w:rFonts w:hint="eastAsia" w:ascii="仿宋" w:hAnsi="仿宋" w:eastAsia="仿宋" w:cs="仿宋"/>
          <w:color w:val="auto"/>
          <w:kern w:val="0"/>
          <w:sz w:val="24"/>
          <w:szCs w:val="24"/>
          <w:highlight w:val="none"/>
        </w:rPr>
        <w:t>监理工程师代表任命和撤回：</w:t>
      </w:r>
      <w:r>
        <w:rPr>
          <w:rFonts w:hint="eastAsia" w:ascii="仿宋" w:hAnsi="仿宋" w:eastAsia="仿宋" w:cs="仿宋"/>
          <w:color w:val="auto"/>
          <w:kern w:val="0"/>
          <w:sz w:val="24"/>
          <w:szCs w:val="24"/>
          <w:highlight w:val="none"/>
          <w:u w:val="single"/>
        </w:rPr>
        <w:t>由发包人发出书面通知为准。</w:t>
      </w:r>
    </w:p>
    <w:p>
      <w:pPr>
        <w:ind w:left="120"/>
        <w:rPr>
          <w:rFonts w:ascii="仿宋" w:hAnsi="仿宋" w:eastAsia="仿宋" w:cs="仿宋"/>
          <w:color w:val="auto"/>
          <w:kern w:val="0"/>
          <w:sz w:val="24"/>
          <w:szCs w:val="24"/>
          <w:highlight w:val="none"/>
        </w:rPr>
      </w:pPr>
    </w:p>
    <w:p>
      <w:pPr>
        <w:ind w:left="12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造价工程师代表任命和撤回：</w:t>
      </w:r>
      <w:r>
        <w:rPr>
          <w:rFonts w:hint="eastAsia" w:ascii="仿宋" w:hAnsi="仿宋" w:eastAsia="仿宋" w:cs="仿宋"/>
          <w:color w:val="auto"/>
          <w:kern w:val="0"/>
          <w:sz w:val="24"/>
          <w:szCs w:val="24"/>
          <w:highlight w:val="none"/>
          <w:u w:val="single"/>
        </w:rPr>
        <w:t>由发包人发出书面通知为准。</w:t>
      </w:r>
    </w:p>
    <w:p>
      <w:pPr>
        <w:ind w:left="120"/>
        <w:rPr>
          <w:rFonts w:ascii="仿宋" w:hAnsi="仿宋" w:eastAsia="仿宋" w:cs="仿宋"/>
          <w:color w:val="auto"/>
          <w:kern w:val="0"/>
          <w:sz w:val="24"/>
          <w:szCs w:val="24"/>
          <w:highlight w:val="none"/>
        </w:rPr>
      </w:pPr>
    </w:p>
    <w:p>
      <w:pPr>
        <w:ind w:left="12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21.4 </w:t>
      </w:r>
      <w:r>
        <w:rPr>
          <w:rFonts w:hint="eastAsia" w:ascii="仿宋" w:hAnsi="仿宋" w:eastAsia="仿宋" w:cs="仿宋"/>
          <w:color w:val="auto"/>
          <w:kern w:val="0"/>
          <w:sz w:val="24"/>
          <w:szCs w:val="24"/>
          <w:highlight w:val="none"/>
        </w:rPr>
        <w:t>承包人代表授权人选任命和撤回：</w:t>
      </w:r>
      <w:r>
        <w:rPr>
          <w:rFonts w:hint="eastAsia" w:ascii="仿宋" w:hAnsi="仿宋" w:eastAsia="仿宋" w:cs="仿宋"/>
          <w:color w:val="auto"/>
          <w:kern w:val="0"/>
          <w:sz w:val="24"/>
          <w:szCs w:val="24"/>
          <w:highlight w:val="none"/>
          <w:u w:val="single"/>
        </w:rPr>
        <w:t>由发包人发出书面通知为准。</w:t>
      </w:r>
    </w:p>
    <w:p>
      <w:pPr>
        <w:ind w:left="120"/>
        <w:rPr>
          <w:rFonts w:ascii="仿宋" w:hAnsi="仿宋" w:eastAsia="仿宋" w:cs="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575" w:name="_Toc23656"/>
      <w:bookmarkStart w:id="576" w:name="_Toc31872"/>
      <w:bookmarkStart w:id="577" w:name="_Toc25653723"/>
      <w:bookmarkStart w:id="578" w:name="_Toc469384093"/>
      <w:r>
        <w:rPr>
          <w:rFonts w:ascii="仿宋" w:hAnsi="仿宋" w:eastAsia="仿宋" w:cs="仿宋"/>
          <w:b w:val="0"/>
          <w:bCs/>
          <w:color w:val="auto"/>
          <w:highlight w:val="none"/>
        </w:rPr>
        <w:t xml:space="preserve">22. </w:t>
      </w:r>
      <w:r>
        <w:rPr>
          <w:rFonts w:hint="eastAsia" w:ascii="仿宋" w:hAnsi="仿宋" w:eastAsia="仿宋" w:cs="仿宋"/>
          <w:b w:val="0"/>
          <w:bCs/>
          <w:color w:val="auto"/>
          <w:highlight w:val="none"/>
        </w:rPr>
        <w:t>发包人代表</w:t>
      </w:r>
      <w:bookmarkEnd w:id="575"/>
      <w:bookmarkEnd w:id="576"/>
      <w:bookmarkEnd w:id="577"/>
      <w:bookmarkEnd w:id="578"/>
    </w:p>
    <w:p>
      <w:pPr>
        <w:ind w:left="120"/>
        <w:rPr>
          <w:rFonts w:ascii="仿宋" w:hAnsi="仿宋" w:eastAsia="仿宋"/>
          <w:color w:val="auto"/>
          <w:kern w:val="0"/>
          <w:sz w:val="24"/>
          <w:szCs w:val="24"/>
          <w:highlight w:val="none"/>
        </w:rPr>
      </w:pPr>
    </w:p>
    <w:p>
      <w:pPr>
        <w:ind w:left="12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22.1 </w:t>
      </w:r>
      <w:r>
        <w:rPr>
          <w:rFonts w:hint="eastAsia" w:ascii="仿宋" w:hAnsi="仿宋" w:eastAsia="仿宋" w:cs="仿宋"/>
          <w:color w:val="auto"/>
          <w:kern w:val="0"/>
          <w:sz w:val="24"/>
          <w:szCs w:val="24"/>
          <w:highlight w:val="none"/>
        </w:rPr>
        <w:t>发包人代表及其权力的限制</w:t>
      </w:r>
    </w:p>
    <w:p>
      <w:pPr>
        <w:ind w:left="120"/>
        <w:rPr>
          <w:rFonts w:ascii="仿宋" w:hAnsi="仿宋" w:eastAsia="仿宋"/>
          <w:color w:val="auto"/>
          <w:kern w:val="0"/>
          <w:sz w:val="24"/>
          <w:szCs w:val="24"/>
          <w:highlight w:val="none"/>
        </w:rPr>
      </w:pPr>
    </w:p>
    <w:p>
      <w:pPr>
        <w:spacing w:line="360" w:lineRule="auto"/>
        <w:ind w:left="12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 xml:space="preserve">）发包人任命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 xml:space="preserve">为发包人代表，其通讯方式为 </w:t>
      </w:r>
      <w:r>
        <w:rPr>
          <w:rFonts w:ascii="仿宋" w:hAnsi="仿宋" w:eastAsia="仿宋" w:cs="仿宋"/>
          <w:color w:val="auto"/>
          <w:kern w:val="0"/>
          <w:sz w:val="24"/>
          <w:szCs w:val="24"/>
          <w:highlight w:val="none"/>
        </w:rPr>
        <w:t xml:space="preserve">      </w:t>
      </w:r>
    </w:p>
    <w:p>
      <w:pPr>
        <w:spacing w:line="360" w:lineRule="auto"/>
        <w:ind w:firstLine="240" w:firstLineChars="1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通讯地址：</w:t>
      </w:r>
      <w:r>
        <w:rPr>
          <w:rFonts w:hint="eastAsia" w:ascii="仿宋" w:hAnsi="仿宋" w:eastAsia="仿宋" w:cs="仿宋"/>
          <w:color w:val="auto"/>
          <w:kern w:val="0"/>
          <w:sz w:val="24"/>
          <w:szCs w:val="24"/>
          <w:highlight w:val="none"/>
          <w:u w:val="single"/>
        </w:rPr>
        <w:t xml:space="preserve"> 广州市天河区</w:t>
      </w:r>
      <w:r>
        <w:rPr>
          <w:rFonts w:hint="eastAsia" w:ascii="仿宋" w:hAnsi="仿宋" w:eastAsia="仿宋" w:cs="仿宋"/>
          <w:color w:val="auto"/>
          <w:kern w:val="0"/>
          <w:sz w:val="24"/>
          <w:szCs w:val="24"/>
          <w:highlight w:val="none"/>
          <w:u w:val="single"/>
          <w:lang w:val="en-US" w:eastAsia="zh-CN"/>
        </w:rPr>
        <w:t>龙口中路77号首层</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邮政编码：</w:t>
      </w:r>
      <w:r>
        <w:rPr>
          <w:rFonts w:hint="eastAsia" w:ascii="宋体" w:hAnsi="宋体" w:cs="仿宋"/>
          <w:color w:val="auto"/>
          <w:kern w:val="0"/>
          <w:sz w:val="24"/>
          <w:szCs w:val="24"/>
          <w:highlight w:val="none"/>
          <w:u w:val="single"/>
        </w:rPr>
        <w:t xml:space="preserve">     /     </w:t>
      </w:r>
    </w:p>
    <w:p>
      <w:pPr>
        <w:spacing w:line="360" w:lineRule="auto"/>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联系电话：</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rPr>
        <w:t>传真号码：</w:t>
      </w:r>
      <w:r>
        <w:rPr>
          <w:rFonts w:hint="eastAsia" w:ascii="宋体" w:hAnsi="宋体" w:cs="仿宋"/>
          <w:color w:val="auto"/>
          <w:kern w:val="0"/>
          <w:sz w:val="24"/>
          <w:szCs w:val="24"/>
          <w:highlight w:val="none"/>
          <w:u w:val="single"/>
        </w:rPr>
        <w:t xml:space="preserve">     /     </w:t>
      </w:r>
    </w:p>
    <w:p>
      <w:pPr>
        <w:ind w:firstLine="240" w:firstLineChars="100"/>
        <w:rPr>
          <w:rFonts w:ascii="仿宋" w:hAnsi="仿宋" w:eastAsia="仿宋"/>
          <w:color w:val="auto"/>
          <w:sz w:val="24"/>
          <w:szCs w:val="24"/>
          <w:highlight w:val="none"/>
        </w:rPr>
      </w:pPr>
    </w:p>
    <w:p>
      <w:pPr>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）发包人对发包人代表权力做如下限制：</w:t>
      </w:r>
      <w:r>
        <w:rPr>
          <w:rFonts w:hint="eastAsia" w:ascii="仿宋" w:hAnsi="仿宋" w:eastAsia="仿宋" w:cs="仿宋"/>
          <w:color w:val="auto"/>
          <w:sz w:val="24"/>
          <w:szCs w:val="24"/>
          <w:highlight w:val="none"/>
          <w:u w:val="single"/>
        </w:rPr>
        <w:t>在权限范围内全面负责工程质量、进度、投资和安全、信息等管理工作；发包人代表接收和签发工程技术资料，按发包人管理制度审核完成的工程量和进度款、发出变更和验收指令等。</w:t>
      </w:r>
    </w:p>
    <w:p>
      <w:pPr>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除必须发包人代表出面的情况外，承包人应负责协调施工期间外界的各种干扰；发包人代表将在承包人的配合下，充分运用自己对各方面的影响力，尽可能地将外界对工程的干扰减少到最少程度。这种协调并不解除承包人的各项责任与义务。</w:t>
      </w:r>
    </w:p>
    <w:p>
      <w:pPr>
        <w:rPr>
          <w:rFonts w:ascii="仿宋" w:hAnsi="仿宋" w:eastAsia="仿宋"/>
          <w:color w:val="auto"/>
          <w:sz w:val="24"/>
          <w:szCs w:val="24"/>
          <w:highlight w:val="none"/>
          <w:u w:val="single"/>
        </w:rPr>
      </w:pPr>
    </w:p>
    <w:p>
      <w:pPr>
        <w:pStyle w:val="8"/>
        <w:tabs>
          <w:tab w:val="left" w:pos="420"/>
        </w:tabs>
        <w:rPr>
          <w:rFonts w:ascii="仿宋" w:hAnsi="仿宋" w:eastAsia="仿宋"/>
          <w:b w:val="0"/>
          <w:bCs/>
          <w:color w:val="auto"/>
          <w:highlight w:val="none"/>
        </w:rPr>
      </w:pPr>
      <w:bookmarkStart w:id="579" w:name="_Toc25653724"/>
      <w:bookmarkStart w:id="580" w:name="_Toc20965"/>
      <w:bookmarkStart w:id="581" w:name="_Toc469384094"/>
      <w:bookmarkStart w:id="582" w:name="_Toc15591"/>
      <w:r>
        <w:rPr>
          <w:rFonts w:ascii="仿宋" w:hAnsi="仿宋" w:eastAsia="仿宋" w:cs="仿宋"/>
          <w:b w:val="0"/>
          <w:bCs/>
          <w:color w:val="auto"/>
          <w:highlight w:val="none"/>
        </w:rPr>
        <w:t xml:space="preserve">23. </w:t>
      </w:r>
      <w:r>
        <w:rPr>
          <w:rFonts w:hint="eastAsia" w:ascii="仿宋" w:hAnsi="仿宋" w:eastAsia="仿宋" w:cs="仿宋"/>
          <w:b w:val="0"/>
          <w:bCs/>
          <w:color w:val="auto"/>
          <w:highlight w:val="none"/>
        </w:rPr>
        <w:t>监理工程师</w:t>
      </w:r>
      <w:bookmarkEnd w:id="579"/>
      <w:bookmarkEnd w:id="580"/>
      <w:bookmarkEnd w:id="581"/>
      <w:bookmarkEnd w:id="582"/>
    </w:p>
    <w:p>
      <w:pPr>
        <w:ind w:firstLine="120" w:firstLineChars="50"/>
        <w:rPr>
          <w:rFonts w:ascii="仿宋" w:hAnsi="仿宋" w:eastAsia="仿宋"/>
          <w:color w:val="auto"/>
          <w:sz w:val="24"/>
          <w:szCs w:val="24"/>
          <w:highlight w:val="none"/>
        </w:rPr>
      </w:pPr>
    </w:p>
    <w:p>
      <w:pPr>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23.1 </w:t>
      </w:r>
      <w:r>
        <w:rPr>
          <w:rFonts w:hint="eastAsia" w:ascii="仿宋" w:hAnsi="仿宋" w:eastAsia="仿宋" w:cs="仿宋"/>
          <w:color w:val="auto"/>
          <w:sz w:val="24"/>
          <w:szCs w:val="24"/>
          <w:highlight w:val="none"/>
        </w:rPr>
        <w:t>负责合同工程的监理人及任命的监理工程师</w:t>
      </w:r>
    </w:p>
    <w:p>
      <w:pPr>
        <w:ind w:firstLine="120" w:firstLineChars="50"/>
        <w:rPr>
          <w:rFonts w:ascii="仿宋" w:hAnsi="仿宋" w:eastAsia="仿宋"/>
          <w:color w:val="auto"/>
          <w:sz w:val="24"/>
          <w:szCs w:val="24"/>
          <w:highlight w:val="none"/>
        </w:rPr>
      </w:pPr>
    </w:p>
    <w:p>
      <w:pPr>
        <w:ind w:firstLine="120" w:firstLineChars="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）监理人：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ind w:firstLine="120" w:firstLineChars="50"/>
        <w:rPr>
          <w:rFonts w:ascii="仿宋" w:hAnsi="仿宋" w:eastAsia="仿宋"/>
          <w:color w:val="auto"/>
          <w:sz w:val="24"/>
          <w:szCs w:val="24"/>
          <w:highlight w:val="none"/>
        </w:rPr>
      </w:pPr>
    </w:p>
    <w:p>
      <w:pPr>
        <w:spacing w:line="360" w:lineRule="auto"/>
        <w:ind w:firstLine="120" w:firstLine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）任命</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为监理工程师，其通讯方式为</w:t>
      </w:r>
    </w:p>
    <w:p>
      <w:pPr>
        <w:spacing w:line="360" w:lineRule="auto"/>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通讯地址：</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邮政编码：</w:t>
      </w:r>
      <w:r>
        <w:rPr>
          <w:rFonts w:ascii="仿宋" w:hAnsi="仿宋" w:eastAsia="仿宋" w:cs="仿宋"/>
          <w:color w:val="auto"/>
          <w:kern w:val="0"/>
          <w:sz w:val="24"/>
          <w:szCs w:val="24"/>
          <w:highlight w:val="none"/>
          <w:u w:val="single"/>
        </w:rPr>
        <w:t xml:space="preserve">   /     </w:t>
      </w:r>
    </w:p>
    <w:p>
      <w:pPr>
        <w:spacing w:line="360" w:lineRule="auto"/>
        <w:ind w:firstLine="120" w:firstLineChars="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传真号码：</w:t>
      </w:r>
      <w:r>
        <w:rPr>
          <w:rFonts w:ascii="仿宋" w:hAnsi="仿宋" w:eastAsia="仿宋" w:cs="仿宋"/>
          <w:color w:val="auto"/>
          <w:kern w:val="0"/>
          <w:sz w:val="24"/>
          <w:szCs w:val="24"/>
          <w:highlight w:val="none"/>
          <w:u w:val="single"/>
        </w:rPr>
        <w:t xml:space="preserve">   /     </w:t>
      </w:r>
    </w:p>
    <w:p>
      <w:pPr>
        <w:spacing w:line="360" w:lineRule="auto"/>
        <w:ind w:firstLine="120" w:firstLineChars="50"/>
        <w:rPr>
          <w:rFonts w:ascii="仿宋" w:hAnsi="仿宋" w:eastAsia="仿宋"/>
          <w:color w:val="auto"/>
          <w:sz w:val="24"/>
          <w:szCs w:val="24"/>
          <w:highlight w:val="none"/>
        </w:rPr>
      </w:pPr>
    </w:p>
    <w:p>
      <w:pPr>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23.3 (12)</w:t>
      </w:r>
      <w:r>
        <w:rPr>
          <w:rFonts w:hint="eastAsia" w:ascii="仿宋" w:hAnsi="仿宋" w:eastAsia="仿宋" w:cs="仿宋"/>
          <w:color w:val="auto"/>
          <w:sz w:val="24"/>
          <w:szCs w:val="24"/>
          <w:highlight w:val="none"/>
        </w:rPr>
        <w:t>需要发包人批准的其他事项：</w:t>
      </w:r>
      <w:r>
        <w:rPr>
          <w:rFonts w:hint="eastAsia" w:ascii="仿宋" w:hAnsi="仿宋" w:eastAsia="仿宋" w:cs="仿宋"/>
          <w:color w:val="auto"/>
          <w:sz w:val="24"/>
          <w:szCs w:val="24"/>
          <w:highlight w:val="none"/>
          <w:u w:val="single"/>
        </w:rPr>
        <w:t>监理工程师发出的工期索赔审批须经发包人批准后方可生效，同时应将批准的工期索赔审批表抄送发包人代表。</w:t>
      </w:r>
    </w:p>
    <w:p>
      <w:pPr>
        <w:ind w:firstLine="360" w:firstLineChars="1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23.4通用条款中对应的（1）-（11）项应在取得发包人的专项批准后方可生效，同时监理工程师应将指令、审批表、批准的变更抄送发包人代表。</w:t>
      </w:r>
    </w:p>
    <w:p>
      <w:pPr>
        <w:ind w:firstLine="360" w:firstLineChars="1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23.5发包人、监理单位、承包人的工作往来顺序：除发包人另有明确之外，</w:t>
      </w:r>
      <w:r>
        <w:rPr>
          <w:rFonts w:hint="eastAsia" w:ascii="仿宋" w:hAnsi="仿宋" w:eastAsia="仿宋" w:cs="仿宋"/>
          <w:color w:val="auto"/>
          <w:sz w:val="24"/>
          <w:szCs w:val="24"/>
          <w:highlight w:val="none"/>
          <w:u w:val="single"/>
        </w:rPr>
        <w:t>原则上发包人、承包人双方的工作往来均先经过监理单位，由监理单位签署意见后报发包人或者送承包人。</w:t>
      </w:r>
    </w:p>
    <w:p>
      <w:pPr>
        <w:ind w:firstLine="120" w:firstLineChars="50"/>
        <w:rPr>
          <w:rFonts w:ascii="仿宋" w:hAnsi="仿宋" w:eastAsia="仿宋"/>
          <w:color w:val="auto"/>
          <w:sz w:val="24"/>
          <w:szCs w:val="24"/>
          <w:highlight w:val="none"/>
        </w:rPr>
      </w:pPr>
    </w:p>
    <w:p>
      <w:pPr>
        <w:pStyle w:val="8"/>
        <w:tabs>
          <w:tab w:val="left" w:pos="420"/>
        </w:tabs>
        <w:rPr>
          <w:rFonts w:ascii="仿宋" w:hAnsi="仿宋" w:eastAsia="仿宋"/>
          <w:b w:val="0"/>
          <w:bCs/>
          <w:color w:val="auto"/>
          <w:highlight w:val="none"/>
        </w:rPr>
      </w:pPr>
      <w:bookmarkStart w:id="583" w:name="_Toc25653725"/>
      <w:bookmarkStart w:id="584" w:name="_Toc469384095"/>
      <w:bookmarkStart w:id="585" w:name="_Toc22142"/>
      <w:bookmarkStart w:id="586" w:name="_Toc32184"/>
      <w:r>
        <w:rPr>
          <w:rFonts w:ascii="仿宋" w:hAnsi="仿宋" w:eastAsia="仿宋" w:cs="仿宋"/>
          <w:b w:val="0"/>
          <w:bCs/>
          <w:color w:val="auto"/>
          <w:highlight w:val="none"/>
        </w:rPr>
        <w:t xml:space="preserve">24. </w:t>
      </w:r>
      <w:r>
        <w:rPr>
          <w:rFonts w:hint="eastAsia" w:ascii="仿宋" w:hAnsi="仿宋" w:eastAsia="仿宋" w:cs="仿宋"/>
          <w:b w:val="0"/>
          <w:bCs/>
          <w:color w:val="auto"/>
          <w:highlight w:val="none"/>
        </w:rPr>
        <w:t>造价工程师</w:t>
      </w:r>
      <w:bookmarkEnd w:id="583"/>
      <w:bookmarkEnd w:id="584"/>
      <w:bookmarkEnd w:id="585"/>
      <w:bookmarkEnd w:id="586"/>
    </w:p>
    <w:p>
      <w:pPr>
        <w:ind w:firstLine="120" w:firstLineChars="50"/>
        <w:rPr>
          <w:rFonts w:ascii="仿宋" w:hAnsi="仿宋" w:eastAsia="仿宋"/>
          <w:color w:val="auto"/>
          <w:sz w:val="24"/>
          <w:szCs w:val="24"/>
          <w:highlight w:val="none"/>
        </w:rPr>
      </w:pPr>
    </w:p>
    <w:p>
      <w:pPr>
        <w:spacing w:line="360" w:lineRule="auto"/>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24.1 </w:t>
      </w:r>
      <w:r>
        <w:rPr>
          <w:rFonts w:hint="eastAsia" w:ascii="仿宋" w:hAnsi="仿宋" w:eastAsia="仿宋" w:cs="仿宋"/>
          <w:color w:val="auto"/>
          <w:sz w:val="24"/>
          <w:szCs w:val="24"/>
          <w:highlight w:val="none"/>
        </w:rPr>
        <w:t>负责合同工程的发包人任命的造价工程师或造价管理员</w:t>
      </w:r>
    </w:p>
    <w:p>
      <w:pPr>
        <w:spacing w:line="360" w:lineRule="auto"/>
        <w:ind w:firstLine="360" w:firstLineChars="1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）发包人任命</w:t>
      </w:r>
      <w:r>
        <w:rPr>
          <w:rFonts w:hint="eastAsia" w:ascii="宋体" w:hAnsi="宋体"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为造价工程师/造价管理员，其通讯方式为 </w:t>
      </w:r>
      <w:r>
        <w:rPr>
          <w:rFonts w:ascii="仿宋" w:hAnsi="仿宋" w:eastAsia="仿宋" w:cs="仿宋"/>
          <w:color w:val="auto"/>
          <w:sz w:val="24"/>
          <w:szCs w:val="24"/>
          <w:highlight w:val="none"/>
        </w:rPr>
        <w:t xml:space="preserve">       </w:t>
      </w:r>
    </w:p>
    <w:p>
      <w:pPr>
        <w:spacing w:line="360" w:lineRule="auto"/>
        <w:ind w:left="12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通讯地址：</w:t>
      </w:r>
      <w:r>
        <w:rPr>
          <w:rFonts w:hint="eastAsia" w:ascii="仿宋" w:hAnsi="仿宋" w:eastAsia="仿宋" w:cs="仿宋"/>
          <w:color w:val="auto"/>
          <w:kern w:val="0"/>
          <w:sz w:val="24"/>
          <w:szCs w:val="24"/>
          <w:highlight w:val="none"/>
          <w:u w:val="single"/>
        </w:rPr>
        <w:t>广州市天河区临江大道3号10楼</w:t>
      </w:r>
      <w:r>
        <w:rPr>
          <w:rFonts w:hint="eastAsia" w:ascii="仿宋" w:hAnsi="仿宋" w:eastAsia="仿宋" w:cs="仿宋"/>
          <w:color w:val="auto"/>
          <w:kern w:val="0"/>
          <w:sz w:val="24"/>
          <w:szCs w:val="24"/>
          <w:highlight w:val="none"/>
        </w:rPr>
        <w:t xml:space="preserve">  邮政编码：</w:t>
      </w:r>
      <w:r>
        <w:rPr>
          <w:rFonts w:hint="eastAsia" w:ascii="宋体" w:hAnsi="宋体" w:cs="仿宋"/>
          <w:color w:val="auto"/>
          <w:kern w:val="0"/>
          <w:sz w:val="24"/>
          <w:szCs w:val="24"/>
          <w:highlight w:val="none"/>
          <w:u w:val="single"/>
        </w:rPr>
        <w:t xml:space="preserve">     /     </w:t>
      </w:r>
    </w:p>
    <w:p>
      <w:pPr>
        <w:spacing w:line="360" w:lineRule="auto"/>
        <w:ind w:firstLine="120" w:firstLineChars="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联系电话：</w:t>
      </w:r>
      <w:r>
        <w:rPr>
          <w:rFonts w:hint="eastAsia" w:ascii="宋体" w:hAnsi="宋体" w:cs="仿宋"/>
          <w:color w:val="auto"/>
          <w:kern w:val="0"/>
          <w:sz w:val="24"/>
          <w:szCs w:val="24"/>
          <w:highlight w:val="none"/>
          <w:u w:val="single"/>
        </w:rPr>
        <w:t xml:space="preserve">     /     </w:t>
      </w: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传真号码：</w:t>
      </w:r>
      <w:r>
        <w:rPr>
          <w:rFonts w:hint="eastAsia" w:ascii="宋体" w:hAnsi="宋体" w:cs="仿宋"/>
          <w:color w:val="auto"/>
          <w:kern w:val="0"/>
          <w:sz w:val="24"/>
          <w:szCs w:val="24"/>
          <w:highlight w:val="none"/>
          <w:u w:val="single"/>
        </w:rPr>
        <w:t xml:space="preserve">     /     </w:t>
      </w:r>
    </w:p>
    <w:p>
      <w:pPr>
        <w:ind w:firstLine="120" w:firstLineChars="50"/>
        <w:rPr>
          <w:rFonts w:ascii="仿宋" w:hAnsi="仿宋" w:eastAsia="仿宋" w:cs="仿宋"/>
          <w:color w:val="auto"/>
          <w:sz w:val="24"/>
          <w:szCs w:val="24"/>
          <w:highlight w:val="none"/>
          <w:u w:val="single"/>
        </w:rPr>
      </w:pPr>
    </w:p>
    <w:p>
      <w:pPr>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24.3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）需要发包人批准的其他事项：发包人任命的</w:t>
      </w:r>
      <w:r>
        <w:rPr>
          <w:rFonts w:hint="eastAsia" w:ascii="仿宋" w:hAnsi="仿宋" w:eastAsia="仿宋" w:cs="仿宋"/>
          <w:color w:val="auto"/>
          <w:sz w:val="24"/>
          <w:szCs w:val="24"/>
          <w:highlight w:val="none"/>
          <w:u w:val="single"/>
        </w:rPr>
        <w:t>造价工程师或造价管理员审核的变更价款、结算价款、费用索赔、工程款支付须经发包人批准后方可生效。</w:t>
      </w:r>
    </w:p>
    <w:p>
      <w:pPr>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u w:val="single"/>
        </w:rPr>
        <w:t>24.4通用条款对应的（1）-（6）项应取得发包人的专项批准后方可生效。</w:t>
      </w:r>
    </w:p>
    <w:p>
      <w:pPr>
        <w:ind w:firstLine="120" w:firstLineChars="50"/>
        <w:rPr>
          <w:rFonts w:ascii="仿宋" w:hAnsi="仿宋" w:eastAsia="仿宋" w:cs="仿宋"/>
          <w:color w:val="auto"/>
          <w:sz w:val="24"/>
          <w:szCs w:val="24"/>
          <w:highlight w:val="none"/>
        </w:rPr>
      </w:pPr>
    </w:p>
    <w:p>
      <w:pPr>
        <w:pStyle w:val="8"/>
        <w:tabs>
          <w:tab w:val="left" w:pos="420"/>
        </w:tabs>
        <w:rPr>
          <w:rFonts w:ascii="仿宋" w:hAnsi="仿宋" w:eastAsia="仿宋"/>
          <w:b w:val="0"/>
          <w:bCs/>
          <w:color w:val="auto"/>
          <w:highlight w:val="none"/>
        </w:rPr>
      </w:pPr>
      <w:bookmarkStart w:id="587" w:name="_Toc469384096"/>
      <w:bookmarkStart w:id="588" w:name="_Toc25653726"/>
      <w:bookmarkStart w:id="589" w:name="_Toc19970"/>
      <w:bookmarkStart w:id="590" w:name="_Toc22736"/>
      <w:r>
        <w:rPr>
          <w:rFonts w:ascii="仿宋" w:hAnsi="仿宋" w:eastAsia="仿宋" w:cs="仿宋"/>
          <w:b w:val="0"/>
          <w:bCs/>
          <w:color w:val="auto"/>
          <w:highlight w:val="none"/>
        </w:rPr>
        <w:t xml:space="preserve">25. </w:t>
      </w:r>
      <w:r>
        <w:rPr>
          <w:rFonts w:hint="eastAsia" w:ascii="仿宋" w:hAnsi="仿宋" w:eastAsia="仿宋" w:cs="仿宋"/>
          <w:b w:val="0"/>
          <w:bCs/>
          <w:color w:val="auto"/>
          <w:highlight w:val="none"/>
        </w:rPr>
        <w:t>承包人代表</w:t>
      </w:r>
      <w:bookmarkEnd w:id="587"/>
      <w:bookmarkEnd w:id="588"/>
      <w:bookmarkEnd w:id="589"/>
      <w:bookmarkEnd w:id="590"/>
    </w:p>
    <w:p>
      <w:pPr>
        <w:ind w:firstLine="120" w:firstLineChars="50"/>
        <w:rPr>
          <w:rFonts w:ascii="仿宋" w:hAnsi="仿宋" w:eastAsia="仿宋"/>
          <w:color w:val="auto"/>
          <w:sz w:val="24"/>
          <w:szCs w:val="24"/>
          <w:highlight w:val="none"/>
        </w:rPr>
      </w:pPr>
    </w:p>
    <w:p>
      <w:pPr>
        <w:spacing w:line="360" w:lineRule="auto"/>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25.1 </w:t>
      </w:r>
      <w:r>
        <w:rPr>
          <w:rFonts w:hint="eastAsia" w:ascii="仿宋" w:hAnsi="仿宋" w:eastAsia="仿宋" w:cs="仿宋"/>
          <w:color w:val="auto"/>
          <w:sz w:val="24"/>
          <w:szCs w:val="24"/>
          <w:highlight w:val="none"/>
        </w:rPr>
        <w:t>承包人任命</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为承包人代表，其通讯方式为</w:t>
      </w:r>
    </w:p>
    <w:p>
      <w:pPr>
        <w:spacing w:line="360" w:lineRule="auto"/>
        <w:ind w:left="120"/>
        <w:jc w:val="left"/>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 xml:space="preserve">通讯地址：                                                                   </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rPr>
        <w:t>邮政编码：</w:t>
      </w:r>
      <w:r>
        <w:rPr>
          <w:rFonts w:ascii="仿宋" w:hAnsi="仿宋" w:eastAsia="仿宋" w:cs="仿宋"/>
          <w:color w:val="auto"/>
          <w:kern w:val="0"/>
          <w:sz w:val="24"/>
          <w:szCs w:val="24"/>
          <w:highlight w:val="none"/>
        </w:rPr>
        <w:t>/</w:t>
      </w:r>
    </w:p>
    <w:p>
      <w:pPr>
        <w:spacing w:line="360" w:lineRule="auto"/>
        <w:ind w:firstLine="120" w:firstLine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传真号码：</w:t>
      </w:r>
      <w:r>
        <w:rPr>
          <w:rFonts w:ascii="仿宋" w:hAnsi="仿宋" w:eastAsia="仿宋" w:cs="仿宋"/>
          <w:color w:val="auto"/>
          <w:sz w:val="24"/>
          <w:szCs w:val="24"/>
          <w:highlight w:val="none"/>
        </w:rPr>
        <w:t>/</w:t>
      </w:r>
    </w:p>
    <w:p>
      <w:pPr>
        <w:spacing w:line="360" w:lineRule="auto"/>
        <w:ind w:firstLine="120" w:firstLineChars="50"/>
        <w:rPr>
          <w:rFonts w:ascii="仿宋" w:hAnsi="仿宋" w:eastAsia="仿宋"/>
          <w:color w:val="auto"/>
          <w:sz w:val="24"/>
          <w:szCs w:val="24"/>
          <w:highlight w:val="none"/>
        </w:rPr>
      </w:pPr>
    </w:p>
    <w:p>
      <w:pPr>
        <w:pStyle w:val="8"/>
        <w:tabs>
          <w:tab w:val="left" w:pos="420"/>
        </w:tabs>
        <w:rPr>
          <w:rFonts w:ascii="仿宋" w:hAnsi="仿宋" w:eastAsia="仿宋"/>
          <w:b w:val="0"/>
          <w:bCs/>
          <w:color w:val="auto"/>
          <w:highlight w:val="none"/>
        </w:rPr>
      </w:pPr>
      <w:bookmarkStart w:id="591" w:name="_Toc23695"/>
      <w:bookmarkStart w:id="592" w:name="_Toc25653728"/>
      <w:bookmarkStart w:id="593" w:name="_Toc469384098"/>
      <w:bookmarkStart w:id="594" w:name="_Toc24963"/>
      <w:r>
        <w:rPr>
          <w:rFonts w:ascii="仿宋" w:hAnsi="仿宋" w:eastAsia="仿宋" w:cs="仿宋"/>
          <w:b w:val="0"/>
          <w:bCs/>
          <w:color w:val="auto"/>
          <w:highlight w:val="none"/>
        </w:rPr>
        <w:t xml:space="preserve">28. </w:t>
      </w:r>
      <w:r>
        <w:rPr>
          <w:rFonts w:hint="eastAsia" w:ascii="仿宋" w:hAnsi="仿宋" w:eastAsia="仿宋" w:cs="仿宋"/>
          <w:b w:val="0"/>
          <w:bCs/>
          <w:color w:val="auto"/>
          <w:highlight w:val="none"/>
        </w:rPr>
        <w:t>工程担保</w:t>
      </w:r>
      <w:bookmarkEnd w:id="591"/>
      <w:bookmarkEnd w:id="592"/>
      <w:bookmarkEnd w:id="593"/>
      <w:bookmarkEnd w:id="594"/>
    </w:p>
    <w:p>
      <w:pPr>
        <w:ind w:firstLine="120" w:firstLineChars="50"/>
        <w:rPr>
          <w:rFonts w:ascii="仿宋" w:hAnsi="仿宋" w:eastAsia="仿宋"/>
          <w:color w:val="auto"/>
          <w:sz w:val="24"/>
          <w:szCs w:val="24"/>
          <w:highlight w:val="none"/>
        </w:rPr>
      </w:pPr>
    </w:p>
    <w:p>
      <w:pPr>
        <w:spacing w:line="360" w:lineRule="auto"/>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28.1 </w:t>
      </w:r>
      <w:r>
        <w:rPr>
          <w:rFonts w:hint="eastAsia" w:ascii="仿宋" w:hAnsi="仿宋" w:eastAsia="仿宋" w:cs="仿宋"/>
          <w:color w:val="auto"/>
          <w:sz w:val="24"/>
          <w:szCs w:val="24"/>
          <w:highlight w:val="none"/>
        </w:rPr>
        <w:t>承包人提供履约担保的约定</w:t>
      </w:r>
    </w:p>
    <w:p>
      <w:pPr>
        <w:spacing w:line="360" w:lineRule="auto"/>
        <w:ind w:firstLine="120" w:firstLineChars="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）履约担保的金额：合同价的</w:t>
      </w:r>
      <w:r>
        <w:rPr>
          <w:rFonts w:ascii="仿宋" w:hAnsi="仿宋" w:eastAsia="仿宋" w:cs="仿宋"/>
          <w:color w:val="auto"/>
          <w:sz w:val="24"/>
          <w:szCs w:val="24"/>
          <w:highlight w:val="none"/>
        </w:rPr>
        <w:t>10%</w:t>
      </w:r>
    </w:p>
    <w:p>
      <w:pPr>
        <w:spacing w:line="360" w:lineRule="auto"/>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（大写）（小写）</w:t>
      </w:r>
      <w:r>
        <w:rPr>
          <w:rFonts w:hint="eastAsia" w:ascii="仿宋" w:hAnsi="仿宋" w:eastAsia="仿宋" w:cs="仿宋"/>
          <w:color w:val="auto"/>
          <w:sz w:val="24"/>
          <w:szCs w:val="24"/>
          <w:highlight w:val="none"/>
        </w:rPr>
        <w:t>元</w:t>
      </w:r>
    </w:p>
    <w:p>
      <w:pPr>
        <w:spacing w:line="360" w:lineRule="auto"/>
        <w:ind w:firstLine="120" w:firstLineChars="5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）提供履约担保的时间：</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lang w:val="en-US" w:eastAsia="zh-CN"/>
        </w:rPr>
        <w:t>收到</w:t>
      </w:r>
      <w:r>
        <w:rPr>
          <w:rFonts w:hint="eastAsia" w:ascii="仿宋" w:hAnsi="仿宋" w:eastAsia="仿宋" w:cs="仿宋"/>
          <w:color w:val="auto"/>
          <w:kern w:val="0"/>
          <w:sz w:val="24"/>
          <w:szCs w:val="24"/>
          <w:highlight w:val="none"/>
          <w:u w:val="single"/>
          <w:lang w:val="en-US" w:eastAsia="zh-CN"/>
        </w:rPr>
        <w:t>中标通知书3</w:t>
      </w:r>
      <w:r>
        <w:rPr>
          <w:rFonts w:ascii="仿宋" w:hAnsi="仿宋" w:eastAsia="仿宋" w:cs="仿宋"/>
          <w:color w:val="auto"/>
          <w:kern w:val="0"/>
          <w:sz w:val="24"/>
          <w:szCs w:val="24"/>
          <w:highlight w:val="none"/>
          <w:u w:val="single"/>
        </w:rPr>
        <w:t>5日内</w:t>
      </w:r>
      <w:r>
        <w:rPr>
          <w:rFonts w:hint="eastAsia" w:ascii="仿宋" w:hAnsi="仿宋" w:eastAsia="仿宋" w:cs="仿宋"/>
          <w:color w:val="auto"/>
          <w:kern w:val="0"/>
          <w:sz w:val="24"/>
          <w:szCs w:val="24"/>
          <w:highlight w:val="none"/>
          <w:u w:val="single"/>
          <w:lang w:val="en-US" w:eastAsia="zh-CN"/>
        </w:rPr>
        <w:t>或合同签订后5日内</w:t>
      </w:r>
      <w:r>
        <w:rPr>
          <w:rFonts w:hint="eastAsia" w:ascii="仿宋" w:hAnsi="仿宋" w:eastAsia="仿宋" w:cs="仿宋"/>
          <w:color w:val="auto"/>
          <w:kern w:val="0"/>
          <w:sz w:val="24"/>
          <w:szCs w:val="24"/>
          <w:highlight w:val="none"/>
          <w:u w:val="single"/>
        </w:rPr>
        <w:t>按要求提供履约担保</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两种情形以时间先到为准</w:t>
      </w:r>
      <w:r>
        <w:rPr>
          <w:rFonts w:hint="eastAsia" w:ascii="仿宋" w:hAnsi="仿宋" w:eastAsia="仿宋" w:cs="仿宋"/>
          <w:color w:val="auto"/>
          <w:kern w:val="0"/>
          <w:sz w:val="24"/>
          <w:szCs w:val="24"/>
          <w:highlight w:val="none"/>
          <w:u w:val="single"/>
        </w:rPr>
        <w:t>。</w:t>
      </w:r>
    </w:p>
    <w:p>
      <w:pPr>
        <w:spacing w:line="360" w:lineRule="auto"/>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rPr>
        <w:t>）□出具履约保函的担保人：</w:t>
      </w:r>
      <w:r>
        <w:rPr>
          <w:rFonts w:ascii="仿宋" w:hAnsi="仿宋" w:eastAsia="仿宋" w:cs="仿宋"/>
          <w:color w:val="auto"/>
          <w:kern w:val="0"/>
          <w:sz w:val="24"/>
          <w:szCs w:val="24"/>
          <w:highlight w:val="none"/>
          <w:u w:val="single"/>
        </w:rPr>
        <w:t xml:space="preserve"> （暂无）  </w:t>
      </w:r>
    </w:p>
    <w:p>
      <w:pPr>
        <w:spacing w:line="360" w:lineRule="auto"/>
        <w:ind w:firstLine="720" w:firstLineChars="3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履约担保</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（暂无）  </w:t>
      </w:r>
    </w:p>
    <w:p>
      <w:pPr>
        <w:spacing w:line="360" w:lineRule="auto"/>
        <w:ind w:firstLine="720" w:firstLineChars="3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□出具</w:t>
      </w:r>
      <w:r>
        <w:rPr>
          <w:rFonts w:hint="eastAsia" w:ascii="仿宋" w:hAnsi="仿宋" w:eastAsia="仿宋" w:cs="仿宋"/>
          <w:color w:val="auto"/>
          <w:sz w:val="24"/>
          <w:szCs w:val="24"/>
          <w:highlight w:val="none"/>
          <w:shd w:val="clear" w:color="auto" w:fill="FFFFFF"/>
        </w:rPr>
        <w:t>履约保证保险</w:t>
      </w:r>
      <w:r>
        <w:rPr>
          <w:rFonts w:hint="eastAsia" w:ascii="仿宋" w:hAnsi="仿宋" w:eastAsia="仿宋" w:cs="仿宋"/>
          <w:color w:val="auto"/>
          <w:kern w:val="0"/>
          <w:sz w:val="24"/>
          <w:szCs w:val="24"/>
          <w:highlight w:val="none"/>
        </w:rPr>
        <w:t>的担保人：</w:t>
      </w:r>
      <w:r>
        <w:rPr>
          <w:rFonts w:ascii="仿宋" w:hAnsi="仿宋" w:eastAsia="仿宋" w:cs="仿宋"/>
          <w:color w:val="auto"/>
          <w:kern w:val="0"/>
          <w:sz w:val="24"/>
          <w:szCs w:val="24"/>
          <w:highlight w:val="none"/>
          <w:u w:val="single"/>
        </w:rPr>
        <w:t xml:space="preserve"> （暂无）  </w:t>
      </w:r>
    </w:p>
    <w:p>
      <w:pPr>
        <w:spacing w:line="360" w:lineRule="auto"/>
        <w:ind w:firstLine="720" w:firstLineChars="300"/>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00A3"/>
      </w:r>
      <w:r>
        <w:rPr>
          <w:rFonts w:hint="eastAsia" w:ascii="仿宋" w:hAnsi="仿宋" w:eastAsia="仿宋" w:cs="仿宋"/>
          <w:color w:val="auto"/>
          <w:kern w:val="0"/>
          <w:sz w:val="24"/>
          <w:szCs w:val="24"/>
          <w:highlight w:val="none"/>
        </w:rPr>
        <w:t>其它：</w:t>
      </w:r>
      <w:r>
        <w:rPr>
          <w:rFonts w:ascii="仿宋" w:hAnsi="仿宋" w:eastAsia="仿宋" w:cs="仿宋"/>
          <w:color w:val="auto"/>
          <w:kern w:val="0"/>
          <w:sz w:val="24"/>
          <w:szCs w:val="24"/>
          <w:highlight w:val="none"/>
          <w:u w:val="single"/>
        </w:rPr>
        <w:t xml:space="preserve"> （暂无）  </w:t>
      </w:r>
    </w:p>
    <w:p>
      <w:pPr>
        <w:spacing w:line="360" w:lineRule="auto"/>
        <w:ind w:firstLine="120" w:firstLineChars="50"/>
        <w:rPr>
          <w:rFonts w:ascii="仿宋" w:hAnsi="仿宋" w:eastAsia="仿宋"/>
          <w:color w:val="auto"/>
          <w:sz w:val="24"/>
          <w:szCs w:val="24"/>
          <w:highlight w:val="none"/>
        </w:rPr>
      </w:pPr>
    </w:p>
    <w:p>
      <w:pPr>
        <w:spacing w:line="360" w:lineRule="auto"/>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28.4 </w:t>
      </w:r>
      <w:r>
        <w:rPr>
          <w:rFonts w:hint="eastAsia" w:ascii="仿宋" w:hAnsi="仿宋" w:eastAsia="仿宋" w:cs="仿宋"/>
          <w:color w:val="auto"/>
          <w:sz w:val="24"/>
          <w:szCs w:val="24"/>
          <w:highlight w:val="none"/>
        </w:rPr>
        <w:t>发包人提供支付担保的约定</w:t>
      </w:r>
    </w:p>
    <w:p>
      <w:pPr>
        <w:spacing w:line="360" w:lineRule="auto"/>
        <w:ind w:firstLine="120" w:firstLineChars="50"/>
        <w:rPr>
          <w:rFonts w:ascii="仿宋" w:hAnsi="仿宋" w:eastAsia="仿宋"/>
          <w:color w:val="auto"/>
          <w:sz w:val="24"/>
          <w:szCs w:val="24"/>
          <w:highlight w:val="none"/>
        </w:rPr>
      </w:pPr>
      <w:r>
        <w:rPr>
          <w:rFonts w:hint="eastAsia" w:ascii="仿宋" w:hAnsi="仿宋" w:eastAsia="仿宋"/>
          <w:color w:val="auto"/>
          <w:sz w:val="24"/>
          <w:szCs w:val="24"/>
          <w:highlight w:val="none"/>
        </w:rPr>
        <w:t>此通用条款不执行。</w:t>
      </w:r>
    </w:p>
    <w:p>
      <w:pPr>
        <w:spacing w:line="360" w:lineRule="auto"/>
        <w:ind w:firstLine="120" w:firstLineChars="50"/>
        <w:rPr>
          <w:rFonts w:ascii="仿宋" w:hAnsi="仿宋" w:eastAsia="仿宋" w:cs="仿宋"/>
          <w:color w:val="auto"/>
          <w:kern w:val="0"/>
          <w:sz w:val="24"/>
          <w:szCs w:val="24"/>
          <w:highlight w:val="none"/>
        </w:rPr>
      </w:pPr>
    </w:p>
    <w:p>
      <w:pPr>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28.8 </w:t>
      </w:r>
      <w:r>
        <w:rPr>
          <w:rFonts w:hint="eastAsia" w:ascii="仿宋" w:hAnsi="仿宋" w:eastAsia="仿宋" w:cs="仿宋"/>
          <w:color w:val="auto"/>
          <w:kern w:val="0"/>
          <w:sz w:val="24"/>
          <w:szCs w:val="24"/>
          <w:highlight w:val="none"/>
        </w:rPr>
        <w:t>担保内容、方式和责任等事项的约定：</w:t>
      </w:r>
      <w:r>
        <w:rPr>
          <w:rFonts w:hint="eastAsia" w:ascii="仿宋" w:hAnsi="仿宋" w:eastAsia="仿宋" w:cs="仿宋"/>
          <w:color w:val="auto"/>
          <w:sz w:val="24"/>
          <w:szCs w:val="24"/>
          <w:highlight w:val="none"/>
          <w:u w:val="single"/>
        </w:rPr>
        <w:t>本项目履约担保的金额为合同价款的</w:t>
      </w:r>
      <w:r>
        <w:rPr>
          <w:rFonts w:ascii="仿宋" w:hAnsi="仿宋" w:eastAsia="仿宋" w:cs="仿宋"/>
          <w:color w:val="auto"/>
          <w:sz w:val="24"/>
          <w:szCs w:val="24"/>
          <w:highlight w:val="none"/>
          <w:u w:val="single"/>
        </w:rPr>
        <w:t>10%，如承包人有任何违约情形，发包人可直接兑付承包人的履约保函作为承包人违约金的扣除</w:t>
      </w:r>
      <w:r>
        <w:rPr>
          <w:rFonts w:hint="eastAsia" w:ascii="仿宋" w:hAnsi="仿宋" w:eastAsia="仿宋" w:cs="仿宋"/>
          <w:color w:val="auto"/>
          <w:sz w:val="24"/>
          <w:szCs w:val="24"/>
          <w:highlight w:val="none"/>
          <w:u w:val="single"/>
        </w:rPr>
        <w:t>；若承包人提供履约保证金的，则发包人有权直接没收履约保证金作为违约金</w:t>
      </w:r>
      <w:r>
        <w:rPr>
          <w:rFonts w:ascii="仿宋" w:hAnsi="仿宋" w:eastAsia="仿宋" w:cs="仿宋"/>
          <w:color w:val="auto"/>
          <w:sz w:val="24"/>
          <w:szCs w:val="24"/>
          <w:highlight w:val="none"/>
          <w:u w:val="single"/>
        </w:rPr>
        <w:t>。承包人的履约保函有效期至工程最终验收通过并完成竣工结算之日为止。当工期延期，承包人须无条件延长履约保函的有效期。工程竣工验收合格、竣工结算、竣工资料移交后且承包人不存在（或已承担）违约责任或双方的纠纷已完全解决，发包人应在30天内将履约</w:t>
      </w:r>
      <w:r>
        <w:rPr>
          <w:rFonts w:hint="eastAsia" w:ascii="仿宋" w:hAnsi="仿宋" w:eastAsia="仿宋" w:cs="仿宋"/>
          <w:color w:val="auto"/>
          <w:sz w:val="24"/>
          <w:szCs w:val="24"/>
          <w:highlight w:val="none"/>
          <w:u w:val="single"/>
        </w:rPr>
        <w:t>担保</w:t>
      </w:r>
      <w:r>
        <w:rPr>
          <w:rFonts w:ascii="仿宋" w:hAnsi="仿宋" w:eastAsia="仿宋" w:cs="仿宋"/>
          <w:color w:val="auto"/>
          <w:sz w:val="24"/>
          <w:szCs w:val="24"/>
          <w:highlight w:val="none"/>
          <w:u w:val="single"/>
        </w:rPr>
        <w:t>退还承包人。承包人未按发包人规定期限内提交竣工验收资料，发包人有权没收履约担保及质保金并报相关建设主管部门。</w:t>
      </w:r>
    </w:p>
    <w:p>
      <w:pPr>
        <w:ind w:firstLine="120" w:firstLineChars="50"/>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595" w:name="_Toc6248"/>
      <w:bookmarkStart w:id="596" w:name="_Toc19406"/>
      <w:bookmarkStart w:id="597" w:name="_Toc25653729"/>
      <w:bookmarkStart w:id="598" w:name="_Toc469384099"/>
      <w:r>
        <w:rPr>
          <w:rFonts w:ascii="仿宋" w:hAnsi="仿宋" w:eastAsia="仿宋" w:cs="仿宋"/>
          <w:b w:val="0"/>
          <w:bCs/>
          <w:color w:val="auto"/>
          <w:highlight w:val="none"/>
        </w:rPr>
        <w:t xml:space="preserve">32. </w:t>
      </w:r>
      <w:r>
        <w:rPr>
          <w:rFonts w:hint="eastAsia" w:ascii="仿宋" w:hAnsi="仿宋" w:eastAsia="仿宋" w:cs="仿宋"/>
          <w:b w:val="0"/>
          <w:bCs/>
          <w:color w:val="auto"/>
          <w:highlight w:val="none"/>
        </w:rPr>
        <w:t>保险</w:t>
      </w:r>
      <w:bookmarkEnd w:id="595"/>
      <w:bookmarkEnd w:id="596"/>
      <w:bookmarkEnd w:id="597"/>
      <w:bookmarkEnd w:id="598"/>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32.8 </w:t>
      </w:r>
      <w:r>
        <w:rPr>
          <w:rFonts w:hint="eastAsia" w:ascii="仿宋" w:hAnsi="仿宋" w:eastAsia="仿宋" w:cs="仿宋"/>
          <w:color w:val="auto"/>
          <w:kern w:val="0"/>
          <w:sz w:val="24"/>
          <w:szCs w:val="24"/>
          <w:highlight w:val="none"/>
        </w:rPr>
        <w:t>投保内容、保险金、保险期限和责任等事项的约定：</w:t>
      </w:r>
      <w:r>
        <w:rPr>
          <w:rFonts w:hint="eastAsia" w:ascii="仿宋" w:hAnsi="仿宋" w:eastAsia="仿宋" w:cs="仿宋"/>
          <w:color w:val="auto"/>
          <w:kern w:val="0"/>
          <w:sz w:val="24"/>
          <w:szCs w:val="24"/>
          <w:highlight w:val="none"/>
          <w:u w:val="single"/>
        </w:rPr>
        <w:t>承包人投保的保险费包含在合同价内，不另外增加费用。保险期限从</w:t>
      </w:r>
      <w:r>
        <w:rPr>
          <w:rFonts w:hint="eastAsia" w:ascii="仿宋" w:hAnsi="仿宋" w:eastAsia="仿宋" w:cs="仿宋"/>
          <w:color w:val="auto"/>
          <w:sz w:val="24"/>
          <w:szCs w:val="24"/>
          <w:highlight w:val="none"/>
          <w:u w:val="single"/>
        </w:rPr>
        <w:t>开工之日或用于保险工程的材料、设备运抵工地之时起始，至工程竣工验收合格之日终止。</w:t>
      </w:r>
    </w:p>
    <w:p>
      <w:pPr>
        <w:ind w:firstLine="120" w:firstLineChars="50"/>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599" w:name="_Toc25579"/>
      <w:bookmarkStart w:id="600" w:name="_Toc469384100"/>
      <w:bookmarkStart w:id="601" w:name="_Toc12091"/>
      <w:bookmarkStart w:id="602" w:name="_Toc25653730"/>
      <w:r>
        <w:rPr>
          <w:rFonts w:ascii="仿宋" w:hAnsi="仿宋" w:eastAsia="仿宋" w:cs="仿宋"/>
          <w:b w:val="0"/>
          <w:bCs/>
          <w:color w:val="auto"/>
          <w:highlight w:val="none"/>
        </w:rPr>
        <w:t xml:space="preserve">33. </w:t>
      </w:r>
      <w:r>
        <w:rPr>
          <w:rFonts w:hint="eastAsia" w:ascii="仿宋" w:hAnsi="仿宋" w:eastAsia="仿宋" w:cs="仿宋"/>
          <w:b w:val="0"/>
          <w:bCs/>
          <w:color w:val="auto"/>
          <w:highlight w:val="none"/>
        </w:rPr>
        <w:t>进度计划和报告</w:t>
      </w:r>
      <w:bookmarkEnd w:id="599"/>
      <w:bookmarkEnd w:id="600"/>
      <w:bookmarkEnd w:id="601"/>
      <w:bookmarkEnd w:id="602"/>
    </w:p>
    <w:p>
      <w:pPr>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33.1提交工程进度计划</w:t>
      </w:r>
    </w:p>
    <w:p>
      <w:pPr>
        <w:ind w:firstLine="480" w:firstLineChars="20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承包人提供施工组织设计（施工方案）和进度计划的时间：承包人在接到中标通知书之日起</w:t>
      </w:r>
      <w:r>
        <w:rPr>
          <w:rFonts w:ascii="仿宋" w:hAnsi="仿宋" w:eastAsia="仿宋"/>
          <w:color w:val="auto"/>
          <w:kern w:val="0"/>
          <w:sz w:val="24"/>
          <w:szCs w:val="24"/>
          <w:highlight w:val="none"/>
          <w:u w:val="single"/>
        </w:rPr>
        <w:t>21天内，应向监理工程师和发包人提供一份施工组织设计（施工方案）及施工进度计划，报监理公司和发包人批准。图纸会审后2天内提交调整后的施工组织设计（施工方案）及施工进度计划，报监理公司和发包人批准。根据工程实际情况和发包人要求，调整施工进度计划，报监理公司和发包人批准。承包人每月18日前报送下月“工程进度计划表”及本月的“工程进度月报表”，每周四前报送本周工程“工程进度报表”和下周计划安排。</w:t>
      </w:r>
    </w:p>
    <w:p>
      <w:pPr>
        <w:ind w:firstLine="480" w:firstLineChars="20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工程师确认的时间：收到方案后</w:t>
      </w:r>
      <w:r>
        <w:rPr>
          <w:rFonts w:ascii="仿宋" w:hAnsi="仿宋" w:eastAsia="仿宋"/>
          <w:color w:val="auto"/>
          <w:kern w:val="0"/>
          <w:sz w:val="24"/>
          <w:szCs w:val="24"/>
          <w:highlight w:val="none"/>
          <w:u w:val="single"/>
        </w:rPr>
        <w:t xml:space="preserve">5天，每月20日前批复“工程进度计划表”，每月20日前确认“工程进度月报表”。 </w:t>
      </w:r>
      <w:r>
        <w:rPr>
          <w:rFonts w:hint="eastAsia" w:ascii="仿宋" w:hAnsi="仿宋" w:eastAsia="仿宋"/>
          <w:color w:val="auto"/>
          <w:kern w:val="0"/>
          <w:sz w:val="24"/>
          <w:szCs w:val="24"/>
          <w:highlight w:val="none"/>
          <w:u w:val="single"/>
        </w:rPr>
        <w:t>收到调整施工进度计划，</w:t>
      </w:r>
      <w:r>
        <w:rPr>
          <w:rFonts w:ascii="仿宋" w:hAnsi="仿宋" w:eastAsia="仿宋"/>
          <w:color w:val="auto"/>
          <w:kern w:val="0"/>
          <w:sz w:val="24"/>
          <w:szCs w:val="24"/>
          <w:highlight w:val="none"/>
          <w:u w:val="single"/>
        </w:rPr>
        <w:t>2天内批复。</w:t>
      </w:r>
    </w:p>
    <w:p>
      <w:pPr>
        <w:ind w:firstLine="480" w:firstLineChars="200"/>
        <w:rPr>
          <w:rFonts w:ascii="仿宋" w:hAnsi="仿宋" w:eastAsia="仿宋"/>
          <w:color w:val="auto"/>
          <w:kern w:val="0"/>
          <w:sz w:val="24"/>
          <w:szCs w:val="24"/>
          <w:highlight w:val="none"/>
          <w:u w:val="single"/>
        </w:rPr>
      </w:pPr>
    </w:p>
    <w:p>
      <w:pPr>
        <w:ind w:firstLine="120" w:firstLineChars="50"/>
        <w:rPr>
          <w:rFonts w:ascii="仿宋" w:hAnsi="仿宋" w:eastAsia="仿宋"/>
          <w:color w:val="auto"/>
          <w:kern w:val="0"/>
          <w:sz w:val="24"/>
          <w:szCs w:val="24"/>
          <w:highlight w:val="none"/>
        </w:rPr>
      </w:pPr>
      <w:r>
        <w:rPr>
          <w:rFonts w:ascii="仿宋" w:hAnsi="仿宋" w:eastAsia="仿宋"/>
          <w:color w:val="auto"/>
          <w:kern w:val="0"/>
          <w:sz w:val="24"/>
          <w:szCs w:val="24"/>
          <w:highlight w:val="none"/>
        </w:rPr>
        <w:t>33.2工程进度的监督和检查：</w:t>
      </w:r>
    </w:p>
    <w:p>
      <w:pPr>
        <w:ind w:firstLine="480" w:firstLineChars="20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承包人应当加强计划管理，严格按照工程师确认的工程进度计划组织施工，并接受工程师对工程进度的检查、监督。</w:t>
      </w:r>
    </w:p>
    <w:p>
      <w:pPr>
        <w:ind w:firstLine="120" w:firstLineChars="50"/>
        <w:rPr>
          <w:rFonts w:ascii="仿宋" w:hAnsi="仿宋" w:eastAsia="仿宋"/>
          <w:color w:val="auto"/>
          <w:kern w:val="0"/>
          <w:sz w:val="24"/>
          <w:szCs w:val="24"/>
          <w:highlight w:val="none"/>
          <w:u w:val="single"/>
        </w:rPr>
      </w:pPr>
    </w:p>
    <w:p>
      <w:pPr>
        <w:ind w:firstLine="120" w:firstLineChars="50"/>
        <w:rPr>
          <w:rFonts w:ascii="仿宋" w:hAnsi="仿宋" w:eastAsia="仿宋"/>
          <w:color w:val="auto"/>
          <w:kern w:val="0"/>
          <w:sz w:val="24"/>
          <w:szCs w:val="24"/>
          <w:highlight w:val="none"/>
        </w:rPr>
      </w:pPr>
      <w:r>
        <w:rPr>
          <w:rFonts w:ascii="仿宋" w:hAnsi="仿宋" w:eastAsia="仿宋"/>
          <w:color w:val="auto"/>
          <w:kern w:val="0"/>
          <w:sz w:val="24"/>
          <w:szCs w:val="24"/>
          <w:highlight w:val="none"/>
        </w:rPr>
        <w:t xml:space="preserve">33.3 </w:t>
      </w:r>
      <w:r>
        <w:rPr>
          <w:rFonts w:hint="eastAsia" w:ascii="仿宋" w:hAnsi="仿宋" w:eastAsia="仿宋"/>
          <w:color w:val="auto"/>
          <w:kern w:val="0"/>
          <w:sz w:val="24"/>
          <w:szCs w:val="24"/>
          <w:highlight w:val="none"/>
        </w:rPr>
        <w:t>承包人编制月施工进度报告和修订进度计划的约定：</w:t>
      </w:r>
    </w:p>
    <w:p>
      <w:pPr>
        <w:ind w:firstLine="480" w:firstLineChars="20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为便于工程师掌握和控制工期，承包人应于每月</w:t>
      </w:r>
      <w:r>
        <w:rPr>
          <w:rFonts w:ascii="仿宋" w:hAnsi="仿宋" w:eastAsia="仿宋"/>
          <w:color w:val="auto"/>
          <w:kern w:val="0"/>
          <w:sz w:val="24"/>
          <w:szCs w:val="24"/>
          <w:highlight w:val="none"/>
          <w:u w:val="single"/>
        </w:rPr>
        <w:t>18日前、每周四前向工程师填报工程（含各分部、分项工程）的当月进度计划完成情况及本周工程“工程进度报表”和下周计划安排（未完成计划的必须说明原因），并在此基础上更新</w:t>
      </w:r>
      <w:r>
        <w:rPr>
          <w:rFonts w:hint="eastAsia" w:ascii="仿宋" w:hAnsi="仿宋" w:eastAsia="仿宋"/>
          <w:color w:val="auto"/>
          <w:kern w:val="0"/>
          <w:sz w:val="24"/>
          <w:szCs w:val="24"/>
          <w:highlight w:val="none"/>
          <w:u w:val="single"/>
        </w:rPr>
        <w:t>工程进度计划、资金计划和其它工作计划。工程师在接到报告后应当予以确认或提出书面意见，承包人必须按照工程师的确认或者书面意见执行。</w:t>
      </w:r>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olor w:val="auto"/>
          <w:kern w:val="0"/>
          <w:sz w:val="24"/>
          <w:szCs w:val="24"/>
          <w:highlight w:val="none"/>
        </w:rPr>
      </w:pPr>
      <w:r>
        <w:rPr>
          <w:rFonts w:ascii="仿宋" w:hAnsi="仿宋" w:eastAsia="仿宋"/>
          <w:color w:val="auto"/>
          <w:kern w:val="0"/>
          <w:sz w:val="24"/>
          <w:szCs w:val="24"/>
          <w:highlight w:val="none"/>
        </w:rPr>
        <w:t>33.4实际进度与进度计划不符时的处理：</w:t>
      </w:r>
    </w:p>
    <w:p>
      <w:pPr>
        <w:ind w:firstLine="480" w:firstLineChars="200"/>
        <w:rPr>
          <w:rFonts w:ascii="仿宋" w:hAnsi="仿宋" w:eastAsia="仿宋"/>
          <w:color w:val="auto"/>
          <w:kern w:val="0"/>
          <w:sz w:val="24"/>
          <w:szCs w:val="24"/>
          <w:highlight w:val="none"/>
          <w:u w:val="single"/>
        </w:rPr>
      </w:pPr>
      <w:bookmarkStart w:id="603" w:name="_Toc469384101"/>
      <w:bookmarkStart w:id="604" w:name="_Toc25653731"/>
      <w:r>
        <w:rPr>
          <w:rFonts w:hint="eastAsia" w:ascii="仿宋" w:hAnsi="仿宋" w:eastAsia="仿宋"/>
          <w:color w:val="auto"/>
          <w:kern w:val="0"/>
          <w:sz w:val="24"/>
          <w:szCs w:val="24"/>
          <w:highlight w:val="none"/>
          <w:u w:val="single"/>
        </w:rPr>
        <w:t>工程实际进度与经工程师确认的进度计划或者更新进度计划不符时，工程师认为本工程或其中任何部分工程进度滞后而不能按预定工期完工，则应将此情况通知承包人，承包人应据此编制修改工程进度计划，采取工程师同意的必要措施加快工程进度，且承包人无权要求发包人支付任何附加费用。如承包人未能在工程师发布指令后</w:t>
      </w:r>
      <w:r>
        <w:rPr>
          <w:rFonts w:ascii="仿宋" w:hAnsi="仿宋" w:eastAsia="仿宋"/>
          <w:color w:val="auto"/>
          <w:kern w:val="0"/>
          <w:sz w:val="24"/>
          <w:szCs w:val="24"/>
          <w:highlight w:val="none"/>
          <w:u w:val="single"/>
        </w:rPr>
        <w:t>10天内采取有效措施，工程进度仍然无明显改进，或己明显造成对主工期的不利影响，发包人有权解除部分或全部合同，将未完工程另行发包或者划拨给其他有能力的第三方，承包人必须无条件服从，由此所造成的损失全部由承包人承担，并不免除承包人的违约赔偿责任。</w:t>
      </w:r>
    </w:p>
    <w:p>
      <w:pPr>
        <w:pStyle w:val="8"/>
        <w:tabs>
          <w:tab w:val="left" w:pos="420"/>
        </w:tabs>
        <w:rPr>
          <w:rFonts w:ascii="仿宋" w:hAnsi="仿宋" w:eastAsia="仿宋"/>
          <w:b w:val="0"/>
          <w:bCs/>
          <w:color w:val="auto"/>
          <w:highlight w:val="none"/>
        </w:rPr>
      </w:pPr>
      <w:bookmarkStart w:id="605" w:name="_Toc7826"/>
      <w:bookmarkStart w:id="606" w:name="_Toc18234"/>
      <w:r>
        <w:rPr>
          <w:rFonts w:ascii="仿宋" w:hAnsi="仿宋" w:eastAsia="仿宋" w:cs="仿宋"/>
          <w:b w:val="0"/>
          <w:bCs/>
          <w:color w:val="auto"/>
          <w:highlight w:val="none"/>
        </w:rPr>
        <w:t xml:space="preserve">34. </w:t>
      </w:r>
      <w:r>
        <w:rPr>
          <w:rFonts w:hint="eastAsia" w:ascii="仿宋" w:hAnsi="仿宋" w:eastAsia="仿宋" w:cs="仿宋"/>
          <w:b w:val="0"/>
          <w:bCs/>
          <w:color w:val="auto"/>
          <w:highlight w:val="none"/>
        </w:rPr>
        <w:t>开工</w:t>
      </w:r>
      <w:bookmarkEnd w:id="603"/>
      <w:bookmarkEnd w:id="604"/>
      <w:bookmarkEnd w:id="605"/>
      <w:bookmarkEnd w:id="606"/>
    </w:p>
    <w:p>
      <w:pPr>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34.2 </w:t>
      </w:r>
      <w:r>
        <w:rPr>
          <w:rFonts w:hint="eastAsia" w:ascii="仿宋" w:hAnsi="仿宋" w:eastAsia="仿宋" w:cs="仿宋"/>
          <w:color w:val="auto"/>
          <w:kern w:val="0"/>
          <w:sz w:val="24"/>
          <w:szCs w:val="24"/>
          <w:highlight w:val="none"/>
        </w:rPr>
        <w:t>监理工程师在本合同签订后的</w:t>
      </w:r>
      <w:r>
        <w:rPr>
          <w:rFonts w:ascii="仿宋" w:hAnsi="仿宋" w:eastAsia="仿宋" w:cs="仿宋"/>
          <w:color w:val="auto"/>
          <w:kern w:val="0"/>
          <w:sz w:val="24"/>
          <w:szCs w:val="24"/>
          <w:highlight w:val="none"/>
          <w:u w:val="single"/>
        </w:rPr>
        <w:t xml:space="preserve"> / </w:t>
      </w:r>
      <w:r>
        <w:rPr>
          <w:rFonts w:hint="eastAsia" w:ascii="仿宋" w:hAnsi="仿宋" w:eastAsia="仿宋" w:cs="仿宋"/>
          <w:color w:val="auto"/>
          <w:kern w:val="0"/>
          <w:sz w:val="24"/>
          <w:szCs w:val="24"/>
          <w:highlight w:val="none"/>
        </w:rPr>
        <w:t>天内签发开工令。</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以监理工程师签发的开工令通知时间为准。</w:t>
      </w:r>
    </w:p>
    <w:p>
      <w:pPr>
        <w:spacing w:line="360" w:lineRule="auto"/>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607" w:name="_Toc469384102"/>
      <w:bookmarkStart w:id="608" w:name="_Toc30709"/>
      <w:bookmarkStart w:id="609" w:name="_Toc18551"/>
      <w:bookmarkStart w:id="610" w:name="_Toc25653732"/>
      <w:r>
        <w:rPr>
          <w:rFonts w:ascii="仿宋" w:hAnsi="仿宋" w:eastAsia="仿宋" w:cs="仿宋"/>
          <w:b w:val="0"/>
          <w:bCs/>
          <w:color w:val="auto"/>
          <w:highlight w:val="none"/>
        </w:rPr>
        <w:t>35.</w:t>
      </w:r>
      <w:r>
        <w:rPr>
          <w:rFonts w:hint="eastAsia" w:ascii="仿宋" w:hAnsi="仿宋" w:eastAsia="仿宋" w:cs="仿宋"/>
          <w:b w:val="0"/>
          <w:bCs/>
          <w:color w:val="auto"/>
          <w:highlight w:val="none"/>
        </w:rPr>
        <w:t>暂停施工和复工</w:t>
      </w:r>
      <w:bookmarkEnd w:id="607"/>
      <w:bookmarkEnd w:id="608"/>
      <w:bookmarkEnd w:id="609"/>
      <w:bookmarkEnd w:id="610"/>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35.4 </w:t>
      </w:r>
      <w:r>
        <w:rPr>
          <w:rFonts w:hint="eastAsia" w:ascii="仿宋" w:hAnsi="仿宋" w:eastAsia="仿宋" w:cs="仿宋"/>
          <w:color w:val="auto"/>
          <w:kern w:val="0"/>
          <w:sz w:val="24"/>
          <w:szCs w:val="24"/>
          <w:highlight w:val="none"/>
        </w:rPr>
        <w:t>承包人原因造成暂停施工的其他原因：</w:t>
      </w:r>
    </w:p>
    <w:p>
      <w:pPr>
        <w:ind w:firstLine="480" w:firstLineChars="20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工程师认为确有必要暂停施工时，应当以书面形式要求承包人暂停施工，并在提出要求后</w:t>
      </w:r>
      <w:r>
        <w:rPr>
          <w:rFonts w:ascii="仿宋" w:hAnsi="仿宋" w:eastAsia="仿宋"/>
          <w:color w:val="auto"/>
          <w:kern w:val="0"/>
          <w:sz w:val="24"/>
          <w:szCs w:val="24"/>
          <w:highlight w:val="none"/>
          <w:u w:val="single"/>
        </w:rPr>
        <w:t>48小时内提出书面处理意见。承包人应当按工程师要求停止施工，并妥善保护已完工程。承包人实施工程师的处理意见后，可以书面形式提出复工要求，工程师应当在48小时内给予答复。工程师未能在规定时间内提出处理意见，或收到承包人复工要求后48小时内未予答复，承包人可自行复工。因为承包人原因造成停工的，由承包人承担发生的费用，必须征得发包人书面同意后，工期方能相应顺延，否则，工期不予顺延。</w:t>
      </w:r>
    </w:p>
    <w:p>
      <w:pPr>
        <w:ind w:firstLine="480" w:firstLineChars="20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由于发包人无法交地施工或政府行为及其他客观原因等致使工程需暂停或暂缓的，合同总工期相应顺延，但发包人不因该工期顺延给承包人作任何费用补偿，承包人在投标报价中已充分考虑该风险。</w:t>
      </w:r>
    </w:p>
    <w:p>
      <w:pPr>
        <w:pStyle w:val="8"/>
        <w:tabs>
          <w:tab w:val="left" w:pos="420"/>
        </w:tabs>
        <w:rPr>
          <w:rFonts w:ascii="仿宋" w:hAnsi="仿宋" w:eastAsia="仿宋"/>
          <w:b w:val="0"/>
          <w:bCs/>
          <w:color w:val="auto"/>
          <w:highlight w:val="none"/>
        </w:rPr>
      </w:pPr>
      <w:bookmarkStart w:id="611" w:name="_Toc25653733"/>
      <w:bookmarkStart w:id="612" w:name="_Toc3379"/>
      <w:bookmarkStart w:id="613" w:name="_Toc469384103"/>
      <w:bookmarkStart w:id="614" w:name="_Toc14858"/>
      <w:r>
        <w:rPr>
          <w:rFonts w:ascii="仿宋" w:hAnsi="仿宋" w:eastAsia="仿宋" w:cs="仿宋"/>
          <w:b w:val="0"/>
          <w:bCs/>
          <w:color w:val="auto"/>
          <w:highlight w:val="none"/>
        </w:rPr>
        <w:t xml:space="preserve">36. </w:t>
      </w:r>
      <w:r>
        <w:rPr>
          <w:rFonts w:hint="eastAsia" w:ascii="仿宋" w:hAnsi="仿宋" w:eastAsia="仿宋" w:cs="仿宋"/>
          <w:b w:val="0"/>
          <w:bCs/>
          <w:color w:val="auto"/>
          <w:highlight w:val="none"/>
        </w:rPr>
        <w:t>工期及工期延误</w:t>
      </w:r>
      <w:bookmarkEnd w:id="611"/>
      <w:bookmarkEnd w:id="612"/>
      <w:bookmarkEnd w:id="613"/>
      <w:bookmarkEnd w:id="614"/>
    </w:p>
    <w:p>
      <w:pPr>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36.1 </w:t>
      </w:r>
      <w:r>
        <w:rPr>
          <w:rFonts w:hint="eastAsia" w:ascii="仿宋" w:hAnsi="仿宋" w:eastAsia="仿宋" w:cs="仿宋"/>
          <w:color w:val="auto"/>
          <w:kern w:val="0"/>
          <w:sz w:val="24"/>
          <w:szCs w:val="24"/>
          <w:highlight w:val="none"/>
        </w:rPr>
        <w:t>合同工程的工期约定为（</w:t>
      </w:r>
      <w:r>
        <w:rPr>
          <w:rFonts w:hint="eastAsia" w:ascii="仿宋" w:hAnsi="仿宋" w:eastAsia="仿宋" w:cs="仿宋"/>
          <w:color w:val="auto"/>
          <w:kern w:val="0"/>
          <w:sz w:val="24"/>
          <w:szCs w:val="24"/>
          <w:highlight w:val="none"/>
          <w:lang w:val="en-US" w:eastAsia="zh-CN"/>
        </w:rPr>
        <w:t>90</w:t>
      </w:r>
      <w:r>
        <w:rPr>
          <w:rFonts w:ascii="仿宋" w:hAnsi="仿宋" w:eastAsia="仿宋" w:cs="仿宋"/>
          <w:color w:val="auto"/>
          <w:kern w:val="0"/>
          <w:sz w:val="24"/>
          <w:szCs w:val="24"/>
          <w:highlight w:val="none"/>
        </w:rPr>
        <w:t>）天。</w:t>
      </w:r>
    </w:p>
    <w:p>
      <w:pPr>
        <w:spacing w:line="360" w:lineRule="auto"/>
        <w:ind w:firstLine="120" w:firstLineChars="5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lang w:eastAsia="zh-CN"/>
        </w:rPr>
        <w:t>田心调压站扩容改造工程施工项目</w:t>
      </w:r>
      <w:r>
        <w:rPr>
          <w:rFonts w:hint="eastAsia" w:ascii="仿宋" w:hAnsi="仿宋" w:eastAsia="仿宋" w:cs="仿宋"/>
          <w:color w:val="auto"/>
          <w:sz w:val="24"/>
          <w:szCs w:val="24"/>
          <w:highlight w:val="none"/>
        </w:rPr>
        <w:t>，单位工程的工期约定为</w:t>
      </w:r>
      <w:r>
        <w:rPr>
          <w:rFonts w:hint="eastAsia" w:ascii="仿宋" w:hAnsi="仿宋" w:eastAsia="仿宋" w:cs="仿宋"/>
          <w:color w:val="auto"/>
          <w:sz w:val="24"/>
          <w:szCs w:val="24"/>
          <w:highlight w:val="yellow"/>
          <w:u w:val="single"/>
          <w:lang w:eastAsia="zh-CN"/>
        </w:rPr>
        <w:t>9</w:t>
      </w:r>
      <w:r>
        <w:rPr>
          <w:rFonts w:hint="eastAsia" w:ascii="仿宋" w:hAnsi="仿宋" w:eastAsia="仿宋" w:cs="仿宋"/>
          <w:color w:val="auto"/>
          <w:sz w:val="24"/>
          <w:szCs w:val="24"/>
          <w:highlight w:val="yellow"/>
          <w:u w:val="single"/>
          <w:lang w:val="en-US" w:eastAsia="zh-CN"/>
        </w:rPr>
        <w:t>0</w:t>
      </w:r>
      <w:r>
        <w:rPr>
          <w:rFonts w:hint="eastAsia" w:ascii="仿宋" w:hAnsi="仿宋" w:eastAsia="仿宋" w:cs="仿宋"/>
          <w:color w:val="auto"/>
          <w:sz w:val="24"/>
          <w:szCs w:val="24"/>
          <w:highlight w:val="yellow"/>
        </w:rPr>
        <w:t>天。</w:t>
      </w:r>
    </w:p>
    <w:p>
      <w:pPr>
        <w:ind w:firstLine="120" w:firstLineChars="50"/>
        <w:rPr>
          <w:rFonts w:ascii="仿宋" w:hAnsi="仿宋" w:eastAsia="仿宋" w:cs="仿宋"/>
          <w:color w:val="auto"/>
          <w:sz w:val="24"/>
          <w:szCs w:val="24"/>
          <w:highlight w:val="none"/>
        </w:rPr>
      </w:pPr>
    </w:p>
    <w:p>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36.3工期顺延</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因以下原因造成工期延误，经发包人确认，工期相应顺延：</w:t>
      </w:r>
      <w:r>
        <w:rPr>
          <w:rFonts w:ascii="仿宋" w:hAnsi="仿宋" w:eastAsia="仿宋" w:cs="仿宋"/>
          <w:color w:val="auto"/>
          <w:sz w:val="24"/>
          <w:szCs w:val="24"/>
          <w:highlight w:val="none"/>
          <w:u w:val="single"/>
        </w:rPr>
        <w:t xml:space="preserve"> </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1）发包人未能按专用条款的约定提供图纸及开工条件，并经工程师确认的； </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2）发包人不按合同约定支付工程款而影响工期进度，并经工程师确认的； </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3）工程师未按合同约定提供所需指令、批准等，致使施工不能正常进行； </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 xml:space="preserve">4）设计变更和工程量增加，并经发包人批准及确认的； </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5）不可抗力；</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ascii="仿宋" w:hAnsi="仿宋" w:eastAsia="仿宋" w:cs="仿宋"/>
          <w:color w:val="auto"/>
          <w:sz w:val="24"/>
          <w:szCs w:val="24"/>
          <w:highlight w:val="none"/>
          <w:u w:val="single"/>
        </w:rPr>
        <w:t>6）专用条款中约定或工程师同意工期顺延的其他情况：如因发包人原因致使承包人暂时无法进行正常施工时，所延误的工期，承包人应想方设法弥补，对影响部分经发包人核准并视影响程度再另定顺延期限。</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无论任何原因停水、停电造成停工，由承包人自行解决，工期不予顺延。</w:t>
      </w:r>
    </w:p>
    <w:p>
      <w:pPr>
        <w:ind w:firstLine="120" w:firstLineChars="50"/>
        <w:rPr>
          <w:rFonts w:ascii="仿宋" w:hAnsi="仿宋" w:eastAsia="仿宋" w:cs="仿宋"/>
          <w:color w:val="auto"/>
          <w:sz w:val="24"/>
          <w:szCs w:val="24"/>
          <w:highlight w:val="none"/>
        </w:rPr>
      </w:pPr>
    </w:p>
    <w:p>
      <w:pPr>
        <w:ind w:firstLine="120" w:firstLineChars="50"/>
        <w:rPr>
          <w:rFonts w:ascii="仿宋" w:hAnsi="仿宋" w:eastAsia="仿宋" w:cs="仿宋"/>
          <w:color w:val="auto"/>
          <w:sz w:val="24"/>
          <w:szCs w:val="24"/>
          <w:highlight w:val="none"/>
        </w:rPr>
      </w:pPr>
      <w:r>
        <w:rPr>
          <w:rFonts w:ascii="仿宋" w:hAnsi="仿宋" w:eastAsia="仿宋" w:cs="仿宋"/>
          <w:color w:val="auto"/>
          <w:sz w:val="24"/>
          <w:szCs w:val="24"/>
          <w:highlight w:val="none"/>
        </w:rPr>
        <w:t>36.7工期顺延的核实与确定</w:t>
      </w:r>
    </w:p>
    <w:p>
      <w:pPr>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发生需进行工期顺延签证的情况，承包人必须在</w:t>
      </w:r>
      <w:r>
        <w:rPr>
          <w:rFonts w:ascii="仿宋" w:hAnsi="仿宋" w:eastAsia="仿宋" w:cs="仿宋"/>
          <w:color w:val="auto"/>
          <w:sz w:val="24"/>
          <w:szCs w:val="24"/>
          <w:highlight w:val="none"/>
          <w:u w:val="single"/>
        </w:rPr>
        <w:t>7天内上报申请书和相关证据资料，监理单位应在接到上报申请资料后7天内进行签证，最后由发包人在接到监理单位的签证报告后7天内确认工期顺延与否。</w:t>
      </w:r>
    </w:p>
    <w:p>
      <w:pPr>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36.9 </w:t>
      </w:r>
      <w:r>
        <w:rPr>
          <w:rFonts w:hint="eastAsia" w:ascii="仿宋" w:hAnsi="仿宋" w:eastAsia="仿宋" w:cs="仿宋"/>
          <w:color w:val="auto"/>
          <w:kern w:val="0"/>
          <w:sz w:val="24"/>
          <w:szCs w:val="24"/>
          <w:highlight w:val="none"/>
        </w:rPr>
        <w:t>赶工措施费</w:t>
      </w:r>
    </w:p>
    <w:p>
      <w:pPr>
        <w:spacing w:line="360" w:lineRule="auto"/>
        <w:ind w:firstLine="120" w:firstLineChars="50"/>
        <w:rPr>
          <w:rFonts w:ascii="仿宋" w:hAnsi="仿宋" w:eastAsia="仿宋"/>
          <w:color w:val="auto"/>
          <w:sz w:val="24"/>
          <w:szCs w:val="24"/>
          <w:highlight w:val="none"/>
          <w:u w:val="single"/>
        </w:rPr>
      </w:pPr>
      <w:r>
        <w:rPr>
          <w:rFonts w:hint="eastAsia" w:ascii="仿宋" w:hAnsi="仿宋" w:eastAsia="仿宋" w:cs="仿宋"/>
          <w:color w:val="auto"/>
          <w:kern w:val="0"/>
          <w:sz w:val="24"/>
          <w:szCs w:val="24"/>
          <w:highlight w:val="none"/>
          <w:u w:val="single"/>
        </w:rPr>
        <w:t>此通用条款不执行。</w:t>
      </w:r>
    </w:p>
    <w:p>
      <w:pPr>
        <w:pStyle w:val="8"/>
        <w:tabs>
          <w:tab w:val="left" w:pos="420"/>
        </w:tabs>
        <w:rPr>
          <w:rFonts w:ascii="仿宋" w:hAnsi="仿宋" w:eastAsia="仿宋"/>
          <w:b w:val="0"/>
          <w:bCs/>
          <w:color w:val="auto"/>
          <w:highlight w:val="none"/>
        </w:rPr>
      </w:pPr>
      <w:bookmarkStart w:id="615" w:name="_Toc18391"/>
      <w:bookmarkStart w:id="616" w:name="_Toc31684"/>
      <w:bookmarkStart w:id="617" w:name="_Toc25653734"/>
      <w:bookmarkStart w:id="618" w:name="_Toc469384104"/>
      <w:r>
        <w:rPr>
          <w:rFonts w:ascii="仿宋" w:hAnsi="仿宋" w:eastAsia="仿宋" w:cs="仿宋"/>
          <w:b w:val="0"/>
          <w:bCs/>
          <w:color w:val="auto"/>
          <w:highlight w:val="none"/>
        </w:rPr>
        <w:t xml:space="preserve">38. </w:t>
      </w:r>
      <w:r>
        <w:rPr>
          <w:rFonts w:hint="eastAsia" w:ascii="仿宋" w:hAnsi="仿宋" w:eastAsia="仿宋" w:cs="仿宋"/>
          <w:b w:val="0"/>
          <w:bCs/>
          <w:color w:val="auto"/>
          <w:highlight w:val="none"/>
        </w:rPr>
        <w:t>竣工日期</w:t>
      </w:r>
      <w:bookmarkEnd w:id="615"/>
      <w:bookmarkEnd w:id="616"/>
      <w:bookmarkEnd w:id="617"/>
      <w:bookmarkEnd w:id="618"/>
    </w:p>
    <w:p>
      <w:pPr>
        <w:ind w:firstLine="120" w:firstLineChars="50"/>
        <w:rPr>
          <w:rFonts w:ascii="仿宋" w:hAnsi="仿宋" w:eastAsia="仿宋"/>
          <w:color w:val="auto"/>
          <w:sz w:val="24"/>
          <w:szCs w:val="24"/>
          <w:highlight w:val="none"/>
        </w:rPr>
      </w:pPr>
    </w:p>
    <w:p>
      <w:pPr>
        <w:ind w:firstLine="120" w:firstLineChars="5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 xml:space="preserve">  38.1 </w:t>
      </w:r>
      <w:r>
        <w:rPr>
          <w:rFonts w:hint="eastAsia" w:ascii="仿宋" w:hAnsi="仿宋" w:eastAsia="仿宋" w:cs="仿宋"/>
          <w:color w:val="auto"/>
          <w:sz w:val="24"/>
          <w:szCs w:val="24"/>
          <w:highlight w:val="none"/>
        </w:rPr>
        <w:t>计划竣工日期：</w:t>
      </w:r>
    </w:p>
    <w:p>
      <w:pPr>
        <w:ind w:firstLine="120" w:firstLineChars="50"/>
        <w:rPr>
          <w:rFonts w:ascii="仿宋" w:hAnsi="仿宋" w:eastAsia="仿宋"/>
          <w:color w:val="auto"/>
          <w:sz w:val="24"/>
          <w:szCs w:val="24"/>
          <w:highlight w:val="none"/>
        </w:rPr>
      </w:pPr>
    </w:p>
    <w:p>
      <w:pPr>
        <w:ind w:firstLine="120" w:firstLineChars="50"/>
        <w:rPr>
          <w:rFonts w:ascii="仿宋" w:hAnsi="仿宋" w:eastAsia="仿宋"/>
          <w:color w:val="auto"/>
          <w:sz w:val="24"/>
          <w:szCs w:val="24"/>
          <w:highlight w:val="none"/>
          <w:u w:val="single"/>
        </w:rPr>
      </w:pPr>
      <w:r>
        <w:rPr>
          <w:rFonts w:ascii="仿宋" w:hAnsi="仿宋" w:eastAsia="仿宋"/>
          <w:color w:val="auto"/>
          <w:sz w:val="24"/>
          <w:szCs w:val="24"/>
          <w:highlight w:val="none"/>
          <w:u w:val="single"/>
        </w:rPr>
        <w:t>38.3延迟竣工的责任：因承包人的原因导致实际竣工日期迟于计划竣工日期的，承包人应按照通用条款第40条规定赔偿发包人由此造成的损失，并向发包人支付误期赔偿费。</w:t>
      </w:r>
    </w:p>
    <w:p>
      <w:pPr>
        <w:pStyle w:val="8"/>
        <w:tabs>
          <w:tab w:val="left" w:pos="420"/>
        </w:tabs>
        <w:rPr>
          <w:rFonts w:ascii="仿宋" w:hAnsi="仿宋" w:eastAsia="仿宋"/>
          <w:b w:val="0"/>
          <w:bCs/>
          <w:color w:val="auto"/>
          <w:highlight w:val="none"/>
        </w:rPr>
      </w:pPr>
      <w:bookmarkStart w:id="619" w:name="_Toc25653735"/>
      <w:bookmarkStart w:id="620" w:name="_Toc5843"/>
      <w:bookmarkStart w:id="621" w:name="_Toc469384105"/>
      <w:bookmarkStart w:id="622" w:name="_Toc1688"/>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42. </w:t>
      </w:r>
      <w:r>
        <w:rPr>
          <w:rFonts w:hint="eastAsia" w:ascii="仿宋" w:hAnsi="仿宋" w:eastAsia="仿宋" w:cs="仿宋"/>
          <w:b w:val="0"/>
          <w:bCs/>
          <w:color w:val="auto"/>
          <w:highlight w:val="none"/>
        </w:rPr>
        <w:t>质量标准、目标</w:t>
      </w:r>
      <w:bookmarkEnd w:id="619"/>
      <w:bookmarkEnd w:id="620"/>
      <w:bookmarkEnd w:id="621"/>
      <w:bookmarkEnd w:id="622"/>
    </w:p>
    <w:p>
      <w:pPr>
        <w:ind w:firstLine="120" w:firstLineChars="50"/>
        <w:rPr>
          <w:rFonts w:ascii="仿宋" w:hAnsi="仿宋" w:eastAsia="仿宋"/>
          <w:color w:val="auto"/>
          <w:sz w:val="24"/>
          <w:szCs w:val="24"/>
          <w:highlight w:val="none"/>
        </w:rPr>
      </w:pPr>
    </w:p>
    <w:p>
      <w:pPr>
        <w:spacing w:line="360" w:lineRule="auto"/>
        <w:ind w:firstLine="120" w:firstLineChars="50"/>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color w:val="auto"/>
          <w:sz w:val="24"/>
          <w:szCs w:val="24"/>
          <w:highlight w:val="none"/>
        </w:rPr>
        <w:t xml:space="preserve">42.1 </w:t>
      </w:r>
      <w:r>
        <w:rPr>
          <w:rFonts w:hint="eastAsia" w:ascii="仿宋" w:hAnsi="仿宋" w:eastAsia="仿宋" w:cs="仿宋"/>
          <w:color w:val="auto"/>
          <w:sz w:val="24"/>
          <w:szCs w:val="24"/>
          <w:highlight w:val="none"/>
        </w:rPr>
        <w:t>约定的工程质量标准</w:t>
      </w:r>
    </w:p>
    <w:p>
      <w:pPr>
        <w:spacing w:line="360" w:lineRule="auto"/>
        <w:ind w:firstLine="120" w:firstLineChars="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）合同工程质量标准：</w:t>
      </w:r>
      <w:r>
        <w:rPr>
          <w:rFonts w:hint="eastAsia" w:ascii="仿宋" w:hAnsi="仿宋" w:eastAsia="仿宋" w:cs="仿宋"/>
          <w:color w:val="auto"/>
          <w:sz w:val="24"/>
          <w:szCs w:val="24"/>
          <w:highlight w:val="none"/>
          <w:u w:val="single"/>
        </w:rPr>
        <w:t>合格。</w:t>
      </w:r>
    </w:p>
    <w:p>
      <w:pPr>
        <w:spacing w:line="360" w:lineRule="auto"/>
        <w:ind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创优目标：</w:t>
      </w:r>
    </w:p>
    <w:p>
      <w:pPr>
        <w:autoSpaceDE w:val="0"/>
        <w:autoSpaceDN w:val="0"/>
        <w:adjustRightInd w:val="0"/>
        <w:spacing w:line="360" w:lineRule="auto"/>
        <w:ind w:firstLine="480" w:firstLineChars="200"/>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市级工程优质奖</w:t>
      </w:r>
      <w:r>
        <w:rPr>
          <w:rFonts w:hint="eastAsia" w:ascii="仿宋" w:hAnsi="仿宋" w:eastAsia="仿宋" w:cs="仿宋"/>
          <w:color w:val="auto"/>
          <w:kern w:val="0"/>
          <w:sz w:val="24"/>
          <w:szCs w:val="24"/>
          <w:highlight w:val="none"/>
        </w:rPr>
        <w:t>；</w:t>
      </w:r>
    </w:p>
    <w:p>
      <w:pPr>
        <w:autoSpaceDE w:val="0"/>
        <w:autoSpaceDN w:val="0"/>
        <w:adjustRightInd w:val="0"/>
        <w:spacing w:line="360" w:lineRule="auto"/>
        <w:ind w:firstLine="480" w:firstLineChars="200"/>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省级工程优质奖</w:t>
      </w:r>
      <w:r>
        <w:rPr>
          <w:rFonts w:hint="eastAsia" w:ascii="仿宋" w:hAnsi="仿宋" w:eastAsia="仿宋" w:cs="仿宋"/>
          <w:color w:val="auto"/>
          <w:kern w:val="0"/>
          <w:sz w:val="24"/>
          <w:szCs w:val="24"/>
          <w:highlight w:val="none"/>
        </w:rPr>
        <w:t>；</w:t>
      </w:r>
    </w:p>
    <w:p>
      <w:pPr>
        <w:spacing w:line="360" w:lineRule="auto"/>
        <w:ind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国家级工程优质奖</w:t>
      </w:r>
      <w:r>
        <w:rPr>
          <w:rFonts w:hint="eastAsia" w:ascii="仿宋" w:hAnsi="仿宋" w:eastAsia="仿宋" w:cs="仿宋"/>
          <w:color w:val="auto"/>
          <w:kern w:val="0"/>
          <w:sz w:val="24"/>
          <w:szCs w:val="24"/>
          <w:highlight w:val="none"/>
        </w:rPr>
        <w:t>；</w:t>
      </w:r>
    </w:p>
    <w:p>
      <w:pPr>
        <w:spacing w:line="360" w:lineRule="auto"/>
        <w:ind w:firstLine="480" w:firstLineChars="20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□其它</w:t>
      </w:r>
    </w:p>
    <w:p>
      <w:pPr>
        <w:ind w:firstLine="480" w:firstLineChars="200"/>
        <w:rPr>
          <w:rFonts w:ascii="仿宋" w:hAnsi="仿宋" w:eastAsia="仿宋"/>
          <w:color w:val="auto"/>
          <w:kern w:val="0"/>
          <w:sz w:val="24"/>
          <w:szCs w:val="24"/>
          <w:highlight w:val="none"/>
        </w:rPr>
      </w:pPr>
    </w:p>
    <w:p>
      <w:pPr>
        <w:ind w:firstLine="240" w:firstLineChars="100"/>
        <w:rPr>
          <w:rFonts w:ascii="仿宋" w:hAnsi="仿宋" w:eastAsia="仿宋" w:cs="仿宋"/>
          <w:color w:val="auto"/>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特殊质量标准和要求：</w:t>
      </w:r>
      <w:r>
        <w:rPr>
          <w:rFonts w:hint="eastAsia" w:ascii="仿宋" w:hAnsi="仿宋" w:eastAsia="仿宋" w:cs="仿宋"/>
          <w:color w:val="auto"/>
          <w:sz w:val="24"/>
          <w:szCs w:val="24"/>
          <w:highlight w:val="none"/>
          <w:u w:val="single"/>
        </w:rPr>
        <w:t>防腐质量合格率</w:t>
      </w:r>
      <w:r>
        <w:rPr>
          <w:rFonts w:ascii="仿宋" w:hAnsi="仿宋" w:eastAsia="仿宋" w:cs="仿宋"/>
          <w:color w:val="auto"/>
          <w:sz w:val="24"/>
          <w:szCs w:val="24"/>
          <w:highlight w:val="none"/>
          <w:u w:val="single"/>
        </w:rPr>
        <w:t>100%、焊缝质量:合格率为100%。</w:t>
      </w:r>
    </w:p>
    <w:p>
      <w:pPr>
        <w:ind w:firstLine="360" w:firstLineChars="150"/>
        <w:rPr>
          <w:rFonts w:ascii="仿宋" w:hAnsi="仿宋" w:eastAsia="仿宋"/>
          <w:color w:val="auto"/>
          <w:sz w:val="24"/>
          <w:szCs w:val="24"/>
          <w:highlight w:val="none"/>
          <w:u w:val="single"/>
        </w:rPr>
      </w:pPr>
    </w:p>
    <w:p>
      <w:pPr>
        <w:ind w:firstLine="120" w:firstLineChars="5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）工程质量验收标准：</w:t>
      </w:r>
      <w:r>
        <w:rPr>
          <w:rFonts w:hint="eastAsia" w:ascii="仿宋" w:hAnsi="仿宋" w:eastAsia="仿宋" w:cs="仿宋"/>
          <w:color w:val="auto"/>
          <w:sz w:val="24"/>
          <w:szCs w:val="24"/>
          <w:highlight w:val="none"/>
          <w:u w:val="single"/>
        </w:rPr>
        <w:t>符合国家现行相关规范要求。</w:t>
      </w:r>
    </w:p>
    <w:p>
      <w:pPr>
        <w:rPr>
          <w:rFonts w:ascii="仿宋" w:hAnsi="仿宋" w:eastAsia="仿宋"/>
          <w:color w:val="auto"/>
          <w:sz w:val="24"/>
          <w:szCs w:val="24"/>
          <w:highlight w:val="none"/>
          <w:u w:val="single"/>
        </w:rPr>
      </w:pPr>
    </w:p>
    <w:p>
      <w:pPr>
        <w:spacing w:line="360" w:lineRule="auto"/>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42.3 </w:t>
      </w:r>
      <w:r>
        <w:rPr>
          <w:rFonts w:hint="eastAsia" w:ascii="仿宋" w:hAnsi="仿宋" w:eastAsia="仿宋" w:cs="仿宋"/>
          <w:color w:val="auto"/>
          <w:sz w:val="24"/>
          <w:szCs w:val="24"/>
          <w:highlight w:val="none"/>
        </w:rPr>
        <w:t>质量保证体系</w:t>
      </w:r>
    </w:p>
    <w:p>
      <w:pPr>
        <w:spacing w:line="360" w:lineRule="auto"/>
        <w:ind w:firstLine="424" w:firstLineChars="177"/>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承包人应当完善质量管理制度，建立质量控制流程，建立并保持一个有效的工程质量管理体系。</w:t>
      </w:r>
    </w:p>
    <w:p>
      <w:pPr>
        <w:spacing w:line="360" w:lineRule="auto"/>
        <w:ind w:firstLine="424" w:firstLineChars="177"/>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pPr>
        <w:spacing w:line="360" w:lineRule="auto"/>
        <w:ind w:firstLine="424" w:firstLineChars="177"/>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）承包人提交总监理工程师批准的施工组织设计或者施工方案必须附有完备的工程质量保证措施，包括：</w:t>
      </w:r>
      <w:r>
        <w:rPr>
          <w:rFonts w:ascii="仿宋" w:hAnsi="仿宋" w:eastAsia="仿宋" w:cs="仿宋"/>
          <w:color w:val="auto"/>
          <w:sz w:val="24"/>
          <w:szCs w:val="24"/>
          <w:highlight w:val="none"/>
          <w:u w:val="single"/>
        </w:rPr>
        <w:t>/</w:t>
      </w:r>
    </w:p>
    <w:p>
      <w:pPr>
        <w:spacing w:line="360" w:lineRule="auto"/>
        <w:ind w:firstLine="424" w:firstLineChars="177"/>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）单项工程开工前，承包人必须按要求对职工分级进行技术交底，组织学习有关规程、标准、规范和工艺要求，在施工中必须按规程及工艺进行操作。</w:t>
      </w:r>
    </w:p>
    <w:p>
      <w:pPr>
        <w:spacing w:line="360" w:lineRule="auto"/>
        <w:ind w:firstLine="424" w:firstLineChars="177"/>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pPr>
        <w:spacing w:line="360" w:lineRule="auto"/>
        <w:rPr>
          <w:rFonts w:ascii="仿宋" w:hAnsi="仿宋" w:eastAsia="仿宋"/>
          <w:color w:val="auto"/>
          <w:sz w:val="24"/>
          <w:szCs w:val="24"/>
          <w:highlight w:val="none"/>
        </w:rPr>
      </w:pPr>
    </w:p>
    <w:p>
      <w:pPr>
        <w:pStyle w:val="8"/>
        <w:tabs>
          <w:tab w:val="left" w:pos="420"/>
        </w:tabs>
        <w:rPr>
          <w:rFonts w:ascii="仿宋" w:hAnsi="仿宋" w:eastAsia="仿宋"/>
          <w:b w:val="0"/>
          <w:bCs/>
          <w:color w:val="auto"/>
          <w:highlight w:val="none"/>
        </w:rPr>
      </w:pPr>
      <w:bookmarkStart w:id="623" w:name="_Toc469384106"/>
      <w:bookmarkStart w:id="624" w:name="_Toc8404"/>
      <w:bookmarkStart w:id="625" w:name="_Toc32319"/>
      <w:bookmarkStart w:id="626" w:name="_Toc25653736"/>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45. </w:t>
      </w:r>
      <w:bookmarkEnd w:id="623"/>
      <w:r>
        <w:rPr>
          <w:rFonts w:hint="eastAsia" w:ascii="仿宋" w:hAnsi="仿宋" w:eastAsia="仿宋" w:cs="仿宋"/>
          <w:b w:val="0"/>
          <w:bCs/>
          <w:color w:val="auto"/>
          <w:highlight w:val="none"/>
        </w:rPr>
        <w:t>绿色施工安全防护</w:t>
      </w:r>
      <w:bookmarkEnd w:id="624"/>
      <w:bookmarkEnd w:id="625"/>
      <w:bookmarkEnd w:id="626"/>
    </w:p>
    <w:p>
      <w:pPr>
        <w:ind w:firstLine="120" w:firstLineChars="50"/>
        <w:rPr>
          <w:rFonts w:ascii="仿宋" w:hAnsi="仿宋" w:eastAsia="仿宋"/>
          <w:color w:val="auto"/>
          <w:sz w:val="24"/>
          <w:szCs w:val="24"/>
          <w:highlight w:val="none"/>
        </w:rPr>
      </w:pPr>
    </w:p>
    <w:p>
      <w:pPr>
        <w:spacing w:line="360" w:lineRule="auto"/>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45.1</w:t>
      </w:r>
      <w:r>
        <w:rPr>
          <w:rFonts w:hint="eastAsia" w:ascii="仿宋" w:hAnsi="仿宋" w:eastAsia="仿宋" w:cs="仿宋"/>
          <w:color w:val="auto"/>
          <w:sz w:val="24"/>
          <w:szCs w:val="24"/>
          <w:highlight w:val="none"/>
        </w:rPr>
        <w:t>绿色施工安全防护的要求：</w:t>
      </w:r>
    </w:p>
    <w:p>
      <w:pPr>
        <w:spacing w:line="360" w:lineRule="auto"/>
        <w:ind w:firstLine="360" w:firstLineChars="1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按通用条款的规定。</w:t>
      </w:r>
    </w:p>
    <w:p>
      <w:pPr>
        <w:spacing w:line="360" w:lineRule="auto"/>
        <w:ind w:firstLine="1440" w:firstLineChars="600"/>
        <w:rPr>
          <w:rFonts w:ascii="仿宋" w:hAnsi="仿宋" w:eastAsia="仿宋" w:cs="仿宋"/>
          <w:color w:val="auto"/>
          <w:kern w:val="0"/>
          <w:sz w:val="24"/>
          <w:szCs w:val="24"/>
          <w:highlight w:val="none"/>
          <w:u w:val="single"/>
        </w:rPr>
      </w:pPr>
    </w:p>
    <w:p>
      <w:pPr>
        <w:ind w:firstLine="360" w:firstLineChars="150"/>
        <w:rPr>
          <w:rFonts w:ascii="仿宋" w:hAnsi="仿宋" w:eastAsia="仿宋"/>
          <w:color w:val="auto"/>
          <w:kern w:val="0"/>
          <w:sz w:val="24"/>
          <w:szCs w:val="24"/>
          <w:highlight w:val="none"/>
        </w:rPr>
      </w:pPr>
      <w:r>
        <w:rPr>
          <w:rFonts w:ascii="仿宋" w:hAnsi="仿宋" w:eastAsia="仿宋" w:cs="仿宋"/>
          <w:color w:val="auto"/>
          <w:sz w:val="24"/>
          <w:szCs w:val="24"/>
          <w:highlight w:val="none"/>
        </w:rPr>
        <w:t>45.2</w:t>
      </w:r>
      <w:r>
        <w:rPr>
          <w:rFonts w:hint="eastAsia" w:ascii="仿宋" w:hAnsi="仿宋" w:eastAsia="仿宋" w:cs="仿宋"/>
          <w:color w:val="auto"/>
          <w:kern w:val="0"/>
          <w:sz w:val="24"/>
          <w:szCs w:val="24"/>
          <w:highlight w:val="none"/>
        </w:rPr>
        <w:t>用工实名制、工人工资支付分账管理</w:t>
      </w:r>
    </w:p>
    <w:p>
      <w:pPr>
        <w:ind w:firstLine="360" w:firstLineChars="1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按通用条款的规定以及以下文件规定：</w:t>
      </w:r>
    </w:p>
    <w:p>
      <w:pPr>
        <w:spacing w:line="360" w:lineRule="auto"/>
        <w:ind w:left="1438" w:leftChars="456" w:hanging="480" w:hangingChars="2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、《广东省住房和城乡建设厅关于印发房屋建筑和市政基础设施工程用工实名管理暂行办法的通知》（粤建规范〔</w:t>
      </w:r>
      <w:r>
        <w:rPr>
          <w:rFonts w:ascii="仿宋" w:hAnsi="仿宋" w:eastAsia="仿宋" w:cs="仿宋"/>
          <w:color w:val="auto"/>
          <w:kern w:val="0"/>
          <w:sz w:val="24"/>
          <w:szCs w:val="24"/>
          <w:highlight w:val="none"/>
        </w:rPr>
        <w:t>2018</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号）</w:t>
      </w:r>
    </w:p>
    <w:p>
      <w:pPr>
        <w:spacing w:line="360" w:lineRule="auto"/>
        <w:ind w:left="1557" w:leftChars="627" w:hanging="240" w:hangingChars="1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&lt;</w:t>
      </w:r>
      <w:r>
        <w:rPr>
          <w:rFonts w:hint="eastAsia" w:ascii="仿宋" w:hAnsi="仿宋" w:eastAsia="仿宋" w:cs="仿宋"/>
          <w:color w:val="auto"/>
          <w:kern w:val="0"/>
          <w:sz w:val="24"/>
          <w:szCs w:val="24"/>
          <w:highlight w:val="none"/>
        </w:rPr>
        <w:t>广州市住房和城乡建设委员会关于转发《广东省住房和城乡建设厅关于房屋建筑和市政基础设施工程用工实名管理暂行办法》的通知</w:t>
      </w:r>
      <w:r>
        <w:rPr>
          <w:rFonts w:ascii="仿宋" w:hAnsi="仿宋" w:eastAsia="仿宋" w:cs="仿宋"/>
          <w:color w:val="auto"/>
          <w:kern w:val="0"/>
          <w:sz w:val="24"/>
          <w:szCs w:val="24"/>
          <w:highlight w:val="none"/>
        </w:rPr>
        <w:t>&gt;</w:t>
      </w:r>
      <w:r>
        <w:rPr>
          <w:rFonts w:hint="eastAsia" w:ascii="仿宋" w:hAnsi="仿宋" w:eastAsia="仿宋" w:cs="仿宋"/>
          <w:color w:val="auto"/>
          <w:kern w:val="0"/>
          <w:sz w:val="24"/>
          <w:szCs w:val="24"/>
          <w:highlight w:val="none"/>
        </w:rPr>
        <w:t>（穗建筑〔</w:t>
      </w:r>
      <w:r>
        <w:rPr>
          <w:rFonts w:ascii="仿宋" w:hAnsi="仿宋" w:eastAsia="仿宋" w:cs="仿宋"/>
          <w:color w:val="auto"/>
          <w:kern w:val="0"/>
          <w:sz w:val="24"/>
          <w:szCs w:val="24"/>
          <w:highlight w:val="none"/>
        </w:rPr>
        <w:t>2018</w:t>
      </w: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981</w:t>
      </w:r>
      <w:r>
        <w:rPr>
          <w:rFonts w:hint="eastAsia" w:ascii="仿宋" w:hAnsi="仿宋" w:eastAsia="仿宋" w:cs="仿宋"/>
          <w:color w:val="auto"/>
          <w:kern w:val="0"/>
          <w:sz w:val="24"/>
          <w:szCs w:val="24"/>
          <w:highlight w:val="none"/>
        </w:rPr>
        <w:t>号）</w:t>
      </w:r>
    </w:p>
    <w:p>
      <w:pPr>
        <w:pStyle w:val="36"/>
        <w:spacing w:before="0" w:beforeAutospacing="0" w:after="0" w:afterAutospacing="0" w:line="360" w:lineRule="auto"/>
        <w:ind w:left="1557" w:leftChars="627" w:hanging="240" w:hangingChars="100"/>
        <w:rPr>
          <w:color w:val="auto"/>
          <w:highlight w:val="none"/>
        </w:rPr>
      </w:pPr>
      <w:r>
        <w:rPr>
          <w:rFonts w:ascii="仿宋" w:hAnsi="仿宋" w:eastAsia="仿宋" w:cs="仿宋"/>
          <w:color w:val="auto"/>
          <w:highlight w:val="none"/>
        </w:rPr>
        <w:t>&lt;</w:t>
      </w:r>
      <w:r>
        <w:rPr>
          <w:rFonts w:hint="eastAsia" w:ascii="仿宋" w:hAnsi="仿宋" w:eastAsia="仿宋" w:cs="仿宋"/>
          <w:color w:val="auto"/>
          <w:highlight w:val="none"/>
        </w:rPr>
        <w:t>广州市住房和城乡建设委员会关于实施《广州市建设领域工人工资支付分账管理实施细则》的通知</w:t>
      </w:r>
      <w:r>
        <w:rPr>
          <w:rFonts w:ascii="仿宋" w:hAnsi="仿宋" w:eastAsia="仿宋" w:cs="仿宋"/>
          <w:color w:val="auto"/>
          <w:highlight w:val="none"/>
        </w:rPr>
        <w:t>&gt;</w:t>
      </w:r>
      <w:r>
        <w:rPr>
          <w:rFonts w:hint="eastAsia" w:ascii="仿宋" w:hAnsi="仿宋" w:eastAsia="仿宋" w:cs="仿宋"/>
          <w:color w:val="auto"/>
          <w:highlight w:val="none"/>
        </w:rPr>
        <w:t>（穗建筑〔</w:t>
      </w:r>
      <w:r>
        <w:rPr>
          <w:rFonts w:ascii="仿宋" w:hAnsi="仿宋" w:eastAsia="仿宋" w:cs="仿宋"/>
          <w:color w:val="auto"/>
          <w:highlight w:val="none"/>
        </w:rPr>
        <w:t xml:space="preserve"> 2017 </w:t>
      </w:r>
      <w:r>
        <w:rPr>
          <w:rFonts w:hint="eastAsia" w:ascii="仿宋" w:hAnsi="仿宋" w:eastAsia="仿宋" w:cs="仿宋"/>
          <w:color w:val="auto"/>
          <w:highlight w:val="none"/>
        </w:rPr>
        <w:t>〕</w:t>
      </w:r>
      <w:r>
        <w:rPr>
          <w:rFonts w:ascii="仿宋" w:hAnsi="仿宋" w:eastAsia="仿宋" w:cs="仿宋"/>
          <w:color w:val="auto"/>
          <w:highlight w:val="none"/>
        </w:rPr>
        <w:t xml:space="preserve">1344 </w:t>
      </w:r>
      <w:r>
        <w:rPr>
          <w:rFonts w:hint="eastAsia" w:ascii="仿宋" w:hAnsi="仿宋" w:eastAsia="仿宋" w:cs="仿宋"/>
          <w:color w:val="auto"/>
          <w:highlight w:val="none"/>
        </w:rPr>
        <w:t>号）</w:t>
      </w:r>
    </w:p>
    <w:p>
      <w:pPr>
        <w:spacing w:line="360" w:lineRule="auto"/>
        <w:ind w:left="1463" w:leftChars="68" w:hanging="1320" w:hangingChars="5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《广州市建设领域工人工资支付分账管理实施细则》（穗建规字〔2020〕37号）</w:t>
      </w:r>
    </w:p>
    <w:p>
      <w:pPr>
        <w:ind w:firstLine="960" w:firstLineChars="4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2、</w:t>
      </w: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其他文件：</w:t>
      </w:r>
      <w:r>
        <w:rPr>
          <w:rFonts w:hint="eastAsia" w:ascii="仿宋" w:hAnsi="仿宋" w:eastAsia="仿宋" w:cs="仿宋"/>
          <w:color w:val="auto"/>
          <w:kern w:val="0"/>
          <w:sz w:val="24"/>
          <w:szCs w:val="24"/>
          <w:highlight w:val="none"/>
          <w:u w:val="single"/>
        </w:rPr>
        <w:t>根据国家法律法规及省、市相关规定执行</w:t>
      </w:r>
    </w:p>
    <w:p>
      <w:pPr>
        <w:rPr>
          <w:rFonts w:ascii="仿宋" w:hAnsi="仿宋" w:eastAsia="仿宋"/>
          <w:color w:val="auto"/>
          <w:kern w:val="0"/>
          <w:sz w:val="24"/>
          <w:szCs w:val="24"/>
          <w:highlight w:val="none"/>
        </w:rPr>
      </w:pPr>
    </w:p>
    <w:p>
      <w:pPr>
        <w:widowControl/>
        <w:spacing w:line="360" w:lineRule="auto"/>
        <w:ind w:firstLine="42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项目开工前，承包人执行政府相关文件（广州市人力资源和社会保障局和市城乡建设委员会</w:t>
      </w:r>
      <w:r>
        <w:rPr>
          <w:rFonts w:ascii="仿宋" w:hAnsi="仿宋" w:eastAsia="仿宋" w:cs="仿宋"/>
          <w:color w:val="auto"/>
          <w:kern w:val="0"/>
          <w:sz w:val="24"/>
          <w:szCs w:val="24"/>
          <w:highlight w:val="none"/>
          <w:u w:val="single"/>
        </w:rPr>
        <w:t>2014年9月颁布的《广州市建筑施工企业工人工资支付保证金管理办法》、广州市住房和城乡建设委员会2017年6月颁布的《广州市建设领域工人工资支付分账管理实施细则》（穗建筑〔2017〕1344号）），承包人在项目所在地开立银行专用存款账户（工人工资支付保证金专款帐户），按规定的比例存入资金作为工人工资支付保证金（简称工资保证金），纳入该企业工资保证金专户统一管理。该笔保证金由承包人自行缴存。如发生承包人欠薪，按管理办法规定从该笔工资保证金提取支付，承包人于提取后十天内补充相应资金，未等额补足的，发包人有权拒绝付款。工人工资保证金已包含在合同价中。</w:t>
      </w:r>
    </w:p>
    <w:p>
      <w:pPr>
        <w:ind w:firstLine="360" w:firstLineChars="1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发包人支付预付款前，承包人应已办理工人工资保证金专款帐户，并向发包人提交相关证明材料。</w:t>
      </w:r>
    </w:p>
    <w:p>
      <w:pPr>
        <w:ind w:firstLine="360" w:firstLineChars="150"/>
        <w:rPr>
          <w:rFonts w:ascii="仿宋" w:hAnsi="仿宋" w:eastAsia="仿宋" w:cs="仿宋"/>
          <w:color w:val="auto"/>
          <w:kern w:val="0"/>
          <w:sz w:val="24"/>
          <w:szCs w:val="24"/>
          <w:highlight w:val="none"/>
          <w:u w:val="single"/>
        </w:rPr>
      </w:pPr>
    </w:p>
    <w:p>
      <w:pPr>
        <w:ind w:firstLine="360" w:firstLineChars="1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45.6 </w:t>
      </w:r>
      <w:r>
        <w:rPr>
          <w:rFonts w:hint="eastAsia" w:ascii="仿宋" w:hAnsi="仿宋" w:eastAsia="仿宋" w:cs="仿宋"/>
          <w:color w:val="auto"/>
          <w:sz w:val="24"/>
          <w:szCs w:val="24"/>
          <w:highlight w:val="none"/>
        </w:rPr>
        <w:t>治安管理：</w:t>
      </w:r>
    </w:p>
    <w:p>
      <w:pPr>
        <w:spacing w:line="360" w:lineRule="auto"/>
        <w:ind w:firstLine="600" w:firstLineChars="2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按通用条款的规定。</w:t>
      </w:r>
    </w:p>
    <w:p>
      <w:pPr>
        <w:ind w:firstLine="120" w:firstLineChars="50"/>
        <w:rPr>
          <w:rFonts w:ascii="仿宋" w:hAnsi="仿宋" w:eastAsia="仿宋"/>
          <w:color w:val="auto"/>
          <w:kern w:val="0"/>
          <w:sz w:val="24"/>
          <w:szCs w:val="24"/>
          <w:highlight w:val="none"/>
        </w:rPr>
      </w:pPr>
    </w:p>
    <w:p>
      <w:pPr>
        <w:spacing w:line="360" w:lineRule="auto"/>
        <w:ind w:firstLine="482"/>
        <w:rPr>
          <w:rFonts w:ascii="仿宋" w:hAnsi="仿宋" w:eastAsia="仿宋"/>
          <w:color w:val="auto"/>
          <w:kern w:val="0"/>
          <w:sz w:val="24"/>
          <w:szCs w:val="24"/>
          <w:highlight w:val="none"/>
        </w:rPr>
      </w:pPr>
      <w:r>
        <w:rPr>
          <w:rFonts w:ascii="仿宋" w:hAnsi="仿宋" w:eastAsia="仿宋" w:cs="仿宋"/>
          <w:color w:val="auto"/>
          <w:sz w:val="24"/>
          <w:szCs w:val="24"/>
          <w:highlight w:val="none"/>
        </w:rPr>
        <w:t>45.9</w:t>
      </w:r>
      <w:r>
        <w:rPr>
          <w:rFonts w:hint="eastAsia" w:ascii="仿宋" w:hAnsi="仿宋" w:eastAsia="仿宋" w:cs="仿宋"/>
          <w:color w:val="auto"/>
          <w:kern w:val="0"/>
          <w:sz w:val="24"/>
          <w:szCs w:val="24"/>
          <w:highlight w:val="none"/>
        </w:rPr>
        <w:t>特别安全生产事项</w:t>
      </w:r>
    </w:p>
    <w:p>
      <w:pPr>
        <w:spacing w:line="360" w:lineRule="auto"/>
        <w:ind w:firstLine="482"/>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危险性较大分部分项专项工程施工技术措施标准、要求：</w:t>
      </w:r>
      <w:r>
        <w:rPr>
          <w:rFonts w:hint="eastAsia" w:ascii="仿宋" w:hAnsi="仿宋" w:eastAsia="仿宋" w:cs="仿宋"/>
          <w:color w:val="auto"/>
          <w:sz w:val="24"/>
          <w:szCs w:val="24"/>
          <w:highlight w:val="none"/>
          <w:u w:val="single"/>
        </w:rPr>
        <w:t>符合国家、省、市相关要求</w:t>
      </w:r>
      <w:r>
        <w:rPr>
          <w:rFonts w:hint="eastAsia" w:ascii="仿宋" w:hAnsi="仿宋" w:eastAsia="仿宋" w:cs="仿宋"/>
          <w:color w:val="auto"/>
          <w:sz w:val="24"/>
          <w:szCs w:val="24"/>
          <w:highlight w:val="none"/>
        </w:rPr>
        <w:t>；</w:t>
      </w:r>
    </w:p>
    <w:p>
      <w:pPr>
        <w:pStyle w:val="8"/>
        <w:tabs>
          <w:tab w:val="left" w:pos="420"/>
        </w:tabs>
        <w:rPr>
          <w:rFonts w:ascii="仿宋" w:hAnsi="仿宋" w:eastAsia="仿宋"/>
          <w:b w:val="0"/>
          <w:bCs/>
          <w:color w:val="auto"/>
          <w:highlight w:val="none"/>
        </w:rPr>
      </w:pPr>
      <w:bookmarkStart w:id="627" w:name="_Toc30289"/>
      <w:bookmarkStart w:id="628" w:name="_Toc469384107"/>
      <w:bookmarkStart w:id="629" w:name="_Toc25653737"/>
      <w:bookmarkStart w:id="630" w:name="_Toc740"/>
      <w:r>
        <w:rPr>
          <w:rFonts w:ascii="仿宋" w:hAnsi="仿宋" w:eastAsia="仿宋" w:cs="仿宋"/>
          <w:b w:val="0"/>
          <w:bCs/>
          <w:color w:val="auto"/>
          <w:highlight w:val="none"/>
        </w:rPr>
        <w:t xml:space="preserve">46. </w:t>
      </w:r>
      <w:r>
        <w:rPr>
          <w:rFonts w:hint="eastAsia" w:ascii="仿宋" w:hAnsi="仿宋" w:eastAsia="仿宋" w:cs="仿宋"/>
          <w:b w:val="0"/>
          <w:bCs/>
          <w:color w:val="auto"/>
          <w:highlight w:val="none"/>
        </w:rPr>
        <w:t>测量放线</w:t>
      </w:r>
      <w:bookmarkEnd w:id="627"/>
      <w:bookmarkEnd w:id="628"/>
      <w:bookmarkEnd w:id="629"/>
      <w:bookmarkEnd w:id="630"/>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46.1 </w:t>
      </w:r>
      <w:r>
        <w:rPr>
          <w:rFonts w:hint="eastAsia" w:ascii="仿宋" w:hAnsi="仿宋" w:eastAsia="仿宋" w:cs="仿宋"/>
          <w:color w:val="auto"/>
          <w:kern w:val="0"/>
          <w:sz w:val="24"/>
          <w:szCs w:val="24"/>
          <w:highlight w:val="none"/>
        </w:rPr>
        <w:t>承包人提交施工控制网资料的时间：</w:t>
      </w:r>
      <w:r>
        <w:rPr>
          <w:rFonts w:hint="eastAsia" w:ascii="仿宋" w:hAnsi="仿宋" w:eastAsia="仿宋" w:cs="仿宋"/>
          <w:color w:val="auto"/>
          <w:sz w:val="24"/>
          <w:szCs w:val="24"/>
          <w:highlight w:val="none"/>
          <w:u w:val="single"/>
        </w:rPr>
        <w:t>由发包人发出书面通知为准。</w:t>
      </w:r>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olor w:val="auto"/>
          <w:kern w:val="0"/>
          <w:sz w:val="24"/>
          <w:szCs w:val="24"/>
          <w:highlight w:val="none"/>
          <w:u w:val="single"/>
        </w:rPr>
      </w:pPr>
      <w:r>
        <w:rPr>
          <w:rFonts w:ascii="仿宋" w:hAnsi="仿宋" w:eastAsia="仿宋" w:cs="仿宋"/>
          <w:color w:val="auto"/>
          <w:kern w:val="0"/>
          <w:sz w:val="24"/>
          <w:szCs w:val="24"/>
          <w:highlight w:val="none"/>
        </w:rPr>
        <w:t xml:space="preserve">  46.4 </w:t>
      </w:r>
      <w:r>
        <w:rPr>
          <w:rFonts w:hint="eastAsia" w:ascii="仿宋" w:hAnsi="仿宋" w:eastAsia="仿宋" w:cs="仿宋"/>
          <w:color w:val="auto"/>
          <w:kern w:val="0"/>
          <w:sz w:val="24"/>
          <w:szCs w:val="24"/>
          <w:highlight w:val="none"/>
        </w:rPr>
        <w:t>测量放线误差的约定：</w:t>
      </w:r>
      <w:r>
        <w:rPr>
          <w:rFonts w:hint="eastAsia" w:ascii="仿宋" w:hAnsi="仿宋" w:eastAsia="仿宋" w:cs="仿宋"/>
          <w:color w:val="auto"/>
          <w:kern w:val="0"/>
          <w:sz w:val="24"/>
          <w:szCs w:val="24"/>
          <w:highlight w:val="none"/>
          <w:u w:val="single"/>
        </w:rPr>
        <w:t>按现行有关设计及施工验收规范规定。</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631" w:name="_Toc28077"/>
      <w:bookmarkStart w:id="632" w:name="_Toc25653738"/>
      <w:bookmarkStart w:id="633" w:name="_Toc469384108"/>
      <w:bookmarkStart w:id="634" w:name="_Toc15031"/>
      <w:r>
        <w:rPr>
          <w:rFonts w:ascii="仿宋" w:hAnsi="仿宋" w:eastAsia="仿宋" w:cs="仿宋"/>
          <w:b w:val="0"/>
          <w:bCs/>
          <w:color w:val="auto"/>
          <w:highlight w:val="none"/>
        </w:rPr>
        <w:t>48.</w:t>
      </w:r>
      <w:r>
        <w:rPr>
          <w:rFonts w:hint="eastAsia" w:ascii="仿宋" w:hAnsi="仿宋" w:eastAsia="仿宋" w:cs="仿宋"/>
          <w:b w:val="0"/>
          <w:bCs/>
          <w:color w:val="auto"/>
          <w:highlight w:val="none"/>
        </w:rPr>
        <w:t>发包人供应材料和工程设备</w:t>
      </w:r>
      <w:bookmarkEnd w:id="631"/>
      <w:bookmarkEnd w:id="632"/>
      <w:bookmarkEnd w:id="633"/>
      <w:bookmarkEnd w:id="634"/>
    </w:p>
    <w:p>
      <w:pPr>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48.1 </w:t>
      </w:r>
      <w:r>
        <w:rPr>
          <w:rFonts w:hint="eastAsia" w:ascii="仿宋" w:hAnsi="仿宋" w:eastAsia="仿宋" w:cs="仿宋"/>
          <w:color w:val="auto"/>
          <w:kern w:val="0"/>
          <w:sz w:val="24"/>
          <w:szCs w:val="24"/>
          <w:highlight w:val="none"/>
        </w:rPr>
        <w:t>约定供应的材料和工程设备</w:t>
      </w:r>
    </w:p>
    <w:p>
      <w:pPr>
        <w:spacing w:line="360" w:lineRule="auto"/>
        <w:ind w:firstLine="120" w:firstLineChars="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sym w:font="Wingdings 2" w:char="0052"/>
      </w:r>
      <w:r>
        <w:rPr>
          <w:rFonts w:hint="eastAsia" w:ascii="仿宋" w:hAnsi="仿宋" w:eastAsia="仿宋" w:cs="仿宋"/>
          <w:color w:val="auto"/>
          <w:kern w:val="0"/>
          <w:sz w:val="24"/>
          <w:szCs w:val="24"/>
          <w:highlight w:val="none"/>
        </w:rPr>
        <w:t>发包人不供应材料和工程设备，本条不适用。</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00A3"/>
      </w:r>
      <w:r>
        <w:rPr>
          <w:rFonts w:hint="eastAsia" w:ascii="仿宋" w:hAnsi="仿宋" w:eastAsia="仿宋" w:cs="仿宋"/>
          <w:color w:val="auto"/>
          <w:kern w:val="0"/>
          <w:sz w:val="24"/>
          <w:szCs w:val="24"/>
          <w:highlight w:val="none"/>
        </w:rPr>
        <w:t>发包人供应材料和工程设备的，应与承包人约定“发包人供应材料和工程设备一览表”，作为本合同的附件。</w:t>
      </w:r>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48.8 </w:t>
      </w:r>
      <w:r>
        <w:rPr>
          <w:rFonts w:hint="eastAsia" w:ascii="仿宋" w:hAnsi="仿宋" w:eastAsia="仿宋" w:cs="仿宋"/>
          <w:color w:val="auto"/>
          <w:kern w:val="0"/>
          <w:sz w:val="24"/>
          <w:szCs w:val="24"/>
          <w:highlight w:val="none"/>
        </w:rPr>
        <w:t>发包人供应材料和工程设备的结算方式：</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 xml:space="preserve">48.8.1 </w:t>
      </w:r>
      <w:r>
        <w:rPr>
          <w:rFonts w:hint="eastAsia" w:ascii="仿宋" w:hAnsi="仿宋" w:eastAsia="仿宋"/>
          <w:color w:val="auto"/>
          <w:sz w:val="24"/>
          <w:szCs w:val="24"/>
          <w:highlight w:val="none"/>
        </w:rPr>
        <w:t>发包人所供材料按实际用于工程的数量进行结算，具体为：</w:t>
      </w:r>
    </w:p>
    <w:p>
      <w:pPr>
        <w:spacing w:before="62" w:beforeLines="2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u w:val="single"/>
        </w:rPr>
        <w:t>①</w:t>
      </w:r>
      <w:r>
        <w:rPr>
          <w:rFonts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single"/>
        </w:rPr>
        <w:t>管材用量</w:t>
      </w:r>
      <w:r>
        <w:rPr>
          <w:rFonts w:ascii="仿宋" w:hAnsi="仿宋" w:eastAsia="仿宋"/>
          <w:color w:val="auto"/>
          <w:sz w:val="24"/>
          <w:szCs w:val="24"/>
          <w:highlight w:val="none"/>
          <w:u w:val="single"/>
        </w:rPr>
        <w:t>=竣工图示管道中心线长度×1.01，竣工图示管道中心线长度扣除成品管件（热煨弯头、成品三通、阀门等）所占长度，其中热煨弯头所占长度为展开长度、包含直管段和弯管段；</w:t>
      </w:r>
    </w:p>
    <w:p>
      <w:pPr>
        <w:spacing w:before="62" w:beforeLines="20" w:line="400" w:lineRule="exact"/>
        <w:ind w:firstLine="480" w:firstLineChars="200"/>
        <w:rPr>
          <w:rFonts w:ascii="仿宋" w:hAnsi="仿宋" w:eastAsia="仿宋"/>
          <w:color w:val="auto"/>
          <w:sz w:val="24"/>
          <w:szCs w:val="24"/>
          <w:highlight w:val="none"/>
          <w:u w:val="single"/>
        </w:rPr>
      </w:pPr>
      <w:r>
        <w:rPr>
          <w:rFonts w:ascii="仿宋" w:hAnsi="仿宋" w:eastAsia="仿宋"/>
          <w:color w:val="auto"/>
          <w:sz w:val="24"/>
          <w:szCs w:val="24"/>
          <w:highlight w:val="none"/>
          <w:u w:val="single"/>
        </w:rPr>
        <w:t xml:space="preserve">48.8.2 </w:t>
      </w:r>
      <w:r>
        <w:rPr>
          <w:rFonts w:hint="eastAsia" w:ascii="仿宋" w:hAnsi="仿宋" w:eastAsia="仿宋"/>
          <w:color w:val="auto"/>
          <w:sz w:val="24"/>
          <w:szCs w:val="24"/>
          <w:highlight w:val="none"/>
          <w:u w:val="single"/>
        </w:rPr>
        <w:t>由发包人提供的材料领料、换料、退料运输费、装卸费、保管费等，由承包人计入合同价的对应安装项目中。</w:t>
      </w:r>
    </w:p>
    <w:p>
      <w:pPr>
        <w:spacing w:before="62" w:beforeLines="20" w:line="400" w:lineRule="exact"/>
        <w:ind w:firstLine="480" w:firstLineChars="200"/>
        <w:rPr>
          <w:rFonts w:ascii="仿宋" w:hAnsi="仿宋" w:eastAsia="仿宋"/>
          <w:color w:val="auto"/>
          <w:sz w:val="24"/>
          <w:szCs w:val="24"/>
          <w:highlight w:val="none"/>
          <w:u w:val="single"/>
        </w:rPr>
      </w:pPr>
      <w:r>
        <w:rPr>
          <w:rFonts w:ascii="仿宋" w:hAnsi="仿宋" w:eastAsia="仿宋"/>
          <w:color w:val="auto"/>
          <w:sz w:val="24"/>
          <w:szCs w:val="24"/>
          <w:highlight w:val="none"/>
          <w:u w:val="single"/>
        </w:rPr>
        <w:t xml:space="preserve">48.8.3 </w:t>
      </w:r>
      <w:r>
        <w:rPr>
          <w:rFonts w:hint="eastAsia" w:ascii="仿宋" w:hAnsi="仿宋" w:eastAsia="仿宋"/>
          <w:color w:val="auto"/>
          <w:sz w:val="24"/>
          <w:szCs w:val="24"/>
          <w:highlight w:val="none"/>
          <w:u w:val="single"/>
        </w:rPr>
        <w:t>工程完毕多出的材料</w:t>
      </w:r>
      <w:r>
        <w:rPr>
          <w:rFonts w:ascii="仿宋" w:hAnsi="仿宋" w:eastAsia="仿宋"/>
          <w:color w:val="auto"/>
          <w:sz w:val="24"/>
          <w:szCs w:val="24"/>
          <w:highlight w:val="none"/>
          <w:u w:val="single"/>
        </w:rPr>
        <w:t xml:space="preserve"> </w:t>
      </w:r>
      <w:r>
        <w:rPr>
          <w:rFonts w:hint="eastAsia" w:ascii="仿宋" w:hAnsi="仿宋" w:eastAsia="仿宋"/>
          <w:color w:val="auto"/>
          <w:sz w:val="24"/>
          <w:szCs w:val="24"/>
          <w:highlight w:val="none"/>
          <w:u w:val="single"/>
        </w:rPr>
        <w:t>，承包人应自报告完工之日起</w:t>
      </w:r>
      <w:r>
        <w:rPr>
          <w:rFonts w:ascii="仿宋" w:hAnsi="仿宋" w:eastAsia="仿宋"/>
          <w:color w:val="auto"/>
          <w:sz w:val="24"/>
          <w:szCs w:val="24"/>
          <w:highlight w:val="none"/>
          <w:u w:val="single"/>
        </w:rPr>
        <w:t>15天内退回发包人，否则发包人将根据工程验收情况扣除相应材料费。退回的管材须符合下列条件：</w:t>
      </w:r>
    </w:p>
    <w:p>
      <w:pPr>
        <w:spacing w:before="62" w:beforeLines="2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u w:val="single"/>
        </w:rPr>
        <w:t>①管材尽量保持全条的完整性；</w:t>
      </w:r>
    </w:p>
    <w:p>
      <w:pPr>
        <w:spacing w:before="62" w:beforeLines="2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u w:val="single"/>
        </w:rPr>
        <w:t>②管材外观完好；</w:t>
      </w:r>
    </w:p>
    <w:p>
      <w:pPr>
        <w:spacing w:before="62" w:beforeLines="2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u w:val="single"/>
        </w:rPr>
        <w:t>③防腐层完好。</w:t>
      </w:r>
    </w:p>
    <w:p>
      <w:pPr>
        <w:ind w:firstLine="120" w:firstLineChars="50"/>
        <w:rPr>
          <w:rFonts w:ascii="仿宋" w:hAnsi="仿宋" w:eastAsia="仿宋" w:cs="仿宋"/>
          <w:color w:val="auto"/>
          <w:kern w:val="0"/>
          <w:sz w:val="24"/>
          <w:szCs w:val="24"/>
          <w:highlight w:val="none"/>
          <w:u w:val="single"/>
        </w:rPr>
      </w:pPr>
      <w:r>
        <w:rPr>
          <w:rFonts w:hint="eastAsia" w:ascii="仿宋" w:hAnsi="仿宋" w:eastAsia="仿宋"/>
          <w:color w:val="auto"/>
          <w:sz w:val="24"/>
          <w:szCs w:val="24"/>
          <w:highlight w:val="none"/>
          <w:u w:val="single"/>
        </w:rPr>
        <w:t>磨损或浪费的材料经发包人、监理公司确认后折价或全价在施工费中扣除。</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635" w:name="_Toc1753"/>
      <w:bookmarkStart w:id="636" w:name="_Toc25653739"/>
      <w:bookmarkStart w:id="637" w:name="_Toc469384109"/>
      <w:bookmarkStart w:id="638" w:name="_Toc19106"/>
      <w:r>
        <w:rPr>
          <w:rFonts w:ascii="仿宋" w:hAnsi="仿宋" w:eastAsia="仿宋" w:cs="仿宋"/>
          <w:b w:val="0"/>
          <w:bCs/>
          <w:color w:val="auto"/>
          <w:highlight w:val="none"/>
        </w:rPr>
        <w:t xml:space="preserve">49. </w:t>
      </w:r>
      <w:r>
        <w:rPr>
          <w:rFonts w:hint="eastAsia" w:ascii="仿宋" w:hAnsi="仿宋" w:eastAsia="仿宋" w:cs="仿宋"/>
          <w:b w:val="0"/>
          <w:bCs/>
          <w:color w:val="auto"/>
          <w:highlight w:val="none"/>
        </w:rPr>
        <w:t>承包人采购材料和工程设备</w:t>
      </w:r>
      <w:bookmarkEnd w:id="635"/>
      <w:bookmarkEnd w:id="636"/>
      <w:bookmarkEnd w:id="637"/>
      <w:bookmarkEnd w:id="638"/>
    </w:p>
    <w:p>
      <w:pPr>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49.1 </w:t>
      </w:r>
      <w:r>
        <w:rPr>
          <w:rFonts w:hint="eastAsia" w:ascii="仿宋" w:hAnsi="仿宋" w:eastAsia="仿宋" w:cs="仿宋"/>
          <w:color w:val="auto"/>
          <w:kern w:val="0"/>
          <w:sz w:val="24"/>
          <w:szCs w:val="24"/>
          <w:highlight w:val="none"/>
        </w:rPr>
        <w:t>承包人采购材料和工程设备</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按通用条款规定，由承包人负责运输和保管。</w:t>
      </w:r>
    </w:p>
    <w:p>
      <w:pPr>
        <w:ind w:firstLine="120" w:firstLineChars="50"/>
        <w:rPr>
          <w:rFonts w:ascii="仿宋" w:hAnsi="仿宋" w:eastAsia="仿宋" w:cs="仿宋"/>
          <w:color w:val="auto"/>
          <w:kern w:val="0"/>
          <w:sz w:val="24"/>
          <w:szCs w:val="24"/>
          <w:highlight w:val="none"/>
        </w:rPr>
      </w:pPr>
    </w:p>
    <w:p>
      <w:pPr>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49.2 </w:t>
      </w:r>
      <w:r>
        <w:rPr>
          <w:rFonts w:hint="eastAsia" w:ascii="仿宋" w:hAnsi="仿宋" w:eastAsia="仿宋" w:cs="仿宋"/>
          <w:color w:val="auto"/>
          <w:kern w:val="0"/>
          <w:sz w:val="24"/>
          <w:szCs w:val="24"/>
          <w:highlight w:val="none"/>
        </w:rPr>
        <w:t>承包人供货要求：</w:t>
      </w:r>
      <w:r>
        <w:rPr>
          <w:rFonts w:hint="eastAsia" w:ascii="仿宋" w:hAnsi="仿宋" w:eastAsia="仿宋" w:cs="仿宋"/>
          <w:color w:val="auto"/>
          <w:kern w:val="0"/>
          <w:sz w:val="24"/>
          <w:szCs w:val="24"/>
          <w:highlight w:val="none"/>
          <w:u w:val="single"/>
        </w:rPr>
        <w:t>依照通用条款执行，如需使用代用材料设备，代工的材料设备标准、档次不得低于招标文件要求或投标文件承诺。</w:t>
      </w:r>
    </w:p>
    <w:p>
      <w:pPr>
        <w:ind w:firstLine="120" w:firstLineChars="50"/>
        <w:rPr>
          <w:rFonts w:ascii="仿宋" w:hAnsi="仿宋" w:eastAsia="仿宋" w:cs="仿宋"/>
          <w:color w:val="auto"/>
          <w:kern w:val="0"/>
          <w:sz w:val="24"/>
          <w:szCs w:val="24"/>
          <w:highlight w:val="none"/>
          <w:u w:val="single"/>
        </w:rPr>
      </w:pPr>
    </w:p>
    <w:p>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  49.8 </w:t>
      </w:r>
      <w:r>
        <w:rPr>
          <w:rFonts w:hint="eastAsia" w:ascii="仿宋" w:hAnsi="仿宋" w:eastAsia="仿宋" w:cs="仿宋"/>
          <w:color w:val="auto"/>
          <w:kern w:val="0"/>
          <w:sz w:val="24"/>
          <w:szCs w:val="24"/>
          <w:highlight w:val="none"/>
        </w:rPr>
        <w:t>发包人依法指定的生产厂家和供应商：</w:t>
      </w:r>
      <w:r>
        <w:rPr>
          <w:rFonts w:hint="eastAsia" w:ascii="仿宋" w:hAnsi="仿宋" w:eastAsia="仿宋" w:cs="仿宋"/>
          <w:color w:val="auto"/>
          <w:kern w:val="0"/>
          <w:sz w:val="24"/>
          <w:szCs w:val="24"/>
          <w:highlight w:val="none"/>
          <w:u w:val="single"/>
        </w:rPr>
        <w:t>无。</w:t>
      </w:r>
    </w:p>
    <w:p>
      <w:pPr>
        <w:spacing w:line="360" w:lineRule="auto"/>
        <w:ind w:firstLine="360" w:firstLineChars="1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发包人要求的材料和工程设备建设标准、质量等级：</w:t>
      </w:r>
      <w:r>
        <w:rPr>
          <w:rFonts w:hint="eastAsia" w:ascii="仿宋" w:hAnsi="仿宋" w:eastAsia="仿宋" w:cs="仿宋"/>
          <w:color w:val="auto"/>
          <w:kern w:val="0"/>
          <w:sz w:val="24"/>
          <w:szCs w:val="24"/>
          <w:highlight w:val="none"/>
          <w:u w:val="single"/>
        </w:rPr>
        <w:t>合格。</w:t>
      </w:r>
    </w:p>
    <w:p>
      <w:pPr>
        <w:pStyle w:val="8"/>
        <w:tabs>
          <w:tab w:val="left" w:pos="420"/>
        </w:tabs>
        <w:rPr>
          <w:rFonts w:ascii="仿宋" w:hAnsi="仿宋" w:eastAsia="仿宋"/>
          <w:b w:val="0"/>
          <w:bCs/>
          <w:color w:val="auto"/>
          <w:highlight w:val="none"/>
        </w:rPr>
      </w:pPr>
      <w:bookmarkStart w:id="639" w:name="_Toc25653740"/>
      <w:bookmarkStart w:id="640" w:name="_Toc6844"/>
      <w:bookmarkStart w:id="641" w:name="_Toc18800"/>
      <w:bookmarkStart w:id="642" w:name="_Toc469384110"/>
      <w:r>
        <w:rPr>
          <w:rFonts w:ascii="仿宋" w:hAnsi="仿宋" w:eastAsia="仿宋" w:cs="仿宋"/>
          <w:b w:val="0"/>
          <w:bCs/>
          <w:color w:val="auto"/>
          <w:highlight w:val="none"/>
        </w:rPr>
        <w:t xml:space="preserve">50. </w:t>
      </w:r>
      <w:r>
        <w:rPr>
          <w:rFonts w:hint="eastAsia" w:ascii="仿宋" w:hAnsi="仿宋" w:eastAsia="仿宋" w:cs="仿宋"/>
          <w:b w:val="0"/>
          <w:bCs/>
          <w:color w:val="auto"/>
          <w:highlight w:val="none"/>
        </w:rPr>
        <w:t>材料和工程设备的检验试验</w:t>
      </w:r>
      <w:bookmarkEnd w:id="639"/>
      <w:bookmarkEnd w:id="640"/>
      <w:bookmarkEnd w:id="641"/>
      <w:bookmarkEnd w:id="642"/>
    </w:p>
    <w:p>
      <w:pPr>
        <w:ind w:firstLine="120" w:firstLineChars="50"/>
        <w:rPr>
          <w:rFonts w:ascii="仿宋" w:hAnsi="仿宋" w:eastAsia="仿宋"/>
          <w:b/>
          <w:bCs/>
          <w:color w:val="auto"/>
          <w:kern w:val="0"/>
          <w:sz w:val="24"/>
          <w:szCs w:val="24"/>
          <w:highlight w:val="none"/>
        </w:rPr>
      </w:pPr>
    </w:p>
    <w:p>
      <w:pPr>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50.2 </w:t>
      </w:r>
      <w:r>
        <w:rPr>
          <w:rFonts w:hint="eastAsia" w:ascii="仿宋" w:hAnsi="仿宋" w:eastAsia="仿宋" w:cs="仿宋"/>
          <w:color w:val="auto"/>
          <w:kern w:val="0"/>
          <w:sz w:val="24"/>
          <w:szCs w:val="24"/>
          <w:highlight w:val="none"/>
        </w:rPr>
        <w:t>见证取样检验试验的材料和工程设备</w:t>
      </w:r>
    </w:p>
    <w:p>
      <w:pPr>
        <w:ind w:firstLine="120" w:firstLineChars="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）种类：</w:t>
      </w:r>
      <w:r>
        <w:rPr>
          <w:rFonts w:hint="eastAsia" w:ascii="仿宋" w:hAnsi="仿宋" w:eastAsia="仿宋" w:cs="仿宋"/>
          <w:color w:val="auto"/>
          <w:kern w:val="0"/>
          <w:sz w:val="24"/>
          <w:szCs w:val="24"/>
          <w:highlight w:val="none"/>
          <w:u w:val="single"/>
        </w:rPr>
        <w:t>根据国家法律法规及省、市相关规定执行。</w:t>
      </w:r>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）检测机构：</w:t>
      </w:r>
      <w:r>
        <w:rPr>
          <w:rFonts w:hint="eastAsia" w:ascii="仿宋" w:hAnsi="仿宋" w:eastAsia="仿宋" w:cs="仿宋"/>
          <w:color w:val="auto"/>
          <w:kern w:val="0"/>
          <w:sz w:val="24"/>
          <w:szCs w:val="24"/>
          <w:highlight w:val="none"/>
          <w:u w:val="single"/>
        </w:rPr>
        <w:t>根据国家法律法规及省、市相关规定执行，相关费用由发包人承担。</w:t>
      </w:r>
    </w:p>
    <w:p>
      <w:pPr>
        <w:ind w:firstLine="120" w:firstLineChars="50"/>
        <w:rPr>
          <w:rFonts w:ascii="仿宋" w:hAnsi="仿宋" w:eastAsia="仿宋"/>
          <w:color w:val="auto"/>
          <w:sz w:val="24"/>
          <w:szCs w:val="24"/>
          <w:highlight w:val="none"/>
          <w:u w:val="single"/>
        </w:rPr>
      </w:pPr>
    </w:p>
    <w:p>
      <w:pPr>
        <w:pStyle w:val="8"/>
        <w:tabs>
          <w:tab w:val="left" w:pos="420"/>
        </w:tabs>
        <w:rPr>
          <w:rFonts w:ascii="仿宋" w:hAnsi="仿宋" w:eastAsia="仿宋"/>
          <w:b w:val="0"/>
          <w:bCs/>
          <w:color w:val="auto"/>
          <w:highlight w:val="none"/>
        </w:rPr>
      </w:pPr>
      <w:bookmarkStart w:id="643" w:name="_Toc18248"/>
      <w:bookmarkStart w:id="644" w:name="_Toc469384111"/>
      <w:bookmarkStart w:id="645" w:name="_Toc25653741"/>
      <w:bookmarkStart w:id="646" w:name="_Toc9546"/>
      <w:r>
        <w:rPr>
          <w:rFonts w:ascii="仿宋" w:hAnsi="仿宋" w:eastAsia="仿宋" w:cs="仿宋"/>
          <w:b w:val="0"/>
          <w:bCs/>
          <w:color w:val="auto"/>
          <w:highlight w:val="none"/>
        </w:rPr>
        <w:t xml:space="preserve">51. </w:t>
      </w:r>
      <w:r>
        <w:rPr>
          <w:rFonts w:hint="eastAsia" w:ascii="仿宋" w:hAnsi="仿宋" w:eastAsia="仿宋" w:cs="仿宋"/>
          <w:b w:val="0"/>
          <w:bCs/>
          <w:color w:val="auto"/>
          <w:highlight w:val="none"/>
        </w:rPr>
        <w:t>施工设备和临时设施</w:t>
      </w:r>
      <w:bookmarkEnd w:id="643"/>
      <w:bookmarkEnd w:id="644"/>
      <w:bookmarkEnd w:id="645"/>
      <w:bookmarkEnd w:id="646"/>
    </w:p>
    <w:p>
      <w:pPr>
        <w:ind w:firstLine="120" w:firstLineChars="50"/>
        <w:rPr>
          <w:rFonts w:ascii="仿宋" w:hAnsi="仿宋" w:eastAsia="仿宋"/>
          <w:color w:val="auto"/>
          <w:sz w:val="24"/>
          <w:szCs w:val="24"/>
          <w:highlight w:val="none"/>
        </w:rPr>
      </w:pPr>
    </w:p>
    <w:p>
      <w:pPr>
        <w:spacing w:line="360" w:lineRule="auto"/>
        <w:ind w:firstLine="120" w:firstLineChars="50"/>
        <w:rPr>
          <w:rFonts w:ascii="仿宋" w:hAnsi="仿宋" w:eastAsia="仿宋"/>
          <w:color w:val="auto"/>
          <w:sz w:val="24"/>
          <w:szCs w:val="24"/>
          <w:highlight w:val="none"/>
        </w:rPr>
      </w:pPr>
      <w:r>
        <w:rPr>
          <w:rFonts w:ascii="仿宋" w:hAnsi="仿宋" w:eastAsia="仿宋" w:cs="仿宋"/>
          <w:color w:val="auto"/>
          <w:sz w:val="24"/>
          <w:szCs w:val="24"/>
          <w:highlight w:val="none"/>
        </w:rPr>
        <w:t xml:space="preserve">  51.1 </w:t>
      </w:r>
      <w:r>
        <w:rPr>
          <w:rFonts w:hint="eastAsia" w:ascii="仿宋" w:hAnsi="仿宋" w:eastAsia="仿宋" w:cs="仿宋"/>
          <w:color w:val="auto"/>
          <w:sz w:val="24"/>
          <w:szCs w:val="24"/>
          <w:highlight w:val="none"/>
        </w:rPr>
        <w:t>承包人配置施工设备和临时设施</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临时设施的修建需临时占地的，由承包人自行办理其申请手续，并承担相关费用。</w:t>
      </w:r>
    </w:p>
    <w:p>
      <w:pPr>
        <w:spacing w:line="360" w:lineRule="auto"/>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51.2 </w:t>
      </w:r>
      <w:r>
        <w:rPr>
          <w:rFonts w:hint="eastAsia" w:ascii="仿宋" w:hAnsi="仿宋" w:eastAsia="仿宋" w:cs="仿宋"/>
          <w:color w:val="auto"/>
          <w:kern w:val="0"/>
          <w:sz w:val="24"/>
          <w:szCs w:val="24"/>
          <w:highlight w:val="none"/>
        </w:rPr>
        <w:t>发包人提供的施工设备和临时设施：</w:t>
      </w:r>
      <w:r>
        <w:rPr>
          <w:rFonts w:hint="eastAsia" w:ascii="仿宋" w:hAnsi="仿宋" w:eastAsia="仿宋" w:cs="仿宋"/>
          <w:color w:val="auto"/>
          <w:kern w:val="0"/>
          <w:sz w:val="24"/>
          <w:szCs w:val="24"/>
          <w:highlight w:val="none"/>
          <w:u w:val="single"/>
        </w:rPr>
        <w:t>无。</w:t>
      </w:r>
      <w:r>
        <w:rPr>
          <w:rFonts w:ascii="仿宋" w:hAnsi="仿宋" w:eastAsia="仿宋" w:cs="仿宋"/>
          <w:color w:val="auto"/>
          <w:kern w:val="0"/>
          <w:sz w:val="24"/>
          <w:szCs w:val="24"/>
          <w:highlight w:val="none"/>
        </w:rPr>
        <w:t xml:space="preserve"> </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647" w:name="_Toc27925"/>
      <w:bookmarkStart w:id="648" w:name="_Toc25653742"/>
      <w:bookmarkStart w:id="649" w:name="_Toc469384112"/>
      <w:bookmarkStart w:id="650" w:name="_Toc26044"/>
      <w:r>
        <w:rPr>
          <w:rFonts w:ascii="仿宋" w:hAnsi="仿宋" w:eastAsia="仿宋" w:cs="仿宋"/>
          <w:b w:val="0"/>
          <w:bCs/>
          <w:color w:val="auto"/>
          <w:highlight w:val="none"/>
        </w:rPr>
        <w:t xml:space="preserve">53. </w:t>
      </w:r>
      <w:r>
        <w:rPr>
          <w:rFonts w:hint="eastAsia" w:ascii="仿宋" w:hAnsi="仿宋" w:eastAsia="仿宋" w:cs="仿宋"/>
          <w:b w:val="0"/>
          <w:bCs/>
          <w:color w:val="auto"/>
          <w:highlight w:val="none"/>
        </w:rPr>
        <w:t>隐蔽工程和中间验收</w:t>
      </w:r>
      <w:bookmarkEnd w:id="647"/>
      <w:bookmarkEnd w:id="648"/>
      <w:bookmarkEnd w:id="649"/>
      <w:bookmarkEnd w:id="650"/>
    </w:p>
    <w:p>
      <w:pPr>
        <w:ind w:firstLine="120" w:firstLineChars="50"/>
        <w:rPr>
          <w:rFonts w:ascii="仿宋" w:hAnsi="仿宋" w:eastAsia="仿宋"/>
          <w:color w:val="auto"/>
          <w:kern w:val="0"/>
          <w:sz w:val="24"/>
          <w:szCs w:val="24"/>
          <w:highlight w:val="none"/>
        </w:rPr>
      </w:pPr>
    </w:p>
    <w:p>
      <w:pPr>
        <w:spacing w:line="360" w:lineRule="auto"/>
        <w:ind w:left="120" w:leftChars="57"/>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隐蔽工程或中间验收部位未经专业监理工程师验收合格，不得隐蔽或继续施工，否则该部分工程被视为不合格，由此所产生的返工费用由承包人承担。</w:t>
      </w:r>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53.1 </w:t>
      </w:r>
      <w:r>
        <w:rPr>
          <w:rFonts w:hint="eastAsia" w:ascii="仿宋" w:hAnsi="仿宋" w:eastAsia="仿宋" w:cs="仿宋"/>
          <w:color w:val="auto"/>
          <w:kern w:val="0"/>
          <w:sz w:val="24"/>
          <w:szCs w:val="24"/>
          <w:highlight w:val="none"/>
        </w:rPr>
        <w:t>中间验收的部位有：</w:t>
      </w:r>
      <w:r>
        <w:rPr>
          <w:rFonts w:hint="eastAsia" w:ascii="仿宋" w:hAnsi="仿宋" w:eastAsia="仿宋" w:cs="仿宋"/>
          <w:color w:val="auto"/>
          <w:kern w:val="0"/>
          <w:sz w:val="24"/>
          <w:szCs w:val="24"/>
          <w:highlight w:val="none"/>
          <w:u w:val="single"/>
        </w:rPr>
        <w:t>按相关法律法规执行，包括但不限于：</w:t>
      </w:r>
      <w:r>
        <w:rPr>
          <w:rFonts w:ascii="仿宋" w:hAnsi="仿宋" w:eastAsia="仿宋" w:cs="仿宋"/>
          <w:color w:val="auto"/>
          <w:kern w:val="0"/>
          <w:sz w:val="24"/>
          <w:szCs w:val="24"/>
          <w:highlight w:val="none"/>
          <w:u w:val="single"/>
        </w:rPr>
        <w:t>1、所有材料进场检验；2、管道下沟前的沟槽检查；3、所有隐蔽工序；4、交叉工序；5、管道覆土前、后的检查； 6、管道的强度试验；7、管道的严密性试验； 8、管道的吹扫试验；9、阀门气密性试验； 10、钢管焊缝质量检查；11、管道、焊口防腐质量检查；12管道、设备的保温隔热；13《关于加强房屋建筑重要分部（子分部）工程质量验收工作的通知》（穗建质[2010]1063号）所涉及的有关重要分部工程。</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651" w:name="_Toc20997"/>
      <w:bookmarkStart w:id="652" w:name="_Toc25653744"/>
      <w:bookmarkStart w:id="653" w:name="_Toc469384114"/>
      <w:bookmarkStart w:id="654" w:name="_Toc3360"/>
      <w:r>
        <w:rPr>
          <w:rFonts w:ascii="仿宋" w:hAnsi="仿宋" w:eastAsia="仿宋" w:cs="仿宋"/>
          <w:b w:val="0"/>
          <w:bCs/>
          <w:color w:val="auto"/>
          <w:highlight w:val="none"/>
        </w:rPr>
        <w:t>56</w:t>
      </w:r>
      <w:r>
        <w:rPr>
          <w:rFonts w:hint="eastAsia" w:ascii="仿宋" w:hAnsi="仿宋" w:eastAsia="仿宋" w:cs="仿宋"/>
          <w:b w:val="0"/>
          <w:bCs/>
          <w:color w:val="auto"/>
          <w:highlight w:val="none"/>
        </w:rPr>
        <w:t>．工程变更</w:t>
      </w:r>
      <w:bookmarkEnd w:id="651"/>
      <w:bookmarkEnd w:id="652"/>
      <w:bookmarkEnd w:id="653"/>
      <w:bookmarkEnd w:id="654"/>
    </w:p>
    <w:p>
      <w:pPr>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56.4 </w:t>
      </w:r>
      <w:r>
        <w:rPr>
          <w:rFonts w:hint="eastAsia" w:ascii="仿宋" w:hAnsi="仿宋" w:eastAsia="仿宋" w:cs="仿宋"/>
          <w:color w:val="auto"/>
          <w:kern w:val="0"/>
          <w:sz w:val="24"/>
          <w:szCs w:val="24"/>
          <w:highlight w:val="none"/>
        </w:rPr>
        <w:t>承包人提出工程变更建议</w:t>
      </w:r>
    </w:p>
    <w:p>
      <w:pPr>
        <w:spacing w:line="360" w:lineRule="auto"/>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发包人采纳承包人建议带来利益的计奖方法：</w:t>
      </w:r>
      <w:r>
        <w:rPr>
          <w:rFonts w:hint="eastAsia" w:ascii="仿宋" w:hAnsi="仿宋" w:eastAsia="仿宋" w:cs="仿宋"/>
          <w:color w:val="auto"/>
          <w:kern w:val="0"/>
          <w:sz w:val="24"/>
          <w:szCs w:val="24"/>
          <w:highlight w:val="none"/>
          <w:u w:val="single"/>
        </w:rPr>
        <w:t>该通用条款不执行。</w:t>
      </w:r>
    </w:p>
    <w:p>
      <w:pPr>
        <w:spacing w:line="360" w:lineRule="auto"/>
        <w:ind w:firstLine="120" w:firstLineChars="50"/>
        <w:rPr>
          <w:rFonts w:ascii="仿宋" w:hAnsi="仿宋" w:eastAsia="仿宋" w:cs="仿宋"/>
          <w:color w:val="auto"/>
          <w:kern w:val="0"/>
          <w:sz w:val="24"/>
          <w:szCs w:val="24"/>
          <w:highlight w:val="none"/>
          <w:u w:val="single"/>
        </w:rPr>
      </w:pPr>
    </w:p>
    <w:p>
      <w:pPr>
        <w:pStyle w:val="8"/>
        <w:tabs>
          <w:tab w:val="left" w:pos="420"/>
        </w:tabs>
        <w:rPr>
          <w:rFonts w:ascii="仿宋" w:hAnsi="仿宋" w:eastAsia="仿宋"/>
          <w:b w:val="0"/>
          <w:bCs/>
          <w:color w:val="auto"/>
          <w:highlight w:val="none"/>
        </w:rPr>
      </w:pPr>
      <w:bookmarkStart w:id="655" w:name="_Toc27228"/>
      <w:bookmarkStart w:id="656" w:name="_Toc25653745"/>
      <w:bookmarkStart w:id="657" w:name="_Toc469384115"/>
      <w:bookmarkStart w:id="658" w:name="_Toc23164"/>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58. </w:t>
      </w:r>
      <w:r>
        <w:rPr>
          <w:rFonts w:hint="eastAsia" w:ascii="仿宋" w:hAnsi="仿宋" w:eastAsia="仿宋" w:cs="仿宋"/>
          <w:b w:val="0"/>
          <w:bCs/>
          <w:color w:val="auto"/>
          <w:highlight w:val="none"/>
        </w:rPr>
        <w:t>竣工验收</w:t>
      </w:r>
      <w:bookmarkEnd w:id="655"/>
      <w:bookmarkEnd w:id="656"/>
      <w:bookmarkEnd w:id="657"/>
      <w:bookmarkEnd w:id="658"/>
    </w:p>
    <w:p>
      <w:pPr>
        <w:ind w:firstLine="120" w:firstLineChars="50"/>
        <w:rPr>
          <w:rFonts w:ascii="仿宋" w:hAnsi="仿宋" w:eastAsia="仿宋"/>
          <w:color w:val="auto"/>
          <w:kern w:val="0"/>
          <w:sz w:val="24"/>
          <w:szCs w:val="24"/>
          <w:highlight w:val="none"/>
        </w:rPr>
      </w:pPr>
    </w:p>
    <w:p>
      <w:pPr>
        <w:ind w:firstLine="120" w:firstLineChars="50"/>
        <w:rPr>
          <w:rFonts w:ascii="仿宋" w:hAnsi="仿宋" w:eastAsia="仿宋"/>
          <w:color w:val="auto"/>
          <w:kern w:val="0"/>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 58.1 </w:t>
      </w:r>
      <w:r>
        <w:rPr>
          <w:rFonts w:hint="eastAsia" w:ascii="仿宋" w:hAnsi="仿宋" w:eastAsia="仿宋" w:cs="仿宋"/>
          <w:color w:val="auto"/>
          <w:kern w:val="0"/>
          <w:sz w:val="24"/>
          <w:szCs w:val="24"/>
          <w:highlight w:val="none"/>
        </w:rPr>
        <w:t>竣工验收标准</w:t>
      </w:r>
    </w:p>
    <w:p>
      <w:pPr>
        <w:ind w:firstLine="120" w:firstLineChars="5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合同工程竣工验收标准：</w:t>
      </w:r>
      <w:r>
        <w:rPr>
          <w:rFonts w:hint="eastAsia" w:ascii="仿宋" w:hAnsi="仿宋" w:eastAsia="仿宋" w:cs="仿宋"/>
          <w:color w:val="auto"/>
          <w:kern w:val="0"/>
          <w:sz w:val="24"/>
          <w:szCs w:val="24"/>
          <w:highlight w:val="none"/>
          <w:u w:val="single"/>
        </w:rPr>
        <w:t>竣工验收评定质量等级为合格。</w:t>
      </w:r>
    </w:p>
    <w:p>
      <w:pPr>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58.8 </w:t>
      </w:r>
      <w:r>
        <w:rPr>
          <w:rFonts w:hint="eastAsia" w:ascii="仿宋" w:hAnsi="仿宋" w:eastAsia="仿宋" w:cs="仿宋"/>
          <w:color w:val="auto"/>
          <w:kern w:val="0"/>
          <w:sz w:val="24"/>
          <w:szCs w:val="24"/>
          <w:highlight w:val="none"/>
        </w:rPr>
        <w:t>单位工程和工程部位验收</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合同工程无单位工程、无工程部位提前验收的，本款不适用。</w:t>
      </w:r>
    </w:p>
    <w:p>
      <w:pPr>
        <w:rPr>
          <w:rFonts w:ascii="仿宋" w:hAnsi="仿宋" w:eastAsia="仿宋" w:cs="仿宋"/>
          <w:color w:val="auto"/>
          <w:kern w:val="0"/>
          <w:sz w:val="24"/>
          <w:szCs w:val="24"/>
          <w:highlight w:val="none"/>
        </w:rPr>
      </w:pPr>
    </w:p>
    <w:p>
      <w:pPr>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58.9 </w:t>
      </w:r>
      <w:r>
        <w:rPr>
          <w:rFonts w:hint="eastAsia" w:ascii="仿宋" w:hAnsi="仿宋" w:eastAsia="仿宋" w:cs="仿宋"/>
          <w:color w:val="auto"/>
          <w:kern w:val="0"/>
          <w:sz w:val="24"/>
          <w:szCs w:val="24"/>
          <w:highlight w:val="none"/>
        </w:rPr>
        <w:t>施工期运行</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合同工程无单位工程、无工程部位在施工期运行的，本款不适用。</w:t>
      </w:r>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58.10 </w:t>
      </w:r>
      <w:r>
        <w:rPr>
          <w:rFonts w:hint="eastAsia" w:ascii="仿宋" w:hAnsi="仿宋" w:eastAsia="仿宋" w:cs="仿宋"/>
          <w:color w:val="auto"/>
          <w:kern w:val="0"/>
          <w:sz w:val="24"/>
          <w:szCs w:val="24"/>
          <w:highlight w:val="none"/>
        </w:rPr>
        <w:t>竣工清场</w:t>
      </w:r>
      <w:r>
        <w:rPr>
          <w:rFonts w:ascii="仿宋" w:hAnsi="仿宋" w:eastAsia="仿宋" w:cs="仿宋"/>
          <w:color w:val="auto"/>
          <w:kern w:val="0"/>
          <w:sz w:val="24"/>
          <w:szCs w:val="24"/>
          <w:highlight w:val="none"/>
        </w:rPr>
        <w:t xml:space="preserve"> </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按通用条款规定。</w:t>
      </w:r>
    </w:p>
    <w:p>
      <w:pPr>
        <w:rPr>
          <w:rFonts w:ascii="仿宋" w:hAnsi="仿宋" w:eastAsia="仿宋" w:cs="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58.11</w:t>
      </w:r>
      <w:r>
        <w:rPr>
          <w:rFonts w:hint="eastAsia" w:ascii="仿宋" w:hAnsi="仿宋" w:eastAsia="仿宋" w:cs="仿宋"/>
          <w:color w:val="auto"/>
          <w:kern w:val="0"/>
          <w:sz w:val="24"/>
          <w:szCs w:val="24"/>
          <w:highlight w:val="none"/>
        </w:rPr>
        <w:t>施工队伍的撤离</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按通用条款规定，承包人的人员和施工设备全部撤离施工现场。</w:t>
      </w:r>
    </w:p>
    <w:p>
      <w:pPr>
        <w:spacing w:line="360" w:lineRule="auto"/>
        <w:rPr>
          <w:rFonts w:ascii="仿宋" w:hAnsi="仿宋" w:eastAsia="仿宋" w:cs="仿宋"/>
          <w:color w:val="auto"/>
          <w:kern w:val="0"/>
          <w:sz w:val="24"/>
          <w:szCs w:val="24"/>
          <w:highlight w:val="none"/>
          <w:u w:val="single"/>
        </w:rPr>
      </w:pPr>
    </w:p>
    <w:p>
      <w:pPr>
        <w:pStyle w:val="8"/>
        <w:tabs>
          <w:tab w:val="left" w:pos="420"/>
        </w:tabs>
        <w:rPr>
          <w:rFonts w:ascii="仿宋" w:hAnsi="仿宋" w:eastAsia="仿宋"/>
          <w:b w:val="0"/>
          <w:bCs/>
          <w:color w:val="auto"/>
          <w:highlight w:val="none"/>
        </w:rPr>
      </w:pPr>
      <w:bookmarkStart w:id="659" w:name="_Toc25653746"/>
      <w:bookmarkStart w:id="660" w:name="_Toc5781"/>
      <w:bookmarkStart w:id="661" w:name="_Toc469384116"/>
      <w:bookmarkStart w:id="662" w:name="_Toc1407"/>
      <w:r>
        <w:rPr>
          <w:rFonts w:ascii="仿宋" w:hAnsi="仿宋" w:eastAsia="仿宋" w:cs="仿宋"/>
          <w:b w:val="0"/>
          <w:bCs/>
          <w:color w:val="auto"/>
          <w:highlight w:val="none"/>
        </w:rPr>
        <w:t xml:space="preserve">59. </w:t>
      </w:r>
      <w:r>
        <w:rPr>
          <w:rFonts w:hint="eastAsia" w:ascii="仿宋" w:hAnsi="仿宋" w:eastAsia="仿宋" w:cs="仿宋"/>
          <w:b w:val="0"/>
          <w:bCs/>
          <w:color w:val="auto"/>
          <w:highlight w:val="none"/>
        </w:rPr>
        <w:t>缺陷责任与质量保修</w:t>
      </w:r>
      <w:bookmarkEnd w:id="659"/>
      <w:bookmarkEnd w:id="660"/>
      <w:bookmarkEnd w:id="661"/>
      <w:bookmarkEnd w:id="662"/>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59.1 </w:t>
      </w:r>
      <w:r>
        <w:rPr>
          <w:rFonts w:hint="eastAsia" w:ascii="仿宋" w:hAnsi="仿宋" w:eastAsia="仿宋" w:cs="仿宋"/>
          <w:color w:val="auto"/>
          <w:kern w:val="0"/>
          <w:sz w:val="24"/>
          <w:szCs w:val="24"/>
          <w:highlight w:val="none"/>
        </w:rPr>
        <w:t>缺陷责任期计算</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缺陷责任期：</w:t>
      </w:r>
      <w:r>
        <w:rPr>
          <w:rFonts w:ascii="仿宋" w:hAnsi="仿宋" w:eastAsia="仿宋" w:cs="仿宋"/>
          <w:color w:val="auto"/>
          <w:kern w:val="0"/>
          <w:sz w:val="24"/>
          <w:szCs w:val="24"/>
          <w:highlight w:val="none"/>
          <w:u w:val="single"/>
        </w:rPr>
        <w:t>2年。</w:t>
      </w:r>
    </w:p>
    <w:p>
      <w:pPr>
        <w:spacing w:line="360" w:lineRule="auto"/>
        <w:rPr>
          <w:rFonts w:ascii="仿宋" w:hAnsi="仿宋" w:eastAsia="仿宋"/>
          <w:color w:val="auto"/>
          <w:kern w:val="0"/>
          <w:sz w:val="24"/>
          <w:szCs w:val="24"/>
          <w:highlight w:val="none"/>
          <w:u w:val="single"/>
        </w:rPr>
      </w:pPr>
      <w:r>
        <w:rPr>
          <w:rFonts w:ascii="仿宋" w:hAnsi="仿宋" w:eastAsia="仿宋"/>
          <w:color w:val="auto"/>
          <w:kern w:val="0"/>
          <w:sz w:val="24"/>
          <w:szCs w:val="24"/>
          <w:highlight w:val="none"/>
          <w:u w:val="single"/>
        </w:rPr>
        <w:t>59.3缺陷责任：工程竣工验收时或保修期内发现质量不合格，承包人必须在规定限期内返工；返工后经检验仍不合格的，继续返工至合格，承包人必须承担由于自身原因引起的全部返工费用，不能明确返工原因的，仍需由承包单位承担全部费用。承包人还必须承担因此造成的第三方损失和承担因此引起的法律责任。</w:t>
      </w: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59.8 </w:t>
      </w:r>
      <w:r>
        <w:rPr>
          <w:rFonts w:hint="eastAsia" w:ascii="仿宋" w:hAnsi="仿宋" w:eastAsia="仿宋" w:cs="仿宋"/>
          <w:color w:val="auto"/>
          <w:kern w:val="0"/>
          <w:sz w:val="24"/>
          <w:szCs w:val="24"/>
          <w:highlight w:val="none"/>
        </w:rPr>
        <w:t>质量保修期计算</w:t>
      </w:r>
    </w:p>
    <w:p>
      <w:pPr>
        <w:spacing w:line="360" w:lineRule="auto"/>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质量保修期：</w:t>
      </w:r>
      <w:r>
        <w:rPr>
          <w:rFonts w:hint="eastAsia" w:ascii="仿宋" w:hAnsi="仿宋" w:eastAsia="仿宋" w:cs="仿宋"/>
          <w:color w:val="auto"/>
          <w:kern w:val="0"/>
          <w:sz w:val="24"/>
          <w:szCs w:val="24"/>
          <w:highlight w:val="none"/>
          <w:u w:val="single"/>
        </w:rPr>
        <w:t>参照法规要求。</w:t>
      </w:r>
    </w:p>
    <w:p>
      <w:pPr>
        <w:spacing w:line="360" w:lineRule="auto"/>
        <w:rPr>
          <w:rFonts w:ascii="仿宋" w:hAnsi="仿宋" w:eastAsia="仿宋"/>
          <w:color w:val="auto"/>
          <w:kern w:val="0"/>
          <w:sz w:val="24"/>
          <w:szCs w:val="24"/>
          <w:highlight w:val="none"/>
        </w:rPr>
      </w:pPr>
    </w:p>
    <w:p>
      <w:pPr>
        <w:pStyle w:val="8"/>
        <w:tabs>
          <w:tab w:val="left" w:pos="420"/>
        </w:tabs>
        <w:ind w:firstLine="240" w:firstLineChars="100"/>
        <w:jc w:val="both"/>
        <w:rPr>
          <w:rFonts w:ascii="仿宋" w:hAnsi="仿宋" w:eastAsia="仿宋" w:cs="仿宋"/>
          <w:b w:val="0"/>
          <w:bCs/>
          <w:color w:val="auto"/>
          <w:highlight w:val="none"/>
        </w:rPr>
      </w:pPr>
      <w:bookmarkStart w:id="663" w:name="_Toc25653747"/>
      <w:bookmarkStart w:id="664" w:name="_Toc6852"/>
      <w:bookmarkStart w:id="665" w:name="_Toc27007"/>
      <w:bookmarkStart w:id="666" w:name="_Toc469384117"/>
      <w:r>
        <w:rPr>
          <w:rFonts w:ascii="仿宋" w:hAnsi="仿宋" w:eastAsia="仿宋" w:cs="仿宋"/>
          <w:b w:val="0"/>
          <w:bCs/>
          <w:color w:val="auto"/>
          <w:highlight w:val="none"/>
        </w:rPr>
        <w:t xml:space="preserve">60. </w:t>
      </w:r>
      <w:r>
        <w:rPr>
          <w:rFonts w:hint="eastAsia" w:ascii="仿宋" w:hAnsi="仿宋" w:eastAsia="仿宋" w:cs="仿宋"/>
          <w:b w:val="0"/>
          <w:bCs/>
          <w:color w:val="auto"/>
          <w:highlight w:val="none"/>
        </w:rPr>
        <w:t>资金计划和安排</w:t>
      </w:r>
      <w:bookmarkEnd w:id="663"/>
      <w:bookmarkEnd w:id="664"/>
      <w:bookmarkEnd w:id="665"/>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60.2发包人提供资金安排证据：此通用条款不执行。</w:t>
      </w:r>
    </w:p>
    <w:p>
      <w:pPr>
        <w:pStyle w:val="8"/>
        <w:tabs>
          <w:tab w:val="left" w:pos="420"/>
        </w:tabs>
        <w:rPr>
          <w:rFonts w:ascii="仿宋" w:hAnsi="仿宋" w:eastAsia="仿宋"/>
          <w:b w:val="0"/>
          <w:bCs/>
          <w:color w:val="auto"/>
          <w:highlight w:val="none"/>
        </w:rPr>
      </w:pPr>
      <w:bookmarkStart w:id="667" w:name="_Toc1039"/>
      <w:bookmarkStart w:id="668" w:name="_Toc25653748"/>
      <w:bookmarkStart w:id="669" w:name="_Toc26970"/>
      <w:r>
        <w:rPr>
          <w:rFonts w:ascii="仿宋" w:hAnsi="仿宋" w:eastAsia="仿宋" w:cs="仿宋"/>
          <w:b w:val="0"/>
          <w:bCs/>
          <w:color w:val="auto"/>
          <w:highlight w:val="none"/>
        </w:rPr>
        <w:t xml:space="preserve">61. </w:t>
      </w:r>
      <w:r>
        <w:rPr>
          <w:rFonts w:hint="eastAsia" w:ascii="仿宋" w:hAnsi="仿宋" w:eastAsia="仿宋" w:cs="仿宋"/>
          <w:b w:val="0"/>
          <w:bCs/>
          <w:color w:val="auto"/>
          <w:highlight w:val="none"/>
        </w:rPr>
        <w:t>工程量</w:t>
      </w:r>
      <w:bookmarkEnd w:id="666"/>
      <w:bookmarkEnd w:id="667"/>
      <w:bookmarkEnd w:id="668"/>
      <w:bookmarkEnd w:id="669"/>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61.1 </w:t>
      </w:r>
      <w:r>
        <w:rPr>
          <w:rFonts w:hint="eastAsia" w:ascii="仿宋" w:hAnsi="仿宋" w:eastAsia="仿宋" w:cs="仿宋"/>
          <w:color w:val="auto"/>
          <w:kern w:val="0"/>
          <w:sz w:val="24"/>
          <w:szCs w:val="24"/>
          <w:highlight w:val="none"/>
        </w:rPr>
        <w:t>清单工程量包括的工作内容</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按通用条款规定。</w:t>
      </w:r>
    </w:p>
    <w:p>
      <w:pPr>
        <w:spacing w:line="360" w:lineRule="auto"/>
        <w:ind w:firstLine="240" w:firstLineChars="100"/>
        <w:rPr>
          <w:rFonts w:ascii="仿宋" w:hAnsi="仿宋" w:eastAsia="仿宋"/>
          <w:strike/>
          <w:color w:val="auto"/>
          <w:kern w:val="0"/>
          <w:sz w:val="24"/>
          <w:szCs w:val="24"/>
          <w:highlight w:val="none"/>
        </w:rPr>
      </w:pPr>
    </w:p>
    <w:p>
      <w:pPr>
        <w:spacing w:line="360" w:lineRule="auto"/>
        <w:rPr>
          <w:rFonts w:ascii="仿宋" w:hAnsi="仿宋" w:eastAsia="仿宋"/>
          <w:color w:val="auto"/>
          <w:kern w:val="0"/>
          <w:sz w:val="24"/>
          <w:szCs w:val="24"/>
          <w:highlight w:val="none"/>
        </w:rPr>
      </w:pPr>
    </w:p>
    <w:p>
      <w:pPr>
        <w:pStyle w:val="8"/>
        <w:tabs>
          <w:tab w:val="left" w:pos="420"/>
        </w:tabs>
        <w:rPr>
          <w:rFonts w:ascii="仿宋" w:hAnsi="仿宋" w:eastAsia="仿宋" w:cs="仿宋"/>
          <w:b w:val="0"/>
          <w:bCs/>
          <w:color w:val="auto"/>
          <w:highlight w:val="none"/>
        </w:rPr>
      </w:pPr>
      <w:bookmarkStart w:id="670" w:name="_Toc25653749"/>
      <w:bookmarkStart w:id="671" w:name="_Toc19222"/>
      <w:bookmarkStart w:id="672" w:name="_Toc16289"/>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62. </w:t>
      </w:r>
      <w:r>
        <w:rPr>
          <w:rFonts w:hint="eastAsia" w:ascii="仿宋" w:hAnsi="仿宋" w:eastAsia="仿宋" w:cs="仿宋"/>
          <w:b w:val="0"/>
          <w:bCs/>
          <w:color w:val="auto"/>
          <w:highlight w:val="none"/>
        </w:rPr>
        <w:t>工程计量和计价</w:t>
      </w:r>
      <w:bookmarkEnd w:id="670"/>
      <w:bookmarkEnd w:id="671"/>
      <w:bookmarkEnd w:id="672"/>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62.5收到已完工程款额报告的限制</w:t>
      </w:r>
    </w:p>
    <w:p>
      <w:pPr>
        <w:spacing w:line="360" w:lineRule="auto"/>
        <w:ind w:firstLine="480" w:firstLineChars="2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u w:val="single"/>
        </w:rPr>
        <w:t>监理工程师收到承包人按照第专用条款第</w:t>
      </w:r>
      <w:r>
        <w:rPr>
          <w:rFonts w:ascii="仿宋" w:hAnsi="仿宋" w:eastAsia="仿宋" w:cs="仿宋"/>
          <w:color w:val="auto"/>
          <w:kern w:val="0"/>
          <w:sz w:val="24"/>
          <w:szCs w:val="24"/>
          <w:highlight w:val="none"/>
          <w:u w:val="single"/>
        </w:rPr>
        <w:t>81.1</w:t>
      </w:r>
      <w:r>
        <w:rPr>
          <w:rFonts w:hint="eastAsia" w:ascii="仿宋" w:hAnsi="仿宋" w:eastAsia="仿宋" w:cs="仿宋"/>
          <w:color w:val="auto"/>
          <w:kern w:val="0"/>
          <w:sz w:val="24"/>
          <w:szCs w:val="24"/>
          <w:highlight w:val="none"/>
          <w:u w:val="single"/>
        </w:rPr>
        <w:t>款规定提交的已完工程款额报告后进行核实，提交发包人代表，经发包人审核确认报告中开列的工程量，作为工程计价和工程款支付的依据。</w:t>
      </w:r>
    </w:p>
    <w:p>
      <w:pPr>
        <w:spacing w:line="360" w:lineRule="auto"/>
        <w:ind w:firstLine="480" w:firstLineChars="200"/>
        <w:rPr>
          <w:rFonts w:ascii="仿宋" w:hAnsi="仿宋" w:eastAsia="仿宋" w:cs="仿宋"/>
          <w:color w:val="auto"/>
          <w:kern w:val="0"/>
          <w:sz w:val="24"/>
          <w:szCs w:val="24"/>
          <w:highlight w:val="none"/>
        </w:rPr>
      </w:pPr>
    </w:p>
    <w:p>
      <w:pPr>
        <w:spacing w:line="360" w:lineRule="auto"/>
        <w:rPr>
          <w:rFonts w:ascii="仿宋" w:hAnsi="仿宋" w:eastAsia="仿宋"/>
          <w:color w:val="auto"/>
          <w:kern w:val="0"/>
          <w:sz w:val="24"/>
          <w:szCs w:val="24"/>
          <w:highlight w:val="none"/>
        </w:rPr>
      </w:pPr>
    </w:p>
    <w:p>
      <w:pPr>
        <w:pStyle w:val="8"/>
        <w:tabs>
          <w:tab w:val="left" w:pos="420"/>
        </w:tabs>
        <w:rPr>
          <w:rFonts w:ascii="仿宋" w:hAnsi="仿宋" w:eastAsia="仿宋" w:cs="仿宋"/>
          <w:b w:val="0"/>
          <w:bCs/>
          <w:color w:val="auto"/>
          <w:highlight w:val="none"/>
        </w:rPr>
      </w:pPr>
      <w:bookmarkStart w:id="673" w:name="_Toc469384118"/>
      <w:bookmarkStart w:id="674" w:name="_Toc25653750"/>
      <w:bookmarkStart w:id="675" w:name="_Toc23447"/>
      <w:bookmarkStart w:id="676" w:name="_Toc4954"/>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63. </w:t>
      </w:r>
      <w:r>
        <w:rPr>
          <w:rFonts w:hint="eastAsia" w:ascii="仿宋" w:hAnsi="仿宋" w:eastAsia="仿宋" w:cs="仿宋"/>
          <w:b w:val="0"/>
          <w:bCs/>
          <w:color w:val="auto"/>
          <w:highlight w:val="none"/>
        </w:rPr>
        <w:t>暂列金额</w:t>
      </w:r>
      <w:bookmarkEnd w:id="673"/>
      <w:bookmarkEnd w:id="674"/>
      <w:bookmarkEnd w:id="675"/>
      <w:bookmarkEnd w:id="676"/>
    </w:p>
    <w:p>
      <w:pPr>
        <w:rPr>
          <w:rFonts w:ascii="仿宋" w:hAnsi="仿宋" w:eastAsia="仿宋"/>
          <w:color w:val="auto"/>
          <w:kern w:val="0"/>
          <w:sz w:val="24"/>
          <w:szCs w:val="24"/>
          <w:highlight w:val="none"/>
        </w:rPr>
      </w:pPr>
    </w:p>
    <w:p>
      <w:pPr>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 xml:space="preserve">  63.1 </w:t>
      </w:r>
      <w:r>
        <w:rPr>
          <w:rFonts w:hint="eastAsia" w:ascii="仿宋" w:hAnsi="仿宋" w:eastAsia="仿宋"/>
          <w:color w:val="auto"/>
          <w:kern w:val="0"/>
          <w:sz w:val="24"/>
          <w:szCs w:val="24"/>
          <w:highlight w:val="none"/>
          <w:u w:val="single"/>
        </w:rPr>
        <w:t>本项目不设</w:t>
      </w:r>
      <w:r>
        <w:rPr>
          <w:rFonts w:hint="eastAsia" w:ascii="仿宋" w:hAnsi="仿宋" w:eastAsia="仿宋" w:cs="仿宋"/>
          <w:color w:val="auto"/>
          <w:kern w:val="0"/>
          <w:sz w:val="24"/>
          <w:szCs w:val="24"/>
          <w:highlight w:val="none"/>
          <w:u w:val="single"/>
        </w:rPr>
        <w:t>暂列金额。</w:t>
      </w:r>
    </w:p>
    <w:p>
      <w:pPr>
        <w:rPr>
          <w:rFonts w:ascii="仿宋" w:hAnsi="仿宋" w:eastAsia="仿宋"/>
          <w:strike/>
          <w:color w:val="auto"/>
          <w:kern w:val="0"/>
          <w:sz w:val="24"/>
          <w:szCs w:val="24"/>
          <w:highlight w:val="none"/>
        </w:rPr>
      </w:pPr>
    </w:p>
    <w:p>
      <w:pPr>
        <w:pStyle w:val="8"/>
        <w:tabs>
          <w:tab w:val="left" w:pos="420"/>
        </w:tabs>
        <w:rPr>
          <w:rFonts w:ascii="仿宋" w:hAnsi="仿宋" w:eastAsia="仿宋" w:cs="仿宋"/>
          <w:b w:val="0"/>
          <w:bCs/>
          <w:color w:val="auto"/>
          <w:highlight w:val="none"/>
        </w:rPr>
      </w:pPr>
      <w:bookmarkStart w:id="677" w:name="_Toc469384119"/>
      <w:bookmarkStart w:id="678" w:name="_Toc2658"/>
      <w:bookmarkStart w:id="679" w:name="_Toc25653751"/>
      <w:bookmarkStart w:id="680" w:name="_Toc12369"/>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65. </w:t>
      </w:r>
      <w:r>
        <w:rPr>
          <w:rFonts w:hint="eastAsia" w:ascii="仿宋" w:hAnsi="仿宋" w:eastAsia="仿宋" w:cs="仿宋"/>
          <w:b w:val="0"/>
          <w:bCs/>
          <w:color w:val="auto"/>
          <w:highlight w:val="none"/>
        </w:rPr>
        <w:t>暂估价</w:t>
      </w:r>
      <w:bookmarkEnd w:id="677"/>
      <w:bookmarkEnd w:id="678"/>
      <w:bookmarkEnd w:id="679"/>
      <w:bookmarkEnd w:id="680"/>
    </w:p>
    <w:p>
      <w:pPr>
        <w:ind w:firstLine="240" w:firstLineChars="10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本项目不设</w:t>
      </w:r>
      <w:r>
        <w:rPr>
          <w:rFonts w:hint="eastAsia" w:ascii="仿宋" w:hAnsi="仿宋" w:eastAsia="仿宋" w:cs="仿宋"/>
          <w:color w:val="auto"/>
          <w:kern w:val="0"/>
          <w:sz w:val="24"/>
          <w:szCs w:val="24"/>
          <w:highlight w:val="none"/>
          <w:u w:val="single"/>
        </w:rPr>
        <w:t>暂估价。</w:t>
      </w:r>
    </w:p>
    <w:p>
      <w:pPr>
        <w:spacing w:line="360" w:lineRule="auto"/>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681" w:name="_Toc27117"/>
      <w:bookmarkStart w:id="682" w:name="_Toc25653752"/>
      <w:bookmarkStart w:id="683" w:name="_Toc32149"/>
      <w:bookmarkStart w:id="684" w:name="_Toc469384120"/>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66. </w:t>
      </w:r>
      <w:r>
        <w:rPr>
          <w:rFonts w:hint="eastAsia" w:ascii="仿宋" w:hAnsi="仿宋" w:eastAsia="仿宋" w:cs="仿宋"/>
          <w:b w:val="0"/>
          <w:bCs/>
          <w:color w:val="auto"/>
          <w:highlight w:val="none"/>
        </w:rPr>
        <w:t>提前竣工奖与误期赔偿费</w:t>
      </w:r>
      <w:bookmarkEnd w:id="681"/>
      <w:bookmarkEnd w:id="682"/>
      <w:bookmarkEnd w:id="683"/>
      <w:bookmarkEnd w:id="684"/>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66.1 </w:t>
      </w:r>
      <w:r>
        <w:rPr>
          <w:rFonts w:hint="eastAsia" w:ascii="仿宋" w:hAnsi="仿宋" w:eastAsia="仿宋" w:cs="仿宋"/>
          <w:color w:val="auto"/>
          <w:kern w:val="0"/>
          <w:sz w:val="24"/>
          <w:szCs w:val="24"/>
          <w:highlight w:val="none"/>
        </w:rPr>
        <w:t>提前竣工奖</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）提前竣工奖额度</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没约定提前竣工奖的，本款不适用。</w:t>
      </w:r>
    </w:p>
    <w:p>
      <w:pPr>
        <w:spacing w:line="360" w:lineRule="auto"/>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66.2 </w:t>
      </w:r>
      <w:r>
        <w:rPr>
          <w:rFonts w:hint="eastAsia" w:ascii="仿宋" w:hAnsi="仿宋" w:eastAsia="仿宋" w:cs="仿宋"/>
          <w:color w:val="auto"/>
          <w:kern w:val="0"/>
          <w:sz w:val="24"/>
          <w:szCs w:val="24"/>
          <w:highlight w:val="none"/>
        </w:rPr>
        <w:t>误期赔偿费</w:t>
      </w:r>
    </w:p>
    <w:p>
      <w:pPr>
        <w:spacing w:line="360" w:lineRule="auto"/>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1）每日历天承包方应赔偿发包方额度为</w:t>
      </w:r>
      <w:r>
        <w:rPr>
          <w:rFonts w:hint="eastAsia" w:ascii="仿宋" w:hAnsi="仿宋" w:eastAsia="仿宋" w:cs="仿宋"/>
          <w:color w:val="auto"/>
          <w:kern w:val="0"/>
          <w:sz w:val="24"/>
          <w:szCs w:val="24"/>
          <w:highlight w:val="none"/>
          <w:u w:val="single"/>
        </w:rPr>
        <w:t>10</w:t>
      </w:r>
      <w:r>
        <w:rPr>
          <w:rFonts w:ascii="仿宋" w:hAnsi="仿宋" w:eastAsia="仿宋" w:cs="仿宋"/>
          <w:color w:val="auto"/>
          <w:kern w:val="0"/>
          <w:sz w:val="24"/>
          <w:szCs w:val="24"/>
          <w:highlight w:val="none"/>
          <w:u w:val="single"/>
        </w:rPr>
        <w:t>000元；</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）误期赔偿费的最高限额</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按通用条款规定为合同价款的</w:t>
      </w:r>
      <w:r>
        <w:rPr>
          <w:rFonts w:ascii="仿宋" w:hAnsi="仿宋" w:eastAsia="仿宋" w:cs="仿宋"/>
          <w:color w:val="auto"/>
          <w:kern w:val="0"/>
          <w:sz w:val="24"/>
          <w:szCs w:val="24"/>
          <w:highlight w:val="none"/>
        </w:rPr>
        <w:t>5%</w:t>
      </w:r>
      <w:r>
        <w:rPr>
          <w:rFonts w:hint="eastAsia" w:ascii="仿宋" w:hAnsi="仿宋" w:eastAsia="仿宋" w:cs="仿宋"/>
          <w:color w:val="auto"/>
          <w:kern w:val="0"/>
          <w:sz w:val="24"/>
          <w:szCs w:val="24"/>
          <w:highlight w:val="none"/>
        </w:rPr>
        <w:t>，即</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pPr>
        <w:spacing w:line="360" w:lineRule="auto"/>
        <w:rPr>
          <w:rFonts w:ascii="仿宋" w:hAnsi="仿宋" w:eastAsia="仿宋"/>
          <w:color w:val="auto"/>
          <w:kern w:val="0"/>
          <w:sz w:val="24"/>
          <w:szCs w:val="24"/>
          <w:highlight w:val="none"/>
          <w:u w:val="single"/>
        </w:rPr>
      </w:pPr>
    </w:p>
    <w:p>
      <w:pPr>
        <w:pStyle w:val="8"/>
        <w:tabs>
          <w:tab w:val="left" w:pos="420"/>
        </w:tabs>
        <w:rPr>
          <w:rFonts w:ascii="仿宋" w:hAnsi="仿宋" w:eastAsia="仿宋"/>
          <w:b w:val="0"/>
          <w:bCs/>
          <w:color w:val="auto"/>
          <w:highlight w:val="none"/>
        </w:rPr>
      </w:pPr>
      <w:bookmarkStart w:id="685" w:name="_Toc27576"/>
      <w:bookmarkStart w:id="686" w:name="_Toc469384121"/>
      <w:bookmarkStart w:id="687" w:name="_Toc22784"/>
      <w:bookmarkStart w:id="688" w:name="_Toc25653753"/>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67. </w:t>
      </w:r>
      <w:r>
        <w:rPr>
          <w:rFonts w:hint="eastAsia" w:ascii="仿宋" w:hAnsi="仿宋" w:eastAsia="仿宋" w:cs="仿宋"/>
          <w:b w:val="0"/>
          <w:bCs/>
          <w:color w:val="auto"/>
          <w:highlight w:val="none"/>
        </w:rPr>
        <w:t>工程优质费、工程建设标准费用</w:t>
      </w:r>
      <w:bookmarkEnd w:id="685"/>
      <w:bookmarkEnd w:id="686"/>
      <w:bookmarkEnd w:id="687"/>
      <w:bookmarkEnd w:id="688"/>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67.1 </w:t>
      </w:r>
      <w:r>
        <w:rPr>
          <w:rFonts w:hint="eastAsia" w:ascii="仿宋" w:hAnsi="仿宋" w:eastAsia="仿宋" w:cs="仿宋"/>
          <w:color w:val="auto"/>
          <w:kern w:val="0"/>
          <w:sz w:val="24"/>
          <w:szCs w:val="24"/>
          <w:highlight w:val="none"/>
        </w:rPr>
        <w:t>工程优质费的计算方法</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约定工程优质费的，其计算方法：</w:t>
      </w:r>
      <w:r>
        <w:rPr>
          <w:rFonts w:hint="eastAsia" w:ascii="仿宋" w:hAnsi="仿宋" w:eastAsia="仿宋" w:cs="仿宋"/>
          <w:color w:val="auto"/>
          <w:kern w:val="0"/>
          <w:sz w:val="24"/>
          <w:szCs w:val="24"/>
          <w:highlight w:val="none"/>
          <w:u w:val="single"/>
        </w:rPr>
        <w:t>无。</w:t>
      </w:r>
    </w:p>
    <w:p>
      <w:pPr>
        <w:spacing w:line="360" w:lineRule="auto"/>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67.2 </w:t>
      </w:r>
      <w:r>
        <w:rPr>
          <w:rFonts w:hint="eastAsia" w:ascii="仿宋" w:hAnsi="仿宋" w:eastAsia="仿宋" w:cs="仿宋"/>
          <w:color w:val="auto"/>
          <w:kern w:val="0"/>
          <w:sz w:val="24"/>
          <w:szCs w:val="24"/>
          <w:highlight w:val="none"/>
        </w:rPr>
        <w:t>工程优质费的计算额度：</w:t>
      </w:r>
      <w:r>
        <w:rPr>
          <w:rFonts w:hint="eastAsia" w:ascii="仿宋" w:hAnsi="仿宋" w:eastAsia="仿宋" w:cs="仿宋"/>
          <w:color w:val="auto"/>
          <w:kern w:val="0"/>
          <w:sz w:val="24"/>
          <w:szCs w:val="24"/>
          <w:highlight w:val="none"/>
          <w:u w:val="single"/>
        </w:rPr>
        <w:t>无。</w:t>
      </w:r>
    </w:p>
    <w:p>
      <w:pPr>
        <w:spacing w:line="360" w:lineRule="auto"/>
        <w:rPr>
          <w:rFonts w:ascii="仿宋" w:hAnsi="仿宋" w:eastAsia="仿宋"/>
          <w:color w:val="auto"/>
          <w:kern w:val="0"/>
          <w:sz w:val="24"/>
          <w:szCs w:val="24"/>
          <w:highlight w:val="none"/>
          <w:u w:val="single"/>
        </w:rPr>
      </w:pPr>
    </w:p>
    <w:p>
      <w:pPr>
        <w:pStyle w:val="8"/>
        <w:tabs>
          <w:tab w:val="left" w:pos="420"/>
        </w:tabs>
        <w:spacing w:before="0" w:line="360" w:lineRule="auto"/>
        <w:ind w:left="573" w:leftChars="57" w:hanging="453" w:hangingChars="189"/>
        <w:rPr>
          <w:rFonts w:ascii="仿宋" w:hAnsi="仿宋" w:eastAsia="仿宋"/>
          <w:color w:val="auto"/>
          <w:highlight w:val="none"/>
        </w:rPr>
      </w:pPr>
      <w:bookmarkStart w:id="689" w:name="_Toc11784"/>
      <w:bookmarkStart w:id="690" w:name="_Toc469384122"/>
      <w:bookmarkStart w:id="691" w:name="_Toc25653754"/>
      <w:bookmarkStart w:id="692" w:name="_Toc6269"/>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68. </w:t>
      </w:r>
      <w:r>
        <w:rPr>
          <w:rFonts w:hint="eastAsia" w:ascii="仿宋" w:hAnsi="仿宋" w:eastAsia="仿宋" w:cs="仿宋"/>
          <w:b w:val="0"/>
          <w:bCs/>
          <w:color w:val="auto"/>
          <w:highlight w:val="none"/>
        </w:rPr>
        <w:t>合同价款的约定与调整</w:t>
      </w:r>
      <w:bookmarkEnd w:id="689"/>
      <w:bookmarkEnd w:id="690"/>
      <w:bookmarkEnd w:id="691"/>
      <w:bookmarkEnd w:id="692"/>
    </w:p>
    <w:p>
      <w:pPr>
        <w:spacing w:line="360" w:lineRule="auto"/>
        <w:ind w:firstLine="360" w:firstLineChars="150"/>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☑单价合同</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68.2本合同价款通过公开招标方式确定，并采用工程量清单综合单价包干的分部分项工程费＋合价包干措施项目费+合价包干其他项目费＋税金的方式确定合同价。</w:t>
      </w:r>
    </w:p>
    <w:p>
      <w:pPr>
        <w:pStyle w:val="39"/>
        <w:spacing w:before="62" w:beforeLines="20" w:after="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1）本合同项目的综合单价是由承包人以招标文件的图纸和工程量清单、以及招标文件的规定等为依据，采用工程量清单计价法，根据中华人民共和国国家标准《建设工程工程量清单计价规范》（GB50500—</w:t>
      </w:r>
      <w:r>
        <w:rPr>
          <w:rFonts w:ascii="仿宋" w:hAnsi="仿宋" w:eastAsia="仿宋"/>
          <w:color w:val="auto"/>
          <w:sz w:val="24"/>
          <w:szCs w:val="24"/>
          <w:highlight w:val="none"/>
          <w:u w:val="single"/>
        </w:rPr>
        <w:t>2013</w:t>
      </w:r>
      <w:r>
        <w:rPr>
          <w:rFonts w:hint="eastAsia" w:ascii="仿宋" w:hAnsi="仿宋" w:eastAsia="仿宋"/>
          <w:color w:val="auto"/>
          <w:sz w:val="24"/>
          <w:szCs w:val="24"/>
          <w:highlight w:val="none"/>
        </w:rPr>
        <w:t>），及招标文件中工程量清单所开列的工作内容和项目特征进行填报，</w:t>
      </w:r>
      <w:r>
        <w:rPr>
          <w:rFonts w:hint="eastAsia" w:ascii="仿宋" w:hAnsi="仿宋" w:eastAsia="仿宋"/>
          <w:color w:val="auto"/>
          <w:sz w:val="24"/>
          <w:szCs w:val="24"/>
          <w:highlight w:val="none"/>
          <w:u w:val="single"/>
        </w:rPr>
        <w:t>综合单价包括的风险范围：</w:t>
      </w:r>
      <w:r>
        <w:rPr>
          <w:rFonts w:hint="eastAsia" w:ascii="仿宋" w:hAnsi="仿宋" w:eastAsia="仿宋"/>
          <w:color w:val="auto"/>
          <w:sz w:val="24"/>
          <w:szCs w:val="24"/>
          <w:highlight w:val="none"/>
        </w:rPr>
        <w:t>施工过程中发生人工、材料、机械市场价格变化，及施工图与现场情况差异等风险</w:t>
      </w:r>
      <w:r>
        <w:rPr>
          <w:rFonts w:hint="eastAsia" w:ascii="仿宋" w:hAnsi="仿宋" w:eastAsia="仿宋"/>
          <w:color w:val="auto"/>
          <w:sz w:val="24"/>
          <w:szCs w:val="24"/>
          <w:highlight w:val="none"/>
          <w:u w:val="single"/>
        </w:rPr>
        <w:t>。风险费用的计算方法：已计入综合单价中。</w:t>
      </w:r>
    </w:p>
    <w:p>
      <w:pPr>
        <w:pStyle w:val="39"/>
        <w:spacing w:before="62" w:beforeLines="20" w:after="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rPr>
        <w:t>结算时发包人依据本合同条款、中华人民共和国国家标准《建设工程工程量清单计价规范》（</w:t>
      </w:r>
      <w:r>
        <w:rPr>
          <w:rFonts w:ascii="仿宋" w:hAnsi="仿宋" w:eastAsia="仿宋"/>
          <w:color w:val="auto"/>
          <w:sz w:val="24"/>
          <w:szCs w:val="24"/>
          <w:highlight w:val="none"/>
        </w:rPr>
        <w:t>GB50500—</w:t>
      </w:r>
      <w:r>
        <w:rPr>
          <w:rFonts w:ascii="仿宋" w:hAnsi="仿宋" w:eastAsia="仿宋"/>
          <w:color w:val="auto"/>
          <w:sz w:val="24"/>
          <w:szCs w:val="24"/>
          <w:highlight w:val="none"/>
          <w:u w:val="single"/>
        </w:rPr>
        <w:t>2013</w:t>
      </w:r>
      <w:r>
        <w:rPr>
          <w:rFonts w:hint="eastAsia" w:ascii="仿宋" w:hAnsi="仿宋" w:eastAsia="仿宋"/>
          <w:color w:val="auto"/>
          <w:sz w:val="24"/>
          <w:szCs w:val="24"/>
          <w:highlight w:val="none"/>
        </w:rPr>
        <w:t>）、广东省住房和城乡建设厅印发的工程计价依据、工程量计算规则、图纸等规定计量确认的竣工量乘以合同综合单价计算</w:t>
      </w:r>
      <w:r>
        <w:rPr>
          <w:rFonts w:hint="eastAsia" w:ascii="仿宋" w:hAnsi="仿宋" w:eastAsia="仿宋"/>
          <w:color w:val="auto"/>
          <w:sz w:val="24"/>
          <w:szCs w:val="24"/>
          <w:highlight w:val="none"/>
          <w:u w:val="single"/>
        </w:rPr>
        <w:t>分部分项工程费，并加上合价包干措施项目费、合价包干其他项目费和税金计算工程结算价</w:t>
      </w:r>
      <w:r>
        <w:rPr>
          <w:rFonts w:hint="eastAsia" w:ascii="仿宋" w:hAnsi="仿宋" w:eastAsia="仿宋"/>
          <w:color w:val="auto"/>
          <w:sz w:val="24"/>
          <w:szCs w:val="24"/>
          <w:highlight w:val="none"/>
        </w:rPr>
        <w:t>。</w:t>
      </w:r>
    </w:p>
    <w:p>
      <w:pPr>
        <w:pStyle w:val="39"/>
        <w:spacing w:before="62" w:beforeLines="20" w:after="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2）中标的投标报价相对于招标文件工程量清单有漏项或未填综合单价项目，此项目的费用视为已包括在中标的投标报价的其他单价和合价中，该漏项或未填综合单价项目费用结算时，经工程师计量的实际已完工工程量，与招标文件工程量清单工程量对比：</w:t>
      </w:r>
    </w:p>
    <w:p>
      <w:pPr>
        <w:pStyle w:val="39"/>
        <w:spacing w:before="62" w:beforeLines="20" w:after="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两者相等时，该项目费用不得补计；</w:t>
      </w:r>
    </w:p>
    <w:p>
      <w:pPr>
        <w:pStyle w:val="39"/>
        <w:spacing w:before="62" w:beforeLines="20" w:after="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 xml:space="preserve">a.前者比后者增加时，增加部分的费用采用上述定额计价办法进行计价，综合单价结合本专用条款第72.2款进行计算； </w:t>
      </w:r>
    </w:p>
    <w:p>
      <w:pPr>
        <w:pStyle w:val="39"/>
        <w:spacing w:before="62" w:beforeLines="20" w:after="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b.前者比后者减少时，减少部分的费用采用本专用条款第72.2款进行扣减；</w:t>
      </w:r>
    </w:p>
    <w:p>
      <w:pPr>
        <w:spacing w:line="360" w:lineRule="auto"/>
        <w:ind w:firstLine="360" w:firstLineChars="150"/>
        <w:jc w:val="left"/>
        <w:rPr>
          <w:rFonts w:ascii="仿宋" w:hAnsi="仿宋" w:eastAsia="仿宋"/>
          <w:color w:val="auto"/>
          <w:sz w:val="24"/>
          <w:szCs w:val="24"/>
          <w:highlight w:val="none"/>
        </w:rPr>
      </w:pPr>
      <w:r>
        <w:rPr>
          <w:rFonts w:hint="eastAsia" w:ascii="仿宋" w:hAnsi="仿宋" w:eastAsia="仿宋"/>
          <w:color w:val="auto"/>
          <w:sz w:val="24"/>
          <w:szCs w:val="24"/>
          <w:highlight w:val="none"/>
        </w:rPr>
        <w:t>无论两者相等还是增、减，投标报价漏项或未填综合单价项目的原招标文件工程量清单工程量不得补计；</w:t>
      </w:r>
    </w:p>
    <w:p>
      <w:pPr>
        <w:spacing w:line="360" w:lineRule="auto"/>
        <w:ind w:left="239" w:leftChars="114" w:firstLine="360" w:firstLineChars="150"/>
        <w:jc w:val="left"/>
        <w:rPr>
          <w:rFonts w:ascii="仿宋" w:hAnsi="仿宋" w:eastAsia="仿宋"/>
          <w:color w:val="auto"/>
          <w:kern w:val="0"/>
          <w:sz w:val="24"/>
          <w:szCs w:val="24"/>
          <w:highlight w:val="none"/>
          <w:u w:val="single"/>
        </w:rPr>
      </w:pPr>
      <w:r>
        <w:rPr>
          <w:rFonts w:hint="eastAsia" w:ascii="仿宋" w:hAnsi="仿宋" w:eastAsia="仿宋" w:cs="仿宋"/>
          <w:color w:val="auto"/>
          <w:kern w:val="0"/>
          <w:sz w:val="24"/>
          <w:szCs w:val="24"/>
          <w:highlight w:val="none"/>
        </w:rPr>
        <w:t>招标文件工程量清单中的项目在实际施工中没有做的项目，此项目的费用</w:t>
      </w:r>
      <w:r>
        <w:rPr>
          <w:rFonts w:hint="eastAsia" w:ascii="仿宋" w:hAnsi="仿宋" w:eastAsia="仿宋" w:cs="仿宋"/>
          <w:color w:val="auto"/>
          <w:kern w:val="0"/>
          <w:sz w:val="24"/>
          <w:szCs w:val="24"/>
          <w:highlight w:val="none"/>
          <w:u w:val="single"/>
        </w:rPr>
        <w:t>按原价扣除。</w:t>
      </w:r>
    </w:p>
    <w:p>
      <w:pPr>
        <w:spacing w:line="360" w:lineRule="auto"/>
        <w:ind w:left="239" w:leftChars="114" w:firstLine="360" w:firstLineChars="150"/>
        <w:jc w:val="left"/>
        <w:rPr>
          <w:rFonts w:ascii="仿宋" w:hAnsi="仿宋" w:eastAsia="仿宋"/>
          <w:strike/>
          <w:color w:val="auto"/>
          <w:kern w:val="0"/>
          <w:sz w:val="24"/>
          <w:szCs w:val="24"/>
          <w:highlight w:val="none"/>
        </w:rPr>
      </w:pPr>
      <w:r>
        <w:rPr>
          <w:rFonts w:hint="eastAsia" w:ascii="仿宋" w:hAnsi="仿宋" w:eastAsia="仿宋" w:cs="仿宋"/>
          <w:color w:val="auto"/>
          <w:kern w:val="0"/>
          <w:sz w:val="24"/>
          <w:szCs w:val="24"/>
          <w:highlight w:val="none"/>
        </w:rPr>
        <w:t>措施项目费、其他项目费的调整：措施项目费、其他项目费合价包干不作调整。</w:t>
      </w:r>
    </w:p>
    <w:p>
      <w:pPr>
        <w:spacing w:line="360" w:lineRule="auto"/>
        <w:ind w:firstLine="600" w:firstLineChars="250"/>
        <w:jc w:val="left"/>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68.3 </w:t>
      </w:r>
      <w:r>
        <w:rPr>
          <w:rFonts w:hint="eastAsia" w:ascii="仿宋" w:hAnsi="仿宋" w:eastAsia="仿宋" w:cs="仿宋"/>
          <w:color w:val="auto"/>
          <w:kern w:val="0"/>
          <w:sz w:val="24"/>
          <w:szCs w:val="24"/>
          <w:highlight w:val="none"/>
        </w:rPr>
        <w:t>合同价款的调整事件</w:t>
      </w:r>
    </w:p>
    <w:p>
      <w:pPr>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p>
    <w:p>
      <w:pPr>
        <w:spacing w:before="62" w:beforeLines="20" w:line="400" w:lineRule="exact"/>
        <w:ind w:firstLine="480" w:firstLineChars="200"/>
        <w:rPr>
          <w:rFonts w:ascii="仿宋" w:hAnsi="仿宋" w:eastAsia="仿宋" w:cs="仿宋"/>
          <w:color w:val="auto"/>
          <w:kern w:val="0"/>
          <w:sz w:val="24"/>
          <w:szCs w:val="24"/>
          <w:highlight w:val="none"/>
          <w:u w:val="single"/>
        </w:rPr>
      </w:pPr>
      <w:r>
        <w:rPr>
          <w:rFonts w:hint="eastAsia" w:ascii="仿宋" w:hAnsi="仿宋" w:eastAsia="仿宋"/>
          <w:bCs/>
          <w:color w:val="auto"/>
          <w:sz w:val="24"/>
          <w:szCs w:val="24"/>
          <w:highlight w:val="none"/>
        </w:rPr>
        <w:t>作为本合同项目约定使用的定额：</w:t>
      </w:r>
      <w:r>
        <w:rPr>
          <w:rFonts w:hint="eastAsia" w:ascii="仿宋" w:hAnsi="仿宋" w:eastAsia="仿宋"/>
          <w:bCs/>
          <w:color w:val="auto"/>
          <w:sz w:val="24"/>
          <w:szCs w:val="24"/>
          <w:highlight w:val="none"/>
          <w:u w:val="single"/>
        </w:rPr>
        <w:t>广东省住房和城乡建设厅</w:t>
      </w:r>
      <w:r>
        <w:rPr>
          <w:rFonts w:ascii="仿宋" w:hAnsi="仿宋" w:eastAsia="仿宋"/>
          <w:bCs/>
          <w:color w:val="auto"/>
          <w:sz w:val="24"/>
          <w:szCs w:val="24"/>
          <w:highlight w:val="none"/>
          <w:u w:val="single"/>
        </w:rPr>
        <w:t>2018年颁布的《广东省建设工程计价依据》、《广东省市政工程综合定额》》（2018）、《广东省安装工程综合定额》（2018）、《广东省建筑与装饰工程综合定额》（2018）、《广东省园林绿化工程综合定额》（2018），及其他相关定额。</w:t>
      </w:r>
    </w:p>
    <w:p>
      <w:pPr>
        <w:rPr>
          <w:rFonts w:ascii="仿宋" w:hAnsi="仿宋" w:eastAsia="仿宋"/>
          <w:color w:val="auto"/>
          <w:kern w:val="0"/>
          <w:sz w:val="24"/>
          <w:szCs w:val="24"/>
          <w:highlight w:val="none"/>
        </w:rPr>
      </w:pPr>
    </w:p>
    <w:p>
      <w:pPr>
        <w:pStyle w:val="22"/>
        <w:adjustRightInd w:val="0"/>
        <w:snapToGrid w:val="0"/>
        <w:spacing w:line="360" w:lineRule="auto"/>
        <w:outlineLvl w:val="2"/>
        <w:rPr>
          <w:rFonts w:ascii="仿宋" w:hAnsi="仿宋" w:eastAsia="仿宋"/>
          <w:color w:val="auto"/>
          <w:sz w:val="24"/>
          <w:szCs w:val="24"/>
          <w:highlight w:val="none"/>
        </w:rPr>
      </w:pPr>
      <w:bookmarkStart w:id="693" w:name="_Toc9796"/>
      <w:bookmarkStart w:id="694" w:name="_Toc25653755"/>
      <w:bookmarkStart w:id="695" w:name="_Toc36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71  </w:t>
      </w:r>
      <w:r>
        <w:rPr>
          <w:rFonts w:hint="eastAsia" w:ascii="仿宋" w:hAnsi="仿宋" w:eastAsia="仿宋" w:cs="仿宋"/>
          <w:b/>
          <w:bCs/>
          <w:color w:val="auto"/>
          <w:sz w:val="24"/>
          <w:szCs w:val="24"/>
          <w:highlight w:val="none"/>
        </w:rPr>
        <w:t>分部分项工程量清单缺项漏项事件</w:t>
      </w:r>
      <w:bookmarkEnd w:id="693"/>
      <w:bookmarkEnd w:id="694"/>
      <w:bookmarkEnd w:id="695"/>
    </w:p>
    <w:p>
      <w:pPr>
        <w:pStyle w:val="22"/>
        <w:adjustRightInd w:val="0"/>
        <w:snapToGrid w:val="0"/>
        <w:rPr>
          <w:rFonts w:ascii="仿宋" w:hAnsi="仿宋" w:eastAsia="仿宋"/>
          <w:b/>
          <w:bCs/>
          <w:color w:val="auto"/>
          <w:sz w:val="24"/>
          <w:szCs w:val="24"/>
          <w:highlight w:val="none"/>
        </w:rPr>
      </w:pPr>
      <w:r>
        <w:rPr>
          <w:rFonts w:ascii="仿宋" w:hAnsi="仿宋" w:eastAsia="仿宋" w:cs="仿宋"/>
          <w:color w:val="auto"/>
          <w:sz w:val="24"/>
          <w:szCs w:val="24"/>
          <w:highlight w:val="none"/>
          <w:u w:val="single"/>
        </w:rPr>
        <w:t xml:space="preserve">71.2 </w:t>
      </w:r>
      <w:r>
        <w:rPr>
          <w:color w:val="auto"/>
          <w:highlight w:val="none"/>
          <w:lang w:val="en-US"/>
        </w:rPr>
        <mc:AlternateContent>
          <mc:Choice Requires="wps">
            <w:drawing>
              <wp:anchor distT="0" distB="0" distL="114300" distR="114300" simplePos="0" relativeHeight="252082176"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43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a:effectLst/>
                      </wps:spPr>
                      <wps:txbx>
                        <w:txbxContent>
                          <w:p>
                            <w:pPr>
                              <w:pStyle w:val="20"/>
                              <w:spacing w:line="200" w:lineRule="exact"/>
                              <w:rPr>
                                <w:rFonts w:ascii="楷体_GB2312" w:hAnsi="宋体" w:eastAsia="楷体_GB2312"/>
                                <w:b/>
                                <w:bCs/>
                                <w:color w:val="000000"/>
                                <w:sz w:val="18"/>
                                <w:szCs w:val="18"/>
                              </w:rPr>
                            </w:pPr>
                          </w:p>
                          <w:p>
                            <w:pPr>
                              <w:spacing w:line="240" w:lineRule="exact"/>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5.25pt;margin-top:0.7pt;height:54.5pt;width:72pt;z-index:252082176;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oijLdQAAAAJAQAADwAAAAAAAAABACAAAAAiAAAAZHJzL2Rvd25y&#10;ZXYueG1sUEsBAhQAFAAAAAgAh07iQEYITewCAgAA2AMAAA4AAAAAAAAAAQAgAAAAIwEAAGRycy9l&#10;Mm9Eb2MueG1sUEsFBgAAAAAGAAYAWQEAAJcFAAAAAA==&#10;">
                <v:fill on="f" focussize="0,0"/>
                <v:stroke on="f"/>
                <v:imagedata o:title=""/>
                <o:lock v:ext="edit" aspectratio="f"/>
                <v:textbox>
                  <w:txbxContent>
                    <w:p>
                      <w:pPr>
                        <w:pStyle w:val="20"/>
                        <w:spacing w:line="200" w:lineRule="exact"/>
                        <w:rPr>
                          <w:rFonts w:ascii="楷体_GB2312" w:hAnsi="宋体" w:eastAsia="楷体_GB2312"/>
                          <w:b/>
                          <w:bCs/>
                          <w:color w:val="000000"/>
                          <w:sz w:val="18"/>
                          <w:szCs w:val="18"/>
                        </w:rPr>
                      </w:pPr>
                    </w:p>
                    <w:p>
                      <w:pPr>
                        <w:spacing w:line="240" w:lineRule="exact"/>
                        <w:rPr>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工程量清单中分部分项工程出现缺项漏项，造成新增工程量清单项目的，应按照专用条款第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点规定计算调整的分部分项工程费。</w:t>
      </w:r>
    </w:p>
    <w:p>
      <w:pPr>
        <w:spacing w:line="360" w:lineRule="auto"/>
        <w:rPr>
          <w:rFonts w:ascii="仿宋" w:hAnsi="仿宋" w:eastAsia="仿宋" w:cs="仿宋"/>
          <w:color w:val="auto"/>
          <w:kern w:val="0"/>
          <w:sz w:val="24"/>
          <w:szCs w:val="24"/>
          <w:highlight w:val="none"/>
          <w:u w:val="single"/>
        </w:rPr>
      </w:pP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71.3调整措施项目费的方法：包干不作调整。</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696" w:name="_Toc25653756"/>
      <w:bookmarkStart w:id="697" w:name="_Toc4101"/>
      <w:bookmarkStart w:id="698" w:name="_Toc10188"/>
      <w:bookmarkStart w:id="699" w:name="_Toc469384123"/>
      <w:r>
        <w:rPr>
          <w:rFonts w:ascii="仿宋" w:hAnsi="仿宋" w:eastAsia="仿宋" w:cs="仿宋"/>
          <w:b w:val="0"/>
          <w:bCs/>
          <w:color w:val="auto"/>
          <w:highlight w:val="none"/>
        </w:rPr>
        <w:t xml:space="preserve">72. </w:t>
      </w:r>
      <w:r>
        <w:rPr>
          <w:rFonts w:hint="eastAsia" w:ascii="仿宋" w:hAnsi="仿宋" w:eastAsia="仿宋" w:cs="仿宋"/>
          <w:b w:val="0"/>
          <w:bCs/>
          <w:color w:val="auto"/>
          <w:highlight w:val="none"/>
        </w:rPr>
        <w:t>工程变更事件</w:t>
      </w:r>
      <w:bookmarkEnd w:id="696"/>
      <w:bookmarkEnd w:id="697"/>
      <w:bookmarkEnd w:id="698"/>
      <w:bookmarkEnd w:id="699"/>
    </w:p>
    <w:p>
      <w:pPr>
        <w:rPr>
          <w:rFonts w:ascii="仿宋" w:hAnsi="仿宋" w:eastAsia="仿宋"/>
          <w:b/>
          <w:bCs/>
          <w:color w:val="auto"/>
          <w:kern w:val="0"/>
          <w:sz w:val="24"/>
          <w:szCs w:val="24"/>
          <w:highlight w:val="none"/>
        </w:rPr>
      </w:pP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72.2调整分部分项工程费的方法</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(1)在项目实施期间，</w:t>
      </w:r>
      <w:r>
        <w:rPr>
          <w:rFonts w:hint="eastAsia" w:ascii="仿宋" w:hAnsi="仿宋" w:eastAsia="仿宋"/>
          <w:color w:val="auto"/>
          <w:sz w:val="24"/>
          <w:szCs w:val="24"/>
          <w:highlight w:val="none"/>
        </w:rPr>
        <w:t>招标文件工程量清单中</w:t>
      </w:r>
      <w:r>
        <w:rPr>
          <w:rFonts w:hint="eastAsia" w:ascii="仿宋" w:hAnsi="仿宋" w:eastAsia="仿宋" w:cs="仿宋"/>
          <w:color w:val="auto"/>
          <w:sz w:val="24"/>
          <w:szCs w:val="24"/>
          <w:highlight w:val="none"/>
        </w:rPr>
        <w:t>缺项漏项</w:t>
      </w:r>
      <w:r>
        <w:rPr>
          <w:rFonts w:ascii="仿宋" w:hAnsi="仿宋" w:eastAsia="仿宋" w:cs="仿宋"/>
          <w:color w:val="auto"/>
          <w:sz w:val="24"/>
          <w:szCs w:val="24"/>
          <w:highlight w:val="none"/>
        </w:rPr>
        <w:t>,或</w:t>
      </w:r>
      <w:r>
        <w:rPr>
          <w:rFonts w:hint="eastAsia" w:ascii="仿宋" w:hAnsi="仿宋" w:eastAsia="仿宋"/>
          <w:color w:val="auto"/>
          <w:sz w:val="24"/>
          <w:szCs w:val="24"/>
          <w:highlight w:val="none"/>
        </w:rPr>
        <w:t>不属承包人包干范围而由监理单位和发包人现场签证确认的工程内容，或原设计没有而由发包人批准设计变更产生的工程内容，经发包人审批确认后视为变更项目给予计量支付，按以下顺序确定价格：</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a.中标的工程量清单中已有相同项目，当工程量没有发生变化，单价执行原合同综合单价，不随施工过程中发生人工、材料、机械市场价格变化、施工图与</w:t>
      </w:r>
      <w:r>
        <w:rPr>
          <w:rFonts w:hint="eastAsia" w:ascii="仿宋" w:hAnsi="仿宋" w:eastAsia="仿宋"/>
          <w:color w:val="auto"/>
          <w:sz w:val="24"/>
          <w:szCs w:val="24"/>
          <w:highlight w:val="none"/>
        </w:rPr>
        <w:t>现场情况差异等风险而调整综合单价。</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当清单工程量发生变更，按照以下方式结算变更工程量的工程费用：①清单项目分部分项工程竣工量超过合同量的，超过部分的工程量结算单价取合同单价与定额计价下浮</w:t>
      </w:r>
      <w:r>
        <w:rPr>
          <w:rFonts w:ascii="仿宋" w:hAnsi="仿宋" w:eastAsia="仿宋"/>
          <w:color w:val="auto"/>
          <w:sz w:val="24"/>
          <w:szCs w:val="24"/>
          <w:highlight w:val="none"/>
        </w:rPr>
        <w:t>10%后的孰低值为增加工程量的结算单价，结算超过部分工程量的工程费用。②清单项目分部分项工程竣工量低于合同量的，减少部分的工程量结算单价取合同单价计算，扣减该部分工程费用。</w:t>
      </w:r>
    </w:p>
    <w:p>
      <w:pPr>
        <w:spacing w:before="62" w:beforeLines="20" w:line="400" w:lineRule="exact"/>
        <w:ind w:right="-281" w:rightChars="-134"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b.中标的工程量清单中已有类似项目的，则按类似项目的综合单价对相应子目、消耗量、单价等进行调整换算，材料单价按以下c点计算，原人工工日工资管理费、利润水平不变，换算后价格与定额计价下浮10%对比，取两者的价低值为结算单价，结算增加工程量的工程费用。</w:t>
      </w:r>
    </w:p>
    <w:p>
      <w:pPr>
        <w:spacing w:line="360" w:lineRule="auto"/>
        <w:ind w:firstLine="480" w:firstLineChars="200"/>
        <w:rPr>
          <w:rFonts w:ascii="仿宋" w:hAnsi="仿宋" w:eastAsia="仿宋" w:cs="仿宋"/>
          <w:color w:val="auto"/>
          <w:kern w:val="0"/>
          <w:sz w:val="24"/>
          <w:szCs w:val="24"/>
          <w:highlight w:val="none"/>
          <w:u w:val="single"/>
        </w:rPr>
      </w:pPr>
      <w:r>
        <w:rPr>
          <w:rFonts w:ascii="仿宋" w:hAnsi="仿宋" w:eastAsia="仿宋"/>
          <w:color w:val="auto"/>
          <w:sz w:val="24"/>
          <w:szCs w:val="24"/>
          <w:highlight w:val="none"/>
        </w:rPr>
        <w:t xml:space="preserve">c.中标的工程量清单中没有适用或类似的，采用定额计价办法进行计价并折算为综合单价，其综合单价依据约定使用定额【定额使用的依次顺序为：① </w:t>
      </w:r>
      <w:r>
        <w:rPr>
          <w:rFonts w:hint="eastAsia" w:ascii="仿宋" w:hAnsi="仿宋" w:eastAsia="仿宋"/>
          <w:color w:val="auto"/>
          <w:sz w:val="24"/>
          <w:szCs w:val="24"/>
          <w:highlight w:val="none"/>
        </w:rPr>
        <w:t>本合同项目主体工程所属专业的定额、附属工程所属专业的定额</w:t>
      </w:r>
      <w:r>
        <w:rPr>
          <w:rFonts w:hint="eastAsia" w:ascii="仿宋" w:hAnsi="仿宋" w:eastAsia="仿宋"/>
          <w:bCs/>
          <w:color w:val="auto"/>
          <w:sz w:val="24"/>
          <w:szCs w:val="24"/>
          <w:highlight w:val="none"/>
        </w:rPr>
        <w:t>；</w:t>
      </w:r>
      <w:r>
        <w:rPr>
          <w:rFonts w:hint="eastAsia" w:ascii="仿宋" w:hAnsi="仿宋" w:eastAsia="仿宋"/>
          <w:color w:val="auto"/>
          <w:sz w:val="24"/>
          <w:szCs w:val="24"/>
          <w:highlight w:val="none"/>
        </w:rPr>
        <w:t>②</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第①点所述定额中若个别分项项目没有定额可套用，则采用与该分项项目性质、功能、工艺相似或相近的其它定额换算】及对应的工程计价办法计算确定（该综合单价不含措施项目费、其他项目费、税金）。项目的人工、机械单价按实际施工期间广州市建设工程造价管理站发布的人工费和机械台班价格执行，材料单价定价顺序：造价管理站发布的施工期常用材料综合价格，按《广州地区建设工程材料（设备）厂商价格信息》下浮</w:t>
      </w:r>
      <w:r>
        <w:rPr>
          <w:rFonts w:ascii="仿宋" w:hAnsi="仿宋" w:eastAsia="仿宋"/>
          <w:color w:val="auto"/>
          <w:sz w:val="24"/>
          <w:szCs w:val="24"/>
          <w:highlight w:val="none"/>
          <w:u w:val="single"/>
        </w:rPr>
        <w:t>20</w:t>
      </w:r>
      <w:r>
        <w:rPr>
          <w:rFonts w:hint="eastAsia" w:ascii="仿宋" w:hAnsi="仿宋" w:eastAsia="仿宋"/>
          <w:color w:val="auto"/>
          <w:sz w:val="24"/>
          <w:szCs w:val="24"/>
          <w:highlight w:val="none"/>
        </w:rPr>
        <w:t>％，发包人询价，无法询价及综合价信息价没有的由承包人提供材料报价依据、经发包人结合市场价格审核确认。其造价按定额计价下浮</w:t>
      </w:r>
      <w:r>
        <w:rPr>
          <w:rFonts w:ascii="仿宋" w:hAnsi="仿宋" w:eastAsia="仿宋"/>
          <w:color w:val="auto"/>
          <w:sz w:val="24"/>
          <w:szCs w:val="24"/>
          <w:highlight w:val="none"/>
          <w:u w:val="single"/>
        </w:rPr>
        <w:t xml:space="preserve">10 </w:t>
      </w:r>
      <w:r>
        <w:rPr>
          <w:rFonts w:ascii="仿宋" w:hAnsi="仿宋" w:eastAsia="仿宋"/>
          <w:color w:val="auto"/>
          <w:sz w:val="24"/>
          <w:szCs w:val="24"/>
          <w:highlight w:val="none"/>
        </w:rPr>
        <w:t>%结算，发包人供应的材料价格原则上不下浮。</w:t>
      </w:r>
    </w:p>
    <w:p>
      <w:pPr>
        <w:spacing w:before="62" w:beforeLines="2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u w:val="single"/>
        </w:rPr>
        <w:t>（</w:t>
      </w:r>
      <w:r>
        <w:rPr>
          <w:rFonts w:ascii="仿宋" w:hAnsi="仿宋" w:eastAsia="仿宋"/>
          <w:color w:val="auto"/>
          <w:sz w:val="24"/>
          <w:szCs w:val="24"/>
          <w:highlight w:val="none"/>
          <w:u w:val="single"/>
        </w:rPr>
        <w:t>2）本合同履行过程中发包人增加或减少工程项目：发包人根据建设进度或燃气管网连通或市场开发的需要，有权增加或减少零星的或紧急的工程，承包人必须接受。增加或减少工程的综合单价按本合同相应专用条款执行。</w:t>
      </w:r>
    </w:p>
    <w:p>
      <w:pPr>
        <w:spacing w:before="62" w:beforeLines="20" w:line="400" w:lineRule="exact"/>
        <w:ind w:firstLine="480" w:firstLineChars="200"/>
        <w:rPr>
          <w:rFonts w:ascii="仿宋" w:hAnsi="仿宋" w:eastAsia="仿宋"/>
          <w:color w:val="auto"/>
          <w:sz w:val="24"/>
          <w:szCs w:val="24"/>
          <w:highlight w:val="none"/>
          <w:u w:val="single"/>
        </w:rPr>
      </w:pPr>
      <w:r>
        <w:rPr>
          <w:rFonts w:hint="eastAsia" w:ascii="仿宋" w:hAnsi="仿宋" w:eastAsia="仿宋"/>
          <w:color w:val="auto"/>
          <w:sz w:val="24"/>
          <w:szCs w:val="24"/>
          <w:highlight w:val="none"/>
          <w:u w:val="single"/>
        </w:rPr>
        <w:t>（</w:t>
      </w:r>
      <w:r>
        <w:rPr>
          <w:rFonts w:ascii="仿宋" w:hAnsi="仿宋" w:eastAsia="仿宋"/>
          <w:color w:val="auto"/>
          <w:sz w:val="24"/>
          <w:szCs w:val="24"/>
          <w:highlight w:val="none"/>
          <w:u w:val="single"/>
        </w:rPr>
        <w:t>3）工程变更的确定：</w:t>
      </w:r>
    </w:p>
    <w:p>
      <w:pPr>
        <w:spacing w:before="62" w:beforeLines="20" w:line="400" w:lineRule="exact"/>
        <w:ind w:firstLine="480" w:firstLineChars="200"/>
        <w:rPr>
          <w:rFonts w:ascii="仿宋" w:hAnsi="仿宋" w:eastAsia="仿宋"/>
          <w:color w:val="auto"/>
          <w:sz w:val="24"/>
          <w:szCs w:val="24"/>
          <w:highlight w:val="none"/>
          <w:u w:val="single"/>
        </w:rPr>
      </w:pPr>
      <w:r>
        <w:rPr>
          <w:rFonts w:ascii="仿宋" w:hAnsi="仿宋" w:eastAsia="仿宋"/>
          <w:color w:val="auto"/>
          <w:sz w:val="24"/>
          <w:szCs w:val="24"/>
          <w:highlight w:val="none"/>
          <w:u w:val="single"/>
        </w:rPr>
        <w:t>1）工程变更可由设计单位、承包人、发包人提出。提出单位填写《工程设计变更申报表》，涉及合同价款调整或工期变动时，必须随申报表附变更工程价款或工期计算书，经设计单位、监理单位提出意见后，最终由发包人审批。</w:t>
      </w:r>
    </w:p>
    <w:p>
      <w:pPr>
        <w:spacing w:before="62" w:beforeLines="20" w:line="400" w:lineRule="exact"/>
        <w:ind w:firstLine="480" w:firstLineChars="200"/>
        <w:rPr>
          <w:rFonts w:ascii="仿宋" w:hAnsi="仿宋" w:eastAsia="仿宋"/>
          <w:color w:val="auto"/>
          <w:sz w:val="24"/>
          <w:szCs w:val="24"/>
          <w:highlight w:val="none"/>
          <w:u w:val="single"/>
        </w:rPr>
      </w:pPr>
      <w:r>
        <w:rPr>
          <w:rFonts w:ascii="仿宋" w:hAnsi="仿宋" w:eastAsia="仿宋"/>
          <w:color w:val="auto"/>
          <w:sz w:val="24"/>
          <w:szCs w:val="24"/>
          <w:highlight w:val="none"/>
          <w:u w:val="single"/>
        </w:rPr>
        <w:t>2）设计变更文件必须盖有设计单位的出图章和发包人派驻工程师签字并盖发包人印章；</w:t>
      </w:r>
    </w:p>
    <w:p>
      <w:pPr>
        <w:spacing w:before="62" w:beforeLines="20" w:line="400" w:lineRule="exact"/>
        <w:ind w:firstLine="480" w:firstLineChars="200"/>
        <w:rPr>
          <w:rFonts w:ascii="仿宋" w:hAnsi="仿宋" w:eastAsia="仿宋"/>
          <w:color w:val="auto"/>
          <w:sz w:val="24"/>
          <w:szCs w:val="24"/>
          <w:highlight w:val="none"/>
          <w:u w:val="single"/>
        </w:rPr>
      </w:pPr>
      <w:r>
        <w:rPr>
          <w:rFonts w:ascii="仿宋" w:hAnsi="仿宋" w:eastAsia="仿宋"/>
          <w:color w:val="auto"/>
          <w:sz w:val="24"/>
          <w:szCs w:val="24"/>
          <w:highlight w:val="none"/>
          <w:u w:val="single"/>
        </w:rPr>
        <w:t>3）发包人书面通知变更的指令性文件应有发包人派驻工程师签字并盖有发</w:t>
      </w:r>
      <w:r>
        <w:rPr>
          <w:rFonts w:hint="eastAsia" w:ascii="仿宋" w:hAnsi="仿宋" w:eastAsia="仿宋"/>
          <w:color w:val="auto"/>
          <w:sz w:val="24"/>
          <w:szCs w:val="24"/>
          <w:highlight w:val="none"/>
          <w:u w:val="single"/>
        </w:rPr>
        <w:t>包人印章；</w:t>
      </w:r>
    </w:p>
    <w:p>
      <w:pPr>
        <w:spacing w:before="62" w:beforeLines="20" w:line="400" w:lineRule="exact"/>
        <w:ind w:firstLine="480" w:firstLineChars="200"/>
        <w:rPr>
          <w:rFonts w:ascii="仿宋" w:hAnsi="仿宋" w:eastAsia="仿宋"/>
          <w:color w:val="auto"/>
          <w:sz w:val="24"/>
          <w:szCs w:val="24"/>
          <w:highlight w:val="none"/>
          <w:u w:val="single"/>
        </w:rPr>
      </w:pPr>
      <w:r>
        <w:rPr>
          <w:rFonts w:ascii="仿宋" w:hAnsi="仿宋" w:eastAsia="仿宋"/>
          <w:color w:val="auto"/>
          <w:sz w:val="24"/>
          <w:szCs w:val="24"/>
          <w:highlight w:val="none"/>
          <w:u w:val="single"/>
        </w:rPr>
        <w:t>4）承包人提出的工程变更文件必须由承包人项目经理签字并加盖项目部印章和监理工程师签字并加盖监理部印章及发包人派驻工程师签字。</w:t>
      </w:r>
    </w:p>
    <w:p>
      <w:pPr>
        <w:spacing w:line="360" w:lineRule="auto"/>
        <w:rPr>
          <w:rFonts w:ascii="仿宋" w:hAnsi="仿宋" w:eastAsia="仿宋" w:cs="仿宋"/>
          <w:color w:val="auto"/>
          <w:kern w:val="0"/>
          <w:sz w:val="24"/>
          <w:szCs w:val="24"/>
          <w:highlight w:val="none"/>
        </w:rPr>
      </w:pP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72.3调整措施项目费的方法：按专用条款第71.3款执行</w:t>
      </w:r>
    </w:p>
    <w:p>
      <w:pPr>
        <w:spacing w:line="360" w:lineRule="auto"/>
        <w:rPr>
          <w:rFonts w:ascii="仿宋" w:hAnsi="仿宋" w:eastAsia="仿宋" w:cs="仿宋"/>
          <w:color w:val="auto"/>
          <w:kern w:val="0"/>
          <w:sz w:val="24"/>
          <w:szCs w:val="24"/>
          <w:highlight w:val="none"/>
          <w:u w:val="singl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72.4 </w:t>
      </w:r>
      <w:r>
        <w:rPr>
          <w:rFonts w:hint="eastAsia" w:ascii="仿宋" w:hAnsi="仿宋" w:eastAsia="仿宋" w:cs="仿宋"/>
          <w:color w:val="auto"/>
          <w:kern w:val="0"/>
          <w:sz w:val="24"/>
          <w:szCs w:val="24"/>
          <w:highlight w:val="none"/>
        </w:rPr>
        <w:t>调整承包人报价偏差的方法</w:t>
      </w:r>
    </w:p>
    <w:p>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按照下列方法调整：</w:t>
      </w:r>
      <w:r>
        <w:rPr>
          <w:rFonts w:hint="eastAsia" w:ascii="仿宋" w:hAnsi="仿宋" w:eastAsia="仿宋" w:cs="仿宋"/>
          <w:color w:val="auto"/>
          <w:kern w:val="0"/>
          <w:sz w:val="24"/>
          <w:szCs w:val="24"/>
          <w:highlight w:val="none"/>
          <w:u w:val="single"/>
        </w:rPr>
        <w:t>工程量发生变化的分部分项工程项目按专用条款</w:t>
      </w:r>
      <w:r>
        <w:rPr>
          <w:rFonts w:ascii="仿宋" w:hAnsi="仿宋" w:eastAsia="仿宋" w:cs="仿宋"/>
          <w:color w:val="auto"/>
          <w:kern w:val="0"/>
          <w:sz w:val="24"/>
          <w:szCs w:val="24"/>
          <w:highlight w:val="none"/>
          <w:u w:val="single"/>
        </w:rPr>
        <w:t>72.2第（1）点调整。</w:t>
      </w:r>
    </w:p>
    <w:p>
      <w:pPr>
        <w:spacing w:line="360" w:lineRule="auto"/>
        <w:rPr>
          <w:rFonts w:ascii="仿宋" w:hAnsi="仿宋" w:eastAsia="仿宋"/>
          <w:color w:val="auto"/>
          <w:kern w:val="0"/>
          <w:sz w:val="24"/>
          <w:szCs w:val="24"/>
          <w:highlight w:val="none"/>
          <w:u w:val="single"/>
        </w:rPr>
      </w:pPr>
      <w:r>
        <w:rPr>
          <w:rFonts w:ascii="仿宋" w:hAnsi="仿宋" w:eastAsia="仿宋"/>
          <w:color w:val="auto"/>
          <w:kern w:val="0"/>
          <w:sz w:val="24"/>
          <w:szCs w:val="24"/>
          <w:highlight w:val="none"/>
          <w:u w:val="single"/>
        </w:rPr>
        <w:t>72.5删减工作或工程的补偿：该通用条款不执行。</w:t>
      </w:r>
    </w:p>
    <w:p>
      <w:pPr>
        <w:pStyle w:val="8"/>
        <w:tabs>
          <w:tab w:val="left" w:pos="420"/>
        </w:tabs>
        <w:rPr>
          <w:rFonts w:ascii="仿宋" w:hAnsi="仿宋" w:eastAsia="仿宋"/>
          <w:b w:val="0"/>
          <w:bCs/>
          <w:color w:val="auto"/>
          <w:highlight w:val="none"/>
        </w:rPr>
      </w:pPr>
      <w:bookmarkStart w:id="700" w:name="_Toc469384124"/>
      <w:bookmarkStart w:id="701" w:name="_Toc29201"/>
      <w:bookmarkStart w:id="702" w:name="_Toc17482"/>
      <w:bookmarkStart w:id="703" w:name="_Toc25653757"/>
      <w:r>
        <w:rPr>
          <w:rFonts w:ascii="仿宋" w:hAnsi="仿宋" w:eastAsia="仿宋" w:cs="仿宋"/>
          <w:b w:val="0"/>
          <w:bCs/>
          <w:color w:val="auto"/>
          <w:highlight w:val="none"/>
        </w:rPr>
        <w:t xml:space="preserve">73. </w:t>
      </w:r>
      <w:r>
        <w:rPr>
          <w:rFonts w:hint="eastAsia" w:ascii="仿宋" w:hAnsi="仿宋" w:eastAsia="仿宋" w:cs="仿宋"/>
          <w:b w:val="0"/>
          <w:bCs/>
          <w:color w:val="auto"/>
          <w:highlight w:val="none"/>
        </w:rPr>
        <w:t>工程量偏差事件</w:t>
      </w:r>
      <w:bookmarkEnd w:id="700"/>
      <w:bookmarkEnd w:id="701"/>
      <w:bookmarkEnd w:id="702"/>
      <w:bookmarkEnd w:id="703"/>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73.2 </w:t>
      </w:r>
      <w:r>
        <w:rPr>
          <w:rFonts w:hint="eastAsia" w:ascii="仿宋" w:hAnsi="仿宋" w:eastAsia="仿宋" w:cs="仿宋"/>
          <w:color w:val="auto"/>
          <w:kern w:val="0"/>
          <w:sz w:val="24"/>
          <w:szCs w:val="24"/>
          <w:highlight w:val="none"/>
        </w:rPr>
        <w:t>调整分部分项工程费的方法</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调整结算分部分项工程费：</w:t>
      </w:r>
    </w:p>
    <w:p>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按照下列方法调整：</w:t>
      </w:r>
      <w:r>
        <w:rPr>
          <w:rFonts w:hint="eastAsia" w:ascii="仿宋" w:hAnsi="仿宋" w:eastAsia="仿宋" w:cs="仿宋"/>
          <w:color w:val="auto"/>
          <w:kern w:val="0"/>
          <w:sz w:val="24"/>
          <w:szCs w:val="24"/>
          <w:highlight w:val="none"/>
          <w:u w:val="single"/>
        </w:rPr>
        <w:t>不执行通用条款，执行本合同专用条款第</w:t>
      </w:r>
      <w:r>
        <w:rPr>
          <w:rFonts w:ascii="仿宋" w:hAnsi="仿宋" w:eastAsia="仿宋" w:cs="仿宋"/>
          <w:color w:val="auto"/>
          <w:kern w:val="0"/>
          <w:sz w:val="24"/>
          <w:szCs w:val="24"/>
          <w:highlight w:val="none"/>
          <w:u w:val="single"/>
        </w:rPr>
        <w:t>72.2第（1）点。</w:t>
      </w:r>
    </w:p>
    <w:p>
      <w:pPr>
        <w:ind w:firstLine="120" w:firstLineChars="50"/>
        <w:rPr>
          <w:rFonts w:ascii="仿宋" w:hAnsi="仿宋" w:eastAsia="仿宋"/>
          <w:color w:val="auto"/>
          <w:kern w:val="0"/>
          <w:sz w:val="24"/>
          <w:szCs w:val="24"/>
          <w:highlight w:val="none"/>
        </w:rPr>
      </w:pP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73.3 </w:t>
      </w:r>
      <w:r>
        <w:rPr>
          <w:rFonts w:hint="eastAsia" w:ascii="仿宋" w:hAnsi="仿宋" w:eastAsia="仿宋" w:cs="仿宋"/>
          <w:color w:val="auto"/>
          <w:kern w:val="0"/>
          <w:sz w:val="24"/>
          <w:szCs w:val="24"/>
          <w:highlight w:val="none"/>
        </w:rPr>
        <w:t>调整措施项目费的方法</w:t>
      </w:r>
    </w:p>
    <w:p>
      <w:pPr>
        <w:spacing w:line="360" w:lineRule="auto"/>
        <w:ind w:firstLine="120" w:firstLineChars="5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调整结算措施项目费：</w:t>
      </w:r>
    </w:p>
    <w:p>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按照下列方法调整：</w:t>
      </w:r>
      <w:r>
        <w:rPr>
          <w:rFonts w:hint="eastAsia" w:ascii="仿宋" w:hAnsi="仿宋" w:eastAsia="仿宋" w:cs="仿宋"/>
          <w:color w:val="auto"/>
          <w:kern w:val="0"/>
          <w:sz w:val="24"/>
          <w:szCs w:val="24"/>
          <w:highlight w:val="none"/>
          <w:u w:val="single"/>
        </w:rPr>
        <w:t>按本合同专用条款第</w:t>
      </w:r>
      <w:r>
        <w:rPr>
          <w:rFonts w:ascii="仿宋" w:hAnsi="仿宋" w:eastAsia="仿宋" w:cs="仿宋"/>
          <w:color w:val="auto"/>
          <w:kern w:val="0"/>
          <w:sz w:val="24"/>
          <w:szCs w:val="24"/>
          <w:highlight w:val="none"/>
          <w:u w:val="single"/>
        </w:rPr>
        <w:t>71.3款。</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04" w:name="_Toc25653758"/>
      <w:bookmarkStart w:id="705" w:name="_Toc469384125"/>
      <w:bookmarkStart w:id="706" w:name="_Toc26237"/>
      <w:bookmarkStart w:id="707" w:name="_Toc27122"/>
      <w:r>
        <w:rPr>
          <w:rFonts w:ascii="仿宋" w:hAnsi="仿宋" w:eastAsia="仿宋" w:cs="仿宋"/>
          <w:b w:val="0"/>
          <w:bCs/>
          <w:color w:val="auto"/>
          <w:highlight w:val="none"/>
        </w:rPr>
        <w:t xml:space="preserve">75. </w:t>
      </w:r>
      <w:r>
        <w:rPr>
          <w:rFonts w:hint="eastAsia" w:ascii="仿宋" w:hAnsi="仿宋" w:eastAsia="仿宋" w:cs="仿宋"/>
          <w:b w:val="0"/>
          <w:bCs/>
          <w:color w:val="auto"/>
          <w:highlight w:val="none"/>
        </w:rPr>
        <w:t>现场签证事件</w:t>
      </w:r>
      <w:bookmarkEnd w:id="704"/>
      <w:bookmarkEnd w:id="705"/>
      <w:bookmarkEnd w:id="706"/>
      <w:bookmarkEnd w:id="707"/>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75.3 </w:t>
      </w:r>
      <w:r>
        <w:rPr>
          <w:rFonts w:hint="eastAsia" w:ascii="仿宋" w:hAnsi="仿宋" w:eastAsia="仿宋" w:cs="仿宋"/>
          <w:color w:val="auto"/>
          <w:kern w:val="0"/>
          <w:sz w:val="24"/>
          <w:szCs w:val="24"/>
          <w:highlight w:val="none"/>
        </w:rPr>
        <w:t>现场签证报告的确认</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提交现场签证报告的时间：</w:t>
      </w:r>
    </w:p>
    <w:p>
      <w:pPr>
        <w:spacing w:line="360" w:lineRule="auto"/>
        <w:ind w:firstLine="120" w:firstLineChars="5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按通用条款的规定的时间提交。</w:t>
      </w:r>
    </w:p>
    <w:p>
      <w:pPr>
        <w:spacing w:line="360" w:lineRule="auto"/>
        <w:ind w:firstLine="120" w:firstLineChars="50"/>
        <w:rPr>
          <w:rFonts w:ascii="仿宋" w:hAnsi="仿宋" w:eastAsia="仿宋" w:cs="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08" w:name="_Toc29809"/>
      <w:bookmarkStart w:id="709" w:name="_Toc469384126"/>
      <w:bookmarkStart w:id="710" w:name="_Toc25653759"/>
      <w:bookmarkStart w:id="711" w:name="_Toc26000"/>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76. </w:t>
      </w:r>
      <w:r>
        <w:rPr>
          <w:rFonts w:hint="eastAsia" w:ascii="仿宋" w:hAnsi="仿宋" w:eastAsia="仿宋" w:cs="仿宋"/>
          <w:b w:val="0"/>
          <w:bCs/>
          <w:color w:val="auto"/>
          <w:highlight w:val="none"/>
        </w:rPr>
        <w:t>物价涨落事件</w:t>
      </w:r>
      <w:bookmarkEnd w:id="708"/>
      <w:bookmarkEnd w:id="709"/>
      <w:bookmarkEnd w:id="710"/>
      <w:bookmarkEnd w:id="711"/>
    </w:p>
    <w:p>
      <w:pPr>
        <w:ind w:firstLine="120" w:firstLineChars="50"/>
        <w:rPr>
          <w:rFonts w:ascii="仿宋" w:hAnsi="仿宋" w:eastAsia="仿宋"/>
          <w:color w:val="auto"/>
          <w:kern w:val="0"/>
          <w:sz w:val="24"/>
          <w:szCs w:val="24"/>
          <w:highlight w:val="none"/>
        </w:rPr>
      </w:pPr>
    </w:p>
    <w:p>
      <w:pPr>
        <w:spacing w:line="360" w:lineRule="auto"/>
        <w:ind w:firstLine="480" w:firstLineChars="200"/>
        <w:jc w:val="left"/>
        <w:rPr>
          <w:rFonts w:eastAsia="仿宋_GB2312"/>
          <w:color w:val="auto"/>
          <w:sz w:val="30"/>
          <w:szCs w:val="30"/>
          <w:highlight w:val="none"/>
        </w:rPr>
      </w:pPr>
      <w:r>
        <w:rPr>
          <w:rFonts w:hint="eastAsia" w:ascii="仿宋" w:hAnsi="仿宋" w:eastAsia="仿宋" w:cs="仿宋"/>
          <w:color w:val="auto"/>
          <w:kern w:val="0"/>
          <w:sz w:val="24"/>
          <w:szCs w:val="24"/>
          <w:highlight w:val="none"/>
        </w:rPr>
        <w:t>市场价格波动是否调整合同价格的约定：</w:t>
      </w:r>
      <w:r>
        <w:rPr>
          <w:rFonts w:hint="eastAsia" w:ascii="仿宋" w:hAnsi="仿宋" w:eastAsia="仿宋" w:cs="仿宋"/>
          <w:color w:val="auto"/>
          <w:kern w:val="0"/>
          <w:sz w:val="24"/>
          <w:szCs w:val="24"/>
          <w:highlight w:val="none"/>
          <w:u w:val="single"/>
        </w:rPr>
        <w:t>否。</w:t>
      </w:r>
    </w:p>
    <w:p>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76.5发包人供应材料设备的价款调整</w:t>
      </w:r>
    </w:p>
    <w:p>
      <w:pPr>
        <w:spacing w:line="360" w:lineRule="auto"/>
        <w:ind w:firstLine="120" w:firstLineChars="50"/>
        <w:rPr>
          <w:rFonts w:ascii="仿宋" w:hAnsi="仿宋" w:eastAsia="仿宋"/>
          <w:color w:val="auto"/>
          <w:kern w:val="0"/>
          <w:sz w:val="24"/>
          <w:szCs w:val="24"/>
          <w:highlight w:val="none"/>
          <w:u w:val="single"/>
        </w:rPr>
      </w:pPr>
      <w:r>
        <w:rPr>
          <w:rFonts w:hint="eastAsia" w:ascii="仿宋" w:hAnsi="仿宋" w:eastAsia="仿宋"/>
          <w:color w:val="auto"/>
          <w:kern w:val="0"/>
          <w:sz w:val="24"/>
          <w:szCs w:val="24"/>
          <w:highlight w:val="none"/>
          <w:u w:val="single"/>
        </w:rPr>
        <w:t>发包人供应材料和工程设备的，由发包人按照实际变化调整，不列入合同工程的工程造价内。</w:t>
      </w:r>
    </w:p>
    <w:p>
      <w:pPr>
        <w:spacing w:line="360" w:lineRule="auto"/>
        <w:jc w:val="left"/>
        <w:rPr>
          <w:rFonts w:eastAsia="仿宋_GB2312" w:cs="仿宋_GB2312"/>
          <w:strike/>
          <w:color w:val="auto"/>
          <w:sz w:val="30"/>
          <w:szCs w:val="30"/>
          <w:highlight w:val="none"/>
        </w:rPr>
      </w:pPr>
    </w:p>
    <w:p>
      <w:pPr>
        <w:pStyle w:val="9"/>
        <w:tabs>
          <w:tab w:val="left" w:pos="420"/>
        </w:tabs>
        <w:rPr>
          <w:rFonts w:ascii="仿宋" w:hAnsi="仿宋" w:eastAsia="仿宋"/>
          <w:b/>
          <w:bCs/>
          <w:color w:val="auto"/>
          <w:highlight w:val="none"/>
        </w:rPr>
      </w:pPr>
      <w:bookmarkStart w:id="712" w:name="_Toc25653760"/>
      <w:bookmarkStart w:id="713" w:name="_Toc4415"/>
      <w:bookmarkStart w:id="714" w:name="_Toc23044"/>
      <w:r>
        <w:rPr>
          <w:rFonts w:hint="eastAsia" w:ascii="仿宋" w:hAnsi="仿宋" w:eastAsia="仿宋" w:cs="仿宋"/>
          <w:b/>
          <w:bCs/>
          <w:color w:val="auto"/>
          <w:highlight w:val="none"/>
        </w:rPr>
        <w:t>★</w:t>
      </w:r>
      <w:r>
        <w:rPr>
          <w:rFonts w:ascii="仿宋" w:hAnsi="仿宋" w:eastAsia="仿宋" w:cs="仿宋"/>
          <w:bCs/>
          <w:color w:val="auto"/>
          <w:highlight w:val="none"/>
        </w:rPr>
        <w:t xml:space="preserve">77  </w:t>
      </w:r>
      <w:r>
        <w:rPr>
          <w:rFonts w:hint="eastAsia" w:ascii="仿宋" w:hAnsi="仿宋" w:eastAsia="仿宋" w:cs="仿宋"/>
          <w:bCs/>
          <w:color w:val="auto"/>
          <w:highlight w:val="none"/>
        </w:rPr>
        <w:t>合同价款调整程序</w:t>
      </w:r>
      <w:bookmarkEnd w:id="712"/>
      <w:bookmarkEnd w:id="713"/>
      <w:bookmarkEnd w:id="714"/>
    </w:p>
    <w:p>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u w:val="single"/>
        </w:rPr>
        <w:t>77.3调增价款的核实</w:t>
      </w:r>
    </w:p>
    <w:p>
      <w:pPr>
        <w:spacing w:line="360" w:lineRule="auto"/>
        <w:ind w:firstLine="480" w:firstLineChars="20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发包人应在收到合同价款调增报告及相关资料后对其核实，并予以确认或提出协商意见。发包人提出协商意见的，合同双方当事人应在承包人收到协商意见后进行协商确定。</w:t>
      </w:r>
    </w:p>
    <w:p>
      <w:pPr>
        <w:spacing w:line="360" w:lineRule="auto"/>
        <w:jc w:val="left"/>
        <w:rPr>
          <w:rFonts w:eastAsia="仿宋_GB2312"/>
          <w:strike/>
          <w:color w:val="auto"/>
          <w:sz w:val="30"/>
          <w:szCs w:val="30"/>
          <w:highlight w:val="none"/>
        </w:rPr>
      </w:pPr>
    </w:p>
    <w:p>
      <w:pPr>
        <w:pStyle w:val="8"/>
        <w:tabs>
          <w:tab w:val="left" w:pos="420"/>
        </w:tabs>
        <w:rPr>
          <w:rFonts w:ascii="仿宋" w:hAnsi="仿宋" w:eastAsia="仿宋"/>
          <w:b w:val="0"/>
          <w:bCs/>
          <w:color w:val="auto"/>
          <w:highlight w:val="none"/>
        </w:rPr>
      </w:pPr>
      <w:bookmarkStart w:id="715" w:name="_Toc18379"/>
      <w:bookmarkStart w:id="716" w:name="_Toc17837"/>
      <w:bookmarkStart w:id="717" w:name="_Toc25653761"/>
      <w:bookmarkStart w:id="718" w:name="_Toc469384127"/>
      <w:r>
        <w:rPr>
          <w:rFonts w:ascii="仿宋" w:hAnsi="仿宋" w:eastAsia="仿宋" w:cs="仿宋"/>
          <w:b w:val="0"/>
          <w:bCs/>
          <w:color w:val="auto"/>
          <w:highlight w:val="none"/>
        </w:rPr>
        <w:t xml:space="preserve">78. </w:t>
      </w:r>
      <w:r>
        <w:rPr>
          <w:rFonts w:hint="eastAsia" w:ascii="仿宋" w:hAnsi="仿宋" w:eastAsia="仿宋" w:cs="仿宋"/>
          <w:b w:val="0"/>
          <w:bCs/>
          <w:color w:val="auto"/>
          <w:highlight w:val="none"/>
        </w:rPr>
        <w:t>支付事项</w:t>
      </w:r>
      <w:bookmarkEnd w:id="715"/>
      <w:bookmarkEnd w:id="716"/>
      <w:bookmarkEnd w:id="717"/>
      <w:bookmarkEnd w:id="718"/>
    </w:p>
    <w:p>
      <w:pPr>
        <w:rPr>
          <w:rFonts w:ascii="仿宋" w:hAnsi="仿宋" w:eastAsia="仿宋"/>
          <w:color w:val="auto"/>
          <w:kern w:val="0"/>
          <w:sz w:val="24"/>
          <w:szCs w:val="24"/>
          <w:highlight w:val="none"/>
        </w:rPr>
      </w:pPr>
    </w:p>
    <w:p>
      <w:pPr>
        <w:spacing w:line="360" w:lineRule="auto"/>
        <w:ind w:firstLine="240" w:firstLineChars="100"/>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78.2 </w:t>
      </w:r>
      <w:r>
        <w:rPr>
          <w:rFonts w:hint="eastAsia" w:ascii="仿宋" w:hAnsi="仿宋" w:eastAsia="仿宋" w:cs="仿宋"/>
          <w:color w:val="auto"/>
          <w:kern w:val="0"/>
          <w:sz w:val="24"/>
          <w:szCs w:val="24"/>
          <w:highlight w:val="none"/>
        </w:rPr>
        <w:t>计算利息的利率</w:t>
      </w:r>
    </w:p>
    <w:p>
      <w:pPr>
        <w:spacing w:line="360" w:lineRule="auto"/>
        <w:ind w:firstLine="240" w:firstLineChars="10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不计算利息。</w:t>
      </w:r>
    </w:p>
    <w:p>
      <w:pPr>
        <w:rPr>
          <w:rFonts w:ascii="仿宋" w:hAnsi="仿宋" w:eastAsia="仿宋" w:cs="仿宋"/>
          <w:color w:val="auto"/>
          <w:kern w:val="0"/>
          <w:sz w:val="24"/>
          <w:szCs w:val="24"/>
          <w:highlight w:val="none"/>
          <w:u w:val="single"/>
        </w:rPr>
      </w:pPr>
    </w:p>
    <w:p>
      <w:pPr>
        <w:pStyle w:val="8"/>
        <w:tabs>
          <w:tab w:val="left" w:pos="420"/>
        </w:tabs>
        <w:rPr>
          <w:rFonts w:ascii="仿宋" w:hAnsi="仿宋" w:eastAsia="仿宋"/>
          <w:b w:val="0"/>
          <w:bCs/>
          <w:color w:val="auto"/>
          <w:highlight w:val="none"/>
        </w:rPr>
      </w:pPr>
      <w:bookmarkStart w:id="719" w:name="_Toc13570"/>
      <w:bookmarkStart w:id="720" w:name="_Toc25653762"/>
      <w:bookmarkStart w:id="721" w:name="_Toc469384128"/>
      <w:bookmarkStart w:id="722" w:name="_Toc23011"/>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79. </w:t>
      </w:r>
      <w:r>
        <w:rPr>
          <w:rFonts w:hint="eastAsia" w:ascii="仿宋" w:hAnsi="仿宋" w:eastAsia="仿宋" w:cs="仿宋"/>
          <w:b w:val="0"/>
          <w:bCs/>
          <w:color w:val="auto"/>
          <w:highlight w:val="none"/>
        </w:rPr>
        <w:t>预付款</w:t>
      </w:r>
      <w:bookmarkEnd w:id="719"/>
      <w:bookmarkEnd w:id="720"/>
      <w:bookmarkEnd w:id="721"/>
      <w:bookmarkEnd w:id="722"/>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79.1 </w:t>
      </w:r>
      <w:r>
        <w:rPr>
          <w:rFonts w:hint="eastAsia" w:ascii="仿宋" w:hAnsi="仿宋" w:eastAsia="仿宋" w:cs="仿宋"/>
          <w:color w:val="auto"/>
          <w:kern w:val="0"/>
          <w:sz w:val="24"/>
          <w:szCs w:val="24"/>
          <w:highlight w:val="none"/>
        </w:rPr>
        <w:t>预付款的约定及管理</w:t>
      </w:r>
    </w:p>
    <w:p>
      <w:pPr>
        <w:spacing w:line="360" w:lineRule="auto"/>
        <w:ind w:left="239" w:leftChars="114"/>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另作约定：无预付款。</w:t>
      </w:r>
    </w:p>
    <w:p>
      <w:pPr>
        <w:spacing w:line="360" w:lineRule="auto"/>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23" w:name="_Toc25653763"/>
      <w:bookmarkStart w:id="724" w:name="_Toc11396"/>
      <w:bookmarkStart w:id="725" w:name="_Toc23777"/>
      <w:bookmarkStart w:id="726" w:name="_Toc469384129"/>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80. </w:t>
      </w:r>
      <w:r>
        <w:rPr>
          <w:rFonts w:hint="eastAsia" w:ascii="仿宋" w:hAnsi="仿宋" w:eastAsia="仿宋" w:cs="仿宋"/>
          <w:b w:val="0"/>
          <w:bCs/>
          <w:color w:val="auto"/>
          <w:highlight w:val="none"/>
        </w:rPr>
        <w:t>绿色施工安全防护措施费</w:t>
      </w:r>
      <w:bookmarkEnd w:id="723"/>
      <w:bookmarkEnd w:id="724"/>
      <w:bookmarkEnd w:id="725"/>
      <w:bookmarkEnd w:id="726"/>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80.1 </w:t>
      </w:r>
      <w:r>
        <w:rPr>
          <w:rFonts w:hint="eastAsia" w:ascii="仿宋" w:hAnsi="仿宋" w:eastAsia="仿宋" w:cs="仿宋"/>
          <w:color w:val="auto"/>
          <w:sz w:val="24"/>
          <w:szCs w:val="24"/>
          <w:highlight w:val="none"/>
        </w:rPr>
        <w:t>绿色施工安全防护措施</w:t>
      </w:r>
      <w:r>
        <w:rPr>
          <w:rFonts w:hint="eastAsia" w:ascii="仿宋" w:hAnsi="仿宋" w:eastAsia="仿宋" w:cs="仿宋"/>
          <w:color w:val="auto"/>
          <w:kern w:val="0"/>
          <w:sz w:val="24"/>
          <w:szCs w:val="24"/>
          <w:highlight w:val="none"/>
        </w:rPr>
        <w:t>费的内容、范围和金额</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）内容和范围</w:t>
      </w: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按通用条款的规定，以现行广东省统一工程计价依据规定、</w:t>
      </w:r>
      <w:r>
        <w:rPr>
          <w:rFonts w:hint="eastAsia" w:ascii="仿宋" w:hAnsi="仿宋" w:eastAsia="仿宋" w:cs="仿宋"/>
          <w:color w:val="auto"/>
          <w:sz w:val="24"/>
          <w:szCs w:val="24"/>
          <w:highlight w:val="none"/>
        </w:rPr>
        <w:t>省市造价管理部门发布管理文件</w:t>
      </w:r>
      <w:r>
        <w:rPr>
          <w:rFonts w:hint="eastAsia" w:ascii="仿宋" w:hAnsi="仿宋" w:eastAsia="仿宋" w:cs="仿宋"/>
          <w:color w:val="auto"/>
          <w:kern w:val="0"/>
          <w:sz w:val="24"/>
          <w:szCs w:val="24"/>
          <w:highlight w:val="none"/>
        </w:rPr>
        <w:t>为准。</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绿色施工安全防护措施</w:t>
      </w:r>
      <w:r>
        <w:rPr>
          <w:rFonts w:hint="eastAsia" w:ascii="仿宋" w:hAnsi="仿宋" w:eastAsia="仿宋" w:cs="仿宋"/>
          <w:color w:val="auto"/>
          <w:kern w:val="0"/>
          <w:sz w:val="24"/>
          <w:szCs w:val="24"/>
          <w:highlight w:val="none"/>
        </w:rPr>
        <w:t>费的总金额为</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w:t>
      </w:r>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80.2 </w:t>
      </w:r>
      <w:r>
        <w:rPr>
          <w:rFonts w:hint="eastAsia" w:ascii="仿宋" w:hAnsi="仿宋" w:eastAsia="仿宋" w:cs="仿宋"/>
          <w:color w:val="auto"/>
          <w:kern w:val="0"/>
          <w:sz w:val="24"/>
          <w:szCs w:val="24"/>
          <w:highlight w:val="none"/>
        </w:rPr>
        <w:t>支付申请的提交与核实</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sz w:val="24"/>
          <w:szCs w:val="24"/>
          <w:highlight w:val="none"/>
          <w:u w:val="single"/>
        </w:rPr>
        <w:t>承包人应在接到监理工程师按照第</w:t>
      </w:r>
      <w:r>
        <w:rPr>
          <w:rFonts w:ascii="仿宋" w:hAnsi="仿宋" w:eastAsia="仿宋" w:cs="仿宋"/>
          <w:color w:val="auto"/>
          <w:sz w:val="24"/>
          <w:szCs w:val="24"/>
          <w:highlight w:val="none"/>
          <w:u w:val="single"/>
        </w:rPr>
        <w:t>34.2</w:t>
      </w:r>
      <w:r>
        <w:rPr>
          <w:rFonts w:hint="eastAsia" w:ascii="仿宋" w:hAnsi="仿宋" w:eastAsia="仿宋" w:cs="仿宋"/>
          <w:color w:val="auto"/>
          <w:sz w:val="24"/>
          <w:szCs w:val="24"/>
          <w:highlight w:val="none"/>
          <w:u w:val="single"/>
        </w:rPr>
        <w:t>款规定发出开工令后的</w:t>
      </w:r>
      <w:r>
        <w:rPr>
          <w:rFonts w:ascii="仿宋" w:hAnsi="仿宋" w:eastAsia="仿宋" w:cs="仿宋"/>
          <w:color w:val="auto"/>
          <w:sz w:val="24"/>
          <w:szCs w:val="24"/>
          <w:highlight w:val="none"/>
          <w:u w:val="single"/>
        </w:rPr>
        <w:t>7</w:t>
      </w:r>
      <w:r>
        <w:rPr>
          <w:rFonts w:hint="eastAsia" w:ascii="仿宋" w:hAnsi="仿宋" w:eastAsia="仿宋" w:cs="仿宋"/>
          <w:color w:val="auto"/>
          <w:sz w:val="24"/>
          <w:szCs w:val="24"/>
          <w:highlight w:val="none"/>
          <w:u w:val="single"/>
        </w:rPr>
        <w:t>天内向发包人代表提交绿色施工安全防护措施费支付申请，发包人应对支付申请进行核实。</w:t>
      </w:r>
    </w:p>
    <w:p>
      <w:pPr>
        <w:spacing w:line="360" w:lineRule="auto"/>
        <w:rPr>
          <w:rFonts w:ascii="仿宋" w:hAnsi="仿宋" w:eastAsia="仿宋" w:cs="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80.3 </w:t>
      </w:r>
      <w:r>
        <w:rPr>
          <w:rFonts w:hint="eastAsia" w:ascii="仿宋" w:hAnsi="仿宋" w:eastAsia="仿宋" w:cs="仿宋"/>
          <w:color w:val="auto"/>
          <w:kern w:val="0"/>
          <w:sz w:val="24"/>
          <w:szCs w:val="24"/>
          <w:highlight w:val="none"/>
        </w:rPr>
        <w:t>费用支付</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sz w:val="24"/>
          <w:szCs w:val="24"/>
          <w:highlight w:val="none"/>
        </w:rPr>
        <w:t>绿色施工安全防护</w:t>
      </w:r>
      <w:r>
        <w:rPr>
          <w:rFonts w:hint="eastAsia" w:ascii="仿宋" w:hAnsi="仿宋" w:eastAsia="仿宋" w:cs="仿宋"/>
          <w:color w:val="auto"/>
          <w:kern w:val="0"/>
          <w:sz w:val="24"/>
          <w:szCs w:val="24"/>
          <w:highlight w:val="none"/>
        </w:rPr>
        <w:t>费的支付办法和抵扣方式：</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☑另作约定： </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承包人在工程开工报告批复后，需编制分阶段绿色施工安全防护措施费用计划，经监理和发包人审核批准后，发包人预付绿色施工安全防护措施费总额的</w:t>
      </w:r>
      <w:r>
        <w:rPr>
          <w:rFonts w:hint="eastAsia" w:ascii="仿宋" w:hAnsi="仿宋" w:eastAsia="仿宋" w:cs="仿宋"/>
          <w:color w:val="auto"/>
          <w:kern w:val="0"/>
          <w:sz w:val="24"/>
          <w:szCs w:val="24"/>
          <w:highlight w:val="none"/>
        </w:rPr>
        <w:t>30</w:t>
      </w:r>
      <w:r>
        <w:rPr>
          <w:rFonts w:ascii="仿宋" w:hAnsi="仿宋" w:eastAsia="仿宋" w:cs="仿宋"/>
          <w:color w:val="auto"/>
          <w:kern w:val="0"/>
          <w:sz w:val="24"/>
          <w:szCs w:val="24"/>
          <w:highlight w:val="none"/>
        </w:rPr>
        <w:t>%用于安全措施投入，金额：</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元（具体支付按合同附件</w:t>
      </w:r>
      <w:r>
        <w:rPr>
          <w:rFonts w:hint="eastAsia" w:ascii="仿宋" w:hAnsi="仿宋" w:eastAsia="仿宋" w:cs="仿宋"/>
          <w:color w:val="auto"/>
          <w:kern w:val="0"/>
          <w:sz w:val="24"/>
          <w:szCs w:val="24"/>
          <w:highlight w:val="none"/>
          <w:lang w:val="en-US" w:eastAsia="zh-CN"/>
        </w:rPr>
        <w:t>7</w:t>
      </w:r>
      <w:r>
        <w:rPr>
          <w:rFonts w:ascii="仿宋" w:hAnsi="仿宋" w:eastAsia="仿宋" w:cs="仿宋"/>
          <w:color w:val="auto"/>
          <w:kern w:val="0"/>
          <w:sz w:val="24"/>
          <w:szCs w:val="24"/>
          <w:highlight w:val="none"/>
        </w:rPr>
        <w:t>安健环管理协议第三条执行。</w:t>
      </w:r>
    </w:p>
    <w:p>
      <w:pPr>
        <w:rPr>
          <w:rFonts w:ascii="仿宋" w:hAnsi="仿宋" w:eastAsia="仿宋" w:cs="仿宋"/>
          <w:color w:val="auto"/>
          <w:kern w:val="0"/>
          <w:sz w:val="24"/>
          <w:szCs w:val="24"/>
          <w:highlight w:val="none"/>
        </w:rPr>
      </w:pPr>
    </w:p>
    <w:p>
      <w:pPr>
        <w:spacing w:line="360" w:lineRule="auto"/>
        <w:ind w:firstLine="241" w:firstLineChars="100"/>
        <w:rPr>
          <w:rFonts w:ascii="仿宋" w:hAnsi="仿宋" w:eastAsia="仿宋" w:cs="仿宋"/>
          <w:color w:val="auto"/>
          <w:kern w:val="0"/>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color w:val="auto"/>
          <w:kern w:val="0"/>
          <w:sz w:val="24"/>
          <w:szCs w:val="24"/>
          <w:highlight w:val="none"/>
        </w:rPr>
        <w:t xml:space="preserve">80.6 </w:t>
      </w:r>
      <w:r>
        <w:rPr>
          <w:rFonts w:hint="eastAsia" w:ascii="仿宋" w:hAnsi="仿宋" w:eastAsia="仿宋" w:cs="仿宋"/>
          <w:color w:val="auto"/>
          <w:kern w:val="0"/>
          <w:sz w:val="24"/>
          <w:szCs w:val="24"/>
          <w:highlight w:val="none"/>
        </w:rPr>
        <w:t>文明工地增加费</w:t>
      </w:r>
    </w:p>
    <w:p>
      <w:pPr>
        <w:spacing w:line="360" w:lineRule="auto"/>
        <w:ind w:firstLine="240" w:firstLineChars="100"/>
        <w:rPr>
          <w:rFonts w:ascii="仿宋" w:hAnsi="仿宋" w:eastAsia="仿宋"/>
          <w:b/>
          <w:bCs/>
          <w:color w:val="auto"/>
          <w:kern w:val="0"/>
          <w:sz w:val="24"/>
          <w:szCs w:val="24"/>
          <w:highlight w:val="none"/>
          <w:u w:val="single"/>
        </w:rPr>
      </w:pPr>
      <w:r>
        <w:rPr>
          <w:rFonts w:hint="eastAsia" w:ascii="仿宋" w:hAnsi="仿宋" w:eastAsia="仿宋" w:cs="仿宋"/>
          <w:color w:val="auto"/>
          <w:kern w:val="0"/>
          <w:sz w:val="24"/>
          <w:szCs w:val="24"/>
          <w:highlight w:val="none"/>
          <w:u w:val="single"/>
        </w:rPr>
        <w:t>此通用条款不执行。</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27" w:name="_Toc2135"/>
      <w:bookmarkStart w:id="728" w:name="_Toc30752"/>
      <w:bookmarkStart w:id="729" w:name="_Toc469384130"/>
      <w:bookmarkStart w:id="730" w:name="_Toc25653764"/>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81. </w:t>
      </w:r>
      <w:r>
        <w:rPr>
          <w:rFonts w:hint="eastAsia" w:ascii="仿宋" w:hAnsi="仿宋" w:eastAsia="仿宋" w:cs="仿宋"/>
          <w:b w:val="0"/>
          <w:bCs/>
          <w:color w:val="auto"/>
          <w:highlight w:val="none"/>
        </w:rPr>
        <w:t>进度款</w:t>
      </w:r>
      <w:bookmarkEnd w:id="727"/>
      <w:bookmarkEnd w:id="728"/>
      <w:bookmarkEnd w:id="729"/>
      <w:bookmarkEnd w:id="730"/>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81.1 </w:t>
      </w:r>
      <w:r>
        <w:rPr>
          <w:rFonts w:hint="eastAsia" w:ascii="仿宋" w:hAnsi="仿宋" w:eastAsia="仿宋" w:cs="仿宋"/>
          <w:color w:val="auto"/>
          <w:kern w:val="0"/>
          <w:sz w:val="24"/>
          <w:szCs w:val="24"/>
          <w:highlight w:val="none"/>
        </w:rPr>
        <w:t>约定支付期限和提交支付申请</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）支付期限、比例</w:t>
      </w:r>
    </w:p>
    <w:p>
      <w:pPr>
        <w:spacing w:line="360" w:lineRule="auto"/>
        <w:ind w:firstLine="240" w:firstLineChars="100"/>
        <w:jc w:val="left"/>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支付比例：</w:t>
      </w:r>
    </w:p>
    <w:p>
      <w:pPr>
        <w:spacing w:line="360" w:lineRule="auto"/>
        <w:ind w:firstLine="480" w:firstLineChars="200"/>
        <w:jc w:val="left"/>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当工程完成30%时按合同价（扣除</w:t>
      </w:r>
      <w:r>
        <w:rPr>
          <w:rFonts w:ascii="仿宋" w:hAnsi="仿宋" w:eastAsia="仿宋" w:cs="仿宋"/>
          <w:color w:val="auto"/>
          <w:kern w:val="0"/>
          <w:sz w:val="24"/>
          <w:szCs w:val="24"/>
          <w:highlight w:val="none"/>
          <w:u w:val="single"/>
        </w:rPr>
        <w:t>绿色施工安全防护措施费</w:t>
      </w:r>
      <w:r>
        <w:rPr>
          <w:rFonts w:hint="eastAsia" w:ascii="仿宋" w:hAnsi="仿宋" w:eastAsia="仿宋" w:cs="仿宋"/>
          <w:color w:val="auto"/>
          <w:kern w:val="0"/>
          <w:sz w:val="24"/>
          <w:szCs w:val="24"/>
          <w:highlight w:val="none"/>
          <w:u w:val="single"/>
        </w:rPr>
        <w:t>后）的2</w:t>
      </w:r>
      <w:r>
        <w:rPr>
          <w:rFonts w:hint="eastAsia" w:ascii="仿宋" w:hAnsi="仿宋" w:eastAsia="仿宋" w:cs="仿宋"/>
          <w:color w:val="auto"/>
          <w:kern w:val="0"/>
          <w:sz w:val="24"/>
          <w:szCs w:val="24"/>
          <w:highlight w:val="none"/>
          <w:u w:val="single"/>
          <w:lang w:val="en-US" w:eastAsia="zh-CN"/>
        </w:rPr>
        <w:t>4</w:t>
      </w:r>
      <w:r>
        <w:rPr>
          <w:rFonts w:hint="eastAsia" w:ascii="仿宋" w:hAnsi="仿宋" w:eastAsia="仿宋" w:cs="仿宋"/>
          <w:color w:val="auto"/>
          <w:kern w:val="0"/>
          <w:sz w:val="24"/>
          <w:szCs w:val="24"/>
          <w:highlight w:val="none"/>
          <w:u w:val="single"/>
        </w:rPr>
        <w:t>%支付进度款；当工程完成50%时按合同价（扣除</w:t>
      </w:r>
      <w:r>
        <w:rPr>
          <w:rFonts w:ascii="仿宋" w:hAnsi="仿宋" w:eastAsia="仿宋" w:cs="仿宋"/>
          <w:color w:val="auto"/>
          <w:kern w:val="0"/>
          <w:sz w:val="24"/>
          <w:szCs w:val="24"/>
          <w:highlight w:val="none"/>
          <w:u w:val="single"/>
        </w:rPr>
        <w:t>绿色施工安全防护措施费</w:t>
      </w:r>
      <w:r>
        <w:rPr>
          <w:rFonts w:hint="eastAsia" w:ascii="仿宋" w:hAnsi="仿宋" w:eastAsia="仿宋" w:cs="仿宋"/>
          <w:color w:val="auto"/>
          <w:kern w:val="0"/>
          <w:sz w:val="24"/>
          <w:szCs w:val="24"/>
          <w:highlight w:val="none"/>
          <w:u w:val="single"/>
        </w:rPr>
        <w:t>后）的1</w:t>
      </w:r>
      <w:r>
        <w:rPr>
          <w:rFonts w:hint="eastAsia" w:ascii="仿宋" w:hAnsi="仿宋" w:eastAsia="仿宋" w:cs="仿宋"/>
          <w:color w:val="auto"/>
          <w:kern w:val="0"/>
          <w:sz w:val="24"/>
          <w:szCs w:val="24"/>
          <w:highlight w:val="none"/>
          <w:u w:val="single"/>
          <w:lang w:val="en-US" w:eastAsia="zh-CN"/>
        </w:rPr>
        <w:t>6</w:t>
      </w:r>
      <w:r>
        <w:rPr>
          <w:rFonts w:hint="eastAsia" w:ascii="仿宋" w:hAnsi="仿宋" w:eastAsia="仿宋" w:cs="仿宋"/>
          <w:color w:val="auto"/>
          <w:kern w:val="0"/>
          <w:sz w:val="24"/>
          <w:szCs w:val="24"/>
          <w:highlight w:val="none"/>
          <w:u w:val="single"/>
        </w:rPr>
        <w:t>%支付进度款；当工程完成80%时按合同价（扣除</w:t>
      </w:r>
      <w:r>
        <w:rPr>
          <w:rFonts w:ascii="仿宋" w:hAnsi="仿宋" w:eastAsia="仿宋" w:cs="仿宋"/>
          <w:color w:val="auto"/>
          <w:kern w:val="0"/>
          <w:sz w:val="24"/>
          <w:szCs w:val="24"/>
          <w:highlight w:val="none"/>
          <w:u w:val="single"/>
        </w:rPr>
        <w:t>绿色施工安全防护措施费</w:t>
      </w:r>
      <w:r>
        <w:rPr>
          <w:rFonts w:hint="eastAsia" w:ascii="仿宋" w:hAnsi="仿宋" w:eastAsia="仿宋" w:cs="仿宋"/>
          <w:color w:val="auto"/>
          <w:kern w:val="0"/>
          <w:sz w:val="24"/>
          <w:szCs w:val="24"/>
          <w:highlight w:val="none"/>
          <w:u w:val="single"/>
        </w:rPr>
        <w:t>后）的2</w:t>
      </w:r>
      <w:r>
        <w:rPr>
          <w:rFonts w:hint="eastAsia" w:ascii="仿宋" w:hAnsi="仿宋" w:eastAsia="仿宋" w:cs="仿宋"/>
          <w:color w:val="auto"/>
          <w:kern w:val="0"/>
          <w:sz w:val="24"/>
          <w:szCs w:val="24"/>
          <w:highlight w:val="none"/>
          <w:u w:val="single"/>
          <w:lang w:val="en-US" w:eastAsia="zh-CN"/>
        </w:rPr>
        <w:t>4</w:t>
      </w:r>
      <w:r>
        <w:rPr>
          <w:rFonts w:hint="eastAsia" w:ascii="仿宋" w:hAnsi="仿宋" w:eastAsia="仿宋" w:cs="仿宋"/>
          <w:color w:val="auto"/>
          <w:kern w:val="0"/>
          <w:sz w:val="24"/>
          <w:szCs w:val="24"/>
          <w:highlight w:val="none"/>
          <w:u w:val="single"/>
        </w:rPr>
        <w:t>%支付进度款；当工程进度完成至100%时且实体验收合格，按合同价（扣除</w:t>
      </w:r>
      <w:r>
        <w:rPr>
          <w:rFonts w:ascii="仿宋" w:hAnsi="仿宋" w:eastAsia="仿宋" w:cs="仿宋"/>
          <w:color w:val="auto"/>
          <w:kern w:val="0"/>
          <w:sz w:val="24"/>
          <w:szCs w:val="24"/>
          <w:highlight w:val="none"/>
          <w:u w:val="single"/>
        </w:rPr>
        <w:t>绿色施工安全防护措施费</w:t>
      </w:r>
      <w:r>
        <w:rPr>
          <w:rFonts w:hint="eastAsia" w:ascii="仿宋" w:hAnsi="仿宋" w:eastAsia="仿宋" w:cs="仿宋"/>
          <w:color w:val="auto"/>
          <w:kern w:val="0"/>
          <w:sz w:val="24"/>
          <w:szCs w:val="24"/>
          <w:highlight w:val="none"/>
          <w:u w:val="single"/>
        </w:rPr>
        <w:t>后）的1</w:t>
      </w:r>
      <w:r>
        <w:rPr>
          <w:rFonts w:hint="eastAsia" w:ascii="仿宋" w:hAnsi="仿宋" w:eastAsia="仿宋" w:cs="仿宋"/>
          <w:color w:val="auto"/>
          <w:kern w:val="0"/>
          <w:sz w:val="24"/>
          <w:szCs w:val="24"/>
          <w:highlight w:val="none"/>
          <w:u w:val="single"/>
          <w:lang w:val="en-US" w:eastAsia="zh-CN"/>
        </w:rPr>
        <w:t>6</w:t>
      </w:r>
      <w:r>
        <w:rPr>
          <w:rFonts w:hint="eastAsia" w:ascii="仿宋" w:hAnsi="仿宋" w:eastAsia="仿宋" w:cs="仿宋"/>
          <w:color w:val="auto"/>
          <w:kern w:val="0"/>
          <w:sz w:val="24"/>
          <w:szCs w:val="24"/>
          <w:highlight w:val="none"/>
          <w:u w:val="single"/>
        </w:rPr>
        <w:t>％支付进度款，支付至合同价的</w:t>
      </w:r>
      <w:r>
        <w:rPr>
          <w:rFonts w:hint="eastAsia" w:ascii="仿宋" w:hAnsi="仿宋" w:eastAsia="仿宋" w:cs="仿宋"/>
          <w:color w:val="auto"/>
          <w:kern w:val="0"/>
          <w:sz w:val="24"/>
          <w:szCs w:val="24"/>
          <w:highlight w:val="none"/>
          <w:u w:val="single"/>
          <w:lang w:val="en-US" w:eastAsia="zh-CN"/>
        </w:rPr>
        <w:t>8</w:t>
      </w:r>
      <w:r>
        <w:rPr>
          <w:rFonts w:hint="eastAsia" w:ascii="仿宋" w:hAnsi="仿宋" w:eastAsia="仿宋" w:cs="仿宋"/>
          <w:color w:val="auto"/>
          <w:kern w:val="0"/>
          <w:sz w:val="24"/>
          <w:szCs w:val="24"/>
          <w:highlight w:val="none"/>
          <w:u w:val="single"/>
        </w:rPr>
        <w:t>0％；当工程竣工验收合格，承包人按照规定提交竣工验收资料且经发包人确认后，或因发包人的原因造成无法竣工验收但承包人按照规定提交结算资料且经发包人确认后的，按合同价（扣除绿色施工安全防护措施费后）的</w:t>
      </w:r>
      <w:r>
        <w:rPr>
          <w:rFonts w:hint="eastAsia" w:ascii="仿宋" w:hAnsi="仿宋" w:eastAsia="仿宋" w:cs="仿宋"/>
          <w:color w:val="auto"/>
          <w:kern w:val="0"/>
          <w:sz w:val="24"/>
          <w:szCs w:val="24"/>
          <w:highlight w:val="none"/>
          <w:u w:val="single"/>
          <w:lang w:val="en-US" w:eastAsia="zh-CN"/>
        </w:rPr>
        <w:t>5</w:t>
      </w:r>
      <w:r>
        <w:rPr>
          <w:rFonts w:hint="eastAsia" w:ascii="仿宋" w:hAnsi="仿宋" w:eastAsia="仿宋" w:cs="仿宋"/>
          <w:color w:val="auto"/>
          <w:kern w:val="0"/>
          <w:sz w:val="24"/>
          <w:szCs w:val="24"/>
          <w:highlight w:val="none"/>
          <w:u w:val="single"/>
        </w:rPr>
        <w:t>％支付进度款，支付至合同价的8</w:t>
      </w:r>
      <w:r>
        <w:rPr>
          <w:rFonts w:hint="eastAsia" w:ascii="仿宋" w:hAnsi="仿宋" w:eastAsia="仿宋" w:cs="仿宋"/>
          <w:color w:val="auto"/>
          <w:kern w:val="0"/>
          <w:sz w:val="24"/>
          <w:szCs w:val="24"/>
          <w:highlight w:val="none"/>
          <w:u w:val="single"/>
          <w:lang w:val="en-US" w:eastAsia="zh-CN"/>
        </w:rPr>
        <w:t>5</w:t>
      </w:r>
      <w:r>
        <w:rPr>
          <w:rFonts w:hint="eastAsia" w:ascii="仿宋" w:hAnsi="仿宋" w:eastAsia="仿宋" w:cs="仿宋"/>
          <w:color w:val="auto"/>
          <w:kern w:val="0"/>
          <w:sz w:val="24"/>
          <w:szCs w:val="24"/>
          <w:highlight w:val="none"/>
          <w:u w:val="single"/>
        </w:rPr>
        <w:t>%</w:t>
      </w:r>
      <w:r>
        <w:rPr>
          <w:rFonts w:ascii="仿宋" w:hAnsi="仿宋" w:eastAsia="仿宋" w:cs="仿宋"/>
          <w:color w:val="auto"/>
          <w:kern w:val="0"/>
          <w:sz w:val="24"/>
          <w:szCs w:val="24"/>
          <w:highlight w:val="none"/>
          <w:u w:val="single"/>
        </w:rPr>
        <w:t>。</w:t>
      </w:r>
    </w:p>
    <w:p>
      <w:pPr>
        <w:spacing w:line="360" w:lineRule="auto"/>
        <w:ind w:firstLine="480" w:firstLineChars="200"/>
        <w:jc w:val="left"/>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承包人应按发包人审核确定的金额向发包人开具有效增值税专用发票作为发包人付款凭证，发包人在收到该发票后</w:t>
      </w:r>
      <w:r>
        <w:rPr>
          <w:rFonts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rPr>
        <w:t>5</w:t>
      </w:r>
      <w:r>
        <w:rPr>
          <w:rFonts w:ascii="仿宋" w:hAnsi="仿宋" w:eastAsia="仿宋" w:cs="仿宋"/>
          <w:color w:val="auto"/>
          <w:kern w:val="0"/>
          <w:sz w:val="24"/>
          <w:szCs w:val="24"/>
          <w:highlight w:val="none"/>
          <w:u w:val="single"/>
        </w:rPr>
        <w:t>个工作日内向承包人支付该次进度款。</w:t>
      </w:r>
    </w:p>
    <w:p>
      <w:pPr>
        <w:spacing w:line="360" w:lineRule="auto"/>
        <w:jc w:val="left"/>
        <w:rPr>
          <w:rFonts w:ascii="仿宋" w:hAnsi="仿宋" w:eastAsia="仿宋" w:cs="仿宋"/>
          <w:color w:val="auto"/>
          <w:kern w:val="0"/>
          <w:sz w:val="24"/>
          <w:szCs w:val="24"/>
          <w:highlight w:val="none"/>
          <w:u w:val="single"/>
        </w:rPr>
      </w:pPr>
    </w:p>
    <w:p>
      <w:pPr>
        <w:spacing w:before="62" w:beforeLines="20" w:line="400" w:lineRule="exact"/>
        <w:ind w:firstLine="240" w:firstLineChars="100"/>
        <w:rPr>
          <w:rFonts w:ascii="仿宋" w:hAnsi="仿宋" w:eastAsia="仿宋" w:cs="仿宋"/>
          <w:color w:val="auto"/>
          <w:kern w:val="0"/>
          <w:sz w:val="24"/>
          <w:szCs w:val="24"/>
          <w:highlight w:val="none"/>
          <w:u w:val="single"/>
        </w:rPr>
      </w:pPr>
      <w:r>
        <w:rPr>
          <w:rFonts w:hint="eastAsia" w:ascii="仿宋" w:hAnsi="仿宋" w:eastAsia="仿宋"/>
          <w:bCs/>
          <w:color w:val="auto"/>
          <w:sz w:val="24"/>
          <w:szCs w:val="24"/>
          <w:highlight w:val="none"/>
          <w:u w:val="single"/>
        </w:rPr>
        <w:t>（</w:t>
      </w:r>
      <w:r>
        <w:rPr>
          <w:rFonts w:ascii="仿宋" w:hAnsi="仿宋" w:eastAsia="仿宋"/>
          <w:bCs/>
          <w:color w:val="auto"/>
          <w:sz w:val="24"/>
          <w:szCs w:val="24"/>
          <w:highlight w:val="none"/>
          <w:u w:val="single"/>
        </w:rPr>
        <w:t>2）发票的约定</w:t>
      </w:r>
    </w:p>
    <w:p>
      <w:pPr>
        <w:spacing w:before="62" w:beforeLines="20" w:line="400" w:lineRule="exact"/>
        <w:ind w:firstLine="480" w:firstLineChars="200"/>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u w:val="single"/>
        </w:rPr>
        <w:t>在发包人向承包人支付价款前，承包人应向发包人开具税率为</w:t>
      </w:r>
      <w:r>
        <w:rPr>
          <w:rFonts w:ascii="仿宋" w:hAnsi="仿宋" w:eastAsia="仿宋"/>
          <w:bCs/>
          <w:color w:val="auto"/>
          <w:sz w:val="24"/>
          <w:szCs w:val="24"/>
          <w:highlight w:val="none"/>
          <w:u w:val="single"/>
        </w:rPr>
        <w:t>9%的增值税专用发票。预付款和进度款的支付承包人提交等额发票、结算款支付提交包含质保金的剩余价款全额发票。否则，发包人有权拒绝付款并顺延付款时间。</w:t>
      </w:r>
    </w:p>
    <w:p>
      <w:pPr>
        <w:autoSpaceDE w:val="0"/>
        <w:autoSpaceDN w:val="0"/>
        <w:adjustRightInd w:val="0"/>
        <w:spacing w:after="156" w:afterLines="50"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增值税率</w:t>
      </w:r>
      <w:r>
        <w:rPr>
          <w:rFonts w:ascii="仿宋" w:hAnsi="仿宋" w:eastAsia="仿宋" w:cs="仿宋"/>
          <w:color w:val="auto"/>
          <w:sz w:val="24"/>
          <w:szCs w:val="24"/>
          <w:highlight w:val="none"/>
          <w:u w:val="single"/>
        </w:rPr>
        <w:t>9%，如因国家税收政策调整，按不含税价不变原则，相应调整税率和税额。</w:t>
      </w:r>
    </w:p>
    <w:p>
      <w:pPr>
        <w:autoSpaceDE w:val="0"/>
        <w:autoSpaceDN w:val="0"/>
        <w:adjustRightInd w:val="0"/>
        <w:spacing w:after="156" w:afterLines="50" w:line="360" w:lineRule="auto"/>
        <w:ind w:firstLine="480" w:firstLineChars="200"/>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u w:val="single"/>
        </w:rPr>
        <w:t>因承包人开具的发票不规范、不合法或涉嫌虚开发票引起税务问题的，承包人需依法向发包人重新开具发票，并向发包人承担赔偿责任，包括但不限于税款、滞纳金、罚款及相关损失等。</w:t>
      </w:r>
    </w:p>
    <w:p>
      <w:pPr>
        <w:spacing w:before="62" w:beforeLines="20" w:line="400" w:lineRule="exact"/>
        <w:ind w:firstLine="480" w:firstLineChars="200"/>
        <w:rPr>
          <w:rFonts w:ascii="仿宋" w:hAnsi="仿宋" w:eastAsia="仿宋"/>
          <w:bCs/>
          <w:color w:val="auto"/>
          <w:sz w:val="24"/>
          <w:szCs w:val="24"/>
          <w:highlight w:val="none"/>
          <w:u w:val="single"/>
        </w:rPr>
      </w:pPr>
      <w:r>
        <w:rPr>
          <w:rFonts w:hint="eastAsia" w:ascii="仿宋" w:hAnsi="仿宋" w:eastAsia="仿宋"/>
          <w:bCs/>
          <w:color w:val="auto"/>
          <w:sz w:val="24"/>
          <w:szCs w:val="24"/>
          <w:highlight w:val="none"/>
          <w:u w:val="single"/>
        </w:rPr>
        <w:t>承包人向发包人开具的增值税专用发票，承包人必须确保发票票面信息全部真实合法，相关品目、价款等内容与本合同相一致。因发票票面信息有误导致发票不能抵扣税款或者被认定为虚开的，承包人需向发包人承担赔偿责任，包括但不限于税款、滞纳金、罚款及相关损失等。</w:t>
      </w:r>
    </w:p>
    <w:p>
      <w:pPr>
        <w:spacing w:line="360" w:lineRule="auto"/>
        <w:jc w:val="left"/>
        <w:rPr>
          <w:rFonts w:ascii="仿宋" w:hAnsi="仿宋" w:eastAsia="仿宋" w:cs="仿宋"/>
          <w:color w:val="auto"/>
          <w:kern w:val="0"/>
          <w:sz w:val="24"/>
          <w:szCs w:val="24"/>
          <w:highlight w:val="none"/>
          <w:u w:val="single"/>
        </w:rPr>
      </w:pPr>
    </w:p>
    <w:p>
      <w:pPr>
        <w:spacing w:line="360" w:lineRule="auto"/>
        <w:jc w:val="left"/>
        <w:rPr>
          <w:rFonts w:ascii="仿宋" w:hAnsi="仿宋" w:eastAsia="仿宋" w:cs="仿宋"/>
          <w:color w:val="auto"/>
          <w:kern w:val="0"/>
          <w:sz w:val="24"/>
          <w:szCs w:val="24"/>
          <w:highlight w:val="none"/>
          <w:u w:val="single"/>
        </w:rPr>
      </w:pP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31" w:name="_Toc469384131"/>
      <w:bookmarkStart w:id="732" w:name="_Toc2621"/>
      <w:bookmarkStart w:id="733" w:name="_Toc28269"/>
      <w:bookmarkStart w:id="734" w:name="_Toc25653765"/>
      <w:r>
        <w:rPr>
          <w:rFonts w:ascii="仿宋" w:hAnsi="仿宋" w:eastAsia="仿宋" w:cs="仿宋"/>
          <w:b w:val="0"/>
          <w:bCs/>
          <w:color w:val="auto"/>
          <w:highlight w:val="none"/>
        </w:rPr>
        <w:t xml:space="preserve">82. </w:t>
      </w:r>
      <w:r>
        <w:rPr>
          <w:rFonts w:hint="eastAsia" w:ascii="仿宋" w:hAnsi="仿宋" w:eastAsia="仿宋" w:cs="仿宋"/>
          <w:b w:val="0"/>
          <w:bCs/>
          <w:color w:val="auto"/>
          <w:highlight w:val="none"/>
        </w:rPr>
        <w:t>竣工结算</w:t>
      </w:r>
      <w:bookmarkEnd w:id="731"/>
      <w:bookmarkEnd w:id="732"/>
      <w:bookmarkEnd w:id="733"/>
      <w:bookmarkEnd w:id="734"/>
    </w:p>
    <w:p>
      <w:pPr>
        <w:rPr>
          <w:rFonts w:ascii="仿宋" w:hAnsi="仿宋" w:eastAsia="仿宋"/>
          <w:color w:val="auto"/>
          <w:kern w:val="0"/>
          <w:sz w:val="24"/>
          <w:szCs w:val="24"/>
          <w:highlight w:val="none"/>
        </w:rPr>
      </w:pP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82.1 </w:t>
      </w:r>
    </w:p>
    <w:p>
      <w:pPr>
        <w:spacing w:line="360" w:lineRule="auto"/>
        <w:ind w:firstLine="141" w:firstLineChars="59"/>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）竣工结算的程序和时限：</w:t>
      </w:r>
    </w:p>
    <w:p>
      <w:pPr>
        <w:spacing w:line="360" w:lineRule="auto"/>
        <w:rPr>
          <w:rFonts w:ascii="仿宋" w:hAnsi="仿宋" w:eastAsia="仿宋"/>
          <w:color w:val="auto"/>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s="仿宋"/>
          <w:color w:val="auto"/>
          <w:kern w:val="0"/>
          <w:sz w:val="24"/>
          <w:szCs w:val="24"/>
          <w:highlight w:val="none"/>
          <w:u w:val="single"/>
        </w:rPr>
        <w:t>监理</w:t>
      </w:r>
      <w:r>
        <w:rPr>
          <w:rFonts w:hint="eastAsia" w:ascii="仿宋" w:hAnsi="仿宋" w:eastAsia="仿宋"/>
          <w:color w:val="auto"/>
          <w:sz w:val="24"/>
          <w:szCs w:val="24"/>
          <w:highlight w:val="none"/>
          <w:u w:val="single"/>
        </w:rPr>
        <w:t>工程师收到承包人递交的竣工结算报告及符合发包人要求的结算资料后进行核实，提出审核意见后送交发包人。发包人根据完整的结算资料进行结算审核，承包人应配合发包人的结算工作，工程结算经发包人或发包人委托第三方审核后作为合同结算价款。承包人应在收到发包人或发包人委托第三方审核的报告或意见后</w:t>
      </w:r>
      <w:r>
        <w:rPr>
          <w:rFonts w:ascii="仿宋" w:hAnsi="仿宋" w:eastAsia="仿宋"/>
          <w:color w:val="auto"/>
          <w:sz w:val="24"/>
          <w:szCs w:val="24"/>
          <w:highlight w:val="none"/>
          <w:u w:val="single"/>
        </w:rPr>
        <w:t>15日内对审核报告或意见作出相应的回复，如承包人在15日内不作出回复，不确认也未提出异议的，视为承包人同意发包人或发包人委托第三方审核的报告或意见，发包人按此结果办理竣工结算，承包人不得提出异议。</w:t>
      </w:r>
    </w:p>
    <w:p>
      <w:pPr>
        <w:ind w:firstLine="240" w:firstLineChars="10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82.2</w:t>
      </w:r>
    </w:p>
    <w:p>
      <w:pPr>
        <w:ind w:firstLine="240" w:firstLineChars="10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）竣工结算文件清单：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）工程结算书</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）工程量计算书</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00A3"/>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）钢筋抽料表（如有）</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）工程承包合同</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）工程竣工图（含电子版和相关部门要求的专用软件版本）</w:t>
      </w:r>
    </w:p>
    <w:p>
      <w:pPr>
        <w:spacing w:line="360" w:lineRule="auto"/>
        <w:ind w:left="599" w:leftChars="228" w:hanging="120" w:hangingChars="5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）工程竣工资料（含电子版及相关部门要求的专用软件版本、单位工程开工申请报告、单位工程工程竣工验收报告）</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）图纸会审记录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）设计变更单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）工程洽商记录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）监理工程师通知或发包人施工指令</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）会议纪要</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）现场签证单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00A3"/>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）材料设备单价呈批审核单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00A3"/>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）综合单价呈批审核单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）招标文件、答疑纪要</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16</w:t>
      </w:r>
      <w:r>
        <w:rPr>
          <w:rFonts w:hint="eastAsia" w:ascii="仿宋" w:hAnsi="仿宋" w:eastAsia="仿宋" w:cs="仿宋"/>
          <w:color w:val="auto"/>
          <w:sz w:val="24"/>
          <w:szCs w:val="24"/>
          <w:highlight w:val="none"/>
        </w:rPr>
        <w:t>）投标文件（含经济标软件版）、中标通知书</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17</w:t>
      </w:r>
      <w:r>
        <w:rPr>
          <w:rFonts w:hint="eastAsia" w:ascii="仿宋" w:hAnsi="仿宋" w:eastAsia="仿宋" w:cs="仿宋"/>
          <w:color w:val="auto"/>
          <w:sz w:val="24"/>
          <w:szCs w:val="24"/>
          <w:highlight w:val="none"/>
        </w:rPr>
        <w:t>）发包人供应材料收货验收签收单</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18</w:t>
      </w:r>
      <w:r>
        <w:rPr>
          <w:rFonts w:hint="eastAsia" w:ascii="仿宋" w:hAnsi="仿宋" w:eastAsia="仿宋" w:cs="仿宋"/>
          <w:color w:val="auto"/>
          <w:sz w:val="24"/>
          <w:szCs w:val="24"/>
          <w:highlight w:val="none"/>
        </w:rPr>
        <w:t>）其他结算资料</w:t>
      </w:r>
    </w:p>
    <w:p>
      <w:pPr>
        <w:spacing w:line="360" w:lineRule="auto"/>
        <w:ind w:firstLine="480" w:firstLineChars="200"/>
        <w:jc w:val="left"/>
        <w:rPr>
          <w:rFonts w:ascii="仿宋" w:hAnsi="仿宋" w:eastAsia="仿宋"/>
          <w:color w:val="auto"/>
          <w:sz w:val="24"/>
          <w:szCs w:val="24"/>
          <w:highlight w:val="none"/>
        </w:rPr>
      </w:pPr>
      <w:r>
        <w:rPr>
          <w:rFonts w:ascii="仿宋" w:hAnsi="仿宋" w:eastAsia="仿宋" w:cs="仿宋"/>
          <w:color w:val="auto"/>
          <w:kern w:val="0"/>
          <w:sz w:val="24"/>
          <w:szCs w:val="24"/>
          <w:highlight w:val="none"/>
        </w:rPr>
        <w:sym w:font="Wingdings 2" w:char="00A3"/>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19</w:t>
      </w:r>
      <w:r>
        <w:rPr>
          <w:rFonts w:hint="eastAsia" w:ascii="仿宋" w:hAnsi="仿宋" w:eastAsia="仿宋" w:cs="仿宋"/>
          <w:color w:val="auto"/>
          <w:sz w:val="24"/>
          <w:szCs w:val="24"/>
          <w:highlight w:val="none"/>
        </w:rPr>
        <w:t>）工期履行审核表</w:t>
      </w:r>
    </w:p>
    <w:p>
      <w:pPr>
        <w:spacing w:line="360" w:lineRule="auto"/>
        <w:ind w:firstLine="480" w:firstLineChars="200"/>
        <w:jc w:val="left"/>
        <w:rPr>
          <w:rFonts w:ascii="仿宋" w:hAnsi="仿宋" w:eastAsia="仿宋" w:cs="仿宋"/>
          <w:color w:val="auto"/>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rPr>
        <w:t>）移交资料签收表</w:t>
      </w:r>
    </w:p>
    <w:p>
      <w:pPr>
        <w:spacing w:line="360" w:lineRule="auto"/>
        <w:ind w:firstLine="480" w:firstLineChars="200"/>
        <w:jc w:val="left"/>
        <w:rPr>
          <w:rFonts w:eastAsia="仿宋_GB2312"/>
          <w:color w:val="auto"/>
          <w:sz w:val="30"/>
          <w:szCs w:val="30"/>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21</w:t>
      </w:r>
      <w:r>
        <w:rPr>
          <w:rFonts w:hint="eastAsia" w:ascii="仿宋" w:hAnsi="仿宋" w:eastAsia="仿宋" w:cs="仿宋"/>
          <w:color w:val="auto"/>
          <w:sz w:val="24"/>
          <w:szCs w:val="24"/>
          <w:highlight w:val="none"/>
        </w:rPr>
        <w:t>）焊口地理信息（</w:t>
      </w:r>
      <w:r>
        <w:rPr>
          <w:rFonts w:ascii="仿宋" w:hAnsi="仿宋" w:eastAsia="仿宋" w:cs="仿宋"/>
          <w:color w:val="auto"/>
          <w:sz w:val="24"/>
          <w:szCs w:val="24"/>
          <w:highlight w:val="none"/>
        </w:rPr>
        <w:t>GPS</w:t>
      </w:r>
      <w:r>
        <w:rPr>
          <w:rFonts w:hint="eastAsia" w:ascii="仿宋" w:hAnsi="仿宋" w:eastAsia="仿宋" w:cs="仿宋"/>
          <w:color w:val="auto"/>
          <w:sz w:val="24"/>
          <w:szCs w:val="24"/>
          <w:highlight w:val="none"/>
        </w:rPr>
        <w:t>坐标、高程等）</w:t>
      </w:r>
    </w:p>
    <w:p>
      <w:pPr>
        <w:spacing w:line="360" w:lineRule="auto"/>
        <w:ind w:firstLine="480" w:firstLineChars="200"/>
        <w:jc w:val="left"/>
        <w:rPr>
          <w:rFonts w:eastAsia="仿宋_GB2312"/>
          <w:color w:val="auto"/>
          <w:sz w:val="30"/>
          <w:szCs w:val="30"/>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22）其它</w:t>
      </w:r>
    </w:p>
    <w:p>
      <w:pPr>
        <w:spacing w:line="360" w:lineRule="auto"/>
        <w:ind w:firstLine="480" w:firstLineChars="200"/>
        <w:jc w:val="left"/>
        <w:rPr>
          <w:rFonts w:ascii="仿宋" w:hAnsi="仿宋" w:eastAsia="仿宋"/>
          <w:color w:val="auto"/>
          <w:kern w:val="0"/>
          <w:sz w:val="24"/>
          <w:szCs w:val="24"/>
          <w:highlight w:val="none"/>
          <w:u w:val="singl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）发包人对送审结算资料的具体要求：</w:t>
      </w:r>
      <w:r>
        <w:rPr>
          <w:rFonts w:hint="eastAsia" w:ascii="仿宋" w:hAnsi="仿宋" w:eastAsia="仿宋" w:cs="仿宋"/>
          <w:color w:val="auto"/>
          <w:kern w:val="0"/>
          <w:sz w:val="24"/>
          <w:szCs w:val="24"/>
          <w:highlight w:val="none"/>
          <w:u w:val="single"/>
        </w:rPr>
        <w:t>符合《城市建设档案管理规定》、《广州市城市建设档案管理办法》和发包人有关整理工程档案的要求。</w:t>
      </w:r>
    </w:p>
    <w:p>
      <w:pPr>
        <w:pStyle w:val="8"/>
        <w:tabs>
          <w:tab w:val="left" w:pos="420"/>
        </w:tabs>
        <w:rPr>
          <w:rFonts w:ascii="仿宋" w:hAnsi="仿宋" w:eastAsia="仿宋"/>
          <w:b w:val="0"/>
          <w:bCs/>
          <w:color w:val="auto"/>
          <w:highlight w:val="none"/>
        </w:rPr>
      </w:pPr>
      <w:bookmarkStart w:id="735" w:name="_Toc4871"/>
      <w:bookmarkStart w:id="736" w:name="_Toc25653766"/>
      <w:bookmarkStart w:id="737" w:name="_Toc12652"/>
      <w:bookmarkStart w:id="738" w:name="_Toc469384132"/>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83. </w:t>
      </w:r>
      <w:r>
        <w:rPr>
          <w:rFonts w:hint="eastAsia" w:ascii="仿宋" w:hAnsi="仿宋" w:eastAsia="仿宋" w:cs="仿宋"/>
          <w:b w:val="0"/>
          <w:bCs/>
          <w:color w:val="auto"/>
          <w:highlight w:val="none"/>
        </w:rPr>
        <w:t>结算款</w:t>
      </w:r>
      <w:bookmarkEnd w:id="735"/>
      <w:bookmarkEnd w:id="736"/>
      <w:bookmarkEnd w:id="737"/>
      <w:bookmarkEnd w:id="738"/>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83.1 </w:t>
      </w:r>
      <w:r>
        <w:rPr>
          <w:rFonts w:hint="eastAsia" w:ascii="仿宋" w:hAnsi="仿宋" w:eastAsia="仿宋" w:cs="仿宋"/>
          <w:color w:val="auto"/>
          <w:kern w:val="0"/>
          <w:sz w:val="24"/>
          <w:szCs w:val="24"/>
          <w:highlight w:val="none"/>
        </w:rPr>
        <w:t>提交竣工支付申请</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）竣工支付期限</w:t>
      </w:r>
    </w:p>
    <w:p>
      <w:pPr>
        <w:spacing w:line="360" w:lineRule="auto"/>
        <w:jc w:val="left"/>
        <w:rPr>
          <w:rFonts w:ascii="仿宋" w:hAnsi="仿宋" w:eastAsia="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kern w:val="0"/>
          <w:sz w:val="24"/>
          <w:szCs w:val="24"/>
          <w:highlight w:val="none"/>
          <w:u w:val="single"/>
        </w:rPr>
        <w:t>按通用条款的规定，在发包人签发竣工结算确认表后的</w:t>
      </w:r>
      <w:r>
        <w:rPr>
          <w:rFonts w:ascii="仿宋" w:hAnsi="仿宋" w:eastAsia="仿宋" w:cs="仿宋"/>
          <w:color w:val="auto"/>
          <w:kern w:val="0"/>
          <w:sz w:val="24"/>
          <w:szCs w:val="24"/>
          <w:highlight w:val="none"/>
          <w:u w:val="single"/>
        </w:rPr>
        <w:t>28天内。</w:t>
      </w:r>
    </w:p>
    <w:p>
      <w:pPr>
        <w:spacing w:line="360" w:lineRule="auto"/>
        <w:jc w:val="left"/>
        <w:rPr>
          <w:rFonts w:ascii="仿宋" w:hAnsi="仿宋" w:eastAsia="仿宋" w:cs="仿宋"/>
          <w:color w:val="auto"/>
          <w:kern w:val="0"/>
          <w:sz w:val="24"/>
          <w:szCs w:val="24"/>
          <w:highlight w:val="none"/>
        </w:rPr>
      </w:pPr>
    </w:p>
    <w:p>
      <w:pPr>
        <w:spacing w:line="360" w:lineRule="auto"/>
        <w:jc w:val="left"/>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）工程支付办法</w:t>
      </w:r>
    </w:p>
    <w:p>
      <w:pPr>
        <w:spacing w:line="360" w:lineRule="auto"/>
        <w:rPr>
          <w:rFonts w:ascii="仿宋" w:hAnsi="仿宋" w:eastAsia="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另作约定：</w:t>
      </w:r>
      <w:r>
        <w:rPr>
          <w:rFonts w:hint="eastAsia" w:ascii="仿宋" w:hAnsi="仿宋" w:eastAsia="仿宋"/>
          <w:color w:val="auto"/>
          <w:kern w:val="0"/>
          <w:sz w:val="24"/>
          <w:szCs w:val="24"/>
          <w:highlight w:val="none"/>
          <w:u w:val="single"/>
        </w:rPr>
        <w:t>当工程结算经发包人审定后支付至审定结算价的</w:t>
      </w:r>
      <w:r>
        <w:rPr>
          <w:rFonts w:ascii="仿宋" w:hAnsi="仿宋" w:eastAsia="仿宋"/>
          <w:color w:val="auto"/>
          <w:kern w:val="0"/>
          <w:sz w:val="24"/>
          <w:szCs w:val="24"/>
          <w:highlight w:val="none"/>
          <w:u w:val="single"/>
        </w:rPr>
        <w:t>97%。</w:t>
      </w:r>
    </w:p>
    <w:p>
      <w:pPr>
        <w:spacing w:line="360" w:lineRule="auto"/>
        <w:ind w:firstLine="120" w:firstLineChars="50"/>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w:t>
      </w:r>
    </w:p>
    <w:p>
      <w:pPr>
        <w:spacing w:line="360" w:lineRule="auto"/>
        <w:ind w:firstLine="120" w:firstLineChars="50"/>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t xml:space="preserve">(3) </w:t>
      </w:r>
      <w:r>
        <w:rPr>
          <w:rFonts w:hint="eastAsia" w:ascii="仿宋" w:hAnsi="仿宋" w:eastAsia="仿宋" w:cs="仿宋"/>
          <w:color w:val="auto"/>
          <w:kern w:val="0"/>
          <w:sz w:val="24"/>
          <w:szCs w:val="24"/>
          <w:highlight w:val="none"/>
        </w:rPr>
        <w:t>实施</w:t>
      </w:r>
      <w:r>
        <w:rPr>
          <w:rFonts w:hint="eastAsia" w:ascii="仿宋" w:hAnsi="仿宋" w:eastAsia="仿宋" w:cs="仿宋"/>
          <w:color w:val="auto"/>
          <w:sz w:val="24"/>
          <w:szCs w:val="24"/>
          <w:highlight w:val="none"/>
        </w:rPr>
        <w:t>施工过程结算</w:t>
      </w:r>
      <w:r>
        <w:rPr>
          <w:rFonts w:hint="eastAsia" w:ascii="仿宋" w:hAnsi="仿宋" w:eastAsia="仿宋" w:cs="仿宋"/>
          <w:color w:val="auto"/>
          <w:kern w:val="0"/>
          <w:sz w:val="24"/>
          <w:szCs w:val="24"/>
          <w:highlight w:val="none"/>
        </w:rPr>
        <w:t>的，其竣工结算支付方法：</w:t>
      </w:r>
      <w:r>
        <w:rPr>
          <w:rFonts w:hint="eastAsia" w:ascii="仿宋" w:hAnsi="仿宋" w:eastAsia="仿宋" w:cs="仿宋"/>
          <w:color w:val="auto"/>
          <w:kern w:val="0"/>
          <w:sz w:val="24"/>
          <w:szCs w:val="24"/>
          <w:highlight w:val="none"/>
          <w:u w:val="single"/>
        </w:rPr>
        <w:t>分项验收合格，已完成工程量或投入使用部分工程量经监理工程师和发包人审核、价格经造价工程师或造价管理员审核，支付至</w:t>
      </w:r>
      <w:r>
        <w:rPr>
          <w:rFonts w:ascii="仿宋" w:hAnsi="仿宋" w:eastAsia="仿宋" w:cs="仿宋"/>
          <w:color w:val="auto"/>
          <w:kern w:val="0"/>
          <w:sz w:val="24"/>
          <w:szCs w:val="24"/>
          <w:highlight w:val="none"/>
          <w:u w:val="single"/>
        </w:rPr>
        <w:t>8</w:t>
      </w:r>
      <w:r>
        <w:rPr>
          <w:rFonts w:hint="eastAsia" w:ascii="仿宋" w:hAnsi="仿宋" w:eastAsia="仿宋" w:cs="仿宋"/>
          <w:color w:val="auto"/>
          <w:kern w:val="0"/>
          <w:sz w:val="24"/>
          <w:szCs w:val="24"/>
          <w:highlight w:val="none"/>
          <w:u w:val="single"/>
          <w:lang w:val="en-US" w:eastAsia="zh-CN"/>
        </w:rPr>
        <w:t>5</w:t>
      </w:r>
      <w:r>
        <w:rPr>
          <w:rFonts w:ascii="仿宋" w:hAnsi="仿宋" w:eastAsia="仿宋" w:cs="仿宋"/>
          <w:color w:val="auto"/>
          <w:kern w:val="0"/>
          <w:sz w:val="24"/>
          <w:szCs w:val="24"/>
          <w:highlight w:val="none"/>
          <w:u w:val="single"/>
        </w:rPr>
        <w:t>％，其余款项待整体结算后支付。</w:t>
      </w:r>
    </w:p>
    <w:p>
      <w:pPr>
        <w:spacing w:line="360" w:lineRule="auto"/>
        <w:rPr>
          <w:rFonts w:ascii="仿宋" w:hAnsi="仿宋" w:eastAsia="仿宋" w:cs="仿宋"/>
          <w:color w:val="auto"/>
          <w:kern w:val="0"/>
          <w:sz w:val="24"/>
          <w:szCs w:val="24"/>
          <w:highlight w:val="none"/>
          <w:u w:val="single"/>
        </w:rPr>
      </w:pPr>
    </w:p>
    <w:p>
      <w:pPr>
        <w:spacing w:line="360" w:lineRule="auto"/>
        <w:ind w:firstLine="120" w:firstLineChars="50"/>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39" w:name="_Toc25653767"/>
      <w:bookmarkStart w:id="740" w:name="_Toc469384133"/>
      <w:bookmarkStart w:id="741" w:name="_Toc8924"/>
      <w:bookmarkStart w:id="742" w:name="_Toc15163"/>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84. </w:t>
      </w:r>
      <w:r>
        <w:rPr>
          <w:rFonts w:hint="eastAsia" w:ascii="仿宋" w:hAnsi="仿宋" w:eastAsia="仿宋" w:cs="仿宋"/>
          <w:b w:val="0"/>
          <w:bCs/>
          <w:color w:val="auto"/>
          <w:highlight w:val="none"/>
        </w:rPr>
        <w:t>质量保证金</w:t>
      </w:r>
      <w:bookmarkEnd w:id="739"/>
      <w:bookmarkEnd w:id="740"/>
      <w:bookmarkEnd w:id="741"/>
      <w:bookmarkEnd w:id="742"/>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84.2 </w:t>
      </w:r>
      <w:r>
        <w:rPr>
          <w:rFonts w:hint="eastAsia" w:ascii="仿宋" w:hAnsi="仿宋" w:eastAsia="仿宋" w:cs="仿宋"/>
          <w:color w:val="auto"/>
          <w:kern w:val="0"/>
          <w:sz w:val="24"/>
          <w:szCs w:val="24"/>
          <w:highlight w:val="none"/>
        </w:rPr>
        <w:t>质量保证金的约定与扣留</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）质量保证金的约定</w:t>
      </w:r>
    </w:p>
    <w:p>
      <w:pPr>
        <w:spacing w:line="360" w:lineRule="auto"/>
        <w:rPr>
          <w:rFonts w:ascii="仿宋" w:hAnsi="仿宋" w:eastAsia="仿宋" w:cs="仿宋"/>
          <w:color w:val="auto"/>
          <w:kern w:val="0"/>
          <w:sz w:val="24"/>
          <w:szCs w:val="24"/>
          <w:highlight w:val="none"/>
          <w:u w:val="singl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kern w:val="0"/>
          <w:sz w:val="24"/>
          <w:szCs w:val="24"/>
          <w:highlight w:val="none"/>
          <w:u w:val="single"/>
        </w:rPr>
        <w:t>质量保证金为结算价款的</w:t>
      </w:r>
      <w:r>
        <w:rPr>
          <w:rFonts w:ascii="仿宋" w:hAnsi="仿宋" w:eastAsia="仿宋" w:cs="仿宋"/>
          <w:color w:val="auto"/>
          <w:kern w:val="0"/>
          <w:sz w:val="24"/>
          <w:szCs w:val="24"/>
          <w:highlight w:val="none"/>
          <w:u w:val="single"/>
        </w:rPr>
        <w:t>3％。</w:t>
      </w:r>
    </w:p>
    <w:p>
      <w:pPr>
        <w:spacing w:line="360" w:lineRule="auto"/>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rPr>
        <w:t>）质量保证金的扣留</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另有约定：</w:t>
      </w:r>
      <w:r>
        <w:rPr>
          <w:rFonts w:hint="eastAsia" w:ascii="仿宋" w:hAnsi="仿宋" w:eastAsia="仿宋" w:cs="仿宋"/>
          <w:color w:val="auto"/>
          <w:kern w:val="0"/>
          <w:sz w:val="24"/>
          <w:szCs w:val="24"/>
          <w:highlight w:val="none"/>
          <w:u w:val="single"/>
        </w:rPr>
        <w:t>项目结算后发包人按照比例从结算款中扣留。</w:t>
      </w:r>
    </w:p>
    <w:p>
      <w:pPr>
        <w:rPr>
          <w:rFonts w:ascii="仿宋" w:hAnsi="仿宋" w:eastAsia="仿宋" w:cs="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43" w:name="_Toc25653768"/>
      <w:bookmarkStart w:id="744" w:name="_Toc469384134"/>
      <w:bookmarkStart w:id="745" w:name="_Toc15128"/>
      <w:bookmarkStart w:id="746" w:name="_Toc4275"/>
      <w:r>
        <w:rPr>
          <w:rFonts w:ascii="仿宋" w:hAnsi="仿宋" w:eastAsia="仿宋" w:cs="仿宋"/>
          <w:b w:val="0"/>
          <w:bCs/>
          <w:color w:val="auto"/>
          <w:highlight w:val="none"/>
        </w:rPr>
        <w:t xml:space="preserve">85. </w:t>
      </w:r>
      <w:r>
        <w:rPr>
          <w:rFonts w:hint="eastAsia" w:ascii="仿宋" w:hAnsi="仿宋" w:eastAsia="仿宋" w:cs="仿宋"/>
          <w:b w:val="0"/>
          <w:bCs/>
          <w:color w:val="auto"/>
          <w:highlight w:val="none"/>
        </w:rPr>
        <w:t>最终清算款</w:t>
      </w:r>
      <w:bookmarkEnd w:id="743"/>
      <w:bookmarkEnd w:id="744"/>
      <w:bookmarkEnd w:id="745"/>
      <w:bookmarkEnd w:id="746"/>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85.1 </w:t>
      </w:r>
      <w:r>
        <w:rPr>
          <w:rFonts w:hint="eastAsia" w:ascii="仿宋" w:hAnsi="仿宋" w:eastAsia="仿宋" w:cs="仿宋"/>
          <w:color w:val="auto"/>
          <w:kern w:val="0"/>
          <w:sz w:val="24"/>
          <w:szCs w:val="24"/>
          <w:highlight w:val="none"/>
        </w:rPr>
        <w:t>提交最终清算支付申请</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）最终清算支付申请</w:t>
      </w:r>
    </w:p>
    <w:p>
      <w:pPr>
        <w:spacing w:line="360" w:lineRule="auto"/>
        <w:ind w:firstLine="48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提交份数：</w:t>
      </w:r>
      <w:r>
        <w:rPr>
          <w:rFonts w:hint="eastAsia" w:ascii="仿宋" w:hAnsi="仿宋" w:eastAsia="仿宋" w:cs="仿宋"/>
          <w:color w:val="auto"/>
          <w:kern w:val="0"/>
          <w:sz w:val="24"/>
          <w:szCs w:val="24"/>
          <w:highlight w:val="none"/>
          <w:u w:val="single"/>
        </w:rPr>
        <w:t>承包人提交支付申请</w:t>
      </w:r>
      <w:r>
        <w:rPr>
          <w:rFonts w:ascii="仿宋" w:hAnsi="仿宋" w:eastAsia="仿宋" w:cs="仿宋"/>
          <w:color w:val="auto"/>
          <w:kern w:val="0"/>
          <w:sz w:val="24"/>
          <w:szCs w:val="24"/>
          <w:highlight w:val="none"/>
          <w:u w:val="single"/>
        </w:rPr>
        <w:t>3份给发包人。</w:t>
      </w:r>
    </w:p>
    <w:p>
      <w:pPr>
        <w:spacing w:line="360" w:lineRule="auto"/>
        <w:ind w:firstLine="480"/>
        <w:rPr>
          <w:rFonts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提交期限：</w:t>
      </w:r>
      <w:r>
        <w:rPr>
          <w:rFonts w:hint="eastAsia" w:ascii="仿宋" w:hAnsi="仿宋" w:eastAsia="仿宋" w:cs="仿宋"/>
          <w:color w:val="auto"/>
          <w:kern w:val="0"/>
          <w:sz w:val="24"/>
          <w:szCs w:val="24"/>
          <w:highlight w:val="none"/>
          <w:u w:val="single"/>
        </w:rPr>
        <w:t>在质量保修期满后</w:t>
      </w:r>
      <w:r>
        <w:rPr>
          <w:rFonts w:ascii="仿宋" w:hAnsi="仿宋" w:eastAsia="仿宋" w:cs="仿宋"/>
          <w:color w:val="auto"/>
          <w:kern w:val="0"/>
          <w:sz w:val="24"/>
          <w:szCs w:val="24"/>
          <w:highlight w:val="none"/>
          <w:u w:val="single"/>
        </w:rPr>
        <w:t>14天内。</w:t>
      </w: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(2)  </w:t>
      </w:r>
      <w:r>
        <w:rPr>
          <w:rFonts w:hint="eastAsia" w:ascii="仿宋" w:hAnsi="仿宋" w:eastAsia="仿宋" w:cs="仿宋"/>
          <w:color w:val="auto"/>
          <w:kern w:val="0"/>
          <w:sz w:val="24"/>
          <w:szCs w:val="24"/>
          <w:highlight w:val="none"/>
        </w:rPr>
        <w:t>最终清算支付时限</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☑另有约定：</w:t>
      </w:r>
      <w:r>
        <w:rPr>
          <w:rFonts w:hint="eastAsia" w:ascii="仿宋" w:hAnsi="仿宋" w:eastAsia="仿宋" w:cs="仿宋"/>
          <w:color w:val="auto"/>
          <w:kern w:val="0"/>
          <w:sz w:val="24"/>
          <w:szCs w:val="24"/>
          <w:highlight w:val="none"/>
          <w:u w:val="single"/>
        </w:rPr>
        <w:t>发包人收到申请后</w:t>
      </w:r>
      <w:r>
        <w:rPr>
          <w:rFonts w:ascii="仿宋" w:hAnsi="仿宋" w:eastAsia="仿宋" w:cs="仿宋"/>
          <w:color w:val="auto"/>
          <w:kern w:val="0"/>
          <w:sz w:val="24"/>
          <w:szCs w:val="24"/>
          <w:highlight w:val="none"/>
          <w:u w:val="single"/>
        </w:rPr>
        <w:t>14天内签发最终清算支付证书，将剩余保修金返还承包人（无息）。</w:t>
      </w:r>
    </w:p>
    <w:p>
      <w:pPr>
        <w:spacing w:line="360" w:lineRule="auto"/>
        <w:rPr>
          <w:rFonts w:ascii="仿宋" w:hAnsi="仿宋" w:eastAsia="仿宋" w:cs="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47" w:name="_Toc20871"/>
      <w:bookmarkStart w:id="748" w:name="_Toc27753"/>
      <w:bookmarkStart w:id="749" w:name="_Toc25653769"/>
      <w:bookmarkStart w:id="750" w:name="_Toc469384135"/>
      <w:r>
        <w:rPr>
          <w:rFonts w:ascii="仿宋" w:hAnsi="仿宋" w:eastAsia="仿宋" w:cs="仿宋"/>
          <w:b w:val="0"/>
          <w:bCs/>
          <w:color w:val="auto"/>
          <w:highlight w:val="none"/>
        </w:rPr>
        <w:t xml:space="preserve">86. </w:t>
      </w:r>
      <w:r>
        <w:rPr>
          <w:rFonts w:hint="eastAsia" w:ascii="仿宋" w:hAnsi="仿宋" w:eastAsia="仿宋" w:cs="仿宋"/>
          <w:b w:val="0"/>
          <w:bCs/>
          <w:color w:val="auto"/>
          <w:highlight w:val="none"/>
        </w:rPr>
        <w:t>合同争议</w:t>
      </w:r>
      <w:bookmarkEnd w:id="747"/>
      <w:bookmarkEnd w:id="748"/>
      <w:bookmarkEnd w:id="749"/>
      <w:bookmarkEnd w:id="750"/>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86.4 </w:t>
      </w:r>
      <w:r>
        <w:rPr>
          <w:rFonts w:hint="eastAsia" w:ascii="仿宋" w:hAnsi="仿宋" w:eastAsia="仿宋" w:cs="仿宋"/>
          <w:color w:val="auto"/>
          <w:kern w:val="0"/>
          <w:sz w:val="24"/>
          <w:szCs w:val="24"/>
          <w:highlight w:val="none"/>
        </w:rPr>
        <w:t>调解或认定</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争议调解或认定机构：</w:t>
      </w: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按通用条款的规定。</w:t>
      </w:r>
    </w:p>
    <w:p>
      <w:pPr>
        <w:spacing w:line="360" w:lineRule="auto"/>
        <w:rPr>
          <w:rFonts w:ascii="仿宋" w:hAnsi="仿宋" w:eastAsia="仿宋" w:cs="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86.6 </w:t>
      </w:r>
      <w:r>
        <w:rPr>
          <w:rFonts w:hint="eastAsia" w:ascii="仿宋" w:hAnsi="仿宋" w:eastAsia="仿宋" w:cs="仿宋"/>
          <w:color w:val="auto"/>
          <w:kern w:val="0"/>
          <w:sz w:val="24"/>
          <w:szCs w:val="24"/>
          <w:highlight w:val="none"/>
        </w:rPr>
        <w:t>仲裁或诉讼</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解决争议的最终方式：</w:t>
      </w:r>
    </w:p>
    <w:p>
      <w:pPr>
        <w:spacing w:line="360" w:lineRule="auto"/>
        <w:rPr>
          <w:rFonts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向发包人所在地有管辖权的人民法院提起诉讼。</w:t>
      </w:r>
    </w:p>
    <w:p>
      <w:pPr>
        <w:spacing w:line="360" w:lineRule="auto"/>
        <w:rPr>
          <w:rFonts w:ascii="仿宋" w:hAnsi="仿宋" w:eastAsia="仿宋" w:cs="仿宋"/>
          <w:color w:val="auto"/>
          <w:kern w:val="0"/>
          <w:sz w:val="24"/>
          <w:szCs w:val="24"/>
          <w:highlight w:val="none"/>
        </w:rPr>
      </w:pPr>
    </w:p>
    <w:p>
      <w:pPr>
        <w:spacing w:line="360" w:lineRule="auto"/>
        <w:rPr>
          <w:rFonts w:ascii="仿宋" w:hAnsi="仿宋" w:eastAsia="仿宋"/>
          <w:color w:val="auto"/>
          <w:kern w:val="0"/>
          <w:sz w:val="24"/>
          <w:szCs w:val="24"/>
          <w:highlight w:val="none"/>
        </w:rPr>
        <w:sectPr>
          <w:footerReference r:id="rId17" w:type="default"/>
          <w:type w:val="continuous"/>
          <w:pgSz w:w="11906" w:h="16838"/>
          <w:pgMar w:top="1440" w:right="1800" w:bottom="1440" w:left="1800" w:header="851" w:footer="992" w:gutter="0"/>
          <w:pgNumType w:fmt="decimal"/>
          <w:cols w:space="720" w:num="1"/>
          <w:docGrid w:type="lines" w:linePitch="312" w:charSpace="0"/>
        </w:sectPr>
      </w:pPr>
    </w:p>
    <w:p>
      <w:pPr>
        <w:spacing w:line="360" w:lineRule="auto"/>
        <w:rPr>
          <w:rFonts w:ascii="仿宋" w:hAnsi="仿宋" w:eastAsia="仿宋"/>
          <w:color w:val="auto"/>
          <w:kern w:val="0"/>
          <w:sz w:val="24"/>
          <w:szCs w:val="24"/>
          <w:highlight w:val="none"/>
        </w:rPr>
      </w:pPr>
    </w:p>
    <w:p>
      <w:pPr>
        <w:pStyle w:val="8"/>
        <w:tabs>
          <w:tab w:val="left" w:pos="420"/>
        </w:tabs>
        <w:rPr>
          <w:rFonts w:ascii="仿宋" w:hAnsi="仿宋" w:eastAsia="仿宋" w:cs="仿宋"/>
          <w:b w:val="0"/>
          <w:bCs/>
          <w:color w:val="auto"/>
          <w:highlight w:val="none"/>
        </w:rPr>
      </w:pPr>
      <w:bookmarkStart w:id="751" w:name="_Toc25653770"/>
      <w:bookmarkStart w:id="752" w:name="_Toc26247"/>
      <w:bookmarkStart w:id="753" w:name="_Toc3547"/>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90  </w:t>
      </w:r>
      <w:r>
        <w:rPr>
          <w:rFonts w:hint="eastAsia" w:ascii="仿宋" w:hAnsi="仿宋" w:eastAsia="仿宋" w:cs="仿宋"/>
          <w:b w:val="0"/>
          <w:bCs/>
          <w:color w:val="auto"/>
          <w:highlight w:val="none"/>
        </w:rPr>
        <w:t>承包人的违约责任</w:t>
      </w:r>
      <w:bookmarkEnd w:id="751"/>
      <w:bookmarkEnd w:id="752"/>
      <w:bookmarkEnd w:id="75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90.1</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1）限期改正、一般违约、严重违约。承包人未履行或未按时履行或未按质履行义务时，工程师应发出书面通知，要求承包人必须在工程师限定的时间内履行义务。合同期内，工程师每发出二次限期改正通知或每发生一次因承包人原因给发包人造成不良影响的，即相当于一次一般违约，承包人应承担相应的一般违约责任；每发生三次一般违约或每发生一次因承包人原因给发包人造成经济损失的，即相当于一次严重违约，承包人应承担相应的严重违约责任。合同中另有规定时，承包人违约可直接按一般违约或严重违约处理，不受发出书面通知次数限制。</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2）一般违约责任。承包人违反本合同的约定须承担一般违约责任时，发包人扣除合同价款人民币</w:t>
      </w:r>
      <w:r>
        <w:rPr>
          <w:rFonts w:ascii="仿宋" w:hAnsi="仿宋" w:eastAsia="仿宋"/>
          <w:color w:val="auto"/>
          <w:sz w:val="24"/>
          <w:szCs w:val="24"/>
          <w:highlight w:val="none"/>
          <w:u w:val="single"/>
        </w:rPr>
        <w:t xml:space="preserve"> 0.5 </w:t>
      </w:r>
      <w:r>
        <w:rPr>
          <w:rFonts w:hint="eastAsia" w:ascii="仿宋" w:hAnsi="仿宋" w:eastAsia="仿宋"/>
          <w:color w:val="auto"/>
          <w:sz w:val="24"/>
          <w:szCs w:val="24"/>
          <w:highlight w:val="none"/>
        </w:rPr>
        <w:t>万元</w:t>
      </w:r>
      <w:r>
        <w:rPr>
          <w:rFonts w:ascii="仿宋" w:hAnsi="仿宋" w:eastAsia="仿宋"/>
          <w:color w:val="auto"/>
          <w:sz w:val="24"/>
          <w:szCs w:val="24"/>
          <w:highlight w:val="none"/>
        </w:rPr>
        <w:t>/次作为违约金；若承包人再犯性质相同的违约责任，第2次扣除合同价款人民币</w:t>
      </w:r>
      <w:r>
        <w:rPr>
          <w:rFonts w:ascii="仿宋" w:hAnsi="仿宋" w:eastAsia="仿宋"/>
          <w:color w:val="auto"/>
          <w:sz w:val="24"/>
          <w:szCs w:val="24"/>
          <w:highlight w:val="none"/>
          <w:u w:val="single"/>
        </w:rPr>
        <w:t>1</w:t>
      </w:r>
      <w:r>
        <w:rPr>
          <w:rFonts w:hint="eastAsia" w:ascii="仿宋" w:hAnsi="仿宋" w:eastAsia="仿宋"/>
          <w:color w:val="auto"/>
          <w:sz w:val="24"/>
          <w:szCs w:val="24"/>
          <w:highlight w:val="none"/>
        </w:rPr>
        <w:t>万元，</w:t>
      </w:r>
      <w:r>
        <w:rPr>
          <w:rFonts w:ascii="仿宋" w:hAnsi="仿宋" w:eastAsia="仿宋"/>
          <w:color w:val="auto"/>
          <w:sz w:val="24"/>
          <w:szCs w:val="24"/>
          <w:highlight w:val="none"/>
        </w:rPr>
        <w:t>2次以上（不含本数）按</w:t>
      </w:r>
      <w:r>
        <w:rPr>
          <w:rFonts w:ascii="仿宋" w:hAnsi="仿宋" w:eastAsia="仿宋"/>
          <w:color w:val="auto"/>
          <w:sz w:val="24"/>
          <w:szCs w:val="24"/>
          <w:highlight w:val="none"/>
          <w:u w:val="single"/>
        </w:rPr>
        <w:t xml:space="preserve"> 2 </w:t>
      </w:r>
      <w:r>
        <w:rPr>
          <w:rFonts w:hint="eastAsia" w:ascii="仿宋" w:hAnsi="仿宋" w:eastAsia="仿宋"/>
          <w:color w:val="auto"/>
          <w:sz w:val="24"/>
          <w:szCs w:val="24"/>
          <w:highlight w:val="none"/>
        </w:rPr>
        <w:t>万元</w:t>
      </w:r>
      <w:r>
        <w:rPr>
          <w:rFonts w:ascii="仿宋" w:hAnsi="仿宋" w:eastAsia="仿宋"/>
          <w:color w:val="auto"/>
          <w:sz w:val="24"/>
          <w:szCs w:val="24"/>
          <w:highlight w:val="none"/>
        </w:rPr>
        <w:t>/次扣除合同价款。</w:t>
      </w:r>
    </w:p>
    <w:p>
      <w:pPr>
        <w:spacing w:before="62" w:beforeLines="20" w:line="400" w:lineRule="exact"/>
        <w:ind w:firstLine="480" w:firstLineChars="200"/>
        <w:rPr>
          <w:rFonts w:ascii="仿宋" w:hAnsi="仿宋" w:eastAsia="仿宋"/>
          <w:b/>
          <w:color w:val="auto"/>
          <w:highlight w:val="none"/>
        </w:rPr>
      </w:pPr>
      <w:r>
        <w:rPr>
          <w:rFonts w:hint="eastAsia" w:ascii="仿宋" w:hAnsi="仿宋" w:eastAsia="仿宋"/>
          <w:color w:val="auto"/>
          <w:sz w:val="24"/>
          <w:szCs w:val="24"/>
          <w:highlight w:val="none"/>
        </w:rPr>
        <w:t>本合同中关于承包人未达到一般违约责任的管理条约，违规者将按下列条款处理，在工程款中扣除违约金：</w:t>
      </w:r>
    </w:p>
    <w:tbl>
      <w:tblPr>
        <w:tblStyle w:val="40"/>
        <w:tblW w:w="8336" w:type="dxa"/>
        <w:tblInd w:w="0" w:type="dxa"/>
        <w:tblLayout w:type="fixed"/>
        <w:tblCellMar>
          <w:top w:w="0" w:type="dxa"/>
          <w:left w:w="0" w:type="dxa"/>
          <w:bottom w:w="0" w:type="dxa"/>
          <w:right w:w="0" w:type="dxa"/>
        </w:tblCellMar>
      </w:tblPr>
      <w:tblGrid>
        <w:gridCol w:w="417"/>
        <w:gridCol w:w="5658"/>
        <w:gridCol w:w="929"/>
        <w:gridCol w:w="1332"/>
      </w:tblGrid>
      <w:tr>
        <w:tblPrEx>
          <w:tblLayout w:type="fixed"/>
          <w:tblCellMar>
            <w:top w:w="0" w:type="dxa"/>
            <w:left w:w="0" w:type="dxa"/>
            <w:bottom w:w="0" w:type="dxa"/>
            <w:right w:w="0" w:type="dxa"/>
          </w:tblCellMar>
        </w:tblPrEx>
        <w:trPr>
          <w:trHeight w:val="285" w:hRule="atLeast"/>
        </w:trPr>
        <w:tc>
          <w:tcPr>
            <w:tcW w:w="8336" w:type="dxa"/>
            <w:gridSpan w:val="4"/>
            <w:tcMar>
              <w:top w:w="15" w:type="dxa"/>
              <w:left w:w="15" w:type="dxa"/>
              <w:bottom w:w="0" w:type="dxa"/>
              <w:right w:w="15" w:type="dxa"/>
            </w:tcMar>
            <w:vAlign w:val="bottom"/>
          </w:tcPr>
          <w:p>
            <w:pPr>
              <w:spacing w:before="62" w:beforeLines="20" w:line="400" w:lineRule="exact"/>
              <w:ind w:firstLine="420" w:firstLineChars="200"/>
              <w:jc w:val="center"/>
              <w:rPr>
                <w:rFonts w:ascii="仿宋" w:hAnsi="仿宋" w:eastAsia="仿宋" w:cs="宋体"/>
                <w:color w:val="auto"/>
                <w:highlight w:val="none"/>
              </w:rPr>
            </w:pPr>
            <w:r>
              <w:rPr>
                <w:rFonts w:hint="eastAsia" w:ascii="仿宋" w:hAnsi="仿宋" w:eastAsia="仿宋"/>
                <w:color w:val="auto"/>
                <w:highlight w:val="none"/>
              </w:rPr>
              <w:t>第一</w:t>
            </w:r>
            <w:r>
              <w:rPr>
                <w:rFonts w:ascii="仿宋" w:hAnsi="仿宋" w:eastAsia="仿宋"/>
                <w:color w:val="auto"/>
                <w:highlight w:val="none"/>
              </w:rPr>
              <w:t xml:space="preserve">    </w:t>
            </w:r>
            <w:r>
              <w:rPr>
                <w:rFonts w:hint="eastAsia" w:ascii="仿宋" w:hAnsi="仿宋" w:eastAsia="仿宋"/>
                <w:color w:val="auto"/>
                <w:highlight w:val="none"/>
              </w:rPr>
              <w:t>安全条约</w:t>
            </w:r>
          </w:p>
        </w:tc>
      </w:tr>
      <w:tr>
        <w:tblPrEx>
          <w:tblLayout w:type="fixed"/>
          <w:tblCellMar>
            <w:top w:w="0" w:type="dxa"/>
            <w:left w:w="0" w:type="dxa"/>
            <w:bottom w:w="0" w:type="dxa"/>
            <w:right w:w="0" w:type="dxa"/>
          </w:tblCellMar>
        </w:tblPrEx>
        <w:trPr>
          <w:trHeight w:val="285" w:hRule="atLeast"/>
        </w:trPr>
        <w:tc>
          <w:tcPr>
            <w:tcW w:w="41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hint="eastAsia" w:ascii="仿宋" w:hAnsi="仿宋" w:eastAsia="仿宋"/>
                <w:color w:val="auto"/>
                <w:highlight w:val="none"/>
              </w:rPr>
              <w:t>序号</w:t>
            </w:r>
          </w:p>
        </w:tc>
        <w:tc>
          <w:tcPr>
            <w:tcW w:w="56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480" w:lineRule="auto"/>
              <w:jc w:val="center"/>
              <w:rPr>
                <w:rFonts w:ascii="仿宋" w:hAnsi="仿宋" w:eastAsia="仿宋" w:cs="宋体"/>
                <w:color w:val="auto"/>
                <w:highlight w:val="none"/>
              </w:rPr>
            </w:pPr>
            <w:r>
              <w:rPr>
                <w:rFonts w:hint="eastAsia" w:ascii="仿宋" w:hAnsi="仿宋" w:eastAsia="仿宋"/>
                <w:color w:val="auto"/>
                <w:highlight w:val="none"/>
              </w:rPr>
              <w:t>违约内容</w:t>
            </w:r>
          </w:p>
        </w:tc>
        <w:tc>
          <w:tcPr>
            <w:tcW w:w="92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hint="eastAsia" w:ascii="仿宋" w:hAnsi="仿宋" w:eastAsia="仿宋"/>
                <w:color w:val="auto"/>
                <w:highlight w:val="none"/>
              </w:rPr>
              <w:t>违约金（元）</w:t>
            </w:r>
          </w:p>
        </w:tc>
        <w:tc>
          <w:tcPr>
            <w:tcW w:w="133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480" w:lineRule="auto"/>
              <w:jc w:val="center"/>
              <w:rPr>
                <w:rFonts w:ascii="仿宋" w:hAnsi="仿宋" w:eastAsia="仿宋" w:cs="宋体"/>
                <w:color w:val="auto"/>
                <w:highlight w:val="none"/>
              </w:rPr>
            </w:pPr>
            <w:r>
              <w:rPr>
                <w:rFonts w:hint="eastAsia" w:ascii="仿宋" w:hAnsi="仿宋" w:eastAsia="仿宋"/>
                <w:color w:val="auto"/>
                <w:highlight w:val="none"/>
              </w:rPr>
              <w:t>备注</w:t>
            </w:r>
          </w:p>
        </w:tc>
      </w:tr>
      <w:tr>
        <w:tblPrEx>
          <w:tblLayout w:type="fixed"/>
          <w:tblCellMar>
            <w:top w:w="0" w:type="dxa"/>
            <w:left w:w="0" w:type="dxa"/>
            <w:bottom w:w="0" w:type="dxa"/>
            <w:right w:w="0" w:type="dxa"/>
          </w:tblCellMar>
        </w:tblPrEx>
        <w:trPr>
          <w:trHeight w:val="6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工作时没有按要求戴安全帽</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50</w:t>
            </w:r>
          </w:p>
        </w:tc>
        <w:tc>
          <w:tcPr>
            <w:tcW w:w="133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没有设置足够的消防器材或消防信道不畅</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3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电线乱搭乱接</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4</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用电工具不符合安全要求（存在漏电隐患）</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5</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用电设备前无漏电开关保护</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6</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挖沟后没有在合理的时间内放管和回填</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7</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施工人员违反职称工作范围</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8</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无证上岗作业（特种作业无上岗证，新增加人员无向发包方汇报）</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9</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没有设置足够的警示标志（路面施工应按路面施工指引执行）</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施工设备不全或破损，有潜在危险</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11</w:t>
            </w:r>
          </w:p>
        </w:tc>
        <w:tc>
          <w:tcPr>
            <w:tcW w:w="56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设置破损护栏、护栏不足或搭接不稳</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12</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不按各种安全规范或操作规范施工，存在不安全因素</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285" w:hRule="atLeast"/>
        </w:trPr>
        <w:tc>
          <w:tcPr>
            <w:tcW w:w="41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13</w:t>
            </w:r>
          </w:p>
        </w:tc>
        <w:tc>
          <w:tcPr>
            <w:tcW w:w="5658"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高空作业时不按有关规定作业</w:t>
            </w:r>
          </w:p>
        </w:tc>
        <w:tc>
          <w:tcPr>
            <w:tcW w:w="929"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32" w:type="dxa"/>
            <w:tcBorders>
              <w:top w:val="nil"/>
              <w:left w:val="nil"/>
              <w:bottom w:val="single" w:color="auto" w:sz="4" w:space="0"/>
              <w:right w:val="single" w:color="auto" w:sz="4" w:space="0"/>
            </w:tcBorders>
            <w:tcMar>
              <w:top w:w="15" w:type="dxa"/>
              <w:left w:w="15" w:type="dxa"/>
              <w:bottom w:w="0" w:type="dxa"/>
              <w:right w:w="15" w:type="dxa"/>
            </w:tcMar>
          </w:tcPr>
          <w:p>
            <w:pPr>
              <w:jc w:val="center"/>
              <w:rPr>
                <w:rFonts w:ascii="仿宋" w:hAnsi="仿宋" w:eastAsia="仿宋"/>
                <w:color w:val="auto"/>
                <w:highlight w:val="none"/>
              </w:rPr>
            </w:pPr>
            <w:r>
              <w:rPr>
                <w:rFonts w:hint="eastAsia" w:ascii="仿宋" w:hAnsi="仿宋" w:eastAsia="仿宋"/>
                <w:color w:val="auto"/>
                <w:highlight w:val="none"/>
              </w:rPr>
              <w:t>每人</w:t>
            </w:r>
            <w:r>
              <w:rPr>
                <w:rFonts w:ascii="仿宋" w:hAnsi="仿宋" w:eastAsia="仿宋"/>
                <w:color w:val="auto"/>
                <w:highlight w:val="none"/>
              </w:rPr>
              <w:t>/次</w:t>
            </w:r>
          </w:p>
        </w:tc>
      </w:tr>
      <w:tr>
        <w:tblPrEx>
          <w:tblLayout w:type="fixed"/>
          <w:tblCellMar>
            <w:top w:w="0" w:type="dxa"/>
            <w:left w:w="0" w:type="dxa"/>
            <w:bottom w:w="0" w:type="dxa"/>
            <w:right w:w="0" w:type="dxa"/>
          </w:tblCellMar>
        </w:tblPrEx>
        <w:trPr>
          <w:trHeight w:val="135" w:hRule="atLeast"/>
        </w:trPr>
        <w:tc>
          <w:tcPr>
            <w:tcW w:w="41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olor w:val="auto"/>
                <w:highlight w:val="none"/>
              </w:rPr>
            </w:pPr>
            <w:r>
              <w:rPr>
                <w:rFonts w:ascii="仿宋" w:hAnsi="仿宋" w:eastAsia="仿宋"/>
                <w:color w:val="auto"/>
                <w:highlight w:val="none"/>
              </w:rPr>
              <w:t>14</w:t>
            </w:r>
          </w:p>
        </w:tc>
        <w:tc>
          <w:tcPr>
            <w:tcW w:w="565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rPr>
                <w:rFonts w:ascii="仿宋" w:hAnsi="仿宋" w:eastAsia="仿宋"/>
                <w:color w:val="auto"/>
                <w:highlight w:val="none"/>
              </w:rPr>
            </w:pPr>
            <w:r>
              <w:rPr>
                <w:rFonts w:hint="eastAsia" w:ascii="仿宋" w:hAnsi="仿宋" w:eastAsia="仿宋"/>
                <w:color w:val="auto"/>
                <w:highlight w:val="none"/>
              </w:rPr>
              <w:t>施工现场施工人员穿拖鞋、赤脚、赤膊的</w:t>
            </w:r>
          </w:p>
        </w:tc>
        <w:tc>
          <w:tcPr>
            <w:tcW w:w="92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olor w:val="auto"/>
                <w:highlight w:val="none"/>
              </w:rPr>
            </w:pPr>
            <w:r>
              <w:rPr>
                <w:rFonts w:ascii="仿宋" w:hAnsi="仿宋" w:eastAsia="仿宋"/>
                <w:color w:val="auto"/>
                <w:highlight w:val="none"/>
              </w:rPr>
              <w:t>50</w:t>
            </w:r>
          </w:p>
        </w:tc>
        <w:tc>
          <w:tcPr>
            <w:tcW w:w="133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olor w:val="auto"/>
                <w:highlight w:val="none"/>
              </w:rPr>
            </w:pPr>
            <w:r>
              <w:rPr>
                <w:rFonts w:hint="eastAsia" w:ascii="仿宋" w:hAnsi="仿宋" w:eastAsia="仿宋"/>
                <w:color w:val="auto"/>
                <w:highlight w:val="none"/>
              </w:rPr>
              <w:t>同一人累计两次以上每次</w:t>
            </w:r>
            <w:r>
              <w:rPr>
                <w:rFonts w:ascii="仿宋" w:hAnsi="仿宋" w:eastAsia="仿宋"/>
                <w:color w:val="auto"/>
                <w:highlight w:val="none"/>
              </w:rPr>
              <w:t>100元</w:t>
            </w:r>
          </w:p>
        </w:tc>
      </w:tr>
    </w:tbl>
    <w:p>
      <w:pPr>
        <w:rPr>
          <w:rFonts w:ascii="仿宋" w:hAnsi="仿宋" w:eastAsia="仿宋"/>
          <w:b/>
          <w:color w:val="auto"/>
          <w:highlight w:val="none"/>
        </w:rPr>
      </w:pPr>
    </w:p>
    <w:p>
      <w:pPr>
        <w:jc w:val="center"/>
        <w:rPr>
          <w:rFonts w:ascii="仿宋" w:hAnsi="仿宋" w:eastAsia="仿宋"/>
          <w:color w:val="auto"/>
          <w:highlight w:val="none"/>
        </w:rPr>
      </w:pPr>
      <w:r>
        <w:rPr>
          <w:rFonts w:hint="eastAsia" w:ascii="仿宋" w:hAnsi="仿宋" w:eastAsia="仿宋"/>
          <w:color w:val="auto"/>
          <w:highlight w:val="none"/>
        </w:rPr>
        <w:t>第二</w:t>
      </w:r>
      <w:r>
        <w:rPr>
          <w:rFonts w:ascii="仿宋" w:hAnsi="仿宋" w:eastAsia="仿宋"/>
          <w:color w:val="auto"/>
          <w:highlight w:val="none"/>
        </w:rPr>
        <w:t xml:space="preserve">   </w:t>
      </w:r>
      <w:r>
        <w:rPr>
          <w:rFonts w:hint="eastAsia" w:ascii="仿宋" w:hAnsi="仿宋" w:eastAsia="仿宋"/>
          <w:color w:val="auto"/>
          <w:highlight w:val="none"/>
        </w:rPr>
        <w:t>质量条约</w:t>
      </w:r>
    </w:p>
    <w:tbl>
      <w:tblPr>
        <w:tblStyle w:val="40"/>
        <w:tblW w:w="8336" w:type="dxa"/>
        <w:tblInd w:w="0" w:type="dxa"/>
        <w:tblLayout w:type="fixed"/>
        <w:tblCellMar>
          <w:top w:w="0" w:type="dxa"/>
          <w:left w:w="0" w:type="dxa"/>
          <w:bottom w:w="0" w:type="dxa"/>
          <w:right w:w="0" w:type="dxa"/>
        </w:tblCellMar>
      </w:tblPr>
      <w:tblGrid>
        <w:gridCol w:w="389"/>
        <w:gridCol w:w="5650"/>
        <w:gridCol w:w="985"/>
        <w:gridCol w:w="1312"/>
      </w:tblGrid>
      <w:tr>
        <w:tblPrEx>
          <w:tblLayout w:type="fixed"/>
          <w:tblCellMar>
            <w:top w:w="0" w:type="dxa"/>
            <w:left w:w="0" w:type="dxa"/>
            <w:bottom w:w="0" w:type="dxa"/>
            <w:right w:w="0" w:type="dxa"/>
          </w:tblCellMar>
        </w:tblPrEx>
        <w:trPr>
          <w:trHeight w:val="417" w:hRule="atLeast"/>
          <w:tblHeader/>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hint="eastAsia" w:ascii="仿宋" w:hAnsi="仿宋" w:eastAsia="仿宋"/>
                <w:color w:val="auto"/>
                <w:highlight w:val="none"/>
              </w:rPr>
              <w:t>序号</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480" w:lineRule="auto"/>
              <w:jc w:val="center"/>
              <w:rPr>
                <w:rFonts w:ascii="仿宋" w:hAnsi="仿宋" w:eastAsia="仿宋" w:cs="宋体"/>
                <w:color w:val="auto"/>
                <w:highlight w:val="none"/>
              </w:rPr>
            </w:pPr>
            <w:r>
              <w:rPr>
                <w:rFonts w:hint="eastAsia" w:ascii="仿宋" w:hAnsi="仿宋" w:eastAsia="仿宋"/>
                <w:color w:val="auto"/>
                <w:highlight w:val="none"/>
              </w:rPr>
              <w:t>违约内容</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olor w:val="auto"/>
                <w:highlight w:val="none"/>
              </w:rPr>
            </w:pPr>
            <w:r>
              <w:rPr>
                <w:rFonts w:hint="eastAsia" w:ascii="仿宋" w:hAnsi="仿宋" w:eastAsia="仿宋"/>
                <w:color w:val="auto"/>
                <w:highlight w:val="none"/>
              </w:rPr>
              <w:t>违约金</w:t>
            </w:r>
          </w:p>
          <w:p>
            <w:pPr>
              <w:jc w:val="center"/>
              <w:rPr>
                <w:rFonts w:ascii="仿宋" w:hAnsi="仿宋" w:eastAsia="仿宋" w:cs="宋体"/>
                <w:color w:val="auto"/>
                <w:highlight w:val="none"/>
              </w:rPr>
            </w:pPr>
            <w:r>
              <w:rPr>
                <w:rFonts w:hint="eastAsia" w:ascii="仿宋" w:hAnsi="仿宋" w:eastAsia="仿宋"/>
                <w:color w:val="auto"/>
                <w:highlight w:val="none"/>
              </w:rPr>
              <w:t>（元）</w:t>
            </w:r>
          </w:p>
        </w:tc>
        <w:tc>
          <w:tcPr>
            <w:tcW w:w="13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480" w:lineRule="auto"/>
              <w:jc w:val="center"/>
              <w:rPr>
                <w:rFonts w:ascii="仿宋" w:hAnsi="仿宋" w:eastAsia="仿宋" w:cs="宋体"/>
                <w:color w:val="auto"/>
                <w:highlight w:val="none"/>
              </w:rPr>
            </w:pPr>
            <w:r>
              <w:rPr>
                <w:rFonts w:hint="eastAsia" w:ascii="仿宋" w:hAnsi="仿宋" w:eastAsia="仿宋"/>
                <w:color w:val="auto"/>
                <w:highlight w:val="none"/>
              </w:rPr>
              <w:t>备注</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下管时，管沟的深度达不到设计要求；现场情况与设计不符时未及时报告，采取相应措施</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以每次计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沟底有石块等硬物，未清沟底就准备下管</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以每次计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回填时发现回填材料中，距管线</w:t>
            </w:r>
            <w:r>
              <w:rPr>
                <w:rFonts w:ascii="仿宋" w:hAnsi="仿宋" w:eastAsia="仿宋" w:cs="宋体"/>
                <w:color w:val="auto"/>
                <w:highlight w:val="none"/>
              </w:rPr>
              <w:t>50cm范围内中有含有石块等硬物</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以每次计　</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4</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管材堆放时，没有防滑、防损措施</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以每次计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5</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管材因未有保护措施造成管材防腐层破损</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6</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管材未作除锈处理或除锈处理未达到要求就进行防腐施工</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7</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焊接时焊缝表面质量达不到要求的</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olor w:val="auto"/>
                <w:highlight w:val="none"/>
              </w:rPr>
            </w:pPr>
            <w:r>
              <w:rPr>
                <w:rFonts w:ascii="仿宋" w:hAnsi="仿宋" w:eastAsia="仿宋"/>
                <w:color w:val="auto"/>
                <w:highlight w:val="none"/>
              </w:rPr>
              <w:t>200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8</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下管并完成焊接后不及时封堵</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9</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热缩套、补伤片施工后发现翘边</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olor w:val="auto"/>
                <w:highlight w:val="none"/>
              </w:rPr>
            </w:pPr>
            <w:r>
              <w:rPr>
                <w:rFonts w:ascii="仿宋" w:hAnsi="仿宋" w:eastAsia="仿宋"/>
                <w:color w:val="auto"/>
                <w:highlight w:val="none"/>
              </w:rPr>
              <w:t>100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破坏其他管线不及时上报</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34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s="宋体"/>
                <w:color w:val="auto"/>
                <w:highlight w:val="none"/>
              </w:rPr>
              <w:t>11</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防腐层损伤，经判断为施工机械刮伤或现场管理不善造成</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258"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pPr>
              <w:ind w:firstLine="102" w:firstLineChars="49"/>
              <w:rPr>
                <w:rFonts w:ascii="仿宋" w:hAnsi="仿宋" w:eastAsia="仿宋" w:cs="宋体"/>
                <w:color w:val="auto"/>
                <w:highlight w:val="none"/>
              </w:rPr>
            </w:pPr>
            <w:r>
              <w:rPr>
                <w:rFonts w:ascii="仿宋" w:hAnsi="仿宋" w:eastAsia="仿宋" w:cs="宋体"/>
                <w:color w:val="auto"/>
                <w:highlight w:val="none"/>
              </w:rPr>
              <w:t>12</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不在规定时间交工程量周报表</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olor w:val="auto"/>
                <w:highlight w:val="none"/>
              </w:rPr>
            </w:pPr>
            <w:r>
              <w:rPr>
                <w:rFonts w:ascii="仿宋" w:hAnsi="仿宋" w:eastAsia="仿宋"/>
                <w:color w:val="auto"/>
                <w:highlight w:val="none"/>
              </w:rPr>
              <w:t>300</w:t>
            </w:r>
          </w:p>
        </w:tc>
        <w:tc>
          <w:tcPr>
            <w:tcW w:w="13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olor w:val="auto"/>
                <w:highlight w:val="none"/>
              </w:rPr>
            </w:pPr>
            <w:r>
              <w:rPr>
                <w:rFonts w:hint="eastAsia" w:ascii="仿宋" w:hAnsi="仿宋" w:eastAsia="仿宋"/>
                <w:color w:val="auto"/>
                <w:highlight w:val="none"/>
              </w:rPr>
              <w:t>以周计</w:t>
            </w:r>
          </w:p>
        </w:tc>
      </w:tr>
      <w:tr>
        <w:tblPrEx>
          <w:tblLayout w:type="fixed"/>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s="宋体"/>
                <w:color w:val="auto"/>
                <w:highlight w:val="none"/>
              </w:rPr>
              <w:t>13</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不在规定时间交工程量月报表</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300</w:t>
            </w:r>
          </w:p>
        </w:tc>
        <w:tc>
          <w:tcPr>
            <w:tcW w:w="13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以月计</w:t>
            </w:r>
          </w:p>
        </w:tc>
      </w:tr>
    </w:tbl>
    <w:p>
      <w:pPr>
        <w:rPr>
          <w:rFonts w:ascii="仿宋" w:hAnsi="仿宋" w:eastAsia="仿宋"/>
          <w:b/>
          <w:color w:val="auto"/>
          <w:highlight w:val="none"/>
        </w:rPr>
      </w:pPr>
    </w:p>
    <w:p>
      <w:pPr>
        <w:jc w:val="center"/>
        <w:rPr>
          <w:rFonts w:ascii="仿宋" w:hAnsi="仿宋" w:eastAsia="仿宋"/>
          <w:color w:val="auto"/>
          <w:highlight w:val="none"/>
        </w:rPr>
      </w:pPr>
      <w:r>
        <w:rPr>
          <w:rFonts w:hint="eastAsia" w:ascii="仿宋" w:hAnsi="仿宋" w:eastAsia="仿宋"/>
          <w:color w:val="auto"/>
          <w:highlight w:val="none"/>
        </w:rPr>
        <w:t>第三</w:t>
      </w:r>
      <w:r>
        <w:rPr>
          <w:rFonts w:ascii="仿宋" w:hAnsi="仿宋" w:eastAsia="仿宋"/>
          <w:color w:val="auto"/>
          <w:highlight w:val="none"/>
        </w:rPr>
        <w:t xml:space="preserve">    </w:t>
      </w:r>
      <w:r>
        <w:rPr>
          <w:rFonts w:hint="eastAsia" w:ascii="仿宋" w:hAnsi="仿宋" w:eastAsia="仿宋"/>
          <w:color w:val="auto"/>
          <w:highlight w:val="none"/>
        </w:rPr>
        <w:t>服务条约</w:t>
      </w:r>
    </w:p>
    <w:tbl>
      <w:tblPr>
        <w:tblStyle w:val="40"/>
        <w:tblW w:w="8336" w:type="dxa"/>
        <w:tblInd w:w="0" w:type="dxa"/>
        <w:tblLayout w:type="fixed"/>
        <w:tblCellMar>
          <w:top w:w="0" w:type="dxa"/>
          <w:left w:w="0" w:type="dxa"/>
          <w:bottom w:w="0" w:type="dxa"/>
          <w:right w:w="0" w:type="dxa"/>
        </w:tblCellMar>
      </w:tblPr>
      <w:tblGrid>
        <w:gridCol w:w="389"/>
        <w:gridCol w:w="5650"/>
        <w:gridCol w:w="985"/>
        <w:gridCol w:w="1312"/>
      </w:tblGrid>
      <w:tr>
        <w:tblPrEx>
          <w:tblLayout w:type="fixed"/>
          <w:tblCellMar>
            <w:top w:w="0" w:type="dxa"/>
            <w:left w:w="0" w:type="dxa"/>
            <w:bottom w:w="0" w:type="dxa"/>
            <w:right w:w="0" w:type="dxa"/>
          </w:tblCellMar>
        </w:tblPrEx>
        <w:trPr>
          <w:trHeight w:val="285" w:hRule="atLeast"/>
        </w:trPr>
        <w:tc>
          <w:tcPr>
            <w:tcW w:w="38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hint="eastAsia" w:ascii="仿宋" w:hAnsi="仿宋" w:eastAsia="仿宋"/>
                <w:color w:val="auto"/>
                <w:highlight w:val="none"/>
              </w:rPr>
              <w:t>序号</w:t>
            </w:r>
          </w:p>
        </w:tc>
        <w:tc>
          <w:tcPr>
            <w:tcW w:w="56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hint="eastAsia" w:ascii="仿宋" w:hAnsi="仿宋" w:eastAsia="仿宋"/>
                <w:color w:val="auto"/>
                <w:highlight w:val="none"/>
              </w:rPr>
              <w:t>违约内容</w:t>
            </w:r>
          </w:p>
        </w:tc>
        <w:tc>
          <w:tcPr>
            <w:tcW w:w="98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olor w:val="auto"/>
                <w:highlight w:val="none"/>
              </w:rPr>
            </w:pPr>
            <w:r>
              <w:rPr>
                <w:rFonts w:hint="eastAsia" w:ascii="仿宋" w:hAnsi="仿宋" w:eastAsia="仿宋"/>
                <w:color w:val="auto"/>
                <w:highlight w:val="none"/>
              </w:rPr>
              <w:t>违约金</w:t>
            </w:r>
          </w:p>
          <w:p>
            <w:pPr>
              <w:jc w:val="center"/>
              <w:rPr>
                <w:rFonts w:ascii="仿宋" w:hAnsi="仿宋" w:eastAsia="仿宋" w:cs="宋体"/>
                <w:color w:val="auto"/>
                <w:highlight w:val="none"/>
              </w:rPr>
            </w:pPr>
            <w:r>
              <w:rPr>
                <w:rFonts w:hint="eastAsia" w:ascii="仿宋" w:hAnsi="仿宋" w:eastAsia="仿宋"/>
                <w:color w:val="auto"/>
                <w:highlight w:val="none"/>
              </w:rPr>
              <w:t>（元）</w:t>
            </w:r>
          </w:p>
        </w:tc>
        <w:tc>
          <w:tcPr>
            <w:tcW w:w="13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hint="eastAsia" w:ascii="仿宋" w:hAnsi="仿宋" w:eastAsia="仿宋"/>
                <w:color w:val="auto"/>
                <w:highlight w:val="none"/>
              </w:rPr>
              <w:t>备注</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没有佩带工作证或仪表不整</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50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以每处计</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2</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s="宋体"/>
                <w:color w:val="auto"/>
                <w:highlight w:val="none"/>
              </w:rPr>
              <w:t>闲人进入施工现场不及时制止</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　</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3</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材料堆放或施工选点不当，防碍他人</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500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整体工程</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4</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由于服务态度不好等原因，发生有责任投诉</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100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　</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ascii="仿宋" w:hAnsi="仿宋" w:eastAsia="仿宋"/>
                <w:color w:val="auto"/>
                <w:highlight w:val="none"/>
              </w:rPr>
              <w:t>5</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center"/>
          </w:tcPr>
          <w:p>
            <w:pPr>
              <w:rPr>
                <w:rFonts w:ascii="仿宋" w:hAnsi="仿宋" w:eastAsia="仿宋" w:cs="宋体"/>
                <w:color w:val="auto"/>
                <w:highlight w:val="none"/>
              </w:rPr>
            </w:pPr>
            <w:r>
              <w:rPr>
                <w:rFonts w:hint="eastAsia" w:ascii="仿宋" w:hAnsi="仿宋" w:eastAsia="仿宋"/>
                <w:color w:val="auto"/>
                <w:highlight w:val="none"/>
              </w:rPr>
              <w:t>违反社会治安管理条例，影响公司声誉和形象</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ascii="仿宋" w:hAnsi="仿宋" w:eastAsia="仿宋"/>
                <w:color w:val="auto"/>
                <w:highlight w:val="none"/>
              </w:rPr>
              <w:t>1000</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ascii="仿宋" w:hAnsi="仿宋" w:eastAsia="仿宋" w:cs="宋体"/>
                <w:color w:val="auto"/>
                <w:highlight w:val="none"/>
              </w:rPr>
            </w:pPr>
            <w:r>
              <w:rPr>
                <w:rFonts w:hint="eastAsia" w:ascii="仿宋" w:hAnsi="仿宋" w:eastAsia="仿宋"/>
                <w:color w:val="auto"/>
                <w:highlight w:val="none"/>
              </w:rPr>
              <w:t>该员工不得在项目中工作</w:t>
            </w:r>
          </w:p>
        </w:tc>
      </w:tr>
      <w:tr>
        <w:tblPrEx>
          <w:tblLayout w:type="fixed"/>
          <w:tblCellMar>
            <w:top w:w="0" w:type="dxa"/>
            <w:left w:w="0" w:type="dxa"/>
            <w:bottom w:w="0" w:type="dxa"/>
            <w:right w:w="0" w:type="dxa"/>
          </w:tblCellMar>
        </w:tblPrEx>
        <w:trPr>
          <w:trHeight w:val="285" w:hRule="atLeast"/>
        </w:trPr>
        <w:tc>
          <w:tcPr>
            <w:tcW w:w="389"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ascii="仿宋" w:hAnsi="仿宋" w:eastAsia="仿宋"/>
                <w:color w:val="auto"/>
                <w:highlight w:val="none"/>
              </w:rPr>
              <w:t>6</w:t>
            </w:r>
          </w:p>
        </w:tc>
        <w:tc>
          <w:tcPr>
            <w:tcW w:w="565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仿宋" w:hAnsi="仿宋" w:eastAsia="仿宋" w:cs="宋体"/>
                <w:color w:val="auto"/>
                <w:highlight w:val="none"/>
              </w:rPr>
            </w:pPr>
            <w:r>
              <w:rPr>
                <w:rFonts w:hint="eastAsia" w:ascii="仿宋" w:hAnsi="仿宋" w:eastAsia="仿宋"/>
                <w:color w:val="auto"/>
                <w:highlight w:val="none"/>
              </w:rPr>
              <w:t>竣工资料或结算资料之工程数量与实际工程量不符</w:t>
            </w:r>
          </w:p>
        </w:tc>
        <w:tc>
          <w:tcPr>
            <w:tcW w:w="98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按发生额拾倍扣罚</w:t>
            </w:r>
          </w:p>
        </w:tc>
        <w:tc>
          <w:tcPr>
            <w:tcW w:w="1312"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仿宋" w:hAnsi="仿宋" w:eastAsia="仿宋" w:cs="宋体"/>
                <w:color w:val="auto"/>
                <w:highlight w:val="none"/>
              </w:rPr>
            </w:pPr>
            <w:r>
              <w:rPr>
                <w:rFonts w:hint="eastAsia" w:ascii="仿宋" w:hAnsi="仿宋" w:eastAsia="仿宋"/>
                <w:color w:val="auto"/>
                <w:highlight w:val="none"/>
              </w:rPr>
              <w:t>　</w:t>
            </w:r>
          </w:p>
        </w:tc>
      </w:tr>
    </w:tbl>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3）严重违约责任：承包人违反本合同的约定须承担严重违约责任时，每发生一次严重违约，发包人均有权扣除合同价款人民币</w:t>
      </w:r>
      <w:r>
        <w:rPr>
          <w:rFonts w:ascii="仿宋" w:hAnsi="仿宋" w:eastAsia="仿宋"/>
          <w:color w:val="auto"/>
          <w:sz w:val="24"/>
          <w:szCs w:val="24"/>
          <w:highlight w:val="none"/>
          <w:u w:val="single"/>
        </w:rPr>
        <w:t xml:space="preserve"> 5 </w:t>
      </w:r>
      <w:r>
        <w:rPr>
          <w:rFonts w:hint="eastAsia" w:ascii="仿宋" w:hAnsi="仿宋" w:eastAsia="仿宋"/>
          <w:color w:val="auto"/>
          <w:sz w:val="24"/>
          <w:szCs w:val="24"/>
          <w:highlight w:val="none"/>
        </w:rPr>
        <w:t>万元</w:t>
      </w:r>
      <w:r>
        <w:rPr>
          <w:rFonts w:ascii="仿宋" w:hAnsi="仿宋" w:eastAsia="仿宋"/>
          <w:color w:val="auto"/>
          <w:sz w:val="24"/>
          <w:szCs w:val="24"/>
          <w:highlight w:val="none"/>
        </w:rPr>
        <w:t>/次作为违约金，并通报批评、警告直至暂停其在广州燃气集团有限公司系统内6～12个月的投标及承包资格，承包人应赔偿发包人遭受的全部损失。</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4）解除部分合同。当承包人违反本合同的约定符合解除部分合同的条件时，发包人有权向承包人发出书面解除部分合同的通知，该通知在送达承包人时部分解除合同即生效。部分解除合同的法律后果按照通用条款第87条的相关约定执行。</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5）解除合同。当承包人违反本合同的约定符合解除全部合同的条件时，发包人有权向承包人发出书面解除全部合同的通知，该通知在送达承包人时解除合同即生效。解除合同的法律后果按照通用条款第87条的相关约定执行。</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 xml:space="preserve">6）赔偿损失。承包人违约的，应赔偿发包人遭受的全部损失，包括但不限于直接或间接的经济损失、索赔而产生的诉讼或仲裁费用、律师费用、因承包人违约使发包人另行完成本项目的招标费用及另行发包所支出的额外费用等。 </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7）承包人在合同期内累计三次严重违约的，发包人有权单方解除部分或全部合同。</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 xml:space="preserve">8） </w:t>
      </w:r>
      <w:r>
        <w:rPr>
          <w:rFonts w:hint="eastAsia" w:ascii="仿宋" w:hAnsi="仿宋" w:eastAsia="仿宋"/>
          <w:color w:val="auto"/>
          <w:sz w:val="24"/>
          <w:szCs w:val="24"/>
          <w:highlight w:val="none"/>
        </w:rPr>
        <w:t>承包人违约须向发包人支付违约金时，发包人有权从应支付给承包人的工程款及</w:t>
      </w:r>
      <w:r>
        <w:rPr>
          <w:rFonts w:hint="eastAsia" w:ascii="仿宋" w:hAnsi="仿宋" w:eastAsia="仿宋" w:cs="仿宋"/>
          <w:color w:val="auto"/>
          <w:kern w:val="0"/>
          <w:sz w:val="24"/>
          <w:szCs w:val="24"/>
          <w:highlight w:val="none"/>
          <w:u w:val="single"/>
        </w:rPr>
        <w:t>履约担保</w:t>
      </w:r>
      <w:r>
        <w:rPr>
          <w:rFonts w:hint="eastAsia" w:ascii="仿宋" w:hAnsi="仿宋" w:eastAsia="仿宋"/>
          <w:color w:val="auto"/>
          <w:sz w:val="24"/>
          <w:szCs w:val="24"/>
          <w:highlight w:val="none"/>
        </w:rPr>
        <w:t>中直接抵扣，承包人不得有异议。</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9）其它</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1）承包人违反第三部分合同专用条款20.2</w:t>
      </w:r>
      <w:r>
        <w:rPr>
          <w:rFonts w:hint="eastAsia" w:ascii="仿宋" w:hAnsi="仿宋" w:eastAsia="仿宋"/>
          <w:color w:val="auto"/>
          <w:sz w:val="24"/>
          <w:szCs w:val="24"/>
          <w:highlight w:val="none"/>
        </w:rPr>
        <w:t>（</w:t>
      </w:r>
      <w:r>
        <w:rPr>
          <w:rFonts w:ascii="仿宋" w:hAnsi="仿宋" w:eastAsia="仿宋"/>
          <w:color w:val="auto"/>
          <w:sz w:val="24"/>
          <w:szCs w:val="24"/>
          <w:highlight w:val="none"/>
        </w:rPr>
        <w:t>16）款的规定，发包人有权在工程款中扣违约金5万元/次，每间隔10天可重复就同一情况进行扣罚，每累计三次此类扣罚，即相当于一次一般违约，承包人应承担相应的一般违约责任。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2）承包人违反第三部分合同专用条款20.2</w:t>
      </w:r>
      <w:r>
        <w:rPr>
          <w:rFonts w:hint="eastAsia" w:ascii="仿宋" w:hAnsi="仿宋" w:eastAsia="仿宋"/>
          <w:color w:val="auto"/>
          <w:sz w:val="24"/>
          <w:szCs w:val="24"/>
          <w:highlight w:val="none"/>
        </w:rPr>
        <w:t>（</w:t>
      </w:r>
      <w:r>
        <w:rPr>
          <w:rFonts w:ascii="仿宋" w:hAnsi="仿宋" w:eastAsia="仿宋"/>
          <w:color w:val="auto"/>
          <w:sz w:val="24"/>
          <w:szCs w:val="24"/>
          <w:highlight w:val="none"/>
        </w:rPr>
        <w:t>17）款的规定，发包人有权在工程款中扣违约金10万元/次，每间隔10天可重复就同一情况进行扣罚，每累计三次此类扣罚，即相当于一次一般违约，承包人应承担相应的一般违约责任。</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10）工期延误方面的违约责任：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1）承包人未按照协议书约定的竣工日期或发包人同意顺延的工期竣工，延误的工期每延误1天，应向发包人支付</w:t>
      </w:r>
      <w:r>
        <w:rPr>
          <w:rFonts w:ascii="仿宋" w:hAnsi="仿宋" w:eastAsia="仿宋"/>
          <w:color w:val="auto"/>
          <w:sz w:val="24"/>
          <w:szCs w:val="24"/>
          <w:highlight w:val="none"/>
          <w:u w:val="single"/>
        </w:rPr>
        <w:t>10000</w:t>
      </w:r>
      <w:r>
        <w:rPr>
          <w:rFonts w:hint="eastAsia" w:ascii="仿宋" w:hAnsi="仿宋" w:eastAsia="仿宋"/>
          <w:color w:val="auto"/>
          <w:sz w:val="24"/>
          <w:szCs w:val="24"/>
          <w:highlight w:val="none"/>
        </w:rPr>
        <w:t>元作为违约金，误期赔偿限额为合同价款的</w:t>
      </w:r>
      <w:r>
        <w:rPr>
          <w:rFonts w:ascii="仿宋" w:hAnsi="仿宋" w:eastAsia="仿宋"/>
          <w:color w:val="auto"/>
          <w:sz w:val="24"/>
          <w:szCs w:val="24"/>
          <w:highlight w:val="none"/>
          <w:u w:val="single"/>
        </w:rPr>
        <w:t xml:space="preserve">5 </w:t>
      </w:r>
      <w:r>
        <w:rPr>
          <w:rFonts w:ascii="仿宋" w:hAnsi="仿宋" w:eastAsia="仿宋"/>
          <w:color w:val="auto"/>
          <w:sz w:val="24"/>
          <w:szCs w:val="24"/>
          <w:highlight w:val="none"/>
        </w:rPr>
        <w:t>%；延误工期超过</w:t>
      </w:r>
      <w:r>
        <w:rPr>
          <w:rFonts w:ascii="仿宋" w:hAnsi="仿宋" w:eastAsia="仿宋"/>
          <w:color w:val="auto"/>
          <w:sz w:val="24"/>
          <w:szCs w:val="24"/>
          <w:highlight w:val="none"/>
          <w:u w:val="single"/>
        </w:rPr>
        <w:t>15</w:t>
      </w:r>
      <w:r>
        <w:rPr>
          <w:rFonts w:hint="eastAsia" w:ascii="仿宋" w:hAnsi="仿宋" w:eastAsia="仿宋"/>
          <w:color w:val="auto"/>
          <w:sz w:val="24"/>
          <w:szCs w:val="24"/>
          <w:highlight w:val="none"/>
        </w:rPr>
        <w:t>天的，发包人有权解除合同，将本工程另行发包，且不免除承包人的违约赔偿责任。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承包人未按发包人（或工程师根据其权限）批准的施工进度计划（包括阶段性调整计划）执行，导致关键节点滞后，经发包人（或工程师根据其权限）书面督促赶工，未在规定时间内赶回工期的，工程师有权提议对承包人扣除违约金，违约金数额为</w:t>
      </w:r>
      <w:r>
        <w:rPr>
          <w:rFonts w:ascii="仿宋" w:hAnsi="仿宋" w:eastAsia="仿宋"/>
          <w:color w:val="auto"/>
          <w:sz w:val="24"/>
          <w:szCs w:val="24"/>
          <w:highlight w:val="none"/>
          <w:u w:val="single"/>
        </w:rPr>
        <w:t>20000</w:t>
      </w:r>
      <w:r>
        <w:rPr>
          <w:rFonts w:hint="eastAsia" w:ascii="仿宋" w:hAnsi="仿宋" w:eastAsia="仿宋"/>
          <w:color w:val="auto"/>
          <w:sz w:val="24"/>
          <w:szCs w:val="24"/>
          <w:highlight w:val="none"/>
        </w:rPr>
        <w:t>元，经发包人派驻工程师签字确认后发出违约金扣除通知单，违约金额在当期工程进度款中扣除。</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11）工程材料设备采购及工程质量方面的违约责任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1）工程师按照专用条款第50款的约定抽查承包人的工程材料时，发现所检查的材料与该条款约定的标准的任何一项不符合时，视情节轻重按照如下方式：</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A</w:t>
      </w:r>
      <w:r>
        <w:rPr>
          <w:rFonts w:hint="eastAsia" w:ascii="仿宋" w:hAnsi="仿宋" w:eastAsia="仿宋"/>
          <w:color w:val="auto"/>
          <w:sz w:val="24"/>
          <w:szCs w:val="24"/>
          <w:highlight w:val="none"/>
        </w:rPr>
        <w:t>、单宗或批次材料价值在</w:t>
      </w:r>
      <w:r>
        <w:rPr>
          <w:rFonts w:ascii="仿宋" w:hAnsi="仿宋" w:eastAsia="仿宋"/>
          <w:color w:val="auto"/>
          <w:sz w:val="24"/>
          <w:szCs w:val="24"/>
          <w:highlight w:val="none"/>
        </w:rPr>
        <w:t>5</w:t>
      </w:r>
      <w:r>
        <w:rPr>
          <w:rFonts w:hint="eastAsia" w:ascii="仿宋" w:hAnsi="仿宋" w:eastAsia="仿宋"/>
          <w:color w:val="auto"/>
          <w:sz w:val="24"/>
          <w:szCs w:val="24"/>
          <w:highlight w:val="none"/>
        </w:rPr>
        <w:t>万元以上</w:t>
      </w:r>
      <w:r>
        <w:rPr>
          <w:rFonts w:ascii="仿宋" w:hAnsi="仿宋" w:eastAsia="仿宋"/>
          <w:color w:val="auto"/>
          <w:sz w:val="24"/>
          <w:szCs w:val="24"/>
          <w:highlight w:val="none"/>
        </w:rPr>
        <w:t>20</w:t>
      </w:r>
      <w:r>
        <w:rPr>
          <w:rFonts w:hint="eastAsia" w:ascii="仿宋" w:hAnsi="仿宋" w:eastAsia="仿宋"/>
          <w:color w:val="auto"/>
          <w:sz w:val="24"/>
          <w:szCs w:val="24"/>
          <w:highlight w:val="none"/>
        </w:rPr>
        <w:t>万元以下（含</w:t>
      </w:r>
      <w:r>
        <w:rPr>
          <w:rFonts w:ascii="仿宋" w:hAnsi="仿宋" w:eastAsia="仿宋"/>
          <w:color w:val="auto"/>
          <w:sz w:val="24"/>
          <w:szCs w:val="24"/>
          <w:highlight w:val="none"/>
        </w:rPr>
        <w:t>20</w:t>
      </w:r>
      <w:r>
        <w:rPr>
          <w:rFonts w:hint="eastAsia" w:ascii="仿宋" w:hAnsi="仿宋" w:eastAsia="仿宋"/>
          <w:color w:val="auto"/>
          <w:sz w:val="24"/>
          <w:szCs w:val="24"/>
          <w:highlight w:val="none"/>
        </w:rPr>
        <w:t>万元），承包人承担</w:t>
      </w:r>
      <w:r>
        <w:rPr>
          <w:rFonts w:ascii="仿宋" w:hAnsi="仿宋" w:eastAsia="仿宋"/>
          <w:color w:val="auto"/>
          <w:sz w:val="24"/>
          <w:szCs w:val="24"/>
          <w:highlight w:val="none"/>
        </w:rPr>
        <w:t>1</w:t>
      </w:r>
      <w:r>
        <w:rPr>
          <w:rFonts w:hint="eastAsia" w:ascii="仿宋" w:hAnsi="仿宋" w:eastAsia="仿宋"/>
          <w:color w:val="auto"/>
          <w:sz w:val="24"/>
          <w:szCs w:val="24"/>
          <w:highlight w:val="none"/>
        </w:rPr>
        <w:t>次一般违约责任。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B</w:t>
      </w:r>
      <w:r>
        <w:rPr>
          <w:rFonts w:hint="eastAsia" w:ascii="仿宋" w:hAnsi="仿宋" w:eastAsia="仿宋"/>
          <w:color w:val="auto"/>
          <w:sz w:val="24"/>
          <w:szCs w:val="24"/>
          <w:highlight w:val="none"/>
        </w:rPr>
        <w:t>、单宗或批次材料价值</w:t>
      </w:r>
      <w:r>
        <w:rPr>
          <w:rFonts w:ascii="仿宋" w:hAnsi="仿宋" w:eastAsia="仿宋"/>
          <w:color w:val="auto"/>
          <w:sz w:val="24"/>
          <w:szCs w:val="24"/>
          <w:highlight w:val="none"/>
        </w:rPr>
        <w:t>20-50</w:t>
      </w:r>
      <w:r>
        <w:rPr>
          <w:rFonts w:hint="eastAsia" w:ascii="仿宋" w:hAnsi="仿宋" w:eastAsia="仿宋"/>
          <w:color w:val="auto"/>
          <w:sz w:val="24"/>
          <w:szCs w:val="24"/>
          <w:highlight w:val="none"/>
        </w:rPr>
        <w:t>万元（含</w:t>
      </w:r>
      <w:r>
        <w:rPr>
          <w:rFonts w:ascii="仿宋" w:hAnsi="仿宋" w:eastAsia="仿宋"/>
          <w:color w:val="auto"/>
          <w:sz w:val="24"/>
          <w:szCs w:val="24"/>
          <w:highlight w:val="none"/>
        </w:rPr>
        <w:t>50</w:t>
      </w:r>
      <w:r>
        <w:rPr>
          <w:rFonts w:hint="eastAsia" w:ascii="仿宋" w:hAnsi="仿宋" w:eastAsia="仿宋"/>
          <w:color w:val="auto"/>
          <w:sz w:val="24"/>
          <w:szCs w:val="24"/>
          <w:highlight w:val="none"/>
        </w:rPr>
        <w:t>万元），承包人承担</w:t>
      </w:r>
      <w:r>
        <w:rPr>
          <w:rFonts w:ascii="仿宋" w:hAnsi="仿宋" w:eastAsia="仿宋"/>
          <w:color w:val="auto"/>
          <w:sz w:val="24"/>
          <w:szCs w:val="24"/>
          <w:highlight w:val="none"/>
        </w:rPr>
        <w:t>1</w:t>
      </w:r>
      <w:r>
        <w:rPr>
          <w:rFonts w:hint="eastAsia" w:ascii="仿宋" w:hAnsi="仿宋" w:eastAsia="仿宋"/>
          <w:color w:val="auto"/>
          <w:sz w:val="24"/>
          <w:szCs w:val="24"/>
          <w:highlight w:val="none"/>
        </w:rPr>
        <w:t>次严重违约责任。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C</w:t>
      </w:r>
      <w:r>
        <w:rPr>
          <w:rFonts w:hint="eastAsia" w:ascii="仿宋" w:hAnsi="仿宋" w:eastAsia="仿宋"/>
          <w:color w:val="auto"/>
          <w:sz w:val="24"/>
          <w:szCs w:val="24"/>
          <w:highlight w:val="none"/>
        </w:rPr>
        <w:t>、单宗或批次材料价值在</w:t>
      </w:r>
      <w:r>
        <w:rPr>
          <w:rFonts w:ascii="仿宋" w:hAnsi="仿宋" w:eastAsia="仿宋"/>
          <w:color w:val="auto"/>
          <w:sz w:val="24"/>
          <w:szCs w:val="24"/>
          <w:highlight w:val="none"/>
        </w:rPr>
        <w:t>50</w:t>
      </w:r>
      <w:r>
        <w:rPr>
          <w:rFonts w:hint="eastAsia" w:ascii="仿宋" w:hAnsi="仿宋" w:eastAsia="仿宋"/>
          <w:color w:val="auto"/>
          <w:sz w:val="24"/>
          <w:szCs w:val="24"/>
          <w:highlight w:val="none"/>
        </w:rPr>
        <w:t>万元以上的，发包人有权部分解除合同或全部解除合同，并要求承包人赔偿发包人由此遭受的实际损失。</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D</w:t>
      </w:r>
      <w:r>
        <w:rPr>
          <w:rFonts w:hint="eastAsia" w:ascii="仿宋" w:hAnsi="仿宋" w:eastAsia="仿宋"/>
          <w:color w:val="auto"/>
          <w:sz w:val="24"/>
          <w:szCs w:val="24"/>
          <w:highlight w:val="none"/>
        </w:rPr>
        <w:t>、对于单宗或批次材料价值不高于</w:t>
      </w:r>
      <w:r>
        <w:rPr>
          <w:rFonts w:ascii="仿宋" w:hAnsi="仿宋" w:eastAsia="仿宋"/>
          <w:color w:val="auto"/>
          <w:sz w:val="24"/>
          <w:szCs w:val="24"/>
          <w:highlight w:val="none"/>
        </w:rPr>
        <w:t>5</w:t>
      </w:r>
      <w:r>
        <w:rPr>
          <w:rFonts w:hint="eastAsia" w:ascii="仿宋" w:hAnsi="仿宋" w:eastAsia="仿宋"/>
          <w:color w:val="auto"/>
          <w:sz w:val="24"/>
          <w:szCs w:val="24"/>
          <w:highlight w:val="none"/>
        </w:rPr>
        <w:t>万元的（含</w:t>
      </w:r>
      <w:r>
        <w:rPr>
          <w:rFonts w:ascii="仿宋" w:hAnsi="仿宋" w:eastAsia="仿宋"/>
          <w:color w:val="auto"/>
          <w:sz w:val="24"/>
          <w:szCs w:val="24"/>
          <w:highlight w:val="none"/>
        </w:rPr>
        <w:t>5</w:t>
      </w:r>
      <w:r>
        <w:rPr>
          <w:rFonts w:hint="eastAsia" w:ascii="仿宋" w:hAnsi="仿宋" w:eastAsia="仿宋"/>
          <w:color w:val="auto"/>
          <w:sz w:val="24"/>
          <w:szCs w:val="24"/>
          <w:highlight w:val="none"/>
        </w:rPr>
        <w:t>万元），但累计抽检不合格达</w:t>
      </w:r>
      <w:r>
        <w:rPr>
          <w:rFonts w:ascii="仿宋" w:hAnsi="仿宋" w:eastAsia="仿宋"/>
          <w:color w:val="auto"/>
          <w:sz w:val="24"/>
          <w:szCs w:val="24"/>
          <w:highlight w:val="none"/>
        </w:rPr>
        <w:t>3次，承包人承担1</w:t>
      </w:r>
      <w:r>
        <w:rPr>
          <w:rFonts w:hint="eastAsia" w:ascii="仿宋" w:hAnsi="仿宋" w:eastAsia="仿宋"/>
          <w:color w:val="auto"/>
          <w:sz w:val="24"/>
          <w:szCs w:val="24"/>
          <w:highlight w:val="none"/>
        </w:rPr>
        <w:t>次一般违约责任。</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违约金由发包人直接在进度款中扣除，情节严重的承包人除必须全部退货、返工，并赔偿由此造成的全部损失外，发包人有权解除合同、取消承包人在广州燃气集团有限公司系统的投标及承包资格，并报相关建设主管部门。</w:t>
      </w:r>
      <w:r>
        <w:rPr>
          <w:rFonts w:ascii="仿宋" w:hAnsi="仿宋" w:eastAsia="仿宋"/>
          <w:color w:val="auto"/>
          <w:sz w:val="24"/>
          <w:szCs w:val="24"/>
          <w:highlight w:val="none"/>
        </w:rPr>
        <w:t xml:space="preserve"> </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承包人按专用条款第20.2条第19款的约定，对各工序必须报验核查质量控制点。如承包人申请报验后，经工程师或发包人检查发现存在质量问题，则该工序质量为不合格，承包人必须全部返工，返工后经检查合格才准进入下一工序，工期不予顺延。复检的结果，按每一分项工程计算，总计发现3次或连续发现2次质量控制点不合格的，承包人承担严重违约责任；总计发现3次以上（不含本数）或连续发现2次以上（不含本数）质量控制点不合格的，发包人有权部分解除合同，将该分项工程另行发包，并不免除承包人应承担的违约赔偿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3）焊接质量要求一次合格率达95%，如同一焊工出现3次不合格，监理工程师有权要求更换焊工（所更换的焊工须通过相关考核），并承担一次一般违约。</w:t>
      </w:r>
    </w:p>
    <w:p>
      <w:pPr>
        <w:pStyle w:val="22"/>
        <w:snapToGrid w:val="0"/>
        <w:spacing w:before="62" w:beforeLines="20"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4）主要技术工人(焊工等)不持证上岗的，每发现一次扣除</w:t>
      </w:r>
      <w:r>
        <w:rPr>
          <w:rFonts w:ascii="仿宋" w:hAnsi="仿宋" w:eastAsia="仿宋"/>
          <w:color w:val="auto"/>
          <w:sz w:val="24"/>
          <w:highlight w:val="none"/>
          <w:u w:val="single"/>
        </w:rPr>
        <w:t xml:space="preserve"> 0.5 万</w:t>
      </w:r>
      <w:r>
        <w:rPr>
          <w:rFonts w:hint="eastAsia" w:ascii="仿宋" w:hAnsi="仿宋" w:eastAsia="仿宋"/>
          <w:color w:val="auto"/>
          <w:sz w:val="24"/>
          <w:highlight w:val="none"/>
        </w:rPr>
        <w:t>元的违约金，并在当期工程进度款中扣除。出现三次不持证上岗的，承包人承担一次一般违约。违约超过三次的，发包人重新评估后有权解除合同并取消承包人在广州燃气集团有限公司系统的投标及承包资格。</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5）如工程竣工后，经统计，最终承包人的焊缝一次合格率达不到95%，承包人向发包人交纳审定结算总价</w:t>
      </w:r>
      <w:r>
        <w:rPr>
          <w:rFonts w:ascii="仿宋" w:hAnsi="仿宋" w:eastAsia="仿宋"/>
          <w:color w:val="auto"/>
          <w:sz w:val="24"/>
          <w:szCs w:val="24"/>
          <w:highlight w:val="none"/>
          <w:u w:val="single"/>
        </w:rPr>
        <w:t xml:space="preserve">1 </w:t>
      </w:r>
      <w:r>
        <w:rPr>
          <w:rFonts w:ascii="仿宋" w:hAnsi="仿宋" w:eastAsia="仿宋"/>
          <w:color w:val="auto"/>
          <w:sz w:val="24"/>
          <w:szCs w:val="24"/>
          <w:highlight w:val="none"/>
        </w:rPr>
        <w:t>%的违约金；达不到85％时，承包人向发包人交纳审定结算总价</w:t>
      </w:r>
      <w:r>
        <w:rPr>
          <w:rFonts w:ascii="仿宋" w:hAnsi="仿宋" w:eastAsia="仿宋"/>
          <w:color w:val="auto"/>
          <w:sz w:val="24"/>
          <w:szCs w:val="24"/>
          <w:highlight w:val="none"/>
          <w:u w:val="single"/>
        </w:rPr>
        <w:t xml:space="preserve"> 2  </w:t>
      </w:r>
      <w:r>
        <w:rPr>
          <w:rFonts w:ascii="仿宋" w:hAnsi="仿宋" w:eastAsia="仿宋"/>
          <w:color w:val="auto"/>
          <w:sz w:val="24"/>
          <w:szCs w:val="24"/>
          <w:highlight w:val="none"/>
        </w:rPr>
        <w:t>%的违约金。</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6）工程竣工验收达不到合同约定的质量标准的，承包人向发包人交纳审定结算总价2 %的违约金。</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7）工程保修期内发现质量不合格，承包人必须在规定的期限返工并达到合同约定的质量等级。</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12）安全生产方面的违约责任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承包人在政府行政主管部门组织的质量安全检查中，被发现存在严重的安全隐患，被通报批评，或被新闻媒体曝光造成不良影响的，被通报或被曝光1次，承包人必须承担严重违约责任；造成严重社会影响或累计被通报或被曝光3</w:t>
      </w:r>
      <w:r>
        <w:rPr>
          <w:rFonts w:hint="eastAsia" w:ascii="仿宋" w:hAnsi="仿宋" w:eastAsia="仿宋"/>
          <w:color w:val="auto"/>
          <w:sz w:val="24"/>
          <w:szCs w:val="24"/>
          <w:highlight w:val="none"/>
        </w:rPr>
        <w:t>次以上（含本数）的，发包人有权解除合同，将本工程另行发包，并不免除承包人应承担的违约赔偿责任。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2）承包人在工程师进行的日常质量安全检查中，被发现存在安全隐患的，承包人应限期改正。若同样问题被每发现2次的或类似问题被每发现3次，承包人必须承担一般违约责任1次；此类问题的认定，以工程师书面通知、指令、通报和会议纪要为准。</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3）承包人不按安全规范的要求进行施工时，而在发包人或工程师三次通知整改却不执行时，发包人有权解除合同。</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4）承包人因自身原因造成的安全事故（含施工、工程质量、消防等事故）的，按国家规定由相关主管部门处罚，发包人视情况严重性，有权解除部分或全部合同，按照通用条款第87条的相关约定执行。</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13）文明施工、环境保护方面的违约责任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1）工程师按照合同条款的约定，对承包人文明施工措施进行对照检查。经检查发现承包人因自身原因未能落实的，承包人必须承担一般违约责任，并限期改正；如限期不改正，承包人须承担严重违约责任。</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 xml:space="preserve">2） </w:t>
      </w:r>
      <w:r>
        <w:rPr>
          <w:rFonts w:hint="eastAsia" w:ascii="仿宋" w:hAnsi="仿宋" w:eastAsia="仿宋"/>
          <w:color w:val="auto"/>
          <w:sz w:val="24"/>
          <w:szCs w:val="24"/>
          <w:highlight w:val="none"/>
        </w:rPr>
        <w:t>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解除部分或全部合同，并要求承包人赔偿由此造成的损失。</w:t>
      </w:r>
    </w:p>
    <w:p>
      <w:pPr>
        <w:spacing w:before="62" w:beforeLines="20"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 xml:space="preserve">3） </w:t>
      </w:r>
      <w:r>
        <w:rPr>
          <w:rFonts w:hint="eastAsia" w:ascii="仿宋" w:hAnsi="仿宋" w:eastAsia="仿宋"/>
          <w:color w:val="auto"/>
          <w:sz w:val="24"/>
          <w:szCs w:val="24"/>
          <w:highlight w:val="none"/>
        </w:rPr>
        <w:t>承包人在施工过程中因其自身原因造成周围环境卫生状况较差，被其他施工单位或周围居民投诉的，承包人必须在当天内整改。若故意拖延或同样问题连续被投诉</w:t>
      </w:r>
      <w:r>
        <w:rPr>
          <w:rFonts w:ascii="仿宋" w:hAnsi="仿宋" w:eastAsia="仿宋"/>
          <w:color w:val="auto"/>
          <w:sz w:val="24"/>
          <w:szCs w:val="24"/>
          <w:highlight w:val="none"/>
        </w:rPr>
        <w:t>2次，或累计被投诉3次，经查实，承包人必须承担一般违约责任1次。</w:t>
      </w:r>
    </w:p>
    <w:p>
      <w:pPr>
        <w:spacing w:before="62" w:beforeLines="20"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 xml:space="preserve">14） </w:t>
      </w:r>
      <w:r>
        <w:rPr>
          <w:rFonts w:hint="eastAsia" w:ascii="仿宋" w:hAnsi="仿宋" w:eastAsia="仿宋"/>
          <w:color w:val="auto"/>
          <w:sz w:val="24"/>
          <w:szCs w:val="24"/>
          <w:highlight w:val="none"/>
        </w:rPr>
        <w:t>工程分包、转包方面的违约责任：未经发包人书面同意，承包人擅自分包或者转包工程的，发包人有权单方解除部分合同或解除合同，由此而造成的经济损失由承包人负责赔偿。</w:t>
      </w:r>
    </w:p>
    <w:p>
      <w:pPr>
        <w:tabs>
          <w:tab w:val="left" w:pos="360"/>
        </w:tabs>
        <w:spacing w:before="62" w:beforeLines="20" w:line="400" w:lineRule="exact"/>
        <w:ind w:firstLine="488" w:firstLineChars="200"/>
        <w:rPr>
          <w:rFonts w:ascii="仿宋" w:hAnsi="仿宋" w:eastAsia="仿宋"/>
          <w:color w:val="auto"/>
          <w:spacing w:val="2"/>
          <w:position w:val="2"/>
          <w:sz w:val="24"/>
          <w:szCs w:val="24"/>
          <w:highlight w:val="none"/>
        </w:rPr>
      </w:pPr>
      <w:r>
        <w:rPr>
          <w:rFonts w:hint="eastAsia" w:ascii="仿宋" w:hAnsi="仿宋" w:eastAsia="仿宋"/>
          <w:color w:val="auto"/>
          <w:spacing w:val="2"/>
          <w:position w:val="2"/>
          <w:sz w:val="24"/>
          <w:szCs w:val="24"/>
          <w:highlight w:val="none"/>
        </w:rPr>
        <w:t>（</w:t>
      </w:r>
      <w:r>
        <w:rPr>
          <w:rFonts w:ascii="仿宋" w:hAnsi="仿宋" w:eastAsia="仿宋"/>
          <w:color w:val="auto"/>
          <w:spacing w:val="2"/>
          <w:position w:val="2"/>
          <w:sz w:val="24"/>
          <w:szCs w:val="24"/>
          <w:highlight w:val="none"/>
        </w:rPr>
        <w:t xml:space="preserve">15） </w:t>
      </w:r>
      <w:r>
        <w:rPr>
          <w:rFonts w:hint="eastAsia" w:ascii="仿宋" w:hAnsi="仿宋" w:eastAsia="仿宋"/>
          <w:color w:val="auto"/>
          <w:spacing w:val="2"/>
          <w:position w:val="2"/>
          <w:sz w:val="24"/>
          <w:szCs w:val="24"/>
          <w:highlight w:val="none"/>
        </w:rPr>
        <w:t>承包人承诺的</w:t>
      </w:r>
      <w:r>
        <w:rPr>
          <w:rFonts w:hint="eastAsia" w:ascii="仿宋" w:hAnsi="仿宋" w:eastAsia="仿宋"/>
          <w:color w:val="auto"/>
          <w:sz w:val="24"/>
          <w:szCs w:val="24"/>
          <w:highlight w:val="none"/>
        </w:rPr>
        <w:t>关键人员、关键设备</w:t>
      </w:r>
      <w:r>
        <w:rPr>
          <w:rFonts w:hint="eastAsia" w:ascii="仿宋" w:hAnsi="仿宋" w:eastAsia="仿宋"/>
          <w:color w:val="auto"/>
          <w:spacing w:val="2"/>
          <w:position w:val="2"/>
          <w:sz w:val="24"/>
          <w:szCs w:val="24"/>
          <w:highlight w:val="none"/>
        </w:rPr>
        <w:t>不到位，或到位后又离开，造成该岗位空缺。发包人及工程师一旦发现，将要求承包人做出书面解释及保证人员、设备限期到位，同时将要求承包人承担一般违约责任</w:t>
      </w:r>
      <w:r>
        <w:rPr>
          <w:rFonts w:ascii="仿宋" w:hAnsi="仿宋" w:eastAsia="仿宋"/>
          <w:color w:val="auto"/>
          <w:spacing w:val="2"/>
          <w:position w:val="2"/>
          <w:sz w:val="24"/>
          <w:szCs w:val="24"/>
          <w:highlight w:val="none"/>
        </w:rPr>
        <w:t>1次(除本合同另有条款约定外)；如果承包人拒不配合，未在发包人或工程师提出限期改正的期限内进行整改的，承包人应承担严重违约责任1次(除本合同另有条款约定外)，发包人有权单方提出解除合同，并要求承包人承担由此造成的发包人损失。关键人员一般是指项目经理、项目技术负责人、安全负责人、质量管理员、资料员、</w:t>
      </w:r>
      <w:r>
        <w:rPr>
          <w:rFonts w:hint="eastAsia" w:ascii="仿宋" w:hAnsi="仿宋" w:eastAsia="仿宋"/>
          <w:color w:val="auto"/>
          <w:spacing w:val="2"/>
          <w:position w:val="2"/>
          <w:sz w:val="24"/>
          <w:szCs w:val="24"/>
          <w:highlight w:val="none"/>
        </w:rPr>
        <w:t>持证的特种作业人员；关键设备详见承包人承诺投入设备以及文明施工围蔽及警示等设施。</w:t>
      </w:r>
    </w:p>
    <w:p>
      <w:pPr>
        <w:pStyle w:val="36"/>
        <w:spacing w:before="62" w:beforeLines="20" w:beforeAutospacing="0" w:after="0" w:afterAutospacing="0" w:line="400" w:lineRule="exact"/>
        <w:ind w:firstLine="488" w:firstLineChars="200"/>
        <w:jc w:val="both"/>
        <w:rPr>
          <w:rFonts w:ascii="仿宋" w:hAnsi="仿宋" w:eastAsia="仿宋"/>
          <w:color w:val="auto"/>
          <w:highlight w:val="none"/>
        </w:rPr>
      </w:pPr>
      <w:r>
        <w:rPr>
          <w:rFonts w:hint="eastAsia" w:ascii="仿宋" w:hAnsi="仿宋" w:eastAsia="仿宋"/>
          <w:color w:val="auto"/>
          <w:spacing w:val="2"/>
          <w:position w:val="2"/>
          <w:highlight w:val="none"/>
        </w:rPr>
        <w:t>（</w:t>
      </w:r>
      <w:r>
        <w:rPr>
          <w:rFonts w:ascii="仿宋" w:hAnsi="仿宋" w:eastAsia="仿宋"/>
          <w:color w:val="auto"/>
          <w:spacing w:val="2"/>
          <w:position w:val="2"/>
          <w:highlight w:val="none"/>
        </w:rPr>
        <w:t xml:space="preserve">16） </w:t>
      </w:r>
      <w:r>
        <w:rPr>
          <w:rFonts w:hint="eastAsia" w:ascii="仿宋" w:hAnsi="仿宋" w:eastAsia="仿宋"/>
          <w:color w:val="auto"/>
          <w:highlight w:val="none"/>
        </w:rPr>
        <w:t>对承包人不遵守相关质量要求时</w:t>
      </w:r>
      <w:r>
        <w:rPr>
          <w:rFonts w:hint="eastAsia" w:ascii="仿宋" w:hAnsi="仿宋" w:eastAsia="仿宋"/>
          <w:color w:val="auto"/>
          <w:spacing w:val="2"/>
          <w:position w:val="2"/>
          <w:highlight w:val="none"/>
        </w:rPr>
        <w:t>：</w:t>
      </w:r>
      <w:r>
        <w:rPr>
          <w:rFonts w:hint="eastAsia" w:ascii="仿宋" w:hAnsi="仿宋" w:eastAsia="仿宋"/>
          <w:color w:val="auto"/>
          <w:highlight w:val="none"/>
        </w:rPr>
        <w:t>承包人承担一般违约责任</w:t>
      </w:r>
      <w:r>
        <w:rPr>
          <w:rFonts w:ascii="仿宋" w:hAnsi="仿宋" w:eastAsia="仿宋"/>
          <w:color w:val="auto"/>
          <w:highlight w:val="none"/>
        </w:rPr>
        <w:t>1次。</w:t>
      </w:r>
      <w:r>
        <w:rPr>
          <w:rFonts w:hint="eastAsia" w:ascii="仿宋" w:hAnsi="仿宋" w:eastAsia="仿宋"/>
          <w:color w:val="auto"/>
          <w:spacing w:val="2"/>
          <w:position w:val="2"/>
          <w:highlight w:val="none"/>
        </w:rPr>
        <w:t>如果承包人拒不配合整改的，</w:t>
      </w:r>
      <w:r>
        <w:rPr>
          <w:rFonts w:hint="eastAsia" w:ascii="仿宋" w:hAnsi="仿宋" w:eastAsia="仿宋"/>
          <w:color w:val="auto"/>
          <w:highlight w:val="none"/>
        </w:rPr>
        <w:t>承包人承担严重违约责任</w:t>
      </w:r>
      <w:r>
        <w:rPr>
          <w:rFonts w:ascii="仿宋" w:hAnsi="仿宋" w:eastAsia="仿宋"/>
          <w:color w:val="auto"/>
          <w:highlight w:val="none"/>
        </w:rPr>
        <w:t>1次</w:t>
      </w:r>
      <w:r>
        <w:rPr>
          <w:rFonts w:hint="eastAsia" w:ascii="仿宋" w:hAnsi="仿宋" w:eastAsia="仿宋"/>
          <w:color w:val="auto"/>
          <w:spacing w:val="2"/>
          <w:position w:val="2"/>
          <w:highlight w:val="none"/>
        </w:rPr>
        <w:t>。</w:t>
      </w:r>
    </w:p>
    <w:p>
      <w:pPr>
        <w:pStyle w:val="36"/>
        <w:widowControl w:val="0"/>
        <w:spacing w:before="62" w:beforeLines="20" w:beforeAutospacing="0" w:after="0" w:afterAutospacing="0" w:line="400" w:lineRule="exact"/>
        <w:ind w:firstLine="488" w:firstLineChars="200"/>
        <w:jc w:val="both"/>
        <w:rPr>
          <w:rFonts w:ascii="仿宋" w:hAnsi="仿宋" w:eastAsia="仿宋"/>
          <w:color w:val="auto"/>
          <w:highlight w:val="none"/>
        </w:rPr>
      </w:pPr>
      <w:r>
        <w:rPr>
          <w:rFonts w:hint="eastAsia" w:ascii="仿宋" w:hAnsi="仿宋" w:eastAsia="仿宋"/>
          <w:color w:val="auto"/>
          <w:spacing w:val="2"/>
          <w:position w:val="2"/>
          <w:highlight w:val="none"/>
        </w:rPr>
        <w:t>（</w:t>
      </w:r>
      <w:r>
        <w:rPr>
          <w:rFonts w:ascii="仿宋" w:hAnsi="仿宋" w:eastAsia="仿宋"/>
          <w:color w:val="auto"/>
          <w:spacing w:val="2"/>
          <w:position w:val="2"/>
          <w:highlight w:val="none"/>
        </w:rPr>
        <w:t xml:space="preserve">17） </w:t>
      </w:r>
      <w:r>
        <w:rPr>
          <w:rFonts w:hint="eastAsia" w:ascii="仿宋" w:hAnsi="仿宋" w:eastAsia="仿宋"/>
          <w:color w:val="auto"/>
          <w:highlight w:val="none"/>
        </w:rPr>
        <w:t>有关政府部门根据政府规章制度对承包人进行相关的检查（如安全、环保、劳保等），承包人有义务配合。若出现被政府部门处罚的现象，将视为损害发包人的行为，发包人有权对承包人按严重违约追究责任。</w:t>
      </w:r>
    </w:p>
    <w:p>
      <w:pPr>
        <w:pStyle w:val="36"/>
        <w:widowControl w:val="0"/>
        <w:spacing w:before="62" w:beforeLines="20" w:beforeAutospacing="0" w:after="0" w:afterAutospacing="0" w:line="400" w:lineRule="exact"/>
        <w:ind w:firstLine="488" w:firstLineChars="200"/>
        <w:jc w:val="both"/>
        <w:rPr>
          <w:rFonts w:ascii="仿宋" w:hAnsi="仿宋" w:eastAsia="仿宋"/>
          <w:color w:val="auto"/>
          <w:spacing w:val="2"/>
          <w:position w:val="2"/>
          <w:highlight w:val="none"/>
        </w:rPr>
      </w:pPr>
      <w:r>
        <w:rPr>
          <w:rFonts w:hint="eastAsia" w:ascii="仿宋" w:hAnsi="仿宋" w:eastAsia="仿宋"/>
          <w:color w:val="auto"/>
          <w:spacing w:val="2"/>
          <w:position w:val="2"/>
          <w:highlight w:val="none"/>
        </w:rPr>
        <w:t>（</w:t>
      </w:r>
      <w:r>
        <w:rPr>
          <w:rFonts w:ascii="仿宋" w:hAnsi="仿宋" w:eastAsia="仿宋"/>
          <w:color w:val="auto"/>
          <w:spacing w:val="2"/>
          <w:position w:val="2"/>
          <w:highlight w:val="none"/>
        </w:rPr>
        <w:t xml:space="preserve">18） </w:t>
      </w:r>
      <w:r>
        <w:rPr>
          <w:rFonts w:hint="eastAsia" w:ascii="仿宋" w:hAnsi="仿宋" w:eastAsia="仿宋"/>
          <w:color w:val="auto"/>
          <w:highlight w:val="none"/>
        </w:rPr>
        <w:t>对于承包人不遵守投标文件的承诺的行为发包人及工程师有权向承包人提出限期改正要求，承包人须在限期内执行。</w:t>
      </w:r>
    </w:p>
    <w:p>
      <w:pPr>
        <w:spacing w:before="62" w:beforeLines="20" w:line="400" w:lineRule="exact"/>
        <w:ind w:firstLine="488" w:firstLineChars="200"/>
        <w:rPr>
          <w:rFonts w:ascii="仿宋" w:hAnsi="仿宋" w:eastAsia="仿宋"/>
          <w:color w:val="auto"/>
          <w:sz w:val="24"/>
          <w:szCs w:val="24"/>
          <w:highlight w:val="none"/>
        </w:rPr>
      </w:pPr>
      <w:r>
        <w:rPr>
          <w:rFonts w:hint="eastAsia" w:ascii="仿宋" w:hAnsi="仿宋" w:eastAsia="仿宋"/>
          <w:color w:val="auto"/>
          <w:spacing w:val="2"/>
          <w:position w:val="2"/>
          <w:sz w:val="24"/>
          <w:szCs w:val="24"/>
          <w:highlight w:val="none"/>
        </w:rPr>
        <w:t>（</w:t>
      </w:r>
      <w:r>
        <w:rPr>
          <w:rFonts w:ascii="仿宋" w:hAnsi="仿宋" w:eastAsia="仿宋"/>
          <w:color w:val="auto"/>
          <w:spacing w:val="2"/>
          <w:position w:val="2"/>
          <w:sz w:val="24"/>
          <w:szCs w:val="24"/>
          <w:highlight w:val="none"/>
        </w:rPr>
        <w:t>1</w:t>
      </w:r>
      <w:r>
        <w:rPr>
          <w:rFonts w:ascii="仿宋" w:hAnsi="仿宋" w:eastAsia="仿宋"/>
          <w:color w:val="auto"/>
          <w:spacing w:val="2"/>
          <w:position w:val="2"/>
          <w:highlight w:val="none"/>
        </w:rPr>
        <w:t>9</w:t>
      </w:r>
      <w:r>
        <w:rPr>
          <w:rFonts w:hint="eastAsia" w:ascii="仿宋" w:hAnsi="仿宋" w:eastAsia="仿宋"/>
          <w:color w:val="auto"/>
          <w:spacing w:val="2"/>
          <w:position w:val="2"/>
          <w:sz w:val="24"/>
          <w:szCs w:val="24"/>
          <w:highlight w:val="none"/>
        </w:rPr>
        <w:t>）</w:t>
      </w:r>
      <w:r>
        <w:rPr>
          <w:rFonts w:ascii="仿宋" w:hAnsi="仿宋" w:eastAsia="仿宋"/>
          <w:color w:val="auto"/>
          <w:spacing w:val="2"/>
          <w:position w:val="2"/>
          <w:sz w:val="24"/>
          <w:szCs w:val="24"/>
          <w:highlight w:val="none"/>
        </w:rPr>
        <w:t xml:space="preserve"> </w:t>
      </w:r>
      <w:r>
        <w:rPr>
          <w:rFonts w:hint="eastAsia" w:ascii="仿宋" w:hAnsi="仿宋" w:eastAsia="仿宋"/>
          <w:color w:val="auto"/>
          <w:sz w:val="24"/>
          <w:szCs w:val="24"/>
          <w:highlight w:val="none"/>
        </w:rPr>
        <w:t>其他违约责任：除上述约定之外，承包人有违反其他合同文件或本合同组成文件义务的，均构成违约，应当承担违约责任。根据招标文件，本招标工程项目的履约担保为合同价款的</w:t>
      </w:r>
      <w:r>
        <w:rPr>
          <w:rFonts w:ascii="仿宋" w:hAnsi="仿宋" w:eastAsia="仿宋"/>
          <w:color w:val="auto"/>
          <w:sz w:val="24"/>
          <w:szCs w:val="24"/>
          <w:highlight w:val="none"/>
        </w:rPr>
        <w:t>10%，承包人未按合同履行任何义务，即应向发包人支付履约</w:t>
      </w:r>
      <w:r>
        <w:rPr>
          <w:rFonts w:hint="eastAsia" w:ascii="仿宋" w:hAnsi="仿宋" w:eastAsia="仿宋"/>
          <w:color w:val="auto"/>
          <w:sz w:val="24"/>
          <w:szCs w:val="24"/>
          <w:highlight w:val="none"/>
        </w:rPr>
        <w:t>担保金额</w:t>
      </w:r>
      <w:r>
        <w:rPr>
          <w:rFonts w:ascii="仿宋" w:hAnsi="仿宋" w:eastAsia="仿宋"/>
          <w:color w:val="auto"/>
          <w:sz w:val="24"/>
          <w:szCs w:val="24"/>
          <w:highlight w:val="none"/>
        </w:rPr>
        <w:t>作为违约金。保证期至终验通过为止。当工期延期，须延长履约</w:t>
      </w:r>
      <w:r>
        <w:rPr>
          <w:rFonts w:hint="eastAsia" w:ascii="仿宋" w:hAnsi="仿宋" w:eastAsia="仿宋"/>
          <w:color w:val="auto"/>
          <w:sz w:val="24"/>
          <w:szCs w:val="24"/>
          <w:highlight w:val="none"/>
        </w:rPr>
        <w:t>担保</w:t>
      </w:r>
      <w:r>
        <w:rPr>
          <w:rFonts w:ascii="仿宋" w:hAnsi="仿宋" w:eastAsia="仿宋"/>
          <w:color w:val="auto"/>
          <w:sz w:val="24"/>
          <w:szCs w:val="24"/>
          <w:highlight w:val="none"/>
        </w:rPr>
        <w:t xml:space="preserve">的有效期，发包人在工程竣工验收合格、竣工结算、竣工资料移交后 30 </w:t>
      </w:r>
      <w:r>
        <w:rPr>
          <w:rFonts w:hint="eastAsia" w:ascii="仿宋" w:hAnsi="仿宋" w:eastAsia="仿宋"/>
          <w:color w:val="auto"/>
          <w:sz w:val="24"/>
          <w:szCs w:val="24"/>
          <w:highlight w:val="none"/>
        </w:rPr>
        <w:t>天内将扣除违约金和赔偿后剩余的履约担保无息退还承包人的。承包人未按发包人规定期限内提交竣工验收资料，发包人有权没收履约担保及质保金并报相关建设主管部门。</w:t>
      </w:r>
    </w:p>
    <w:p>
      <w:pPr>
        <w:spacing w:before="62" w:beforeLines="20" w:line="400" w:lineRule="exact"/>
        <w:ind w:firstLine="488" w:firstLineChars="200"/>
        <w:rPr>
          <w:rFonts w:ascii="仿宋" w:hAnsi="仿宋" w:eastAsia="仿宋"/>
          <w:color w:val="auto"/>
          <w:sz w:val="24"/>
          <w:szCs w:val="24"/>
          <w:highlight w:val="none"/>
        </w:rPr>
      </w:pPr>
      <w:r>
        <w:rPr>
          <w:rFonts w:hint="eastAsia" w:ascii="仿宋" w:hAnsi="仿宋" w:eastAsia="仿宋"/>
          <w:color w:val="auto"/>
          <w:spacing w:val="2"/>
          <w:position w:val="2"/>
          <w:sz w:val="24"/>
          <w:szCs w:val="24"/>
          <w:highlight w:val="none"/>
        </w:rPr>
        <w:t>（</w:t>
      </w:r>
      <w:r>
        <w:rPr>
          <w:rFonts w:ascii="仿宋" w:hAnsi="仿宋" w:eastAsia="仿宋"/>
          <w:color w:val="auto"/>
          <w:spacing w:val="2"/>
          <w:position w:val="2"/>
          <w:sz w:val="24"/>
          <w:szCs w:val="24"/>
          <w:highlight w:val="none"/>
        </w:rPr>
        <w:t xml:space="preserve">20） </w:t>
      </w:r>
      <w:r>
        <w:rPr>
          <w:rFonts w:hint="eastAsia" w:ascii="仿宋" w:hAnsi="仿宋" w:eastAsia="仿宋"/>
          <w:color w:val="auto"/>
          <w:sz w:val="24"/>
          <w:szCs w:val="24"/>
          <w:highlight w:val="none"/>
        </w:rPr>
        <w:t>本合同条款中将部分合同或全部合同解除后，发包人有权按有关规定另行选择承包人。</w:t>
      </w:r>
    </w:p>
    <w:p>
      <w:pPr>
        <w:rPr>
          <w:rFonts w:ascii="仿宋" w:hAnsi="仿宋" w:eastAsia="仿宋"/>
          <w:color w:val="auto"/>
          <w:highlight w:val="none"/>
        </w:rPr>
      </w:pPr>
    </w:p>
    <w:p>
      <w:pPr>
        <w:rPr>
          <w:color w:val="auto"/>
          <w:highlight w:val="none"/>
        </w:rPr>
      </w:pPr>
    </w:p>
    <w:p>
      <w:pPr>
        <w:pStyle w:val="8"/>
        <w:tabs>
          <w:tab w:val="left" w:pos="420"/>
        </w:tabs>
        <w:rPr>
          <w:rFonts w:ascii="仿宋" w:hAnsi="仿宋" w:eastAsia="仿宋" w:cs="仿宋"/>
          <w:b w:val="0"/>
          <w:bCs/>
          <w:color w:val="auto"/>
          <w:highlight w:val="none"/>
        </w:rPr>
      </w:pPr>
      <w:bookmarkStart w:id="754" w:name="_Toc21736"/>
      <w:bookmarkStart w:id="755" w:name="_Toc6557"/>
      <w:bookmarkStart w:id="756" w:name="_Toc25653771"/>
      <w:r>
        <w:rPr>
          <w:rFonts w:hint="eastAsia" w:ascii="仿宋" w:hAnsi="仿宋" w:eastAsia="仿宋" w:cs="仿宋"/>
          <w:b w:val="0"/>
          <w:bCs/>
          <w:color w:val="auto"/>
          <w:highlight w:val="none"/>
        </w:rPr>
        <w:t>★</w:t>
      </w:r>
      <w:r>
        <w:rPr>
          <w:rFonts w:ascii="仿宋" w:hAnsi="仿宋" w:eastAsia="仿宋" w:cs="仿宋"/>
          <w:b w:val="0"/>
          <w:bCs/>
          <w:color w:val="auto"/>
          <w:highlight w:val="none"/>
        </w:rPr>
        <w:t xml:space="preserve">91 </w:t>
      </w:r>
      <w:r>
        <w:rPr>
          <w:rFonts w:hint="eastAsia" w:ascii="仿宋" w:hAnsi="仿宋" w:eastAsia="仿宋" w:cs="仿宋"/>
          <w:b w:val="0"/>
          <w:bCs/>
          <w:color w:val="auto"/>
          <w:highlight w:val="none"/>
        </w:rPr>
        <w:t>发包人的违约责任</w:t>
      </w:r>
      <w:bookmarkEnd w:id="754"/>
      <w:bookmarkEnd w:id="755"/>
      <w:bookmarkEnd w:id="756"/>
    </w:p>
    <w:p>
      <w:pPr>
        <w:pStyle w:val="22"/>
        <w:adjustRightInd w:val="0"/>
        <w:snapToGrid w:val="0"/>
        <w:spacing w:line="360" w:lineRule="auto"/>
        <w:ind w:firstLine="117" w:firstLineChars="49"/>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91.1 </w:t>
      </w:r>
      <w:r>
        <w:rPr>
          <w:rFonts w:hint="eastAsia" w:ascii="仿宋" w:hAnsi="仿宋" w:eastAsia="仿宋" w:cs="仿宋"/>
          <w:color w:val="auto"/>
          <w:sz w:val="24"/>
          <w:szCs w:val="24"/>
          <w:highlight w:val="none"/>
        </w:rPr>
        <w:t>发包人不履行合同义务或不按合同约定履行义务时，承担违约责任，造成承包人工期延误的，经发包人同意后顺延延误的工期。</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lang w:val="en-US"/>
        </w:rPr>
      </w:pPr>
      <w:bookmarkStart w:id="757" w:name="_Toc25653772"/>
      <w:bookmarkStart w:id="758" w:name="_Toc127"/>
      <w:bookmarkStart w:id="759" w:name="_Toc23252"/>
      <w:bookmarkStart w:id="760" w:name="_Toc469384136"/>
      <w:r>
        <w:rPr>
          <w:rFonts w:ascii="仿宋" w:hAnsi="仿宋" w:eastAsia="仿宋" w:cs="仿宋"/>
          <w:b w:val="0"/>
          <w:bCs/>
          <w:color w:val="auto"/>
          <w:highlight w:val="none"/>
          <w:lang w:val="en-US"/>
        </w:rPr>
        <w:t xml:space="preserve">94. </w:t>
      </w:r>
      <w:r>
        <w:rPr>
          <w:rFonts w:hint="eastAsia" w:ascii="仿宋" w:hAnsi="仿宋" w:eastAsia="仿宋" w:cs="仿宋"/>
          <w:b w:val="0"/>
          <w:bCs/>
          <w:color w:val="auto"/>
          <w:highlight w:val="none"/>
        </w:rPr>
        <w:t>保密要求</w:t>
      </w:r>
      <w:bookmarkEnd w:id="757"/>
      <w:bookmarkEnd w:id="758"/>
      <w:bookmarkEnd w:id="759"/>
      <w:bookmarkEnd w:id="760"/>
    </w:p>
    <w:p>
      <w:pPr>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94.1 </w:t>
      </w:r>
      <w:r>
        <w:rPr>
          <w:rFonts w:hint="eastAsia" w:ascii="仿宋" w:hAnsi="仿宋" w:eastAsia="仿宋" w:cs="仿宋"/>
          <w:color w:val="auto"/>
          <w:kern w:val="0"/>
          <w:sz w:val="24"/>
          <w:szCs w:val="24"/>
          <w:highlight w:val="none"/>
        </w:rPr>
        <w:t>提供保密信息的期限：</w:t>
      </w:r>
      <w:r>
        <w:rPr>
          <w:rFonts w:hint="eastAsia" w:ascii="仿宋" w:hAnsi="仿宋" w:eastAsia="仿宋" w:cs="仿宋"/>
          <w:color w:val="auto"/>
          <w:kern w:val="0"/>
          <w:sz w:val="24"/>
          <w:szCs w:val="24"/>
          <w:highlight w:val="none"/>
          <w:u w:val="single"/>
        </w:rPr>
        <w:t>永久。</w:t>
      </w:r>
    </w:p>
    <w:p>
      <w:pPr>
        <w:rPr>
          <w:rFonts w:ascii="仿宋" w:hAnsi="仿宋" w:eastAsia="仿宋"/>
          <w:color w:val="auto"/>
          <w:kern w:val="0"/>
          <w:sz w:val="24"/>
          <w:szCs w:val="24"/>
          <w:highlight w:val="none"/>
        </w:rPr>
      </w:pPr>
    </w:p>
    <w:p>
      <w:pPr>
        <w:pStyle w:val="8"/>
        <w:tabs>
          <w:tab w:val="left" w:pos="420"/>
        </w:tabs>
        <w:rPr>
          <w:rFonts w:ascii="仿宋" w:hAnsi="仿宋" w:eastAsia="仿宋"/>
          <w:b w:val="0"/>
          <w:bCs/>
          <w:color w:val="auto"/>
          <w:highlight w:val="none"/>
        </w:rPr>
      </w:pPr>
      <w:bookmarkStart w:id="761" w:name="_Toc24088"/>
      <w:bookmarkStart w:id="762" w:name="_Toc469384137"/>
      <w:bookmarkStart w:id="763" w:name="_Toc2633"/>
      <w:bookmarkStart w:id="764" w:name="_Toc25653773"/>
      <w:r>
        <w:rPr>
          <w:rFonts w:ascii="仿宋" w:hAnsi="仿宋" w:eastAsia="仿宋" w:cs="仿宋"/>
          <w:b w:val="0"/>
          <w:bCs/>
          <w:color w:val="auto"/>
          <w:highlight w:val="none"/>
        </w:rPr>
        <w:t xml:space="preserve">97. </w:t>
      </w:r>
      <w:r>
        <w:rPr>
          <w:rFonts w:hint="eastAsia" w:ascii="仿宋" w:hAnsi="仿宋" w:eastAsia="仿宋" w:cs="仿宋"/>
          <w:b w:val="0"/>
          <w:bCs/>
          <w:color w:val="auto"/>
          <w:highlight w:val="none"/>
        </w:rPr>
        <w:t>合同份数</w:t>
      </w:r>
      <w:bookmarkEnd w:id="761"/>
      <w:bookmarkEnd w:id="762"/>
      <w:bookmarkEnd w:id="763"/>
      <w:bookmarkEnd w:id="764"/>
    </w:p>
    <w:p>
      <w:pPr>
        <w:rPr>
          <w:rFonts w:ascii="仿宋" w:hAnsi="仿宋" w:eastAsia="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97.1 </w:t>
      </w:r>
      <w:r>
        <w:rPr>
          <w:rFonts w:hint="eastAsia" w:ascii="仿宋" w:hAnsi="仿宋" w:eastAsia="仿宋" w:cs="仿宋"/>
          <w:color w:val="auto"/>
          <w:kern w:val="0"/>
          <w:sz w:val="24"/>
          <w:szCs w:val="24"/>
          <w:highlight w:val="none"/>
        </w:rPr>
        <w:t>约定提供合同文件</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提供合同文本：</w:t>
      </w: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sym w:font="Wingdings 2" w:char="F052"/>
      </w:r>
      <w:r>
        <w:rPr>
          <w:rFonts w:hint="eastAsia" w:ascii="仿宋" w:hAnsi="仿宋" w:eastAsia="仿宋" w:cs="仿宋"/>
          <w:color w:val="auto"/>
          <w:kern w:val="0"/>
          <w:sz w:val="24"/>
          <w:szCs w:val="24"/>
          <w:highlight w:val="none"/>
        </w:rPr>
        <w:t>按通用条款的规定，由发包人向承包人提供。</w:t>
      </w:r>
    </w:p>
    <w:p>
      <w:pPr>
        <w:spacing w:line="360" w:lineRule="auto"/>
        <w:rPr>
          <w:rFonts w:ascii="仿宋" w:hAnsi="仿宋" w:eastAsia="仿宋" w:cs="仿宋"/>
          <w:color w:val="auto"/>
          <w:kern w:val="0"/>
          <w:sz w:val="24"/>
          <w:szCs w:val="24"/>
          <w:highlight w:val="none"/>
        </w:rPr>
      </w:pPr>
    </w:p>
    <w:p>
      <w:pPr>
        <w:spacing w:line="360" w:lineRule="auto"/>
        <w:rPr>
          <w:rFonts w:ascii="仿宋" w:hAnsi="仿宋" w:eastAsia="仿宋"/>
          <w:color w:val="auto"/>
          <w:kern w:val="0"/>
          <w:sz w:val="24"/>
          <w:szCs w:val="24"/>
          <w:highlight w:val="none"/>
        </w:rPr>
      </w:pPr>
      <w:r>
        <w:rPr>
          <w:rFonts w:ascii="仿宋" w:hAnsi="仿宋" w:eastAsia="仿宋" w:cs="仿宋"/>
          <w:color w:val="auto"/>
          <w:kern w:val="0"/>
          <w:sz w:val="24"/>
          <w:szCs w:val="24"/>
          <w:highlight w:val="none"/>
        </w:rPr>
        <w:t xml:space="preserve">  97.2 </w:t>
      </w:r>
      <w:r>
        <w:rPr>
          <w:rFonts w:hint="eastAsia" w:ascii="仿宋" w:hAnsi="仿宋" w:eastAsia="仿宋" w:cs="仿宋"/>
          <w:color w:val="auto"/>
          <w:kern w:val="0"/>
          <w:sz w:val="24"/>
          <w:szCs w:val="24"/>
          <w:highlight w:val="none"/>
        </w:rPr>
        <w:t>正副本效力</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合同的份数：</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正本</w:t>
      </w:r>
      <w:r>
        <w:rPr>
          <w:rFonts w:hint="eastAsia" w:ascii="仿宋" w:hAnsi="仿宋" w:eastAsia="仿宋" w:cs="仿宋"/>
          <w:color w:val="auto"/>
          <w:kern w:val="0"/>
          <w:sz w:val="24"/>
          <w:szCs w:val="24"/>
          <w:highlight w:val="none"/>
          <w:u w:val="single"/>
        </w:rPr>
        <w:t>贰</w:t>
      </w:r>
      <w:r>
        <w:rPr>
          <w:rFonts w:hint="eastAsia" w:ascii="仿宋" w:hAnsi="仿宋" w:eastAsia="仿宋" w:cs="仿宋"/>
          <w:color w:val="auto"/>
          <w:kern w:val="0"/>
          <w:sz w:val="24"/>
          <w:szCs w:val="24"/>
          <w:highlight w:val="none"/>
        </w:rPr>
        <w:t>份，副本</w:t>
      </w:r>
      <w:r>
        <w:rPr>
          <w:rFonts w:hint="eastAsia" w:ascii="仿宋" w:hAnsi="仿宋" w:eastAsia="仿宋" w:cs="仿宋"/>
          <w:color w:val="auto"/>
          <w:kern w:val="0"/>
          <w:sz w:val="24"/>
          <w:szCs w:val="24"/>
          <w:highlight w:val="none"/>
          <w:u w:val="single"/>
          <w:lang w:val="en-US" w:eastAsia="zh-CN"/>
        </w:rPr>
        <w:t>伍</w:t>
      </w:r>
      <w:r>
        <w:rPr>
          <w:rFonts w:hint="eastAsia" w:ascii="仿宋" w:hAnsi="仿宋" w:eastAsia="仿宋" w:cs="仿宋"/>
          <w:color w:val="auto"/>
          <w:kern w:val="0"/>
          <w:sz w:val="24"/>
          <w:szCs w:val="24"/>
          <w:highlight w:val="none"/>
        </w:rPr>
        <w:t>份。</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其中：发包人正本</w:t>
      </w:r>
      <w:r>
        <w:rPr>
          <w:rFonts w:hint="eastAsia" w:ascii="仿宋" w:hAnsi="仿宋" w:eastAsia="仿宋" w:cs="仿宋"/>
          <w:color w:val="auto"/>
          <w:kern w:val="0"/>
          <w:sz w:val="24"/>
          <w:szCs w:val="24"/>
          <w:highlight w:val="none"/>
          <w:u w:val="single"/>
        </w:rPr>
        <w:t>壹</w:t>
      </w:r>
      <w:r>
        <w:rPr>
          <w:rFonts w:hint="eastAsia" w:ascii="仿宋" w:hAnsi="仿宋" w:eastAsia="仿宋" w:cs="仿宋"/>
          <w:color w:val="auto"/>
          <w:kern w:val="0"/>
          <w:sz w:val="24"/>
          <w:szCs w:val="24"/>
          <w:highlight w:val="none"/>
        </w:rPr>
        <w:t>份，副本</w:t>
      </w:r>
      <w:r>
        <w:rPr>
          <w:rFonts w:hint="eastAsia" w:ascii="仿宋" w:hAnsi="仿宋" w:eastAsia="仿宋" w:cs="仿宋"/>
          <w:color w:val="auto"/>
          <w:kern w:val="0"/>
          <w:sz w:val="24"/>
          <w:szCs w:val="24"/>
          <w:highlight w:val="none"/>
          <w:u w:val="single"/>
          <w:lang w:val="en-US" w:eastAsia="zh-CN"/>
        </w:rPr>
        <w:t>叁</w:t>
      </w:r>
      <w:r>
        <w:rPr>
          <w:rFonts w:hint="eastAsia" w:ascii="仿宋" w:hAnsi="仿宋" w:eastAsia="仿宋" w:cs="仿宋"/>
          <w:color w:val="auto"/>
          <w:kern w:val="0"/>
          <w:sz w:val="24"/>
          <w:szCs w:val="24"/>
          <w:highlight w:val="none"/>
        </w:rPr>
        <w:t>份；</w:t>
      </w:r>
    </w:p>
    <w:p>
      <w:pPr>
        <w:spacing w:line="360" w:lineRule="auto"/>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承包人正本</w:t>
      </w:r>
      <w:r>
        <w:rPr>
          <w:rFonts w:hint="eastAsia" w:ascii="仿宋" w:hAnsi="仿宋" w:eastAsia="仿宋" w:cs="仿宋"/>
          <w:color w:val="auto"/>
          <w:kern w:val="0"/>
          <w:sz w:val="24"/>
          <w:szCs w:val="24"/>
          <w:highlight w:val="none"/>
          <w:u w:val="single"/>
        </w:rPr>
        <w:t>壹</w:t>
      </w:r>
      <w:r>
        <w:rPr>
          <w:rFonts w:hint="eastAsia" w:ascii="仿宋" w:hAnsi="仿宋" w:eastAsia="仿宋" w:cs="仿宋"/>
          <w:color w:val="auto"/>
          <w:kern w:val="0"/>
          <w:sz w:val="24"/>
          <w:szCs w:val="24"/>
          <w:highlight w:val="none"/>
        </w:rPr>
        <w:t>份，副本</w:t>
      </w:r>
      <w:r>
        <w:rPr>
          <w:rFonts w:hint="eastAsia" w:ascii="仿宋" w:hAnsi="仿宋" w:eastAsia="仿宋" w:cs="仿宋"/>
          <w:color w:val="auto"/>
          <w:kern w:val="0"/>
          <w:sz w:val="24"/>
          <w:szCs w:val="24"/>
          <w:highlight w:val="none"/>
          <w:u w:val="single"/>
          <w:lang w:val="en-US" w:eastAsia="zh-CN"/>
        </w:rPr>
        <w:t>贰</w:t>
      </w:r>
      <w:r>
        <w:rPr>
          <w:rFonts w:hint="eastAsia" w:ascii="仿宋" w:hAnsi="仿宋" w:eastAsia="仿宋" w:cs="仿宋"/>
          <w:color w:val="auto"/>
          <w:kern w:val="0"/>
          <w:sz w:val="24"/>
          <w:szCs w:val="24"/>
          <w:highlight w:val="none"/>
        </w:rPr>
        <w:t>份。</w:t>
      </w:r>
    </w:p>
    <w:p>
      <w:pPr>
        <w:rPr>
          <w:rFonts w:ascii="宋体"/>
          <w:color w:val="auto"/>
          <w:kern w:val="0"/>
          <w:sz w:val="24"/>
          <w:szCs w:val="24"/>
          <w:highlight w:val="none"/>
        </w:rPr>
        <w:sectPr>
          <w:pgSz w:w="11906" w:h="16838"/>
          <w:pgMar w:top="1440" w:right="1800" w:bottom="1440" w:left="1800" w:header="851" w:footer="992" w:gutter="0"/>
          <w:pgNumType w:fmt="decimal"/>
          <w:cols w:space="720" w:num="1"/>
          <w:docGrid w:type="lines" w:linePitch="312" w:charSpace="0"/>
        </w:sectPr>
      </w:pPr>
    </w:p>
    <w:p>
      <w:pPr>
        <w:rPr>
          <w:color w:val="auto"/>
          <w:highlight w:val="none"/>
        </w:rPr>
      </w:pPr>
    </w:p>
    <w:p>
      <w:pPr>
        <w:rPr>
          <w:color w:val="auto"/>
          <w:highlight w:val="none"/>
        </w:rPr>
      </w:pPr>
    </w:p>
    <w:p>
      <w:pPr>
        <w:widowControl/>
        <w:jc w:val="left"/>
        <w:rPr>
          <w:rFonts w:ascii="宋体" w:hAnsi="宋体" w:cs="宋体"/>
          <w:b/>
          <w:bCs/>
          <w:color w:val="auto"/>
          <w:kern w:val="0"/>
          <w:sz w:val="36"/>
          <w:szCs w:val="36"/>
          <w:highlight w:val="none"/>
        </w:rPr>
      </w:pPr>
      <w:bookmarkStart w:id="765" w:name="_Toc266892922"/>
      <w:bookmarkStart w:id="766" w:name="_Toc234"/>
      <w:bookmarkStart w:id="767" w:name="_Toc25653774"/>
      <w:bookmarkStart w:id="768" w:name="_Toc469384138"/>
      <w:r>
        <w:rPr>
          <w:rFonts w:ascii="宋体" w:hAnsi="宋体" w:cs="宋体"/>
          <w:b/>
          <w:bCs/>
          <w:color w:val="auto"/>
          <w:kern w:val="0"/>
          <w:sz w:val="36"/>
          <w:szCs w:val="36"/>
          <w:highlight w:val="none"/>
        </w:rPr>
        <w:br w:type="page"/>
      </w:r>
    </w:p>
    <w:p>
      <w:pPr>
        <w:keepNext/>
        <w:keepLines/>
        <w:widowControl/>
        <w:tabs>
          <w:tab w:val="left" w:pos="420"/>
        </w:tabs>
        <w:spacing w:before="340" w:after="330"/>
        <w:ind w:left="433" w:leftChars="206" w:firstLine="2707" w:firstLineChars="749"/>
        <w:outlineLvl w:val="0"/>
        <w:rPr>
          <w:rFonts w:ascii="宋体" w:hAnsi="宋体"/>
          <w:b/>
          <w:bCs/>
          <w:color w:val="auto"/>
          <w:kern w:val="0"/>
          <w:sz w:val="36"/>
          <w:szCs w:val="36"/>
          <w:highlight w:val="none"/>
        </w:rPr>
      </w:pPr>
      <w:bookmarkStart w:id="769" w:name="_Toc5754"/>
      <w:r>
        <w:rPr>
          <w:rFonts w:hint="eastAsia" w:ascii="宋体" w:hAnsi="宋体" w:cs="宋体"/>
          <w:b/>
          <w:bCs/>
          <w:color w:val="auto"/>
          <w:kern w:val="0"/>
          <w:sz w:val="36"/>
          <w:szCs w:val="36"/>
          <w:highlight w:val="none"/>
        </w:rPr>
        <w:t>第四部分附件与格式</w:t>
      </w:r>
      <w:bookmarkEnd w:id="765"/>
      <w:bookmarkEnd w:id="766"/>
      <w:bookmarkEnd w:id="767"/>
      <w:bookmarkEnd w:id="768"/>
      <w:bookmarkEnd w:id="769"/>
    </w:p>
    <w:p>
      <w:pPr>
        <w:spacing w:line="360" w:lineRule="auto"/>
        <w:ind w:firstLine="361" w:firstLineChars="150"/>
        <w:outlineLvl w:val="1"/>
        <w:rPr>
          <w:rFonts w:ascii="仿宋" w:hAnsi="仿宋" w:eastAsia="仿宋" w:cs="仿宋"/>
          <w:b/>
          <w:bCs/>
          <w:color w:val="auto"/>
          <w:sz w:val="24"/>
          <w:szCs w:val="24"/>
          <w:highlight w:val="none"/>
        </w:rPr>
        <w:sectPr>
          <w:endnotePr>
            <w:numFmt w:val="decimal"/>
          </w:endnotePr>
          <w:type w:val="continuous"/>
          <w:pgSz w:w="11906" w:h="16838"/>
          <w:pgMar w:top="1440" w:right="1800" w:bottom="1440" w:left="1800" w:header="0" w:footer="0" w:gutter="0"/>
          <w:pgNumType w:fmt="decimal"/>
          <w:cols w:space="720" w:num="1"/>
          <w:docGrid w:linePitch="286" w:charSpace="0"/>
        </w:sectPr>
      </w:pPr>
      <w:bookmarkStart w:id="770" w:name="_Toc469384140"/>
      <w:bookmarkStart w:id="771" w:name="_Toc266892924"/>
    </w:p>
    <w:bookmarkEnd w:id="770"/>
    <w:bookmarkEnd w:id="771"/>
    <w:p>
      <w:pPr>
        <w:spacing w:line="360" w:lineRule="auto"/>
        <w:outlineLvl w:val="1"/>
        <w:rPr>
          <w:rFonts w:ascii="仿宋" w:hAnsi="仿宋" w:eastAsia="仿宋"/>
          <w:b/>
          <w:bCs/>
          <w:color w:val="auto"/>
          <w:sz w:val="24"/>
          <w:szCs w:val="24"/>
          <w:highlight w:val="none"/>
        </w:rPr>
      </w:pPr>
      <w:bookmarkStart w:id="772" w:name="_Toc469384141"/>
      <w:bookmarkStart w:id="773" w:name="_Toc266892925"/>
      <w:bookmarkStart w:id="774" w:name="_Toc25653776"/>
      <w:bookmarkStart w:id="775" w:name="_Toc3249"/>
      <w:bookmarkStart w:id="776" w:name="_Toc10460"/>
      <w:r>
        <w:rPr>
          <w:rFonts w:hint="eastAsia" w:ascii="仿宋" w:hAnsi="仿宋" w:eastAsia="仿宋" w:cs="仿宋"/>
          <w:b/>
          <w:bCs/>
          <w:color w:val="auto"/>
          <w:sz w:val="24"/>
          <w:szCs w:val="24"/>
          <w:highlight w:val="none"/>
        </w:rPr>
        <w:t>附件</w:t>
      </w:r>
      <w:bookmarkEnd w:id="772"/>
      <w:bookmarkEnd w:id="773"/>
      <w:bookmarkEnd w:id="774"/>
      <w:r>
        <w:rPr>
          <w:rFonts w:hint="eastAsia" w:ascii="仿宋" w:hAnsi="仿宋" w:eastAsia="仿宋" w:cs="仿宋"/>
          <w:b/>
          <w:bCs/>
          <w:color w:val="auto"/>
          <w:sz w:val="24"/>
          <w:szCs w:val="24"/>
          <w:highlight w:val="none"/>
          <w:lang w:val="en-US" w:eastAsia="zh-CN"/>
        </w:rPr>
        <w:t>1</w:t>
      </w:r>
      <w:r>
        <w:rPr>
          <w:rFonts w:ascii="仿宋" w:hAnsi="仿宋" w:eastAsia="仿宋" w:cs="仿宋"/>
          <w:b/>
          <w:bCs/>
          <w:color w:val="auto"/>
          <w:sz w:val="24"/>
          <w:szCs w:val="24"/>
          <w:highlight w:val="none"/>
        </w:rPr>
        <w:t>：</w:t>
      </w:r>
      <w:bookmarkEnd w:id="775"/>
      <w:bookmarkEnd w:id="776"/>
    </w:p>
    <w:p>
      <w:pPr>
        <w:spacing w:line="360" w:lineRule="auto"/>
        <w:rPr>
          <w:rFonts w:ascii="仿宋" w:hAnsi="仿宋" w:eastAsia="仿宋" w:cs="仿宋"/>
          <w:color w:val="auto"/>
          <w:sz w:val="24"/>
          <w:szCs w:val="24"/>
          <w:highlight w:val="none"/>
        </w:rPr>
      </w:pPr>
    </w:p>
    <w:p>
      <w:pPr>
        <w:adjustRightInd w:val="0"/>
        <w:snapToGrid w:val="0"/>
        <w:spacing w:line="360" w:lineRule="auto"/>
        <w:jc w:val="center"/>
        <w:rPr>
          <w:rFonts w:ascii="仿宋" w:hAnsi="仿宋" w:eastAsia="仿宋" w:cs="仿宋"/>
          <w:b/>
          <w:bCs/>
          <w:color w:val="auto"/>
          <w:spacing w:val="32"/>
          <w:sz w:val="36"/>
          <w:szCs w:val="36"/>
          <w:highlight w:val="none"/>
        </w:rPr>
      </w:pPr>
      <w:r>
        <w:rPr>
          <w:rFonts w:hint="eastAsia" w:ascii="仿宋" w:hAnsi="仿宋" w:eastAsia="仿宋" w:cs="仿宋"/>
          <w:b/>
          <w:bCs/>
          <w:color w:val="auto"/>
          <w:spacing w:val="32"/>
          <w:sz w:val="36"/>
          <w:szCs w:val="36"/>
          <w:highlight w:val="none"/>
        </w:rPr>
        <w:t>工程质量保修书</w:t>
      </w:r>
    </w:p>
    <w:p>
      <w:pPr>
        <w:adjustRightInd w:val="0"/>
        <w:snapToGrid w:val="0"/>
        <w:spacing w:line="360" w:lineRule="auto"/>
        <w:rPr>
          <w:rFonts w:ascii="仿宋" w:hAnsi="仿宋" w:eastAsia="仿宋" w:cs="仿宋"/>
          <w:color w:val="auto"/>
          <w:sz w:val="24"/>
          <w:szCs w:val="24"/>
          <w:highlight w:val="none"/>
        </w:rPr>
      </w:pP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w:t>
      </w:r>
      <w:r>
        <w:rPr>
          <w:rFonts w:hint="eastAsia" w:ascii="仿宋" w:hAnsi="仿宋" w:eastAsia="仿宋" w:cs="仿宋"/>
          <w:color w:val="auto"/>
          <w:sz w:val="24"/>
          <w:szCs w:val="24"/>
          <w:highlight w:val="none"/>
          <w:u w:val="single"/>
        </w:rPr>
        <w:t>广州燃气集团有限公司</w:t>
      </w: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w:t>
      </w:r>
      <w:r>
        <w:rPr>
          <w:rFonts w:hint="eastAsia" w:ascii="仿宋" w:hAnsi="仿宋" w:eastAsia="仿宋" w:cs="仿宋"/>
          <w:color w:val="auto"/>
          <w:sz w:val="24"/>
          <w:szCs w:val="24"/>
          <w:highlight w:val="none"/>
          <w:u w:val="single"/>
        </w:rPr>
        <w:t xml:space="preserve">                                   </w:t>
      </w: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为保证（工程名称）</w:t>
      </w:r>
      <w:r>
        <w:rPr>
          <w:rFonts w:hint="eastAsia" w:ascii="仿宋" w:hAnsi="仿宋" w:eastAsia="仿宋" w:cs="仿宋"/>
          <w:color w:val="auto"/>
          <w:sz w:val="24"/>
          <w:szCs w:val="24"/>
          <w:highlight w:val="none"/>
          <w:u w:val="single"/>
          <w:lang w:eastAsia="zh-CN"/>
        </w:rPr>
        <w:t>田心调压站扩容改造工程施工项目</w:t>
      </w:r>
      <w:r>
        <w:rPr>
          <w:rFonts w:hint="eastAsia" w:ascii="仿宋" w:hAnsi="仿宋" w:eastAsia="仿宋" w:cs="仿宋"/>
          <w:color w:val="auto"/>
          <w:sz w:val="24"/>
          <w:szCs w:val="24"/>
          <w:highlight w:val="none"/>
        </w:rPr>
        <w:t>在合理使用期限内正常使用，合同双方当事人根据《中华人民共和国建筑法》、《建设工程质量管理条例》和《房屋建筑工程质量保修办法》等规定，经协商一致，订立本质量保修书。</w:t>
      </w:r>
    </w:p>
    <w:p>
      <w:pPr>
        <w:adjustRightInd w:val="0"/>
        <w:snapToGrid w:val="0"/>
        <w:spacing w:line="360" w:lineRule="auto"/>
        <w:ind w:firstLine="480" w:firstLineChars="200"/>
        <w:rPr>
          <w:rFonts w:ascii="仿宋" w:hAnsi="仿宋" w:eastAsia="仿宋" w:cs="仿宋"/>
          <w:color w:val="auto"/>
          <w:sz w:val="24"/>
          <w:szCs w:val="24"/>
          <w:highlight w:val="none"/>
        </w:rPr>
      </w:pPr>
    </w:p>
    <w:p>
      <w:pPr>
        <w:numPr>
          <w:ilvl w:val="0"/>
          <w:numId w:val="36"/>
        </w:numPr>
        <w:adjustRightInd w:val="0"/>
        <w:snapToGrid w:val="0"/>
        <w:spacing w:line="360" w:lineRule="auto"/>
        <w:ind w:left="902" w:leftChars="200" w:hanging="482" w:hanging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质量保修范围</w:t>
      </w: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adjustRightInd w:val="0"/>
        <w:snapToGrid w:val="0"/>
        <w:spacing w:line="360" w:lineRule="auto"/>
        <w:ind w:firstLine="480" w:firstLineChars="20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承包人施工的所有工程范围</w:t>
      </w:r>
      <w:r>
        <w:rPr>
          <w:rFonts w:ascii="仿宋" w:hAnsi="仿宋" w:eastAsia="仿宋" w:cs="仿宋"/>
          <w:color w:val="auto"/>
          <w:sz w:val="24"/>
          <w:szCs w:val="24"/>
          <w:highlight w:val="none"/>
          <w:u w:val="single"/>
        </w:rPr>
        <w:t xml:space="preserve">     </w:t>
      </w:r>
    </w:p>
    <w:p>
      <w:pPr>
        <w:adjustRightInd w:val="0"/>
        <w:snapToGrid w:val="0"/>
        <w:spacing w:line="360" w:lineRule="auto"/>
        <w:ind w:firstLine="480" w:firstLineChars="200"/>
        <w:rPr>
          <w:rFonts w:ascii="仿宋" w:hAnsi="仿宋" w:eastAsia="仿宋" w:cs="仿宋"/>
          <w:color w:val="auto"/>
          <w:sz w:val="24"/>
          <w:szCs w:val="24"/>
          <w:highlight w:val="none"/>
          <w:u w:val="single"/>
        </w:rPr>
      </w:pPr>
    </w:p>
    <w:p>
      <w:pPr>
        <w:numPr>
          <w:ilvl w:val="0"/>
          <w:numId w:val="36"/>
        </w:numPr>
        <w:adjustRightInd w:val="0"/>
        <w:snapToGrid w:val="0"/>
        <w:spacing w:line="360" w:lineRule="auto"/>
        <w:ind w:left="902" w:leftChars="200" w:hanging="482" w:hanging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质量保修期</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rPr>
        <w:t>质量保修期从工程实际竣工之日算起。单项竣工验收的工程，按单项工程分别计算质量保修期。</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2.2 </w:t>
      </w:r>
      <w:r>
        <w:rPr>
          <w:rFonts w:hint="eastAsia" w:ascii="仿宋" w:hAnsi="仿宋" w:eastAsia="仿宋" w:cs="仿宋"/>
          <w:color w:val="auto"/>
          <w:kern w:val="0"/>
          <w:sz w:val="24"/>
          <w:szCs w:val="24"/>
          <w:highlight w:val="none"/>
          <w:lang w:val="zh-CN"/>
        </w:rPr>
        <w:t>合同工程质量保修期，合同双方当事人约定如下</w:t>
      </w:r>
      <w:r>
        <w:rPr>
          <w:rFonts w:hint="eastAsia" w:ascii="仿宋" w:hAnsi="仿宋" w:eastAsia="仿宋" w:cs="仿宋"/>
          <w:color w:val="auto"/>
          <w:sz w:val="24"/>
          <w:szCs w:val="24"/>
          <w:highlight w:val="none"/>
        </w:rPr>
        <w:t>：</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1．地基基础工程、主体结构工程为设计文件规定的合理使用年限；</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2．屋面防水工程、有防水要求的卫生间、房间和外墙面的防渗漏工程为5年；</w:t>
      </w:r>
    </w:p>
    <w:p>
      <w:pPr>
        <w:adjustRightInd w:val="0"/>
        <w:snapToGrid w:val="0"/>
        <w:spacing w:line="360" w:lineRule="auto"/>
        <w:ind w:firstLine="240" w:firstLineChars="1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  3．电气管线工程、给排水管道工程、设备安装工程为2年；</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4．供热、供冷系统工程为2个采暖期、供冷期；</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5．装饰装修工程为2年；</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6．其他项目：燃气管道工程为2年。</w:t>
      </w:r>
    </w:p>
    <w:p>
      <w:pPr>
        <w:adjustRightInd w:val="0"/>
        <w:snapToGrid w:val="0"/>
        <w:spacing w:line="360" w:lineRule="auto"/>
        <w:ind w:firstLine="480" w:firstLineChars="200"/>
        <w:rPr>
          <w:rFonts w:ascii="仿宋" w:hAnsi="仿宋" w:eastAsia="仿宋" w:cs="仿宋"/>
          <w:color w:val="auto"/>
          <w:sz w:val="24"/>
          <w:szCs w:val="24"/>
          <w:highlight w:val="none"/>
        </w:rPr>
      </w:pPr>
    </w:p>
    <w:p>
      <w:pPr>
        <w:adjustRightInd w:val="0"/>
        <w:snapToGrid w:val="0"/>
        <w:spacing w:line="360" w:lineRule="auto"/>
        <w:ind w:left="480"/>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b/>
          <w:bCs/>
          <w:color w:val="auto"/>
          <w:sz w:val="24"/>
          <w:szCs w:val="24"/>
          <w:highlight w:val="none"/>
        </w:rPr>
        <w:t>质量保修责任</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3.1  </w:t>
      </w:r>
      <w:r>
        <w:rPr>
          <w:rFonts w:hint="eastAsia" w:ascii="仿宋" w:hAnsi="仿宋" w:eastAsia="仿宋" w:cs="仿宋"/>
          <w:color w:val="auto"/>
          <w:kern w:val="0"/>
          <w:sz w:val="24"/>
          <w:szCs w:val="24"/>
          <w:highlight w:val="none"/>
          <w:lang w:val="zh-CN"/>
        </w:rPr>
        <w:t>属于保修范围的项目，承包人应在接到发包人通知后的</w:t>
      </w:r>
      <w:r>
        <w:rPr>
          <w:rFonts w:ascii="仿宋" w:hAnsi="仿宋" w:eastAsia="仿宋" w:cs="仿宋"/>
          <w:color w:val="auto"/>
          <w:kern w:val="0"/>
          <w:sz w:val="24"/>
          <w:szCs w:val="24"/>
          <w:highlight w:val="none"/>
        </w:rPr>
        <w:t xml:space="preserve"> 7 </w:t>
      </w:r>
      <w:r>
        <w:rPr>
          <w:rFonts w:hint="eastAsia" w:ascii="仿宋" w:hAnsi="仿宋" w:eastAsia="仿宋" w:cs="仿宋"/>
          <w:color w:val="auto"/>
          <w:kern w:val="0"/>
          <w:sz w:val="24"/>
          <w:szCs w:val="24"/>
          <w:highlight w:val="none"/>
          <w:lang w:val="zh-CN"/>
        </w:rPr>
        <w:t>天内派人保修。承包人未能在规定时间内派人保修的，发包人可自行或委托第三方保修</w:t>
      </w:r>
      <w:r>
        <w:rPr>
          <w:rFonts w:hint="eastAsia" w:ascii="仿宋" w:hAnsi="仿宋" w:eastAsia="仿宋" w:cs="仿宋"/>
          <w:color w:val="auto"/>
          <w:sz w:val="24"/>
          <w:szCs w:val="24"/>
          <w:highlight w:val="none"/>
        </w:rPr>
        <w:t>。</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rPr>
        <w:t>发生紧急抢修事故的，承包人在接到通知后，应立即到达事故现场抢修。</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3.3  </w:t>
      </w:r>
      <w:r>
        <w:rPr>
          <w:rFonts w:hint="eastAsia" w:ascii="仿宋" w:hAnsi="仿宋" w:eastAsia="仿宋" w:cs="仿宋"/>
          <w:color w:val="auto"/>
          <w:sz w:val="24"/>
          <w:szCs w:val="24"/>
          <w:highlight w:val="none"/>
        </w:rPr>
        <w:t>在国家规定的工程合理使用期限内，承包人应确保地基基础工程和主体结构的质量和安全。凡出现其质量问题，应立即报告当地建设行政主管部门，经设计人提出保修方案后，承包人应立即实施保修。</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3.4  </w:t>
      </w:r>
      <w:r>
        <w:rPr>
          <w:rFonts w:hint="eastAsia" w:ascii="仿宋" w:hAnsi="仿宋" w:eastAsia="仿宋" w:cs="仿宋"/>
          <w:color w:val="auto"/>
          <w:sz w:val="24"/>
          <w:szCs w:val="24"/>
          <w:highlight w:val="none"/>
        </w:rPr>
        <w:t>质量保修完成后，由发包人组织验收。</w:t>
      </w:r>
    </w:p>
    <w:p>
      <w:pPr>
        <w:adjustRightInd w:val="0"/>
        <w:snapToGrid w:val="0"/>
        <w:spacing w:line="360" w:lineRule="auto"/>
        <w:rPr>
          <w:rFonts w:ascii="仿宋" w:hAnsi="仿宋" w:eastAsia="仿宋" w:cs="仿宋"/>
          <w:color w:val="auto"/>
          <w:sz w:val="24"/>
          <w:szCs w:val="24"/>
          <w:highlight w:val="none"/>
        </w:rPr>
      </w:pPr>
    </w:p>
    <w:p>
      <w:pPr>
        <w:adjustRightInd w:val="0"/>
        <w:snapToGrid w:val="0"/>
        <w:spacing w:line="360" w:lineRule="auto"/>
        <w:ind w:left="480"/>
        <w:rPr>
          <w:rFonts w:ascii="仿宋" w:hAnsi="仿宋" w:eastAsia="仿宋" w:cs="仿宋"/>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b/>
          <w:bCs/>
          <w:color w:val="auto"/>
          <w:sz w:val="24"/>
          <w:szCs w:val="24"/>
          <w:highlight w:val="none"/>
        </w:rPr>
        <w:t>质量保修费用</w:t>
      </w: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质量保修等费用，由责任方承担</w:t>
      </w:r>
      <w:r>
        <w:rPr>
          <w:rFonts w:hint="eastAsia" w:ascii="仿宋" w:hAnsi="仿宋" w:eastAsia="仿宋" w:cs="仿宋"/>
          <w:color w:val="auto"/>
          <w:sz w:val="24"/>
          <w:szCs w:val="24"/>
          <w:highlight w:val="none"/>
        </w:rPr>
        <w:t>。</w:t>
      </w:r>
    </w:p>
    <w:p>
      <w:pPr>
        <w:adjustRightInd w:val="0"/>
        <w:snapToGrid w:val="0"/>
        <w:spacing w:line="360" w:lineRule="auto"/>
        <w:ind w:firstLine="480" w:firstLineChars="200"/>
        <w:rPr>
          <w:rFonts w:ascii="仿宋" w:hAnsi="仿宋" w:eastAsia="仿宋" w:cs="仿宋"/>
          <w:color w:val="auto"/>
          <w:sz w:val="24"/>
          <w:szCs w:val="24"/>
          <w:highlight w:val="none"/>
        </w:rPr>
      </w:pP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b/>
          <w:bCs/>
          <w:color w:val="auto"/>
          <w:sz w:val="24"/>
          <w:szCs w:val="24"/>
          <w:highlight w:val="none"/>
        </w:rPr>
        <w:t>质量保证金</w:t>
      </w: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质量保证金的约定、支付和使用与本合同第二部分《通用条款》第</w:t>
      </w:r>
      <w:r>
        <w:rPr>
          <w:rFonts w:ascii="仿宋" w:hAnsi="仿宋" w:eastAsia="仿宋" w:cs="仿宋"/>
          <w:color w:val="auto"/>
          <w:kern w:val="0"/>
          <w:sz w:val="24"/>
          <w:szCs w:val="24"/>
          <w:highlight w:val="none"/>
        </w:rPr>
        <w:t xml:space="preserve"> 84 </w:t>
      </w:r>
      <w:r>
        <w:rPr>
          <w:rFonts w:hint="eastAsia" w:ascii="仿宋" w:hAnsi="仿宋" w:eastAsia="仿宋" w:cs="仿宋"/>
          <w:color w:val="auto"/>
          <w:kern w:val="0"/>
          <w:sz w:val="24"/>
          <w:szCs w:val="24"/>
          <w:highlight w:val="none"/>
          <w:lang w:val="zh-CN"/>
        </w:rPr>
        <w:t>条赋予的规</w:t>
      </w:r>
      <w:r>
        <w:rPr>
          <w:rFonts w:hint="eastAsia" w:ascii="仿宋" w:hAnsi="仿宋" w:eastAsia="仿宋" w:cs="仿宋"/>
          <w:color w:val="auto"/>
          <w:sz w:val="24"/>
          <w:szCs w:val="24"/>
          <w:highlight w:val="none"/>
        </w:rPr>
        <w:t>定一致。</w:t>
      </w:r>
    </w:p>
    <w:p>
      <w:pPr>
        <w:adjustRightInd w:val="0"/>
        <w:snapToGrid w:val="0"/>
        <w:spacing w:line="360" w:lineRule="auto"/>
        <w:ind w:left="480"/>
        <w:rPr>
          <w:rFonts w:ascii="仿宋" w:hAnsi="仿宋" w:eastAsia="仿宋" w:cs="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b/>
          <w:bCs/>
          <w:color w:val="auto"/>
          <w:sz w:val="24"/>
          <w:szCs w:val="24"/>
          <w:highlight w:val="none"/>
        </w:rPr>
        <w:t>其他</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6.1  </w:t>
      </w:r>
      <w:r>
        <w:rPr>
          <w:rFonts w:hint="eastAsia" w:ascii="仿宋" w:hAnsi="仿宋" w:eastAsia="仿宋" w:cs="仿宋"/>
          <w:color w:val="auto"/>
          <w:kern w:val="0"/>
          <w:sz w:val="24"/>
          <w:szCs w:val="24"/>
          <w:highlight w:val="none"/>
          <w:lang w:val="zh-CN"/>
        </w:rPr>
        <w:t>合同双方当事人约定的其他质量保修事</w:t>
      </w:r>
      <w:r>
        <w:rPr>
          <w:rFonts w:hint="eastAsia" w:ascii="仿宋" w:hAnsi="仿宋" w:eastAsia="仿宋" w:cs="仿宋"/>
          <w:color w:val="auto"/>
          <w:sz w:val="24"/>
          <w:szCs w:val="24"/>
          <w:highlight w:val="none"/>
        </w:rPr>
        <w:t>项：</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6.2  </w:t>
      </w:r>
      <w:r>
        <w:rPr>
          <w:rFonts w:hint="eastAsia" w:ascii="仿宋" w:hAnsi="仿宋" w:eastAsia="仿宋" w:cs="仿宋"/>
          <w:color w:val="auto"/>
          <w:kern w:val="0"/>
          <w:sz w:val="24"/>
          <w:szCs w:val="24"/>
          <w:highlight w:val="none"/>
          <w:lang w:val="zh-CN"/>
        </w:rPr>
        <w:t>本质量保修书，由合同双方当事人在承包人向发包人提交竣工验收申请报告时签署，作为本合同的附件</w:t>
      </w:r>
      <w:r>
        <w:rPr>
          <w:rFonts w:hint="eastAsia" w:ascii="仿宋" w:hAnsi="仿宋" w:eastAsia="仿宋" w:cs="仿宋"/>
          <w:color w:val="auto"/>
          <w:sz w:val="24"/>
          <w:szCs w:val="24"/>
          <w:highlight w:val="none"/>
        </w:rPr>
        <w:t>。</w:t>
      </w:r>
    </w:p>
    <w:p>
      <w:pPr>
        <w:adjustRightInd w:val="0"/>
        <w:snapToGrid w:val="0"/>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6.3  </w:t>
      </w:r>
      <w:r>
        <w:rPr>
          <w:rFonts w:hint="eastAsia" w:ascii="仿宋" w:hAnsi="仿宋" w:eastAsia="仿宋" w:cs="仿宋"/>
          <w:color w:val="auto"/>
          <w:kern w:val="0"/>
          <w:sz w:val="24"/>
          <w:szCs w:val="24"/>
          <w:highlight w:val="none"/>
          <w:lang w:val="zh-CN"/>
        </w:rPr>
        <w:t>本质量保修书，自合同双方当事人签署之日起生效，至质量保修期满后失效。</w:t>
      </w:r>
    </w:p>
    <w:p>
      <w:pPr>
        <w:adjustRightInd w:val="0"/>
        <w:snapToGrid w:val="0"/>
        <w:spacing w:line="360" w:lineRule="auto"/>
        <w:ind w:firstLine="480" w:firstLineChars="200"/>
        <w:rPr>
          <w:rFonts w:ascii="仿宋" w:hAnsi="仿宋" w:eastAsia="仿宋" w:cs="仿宋"/>
          <w:color w:val="auto"/>
          <w:sz w:val="24"/>
          <w:szCs w:val="24"/>
          <w:highlight w:val="none"/>
        </w:rPr>
      </w:pP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发包人：（盖章）</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承包人：（盖章）</w:t>
      </w:r>
    </w:p>
    <w:p>
      <w:pPr>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法定代表人：（签字）</w:t>
      </w:r>
    </w:p>
    <w:p>
      <w:pPr>
        <w:spacing w:line="360" w:lineRule="auto"/>
        <w:ind w:firstLine="480" w:firstLineChars="200"/>
        <w:jc w:val="lef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联系电话：</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联系电话：</w:t>
      </w:r>
    </w:p>
    <w:p>
      <w:pPr>
        <w:adjustRightInd w:val="0"/>
        <w:snapToGrid w:val="0"/>
        <w:spacing w:line="360" w:lineRule="auto"/>
        <w:ind w:firstLine="1440" w:firstLineChars="6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w:t>
      </w:r>
    </w:p>
    <w:p>
      <w:pPr>
        <w:rPr>
          <w:rFonts w:ascii="仿宋" w:hAnsi="仿宋" w:eastAsia="仿宋" w:cs="仿宋"/>
          <w:b/>
          <w:bCs/>
          <w:color w:val="auto"/>
          <w:sz w:val="24"/>
          <w:szCs w:val="24"/>
          <w:highlight w:val="none"/>
        </w:rPr>
      </w:pPr>
      <w:bookmarkStart w:id="777" w:name="_Toc25653777"/>
      <w:bookmarkStart w:id="778" w:name="_Toc26432"/>
      <w:r>
        <w:rPr>
          <w:rFonts w:hint="eastAsia" w:ascii="仿宋" w:hAnsi="仿宋" w:eastAsia="仿宋" w:cs="仿宋"/>
          <w:b/>
          <w:bCs/>
          <w:color w:val="auto"/>
          <w:sz w:val="24"/>
          <w:szCs w:val="24"/>
          <w:highlight w:val="none"/>
        </w:rPr>
        <w:br w:type="page"/>
      </w:r>
    </w:p>
    <w:p>
      <w:pPr>
        <w:spacing w:line="360" w:lineRule="auto"/>
        <w:outlineLvl w:val="1"/>
        <w:rPr>
          <w:rFonts w:ascii="仿宋" w:hAnsi="仿宋" w:eastAsia="仿宋" w:cs="仿宋"/>
          <w:b/>
          <w:bCs/>
          <w:color w:val="auto"/>
          <w:kern w:val="0"/>
          <w:sz w:val="24"/>
          <w:szCs w:val="24"/>
          <w:highlight w:val="none"/>
        </w:rPr>
      </w:pPr>
      <w:bookmarkStart w:id="779" w:name="_Toc12798"/>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val="en-US" w:eastAsia="zh-CN"/>
        </w:rPr>
        <w:t>2</w:t>
      </w:r>
      <w:r>
        <w:rPr>
          <w:rFonts w:ascii="仿宋" w:hAnsi="仿宋" w:eastAsia="仿宋" w:cs="仿宋"/>
          <w:b/>
          <w:bCs/>
          <w:color w:val="auto"/>
          <w:sz w:val="24"/>
          <w:szCs w:val="24"/>
          <w:highlight w:val="none"/>
        </w:rPr>
        <w:t>：</w:t>
      </w:r>
      <w:bookmarkEnd w:id="777"/>
      <w:bookmarkEnd w:id="778"/>
      <w:bookmarkEnd w:id="779"/>
    </w:p>
    <w:p>
      <w:pPr>
        <w:adjustRightInd w:val="0"/>
        <w:snapToGrid w:val="0"/>
        <w:spacing w:before="120" w:beforeLines="50" w:after="120" w:afterLines="50"/>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履约保函</w:t>
      </w:r>
    </w:p>
    <w:p>
      <w:pPr>
        <w:spacing w:line="500" w:lineRule="exact"/>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(发包方名称)______________ </w:t>
      </w:r>
      <w:r>
        <w:rPr>
          <w:rFonts w:hint="eastAsia" w:ascii="仿宋" w:hAnsi="仿宋" w:eastAsia="仿宋" w:cs="仿宋"/>
          <w:color w:val="auto"/>
          <w:sz w:val="24"/>
          <w:szCs w:val="24"/>
          <w:highlight w:val="none"/>
        </w:rPr>
        <w:t>：</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本保函作为</w:t>
      </w:r>
      <w:r>
        <w:rPr>
          <w:rFonts w:ascii="仿宋" w:hAnsi="仿宋" w:eastAsia="仿宋" w:cs="仿宋"/>
          <w:color w:val="auto"/>
          <w:sz w:val="24"/>
          <w:szCs w:val="24"/>
          <w:highlight w:val="none"/>
        </w:rPr>
        <w:t>__________（以下简称“承包方”）的履约保函，系为贵公司和承包方就_________（以下简称“项目”）订立的第</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号合同（以下简称“合同”）出具。</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我行，</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（履约保函出具银行）在此无条件且不可撤销地保证以</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（币种）向贵公司支付相当于合同总价格的百分之</w:t>
      </w:r>
      <w:r>
        <w:rPr>
          <w:rFonts w:ascii="仿宋" w:hAnsi="仿宋" w:eastAsia="仿宋" w:cs="仿宋"/>
          <w:color w:val="auto"/>
          <w:sz w:val="24"/>
          <w:szCs w:val="24"/>
          <w:highlight w:val="none"/>
        </w:rPr>
        <w:t xml:space="preserve">XX（XX%）的金额，即     </w:t>
      </w:r>
      <w:r>
        <w:rPr>
          <w:rFonts w:hint="eastAsia" w:ascii="仿宋" w:hAnsi="仿宋" w:eastAsia="仿宋" w:cs="仿宋"/>
          <w:color w:val="auto"/>
          <w:sz w:val="24"/>
          <w:szCs w:val="24"/>
          <w:highlight w:val="none"/>
        </w:rPr>
        <w:t>的金额作为承包方履行合同的担保。我行保证不以任何理由向贵公司追索。我行的权利义务的继承人和受让人亦受同样的约束。我行同意下述条件：</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1.我行向贵公司保证卖方根据合同履行义务并承担责任。</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2.如果承包方未能履行或者承担由合同引起的或与合同有关的合同项下的任何义务或任何责任，我行将在收到贵公司书面通知后</w:t>
      </w:r>
      <w:r>
        <w:rPr>
          <w:rFonts w:hint="eastAsia" w:ascii="仿宋" w:hAnsi="仿宋" w:eastAsia="仿宋" w:cs="仿宋"/>
          <w:color w:val="auto"/>
          <w:sz w:val="24"/>
          <w:szCs w:val="24"/>
          <w:highlight w:val="none"/>
        </w:rPr>
        <w:t>七个工作日内以通知中规定的方式支付贵方要求的合计不超过</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的款项而不需要贵公司提出任何的证明材料。</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3.本保函适用于本合同以及在本合同项下作出的、给予的或同意的所有修订、更改或附加部分，不论我行是否收到该修订、更改或附加部分。我行放弃取得有关上述修订、更改或附加部分的通知的权利。</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4.对于现在或将来的产生的税收、税费、收费、扣减费用或预提款项，不论这些款项是何种性质和由谁征收，都不应从本保函项下的支付中扣除。 </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5.本保函条款构成我行无条件的不可撤销的直接责任。有关即将履行的合同条款的任何变更及贵方同意的时间的宽限或其他延长或特许或贵方的其他作为或不作为都不能免除、解除或豁免我行在本保函项下的责任。</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6.本保函自开立之日起生效，有效期至     </w:t>
      </w:r>
      <w:r>
        <w:rPr>
          <w:rFonts w:hint="eastAsia" w:ascii="仿宋" w:hAnsi="仿宋" w:eastAsia="仿宋" w:cs="仿宋"/>
          <w:color w:val="auto"/>
          <w:sz w:val="24"/>
          <w:szCs w:val="24"/>
          <w:highlight w:val="none"/>
        </w:rPr>
        <w:t>年</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月</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日止。</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（开立保函银行名称）（盖章）</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法定代表人或委托代理人签名：</w:t>
      </w:r>
    </w:p>
    <w:p>
      <w:pPr>
        <w:adjustRightInd w:val="0"/>
        <w:snapToGrid w:val="0"/>
        <w:spacing w:line="48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日期：</w:t>
      </w:r>
    </w:p>
    <w:p>
      <w:pPr>
        <w:spacing w:line="360" w:lineRule="auto"/>
        <w:outlineLvl w:val="1"/>
        <w:rPr>
          <w:rFonts w:ascii="仿宋" w:hAnsi="仿宋" w:eastAsia="仿宋" w:cs="仿宋"/>
          <w:b/>
          <w:bCs/>
          <w:color w:val="auto"/>
          <w:sz w:val="24"/>
          <w:szCs w:val="24"/>
          <w:highlight w:val="none"/>
        </w:rPr>
      </w:pPr>
      <w:r>
        <w:rPr>
          <w:rFonts w:ascii="仿宋" w:hAnsi="仿宋" w:eastAsia="仿宋"/>
          <w:color w:val="auto"/>
          <w:sz w:val="24"/>
          <w:szCs w:val="24"/>
          <w:highlight w:val="none"/>
        </w:rPr>
        <w:br w:type="page"/>
      </w:r>
      <w:bookmarkStart w:id="780" w:name="_Toc23696"/>
      <w:bookmarkStart w:id="781" w:name="_Toc25653779"/>
      <w:bookmarkStart w:id="782" w:name="_Toc10222"/>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val="en-US" w:eastAsia="zh-CN"/>
        </w:rPr>
        <w:t>3</w:t>
      </w:r>
      <w:r>
        <w:rPr>
          <w:rFonts w:ascii="仿宋" w:hAnsi="仿宋" w:eastAsia="仿宋" w:cs="仿宋"/>
          <w:b/>
          <w:bCs/>
          <w:color w:val="auto"/>
          <w:sz w:val="24"/>
          <w:szCs w:val="24"/>
          <w:highlight w:val="none"/>
        </w:rPr>
        <w:t>：</w:t>
      </w:r>
      <w:bookmarkEnd w:id="780"/>
      <w:bookmarkEnd w:id="781"/>
      <w:bookmarkEnd w:id="782"/>
    </w:p>
    <w:p>
      <w:pPr>
        <w:spacing w:line="360" w:lineRule="auto"/>
        <w:jc w:val="center"/>
        <w:rPr>
          <w:rFonts w:ascii="仿宋" w:hAnsi="仿宋" w:eastAsia="仿宋"/>
          <w:b/>
          <w:bCs/>
          <w:color w:val="auto"/>
          <w:spacing w:val="30"/>
          <w:sz w:val="44"/>
          <w:szCs w:val="44"/>
          <w:highlight w:val="none"/>
        </w:rPr>
      </w:pPr>
      <w:r>
        <w:rPr>
          <w:rFonts w:hint="eastAsia" w:ascii="仿宋" w:hAnsi="仿宋" w:eastAsia="仿宋" w:cs="仿宋"/>
          <w:b/>
          <w:bCs/>
          <w:color w:val="auto"/>
          <w:spacing w:val="30"/>
          <w:sz w:val="44"/>
          <w:szCs w:val="44"/>
          <w:highlight w:val="none"/>
        </w:rPr>
        <w:t>工程项目一览表</w:t>
      </w:r>
    </w:p>
    <w:tbl>
      <w:tblPr>
        <w:tblStyle w:val="40"/>
        <w:tblW w:w="8522" w:type="dxa"/>
        <w:jc w:val="center"/>
        <w:tblInd w:w="0" w:type="dxa"/>
        <w:tblLayout w:type="fixed"/>
        <w:tblCellMar>
          <w:top w:w="0" w:type="dxa"/>
          <w:left w:w="108" w:type="dxa"/>
          <w:bottom w:w="0" w:type="dxa"/>
          <w:right w:w="108" w:type="dxa"/>
        </w:tblCellMar>
      </w:tblPr>
      <w:tblGrid>
        <w:gridCol w:w="1645"/>
        <w:gridCol w:w="2512"/>
        <w:gridCol w:w="4365"/>
      </w:tblGrid>
      <w:tr>
        <w:tblPrEx>
          <w:tblLayout w:type="fixed"/>
          <w:tblCellMar>
            <w:top w:w="0" w:type="dxa"/>
            <w:left w:w="108" w:type="dxa"/>
            <w:bottom w:w="0" w:type="dxa"/>
            <w:right w:w="108" w:type="dxa"/>
          </w:tblCellMar>
        </w:tblPrEx>
        <w:trPr>
          <w:trHeight w:val="100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项号</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项目</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仿宋" w:hAnsi="仿宋" w:eastAsia="仿宋"/>
                <w:b/>
                <w:bCs/>
                <w:color w:val="auto"/>
                <w:sz w:val="32"/>
                <w:szCs w:val="32"/>
                <w:highlight w:val="none"/>
              </w:rPr>
            </w:pPr>
            <w:r>
              <w:rPr>
                <w:rFonts w:hint="eastAsia" w:ascii="仿宋" w:hAnsi="仿宋" w:eastAsia="仿宋" w:cs="仿宋"/>
                <w:b/>
                <w:bCs/>
                <w:color w:val="auto"/>
                <w:sz w:val="32"/>
                <w:szCs w:val="32"/>
                <w:highlight w:val="none"/>
              </w:rPr>
              <w:t>内容</w:t>
            </w:r>
          </w:p>
        </w:tc>
      </w:tr>
      <w:tr>
        <w:tblPrEx>
          <w:tblLayout w:type="fixed"/>
          <w:tblCellMar>
            <w:top w:w="0" w:type="dxa"/>
            <w:left w:w="108" w:type="dxa"/>
            <w:bottom w:w="0" w:type="dxa"/>
            <w:right w:w="108" w:type="dxa"/>
          </w:tblCellMar>
        </w:tblPrEx>
        <w:trPr>
          <w:trHeight w:val="1638"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1</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工程名称</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ind w:left="-6" w:firstLine="6"/>
              <w:jc w:val="center"/>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t>田心调压站扩容改造工程施工项目</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2</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w w:val="90"/>
                <w:sz w:val="28"/>
                <w:szCs w:val="28"/>
                <w:highlight w:val="none"/>
              </w:rPr>
            </w:pPr>
            <w:r>
              <w:rPr>
                <w:rFonts w:hint="eastAsia" w:ascii="仿宋" w:hAnsi="仿宋" w:eastAsia="仿宋" w:cs="仿宋"/>
                <w:color w:val="auto"/>
                <w:sz w:val="28"/>
                <w:szCs w:val="28"/>
                <w:highlight w:val="none"/>
              </w:rPr>
              <w:t>工程地点</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ind w:left="-6" w:firstLine="6"/>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广州市白云区</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3</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发包人</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ind w:left="-6" w:firstLine="6"/>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广州燃气集团有限公司</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4</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设计人</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5</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监理人</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6</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工程造价咨询人（如有）</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ascii="仿宋" w:hAnsi="仿宋" w:eastAsia="仿宋"/>
                <w:color w:val="auto"/>
                <w:sz w:val="28"/>
                <w:szCs w:val="28"/>
                <w:highlight w:val="none"/>
              </w:rPr>
              <w:t>/</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7</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承包人</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8</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w w:val="90"/>
                <w:sz w:val="28"/>
                <w:szCs w:val="28"/>
                <w:highlight w:val="none"/>
              </w:rPr>
            </w:pPr>
            <w:r>
              <w:rPr>
                <w:rFonts w:hint="eastAsia" w:ascii="仿宋" w:hAnsi="仿宋" w:eastAsia="仿宋" w:cs="仿宋"/>
                <w:color w:val="auto"/>
                <w:sz w:val="28"/>
                <w:szCs w:val="28"/>
                <w:highlight w:val="none"/>
              </w:rPr>
              <w:t>工程总投资</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ind w:left="-3" w:firstLine="3"/>
              <w:jc w:val="center"/>
              <w:rPr>
                <w:rFonts w:ascii="仿宋" w:hAnsi="仿宋" w:eastAsia="仿宋"/>
                <w:color w:val="auto"/>
                <w:sz w:val="28"/>
                <w:szCs w:val="28"/>
                <w:highlight w:val="none"/>
              </w:rPr>
            </w:pPr>
            <w:r>
              <w:rPr>
                <w:rFonts w:ascii="宋体" w:hAnsi="宋体"/>
                <w:color w:val="auto"/>
                <w:sz w:val="24"/>
                <w:szCs w:val="24"/>
                <w:highlight w:val="none"/>
              </w:rPr>
              <w:t>/</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9</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计划开工日期</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ascii="宋体" w:hAnsi="宋体"/>
                <w:color w:val="auto"/>
                <w:sz w:val="24"/>
                <w:szCs w:val="24"/>
                <w:highlight w:val="none"/>
              </w:rPr>
              <w:t>/</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10</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计划竣工日期</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ascii="宋体" w:hAnsi="宋体"/>
                <w:color w:val="auto"/>
                <w:sz w:val="24"/>
                <w:szCs w:val="24"/>
                <w:highlight w:val="none"/>
              </w:rPr>
              <w:t>/</w:t>
            </w:r>
          </w:p>
        </w:tc>
      </w:tr>
      <w:tr>
        <w:tblPrEx>
          <w:tblLayout w:type="fixed"/>
          <w:tblCellMar>
            <w:top w:w="0" w:type="dxa"/>
            <w:left w:w="108" w:type="dxa"/>
            <w:bottom w:w="0" w:type="dxa"/>
            <w:right w:w="108" w:type="dxa"/>
          </w:tblCellMar>
        </w:tblPrEx>
        <w:trPr>
          <w:trHeight w:val="20" w:hRule="atLeast"/>
          <w:jc w:val="center"/>
        </w:trPr>
        <w:tc>
          <w:tcPr>
            <w:tcW w:w="164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t>11</w:t>
            </w:r>
          </w:p>
        </w:tc>
        <w:tc>
          <w:tcPr>
            <w:tcW w:w="2512"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hint="eastAsia" w:ascii="仿宋" w:hAnsi="仿宋" w:eastAsia="仿宋" w:cs="仿宋"/>
                <w:color w:val="auto"/>
                <w:sz w:val="28"/>
                <w:szCs w:val="28"/>
                <w:highlight w:val="none"/>
              </w:rPr>
              <w:t>工程质量</w:t>
            </w:r>
          </w:p>
        </w:tc>
        <w:tc>
          <w:tcPr>
            <w:tcW w:w="43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560" w:lineRule="exact"/>
              <w:jc w:val="center"/>
              <w:rPr>
                <w:rFonts w:ascii="仿宋" w:hAnsi="仿宋" w:eastAsia="仿宋"/>
                <w:color w:val="auto"/>
                <w:sz w:val="28"/>
                <w:szCs w:val="28"/>
                <w:highlight w:val="none"/>
              </w:rPr>
            </w:pPr>
            <w:r>
              <w:rPr>
                <w:rFonts w:ascii="宋体" w:hAnsi="宋体"/>
                <w:color w:val="auto"/>
                <w:sz w:val="24"/>
                <w:szCs w:val="24"/>
                <w:highlight w:val="none"/>
              </w:rPr>
              <w:t>/</w:t>
            </w:r>
          </w:p>
        </w:tc>
      </w:tr>
    </w:tbl>
    <w:p>
      <w:pPr>
        <w:widowControl/>
        <w:spacing w:line="360" w:lineRule="auto"/>
        <w:jc w:val="left"/>
        <w:rPr>
          <w:rFonts w:ascii="仿宋" w:hAnsi="仿宋" w:eastAsia="仿宋"/>
          <w:color w:val="auto"/>
          <w:kern w:val="0"/>
          <w:sz w:val="24"/>
          <w:szCs w:val="24"/>
          <w:highlight w:val="none"/>
        </w:rPr>
        <w:sectPr>
          <w:endnotePr>
            <w:numFmt w:val="decimal"/>
          </w:endnotePr>
          <w:type w:val="continuous"/>
          <w:pgSz w:w="11906" w:h="16838"/>
          <w:pgMar w:top="1440" w:right="1800" w:bottom="1440" w:left="1800" w:header="0" w:footer="0" w:gutter="0"/>
          <w:pgNumType w:fmt="decimal"/>
          <w:cols w:space="720" w:num="1"/>
        </w:sectPr>
      </w:pPr>
    </w:p>
    <w:p>
      <w:pPr>
        <w:spacing w:line="360" w:lineRule="auto"/>
        <w:outlineLvl w:val="1"/>
        <w:rPr>
          <w:rFonts w:ascii="仿宋" w:hAnsi="仿宋" w:eastAsia="仿宋" w:cs="仿宋"/>
          <w:b/>
          <w:bCs/>
          <w:color w:val="auto"/>
          <w:sz w:val="24"/>
          <w:szCs w:val="24"/>
          <w:highlight w:val="none"/>
        </w:rPr>
      </w:pPr>
      <w:bookmarkStart w:id="783" w:name="_Toc27351"/>
      <w:bookmarkStart w:id="784" w:name="_Toc19427"/>
      <w:bookmarkStart w:id="785" w:name="_Toc25653780"/>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val="en-US" w:eastAsia="zh-CN"/>
        </w:rPr>
        <w:t>4</w:t>
      </w:r>
      <w:r>
        <w:rPr>
          <w:rFonts w:ascii="仿宋" w:hAnsi="仿宋" w:eastAsia="仿宋" w:cs="仿宋"/>
          <w:b/>
          <w:bCs/>
          <w:color w:val="auto"/>
          <w:sz w:val="24"/>
          <w:szCs w:val="24"/>
          <w:highlight w:val="none"/>
        </w:rPr>
        <w:t>：</w:t>
      </w:r>
      <w:bookmarkEnd w:id="783"/>
      <w:bookmarkEnd w:id="784"/>
      <w:bookmarkEnd w:id="785"/>
    </w:p>
    <w:p>
      <w:pPr>
        <w:spacing w:line="360" w:lineRule="auto"/>
        <w:jc w:val="center"/>
        <w:rPr>
          <w:rFonts w:ascii="仿宋" w:hAnsi="仿宋" w:eastAsia="仿宋"/>
          <w:b/>
          <w:bCs/>
          <w:color w:val="auto"/>
          <w:spacing w:val="32"/>
          <w:kern w:val="36"/>
          <w:sz w:val="36"/>
          <w:szCs w:val="36"/>
          <w:highlight w:val="none"/>
        </w:rPr>
      </w:pPr>
      <w:r>
        <w:rPr>
          <w:rFonts w:hint="eastAsia" w:ascii="仿宋" w:hAnsi="仿宋" w:eastAsia="仿宋" w:cs="仿宋"/>
          <w:b/>
          <w:bCs/>
          <w:color w:val="auto"/>
          <w:spacing w:val="32"/>
          <w:kern w:val="36"/>
          <w:sz w:val="36"/>
          <w:szCs w:val="36"/>
          <w:highlight w:val="none"/>
        </w:rPr>
        <w:t>承包人派驻现场主要管理人员及技术骨干名单</w:t>
      </w:r>
    </w:p>
    <w:p>
      <w:pPr>
        <w:spacing w:line="560" w:lineRule="exact"/>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田心调压站扩容改造工程施工项目</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编号：</w:t>
      </w:r>
    </w:p>
    <w:tbl>
      <w:tblPr>
        <w:tblStyle w:val="40"/>
        <w:tblW w:w="13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1025"/>
        <w:gridCol w:w="523"/>
        <w:gridCol w:w="516"/>
        <w:gridCol w:w="660"/>
        <w:gridCol w:w="1121"/>
        <w:gridCol w:w="1387"/>
        <w:gridCol w:w="1524"/>
        <w:gridCol w:w="720"/>
        <w:gridCol w:w="768"/>
        <w:gridCol w:w="1212"/>
        <w:gridCol w:w="212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385"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序号</w:t>
            </w:r>
          </w:p>
        </w:tc>
        <w:tc>
          <w:tcPr>
            <w:tcW w:w="1025" w:type="dxa"/>
            <w:vAlign w:val="center"/>
          </w:tcPr>
          <w:p>
            <w:pPr>
              <w:tabs>
                <w:tab w:val="left" w:pos="150"/>
              </w:tabs>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姓名</w:t>
            </w:r>
          </w:p>
        </w:tc>
        <w:tc>
          <w:tcPr>
            <w:tcW w:w="523"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性别</w:t>
            </w:r>
          </w:p>
        </w:tc>
        <w:tc>
          <w:tcPr>
            <w:tcW w:w="516"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年龄</w:t>
            </w:r>
          </w:p>
        </w:tc>
        <w:tc>
          <w:tcPr>
            <w:tcW w:w="660"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学历</w:t>
            </w:r>
          </w:p>
        </w:tc>
        <w:tc>
          <w:tcPr>
            <w:tcW w:w="1121"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专业</w:t>
            </w:r>
          </w:p>
        </w:tc>
        <w:tc>
          <w:tcPr>
            <w:tcW w:w="1387"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现任职务、</w:t>
            </w:r>
          </w:p>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技术职务</w:t>
            </w:r>
          </w:p>
        </w:tc>
        <w:tc>
          <w:tcPr>
            <w:tcW w:w="1524"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联系电话</w:t>
            </w:r>
          </w:p>
        </w:tc>
        <w:tc>
          <w:tcPr>
            <w:tcW w:w="720"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专业</w:t>
            </w:r>
          </w:p>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工龄</w:t>
            </w:r>
          </w:p>
        </w:tc>
        <w:tc>
          <w:tcPr>
            <w:tcW w:w="768"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专业</w:t>
            </w:r>
          </w:p>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特长</w:t>
            </w:r>
          </w:p>
        </w:tc>
        <w:tc>
          <w:tcPr>
            <w:tcW w:w="1212"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从事施工</w:t>
            </w:r>
          </w:p>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工作年限</w:t>
            </w:r>
          </w:p>
        </w:tc>
        <w:tc>
          <w:tcPr>
            <w:tcW w:w="2124"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主要专业工作经历（曾参与过的羡慕和获奖情况）</w:t>
            </w:r>
          </w:p>
        </w:tc>
        <w:tc>
          <w:tcPr>
            <w:tcW w:w="1489" w:type="dxa"/>
            <w:vAlign w:val="center"/>
          </w:tcPr>
          <w:p>
            <w:pPr>
              <w:spacing w:line="360" w:lineRule="auto"/>
              <w:jc w:val="center"/>
              <w:rPr>
                <w:rFonts w:ascii="仿宋" w:hAnsi="仿宋" w:eastAsia="仿宋"/>
                <w:color w:val="auto"/>
                <w:sz w:val="24"/>
                <w:szCs w:val="24"/>
                <w:highlight w:val="none"/>
              </w:rPr>
            </w:pPr>
            <w:r>
              <w:rPr>
                <w:rFonts w:hint="eastAsia" w:ascii="仿宋" w:hAnsi="仿宋" w:eastAsia="仿宋" w:cs="仿宋"/>
                <w:color w:val="auto"/>
                <w:sz w:val="24"/>
                <w:szCs w:val="24"/>
                <w:highlight w:val="none"/>
              </w:rPr>
              <w:t>在本工程担任职务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1</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2</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3</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4</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5</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6</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7</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385" w:type="dxa"/>
            <w:vAlign w:val="center"/>
          </w:tcPr>
          <w:p>
            <w:pPr>
              <w:spacing w:line="360" w:lineRule="auto"/>
              <w:jc w:val="center"/>
              <w:rPr>
                <w:rFonts w:ascii="仿宋" w:hAnsi="仿宋" w:eastAsia="仿宋"/>
                <w:color w:val="auto"/>
                <w:highlight w:val="none"/>
              </w:rPr>
            </w:pPr>
            <w:r>
              <w:rPr>
                <w:rFonts w:ascii="仿宋" w:hAnsi="仿宋" w:eastAsia="仿宋"/>
                <w:color w:val="auto"/>
                <w:highlight w:val="none"/>
              </w:rPr>
              <w:t>8</w:t>
            </w:r>
          </w:p>
        </w:tc>
        <w:tc>
          <w:tcPr>
            <w:tcW w:w="1025" w:type="dxa"/>
            <w:vAlign w:val="center"/>
          </w:tcPr>
          <w:p>
            <w:pPr>
              <w:jc w:val="center"/>
              <w:rPr>
                <w:rFonts w:ascii="仿宋" w:hAnsi="仿宋" w:eastAsia="仿宋"/>
                <w:color w:val="auto"/>
                <w:highlight w:val="none"/>
              </w:rPr>
            </w:pPr>
          </w:p>
        </w:tc>
        <w:tc>
          <w:tcPr>
            <w:tcW w:w="523" w:type="dxa"/>
            <w:vAlign w:val="center"/>
          </w:tcPr>
          <w:p>
            <w:pPr>
              <w:jc w:val="center"/>
              <w:rPr>
                <w:rFonts w:ascii="仿宋" w:hAnsi="仿宋" w:eastAsia="仿宋"/>
                <w:color w:val="auto"/>
                <w:highlight w:val="none"/>
              </w:rPr>
            </w:pPr>
          </w:p>
        </w:tc>
        <w:tc>
          <w:tcPr>
            <w:tcW w:w="516" w:type="dxa"/>
            <w:vAlign w:val="center"/>
          </w:tcPr>
          <w:p>
            <w:pPr>
              <w:jc w:val="center"/>
              <w:rPr>
                <w:rFonts w:ascii="仿宋" w:hAnsi="仿宋" w:eastAsia="仿宋"/>
                <w:color w:val="auto"/>
                <w:highlight w:val="none"/>
              </w:rPr>
            </w:pPr>
          </w:p>
        </w:tc>
        <w:tc>
          <w:tcPr>
            <w:tcW w:w="660" w:type="dxa"/>
            <w:vAlign w:val="center"/>
          </w:tcPr>
          <w:p>
            <w:pPr>
              <w:jc w:val="center"/>
              <w:rPr>
                <w:rFonts w:ascii="仿宋" w:hAnsi="仿宋" w:eastAsia="仿宋"/>
                <w:color w:val="auto"/>
                <w:highlight w:val="none"/>
              </w:rPr>
            </w:pPr>
          </w:p>
        </w:tc>
        <w:tc>
          <w:tcPr>
            <w:tcW w:w="1121" w:type="dxa"/>
            <w:vAlign w:val="center"/>
          </w:tcPr>
          <w:p>
            <w:pPr>
              <w:jc w:val="center"/>
              <w:rPr>
                <w:rFonts w:ascii="仿宋" w:hAnsi="仿宋" w:eastAsia="仿宋"/>
                <w:color w:val="auto"/>
                <w:highlight w:val="none"/>
              </w:rPr>
            </w:pPr>
          </w:p>
        </w:tc>
        <w:tc>
          <w:tcPr>
            <w:tcW w:w="1387" w:type="dxa"/>
            <w:vAlign w:val="center"/>
          </w:tcPr>
          <w:p>
            <w:pPr>
              <w:jc w:val="center"/>
              <w:rPr>
                <w:rFonts w:ascii="仿宋" w:hAnsi="仿宋" w:eastAsia="仿宋"/>
                <w:color w:val="auto"/>
                <w:highlight w:val="none"/>
              </w:rPr>
            </w:pPr>
          </w:p>
        </w:tc>
        <w:tc>
          <w:tcPr>
            <w:tcW w:w="1524" w:type="dxa"/>
            <w:vAlign w:val="center"/>
          </w:tcPr>
          <w:p>
            <w:pPr>
              <w:jc w:val="center"/>
              <w:rPr>
                <w:rFonts w:ascii="仿宋" w:hAnsi="仿宋" w:eastAsia="仿宋"/>
                <w:color w:val="auto"/>
                <w:highlight w:val="none"/>
              </w:rPr>
            </w:pPr>
          </w:p>
        </w:tc>
        <w:tc>
          <w:tcPr>
            <w:tcW w:w="720" w:type="dxa"/>
            <w:vAlign w:val="center"/>
          </w:tcPr>
          <w:p>
            <w:pPr>
              <w:jc w:val="center"/>
              <w:rPr>
                <w:rFonts w:ascii="仿宋" w:hAnsi="仿宋" w:eastAsia="仿宋"/>
                <w:color w:val="auto"/>
                <w:highlight w:val="none"/>
              </w:rPr>
            </w:pPr>
          </w:p>
        </w:tc>
        <w:tc>
          <w:tcPr>
            <w:tcW w:w="768" w:type="dxa"/>
            <w:vAlign w:val="center"/>
          </w:tcPr>
          <w:p>
            <w:pPr>
              <w:jc w:val="center"/>
              <w:rPr>
                <w:rFonts w:ascii="仿宋" w:hAnsi="仿宋" w:eastAsia="仿宋"/>
                <w:color w:val="auto"/>
                <w:highlight w:val="none"/>
              </w:rPr>
            </w:pPr>
          </w:p>
        </w:tc>
        <w:tc>
          <w:tcPr>
            <w:tcW w:w="1212" w:type="dxa"/>
            <w:vAlign w:val="center"/>
          </w:tcPr>
          <w:p>
            <w:pPr>
              <w:jc w:val="center"/>
              <w:rPr>
                <w:rFonts w:ascii="仿宋" w:hAnsi="仿宋" w:eastAsia="仿宋"/>
                <w:color w:val="auto"/>
                <w:highlight w:val="none"/>
              </w:rPr>
            </w:pPr>
          </w:p>
        </w:tc>
        <w:tc>
          <w:tcPr>
            <w:tcW w:w="2124" w:type="dxa"/>
            <w:vAlign w:val="center"/>
          </w:tcPr>
          <w:p>
            <w:pPr>
              <w:jc w:val="center"/>
              <w:rPr>
                <w:rFonts w:ascii="仿宋" w:hAnsi="仿宋" w:eastAsia="仿宋"/>
                <w:color w:val="auto"/>
                <w:highlight w:val="none"/>
              </w:rPr>
            </w:pPr>
          </w:p>
        </w:tc>
        <w:tc>
          <w:tcPr>
            <w:tcW w:w="1489" w:type="dxa"/>
            <w:vAlign w:val="center"/>
          </w:tcPr>
          <w:p>
            <w:pPr>
              <w:jc w:val="center"/>
              <w:rPr>
                <w:rFonts w:ascii="仿宋" w:hAnsi="仿宋" w:eastAsia="仿宋"/>
                <w:color w:val="auto"/>
                <w:highlight w:val="none"/>
              </w:rPr>
            </w:pPr>
          </w:p>
        </w:tc>
      </w:tr>
    </w:tbl>
    <w:p>
      <w:pPr>
        <w:ind w:left="899" w:leftChars="42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表中人员一经确认不得随意修改变换。如需变换，应按照通用条款第</w:t>
      </w:r>
      <w:r>
        <w:rPr>
          <w:rFonts w:ascii="仿宋" w:hAnsi="仿宋" w:eastAsia="仿宋" w:cs="仿宋"/>
          <w:color w:val="auto"/>
          <w:sz w:val="24"/>
          <w:szCs w:val="24"/>
          <w:highlight w:val="none"/>
        </w:rPr>
        <w:t xml:space="preserve"> 21 </w:t>
      </w:r>
      <w:r>
        <w:rPr>
          <w:rFonts w:hint="eastAsia" w:ascii="仿宋" w:hAnsi="仿宋" w:eastAsia="仿宋" w:cs="仿宋"/>
          <w:color w:val="auto"/>
          <w:sz w:val="24"/>
          <w:szCs w:val="24"/>
          <w:highlight w:val="none"/>
        </w:rPr>
        <w:t>条规定执行。</w:t>
      </w:r>
    </w:p>
    <w:p>
      <w:pPr>
        <w:ind w:left="1617" w:leftChars="77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表中人员必须提供为其购买的社会养老保险费用凭证。</w:t>
      </w:r>
    </w:p>
    <w:p>
      <w:pPr>
        <w:ind w:left="1617" w:leftChars="770"/>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承包人应提供表中人员的聘用合同、专业技术职称书等复印件。</w:t>
      </w:r>
    </w:p>
    <w:p>
      <w:pPr>
        <w:widowControl/>
        <w:jc w:val="left"/>
        <w:rPr>
          <w:rFonts w:ascii="仿宋" w:hAnsi="仿宋" w:eastAsia="仿宋"/>
          <w:color w:val="auto"/>
          <w:kern w:val="0"/>
          <w:sz w:val="24"/>
          <w:szCs w:val="24"/>
          <w:highlight w:val="none"/>
        </w:rPr>
        <w:sectPr>
          <w:endnotePr>
            <w:numFmt w:val="decimal"/>
          </w:endnotePr>
          <w:type w:val="continuous"/>
          <w:pgSz w:w="16838" w:h="11906" w:orient="landscape"/>
          <w:pgMar w:top="1440" w:right="1800" w:bottom="1440" w:left="1800" w:header="0" w:footer="0" w:gutter="0"/>
          <w:pgNumType w:fmt="decimal"/>
          <w:cols w:space="720" w:num="1"/>
        </w:sectPr>
      </w:pPr>
    </w:p>
    <w:p>
      <w:pPr>
        <w:spacing w:line="360" w:lineRule="auto"/>
        <w:outlineLvl w:val="1"/>
        <w:rPr>
          <w:rFonts w:ascii="仿宋" w:hAnsi="仿宋" w:eastAsia="仿宋" w:cs="仿宋"/>
          <w:b/>
          <w:bCs/>
          <w:color w:val="auto"/>
          <w:sz w:val="24"/>
          <w:szCs w:val="24"/>
          <w:highlight w:val="none"/>
        </w:rPr>
      </w:pPr>
      <w:bookmarkStart w:id="786" w:name="_Toc25653781"/>
      <w:bookmarkStart w:id="787" w:name="_Toc15820"/>
      <w:bookmarkStart w:id="788" w:name="_Toc16232"/>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val="en-US" w:eastAsia="zh-CN"/>
        </w:rPr>
        <w:t>5</w:t>
      </w:r>
      <w:r>
        <w:rPr>
          <w:rFonts w:ascii="仿宋" w:hAnsi="仿宋" w:eastAsia="仿宋" w:cs="仿宋"/>
          <w:b/>
          <w:bCs/>
          <w:color w:val="auto"/>
          <w:sz w:val="24"/>
          <w:szCs w:val="24"/>
          <w:highlight w:val="none"/>
        </w:rPr>
        <w:t>：</w:t>
      </w:r>
      <w:bookmarkEnd w:id="786"/>
      <w:bookmarkEnd w:id="787"/>
      <w:bookmarkEnd w:id="788"/>
    </w:p>
    <w:p>
      <w:pPr>
        <w:spacing w:line="500" w:lineRule="exact"/>
        <w:jc w:val="left"/>
        <w:rPr>
          <w:rFonts w:ascii="华文楷体" w:hAnsi="华文楷体" w:eastAsia="华文楷体"/>
          <w:b/>
          <w:color w:val="auto"/>
          <w:sz w:val="28"/>
          <w:szCs w:val="28"/>
          <w:highlight w:val="none"/>
          <w:u w:val="single"/>
        </w:rPr>
      </w:pPr>
      <w:r>
        <w:rPr>
          <w:rFonts w:hint="eastAsia" w:ascii="华文楷体" w:hAnsi="华文楷体" w:eastAsia="华文楷体"/>
          <w:b/>
          <w:color w:val="auto"/>
          <w:sz w:val="28"/>
          <w:szCs w:val="28"/>
          <w:highlight w:val="none"/>
        </w:rPr>
        <w:t>对应合同名称：</w:t>
      </w:r>
      <w:r>
        <w:rPr>
          <w:rFonts w:hint="eastAsia" w:ascii="华文楷体" w:hAnsi="华文楷体" w:eastAsia="华文楷体"/>
          <w:b/>
          <w:color w:val="auto"/>
          <w:sz w:val="28"/>
          <w:szCs w:val="28"/>
          <w:highlight w:val="none"/>
          <w:u w:val="single"/>
        </w:rPr>
        <w:t>广州市建设工程施工合同（</w:t>
      </w:r>
      <w:r>
        <w:rPr>
          <w:rFonts w:hint="eastAsia" w:ascii="华文楷体" w:hAnsi="华文楷体" w:eastAsia="华文楷体"/>
          <w:b/>
          <w:color w:val="auto"/>
          <w:sz w:val="28"/>
          <w:szCs w:val="28"/>
          <w:highlight w:val="none"/>
          <w:u w:val="single"/>
          <w:lang w:eastAsia="zh-CN"/>
        </w:rPr>
        <w:t>田心调压站扩容改造工程施工项目</w:t>
      </w:r>
      <w:r>
        <w:rPr>
          <w:rFonts w:hint="eastAsia" w:ascii="华文楷体" w:hAnsi="华文楷体" w:eastAsia="华文楷体"/>
          <w:b/>
          <w:color w:val="auto"/>
          <w:sz w:val="28"/>
          <w:szCs w:val="28"/>
          <w:highlight w:val="none"/>
          <w:u w:val="single"/>
        </w:rPr>
        <w:t>）</w:t>
      </w:r>
    </w:p>
    <w:p>
      <w:pPr>
        <w:spacing w:line="500" w:lineRule="exact"/>
        <w:ind w:firstLine="880" w:firstLineChars="200"/>
        <w:rPr>
          <w:rFonts w:ascii="方正小标宋简体" w:eastAsia="方正小标宋简体"/>
          <w:color w:val="auto"/>
          <w:sz w:val="44"/>
          <w:szCs w:val="44"/>
          <w:highlight w:val="none"/>
        </w:rPr>
      </w:pPr>
      <w:bookmarkStart w:id="789" w:name="_Toc25653788"/>
    </w:p>
    <w:p>
      <w:pPr>
        <w:spacing w:line="500" w:lineRule="exact"/>
        <w:jc w:val="center"/>
        <w:rPr>
          <w:rFonts w:ascii="方正小标宋简体" w:eastAsia="方正小标宋简体"/>
          <w:color w:val="auto"/>
          <w:sz w:val="44"/>
          <w:szCs w:val="44"/>
          <w:highlight w:val="none"/>
        </w:rPr>
      </w:pPr>
      <w:r>
        <w:rPr>
          <w:rFonts w:hint="eastAsia" w:ascii="方正小标宋简体" w:eastAsia="方正小标宋简体"/>
          <w:color w:val="auto"/>
          <w:sz w:val="44"/>
          <w:szCs w:val="44"/>
          <w:highlight w:val="none"/>
        </w:rPr>
        <w:t>廉洁协议</w:t>
      </w:r>
    </w:p>
    <w:p>
      <w:pPr>
        <w:spacing w:line="500" w:lineRule="exact"/>
        <w:ind w:firstLine="560" w:firstLineChars="200"/>
        <w:rPr>
          <w:rFonts w:eastAsia="仿宋_GB2312"/>
          <w:color w:val="auto"/>
          <w:sz w:val="28"/>
          <w:szCs w:val="28"/>
          <w:highlight w:val="none"/>
        </w:rPr>
      </w:pPr>
    </w:p>
    <w:p>
      <w:pPr>
        <w:spacing w:line="50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甲方</w:t>
      </w:r>
      <w:r>
        <w:rPr>
          <w:rFonts w:eastAsia="仿宋_GB2312"/>
          <w:color w:val="auto"/>
          <w:sz w:val="28"/>
          <w:szCs w:val="28"/>
          <w:highlight w:val="none"/>
        </w:rPr>
        <w:t xml:space="preserve">: </w:t>
      </w:r>
      <w:r>
        <w:rPr>
          <w:rFonts w:hint="eastAsia" w:eastAsia="仿宋_GB2312"/>
          <w:color w:val="auto"/>
          <w:sz w:val="28"/>
          <w:szCs w:val="28"/>
          <w:highlight w:val="none"/>
          <w:u w:val="single"/>
        </w:rPr>
        <w:t>广州燃气集团有限公司</w:t>
      </w:r>
    </w:p>
    <w:p>
      <w:pPr>
        <w:spacing w:line="500" w:lineRule="exact"/>
        <w:ind w:firstLine="560" w:firstLineChars="200"/>
        <w:rPr>
          <w:rFonts w:eastAsia="仿宋_GB2312"/>
          <w:color w:val="auto"/>
          <w:sz w:val="28"/>
          <w:szCs w:val="28"/>
          <w:highlight w:val="none"/>
        </w:rPr>
      </w:pPr>
    </w:p>
    <w:p>
      <w:pPr>
        <w:spacing w:line="50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乙方</w:t>
      </w:r>
      <w:r>
        <w:rPr>
          <w:rFonts w:eastAsia="仿宋_GB2312"/>
          <w:color w:val="auto"/>
          <w:sz w:val="28"/>
          <w:szCs w:val="28"/>
          <w:highlight w:val="none"/>
        </w:rPr>
        <w:t>:</w:t>
      </w:r>
      <w:r>
        <w:rPr>
          <w:color w:val="auto"/>
          <w:highlight w:val="none"/>
        </w:rPr>
        <w:t xml:space="preserve"> </w:t>
      </w:r>
      <w:r>
        <w:rPr>
          <w:rFonts w:hint="eastAsia" w:eastAsia="仿宋_GB2312"/>
          <w:color w:val="auto"/>
          <w:sz w:val="28"/>
          <w:szCs w:val="28"/>
          <w:highlight w:val="none"/>
          <w:u w:val="single"/>
        </w:rPr>
        <w:t xml:space="preserve">                                   </w:t>
      </w:r>
    </w:p>
    <w:p>
      <w:pPr>
        <w:spacing w:line="500" w:lineRule="exact"/>
        <w:ind w:firstLine="560" w:firstLineChars="200"/>
        <w:rPr>
          <w:rFonts w:ascii="华文楷体" w:hAnsi="华文楷体" w:eastAsia="华文楷体"/>
          <w:color w:val="auto"/>
          <w:sz w:val="28"/>
          <w:szCs w:val="28"/>
          <w:highlight w:val="none"/>
        </w:rPr>
      </w:pPr>
    </w:p>
    <w:p>
      <w:pPr>
        <w:spacing w:line="500" w:lineRule="exact"/>
        <w:ind w:firstLine="560" w:firstLineChars="200"/>
        <w:rPr>
          <w:rFonts w:ascii="华文楷体" w:hAnsi="华文楷体" w:eastAsia="华文楷体"/>
          <w:color w:val="auto"/>
          <w:sz w:val="28"/>
          <w:szCs w:val="28"/>
          <w:highlight w:val="none"/>
        </w:rPr>
      </w:pPr>
    </w:p>
    <w:p>
      <w:pPr>
        <w:pStyle w:val="3"/>
        <w:ind w:firstLine="560"/>
        <w:rPr>
          <w:rFonts w:eastAsia="仿宋_GB2312"/>
          <w:color w:val="auto"/>
          <w:szCs w:val="28"/>
          <w:highlight w:val="none"/>
        </w:rPr>
      </w:pPr>
      <w:r>
        <w:rPr>
          <w:rFonts w:hint="eastAsia" w:eastAsia="仿宋_GB2312"/>
          <w:color w:val="auto"/>
          <w:szCs w:val="28"/>
          <w:highlight w:val="none"/>
        </w:rPr>
        <w:t>为了增强甲乙双方依法经营、廉洁从业意识，完善自我约束、自我监督机制，营造守法诚信、廉洁高效的工作环境，防止发生违法违纪行为，保护国家、集体和当事人的合法权益，根据中央、省和广州市有关党风建设和反腐倡廉工作的各项规定，特订立本廉洁协议：</w:t>
      </w:r>
    </w:p>
    <w:p>
      <w:pPr>
        <w:pStyle w:val="3"/>
        <w:ind w:firstLine="560"/>
        <w:rPr>
          <w:rFonts w:eastAsia="仿宋_GB2312"/>
          <w:b/>
          <w:color w:val="auto"/>
          <w:szCs w:val="28"/>
          <w:highlight w:val="none"/>
        </w:rPr>
      </w:pPr>
      <w:r>
        <w:rPr>
          <w:rFonts w:hint="eastAsia" w:eastAsia="仿宋_GB2312"/>
          <w:b/>
          <w:color w:val="auto"/>
          <w:szCs w:val="28"/>
          <w:highlight w:val="none"/>
        </w:rPr>
        <w:t>第一条</w:t>
      </w:r>
      <w:r>
        <w:rPr>
          <w:rFonts w:eastAsia="仿宋_GB2312"/>
          <w:b/>
          <w:color w:val="auto"/>
          <w:szCs w:val="28"/>
          <w:highlight w:val="none"/>
        </w:rPr>
        <w:t xml:space="preserve"> </w:t>
      </w:r>
      <w:r>
        <w:rPr>
          <w:rFonts w:hint="eastAsia" w:eastAsia="仿宋_GB2312"/>
          <w:b/>
          <w:color w:val="auto"/>
          <w:szCs w:val="28"/>
          <w:highlight w:val="none"/>
        </w:rPr>
        <w:t>双方共同的责任和义务</w:t>
      </w:r>
    </w:p>
    <w:p>
      <w:pPr>
        <w:pStyle w:val="3"/>
        <w:ind w:firstLine="560"/>
        <w:rPr>
          <w:rFonts w:eastAsia="仿宋_GB2312"/>
          <w:color w:val="auto"/>
          <w:szCs w:val="28"/>
          <w:highlight w:val="none"/>
        </w:rPr>
      </w:pPr>
      <w:r>
        <w:rPr>
          <w:rFonts w:hint="eastAsia" w:eastAsia="仿宋_GB2312"/>
          <w:color w:val="auto"/>
          <w:szCs w:val="28"/>
          <w:highlight w:val="none"/>
        </w:rPr>
        <w:t>（一）严格遵守关于市场准入、招标投标、工程建设管理、物资采购、投资并购、国有资产处置等市场经济活动的法律法规制度以及党风建设和反腐倡廉工作的各项规定。</w:t>
      </w:r>
    </w:p>
    <w:p>
      <w:pPr>
        <w:pStyle w:val="3"/>
        <w:ind w:firstLine="560"/>
        <w:rPr>
          <w:rFonts w:eastAsia="仿宋_GB2312"/>
          <w:color w:val="auto"/>
          <w:szCs w:val="28"/>
          <w:highlight w:val="none"/>
        </w:rPr>
      </w:pPr>
      <w:r>
        <w:rPr>
          <w:rFonts w:hint="eastAsia" w:eastAsia="仿宋_GB2312"/>
          <w:color w:val="auto"/>
          <w:szCs w:val="28"/>
          <w:highlight w:val="none"/>
        </w:rPr>
        <w:t>（二）严格履行合同约定，自觉承担合同义务。</w:t>
      </w:r>
    </w:p>
    <w:p>
      <w:pPr>
        <w:pStyle w:val="3"/>
        <w:ind w:firstLine="560"/>
        <w:rPr>
          <w:rFonts w:eastAsia="仿宋_GB2312"/>
          <w:color w:val="auto"/>
          <w:szCs w:val="28"/>
          <w:highlight w:val="none"/>
        </w:rPr>
      </w:pPr>
      <w:r>
        <w:rPr>
          <w:rFonts w:hint="eastAsia" w:eastAsia="仿宋_GB2312"/>
          <w:color w:val="auto"/>
          <w:szCs w:val="28"/>
          <w:highlight w:val="none"/>
        </w:rPr>
        <w:t>（三）业务活动必须坚持公平、公正、公开和诚实守信的原则（除法律法规另有规定者外），不得为获取不正当利益，损害国家、集体和对方利益。</w:t>
      </w:r>
    </w:p>
    <w:p>
      <w:pPr>
        <w:pStyle w:val="3"/>
        <w:ind w:firstLine="560"/>
        <w:rPr>
          <w:rFonts w:eastAsia="仿宋_GB2312"/>
          <w:color w:val="auto"/>
          <w:szCs w:val="28"/>
          <w:highlight w:val="none"/>
        </w:rPr>
      </w:pPr>
      <w:r>
        <w:rPr>
          <w:rFonts w:hint="eastAsia" w:eastAsia="仿宋_GB2312"/>
          <w:color w:val="auto"/>
          <w:szCs w:val="28"/>
          <w:highlight w:val="none"/>
        </w:rPr>
        <w:t>（四）建立健全自我监督机制，开展廉洁教育，公布举报电话，监督并认真查处违法违纪行为。</w:t>
      </w:r>
    </w:p>
    <w:p>
      <w:pPr>
        <w:pStyle w:val="3"/>
        <w:ind w:firstLine="560"/>
        <w:rPr>
          <w:rFonts w:eastAsia="仿宋_GB2312"/>
          <w:color w:val="auto"/>
          <w:szCs w:val="28"/>
          <w:highlight w:val="none"/>
        </w:rPr>
      </w:pPr>
      <w:r>
        <w:rPr>
          <w:rFonts w:hint="eastAsia" w:eastAsia="仿宋_GB2312"/>
          <w:color w:val="auto"/>
          <w:szCs w:val="28"/>
          <w:highlight w:val="none"/>
        </w:rPr>
        <w:t>（五）发现对方在业务活动中有违规、违纪、违法行为的，应及时提醒对方，情节严重的，应向有关纪检监察部门举报。</w:t>
      </w:r>
    </w:p>
    <w:p>
      <w:pPr>
        <w:pStyle w:val="3"/>
        <w:ind w:firstLine="560"/>
        <w:rPr>
          <w:rFonts w:eastAsia="仿宋_GB2312"/>
          <w:b/>
          <w:color w:val="auto"/>
          <w:szCs w:val="28"/>
          <w:highlight w:val="none"/>
        </w:rPr>
      </w:pPr>
      <w:r>
        <w:rPr>
          <w:rFonts w:hint="eastAsia" w:eastAsia="仿宋_GB2312"/>
          <w:b/>
          <w:color w:val="auto"/>
          <w:szCs w:val="28"/>
          <w:highlight w:val="none"/>
        </w:rPr>
        <w:t>第二条</w:t>
      </w:r>
      <w:r>
        <w:rPr>
          <w:rFonts w:eastAsia="仿宋_GB2312"/>
          <w:b/>
          <w:color w:val="auto"/>
          <w:szCs w:val="28"/>
          <w:highlight w:val="none"/>
        </w:rPr>
        <w:t xml:space="preserve">  </w:t>
      </w:r>
      <w:r>
        <w:rPr>
          <w:rFonts w:hint="eastAsia" w:eastAsia="仿宋_GB2312"/>
          <w:b/>
          <w:color w:val="auto"/>
          <w:szCs w:val="28"/>
          <w:highlight w:val="none"/>
        </w:rPr>
        <w:t>甲方的责任和义务</w:t>
      </w:r>
    </w:p>
    <w:p>
      <w:pPr>
        <w:pStyle w:val="3"/>
        <w:ind w:firstLine="560"/>
        <w:rPr>
          <w:rFonts w:eastAsia="仿宋_GB2312"/>
          <w:color w:val="auto"/>
          <w:szCs w:val="28"/>
          <w:highlight w:val="none"/>
        </w:rPr>
      </w:pPr>
      <w:r>
        <w:rPr>
          <w:rFonts w:hint="eastAsia" w:eastAsia="仿宋_GB2312"/>
          <w:color w:val="auto"/>
          <w:szCs w:val="28"/>
          <w:highlight w:val="none"/>
        </w:rPr>
        <w:t>甲方相关工作人员，在业务活动的事前、事中、事后，应遵守以下规定：</w:t>
      </w:r>
    </w:p>
    <w:p>
      <w:pPr>
        <w:pStyle w:val="3"/>
        <w:ind w:firstLine="560"/>
        <w:rPr>
          <w:rFonts w:eastAsia="仿宋_GB2312"/>
          <w:color w:val="auto"/>
          <w:szCs w:val="28"/>
          <w:highlight w:val="none"/>
        </w:rPr>
      </w:pPr>
      <w:r>
        <w:rPr>
          <w:rFonts w:hint="eastAsia" w:eastAsia="仿宋_GB2312"/>
          <w:color w:val="auto"/>
          <w:szCs w:val="28"/>
          <w:highlight w:val="none"/>
        </w:rPr>
        <w:t>（一）贯彻落实广州发展集团股份有限公司有关党风廉政建设责任制及廉洁从业的规定，建立企业诚信档案；</w:t>
      </w:r>
      <w:r>
        <w:rPr>
          <w:rFonts w:eastAsia="仿宋_GB2312"/>
          <w:color w:val="auto"/>
          <w:szCs w:val="28"/>
          <w:highlight w:val="none"/>
        </w:rPr>
        <w:t xml:space="preserve"> </w:t>
      </w:r>
    </w:p>
    <w:p>
      <w:pPr>
        <w:pStyle w:val="3"/>
        <w:ind w:firstLine="560"/>
        <w:rPr>
          <w:rFonts w:eastAsia="仿宋_GB2312"/>
          <w:color w:val="auto"/>
          <w:szCs w:val="28"/>
          <w:highlight w:val="none"/>
        </w:rPr>
      </w:pPr>
      <w:r>
        <w:rPr>
          <w:rFonts w:hint="eastAsia" w:eastAsia="仿宋_GB2312"/>
          <w:color w:val="auto"/>
          <w:szCs w:val="28"/>
          <w:highlight w:val="none"/>
        </w:rPr>
        <w:t>（二）按照公平、公正、公开和诚实守信的原则开展各项业务活动，为乙方提供公平的竞争环境与平台；</w:t>
      </w:r>
      <w:r>
        <w:rPr>
          <w:rFonts w:eastAsia="仿宋_GB2312"/>
          <w:color w:val="auto"/>
          <w:szCs w:val="28"/>
          <w:highlight w:val="none"/>
        </w:rPr>
        <w:t xml:space="preserve"> </w:t>
      </w:r>
    </w:p>
    <w:p>
      <w:pPr>
        <w:pStyle w:val="3"/>
        <w:ind w:firstLine="560"/>
        <w:rPr>
          <w:rFonts w:eastAsia="仿宋_GB2312"/>
          <w:color w:val="auto"/>
          <w:szCs w:val="28"/>
          <w:highlight w:val="none"/>
        </w:rPr>
      </w:pPr>
      <w:r>
        <w:rPr>
          <w:rFonts w:hint="eastAsia" w:eastAsia="仿宋_GB2312"/>
          <w:color w:val="auto"/>
          <w:szCs w:val="28"/>
          <w:highlight w:val="none"/>
        </w:rPr>
        <w:t>（三）不准向乙方泄露涉及有关业务活动的内部决策机密；</w:t>
      </w:r>
      <w:r>
        <w:rPr>
          <w:rFonts w:eastAsia="仿宋_GB2312"/>
          <w:color w:val="auto"/>
          <w:szCs w:val="28"/>
          <w:highlight w:val="none"/>
        </w:rPr>
        <w:t xml:space="preserve"> </w:t>
      </w:r>
    </w:p>
    <w:p>
      <w:pPr>
        <w:pStyle w:val="3"/>
        <w:ind w:firstLine="560"/>
        <w:rPr>
          <w:rFonts w:eastAsia="仿宋_GB2312"/>
          <w:color w:val="auto"/>
          <w:szCs w:val="28"/>
          <w:highlight w:val="none"/>
        </w:rPr>
      </w:pPr>
      <w:r>
        <w:rPr>
          <w:rFonts w:hint="eastAsia" w:eastAsia="仿宋_GB2312"/>
          <w:color w:val="auto"/>
          <w:szCs w:val="28"/>
          <w:highlight w:val="none"/>
        </w:rPr>
        <w:t>（四）不准向乙方和相关单位索要或接受回扣、红包、礼金、购物卡、有价证券、贵重物品和好处费、感谢费等；</w:t>
      </w:r>
      <w:r>
        <w:rPr>
          <w:rFonts w:eastAsia="仿宋_GB2312"/>
          <w:color w:val="auto"/>
          <w:szCs w:val="28"/>
          <w:highlight w:val="none"/>
        </w:rPr>
        <w:t xml:space="preserve"> </w:t>
      </w:r>
    </w:p>
    <w:p>
      <w:pPr>
        <w:pStyle w:val="3"/>
        <w:ind w:firstLine="560"/>
        <w:rPr>
          <w:rFonts w:eastAsia="仿宋_GB2312"/>
          <w:color w:val="auto"/>
          <w:szCs w:val="28"/>
          <w:highlight w:val="none"/>
        </w:rPr>
      </w:pPr>
      <w:r>
        <w:rPr>
          <w:rFonts w:hint="eastAsia" w:eastAsia="仿宋_GB2312"/>
          <w:color w:val="auto"/>
          <w:szCs w:val="28"/>
          <w:highlight w:val="none"/>
        </w:rPr>
        <w:t>（五）不准在乙方和相关单位报销任何应由甲方或个人支付的费用；</w:t>
      </w:r>
    </w:p>
    <w:p>
      <w:pPr>
        <w:pStyle w:val="3"/>
        <w:ind w:firstLine="560"/>
        <w:rPr>
          <w:rFonts w:eastAsia="仿宋_GB2312"/>
          <w:color w:val="auto"/>
          <w:szCs w:val="28"/>
          <w:highlight w:val="none"/>
        </w:rPr>
      </w:pPr>
      <w:r>
        <w:rPr>
          <w:rFonts w:hint="eastAsia" w:eastAsia="仿宋_GB2312"/>
          <w:color w:val="auto"/>
          <w:szCs w:val="28"/>
          <w:highlight w:val="none"/>
        </w:rPr>
        <w:t>（六）不准要求、暗示或接受乙方和相关单位为个人装修住房、婚丧嫁娶、配偶子女的工作安排以及境内外旅游等提供方便；</w:t>
      </w:r>
    </w:p>
    <w:p>
      <w:pPr>
        <w:pStyle w:val="3"/>
        <w:ind w:firstLine="560"/>
        <w:rPr>
          <w:rFonts w:eastAsia="仿宋_GB2312"/>
          <w:color w:val="auto"/>
          <w:szCs w:val="28"/>
          <w:highlight w:val="none"/>
        </w:rPr>
      </w:pPr>
      <w:r>
        <w:rPr>
          <w:rFonts w:hint="eastAsia" w:eastAsia="仿宋_GB2312"/>
          <w:color w:val="auto"/>
          <w:szCs w:val="28"/>
          <w:highlight w:val="none"/>
        </w:rPr>
        <w:t>（七）不准向乙方介绍配偶、子女、亲属参与与甲方有关的经济活动，不得以任何理由向乙方和相关单位推荐第三方单位；</w:t>
      </w:r>
    </w:p>
    <w:p>
      <w:pPr>
        <w:pStyle w:val="3"/>
        <w:ind w:firstLine="560"/>
        <w:rPr>
          <w:rFonts w:eastAsia="仿宋_GB2312"/>
          <w:color w:val="auto"/>
          <w:szCs w:val="28"/>
          <w:highlight w:val="none"/>
        </w:rPr>
      </w:pPr>
      <w:r>
        <w:rPr>
          <w:rFonts w:hint="eastAsia" w:eastAsia="仿宋_GB2312"/>
          <w:color w:val="auto"/>
          <w:szCs w:val="28"/>
          <w:highlight w:val="none"/>
        </w:rPr>
        <w:t>（八）不准参与影响相关工作正常和公正开展的其他活动；</w:t>
      </w:r>
    </w:p>
    <w:p>
      <w:pPr>
        <w:pStyle w:val="3"/>
        <w:ind w:firstLine="560"/>
        <w:rPr>
          <w:rFonts w:eastAsia="仿宋_GB2312"/>
          <w:color w:val="auto"/>
          <w:szCs w:val="28"/>
          <w:highlight w:val="none"/>
        </w:rPr>
      </w:pPr>
      <w:r>
        <w:rPr>
          <w:rFonts w:hint="eastAsia" w:eastAsia="仿宋_GB2312"/>
          <w:color w:val="auto"/>
          <w:szCs w:val="28"/>
          <w:highlight w:val="none"/>
        </w:rPr>
        <w:t>（九）不准违反《中共中央纪委关于严格禁止利用职务上的便利谋取不正当利益的若干规定》的内容。</w:t>
      </w:r>
    </w:p>
    <w:p>
      <w:pPr>
        <w:pStyle w:val="3"/>
        <w:ind w:firstLine="560"/>
        <w:rPr>
          <w:rFonts w:eastAsia="仿宋_GB2312"/>
          <w:b/>
          <w:color w:val="auto"/>
          <w:szCs w:val="28"/>
          <w:highlight w:val="none"/>
        </w:rPr>
      </w:pPr>
      <w:r>
        <w:rPr>
          <w:rFonts w:hint="eastAsia" w:eastAsia="仿宋_GB2312"/>
          <w:b/>
          <w:color w:val="auto"/>
          <w:szCs w:val="28"/>
          <w:highlight w:val="none"/>
        </w:rPr>
        <w:t>第三条</w:t>
      </w:r>
      <w:r>
        <w:rPr>
          <w:rFonts w:eastAsia="仿宋_GB2312"/>
          <w:b/>
          <w:color w:val="auto"/>
          <w:szCs w:val="28"/>
          <w:highlight w:val="none"/>
        </w:rPr>
        <w:t xml:space="preserve">  </w:t>
      </w:r>
      <w:r>
        <w:rPr>
          <w:rFonts w:hint="eastAsia" w:eastAsia="仿宋_GB2312"/>
          <w:b/>
          <w:color w:val="auto"/>
          <w:szCs w:val="28"/>
          <w:highlight w:val="none"/>
        </w:rPr>
        <w:t>乙方的责任和义务</w:t>
      </w:r>
    </w:p>
    <w:p>
      <w:pPr>
        <w:pStyle w:val="3"/>
        <w:ind w:firstLine="560"/>
        <w:rPr>
          <w:rFonts w:eastAsia="仿宋_GB2312"/>
          <w:color w:val="auto"/>
          <w:szCs w:val="28"/>
          <w:highlight w:val="none"/>
        </w:rPr>
      </w:pPr>
      <w:r>
        <w:rPr>
          <w:rFonts w:hint="eastAsia" w:eastAsia="仿宋_GB2312"/>
          <w:color w:val="auto"/>
          <w:szCs w:val="28"/>
          <w:highlight w:val="none"/>
        </w:rPr>
        <w:t>乙方及其下属企业相关工作人员，在与甲方业务活动的交往过程中，应遵守以下规定：</w:t>
      </w:r>
    </w:p>
    <w:p>
      <w:pPr>
        <w:pStyle w:val="3"/>
        <w:ind w:firstLine="560"/>
        <w:rPr>
          <w:rFonts w:eastAsia="仿宋_GB2312"/>
          <w:color w:val="auto"/>
          <w:szCs w:val="28"/>
          <w:highlight w:val="none"/>
        </w:rPr>
      </w:pPr>
      <w:r>
        <w:rPr>
          <w:rFonts w:hint="eastAsia" w:eastAsia="仿宋_GB2312"/>
          <w:color w:val="auto"/>
          <w:szCs w:val="28"/>
          <w:highlight w:val="none"/>
        </w:rPr>
        <w:t>（一）不准以任何理由为甲方和相关单位报销应由对方或个人支付的费用；</w:t>
      </w:r>
    </w:p>
    <w:p>
      <w:pPr>
        <w:pStyle w:val="3"/>
        <w:ind w:firstLine="560"/>
        <w:rPr>
          <w:rFonts w:eastAsia="仿宋_GB2312"/>
          <w:color w:val="auto"/>
          <w:szCs w:val="28"/>
          <w:highlight w:val="none"/>
        </w:rPr>
      </w:pPr>
      <w:r>
        <w:rPr>
          <w:rFonts w:hint="eastAsia" w:eastAsia="仿宋_GB2312"/>
          <w:color w:val="auto"/>
          <w:szCs w:val="28"/>
          <w:highlight w:val="none"/>
        </w:rPr>
        <w:t>（二）不准以任何理由向甲方、甲方的母公司、上级主管部门及甲方的其他关联公司的负责人及其工作人员赠送回扣、红包、礼金、购物卡、有价证券、贵重物品和好处费、感谢费等；</w:t>
      </w:r>
    </w:p>
    <w:p>
      <w:pPr>
        <w:pStyle w:val="3"/>
        <w:ind w:firstLine="560"/>
        <w:rPr>
          <w:rFonts w:eastAsia="仿宋_GB2312"/>
          <w:color w:val="auto"/>
          <w:szCs w:val="28"/>
          <w:highlight w:val="none"/>
        </w:rPr>
      </w:pPr>
      <w:r>
        <w:rPr>
          <w:rFonts w:hint="eastAsia" w:eastAsia="仿宋_GB2312"/>
          <w:color w:val="auto"/>
          <w:szCs w:val="28"/>
          <w:highlight w:val="none"/>
        </w:rPr>
        <w:t>（三）不准以任何理由为甲方、与甲方相关的单位或个人提供高消费宴请及娱乐活动；</w:t>
      </w:r>
    </w:p>
    <w:p>
      <w:pPr>
        <w:pStyle w:val="3"/>
        <w:ind w:firstLine="560"/>
        <w:rPr>
          <w:rFonts w:eastAsia="仿宋_GB2312"/>
          <w:color w:val="auto"/>
          <w:szCs w:val="28"/>
          <w:highlight w:val="none"/>
        </w:rPr>
      </w:pPr>
      <w:r>
        <w:rPr>
          <w:rFonts w:hint="eastAsia" w:eastAsia="仿宋_GB2312"/>
          <w:color w:val="auto"/>
          <w:szCs w:val="28"/>
          <w:highlight w:val="none"/>
        </w:rPr>
        <w:t>（四）不准以任何理由为甲方、与甲方相关的单位或个人购置或提供通讯工具、交通工具和高档办公用品；</w:t>
      </w:r>
    </w:p>
    <w:p>
      <w:pPr>
        <w:pStyle w:val="3"/>
        <w:ind w:firstLine="560"/>
        <w:rPr>
          <w:rFonts w:eastAsia="仿宋_GB2312"/>
          <w:color w:val="auto"/>
          <w:szCs w:val="28"/>
          <w:highlight w:val="none"/>
        </w:rPr>
      </w:pPr>
      <w:r>
        <w:rPr>
          <w:rFonts w:hint="eastAsia" w:eastAsia="仿宋_GB2312"/>
          <w:color w:val="auto"/>
          <w:szCs w:val="28"/>
          <w:highlight w:val="none"/>
        </w:rPr>
        <w:t>（五）不准接受或暗示为甲方、与甲方相关的单位或个人装修住房、婚丧嫁取、配偶子女的工作安排以及境内外旅游等提供方便；</w:t>
      </w:r>
    </w:p>
    <w:p>
      <w:pPr>
        <w:pStyle w:val="3"/>
        <w:ind w:firstLine="560"/>
        <w:rPr>
          <w:rFonts w:eastAsia="仿宋_GB2312"/>
          <w:color w:val="auto"/>
          <w:szCs w:val="28"/>
          <w:highlight w:val="none"/>
        </w:rPr>
      </w:pPr>
      <w:r>
        <w:rPr>
          <w:rFonts w:hint="eastAsia" w:eastAsia="仿宋_GB2312"/>
          <w:color w:val="auto"/>
          <w:szCs w:val="28"/>
          <w:highlight w:val="none"/>
        </w:rPr>
        <w:t>（六）不准以谋取非正当利益为目的，擅自与甲方工作人员就业务问题进行私下商谈或者达成利益默契；</w:t>
      </w:r>
    </w:p>
    <w:p>
      <w:pPr>
        <w:pStyle w:val="3"/>
        <w:ind w:firstLine="560"/>
        <w:rPr>
          <w:rFonts w:eastAsia="仿宋_GB2312"/>
          <w:color w:val="auto"/>
          <w:szCs w:val="28"/>
          <w:highlight w:val="none"/>
        </w:rPr>
      </w:pPr>
      <w:r>
        <w:rPr>
          <w:rFonts w:hint="eastAsia" w:eastAsia="仿宋_GB2312"/>
          <w:color w:val="auto"/>
          <w:szCs w:val="28"/>
          <w:highlight w:val="none"/>
        </w:rPr>
        <w:t>（七）发现甲方工作人员有违反本廉洁协议规定的，应向甲方单位举报。甲方受理举报部门：纪委办公室；举报电话：【020-37852099】；举报传真：【020-37852095】；举报邮箱：【gzrqjwbgs@gdg.com.cn】。</w:t>
      </w:r>
    </w:p>
    <w:p>
      <w:pPr>
        <w:pStyle w:val="3"/>
        <w:ind w:firstLine="560"/>
        <w:rPr>
          <w:rFonts w:eastAsia="仿宋_GB2312"/>
          <w:b/>
          <w:color w:val="auto"/>
          <w:szCs w:val="28"/>
          <w:highlight w:val="none"/>
        </w:rPr>
      </w:pPr>
      <w:r>
        <w:rPr>
          <w:rFonts w:hint="eastAsia" w:eastAsia="仿宋_GB2312"/>
          <w:b/>
          <w:color w:val="auto"/>
          <w:szCs w:val="28"/>
          <w:highlight w:val="none"/>
        </w:rPr>
        <w:t>第四条</w:t>
      </w:r>
      <w:r>
        <w:rPr>
          <w:rFonts w:eastAsia="仿宋_GB2312"/>
          <w:b/>
          <w:color w:val="auto"/>
          <w:szCs w:val="28"/>
          <w:highlight w:val="none"/>
        </w:rPr>
        <w:t xml:space="preserve">  </w:t>
      </w:r>
      <w:r>
        <w:rPr>
          <w:rFonts w:hint="eastAsia" w:eastAsia="仿宋_GB2312"/>
          <w:b/>
          <w:color w:val="auto"/>
          <w:szCs w:val="28"/>
          <w:highlight w:val="none"/>
        </w:rPr>
        <w:t>法律责任</w:t>
      </w:r>
    </w:p>
    <w:p>
      <w:pPr>
        <w:pStyle w:val="3"/>
        <w:ind w:firstLine="560"/>
        <w:rPr>
          <w:rFonts w:eastAsia="仿宋_GB2312"/>
          <w:color w:val="auto"/>
          <w:szCs w:val="28"/>
          <w:highlight w:val="none"/>
        </w:rPr>
      </w:pPr>
      <w:r>
        <w:rPr>
          <w:rFonts w:hint="eastAsia" w:eastAsia="仿宋_GB2312"/>
          <w:color w:val="auto"/>
          <w:szCs w:val="28"/>
          <w:highlight w:val="none"/>
        </w:rPr>
        <w:t>（一）甲方违反本廉洁协议第一条、甲方相关工作人员违反本廉洁协议第二条约定的，经查证属实，严格按照管理权限，依据有关法律法规和规章制度给予相关人员纪律处分或组织处理；相关工作人员涉嫌犯罪的，移送司法机关依法追究刑事责任。</w:t>
      </w:r>
    </w:p>
    <w:p>
      <w:pPr>
        <w:pStyle w:val="3"/>
        <w:ind w:firstLine="560"/>
        <w:rPr>
          <w:rFonts w:eastAsia="仿宋_GB2312"/>
          <w:color w:val="auto"/>
          <w:szCs w:val="28"/>
          <w:highlight w:val="none"/>
        </w:rPr>
      </w:pPr>
      <w:r>
        <w:rPr>
          <w:rFonts w:hint="eastAsia" w:eastAsia="仿宋_GB2312"/>
          <w:color w:val="auto"/>
          <w:szCs w:val="28"/>
          <w:highlight w:val="none"/>
        </w:rPr>
        <w:t>（二）乙方及其下属企业及其工作人员违反本廉洁协议第一、三条约定的，经查证属实，甲方可视情节轻重对乙方实施一定期限的市场禁入，以及有权立即单方解除与乙方已签订的相关业务合同以终止相关业务合作；乙方及其下属企业的工作人员涉嫌犯罪的，移送司法机关依法追究刑事责任。</w:t>
      </w:r>
    </w:p>
    <w:p>
      <w:pPr>
        <w:pStyle w:val="3"/>
        <w:ind w:firstLine="560"/>
        <w:rPr>
          <w:rFonts w:eastAsia="仿宋_GB2312"/>
          <w:b/>
          <w:color w:val="auto"/>
          <w:szCs w:val="28"/>
          <w:highlight w:val="none"/>
        </w:rPr>
      </w:pPr>
      <w:r>
        <w:rPr>
          <w:rFonts w:hint="eastAsia" w:eastAsia="仿宋_GB2312"/>
          <w:b/>
          <w:color w:val="auto"/>
          <w:szCs w:val="28"/>
          <w:highlight w:val="none"/>
        </w:rPr>
        <w:t>第五条</w:t>
      </w:r>
      <w:r>
        <w:rPr>
          <w:rFonts w:eastAsia="仿宋_GB2312"/>
          <w:b/>
          <w:color w:val="auto"/>
          <w:szCs w:val="28"/>
          <w:highlight w:val="none"/>
        </w:rPr>
        <w:t xml:space="preserve">  </w:t>
      </w:r>
      <w:r>
        <w:rPr>
          <w:rFonts w:hint="eastAsia" w:eastAsia="仿宋_GB2312"/>
          <w:b/>
          <w:color w:val="auto"/>
          <w:szCs w:val="28"/>
          <w:highlight w:val="none"/>
        </w:rPr>
        <w:t>协议生效及法律效力</w:t>
      </w:r>
    </w:p>
    <w:p>
      <w:pPr>
        <w:pStyle w:val="3"/>
        <w:ind w:firstLine="560"/>
        <w:rPr>
          <w:rFonts w:eastAsia="仿宋_GB2312"/>
          <w:color w:val="auto"/>
          <w:szCs w:val="28"/>
          <w:highlight w:val="none"/>
        </w:rPr>
      </w:pPr>
      <w:r>
        <w:rPr>
          <w:rFonts w:hint="eastAsia" w:eastAsia="仿宋_GB2312"/>
          <w:color w:val="auto"/>
          <w:szCs w:val="28"/>
          <w:highlight w:val="none"/>
        </w:rPr>
        <w:t>（一）本廉洁协议经双方签字盖章后立即生效。</w:t>
      </w:r>
    </w:p>
    <w:p>
      <w:pPr>
        <w:pStyle w:val="3"/>
        <w:ind w:firstLine="560"/>
        <w:rPr>
          <w:rFonts w:eastAsia="仿宋_GB2312"/>
          <w:color w:val="auto"/>
          <w:szCs w:val="28"/>
          <w:highlight w:val="none"/>
        </w:rPr>
      </w:pPr>
      <w:r>
        <w:rPr>
          <w:rFonts w:hint="eastAsia" w:eastAsia="仿宋_GB2312"/>
          <w:color w:val="auto"/>
          <w:szCs w:val="28"/>
          <w:highlight w:val="none"/>
        </w:rPr>
        <w:t>（二）除非甲乙双方另行签订新的廉洁协议，否则本廉洁协议在甲方与乙方存在业务关系期间均对双方产生约束力。</w:t>
      </w:r>
    </w:p>
    <w:p>
      <w:pPr>
        <w:pStyle w:val="3"/>
        <w:ind w:firstLine="560"/>
        <w:rPr>
          <w:rFonts w:eastAsia="仿宋_GB2312"/>
          <w:b/>
          <w:color w:val="auto"/>
          <w:szCs w:val="28"/>
          <w:highlight w:val="none"/>
        </w:rPr>
        <w:sectPr>
          <w:footerReference r:id="rId18" w:type="default"/>
          <w:endnotePr>
            <w:numFmt w:val="decimal"/>
          </w:endnotePr>
          <w:pgSz w:w="11906" w:h="16838"/>
          <w:pgMar w:top="1134" w:right="1418" w:bottom="1247" w:left="1418" w:header="851" w:footer="907" w:gutter="0"/>
          <w:pgNumType w:fmt="decimal"/>
          <w:cols w:space="720" w:num="1"/>
          <w:titlePg/>
          <w:docGrid w:type="lines" w:linePitch="312" w:charSpace="0"/>
        </w:sectPr>
      </w:pPr>
    </w:p>
    <w:p>
      <w:pPr>
        <w:pStyle w:val="3"/>
        <w:ind w:firstLine="560"/>
        <w:rPr>
          <w:rFonts w:eastAsia="仿宋_GB2312"/>
          <w:b/>
          <w:color w:val="auto"/>
          <w:szCs w:val="28"/>
          <w:highlight w:val="none"/>
        </w:rPr>
      </w:pPr>
      <w:r>
        <w:rPr>
          <w:rFonts w:hint="eastAsia" w:eastAsia="仿宋_GB2312"/>
          <w:b/>
          <w:color w:val="auto"/>
          <w:szCs w:val="28"/>
          <w:highlight w:val="none"/>
        </w:rPr>
        <w:t>第六条</w:t>
      </w:r>
      <w:r>
        <w:rPr>
          <w:rFonts w:eastAsia="仿宋_GB2312"/>
          <w:b/>
          <w:color w:val="auto"/>
          <w:szCs w:val="28"/>
          <w:highlight w:val="none"/>
        </w:rPr>
        <w:t xml:space="preserve">  </w:t>
      </w:r>
      <w:r>
        <w:rPr>
          <w:rFonts w:hint="eastAsia" w:eastAsia="仿宋_GB2312"/>
          <w:b/>
          <w:color w:val="auto"/>
          <w:szCs w:val="28"/>
          <w:highlight w:val="none"/>
        </w:rPr>
        <w:t>协议书份数</w:t>
      </w:r>
    </w:p>
    <w:p>
      <w:pPr>
        <w:pStyle w:val="3"/>
        <w:ind w:firstLine="560"/>
        <w:rPr>
          <w:rFonts w:eastAsia="仿宋_GB2312"/>
          <w:color w:val="auto"/>
          <w:szCs w:val="28"/>
          <w:highlight w:val="none"/>
        </w:rPr>
      </w:pPr>
      <w:r>
        <w:rPr>
          <w:rFonts w:hint="eastAsia" w:eastAsia="仿宋_GB2312"/>
          <w:color w:val="auto"/>
          <w:szCs w:val="28"/>
          <w:highlight w:val="none"/>
        </w:rPr>
        <w:t>本廉洁协议一式</w:t>
      </w:r>
      <w:r>
        <w:rPr>
          <w:rFonts w:eastAsia="仿宋_GB2312"/>
          <w:color w:val="auto"/>
          <w:szCs w:val="28"/>
          <w:highlight w:val="none"/>
        </w:rPr>
        <w:t xml:space="preserve"> </w:t>
      </w:r>
      <w:r>
        <w:rPr>
          <w:rFonts w:hint="eastAsia" w:eastAsia="仿宋_GB2312"/>
          <w:color w:val="auto"/>
          <w:szCs w:val="28"/>
          <w:highlight w:val="none"/>
        </w:rPr>
        <w:t>【</w:t>
      </w:r>
      <w:r>
        <w:rPr>
          <w:rFonts w:hint="eastAsia" w:eastAsia="仿宋_GB2312"/>
          <w:color w:val="auto"/>
          <w:szCs w:val="28"/>
          <w:highlight w:val="none"/>
          <w:lang w:val="en-US" w:eastAsia="zh-CN"/>
        </w:rPr>
        <w:t>柒</w:t>
      </w:r>
      <w:r>
        <w:rPr>
          <w:rFonts w:hint="eastAsia" w:eastAsia="仿宋_GB2312"/>
          <w:color w:val="auto"/>
          <w:szCs w:val="28"/>
          <w:highlight w:val="none"/>
        </w:rPr>
        <w:t>】份，甲方</w:t>
      </w:r>
      <w:r>
        <w:rPr>
          <w:rFonts w:eastAsia="仿宋_GB2312"/>
          <w:color w:val="auto"/>
          <w:szCs w:val="28"/>
          <w:highlight w:val="none"/>
        </w:rPr>
        <w:t xml:space="preserve"> </w:t>
      </w:r>
      <w:r>
        <w:rPr>
          <w:rFonts w:hint="eastAsia" w:eastAsia="仿宋_GB2312"/>
          <w:color w:val="auto"/>
          <w:szCs w:val="28"/>
          <w:highlight w:val="none"/>
        </w:rPr>
        <w:t>【</w:t>
      </w:r>
      <w:r>
        <w:rPr>
          <w:rFonts w:hint="eastAsia" w:eastAsia="仿宋_GB2312"/>
          <w:color w:val="auto"/>
          <w:szCs w:val="28"/>
          <w:highlight w:val="none"/>
          <w:lang w:val="en-US" w:eastAsia="zh-CN"/>
        </w:rPr>
        <w:t>肆</w:t>
      </w:r>
      <w:r>
        <w:rPr>
          <w:rFonts w:hint="eastAsia" w:eastAsia="仿宋_GB2312"/>
          <w:color w:val="auto"/>
          <w:szCs w:val="28"/>
          <w:highlight w:val="none"/>
        </w:rPr>
        <w:t>】份，乙方【</w:t>
      </w:r>
      <w:r>
        <w:rPr>
          <w:rFonts w:hint="eastAsia" w:eastAsia="仿宋_GB2312"/>
          <w:color w:val="auto"/>
          <w:szCs w:val="28"/>
          <w:highlight w:val="none"/>
          <w:lang w:val="en-US" w:eastAsia="zh-CN"/>
        </w:rPr>
        <w:t>叁</w:t>
      </w:r>
      <w:r>
        <w:rPr>
          <w:rFonts w:hint="eastAsia" w:eastAsia="仿宋_GB2312"/>
          <w:color w:val="auto"/>
          <w:szCs w:val="28"/>
          <w:highlight w:val="none"/>
        </w:rPr>
        <w:t>】份。</w:t>
      </w:r>
    </w:p>
    <w:p>
      <w:pPr>
        <w:pStyle w:val="3"/>
        <w:ind w:firstLine="560"/>
        <w:rPr>
          <w:rFonts w:eastAsia="仿宋_GB2312"/>
          <w:color w:val="auto"/>
          <w:szCs w:val="28"/>
          <w:highlight w:val="none"/>
        </w:rPr>
      </w:pPr>
      <w:r>
        <w:rPr>
          <w:rFonts w:hint="eastAsia" w:eastAsia="仿宋_GB2312"/>
          <w:color w:val="auto"/>
          <w:szCs w:val="28"/>
          <w:highlight w:val="none"/>
        </w:rPr>
        <w:t>甲乙双方确认在签订本廉洁协议前已仔细阅读条款内容，甲乙双方对本廉洁协议所产生的法律责任已清楚知悉并承诺遵守。</w:t>
      </w:r>
    </w:p>
    <w:p>
      <w:pPr>
        <w:pStyle w:val="3"/>
        <w:ind w:firstLine="560"/>
        <w:rPr>
          <w:rFonts w:eastAsia="仿宋_GB2312"/>
          <w:color w:val="auto"/>
          <w:szCs w:val="28"/>
          <w:highlight w:val="none"/>
        </w:rPr>
      </w:pPr>
    </w:p>
    <w:p>
      <w:pPr>
        <w:pStyle w:val="3"/>
        <w:ind w:firstLine="560"/>
        <w:rPr>
          <w:rFonts w:eastAsia="仿宋_GB2312"/>
          <w:color w:val="auto"/>
          <w:szCs w:val="28"/>
          <w:highlight w:val="none"/>
        </w:rPr>
      </w:pPr>
      <w:r>
        <w:rPr>
          <w:rFonts w:hint="eastAsia" w:eastAsia="仿宋_GB2312"/>
          <w:color w:val="auto"/>
          <w:szCs w:val="28"/>
          <w:highlight w:val="none"/>
        </w:rPr>
        <w:t>甲方（盖章）：</w:t>
      </w:r>
      <w:r>
        <w:rPr>
          <w:rFonts w:eastAsia="仿宋_GB2312"/>
          <w:color w:val="auto"/>
          <w:szCs w:val="28"/>
          <w:highlight w:val="none"/>
        </w:rPr>
        <w:t xml:space="preserve">                    </w:t>
      </w:r>
      <w:r>
        <w:rPr>
          <w:rFonts w:hint="eastAsia" w:eastAsia="仿宋_GB2312"/>
          <w:color w:val="auto"/>
          <w:szCs w:val="28"/>
          <w:highlight w:val="none"/>
        </w:rPr>
        <w:t>乙方（盖章）：</w:t>
      </w:r>
    </w:p>
    <w:p>
      <w:pPr>
        <w:pStyle w:val="3"/>
        <w:ind w:firstLine="560"/>
        <w:rPr>
          <w:rFonts w:eastAsia="仿宋_GB2312"/>
          <w:color w:val="auto"/>
          <w:szCs w:val="28"/>
          <w:highlight w:val="none"/>
        </w:rPr>
      </w:pPr>
      <w:r>
        <w:rPr>
          <w:rFonts w:hint="eastAsia" w:eastAsia="仿宋_GB2312"/>
          <w:color w:val="auto"/>
          <w:szCs w:val="28"/>
          <w:highlight w:val="none"/>
        </w:rPr>
        <w:t>法定代表人</w:t>
      </w:r>
      <w:r>
        <w:rPr>
          <w:rFonts w:eastAsia="仿宋_GB2312"/>
          <w:color w:val="auto"/>
          <w:szCs w:val="28"/>
          <w:highlight w:val="none"/>
        </w:rPr>
        <w:t xml:space="preserve">                        </w:t>
      </w:r>
      <w:r>
        <w:rPr>
          <w:rFonts w:hint="eastAsia" w:eastAsia="仿宋_GB2312"/>
          <w:color w:val="auto"/>
          <w:szCs w:val="28"/>
          <w:highlight w:val="none"/>
        </w:rPr>
        <w:t>法定代表人</w:t>
      </w:r>
    </w:p>
    <w:p>
      <w:pPr>
        <w:pStyle w:val="3"/>
        <w:ind w:firstLine="420" w:firstLineChars="200"/>
        <w:rPr>
          <w:rFonts w:eastAsia="仿宋_GB2312"/>
          <w:color w:val="auto"/>
          <w:szCs w:val="28"/>
          <w:highlight w:val="none"/>
        </w:rPr>
      </w:pPr>
      <w:r>
        <w:rPr>
          <w:rFonts w:hint="eastAsia" w:eastAsia="仿宋_GB2312"/>
          <w:color w:val="auto"/>
          <w:szCs w:val="28"/>
          <w:highlight w:val="none"/>
        </w:rPr>
        <w:t>（或委托代理人）：</w:t>
      </w:r>
      <w:r>
        <w:rPr>
          <w:rFonts w:eastAsia="仿宋_GB2312"/>
          <w:color w:val="auto"/>
          <w:szCs w:val="28"/>
          <w:highlight w:val="none"/>
        </w:rPr>
        <w:t xml:space="preserve">                </w:t>
      </w:r>
      <w:r>
        <w:rPr>
          <w:rFonts w:hint="eastAsia" w:eastAsia="仿宋_GB2312"/>
          <w:color w:val="auto"/>
          <w:szCs w:val="28"/>
          <w:highlight w:val="none"/>
        </w:rPr>
        <w:t>（或委托代理人）：</w:t>
      </w:r>
      <w:r>
        <w:rPr>
          <w:rFonts w:eastAsia="仿宋_GB2312"/>
          <w:color w:val="auto"/>
          <w:szCs w:val="28"/>
          <w:highlight w:val="none"/>
        </w:rPr>
        <w:t xml:space="preserve">             </w:t>
      </w:r>
    </w:p>
    <w:p>
      <w:pPr>
        <w:pStyle w:val="3"/>
        <w:rPr>
          <w:rFonts w:eastAsia="仿宋_GB2312"/>
          <w:color w:val="auto"/>
          <w:szCs w:val="28"/>
          <w:highlight w:val="none"/>
        </w:rPr>
      </w:pPr>
      <w:r>
        <w:rPr>
          <w:rFonts w:eastAsia="仿宋_GB2312"/>
          <w:color w:val="auto"/>
          <w:szCs w:val="28"/>
          <w:highlight w:val="none"/>
        </w:rPr>
        <w:t xml:space="preserve">         </w:t>
      </w:r>
      <w:r>
        <w:rPr>
          <w:rFonts w:hint="eastAsia" w:eastAsia="仿宋_GB2312"/>
          <w:color w:val="auto"/>
          <w:szCs w:val="28"/>
          <w:highlight w:val="none"/>
        </w:rPr>
        <w:t>年</w:t>
      </w:r>
      <w:r>
        <w:rPr>
          <w:rFonts w:eastAsia="仿宋_GB2312"/>
          <w:color w:val="auto"/>
          <w:szCs w:val="28"/>
          <w:highlight w:val="none"/>
        </w:rPr>
        <w:t xml:space="preserve">    </w:t>
      </w:r>
      <w:r>
        <w:rPr>
          <w:rFonts w:hint="eastAsia" w:eastAsia="仿宋_GB2312"/>
          <w:color w:val="auto"/>
          <w:szCs w:val="28"/>
          <w:highlight w:val="none"/>
        </w:rPr>
        <w:t>月</w:t>
      </w:r>
      <w:r>
        <w:rPr>
          <w:rFonts w:eastAsia="仿宋_GB2312"/>
          <w:color w:val="auto"/>
          <w:szCs w:val="28"/>
          <w:highlight w:val="none"/>
        </w:rPr>
        <w:t xml:space="preserve">   </w:t>
      </w:r>
      <w:r>
        <w:rPr>
          <w:rFonts w:hint="eastAsia" w:eastAsia="仿宋_GB2312"/>
          <w:color w:val="auto"/>
          <w:szCs w:val="28"/>
          <w:highlight w:val="none"/>
        </w:rPr>
        <w:t>日</w:t>
      </w:r>
      <w:r>
        <w:rPr>
          <w:rFonts w:eastAsia="仿宋_GB2312"/>
          <w:color w:val="auto"/>
          <w:szCs w:val="28"/>
          <w:highlight w:val="none"/>
        </w:rPr>
        <w:t xml:space="preserve">                     </w:t>
      </w:r>
      <w:r>
        <w:rPr>
          <w:rFonts w:hint="eastAsia" w:eastAsia="仿宋_GB2312"/>
          <w:color w:val="auto"/>
          <w:szCs w:val="28"/>
          <w:highlight w:val="none"/>
        </w:rPr>
        <w:t>年</w:t>
      </w:r>
      <w:r>
        <w:rPr>
          <w:rFonts w:eastAsia="仿宋_GB2312"/>
          <w:color w:val="auto"/>
          <w:szCs w:val="28"/>
          <w:highlight w:val="none"/>
        </w:rPr>
        <w:t xml:space="preserve">    </w:t>
      </w:r>
      <w:r>
        <w:rPr>
          <w:rFonts w:hint="eastAsia" w:eastAsia="仿宋_GB2312"/>
          <w:color w:val="auto"/>
          <w:szCs w:val="28"/>
          <w:highlight w:val="none"/>
        </w:rPr>
        <w:t>月</w:t>
      </w:r>
      <w:r>
        <w:rPr>
          <w:rFonts w:eastAsia="仿宋_GB2312"/>
          <w:color w:val="auto"/>
          <w:szCs w:val="28"/>
          <w:highlight w:val="none"/>
        </w:rPr>
        <w:t xml:space="preserve">   </w:t>
      </w:r>
      <w:r>
        <w:rPr>
          <w:rFonts w:hint="eastAsia" w:eastAsia="仿宋_GB2312"/>
          <w:color w:val="auto"/>
          <w:szCs w:val="28"/>
          <w:highlight w:val="none"/>
        </w:rPr>
        <w:t>日</w:t>
      </w:r>
    </w:p>
    <w:p>
      <w:pPr>
        <w:spacing w:line="360" w:lineRule="auto"/>
        <w:outlineLvl w:val="1"/>
        <w:rPr>
          <w:rFonts w:hint="eastAsia" w:ascii="仿宋" w:hAnsi="仿宋" w:eastAsia="仿宋" w:cs="仿宋"/>
          <w:b/>
          <w:bCs/>
          <w:color w:val="auto"/>
          <w:sz w:val="24"/>
          <w:szCs w:val="24"/>
          <w:highlight w:val="none"/>
        </w:rPr>
        <w:sectPr>
          <w:headerReference r:id="rId19" w:type="default"/>
          <w:footerReference r:id="rId20" w:type="default"/>
          <w:endnotePr>
            <w:numFmt w:val="decimal"/>
          </w:endnotePr>
          <w:pgSz w:w="11906" w:h="16838"/>
          <w:pgMar w:top="1417" w:right="1417" w:bottom="1417" w:left="1417" w:header="850" w:footer="907" w:gutter="0"/>
          <w:pgNumType w:fmt="decimal"/>
          <w:cols w:space="0" w:num="1"/>
          <w:titlePg/>
          <w:docGrid w:type="lines" w:linePitch="312" w:charSpace="0"/>
        </w:sectPr>
      </w:pPr>
      <w:bookmarkStart w:id="790" w:name="_Toc12865"/>
      <w:bookmarkStart w:id="791" w:name="_Toc13473"/>
    </w:p>
    <w:p>
      <w:pPr>
        <w:spacing w:line="360" w:lineRule="auto"/>
        <w:outlineLvl w:val="1"/>
        <w:rPr>
          <w:rFonts w:ascii="仿宋" w:hAnsi="仿宋" w:eastAsia="仿宋" w:cs="仿宋"/>
          <w:b/>
          <w:color w:val="auto"/>
          <w:sz w:val="36"/>
          <w:szCs w:val="36"/>
          <w:highlight w:val="none"/>
        </w:rPr>
      </w:pPr>
      <w:r>
        <w:rPr>
          <w:rFonts w:hint="eastAsia" w:ascii="仿宋" w:hAnsi="仿宋" w:eastAsia="仿宋" w:cs="仿宋"/>
          <w:b/>
          <w:bCs/>
          <w:color w:val="auto"/>
          <w:sz w:val="24"/>
          <w:szCs w:val="24"/>
          <w:highlight w:val="none"/>
        </w:rPr>
        <w:t>附件</w:t>
      </w:r>
      <w:r>
        <w:rPr>
          <w:rFonts w:hint="eastAsia" w:ascii="仿宋" w:hAnsi="仿宋" w:eastAsia="仿宋" w:cs="仿宋"/>
          <w:b/>
          <w:bCs/>
          <w:color w:val="auto"/>
          <w:sz w:val="24"/>
          <w:szCs w:val="24"/>
          <w:highlight w:val="none"/>
          <w:lang w:val="en-US" w:eastAsia="zh-CN"/>
        </w:rPr>
        <w:t>6</w:t>
      </w:r>
      <w:r>
        <w:rPr>
          <w:rFonts w:ascii="仿宋" w:hAnsi="仿宋" w:eastAsia="仿宋" w:cs="仿宋"/>
          <w:b/>
          <w:bCs/>
          <w:color w:val="auto"/>
          <w:sz w:val="24"/>
          <w:szCs w:val="24"/>
          <w:highlight w:val="none"/>
        </w:rPr>
        <w:t>：</w:t>
      </w:r>
      <w:bookmarkEnd w:id="789"/>
      <w:bookmarkEnd w:id="790"/>
      <w:bookmarkEnd w:id="791"/>
    </w:p>
    <w:p>
      <w:pPr>
        <w:spacing w:line="360" w:lineRule="auto"/>
        <w:ind w:left="1"/>
        <w:rPr>
          <w:rFonts w:ascii="仿宋" w:hAnsi="仿宋" w:eastAsia="仿宋" w:cs="仿宋"/>
          <w:b/>
          <w:color w:val="auto"/>
          <w:highlight w:val="none"/>
          <w:shd w:val="pct10" w:color="auto" w:fill="FFFFFF"/>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安健环管理协议</w:t>
      </w:r>
    </w:p>
    <w:p>
      <w:pPr>
        <w:spacing w:line="360" w:lineRule="auto"/>
        <w:ind w:left="1"/>
        <w:rPr>
          <w:rFonts w:ascii="仿宋" w:hAnsi="仿宋" w:eastAsia="仿宋" w:cs="仿宋"/>
          <w:b/>
          <w:color w:val="auto"/>
          <w:szCs w:val="21"/>
          <w:highlight w:val="none"/>
          <w:shd w:val="pct10" w:color="auto" w:fill="FFFFFF"/>
        </w:rPr>
      </w:pPr>
    </w:p>
    <w:p>
      <w:pPr>
        <w:spacing w:line="360" w:lineRule="auto"/>
        <w:ind w:left="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广州燃气集团有限公司</w:t>
      </w:r>
    </w:p>
    <w:p>
      <w:pP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贯彻“安全第一、预防为主、综合治理”的安全生产方针，明确甲、乙双方的安全责任，保障施工安全和施工人员的安全与健康，根据《安全生产法》等法律法规和甲方建设工程安健环管理规定，经甲、乙双方共同协商，就</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田心调压站扩容改造工程施工项目</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项目达成如下协议，甲、乙双方必须共同遵守。</w:t>
      </w:r>
    </w:p>
    <w:p>
      <w:pPr>
        <w:spacing w:line="360" w:lineRule="auto"/>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一、安健环管理目标</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color w:val="auto"/>
          <w:highlight w:val="none"/>
        </w:rPr>
        <w:t xml:space="preserve"> </w:t>
      </w:r>
      <w:r>
        <w:rPr>
          <w:rFonts w:hint="eastAsia" w:ascii="仿宋" w:hAnsi="仿宋" w:eastAsia="仿宋" w:cs="仿宋"/>
          <w:color w:val="auto"/>
          <w:sz w:val="24"/>
          <w:szCs w:val="24"/>
          <w:highlight w:val="none"/>
        </w:rPr>
        <w:t>不发生人身死亡、责任性人身重伤、群伤及轻伤事故。</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2.不发生一般及以上生产安全事故。</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3.不发生火灾和环境污染事故。</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4.不发生设备损坏事故。</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5.不新增职业病例。</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6.满足甲方提出的现场安全文明施工要求。</w:t>
      </w:r>
    </w:p>
    <w:p>
      <w:pPr>
        <w:spacing w:line="360" w:lineRule="auto"/>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二、甲、乙双方安健环职责</w:t>
      </w:r>
    </w:p>
    <w:p>
      <w:pPr>
        <w:spacing w:line="360" w:lineRule="auto"/>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（一）甲方安健环职责</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1.审核乙方安全资质；审核乙方施工人员职业健康情况；审核乙方项目经理及特种作业人员资质；审核乙方安全管理机构及安全管理人员配备情况。</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2.对乙方施工人员进行施工前安全教育或安全交底，如需进入甲方生产运营区域施工，应经考核合格后办理入场手续。</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3.审核乙方施工组织设计或施工方案中的安全保障措施符合安全施工要求；审核乙方入场的施工机械、工器具验收合格，符合安全要求；审核施工人员安全和职业健康保</w:t>
      </w:r>
      <w:r>
        <w:rPr>
          <w:rFonts w:hint="eastAsia" w:ascii="仿宋" w:hAnsi="仿宋" w:eastAsia="仿宋" w:cs="仿宋"/>
          <w:color w:val="auto"/>
          <w:sz w:val="24"/>
          <w:szCs w:val="24"/>
          <w:highlight w:val="none"/>
        </w:rPr>
        <w:t>护用品配备符合规范要求，并正确使用。</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4.项目开工前，负责审核现场安全措施满足施工要求，按规定办理开工手续。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5.负责组织同一区域交叉施工各承包方签订安全协议，明确各方安全职责和保障措施。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6.定期组织召开安全工作例会和安全专题会议，通报现场安全情况，协调解决安全问题。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7.组织施工现场安全检查，及时纠正违章；情节严重或未按期整改的，按照考核标准进行考核。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8.负责审核乙方高风险作业项目或专项施工方案中的安全保障措施满足施工要求。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9.审核乙方安全防护措施费使用情况。</w:t>
      </w:r>
    </w:p>
    <w:p>
      <w:pPr>
        <w:spacing w:line="360" w:lineRule="auto"/>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（二）乙方安健环职责</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乙方项目经理是本项目安全第一责任人，全面负责本项目安健环管理工作，切实履行安健环职责。负责依规建立安全管理机构并配备安全管理人员，制定安全生产责任制度、应急预案、安全检查和隐患排查、安全教育培训等规章制度，并严格执行。</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对入场施工人员进行三级安全教育，告知现场职业危害因素及防范措施，每天作业前进行安全技术交底，并做好记录；按规范为施工人员配备合格的劳动保护用品并督促正确使用；提供施工人员有效的职业健康体检证明和工伤保险凭证，禁止有职业禁忌人员进场施工。</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3.未取得甲方开工许可前，乙方禁止以任何理由进场施工；在甲方生产运营区域施工应严格执行甲方工作票和操作票管理制度。</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按照甲方总平面布置要求，规范施工现场定置管理，设置“五牌一图”（即：工程概况牌、管理人员名单及监督电话牌、消防保卫牌、安全生产牌、文明施工牌和施工现场平面图），制定安全文明施工保障措施并认真实施，确保施工场地规范有序。</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5.遵守施工现场安全管理制度，按政府规定购买安全生产责任保险；在现场安全文明施工、环境保护等方面，甲方和监理提出的正确的整改意见，应及时落实整改措施并反馈整改完成情况。</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6.特种作业人员必须持证上岗，特种设备必须检验合格，开工前将特种设备检验合格证和特种作业人员资质报甲方备案。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7.监督检查施工现场安全措施检验合格后方可使用，大型机械设备安装或拆除、大型脚手架、高支模、深基坑等高风险施工项目必须编制专项施工方案，经监理批准后方</w:t>
      </w:r>
      <w:r>
        <w:rPr>
          <w:rFonts w:hint="eastAsia" w:ascii="仿宋" w:hAnsi="仿宋" w:eastAsia="仿宋" w:cs="仿宋"/>
          <w:color w:val="auto"/>
          <w:sz w:val="24"/>
          <w:szCs w:val="24"/>
          <w:highlight w:val="none"/>
        </w:rPr>
        <w:t>可投入使用。</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8.每天安排专职或兼职安全管理人员对施工现场和施工人员进行安全监督和管理，认真落实各项安全保障措施和各级安全管理职责，做到“不安全不施工”。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9.对施工现场每日进行安全检查和隐患排查，发现问题及时处理。存在人身伤害或严重影响施工安全的隐患，应立即停工整改；对施工安全影响较小，不能立即整改的隐患，按照隐患整改“五落实”的要求限期整改。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10.杜绝违章指挥，及时对施工现场违章行为给予纠正和考核。</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11.在施工过程中，存在交叉作业的要完善安全防护措施；与其他施工单位存在交叉作业的作业面，要签订安全协议，明确各自责任范围和具体安全防护措施。</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12.针对施工现场实际情况，制定应急处置方案并予以公布，明确应急管理职责和应急处置程序，并定期组织演练。</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13.乙方如确需对部分施工作业进行劳务分包，应严格对劳务分包单位进行安全资质审查，履行报批手续，报监理和甲方审核批准后，方可签订劳务分包合同和安全协议，明确安全责任，并将分包单位纳入乙方的安全管理责任范围。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14.乙方必须按规定使用安全防护措施费，不得挪用、虚开安全防护措施费；因安全措施不到位导致不安全事件发生，造成的经济损失和工期延误等由乙方负全责。</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15.施工过程中发生不安全事件或影响甲方正常生产经营的事件，应及时、如实向甲方报告。</w:t>
      </w:r>
    </w:p>
    <w:p>
      <w:pPr>
        <w:spacing w:line="400" w:lineRule="exact"/>
        <w:ind w:firstLine="482" w:firstLineChars="200"/>
        <w:rPr>
          <w:rFonts w:ascii="仿宋" w:hAnsi="仿宋" w:eastAsia="仿宋" w:cs="仿宋"/>
          <w:b/>
          <w:i/>
          <w:color w:val="auto"/>
          <w:sz w:val="24"/>
          <w:szCs w:val="24"/>
          <w:highlight w:val="none"/>
          <w:shd w:val="pct10" w:color="auto" w:fill="FFFFFF"/>
        </w:rPr>
      </w:pPr>
      <w:r>
        <w:rPr>
          <w:rFonts w:hint="eastAsia" w:ascii="仿宋" w:hAnsi="仿宋" w:eastAsia="仿宋" w:cs="仿宋"/>
          <w:b/>
          <w:color w:val="auto"/>
          <w:kern w:val="0"/>
          <w:sz w:val="24"/>
          <w:szCs w:val="24"/>
          <w:highlight w:val="none"/>
        </w:rPr>
        <w:t>三、安全生产费用的提取和使用</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（一）安全生产费用包括绿色施工安全防护措施费和安全文明施工保障金，在甲方支付首笔工程款时全额提取，确保专款专用。</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（二）绿色施工安全防护措施费提取和使用</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绿色施工安全防护措施费按照《企业安全生产费用提取和使用管理办法》（财企</w:t>
      </w:r>
      <w:r>
        <w:rPr>
          <w:rFonts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22</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ascii="仿宋" w:hAnsi="仿宋" w:eastAsia="仿宋" w:cs="仿宋"/>
          <w:color w:val="auto"/>
          <w:sz w:val="24"/>
          <w:szCs w:val="24"/>
          <w:highlight w:val="none"/>
        </w:rPr>
        <w:t>6号）和《广州发展工程建设和外委施工项目安全管理办法》相关规定，以该项目建筑安装工程造价为依据，提取</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元作为安全防护措施费。使用范围如下：</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完善、改造和维护安全防护设施设备支出（不含“三同时”要求初期投入的安全设施），包括施工现场临时用电系统、洞口、临边、机械设备、高处作业防护、交叉作业防护、防火、防爆、防尘、防毒、防雷、防台风、防地质灾害、地下工程有害气体监测、通风、临时安全防护等设施设备支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2）配备、维护、保养应急救援器材、设备支出和应急演练支出。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3）开展重大危险源和事故隐患评估、监控和整改支出。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4）安全生产检查、评价（不包括新建、改建、扩建项目安全评价）、咨询和标准化建设支出。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5）配备和更新现场作业人员安全防护用品支出。 </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6）安全生产宣传、教育、培训支出。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7）安全生产适用的新技术、新标准、新工艺、新装备的推广应用支出。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8）安全设施及特种设备检测检验支出。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9）其他与安全生产直接相关的支出。</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2.乙方编制分阶段绿色施工安全防护措施费用计划，经监理审核后，甲方预付绿色施工安全防护措施费总额的</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3</w:t>
      </w:r>
      <w:r>
        <w:rPr>
          <w:rFonts w:ascii="仿宋" w:hAnsi="仿宋" w:eastAsia="仿宋" w:cs="仿宋"/>
          <w:color w:val="auto"/>
          <w:sz w:val="24"/>
          <w:szCs w:val="24"/>
          <w:highlight w:val="none"/>
          <w:u w:val="single"/>
        </w:rPr>
        <w:t xml:space="preserve">0 </w:t>
      </w:r>
      <w:r>
        <w:rPr>
          <w:rFonts w:ascii="仿宋" w:hAnsi="仿宋" w:eastAsia="仿宋" w:cs="仿宋"/>
          <w:color w:val="auto"/>
          <w:sz w:val="24"/>
          <w:szCs w:val="24"/>
          <w:highlight w:val="none"/>
        </w:rPr>
        <w:t>%用于安全措施投入，其余费用按照工程进展情况以及甲、乙、监理三方共同核定的安全措施落实情况分阶段支付。</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乙方应按规定用于安全文明施工措施等相关支出，不得挤占、挪用、欠用，有关使用情况应接受监理和甲方的监督。如果乙方未按照施工方案落实工程安全防护措施，甲方或监理单位可向乙方发出书面通知，要求乙方在规定时间内落实，在规定时间内仍不落实的，甲方或监理单位有权委托第三方实施全部或部分安全防护措施，所产生的费用由乙方承担。</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4.提取的绿色施工安全防护措施费不足时，不足部分在合同价款中列支；安全防护措施费未足额使用，结余部分用于该项目质保期内或需要在后期实施的安全技术改造、完善、升级或隐患整改，不再支付给乙方。</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（三）安全文明施工保障金的提取和使用</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1.安全文明施工保障金用于施工期间安全考核、安全生产事故救援抢险及善后处理、行政处罚等费用支出。提取标准为合同总价的【</w:t>
      </w:r>
      <w:r>
        <w:rPr>
          <w:rFonts w:hint="eastAsia" w:ascii="仿宋" w:hAnsi="仿宋" w:eastAsia="仿宋" w:cs="仿宋"/>
          <w:color w:val="auto"/>
          <w:sz w:val="24"/>
          <w:szCs w:val="24"/>
          <w:highlight w:val="none"/>
          <w:lang w:val="en-US" w:eastAsia="zh-CN"/>
        </w:rPr>
        <w:t>1.5%</w:t>
      </w:r>
      <w:r>
        <w:rPr>
          <w:rFonts w:ascii="仿宋" w:hAnsi="仿宋" w:eastAsia="仿宋" w:cs="仿宋"/>
          <w:color w:val="auto"/>
          <w:sz w:val="24"/>
          <w:szCs w:val="24"/>
          <w:highlight w:val="none"/>
        </w:rPr>
        <w:t>】。（提取标准：合同总价30万元至300万元按2%提取，300万元至1000万元按1.5%提取，1000万元至5000万元按1%提取，5000万元以上按0.8%提取，提取金额最高不超过100万元。）</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施工期间发生下列情况之一，</w:t>
      </w:r>
      <w:r>
        <w:rPr>
          <w:rFonts w:hint="eastAsia" w:ascii="仿宋" w:hAnsi="仿宋" w:eastAsia="仿宋" w:cs="仿宋"/>
          <w:color w:val="auto"/>
          <w:kern w:val="0"/>
          <w:sz w:val="24"/>
          <w:szCs w:val="24"/>
          <w:highlight w:val="none"/>
        </w:rPr>
        <w:t>可</w:t>
      </w:r>
      <w:r>
        <w:rPr>
          <w:rFonts w:hint="eastAsia" w:ascii="仿宋" w:hAnsi="仿宋" w:eastAsia="仿宋" w:cs="仿宋"/>
          <w:color w:val="auto"/>
          <w:sz w:val="24"/>
          <w:szCs w:val="24"/>
          <w:highlight w:val="none"/>
        </w:rPr>
        <w:t>在安全文明施工保障金中支付相关费用：</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1）乙方发生人身伤亡事故或其它安全生产事故后，不采取有效处置措施并支付费用的。</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2）乙方受到政府部门行政处罚未及时处理的。</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3）甲方或监理单位对乙方进行安全考核的。</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如果安全文明施工保障金剩余金额低于应提取金额</w:t>
      </w:r>
      <w:r>
        <w:rPr>
          <w:rFonts w:ascii="仿宋" w:hAnsi="仿宋" w:eastAsia="仿宋" w:cs="仿宋"/>
          <w:color w:val="auto"/>
          <w:sz w:val="24"/>
          <w:szCs w:val="24"/>
          <w:highlight w:val="none"/>
        </w:rPr>
        <w:t>50%，甲方在支付下一次工程进度款时补足相应数额。</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工程完工后，乙方凭甲方安健环管理部门确认的考核结果办理安全文明施工保障金返还手续。如果发生的安全责任事故、行政处罚或安全考核都已处理完成，则将剩余的保障金返还给乙方。否则甲方拒绝支付安全文明施工保障金。</w:t>
      </w:r>
    </w:p>
    <w:p>
      <w:pPr>
        <w:spacing w:line="360" w:lineRule="auto"/>
        <w:ind w:firstLine="482" w:firstLineChars="200"/>
        <w:rPr>
          <w:rFonts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四、安全考核和奖励细则</w:t>
      </w:r>
    </w:p>
    <w:p>
      <w:pPr>
        <w:spacing w:line="400" w:lineRule="exact"/>
        <w:ind w:firstLine="360" w:firstLineChars="150"/>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（一）考核细则</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1.同一外委施工人员第一次违章按考核标准进行考核；第二次违章除按考核标准进行考核外，违章人员停工1天进行安全学习；第三次违章将禁止入场施工。</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2.出现下列情况之一，甲方对乙方按照合同相关考核条款进行考核：</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1）乙方累计违章次数达到在场施工人数5%。</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2）乙方同一次违章人数超过3人。</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3）乙方发生负有责任的人身伤害、火灾、环境污染或设备损坏等不安全事件。</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4）乙方因未履行安全管理职责而导致施工人员违章的。</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5）甲方或监理单位提出的合理的整改建议未在规定期限内落实整改措施的。</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乙方违章次数达到施工总人数10%，情节严重且现场安全形势不可控的，由甲方安健环管理部门组织乙方全体施工人员安全学习半天；以后违章次数每增加5%，再次由甲方安健环管理部门组织乙方全体施工人员安全学习半天。</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4.实行工程总承包的建设项目，现场违章次数达到施工总人数10%，情节严重且现场安全形势不可控的，总承包单位组织所有施工人员集体停工学习半天，并将学习情况向甲方报告。</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5.考核条款：</w:t>
      </w:r>
    </w:p>
    <w:p>
      <w:pPr>
        <w:spacing w:line="360" w:lineRule="auto"/>
        <w:ind w:firstLine="480" w:firstLineChars="200"/>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（1）乙方项目负责人施工期间不在施工现场，且没有指定能胜任的人代替履行职责的，考核</w:t>
      </w:r>
      <w:r>
        <w:rPr>
          <w:rFonts w:hint="default"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u w:val="none"/>
          <w:lang w:val="en-US" w:eastAsia="zh-CN"/>
        </w:rPr>
        <w:t>00</w:t>
      </w:r>
      <w:r>
        <w:rPr>
          <w:rFonts w:hint="default" w:ascii="仿宋" w:hAnsi="仿宋" w:eastAsia="仿宋" w:cs="仿宋"/>
          <w:color w:val="auto"/>
          <w:sz w:val="24"/>
          <w:szCs w:val="24"/>
          <w:highlight w:val="none"/>
          <w:u w:val="none"/>
        </w:rPr>
        <w:t xml:space="preserve"> </w:t>
      </w:r>
      <w:r>
        <w:rPr>
          <w:rFonts w:hint="default" w:ascii="仿宋" w:hAnsi="仿宋" w:eastAsia="仿宋" w:cs="仿宋"/>
          <w:color w:val="auto"/>
          <w:sz w:val="24"/>
          <w:szCs w:val="24"/>
          <w:highlight w:val="none"/>
        </w:rPr>
        <w:t>元</w:t>
      </w:r>
      <w:r>
        <w:rPr>
          <w:rFonts w:hint="default" w:ascii="仿宋" w:hAnsi="仿宋" w:eastAsia="仿宋" w:cs="仿宋"/>
          <w:color w:val="auto"/>
          <w:sz w:val="24"/>
          <w:szCs w:val="24"/>
          <w:highlight w:val="none"/>
          <w:lang w:val="en-US" w:eastAsia="zh-CN"/>
        </w:rPr>
        <w:t>/天</w:t>
      </w:r>
      <w:r>
        <w:rPr>
          <w:rFonts w:hint="default" w:ascii="仿宋" w:hAnsi="仿宋" w:eastAsia="仿宋" w:cs="仿宋"/>
          <w:color w:val="auto"/>
          <w:sz w:val="24"/>
          <w:szCs w:val="24"/>
          <w:highlight w:val="none"/>
        </w:rPr>
        <w:t>。</w:t>
      </w:r>
    </w:p>
    <w:p>
      <w:pPr>
        <w:spacing w:line="360" w:lineRule="auto"/>
        <w:ind w:firstLine="480" w:firstLineChars="20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rPr>
        <w:t>未经三级安全教育培训考试合格进入施工现场施工作业的</w:t>
      </w: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考核</w:t>
      </w:r>
      <w:r>
        <w:rPr>
          <w:rFonts w:hint="default" w:ascii="仿宋" w:hAnsi="仿宋" w:eastAsia="仿宋" w:cs="仿宋"/>
          <w:color w:val="auto"/>
          <w:sz w:val="24"/>
          <w:szCs w:val="24"/>
          <w:highlight w:val="none"/>
          <w:u w:val="none"/>
          <w:lang w:val="en-US" w:eastAsia="zh-CN"/>
        </w:rPr>
        <w:t>1000</w:t>
      </w:r>
      <w:r>
        <w:rPr>
          <w:rFonts w:hint="default" w:ascii="仿宋" w:hAnsi="仿宋" w:eastAsia="仿宋" w:cs="仿宋"/>
          <w:color w:val="auto"/>
          <w:sz w:val="24"/>
          <w:szCs w:val="24"/>
          <w:highlight w:val="none"/>
          <w:lang w:val="en-US" w:eastAsia="zh-CN"/>
        </w:rPr>
        <w:t>元/人。</w:t>
      </w:r>
    </w:p>
    <w:p>
      <w:pPr>
        <w:spacing w:line="360" w:lineRule="auto"/>
        <w:ind w:firstLine="480" w:firstLineChars="200"/>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rPr>
        <w:t>）乙方施工前没有对施工人员进行安全交底和技术交底的，考核</w:t>
      </w:r>
      <w:r>
        <w:rPr>
          <w:rFonts w:hint="default" w:ascii="仿宋" w:hAnsi="仿宋" w:eastAsia="仿宋" w:cs="仿宋"/>
          <w:color w:val="auto"/>
          <w:sz w:val="24"/>
          <w:szCs w:val="24"/>
          <w:highlight w:val="none"/>
          <w:lang w:val="en-US" w:eastAsia="zh-CN"/>
        </w:rPr>
        <w:t>2000</w:t>
      </w:r>
      <w:r>
        <w:rPr>
          <w:rFonts w:hint="default" w:ascii="仿宋" w:hAnsi="仿宋" w:eastAsia="仿宋" w:cs="仿宋"/>
          <w:color w:val="auto"/>
          <w:sz w:val="24"/>
          <w:szCs w:val="24"/>
          <w:highlight w:val="none"/>
          <w:u w:val="none"/>
          <w:lang w:val="en-US" w:eastAsia="zh-CN"/>
        </w:rPr>
        <w:t xml:space="preserve">  </w:t>
      </w:r>
      <w:r>
        <w:rPr>
          <w:rFonts w:hint="default" w:ascii="仿宋" w:hAnsi="仿宋" w:eastAsia="仿宋" w:cs="仿宋"/>
          <w:color w:val="auto"/>
          <w:sz w:val="24"/>
          <w:szCs w:val="24"/>
          <w:highlight w:val="none"/>
        </w:rPr>
        <w:t>元</w:t>
      </w:r>
      <w:r>
        <w:rPr>
          <w:rFonts w:hint="default" w:ascii="仿宋" w:hAnsi="仿宋" w:eastAsia="仿宋" w:cs="仿宋"/>
          <w:color w:val="auto"/>
          <w:sz w:val="24"/>
          <w:szCs w:val="24"/>
          <w:highlight w:val="none"/>
          <w:lang w:val="en-US" w:eastAsia="zh-CN"/>
        </w:rPr>
        <w:t>/人</w:t>
      </w:r>
      <w:r>
        <w:rPr>
          <w:rFonts w:hint="default" w:ascii="仿宋" w:hAnsi="仿宋" w:eastAsia="仿宋" w:cs="仿宋"/>
          <w:color w:val="auto"/>
          <w:sz w:val="24"/>
          <w:szCs w:val="24"/>
          <w:highlight w:val="none"/>
        </w:rPr>
        <w:t>。</w:t>
      </w:r>
    </w:p>
    <w:p>
      <w:pPr>
        <w:spacing w:line="360" w:lineRule="auto"/>
        <w:ind w:firstLine="480" w:firstLineChars="200"/>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rPr>
        <w:t>）乙方对施工人员违章行为没有立即制止和纠正的，考核</w:t>
      </w:r>
      <w:r>
        <w:rPr>
          <w:rFonts w:hint="default" w:ascii="仿宋" w:hAnsi="仿宋" w:eastAsia="仿宋" w:cs="仿宋"/>
          <w:color w:val="auto"/>
          <w:sz w:val="24"/>
          <w:szCs w:val="24"/>
          <w:highlight w:val="none"/>
          <w:u w:val="none"/>
        </w:rPr>
        <w:t xml:space="preserve"> </w:t>
      </w:r>
      <w:r>
        <w:rPr>
          <w:rFonts w:hint="default" w:ascii="仿宋" w:hAnsi="仿宋" w:eastAsia="仿宋" w:cs="仿宋"/>
          <w:color w:val="auto"/>
          <w:sz w:val="24"/>
          <w:szCs w:val="24"/>
          <w:highlight w:val="none"/>
          <w:u w:val="none"/>
          <w:lang w:val="en-US" w:eastAsia="zh-CN"/>
        </w:rPr>
        <w:t xml:space="preserve">1000   </w:t>
      </w:r>
      <w:r>
        <w:rPr>
          <w:rFonts w:hint="default" w:ascii="仿宋" w:hAnsi="仿宋" w:eastAsia="仿宋" w:cs="仿宋"/>
          <w:color w:val="auto"/>
          <w:sz w:val="24"/>
          <w:szCs w:val="24"/>
          <w:highlight w:val="none"/>
        </w:rPr>
        <w:t>元。</w:t>
      </w:r>
    </w:p>
    <w:p>
      <w:pPr>
        <w:spacing w:line="360" w:lineRule="auto"/>
        <w:ind w:firstLine="480" w:firstLineChars="200"/>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eastAsia="zh-CN"/>
        </w:rPr>
        <w:t>5</w:t>
      </w:r>
      <w:r>
        <w:rPr>
          <w:rFonts w:hint="default" w:ascii="仿宋" w:hAnsi="仿宋" w:eastAsia="仿宋" w:cs="仿宋"/>
          <w:color w:val="auto"/>
          <w:sz w:val="24"/>
          <w:szCs w:val="24"/>
          <w:highlight w:val="none"/>
        </w:rPr>
        <w:t>）乙方没有办理开工手续就开始施工的，考核</w:t>
      </w:r>
      <w:r>
        <w:rPr>
          <w:rFonts w:hint="default" w:ascii="仿宋" w:hAnsi="仿宋" w:eastAsia="仿宋" w:cs="仿宋"/>
          <w:color w:val="auto"/>
          <w:sz w:val="24"/>
          <w:szCs w:val="24"/>
          <w:highlight w:val="none"/>
          <w:lang w:val="en-US" w:eastAsia="zh-CN"/>
        </w:rPr>
        <w:t>3000</w:t>
      </w:r>
      <w:r>
        <w:rPr>
          <w:rFonts w:hint="default" w:ascii="仿宋" w:hAnsi="仿宋" w:eastAsia="仿宋" w:cs="仿宋"/>
          <w:color w:val="auto"/>
          <w:sz w:val="24"/>
          <w:szCs w:val="24"/>
          <w:highlight w:val="none"/>
          <w:u w:val="none"/>
          <w:lang w:val="en-US" w:eastAsia="zh-CN"/>
        </w:rPr>
        <w:t xml:space="preserve"> </w:t>
      </w:r>
      <w:r>
        <w:rPr>
          <w:rFonts w:hint="default" w:ascii="仿宋" w:hAnsi="仿宋" w:eastAsia="仿宋" w:cs="仿宋"/>
          <w:color w:val="auto"/>
          <w:sz w:val="24"/>
          <w:szCs w:val="24"/>
          <w:highlight w:val="none"/>
        </w:rPr>
        <w:t>元。</w:t>
      </w:r>
    </w:p>
    <w:p>
      <w:pPr>
        <w:spacing w:line="360" w:lineRule="auto"/>
        <w:ind w:firstLine="480" w:firstLineChars="200"/>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eastAsia="zh-CN"/>
        </w:rPr>
        <w:t>6</w:t>
      </w:r>
      <w:r>
        <w:rPr>
          <w:rFonts w:hint="default" w:ascii="仿宋" w:hAnsi="仿宋" w:eastAsia="仿宋" w:cs="仿宋"/>
          <w:color w:val="auto"/>
          <w:sz w:val="24"/>
          <w:szCs w:val="24"/>
          <w:highlight w:val="none"/>
        </w:rPr>
        <w:t>）乙方发现重大安全隐患没有立即采取安全防范措施，并及时向甲方或监理报告的，考核</w:t>
      </w:r>
      <w:r>
        <w:rPr>
          <w:rFonts w:hint="default" w:ascii="仿宋" w:hAnsi="仿宋" w:eastAsia="仿宋" w:cs="仿宋"/>
          <w:color w:val="auto"/>
          <w:sz w:val="24"/>
          <w:szCs w:val="24"/>
          <w:highlight w:val="none"/>
          <w:u w:val="none"/>
        </w:rPr>
        <w:t xml:space="preserve"> </w:t>
      </w:r>
      <w:r>
        <w:rPr>
          <w:rFonts w:hint="default" w:ascii="仿宋" w:hAnsi="仿宋" w:eastAsia="仿宋" w:cs="仿宋"/>
          <w:color w:val="auto"/>
          <w:sz w:val="24"/>
          <w:szCs w:val="24"/>
          <w:highlight w:val="none"/>
          <w:u w:val="none"/>
          <w:lang w:val="en-US" w:eastAsia="zh-CN"/>
        </w:rPr>
        <w:t xml:space="preserve">5000   </w:t>
      </w:r>
      <w:r>
        <w:rPr>
          <w:rFonts w:hint="default" w:ascii="仿宋" w:hAnsi="仿宋" w:eastAsia="仿宋" w:cs="仿宋"/>
          <w:color w:val="auto"/>
          <w:sz w:val="24"/>
          <w:szCs w:val="24"/>
          <w:highlight w:val="none"/>
        </w:rPr>
        <w:t>元。</w:t>
      </w:r>
    </w:p>
    <w:p>
      <w:pPr>
        <w:spacing w:line="360" w:lineRule="auto"/>
        <w:ind w:firstLine="480" w:firstLineChars="200"/>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eastAsia="zh-CN"/>
        </w:rPr>
        <w:t>7</w:t>
      </w:r>
      <w:r>
        <w:rPr>
          <w:rFonts w:hint="default" w:ascii="仿宋" w:hAnsi="仿宋" w:eastAsia="仿宋" w:cs="仿宋"/>
          <w:color w:val="auto"/>
          <w:sz w:val="24"/>
          <w:szCs w:val="24"/>
          <w:highlight w:val="none"/>
        </w:rPr>
        <w:t>）监理或甲方安全管理人员提出的正确合理的整改意见在规定期限内没有落实整改措施的，考核</w:t>
      </w:r>
      <w:r>
        <w:rPr>
          <w:rFonts w:hint="default" w:ascii="仿宋" w:hAnsi="仿宋" w:eastAsia="仿宋" w:cs="仿宋"/>
          <w:color w:val="auto"/>
          <w:sz w:val="24"/>
          <w:szCs w:val="24"/>
          <w:highlight w:val="none"/>
          <w:u w:val="none"/>
        </w:rPr>
        <w:t xml:space="preserve"> </w:t>
      </w:r>
      <w:r>
        <w:rPr>
          <w:rFonts w:hint="default" w:ascii="仿宋" w:hAnsi="仿宋" w:eastAsia="仿宋" w:cs="仿宋"/>
          <w:color w:val="auto"/>
          <w:sz w:val="24"/>
          <w:szCs w:val="24"/>
          <w:highlight w:val="none"/>
          <w:u w:val="none"/>
          <w:lang w:val="en-US" w:eastAsia="zh-CN"/>
        </w:rPr>
        <w:t xml:space="preserve"> 5000  元</w:t>
      </w:r>
      <w:r>
        <w:rPr>
          <w:rFonts w:hint="default" w:ascii="仿宋" w:hAnsi="仿宋" w:eastAsia="仿宋" w:cs="仿宋"/>
          <w:color w:val="auto"/>
          <w:sz w:val="24"/>
          <w:szCs w:val="24"/>
          <w:highlight w:val="none"/>
        </w:rPr>
        <w:t>。</w:t>
      </w:r>
    </w:p>
    <w:p>
      <w:pPr>
        <w:spacing w:line="360" w:lineRule="auto"/>
        <w:ind w:firstLine="480" w:firstLineChars="200"/>
        <w:rPr>
          <w:rFonts w:ascii="仿宋" w:hAnsi="仿宋" w:eastAsia="仿宋" w:cs="仿宋"/>
          <w:color w:val="auto"/>
          <w:sz w:val="24"/>
          <w:szCs w:val="24"/>
          <w:highlight w:val="none"/>
        </w:rPr>
      </w:pP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8</w:t>
      </w: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rPr>
        <w:t>作业现场在禁止吸烟区吸烟，考核</w:t>
      </w:r>
      <w:r>
        <w:rPr>
          <w:rFonts w:hint="default" w:ascii="仿宋" w:hAnsi="仿宋" w:eastAsia="仿宋" w:cs="仿宋"/>
          <w:color w:val="auto"/>
          <w:sz w:val="24"/>
          <w:szCs w:val="24"/>
          <w:highlight w:val="none"/>
          <w:u w:val="none"/>
        </w:rPr>
        <w:t xml:space="preserve"> </w:t>
      </w:r>
      <w:r>
        <w:rPr>
          <w:rFonts w:hint="default" w:ascii="仿宋" w:hAnsi="仿宋" w:eastAsia="仿宋" w:cs="仿宋"/>
          <w:color w:val="auto"/>
          <w:sz w:val="24"/>
          <w:szCs w:val="24"/>
          <w:highlight w:val="none"/>
          <w:u w:val="none"/>
          <w:lang w:val="en-US" w:eastAsia="zh-CN"/>
        </w:rPr>
        <w:t xml:space="preserve"> 500  </w:t>
      </w:r>
      <w:r>
        <w:rPr>
          <w:rFonts w:hint="default" w:ascii="仿宋" w:hAnsi="仿宋" w:eastAsia="仿宋" w:cs="仿宋"/>
          <w:color w:val="auto"/>
          <w:sz w:val="24"/>
          <w:szCs w:val="24"/>
          <w:highlight w:val="none"/>
          <w:u w:val="none"/>
        </w:rPr>
        <w:t xml:space="preserve"> </w:t>
      </w:r>
      <w:r>
        <w:rPr>
          <w:rFonts w:hint="default" w:ascii="仿宋" w:hAnsi="仿宋" w:eastAsia="仿宋" w:cs="仿宋"/>
          <w:color w:val="auto"/>
          <w:sz w:val="24"/>
          <w:szCs w:val="24"/>
          <w:highlight w:val="none"/>
        </w:rPr>
        <w:t>元/人次。</w:t>
      </w:r>
    </w:p>
    <w:p>
      <w:pPr>
        <w:spacing w:line="360" w:lineRule="auto"/>
        <w:ind w:firstLine="480" w:firstLineChars="200"/>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9</w:t>
      </w:r>
      <w:r>
        <w:rPr>
          <w:rFonts w:hint="default" w:ascii="仿宋" w:hAnsi="仿宋" w:eastAsia="仿宋" w:cs="仿宋"/>
          <w:color w:val="auto"/>
          <w:sz w:val="24"/>
          <w:szCs w:val="24"/>
          <w:highlight w:val="none"/>
          <w:lang w:eastAsia="zh-CN"/>
        </w:rPr>
        <w:t>）从事特种作业的人员（如电工、焊工、起重等）无相应的资质，考核</w:t>
      </w:r>
      <w:r>
        <w:rPr>
          <w:rFonts w:hint="default" w:ascii="仿宋" w:hAnsi="仿宋" w:eastAsia="仿宋" w:cs="仿宋"/>
          <w:color w:val="auto"/>
          <w:sz w:val="24"/>
          <w:szCs w:val="24"/>
          <w:highlight w:val="none"/>
          <w:lang w:val="en-US" w:eastAsia="zh-CN"/>
        </w:rPr>
        <w:t>2000__</w:t>
      </w:r>
      <w:r>
        <w:rPr>
          <w:rFonts w:hint="default" w:ascii="仿宋" w:hAnsi="仿宋" w:eastAsia="仿宋" w:cs="仿宋"/>
          <w:color w:val="auto"/>
          <w:sz w:val="24"/>
          <w:szCs w:val="24"/>
          <w:highlight w:val="none"/>
          <w:lang w:eastAsia="zh-CN"/>
        </w:rPr>
        <w:t>元/人次。</w:t>
      </w:r>
    </w:p>
    <w:p>
      <w:pPr>
        <w:spacing w:line="360" w:lineRule="auto"/>
        <w:ind w:firstLine="480" w:firstLineChars="200"/>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10</w:t>
      </w:r>
      <w:r>
        <w:rPr>
          <w:rFonts w:hint="default" w:ascii="仿宋" w:hAnsi="仿宋" w:eastAsia="仿宋" w:cs="仿宋"/>
          <w:color w:val="auto"/>
          <w:sz w:val="24"/>
          <w:szCs w:val="24"/>
          <w:highlight w:val="none"/>
          <w:lang w:eastAsia="zh-CN"/>
        </w:rPr>
        <w:t>）在起重吊物下行走或站立、起吊作业未围蔽作业区域、吊物捆扎或吊装方法不当、在吊物上堆放或悬挂零星物件，考核</w:t>
      </w:r>
      <w:r>
        <w:rPr>
          <w:rFonts w:hint="default" w:ascii="仿宋" w:hAnsi="仿宋" w:eastAsia="仿宋" w:cs="仿宋"/>
          <w:color w:val="auto"/>
          <w:sz w:val="24"/>
          <w:szCs w:val="24"/>
          <w:highlight w:val="none"/>
          <w:lang w:val="en-US" w:eastAsia="zh-CN"/>
        </w:rPr>
        <w:t>__1000__</w:t>
      </w:r>
      <w:r>
        <w:rPr>
          <w:rFonts w:hint="default" w:ascii="仿宋" w:hAnsi="仿宋" w:eastAsia="仿宋" w:cs="仿宋"/>
          <w:color w:val="auto"/>
          <w:sz w:val="24"/>
          <w:szCs w:val="24"/>
          <w:highlight w:val="none"/>
          <w:lang w:eastAsia="zh-CN"/>
        </w:rPr>
        <w:t>元/人次。</w:t>
      </w:r>
    </w:p>
    <w:p>
      <w:pPr>
        <w:spacing w:line="360" w:lineRule="auto"/>
        <w:ind w:firstLine="480" w:firstLineChars="200"/>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11</w:t>
      </w:r>
      <w:r>
        <w:rPr>
          <w:rFonts w:hint="default" w:ascii="仿宋" w:hAnsi="仿宋" w:eastAsia="仿宋" w:cs="仿宋"/>
          <w:color w:val="auto"/>
          <w:sz w:val="24"/>
          <w:szCs w:val="24"/>
          <w:highlight w:val="none"/>
          <w:lang w:eastAsia="zh-CN"/>
        </w:rPr>
        <w:t>）进入生产施工现场不按规定正确佩戴安全帽或工作人员在工作中不按规定正确着装（如赤裸上身、穿拖鞋等），考核</w:t>
      </w:r>
      <w:r>
        <w:rPr>
          <w:rFonts w:hint="default" w:ascii="仿宋" w:hAnsi="仿宋" w:eastAsia="仿宋" w:cs="仿宋"/>
          <w:color w:val="auto"/>
          <w:sz w:val="24"/>
          <w:szCs w:val="24"/>
          <w:highlight w:val="none"/>
          <w:lang w:val="en-US" w:eastAsia="zh-CN"/>
        </w:rPr>
        <w:t>___500___</w:t>
      </w:r>
      <w:r>
        <w:rPr>
          <w:rFonts w:hint="default" w:ascii="仿宋" w:hAnsi="仿宋" w:eastAsia="仿宋" w:cs="仿宋"/>
          <w:color w:val="auto"/>
          <w:sz w:val="24"/>
          <w:szCs w:val="24"/>
          <w:highlight w:val="none"/>
          <w:lang w:eastAsia="zh-CN"/>
        </w:rPr>
        <w:t>元/人次。</w:t>
      </w:r>
    </w:p>
    <w:p>
      <w:pPr>
        <w:spacing w:line="360" w:lineRule="auto"/>
        <w:ind w:firstLine="480" w:firstLineChars="200"/>
        <w:rPr>
          <w:rFonts w:hint="default" w:ascii="仿宋" w:hAnsi="仿宋" w:eastAsia="仿宋" w:cs="仿宋"/>
          <w:color w:val="auto"/>
          <w:sz w:val="24"/>
          <w:szCs w:val="24"/>
          <w:highlight w:val="none"/>
          <w:lang w:eastAsia="zh-CN"/>
        </w:rPr>
      </w:pP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12</w:t>
      </w:r>
      <w:r>
        <w:rPr>
          <w:rFonts w:hint="default" w:ascii="仿宋" w:hAnsi="仿宋" w:eastAsia="仿宋" w:cs="仿宋"/>
          <w:color w:val="auto"/>
          <w:sz w:val="24"/>
          <w:szCs w:val="24"/>
          <w:highlight w:val="none"/>
          <w:lang w:eastAsia="zh-CN"/>
        </w:rPr>
        <w:t>）在带电设备附近进行起吊作业安全距离不够、在带电设备附近进行起吊作业无监护人，考核</w:t>
      </w:r>
      <w:r>
        <w:rPr>
          <w:rFonts w:hint="default" w:ascii="仿宋" w:hAnsi="仿宋" w:eastAsia="仿宋" w:cs="仿宋"/>
          <w:color w:val="auto"/>
          <w:sz w:val="24"/>
          <w:szCs w:val="24"/>
          <w:highlight w:val="none"/>
          <w:lang w:val="en-US" w:eastAsia="zh-CN"/>
        </w:rPr>
        <w:t>___1000__</w:t>
      </w:r>
      <w:r>
        <w:rPr>
          <w:rFonts w:hint="default" w:ascii="仿宋" w:hAnsi="仿宋" w:eastAsia="仿宋" w:cs="仿宋"/>
          <w:color w:val="auto"/>
          <w:sz w:val="24"/>
          <w:szCs w:val="24"/>
          <w:highlight w:val="none"/>
          <w:lang w:eastAsia="zh-CN"/>
        </w:rPr>
        <w:t>元。</w:t>
      </w:r>
    </w:p>
    <w:p>
      <w:pPr>
        <w:spacing w:line="360" w:lineRule="auto"/>
        <w:ind w:firstLine="480" w:firstLineChars="20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eastAsia="zh-CN"/>
        </w:rPr>
        <w:t>（</w:t>
      </w:r>
      <w:r>
        <w:rPr>
          <w:rFonts w:hint="default" w:ascii="仿宋" w:hAnsi="仿宋" w:eastAsia="仿宋" w:cs="仿宋"/>
          <w:color w:val="auto"/>
          <w:sz w:val="24"/>
          <w:szCs w:val="24"/>
          <w:highlight w:val="none"/>
          <w:lang w:val="en-US" w:eastAsia="zh-CN"/>
        </w:rPr>
        <w:t>13</w:t>
      </w:r>
      <w:r>
        <w:rPr>
          <w:rFonts w:hint="default" w:ascii="仿宋" w:hAnsi="仿宋" w:eastAsia="仿宋" w:cs="仿宋"/>
          <w:color w:val="auto"/>
          <w:sz w:val="24"/>
          <w:szCs w:val="24"/>
          <w:highlight w:val="none"/>
          <w:lang w:eastAsia="zh-CN"/>
        </w:rPr>
        <w:t>）被责令暂停施工、停止使用有关设备设施或场所，不听劝阻强行或私自进行施工作业的，</w:t>
      </w:r>
      <w:r>
        <w:rPr>
          <w:rFonts w:hint="default" w:ascii="仿宋" w:hAnsi="仿宋" w:eastAsia="仿宋" w:cs="仿宋"/>
          <w:color w:val="auto"/>
          <w:sz w:val="24"/>
          <w:szCs w:val="24"/>
          <w:highlight w:val="none"/>
          <w:lang w:val="en-US" w:eastAsia="zh-CN"/>
        </w:rPr>
        <w:t>考核___2000__元/次。</w:t>
      </w:r>
    </w:p>
    <w:p>
      <w:pPr>
        <w:spacing w:line="360" w:lineRule="auto"/>
        <w:ind w:firstLine="480" w:firstLineChars="20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（14）未按照施工方案进行作业操作的，根据问题的严重性程度，每次给予1000元至10000元不等的处罚。</w:t>
      </w:r>
    </w:p>
    <w:p>
      <w:pPr>
        <w:spacing w:line="360" w:lineRule="auto"/>
        <w:ind w:firstLine="480" w:firstLineChars="20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（15）未按规定合理使用绿色施工安全防护措施费的，视情况考核1000至10000元。</w:t>
      </w:r>
    </w:p>
    <w:p>
      <w:pPr>
        <w:spacing w:line="360" w:lineRule="auto"/>
        <w:ind w:firstLine="480" w:firstLineChars="200"/>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（16）乙方拒不遵守甲方安健环相关管理规定的，根据问题的严重性程度，每次给予1000元至</w:t>
      </w: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0000元不等的处罚。</w:t>
      </w:r>
    </w:p>
    <w:p>
      <w:pPr>
        <w:numPr>
          <w:ilvl w:val="-1"/>
          <w:numId w:val="0"/>
        </w:numPr>
        <w:spacing w:line="360" w:lineRule="auto"/>
        <w:ind w:firstLine="480" w:firstLineChars="200"/>
        <w:rPr>
          <w:rFonts w:hint="default"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二</w:t>
      </w:r>
      <w:r>
        <w:rPr>
          <w:rFonts w:hint="eastAsia" w:ascii="仿宋" w:hAnsi="仿宋" w:eastAsia="仿宋" w:cs="仿宋"/>
          <w:color w:val="auto"/>
          <w:kern w:val="2"/>
          <w:sz w:val="24"/>
          <w:szCs w:val="24"/>
          <w:highlight w:val="none"/>
          <w:lang w:eastAsia="zh-CN"/>
        </w:rPr>
        <w:t>）</w:t>
      </w:r>
      <w:r>
        <w:rPr>
          <w:rFonts w:hint="default" w:ascii="仿宋" w:hAnsi="仿宋" w:eastAsia="仿宋" w:cs="仿宋"/>
          <w:color w:val="auto"/>
          <w:kern w:val="2"/>
          <w:sz w:val="24"/>
          <w:szCs w:val="24"/>
          <w:highlight w:val="none"/>
        </w:rPr>
        <w:t>奖励细则</w:t>
      </w:r>
    </w:p>
    <w:p>
      <w:pPr>
        <w:spacing w:line="360" w:lineRule="auto"/>
        <w:ind w:firstLine="480" w:firstLineChars="200"/>
        <w:rPr>
          <w:rFonts w:hint="default" w:ascii="仿宋" w:hAnsi="仿宋" w:eastAsia="仿宋" w:cs="仿宋"/>
          <w:color w:val="auto"/>
          <w:kern w:val="2"/>
          <w:sz w:val="24"/>
          <w:szCs w:val="24"/>
          <w:highlight w:val="none"/>
        </w:rPr>
      </w:pPr>
      <w:r>
        <w:rPr>
          <w:rFonts w:hint="default" w:ascii="仿宋" w:hAnsi="仿宋" w:eastAsia="仿宋" w:cs="仿宋"/>
          <w:color w:val="auto"/>
          <w:kern w:val="2"/>
          <w:sz w:val="24"/>
          <w:szCs w:val="24"/>
          <w:highlight w:val="none"/>
        </w:rPr>
        <w:t>1.在同一项目中，对乙方安全违章考核所得可以用于安全奖励，奖励金额不得超过考核金额。在年度合同有效期内，乙方多个工程项目可合并执行考核和奖励。甲方在制定安全考核细则的同时应制定安全奖励细则。</w:t>
      </w:r>
    </w:p>
    <w:p>
      <w:pPr>
        <w:spacing w:line="360" w:lineRule="auto"/>
        <w:ind w:firstLine="480" w:firstLineChars="200"/>
        <w:rPr>
          <w:rFonts w:hint="default" w:ascii="仿宋" w:hAnsi="仿宋" w:eastAsia="仿宋" w:cs="仿宋"/>
          <w:color w:val="auto"/>
          <w:kern w:val="2"/>
          <w:sz w:val="24"/>
          <w:szCs w:val="24"/>
          <w:highlight w:val="none"/>
        </w:rPr>
      </w:pPr>
      <w:r>
        <w:rPr>
          <w:rFonts w:hint="default" w:ascii="仿宋" w:hAnsi="仿宋" w:eastAsia="仿宋" w:cs="仿宋"/>
          <w:color w:val="auto"/>
          <w:kern w:val="2"/>
          <w:sz w:val="24"/>
          <w:szCs w:val="24"/>
          <w:highlight w:val="none"/>
        </w:rPr>
        <w:t>2.奖励条款（不限于）：</w:t>
      </w:r>
    </w:p>
    <w:p>
      <w:pPr>
        <w:spacing w:line="360" w:lineRule="auto"/>
        <w:ind w:firstLine="480" w:firstLineChars="200"/>
        <w:rPr>
          <w:rFonts w:hint="default" w:ascii="仿宋" w:hAnsi="仿宋" w:eastAsia="仿宋" w:cs="仿宋"/>
          <w:color w:val="auto"/>
          <w:kern w:val="2"/>
          <w:sz w:val="24"/>
          <w:szCs w:val="24"/>
          <w:highlight w:val="none"/>
        </w:rPr>
      </w:pPr>
      <w:r>
        <w:rPr>
          <w:rFonts w:hint="default" w:ascii="仿宋" w:hAnsi="仿宋" w:eastAsia="仿宋" w:cs="仿宋"/>
          <w:color w:val="auto"/>
          <w:kern w:val="2"/>
          <w:sz w:val="24"/>
          <w:szCs w:val="24"/>
          <w:highlight w:val="none"/>
        </w:rPr>
        <w:t>（1）及时发现重大安全隐患或缺陷，避免不安全事件发生的，奖励</w:t>
      </w:r>
      <w:r>
        <w:rPr>
          <w:rFonts w:hint="default" w:ascii="仿宋" w:hAnsi="仿宋" w:eastAsia="仿宋" w:cs="仿宋"/>
          <w:color w:val="auto"/>
          <w:kern w:val="2"/>
          <w:sz w:val="24"/>
          <w:szCs w:val="24"/>
          <w:highlight w:val="none"/>
          <w:lang w:val="en-US" w:eastAsia="zh-CN"/>
        </w:rPr>
        <w:t>_1000___</w:t>
      </w:r>
      <w:r>
        <w:rPr>
          <w:rFonts w:hint="default" w:ascii="仿宋" w:hAnsi="仿宋" w:eastAsia="仿宋" w:cs="仿宋"/>
          <w:color w:val="auto"/>
          <w:sz w:val="24"/>
          <w:szCs w:val="24"/>
          <w:highlight w:val="none"/>
        </w:rPr>
        <w:t>元</w:t>
      </w:r>
      <w:r>
        <w:rPr>
          <w:rFonts w:hint="default" w:ascii="仿宋" w:hAnsi="仿宋" w:eastAsia="仿宋" w:cs="仿宋"/>
          <w:color w:val="auto"/>
          <w:kern w:val="2"/>
          <w:sz w:val="24"/>
          <w:szCs w:val="24"/>
          <w:highlight w:val="none"/>
        </w:rPr>
        <w:t>。</w:t>
      </w:r>
    </w:p>
    <w:p>
      <w:pPr>
        <w:spacing w:line="360" w:lineRule="auto"/>
        <w:ind w:firstLine="480" w:firstLineChars="200"/>
        <w:rPr>
          <w:rFonts w:hint="default" w:ascii="仿宋" w:hAnsi="仿宋" w:eastAsia="仿宋" w:cs="仿宋"/>
          <w:color w:val="auto"/>
          <w:kern w:val="2"/>
          <w:sz w:val="24"/>
          <w:szCs w:val="24"/>
          <w:highlight w:val="none"/>
        </w:rPr>
      </w:pPr>
      <w:r>
        <w:rPr>
          <w:rFonts w:hint="default" w:ascii="仿宋" w:hAnsi="仿宋" w:eastAsia="仿宋" w:cs="仿宋"/>
          <w:color w:val="auto"/>
          <w:kern w:val="2"/>
          <w:sz w:val="24"/>
          <w:szCs w:val="24"/>
          <w:highlight w:val="none"/>
        </w:rPr>
        <w:t>（2）突发事件应急处理得当，避免事件进一步扩大的，奖励</w:t>
      </w:r>
      <w:r>
        <w:rPr>
          <w:rFonts w:hint="default" w:ascii="仿宋" w:hAnsi="仿宋" w:eastAsia="仿宋" w:cs="仿宋"/>
          <w:color w:val="auto"/>
          <w:kern w:val="2"/>
          <w:sz w:val="24"/>
          <w:szCs w:val="24"/>
          <w:highlight w:val="none"/>
          <w:lang w:val="en-US" w:eastAsia="zh-CN"/>
        </w:rPr>
        <w:t>_2000__</w:t>
      </w:r>
      <w:r>
        <w:rPr>
          <w:rFonts w:hint="default" w:ascii="仿宋" w:hAnsi="仿宋" w:eastAsia="仿宋" w:cs="仿宋"/>
          <w:color w:val="auto"/>
          <w:sz w:val="24"/>
          <w:szCs w:val="24"/>
          <w:highlight w:val="none"/>
          <w:u w:val="none"/>
        </w:rPr>
        <w:t xml:space="preserve"> </w:t>
      </w:r>
      <w:r>
        <w:rPr>
          <w:rFonts w:hint="default" w:ascii="仿宋" w:hAnsi="仿宋" w:eastAsia="仿宋" w:cs="仿宋"/>
          <w:color w:val="auto"/>
          <w:sz w:val="24"/>
          <w:szCs w:val="24"/>
          <w:highlight w:val="none"/>
        </w:rPr>
        <w:t>元</w:t>
      </w:r>
      <w:r>
        <w:rPr>
          <w:rFonts w:hint="default" w:ascii="仿宋" w:hAnsi="仿宋" w:eastAsia="仿宋" w:cs="仿宋"/>
          <w:color w:val="auto"/>
          <w:kern w:val="2"/>
          <w:sz w:val="24"/>
          <w:szCs w:val="24"/>
          <w:highlight w:val="none"/>
        </w:rPr>
        <w:t>。</w:t>
      </w:r>
    </w:p>
    <w:p>
      <w:pPr>
        <w:spacing w:line="360" w:lineRule="auto"/>
        <w:ind w:left="0" w:leftChars="0" w:firstLine="480" w:firstLineChars="200"/>
        <w:rPr>
          <w:rFonts w:hint="default" w:ascii="仿宋" w:hAnsi="仿宋" w:eastAsia="仿宋" w:cs="仿宋"/>
          <w:color w:val="auto"/>
          <w:kern w:val="2"/>
          <w:sz w:val="24"/>
          <w:szCs w:val="24"/>
          <w:highlight w:val="none"/>
        </w:rPr>
      </w:pPr>
      <w:r>
        <w:rPr>
          <w:rFonts w:hint="default" w:ascii="仿宋" w:hAnsi="仿宋" w:eastAsia="仿宋" w:cs="仿宋"/>
          <w:color w:val="auto"/>
          <w:kern w:val="2"/>
          <w:sz w:val="24"/>
          <w:szCs w:val="24"/>
          <w:highlight w:val="none"/>
        </w:rPr>
        <w:t>（3）在安全文明施工管理工作或安全施工过程中提出合理化建议或新举措，并取得突出成效的，奖励</w:t>
      </w:r>
      <w:r>
        <w:rPr>
          <w:rFonts w:hint="default" w:ascii="仿宋" w:hAnsi="仿宋" w:eastAsia="仿宋" w:cs="仿宋"/>
          <w:color w:val="auto"/>
          <w:kern w:val="2"/>
          <w:sz w:val="24"/>
          <w:szCs w:val="24"/>
          <w:highlight w:val="none"/>
          <w:lang w:val="en-US" w:eastAsia="zh-CN"/>
        </w:rPr>
        <w:t>_1000__</w:t>
      </w:r>
      <w:r>
        <w:rPr>
          <w:rFonts w:hint="default" w:ascii="仿宋" w:hAnsi="仿宋" w:eastAsia="仿宋" w:cs="仿宋"/>
          <w:color w:val="auto"/>
          <w:sz w:val="24"/>
          <w:szCs w:val="24"/>
          <w:highlight w:val="none"/>
        </w:rPr>
        <w:t>元</w:t>
      </w:r>
      <w:r>
        <w:rPr>
          <w:rFonts w:hint="default" w:ascii="仿宋" w:hAnsi="仿宋" w:eastAsia="仿宋" w:cs="仿宋"/>
          <w:color w:val="auto"/>
          <w:kern w:val="2"/>
          <w:sz w:val="24"/>
          <w:szCs w:val="24"/>
          <w:highlight w:val="none"/>
        </w:rPr>
        <w:t>。</w:t>
      </w:r>
    </w:p>
    <w:p>
      <w:pPr>
        <w:spacing w:line="360" w:lineRule="auto"/>
        <w:ind w:firstLine="480" w:firstLineChars="200"/>
        <w:rPr>
          <w:rFonts w:hint="default"/>
        </w:rPr>
      </w:pPr>
      <w:r>
        <w:rPr>
          <w:rFonts w:hint="default" w:ascii="仿宋" w:hAnsi="仿宋" w:eastAsia="仿宋" w:cs="仿宋"/>
          <w:color w:val="auto"/>
          <w:kern w:val="2"/>
          <w:sz w:val="24"/>
          <w:szCs w:val="24"/>
          <w:highlight w:val="none"/>
        </w:rPr>
        <w:t>（4）安全文明施工管理规范，具有典型示范效应，受到甲方或上级企业集团通报表扬的，奖励</w:t>
      </w:r>
      <w:r>
        <w:rPr>
          <w:rFonts w:hint="default" w:ascii="仿宋" w:hAnsi="仿宋" w:eastAsia="仿宋" w:cs="仿宋"/>
          <w:color w:val="auto"/>
          <w:kern w:val="2"/>
          <w:sz w:val="24"/>
          <w:szCs w:val="24"/>
          <w:highlight w:val="none"/>
          <w:lang w:val="en-US" w:eastAsia="zh-CN"/>
        </w:rPr>
        <w:t>_2000___</w:t>
      </w:r>
      <w:r>
        <w:rPr>
          <w:rFonts w:hint="default" w:ascii="仿宋" w:hAnsi="仿宋" w:eastAsia="仿宋" w:cs="仿宋"/>
          <w:color w:val="auto"/>
          <w:sz w:val="24"/>
          <w:szCs w:val="24"/>
          <w:highlight w:val="none"/>
        </w:rPr>
        <w:t>元</w:t>
      </w:r>
      <w:r>
        <w:rPr>
          <w:rFonts w:hint="default" w:ascii="仿宋" w:hAnsi="仿宋" w:eastAsia="仿宋" w:cs="仿宋"/>
          <w:color w:val="auto"/>
          <w:kern w:val="2"/>
          <w:sz w:val="24"/>
          <w:szCs w:val="24"/>
          <w:highlight w:val="none"/>
        </w:rPr>
        <w:t xml:space="preserve">。 </w:t>
      </w:r>
    </w:p>
    <w:p>
      <w:pPr>
        <w:spacing w:line="360" w:lineRule="auto"/>
        <w:ind w:firstLine="480" w:firstLineChars="200"/>
        <w:rPr>
          <w:highlight w:val="none"/>
        </w:rPr>
      </w:pPr>
      <w:r>
        <w:rPr>
          <w:rFonts w:hint="default" w:ascii="仿宋" w:hAnsi="仿宋" w:eastAsia="仿宋" w:cs="仿宋"/>
          <w:color w:val="auto"/>
          <w:kern w:val="2"/>
          <w:sz w:val="24"/>
          <w:szCs w:val="24"/>
          <w:highlight w:val="none"/>
        </w:rPr>
        <w:t>（</w:t>
      </w:r>
      <w:r>
        <w:rPr>
          <w:rFonts w:hint="eastAsia" w:ascii="仿宋" w:hAnsi="仿宋" w:eastAsia="仿宋" w:cs="仿宋"/>
          <w:color w:val="auto"/>
          <w:kern w:val="2"/>
          <w:sz w:val="24"/>
          <w:szCs w:val="24"/>
          <w:highlight w:val="none"/>
          <w:lang w:val="en-US" w:eastAsia="zh-CN"/>
        </w:rPr>
        <w:t>5</w:t>
      </w:r>
      <w:r>
        <w:rPr>
          <w:rFonts w:hint="default" w:ascii="仿宋" w:hAnsi="仿宋" w:eastAsia="仿宋" w:cs="仿宋"/>
          <w:color w:val="auto"/>
          <w:kern w:val="2"/>
          <w:sz w:val="24"/>
          <w:szCs w:val="24"/>
          <w:highlight w:val="none"/>
        </w:rPr>
        <w:t xml:space="preserve">）奖励总金额不超过甲方给与乙方考核的总金额。 </w:t>
      </w:r>
    </w:p>
    <w:p>
      <w:pPr>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五、不安全事件报告及处理</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1.工程发生不安全事件时，属乙方负责，由乙方组织调查、分析和处理，甲方应给予配合，乙方应将结论书面报甲方安健环管理部门；发生影响或损失较大的不安全事件时，可由甲方组织调查、分析和处理。 </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color w:val="auto"/>
          <w:highlight w:val="none"/>
        </w:rPr>
        <w:t xml:space="preserve"> </w:t>
      </w:r>
      <w:r>
        <w:rPr>
          <w:rFonts w:hint="eastAsia" w:ascii="仿宋" w:hAnsi="仿宋" w:eastAsia="仿宋" w:cs="仿宋"/>
          <w:color w:val="auto"/>
          <w:sz w:val="24"/>
          <w:szCs w:val="24"/>
          <w:highlight w:val="none"/>
        </w:rPr>
        <w:t>乙方在施工过程中发生一般及以上生产安全事故，乙方应在</w:t>
      </w:r>
      <w:r>
        <w:rPr>
          <w:rFonts w:ascii="仿宋" w:hAnsi="仿宋" w:eastAsia="仿宋" w:cs="仿宋"/>
          <w:color w:val="auto"/>
          <w:sz w:val="24"/>
          <w:szCs w:val="24"/>
          <w:highlight w:val="none"/>
        </w:rPr>
        <w:t xml:space="preserve">10分钟内向甲方单位电话报告、15 </w:t>
      </w:r>
      <w:r>
        <w:rPr>
          <w:rFonts w:hint="eastAsia" w:ascii="仿宋" w:hAnsi="仿宋" w:eastAsia="仿宋" w:cs="仿宋"/>
          <w:color w:val="auto"/>
          <w:sz w:val="24"/>
          <w:szCs w:val="24"/>
          <w:highlight w:val="none"/>
        </w:rPr>
        <w:t>分钟内向甲方单位书面报告（手机短信、企业邮件、企业微信等方式），并及时续报处置进展情况；发生人身伤亡事故，乙方应按国家有关规定立即向属地政府安监部门报告，同时告知甲方；发生事故后，乙方</w:t>
      </w:r>
      <w:r>
        <w:rPr>
          <w:rFonts w:hint="eastAsia" w:ascii="仿宋" w:hAnsi="仿宋" w:eastAsia="仿宋" w:cs="仿宋"/>
          <w:bCs/>
          <w:color w:val="auto"/>
          <w:sz w:val="24"/>
          <w:szCs w:val="24"/>
          <w:highlight w:val="none"/>
        </w:rPr>
        <w:t>应迅速组织抢救伤员和现场应急处置，派专人保护事故现场，</w:t>
      </w:r>
      <w:r>
        <w:rPr>
          <w:rFonts w:hint="eastAsia" w:ascii="仿宋" w:hAnsi="仿宋" w:eastAsia="仿宋" w:cs="仿宋"/>
          <w:color w:val="auto"/>
          <w:sz w:val="24"/>
          <w:szCs w:val="24"/>
          <w:highlight w:val="none"/>
        </w:rPr>
        <w:t>积极配合并接受相应级别政府调查组调查处理，积极做好善后处理工作。</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3.因乙方发生不安全事件造成工程项目经济上的损失、工期延误等损失由乙方承担。</w:t>
      </w:r>
    </w:p>
    <w:p>
      <w:pPr>
        <w:spacing w:line="400" w:lineRule="exact"/>
        <w:ind w:firstLine="482" w:firstLineChars="200"/>
        <w:rPr>
          <w:rFonts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六、附则</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1.本协议约定的各项条款，经双方签字、盖章后生效，与合同具有同等法律效力。因违反本协议造成的安全事故或环境影响事件，由违约方承担相应的法律责任和经济责任。</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2.本协议内容如与国家有关法律、法规和规定不一致，按照国家有关规定执行。</w:t>
      </w:r>
    </w:p>
    <w:p>
      <w:pPr>
        <w:spacing w:line="36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3.在协议有效期内，施工内容、范围发生变动，可能影响协议相关内容时，应及时签订补充协议。</w:t>
      </w:r>
    </w:p>
    <w:p>
      <w:pPr>
        <w:ind w:firstLine="480" w:firstLineChars="200"/>
        <w:rPr>
          <w:rFonts w:ascii="仿宋" w:hAnsi="仿宋" w:eastAsia="仿宋" w:cs="仿宋"/>
          <w:color w:val="auto"/>
          <w:highlight w:val="none"/>
        </w:rPr>
      </w:pPr>
      <w:r>
        <w:rPr>
          <w:rFonts w:ascii="仿宋" w:hAnsi="仿宋" w:eastAsia="仿宋" w:cs="仿宋"/>
          <w:color w:val="auto"/>
          <w:sz w:val="24"/>
          <w:szCs w:val="24"/>
          <w:highlight w:val="none"/>
        </w:rPr>
        <w:t>4.本协议一式</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柒</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份，甲方执</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肆</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份，乙方执</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叁</w:t>
      </w: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p>
      <w:pPr>
        <w:rPr>
          <w:rFonts w:ascii="仿宋" w:hAnsi="仿宋" w:eastAsia="仿宋" w:cs="仿宋"/>
          <w:color w:val="auto"/>
          <w:highlight w:val="none"/>
        </w:rPr>
      </w:pPr>
    </w:p>
    <w:p>
      <w:pPr>
        <w:rPr>
          <w:color w:val="auto"/>
          <w:highlight w:val="none"/>
        </w:rPr>
      </w:pPr>
    </w:p>
    <w:p>
      <w:pPr>
        <w:rPr>
          <w:color w:val="auto"/>
          <w:highlight w:val="none"/>
        </w:rPr>
      </w:pPr>
    </w:p>
    <w:p>
      <w:pPr>
        <w:rPr>
          <w:highlight w:val="none"/>
        </w:rPr>
      </w:pPr>
    </w:p>
    <w:p>
      <w:pPr>
        <w:spacing w:line="240" w:lineRule="auto"/>
        <w:outlineLvl w:val="9"/>
        <w:rPr>
          <w:rFonts w:hint="default" w:ascii="仿宋" w:hAnsi="仿宋" w:eastAsia="仿宋" w:cs="仿宋"/>
          <w:b/>
          <w:bCs/>
          <w:color w:val="auto"/>
          <w:sz w:val="24"/>
          <w:szCs w:val="24"/>
          <w:highlight w:val="none"/>
        </w:rPr>
        <w:sectPr>
          <w:endnotePr>
            <w:numFmt w:val="decimal"/>
          </w:endnotePr>
          <w:pgSz w:w="11906" w:h="16838"/>
          <w:pgMar w:top="1417" w:right="1417" w:bottom="1417" w:left="1417" w:header="850" w:footer="907" w:gutter="0"/>
          <w:pgNumType w:fmt="decimal"/>
          <w:cols w:space="0" w:num="1"/>
          <w:titlePg/>
          <w:docGrid w:type="lines" w:linePitch="312" w:charSpace="0"/>
        </w:sectPr>
      </w:pPr>
    </w:p>
    <w:p>
      <w:pPr>
        <w:spacing w:line="240" w:lineRule="auto"/>
        <w:outlineLvl w:val="9"/>
        <w:rPr>
          <w:rFonts w:hint="default" w:ascii="仿宋" w:hAnsi="仿宋" w:eastAsia="仿宋" w:cs="仿宋"/>
          <w:b/>
          <w:bCs/>
          <w:color w:val="auto"/>
          <w:sz w:val="24"/>
          <w:szCs w:val="24"/>
          <w:highlight w:val="none"/>
        </w:rPr>
      </w:pPr>
      <w:r>
        <w:rPr>
          <w:rFonts w:hint="default" w:ascii="仿宋" w:hAnsi="仿宋" w:eastAsia="仿宋" w:cs="仿宋"/>
          <w:b/>
          <w:bCs/>
          <w:color w:val="auto"/>
          <w:sz w:val="24"/>
          <w:szCs w:val="24"/>
          <w:highlight w:val="none"/>
        </w:rPr>
        <w:t>合同附件</w:t>
      </w:r>
      <w:r>
        <w:rPr>
          <w:rFonts w:hint="eastAsia" w:ascii="仿宋" w:hAnsi="仿宋" w:eastAsia="仿宋" w:cs="仿宋"/>
          <w:b/>
          <w:bCs/>
          <w:color w:val="auto"/>
          <w:sz w:val="24"/>
          <w:szCs w:val="24"/>
          <w:highlight w:val="none"/>
        </w:rPr>
        <w:t>6</w:t>
      </w:r>
      <w:r>
        <w:rPr>
          <w:rFonts w:hint="default" w:ascii="仿宋" w:hAnsi="仿宋" w:eastAsia="仿宋" w:cs="仿宋"/>
          <w:b/>
          <w:bCs/>
          <w:color w:val="auto"/>
          <w:sz w:val="24"/>
          <w:szCs w:val="24"/>
          <w:highlight w:val="none"/>
        </w:rPr>
        <w:t>：</w:t>
      </w:r>
    </w:p>
    <w:p>
      <w:pPr>
        <w:spacing w:line="360" w:lineRule="auto"/>
        <w:jc w:val="center"/>
        <w:outlineLvl w:val="1"/>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田心调压站扩容改造工程施工项目甲供料清单</w:t>
      </w:r>
    </w:p>
    <w:tbl>
      <w:tblPr>
        <w:tblStyle w:val="40"/>
        <w:tblW w:w="152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175"/>
        <w:gridCol w:w="4825"/>
        <w:gridCol w:w="1525"/>
        <w:gridCol w:w="1413"/>
        <w:gridCol w:w="912"/>
        <w:gridCol w:w="1038"/>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410"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序号</w:t>
            </w:r>
          </w:p>
        </w:tc>
        <w:tc>
          <w:tcPr>
            <w:tcW w:w="1175"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名称</w:t>
            </w:r>
          </w:p>
        </w:tc>
        <w:tc>
          <w:tcPr>
            <w:tcW w:w="4825"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性能描述</w:t>
            </w:r>
          </w:p>
        </w:tc>
        <w:tc>
          <w:tcPr>
            <w:tcW w:w="1525"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型号及规格</w:t>
            </w:r>
          </w:p>
        </w:tc>
        <w:tc>
          <w:tcPr>
            <w:tcW w:w="1413"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压力等级</w:t>
            </w:r>
          </w:p>
        </w:tc>
        <w:tc>
          <w:tcPr>
            <w:tcW w:w="912"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单位</w:t>
            </w:r>
          </w:p>
        </w:tc>
        <w:tc>
          <w:tcPr>
            <w:tcW w:w="1038"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数量</w:t>
            </w:r>
          </w:p>
        </w:tc>
        <w:tc>
          <w:tcPr>
            <w:tcW w:w="2977" w:type="dxa"/>
            <w:vAlign w:val="center"/>
          </w:tcPr>
          <w:p>
            <w:pPr>
              <w:widowControl/>
              <w:adjustRightInd w:val="0"/>
              <w:snapToGrid w:val="0"/>
              <w:spacing w:line="360" w:lineRule="exact"/>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75" w:type="dxa"/>
            <w:gridSpan w:val="8"/>
            <w:vAlign w:val="center"/>
          </w:tcPr>
          <w:p>
            <w:pPr>
              <w:widowControl/>
              <w:adjustRightInd w:val="0"/>
              <w:snapToGrid w:val="0"/>
              <w:spacing w:line="360" w:lineRule="exact"/>
              <w:jc w:val="left"/>
              <w:rPr>
                <w:rFonts w:ascii="Times New Roman" w:hAnsi="Times New Roman" w:eastAsia="宋体" w:cs="Times New Roman"/>
                <w:b/>
                <w:bCs/>
                <w:iCs/>
                <w:color w:val="auto"/>
                <w:kern w:val="0"/>
                <w:sz w:val="21"/>
                <w:szCs w:val="21"/>
                <w:highlight w:val="none"/>
              </w:rPr>
            </w:pPr>
            <w:r>
              <w:rPr>
                <w:rFonts w:hint="eastAsia" w:ascii="Times New Roman" w:hAnsi="Times New Roman" w:eastAsia="宋体" w:cs="Times New Roman"/>
                <w:b/>
                <w:bCs/>
                <w:iCs/>
                <w:color w:val="auto"/>
                <w:kern w:val="0"/>
                <w:sz w:val="21"/>
                <w:szCs w:val="21"/>
                <w:highlight w:val="none"/>
                <w:lang w:val="en-US" w:eastAsia="zh-CN"/>
              </w:rPr>
              <w:t>一、</w:t>
            </w:r>
            <w:r>
              <w:rPr>
                <w:rFonts w:ascii="Times New Roman" w:hAnsi="Times New Roman" w:eastAsia="宋体" w:cs="Times New Roman"/>
                <w:b/>
                <w:bCs/>
                <w:iCs/>
                <w:color w:val="auto"/>
                <w:kern w:val="0"/>
                <w:sz w:val="21"/>
                <w:szCs w:val="21"/>
                <w:highlight w:val="none"/>
              </w:rPr>
              <w:t>南海及城市中压过滤换热调压橇（成橇商工厂组装）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汇管</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拔制，一进三出，支管法兰连接（带配对法兰）</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PN63</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根</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HEA7-4</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汇管</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拔制，三进三出，支管法兰连接（带配对法兰）</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PN63</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根</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HEA7-5</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汇管</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拔制，三进一出，支管法兰连接（带配对法兰）</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DN600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PN20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根</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BV7609-1~3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DN400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Align w:val="center"/>
          </w:tcPr>
          <w:p>
            <w:pPr>
              <w:keepNext w:val="0"/>
              <w:keepLines w:val="0"/>
              <w:widowControl/>
              <w:suppressLineNumbers w:val="0"/>
              <w:spacing w:before="0" w:beforeAutospacing="0" w:after="0" w:afterAutospacing="0" w:line="240" w:lineRule="auto"/>
              <w:ind w:left="0" w:right="0"/>
              <w:jc w:val="both"/>
              <w:rPr>
                <w:rFonts w:hint="eastAsia"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MOV7601</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电动球阀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地上，法兰连接（带配对法兰），耐火，电动执行器，带隔爆型阀位远传，带手动装置</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DN300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keepNext w:val="0"/>
              <w:keepLines w:val="0"/>
              <w:widowControl/>
              <w:suppressLineNumbers w:val="0"/>
              <w:spacing w:before="0" w:beforeAutospacing="0" w:after="0" w:afterAutospacing="0" w:line="240" w:lineRule="auto"/>
              <w:ind w:left="0" w:right="0"/>
              <w:jc w:val="both"/>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BV7605-1~3、BV7606-1~3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地上，法兰连接（带配对法兰），全通径，耐火，带隔爆型阀位远传</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6</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BV7602-1~3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SR7-1、SR7-2、SR7-3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筒式过滤器</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滤芯过滤，带排污口，带快开盲板，带差压表及五阀组</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通过流量：8万Nm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/h过滤精度≤20μm</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WBV7-1、WBV7-2</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WBV7-3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热水/天然气换热器</w:t>
            </w:r>
          </w:p>
        </w:tc>
        <w:tc>
          <w:tcPr>
            <w:tcW w:w="4825" w:type="dxa"/>
            <w:vAlign w:val="center"/>
          </w:tcPr>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型式：立式圆筒式</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管程设计压力：Class600；</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通过介质：天然气；</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通过流量：80000Nm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工作压力：4.5-4.8MPa；</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燃气进、出口接管：DN200</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燃气温升：6.4℃</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壳程设计压力：1.0MPa</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壳程介质：热水</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供回水温度：85/65℃</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单台额定换热量：0.35MW</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换热器本体自带安全阀及连接管路。</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换热器本体需考虑排污管路并配置相应阀门。</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换热器本体带热水相关阀门（含电动调节阀）及管路。</w:t>
            </w:r>
          </w:p>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**要求供货商按最不利工况进行计算并选型。</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8万Nm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w:t>
            </w:r>
            <w:r>
              <w:rPr>
                <w:rFonts w:ascii="Cambria Math" w:hAnsi="Cambria Math" w:eastAsia="宋体" w:cs="Cambria Math"/>
                <w:color w:val="auto"/>
                <w:kern w:val="0"/>
                <w:sz w:val="21"/>
                <w:szCs w:val="21"/>
                <w:highlight w:val="none"/>
              </w:rPr>
              <w:t>△</w:t>
            </w:r>
            <w:r>
              <w:rPr>
                <w:rFonts w:ascii="Times New Roman" w:hAnsi="Times New Roman" w:eastAsia="宋体" w:cs="Times New Roman"/>
                <w:color w:val="auto"/>
                <w:kern w:val="0"/>
                <w:sz w:val="21"/>
                <w:szCs w:val="21"/>
                <w:highlight w:val="none"/>
              </w:rPr>
              <w:t>t=6.4℃</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2开1备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SSV7301、SSV7302</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SSV7303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超压切断阀</w:t>
            </w:r>
          </w:p>
        </w:tc>
        <w:tc>
          <w:tcPr>
            <w:tcW w:w="4825" w:type="dxa"/>
            <w:vAlign w:val="center"/>
          </w:tcPr>
          <w:p>
            <w:pPr>
              <w:widowControl/>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外置式，防爆阀位信号远传，超压切断，响应时间≤1秒ANSI Class600，P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=4.8Mpa；ΔP≤0.05MPa，Q=80000Nm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Merge w:val="restart"/>
            <w:vAlign w:val="center"/>
          </w:tcPr>
          <w:p>
            <w:pPr>
              <w:widowControl/>
              <w:adjustRightInd w:val="0"/>
              <w:snapToGrid w:val="0"/>
              <w:spacing w:line="360" w:lineRule="exact"/>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PCV7301、PCV7302</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PCV7303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监控调压器</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自力式，防爆阀位信号远传，ANSI Class600，P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=4.8Mpa；Q=80000Nm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/h；ΔP≤0.05MPa，精度±1%</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Merge w:val="continue"/>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PV7301、PV7302、PV7303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工作调压阀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自力式，防爆阀位信号远传，ANSI Clas600，P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=4.8Mpa；P</w:t>
            </w:r>
            <w:r>
              <w:rPr>
                <w:rFonts w:ascii="Times New Roman" w:hAnsi="Times New Roman" w:eastAsia="宋体" w:cs="Times New Roman"/>
                <w:color w:val="auto"/>
                <w:kern w:val="0"/>
                <w:sz w:val="21"/>
                <w:szCs w:val="21"/>
                <w:highlight w:val="none"/>
                <w:vertAlign w:val="subscript"/>
              </w:rPr>
              <w:t>2</w:t>
            </w:r>
            <w:r>
              <w:rPr>
                <w:rFonts w:ascii="Times New Roman" w:hAnsi="Times New Roman" w:eastAsia="宋体" w:cs="Times New Roman"/>
                <w:color w:val="auto"/>
                <w:kern w:val="0"/>
                <w:sz w:val="21"/>
                <w:szCs w:val="21"/>
                <w:highlight w:val="none"/>
              </w:rPr>
              <w:t>=~1.4Mpa ,Q=20000~80000Nm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/h；ΔP≤0.05MPa，精度±1%</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Merge w:val="continue"/>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BV7610、BV7611</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DN100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FV7603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节流截止放空阀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DN100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PSV7601</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先导式安全阀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地上，先导全启式，法兰连接（带配对法兰），全流量</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DN100×150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BV7603-1~3、BV7604-1~3</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BV7612、BV7613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8</w:t>
            </w:r>
          </w:p>
        </w:tc>
        <w:tc>
          <w:tcPr>
            <w:tcW w:w="2977" w:type="dxa"/>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BV7608-1~3、BV7614</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FV7601-1~3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节流截止放空阀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FV7602-1~3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节流截止放空阀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DRV7601-1~3、DRV7602</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DRV7603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阀套式排污阀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5</w:t>
            </w:r>
          </w:p>
        </w:tc>
        <w:tc>
          <w:tcPr>
            <w:tcW w:w="2977" w:type="dxa"/>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DRV7604</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阀套式排污阀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BV7601、BV7607-1~3</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tcBorders>
              <w:bottom w:val="single" w:color="auto" w:sz="4" w:space="0"/>
            </w:tcBorders>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GV7601、GV7602-1~3</w:t>
            </w:r>
          </w:p>
        </w:tc>
        <w:tc>
          <w:tcPr>
            <w:tcW w:w="1175" w:type="dxa"/>
            <w:tcBorders>
              <w:bottom w:val="single" w:color="auto" w:sz="4" w:space="0"/>
            </w:tcBorders>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截止阀</w:t>
            </w:r>
          </w:p>
        </w:tc>
        <w:tc>
          <w:tcPr>
            <w:tcW w:w="4825" w:type="dxa"/>
            <w:tcBorders>
              <w:bottom w:val="single" w:color="auto" w:sz="4" w:space="0"/>
            </w:tcBorders>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tcBorders>
              <w:bottom w:val="single" w:color="auto" w:sz="4" w:space="0"/>
            </w:tcBorders>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w:t>
            </w:r>
          </w:p>
        </w:tc>
        <w:tc>
          <w:tcPr>
            <w:tcW w:w="1413" w:type="dxa"/>
            <w:tcBorders>
              <w:bottom w:val="single" w:color="auto" w:sz="4" w:space="0"/>
            </w:tcBorders>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tcBorders>
              <w:bottom w:val="single" w:color="auto" w:sz="4" w:space="0"/>
            </w:tcBorders>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tcBorders>
              <w:bottom w:val="single" w:color="auto" w:sz="4" w:space="0"/>
            </w:tcBorders>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tcBorders>
              <w:bottom w:val="single" w:color="auto" w:sz="4" w:space="0"/>
            </w:tcBorders>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PI-001</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M20*1.5；0--6.0MPa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PI-301a;302a;303a;301c;302c;303c;301d;302d;303d;005</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M20*1.5；0--6.0MPa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10</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PI-301b;302b;303b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M20*1.5；0--1.6MPa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PI-002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M20*1.5；0--1.6MPa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PT-7201;7301a;7302a;7303a；7205</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24VDC，4-20mA输出，电气接口1/2NPT，测量精度：0.075级；现场带液晶显示;迟滞及重复性：＜0.05%;防爆等级：Ex-d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1/2NPT；0--6.0MPa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5</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PT-7202;7301b;7302b;7303b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24VDC，4-20mA输出，电气接口1/2NPT，测量精度：0.075级；现场带液晶显示;迟滞及重复性：＜0.05%;防爆等级：Ex-d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1/2NPT；0--1.6MPa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TI-001</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HEA7-3</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TI-002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工艺管径：DN500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TI-301a;302a;303a</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工艺管径：DN200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TI-301b;302b;303b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工艺管径：DN400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TT-7201</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HEA7-3</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r>
              <w:rPr>
                <w:rFonts w:ascii="宋体" w:hAnsi="宋体" w:eastAsia="宋体" w:cs="Arial Unicode MS"/>
                <w:color w:val="auto"/>
                <w:sz w:val="21"/>
                <w:szCs w:val="21"/>
                <w:highlight w:val="none"/>
                <w:lang w:val="en-US" w:eastAsia="zh-CN" w:bidi="ar-SA"/>
              </w:rPr>
              <w:t>单件供应</w:t>
            </w:r>
            <w:r>
              <w:rPr>
                <w:rFonts w:hint="eastAsia" w:ascii="宋体" w:hAnsi="宋体" w:eastAsia="宋体" w:cs="Arial Unicode MS"/>
                <w:color w:val="auto"/>
                <w:sz w:val="21"/>
                <w:szCs w:val="21"/>
                <w:highlight w:val="none"/>
                <w:lang w:val="en-US" w:eastAsia="zh-CN" w:bidi="ar-SA"/>
              </w:rPr>
              <w:t>；</w:t>
            </w:r>
            <w:r>
              <w:rPr>
                <w:rFonts w:ascii="Times New Roman" w:hAnsi="Times New Roman" w:eastAsia="宋体" w:cs="Times New Roman"/>
                <w:color w:val="auto"/>
                <w:sz w:val="21"/>
                <w:szCs w:val="21"/>
                <w:highlight w:val="none"/>
                <w:lang w:val="en-US" w:eastAsia="zh-CN" w:bidi="ar-SA"/>
              </w:rPr>
              <w:t>单件供应</w:t>
            </w:r>
            <w:r>
              <w:rPr>
                <w:rFonts w:hint="eastAsia" w:ascii="Times New Roman" w:hAnsi="Times New Roman" w:eastAsia="宋体" w:cs="Times New Roman"/>
                <w:color w:val="auto"/>
                <w:sz w:val="21"/>
                <w:szCs w:val="21"/>
                <w:highlight w:val="none"/>
                <w:lang w:val="en-US" w:eastAsia="zh-CN" w:bidi="ar-SA"/>
              </w:rPr>
              <w:t>；推荐：罗斯蒙特（远东）、霍尼韦尔、西门子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TT-7202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工艺管径：DN500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r>
              <w:rPr>
                <w:rFonts w:ascii="宋体" w:hAnsi="宋体" w:eastAsia="宋体" w:cs="Arial Unicode MS"/>
                <w:color w:val="auto"/>
                <w:sz w:val="21"/>
                <w:szCs w:val="21"/>
                <w:highlight w:val="none"/>
                <w:lang w:val="en-US" w:eastAsia="zh-CN" w:bidi="ar-SA"/>
              </w:rPr>
              <w:t>单件供应</w:t>
            </w:r>
            <w:r>
              <w:rPr>
                <w:rFonts w:hint="eastAsia" w:ascii="宋体" w:hAnsi="宋体" w:eastAsia="宋体" w:cs="Arial Unicode MS"/>
                <w:color w:val="auto"/>
                <w:sz w:val="21"/>
                <w:szCs w:val="21"/>
                <w:highlight w:val="none"/>
                <w:lang w:val="en-US" w:eastAsia="zh-CN" w:bidi="ar-SA"/>
              </w:rPr>
              <w:t>；</w:t>
            </w:r>
            <w:r>
              <w:rPr>
                <w:rFonts w:ascii="Times New Roman" w:hAnsi="Times New Roman" w:eastAsia="宋体" w:cs="Times New Roman"/>
                <w:color w:val="auto"/>
                <w:sz w:val="21"/>
                <w:szCs w:val="21"/>
                <w:highlight w:val="none"/>
                <w:lang w:val="en-US" w:eastAsia="zh-CN" w:bidi="ar-SA"/>
              </w:rPr>
              <w:t>单件供应</w:t>
            </w:r>
            <w:r>
              <w:rPr>
                <w:rFonts w:hint="eastAsia" w:ascii="Times New Roman" w:hAnsi="Times New Roman" w:eastAsia="宋体" w:cs="Times New Roman"/>
                <w:color w:val="auto"/>
                <w:sz w:val="21"/>
                <w:szCs w:val="21"/>
                <w:highlight w:val="none"/>
                <w:lang w:val="en-US" w:eastAsia="zh-CN" w:bidi="ar-SA"/>
              </w:rPr>
              <w:t>；推荐：罗斯蒙特（远东）、霍尼韦尔、西门子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TT-7401;7402;7403</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工艺管径：DN200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r>
              <w:rPr>
                <w:rFonts w:ascii="宋体" w:hAnsi="宋体" w:eastAsia="宋体" w:cs="Arial Unicode MS"/>
                <w:color w:val="auto"/>
                <w:sz w:val="21"/>
                <w:szCs w:val="21"/>
                <w:highlight w:val="none"/>
                <w:lang w:val="en-US" w:eastAsia="zh-CN" w:bidi="ar-SA"/>
              </w:rPr>
              <w:t>单件供应</w:t>
            </w:r>
            <w:r>
              <w:rPr>
                <w:rFonts w:ascii="Times New Roman" w:hAnsi="Times New Roman" w:eastAsia="宋体" w:cs="Times New Roman"/>
                <w:color w:val="auto"/>
                <w:sz w:val="21"/>
                <w:szCs w:val="21"/>
                <w:highlight w:val="none"/>
                <w:lang w:val="en-US" w:eastAsia="zh-CN" w:bidi="ar-SA"/>
              </w:rPr>
              <w:t>单件供应</w:t>
            </w:r>
            <w:r>
              <w:rPr>
                <w:rFonts w:hint="eastAsia" w:ascii="Times New Roman" w:hAnsi="Times New Roman" w:eastAsia="宋体" w:cs="Times New Roman"/>
                <w:color w:val="auto"/>
                <w:sz w:val="21"/>
                <w:szCs w:val="21"/>
                <w:highlight w:val="none"/>
                <w:lang w:val="en-US" w:eastAsia="zh-CN" w:bidi="ar-SA"/>
              </w:rPr>
              <w:t>；推荐：罗斯蒙特（远东）、霍尼韦尔、西门子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TT-7301b;7302b;7303b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工艺管径：DN400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r>
              <w:rPr>
                <w:rFonts w:ascii="宋体" w:hAnsi="宋体" w:eastAsia="宋体" w:cs="Arial Unicode MS"/>
                <w:color w:val="auto"/>
                <w:sz w:val="21"/>
                <w:szCs w:val="21"/>
                <w:highlight w:val="none"/>
                <w:lang w:val="en-US" w:eastAsia="zh-CN" w:bidi="ar-SA"/>
              </w:rPr>
              <w:t>单件供应</w:t>
            </w:r>
            <w:r>
              <w:rPr>
                <w:rFonts w:hint="eastAsia" w:ascii="宋体" w:hAnsi="宋体" w:eastAsia="宋体" w:cs="Arial Unicode MS"/>
                <w:color w:val="auto"/>
                <w:sz w:val="21"/>
                <w:szCs w:val="21"/>
                <w:highlight w:val="none"/>
                <w:lang w:val="en-US" w:eastAsia="zh-CN" w:bidi="ar-SA"/>
              </w:rPr>
              <w:t>；</w:t>
            </w:r>
            <w:r>
              <w:rPr>
                <w:rFonts w:ascii="Times New Roman" w:hAnsi="Times New Roman" w:eastAsia="宋体" w:cs="Times New Roman"/>
                <w:color w:val="auto"/>
                <w:sz w:val="21"/>
                <w:szCs w:val="21"/>
                <w:highlight w:val="none"/>
                <w:lang w:val="en-US" w:eastAsia="zh-CN" w:bidi="ar-SA"/>
              </w:rPr>
              <w:t>单件供应</w:t>
            </w:r>
            <w:r>
              <w:rPr>
                <w:rFonts w:hint="eastAsia" w:ascii="Times New Roman" w:hAnsi="Times New Roman" w:eastAsia="宋体" w:cs="Times New Roman"/>
                <w:color w:val="auto"/>
                <w:sz w:val="21"/>
                <w:szCs w:val="21"/>
                <w:highlight w:val="none"/>
                <w:lang w:val="en-US" w:eastAsia="zh-CN" w:bidi="ar-SA"/>
              </w:rPr>
              <w:t>；推荐：罗斯蒙特（远东）、霍尼韦尔、西门子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TT-7205；7206</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工艺管径：DN200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r>
              <w:rPr>
                <w:rFonts w:ascii="宋体" w:hAnsi="宋体" w:eastAsia="宋体" w:cs="Arial Unicode MS"/>
                <w:color w:val="auto"/>
                <w:sz w:val="21"/>
                <w:szCs w:val="21"/>
                <w:highlight w:val="none"/>
                <w:lang w:val="en-US" w:eastAsia="zh-CN" w:bidi="ar-SA"/>
              </w:rPr>
              <w:t>单件供应</w:t>
            </w:r>
            <w:r>
              <w:rPr>
                <w:rFonts w:hint="eastAsia" w:ascii="宋体" w:hAnsi="宋体" w:eastAsia="宋体" w:cs="Arial Unicode MS"/>
                <w:color w:val="auto"/>
                <w:sz w:val="21"/>
                <w:szCs w:val="21"/>
                <w:highlight w:val="none"/>
                <w:lang w:val="en-US" w:eastAsia="zh-CN" w:bidi="ar-SA"/>
              </w:rPr>
              <w:t>；</w:t>
            </w:r>
            <w:r>
              <w:rPr>
                <w:rFonts w:ascii="Times New Roman" w:hAnsi="Times New Roman" w:eastAsia="宋体" w:cs="Times New Roman"/>
                <w:color w:val="auto"/>
                <w:sz w:val="21"/>
                <w:szCs w:val="21"/>
                <w:highlight w:val="none"/>
                <w:lang w:val="en-US" w:eastAsia="zh-CN" w:bidi="ar-SA"/>
              </w:rPr>
              <w:t>单件供应</w:t>
            </w:r>
            <w:r>
              <w:rPr>
                <w:rFonts w:hint="eastAsia" w:ascii="Times New Roman" w:hAnsi="Times New Roman" w:eastAsia="宋体" w:cs="Times New Roman"/>
                <w:color w:val="auto"/>
                <w:sz w:val="21"/>
                <w:szCs w:val="21"/>
                <w:highlight w:val="none"/>
                <w:lang w:val="en-US" w:eastAsia="zh-CN" w:bidi="ar-SA"/>
              </w:rPr>
              <w:t>；推荐：罗斯蒙特（远东）、霍尼韦尔、西门子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PdT-7201~7203</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差压变送器</w:t>
            </w:r>
          </w:p>
        </w:tc>
        <w:tc>
          <w:tcPr>
            <w:tcW w:w="4825" w:type="dxa"/>
            <w:shd w:val="clear" w:color="auto" w:fill="auto"/>
            <w:vAlign w:val="bottom"/>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隔爆型差压变送器；测量精度：0.075级;现场带液晶显示;信号输出：4-20mA模拟信号;防爆等级：Ex-d IIC T6 (IEC79-0);防护等级：IP65(IEC529);仪表内部带瞬变电压模块；测量范围：0~0.2MPa</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1/2NPT；0~0.2MPa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推荐：罗斯蒙特（远东）、霍尼韦尔、西门子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压力表安装附件</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体管台式焊接截止阀：600CLASS;口径3/4”;进口：焊接管台3/4”；出口法兰连接；法兰式截止阀(单关断单泄放)：1/2"法兰(RF)-2x1/2"NPT(F)；316SS，配套堵头；卡套式终端接头：1/4"NPT(M)-1/4"OD；316SS；不锈钢管：1/4"ODx0.035"；0.25米；压力活接头：1/2"NPT(M)-1/2"NPT(F)；316SS。</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15</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410"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压力变送器安装附件</w:t>
            </w:r>
          </w:p>
        </w:tc>
        <w:tc>
          <w:tcPr>
            <w:tcW w:w="4825"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体管台式焊接截止阀：600CLASS;口径3/4”;进口：焊接管台3/4”；出口法兰连接；法兰式截止阀(单关断单泄放)：1/2"法兰(RF)-2x1/2"NPT(F)；316SS，配套堵头；卡套式终端接头：1/4"NPT(M)-1/4"OD；316SS；不锈钢管：1/4"ODx0.035"；0.25米；压力活接头：1/2"NPT(M)-1/2"NPT(F)；316SS。</w:t>
            </w:r>
          </w:p>
        </w:tc>
        <w:tc>
          <w:tcPr>
            <w:tcW w:w="1525"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413"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9</w:t>
            </w:r>
          </w:p>
        </w:tc>
        <w:tc>
          <w:tcPr>
            <w:tcW w:w="2977"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75" w:type="dxa"/>
            <w:gridSpan w:val="8"/>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iCs/>
                <w:color w:val="auto"/>
                <w:kern w:val="0"/>
                <w:sz w:val="21"/>
                <w:szCs w:val="21"/>
                <w:highlight w:val="none"/>
                <w:lang w:val="en-US" w:eastAsia="zh-CN"/>
              </w:rPr>
              <w:t>二、</w:t>
            </w:r>
            <w:r>
              <w:rPr>
                <w:rFonts w:ascii="Times New Roman" w:hAnsi="Times New Roman" w:eastAsia="宋体" w:cs="Times New Roman"/>
                <w:b/>
                <w:bCs/>
                <w:iCs/>
                <w:color w:val="auto"/>
                <w:kern w:val="0"/>
                <w:sz w:val="21"/>
                <w:szCs w:val="21"/>
                <w:highlight w:val="none"/>
              </w:rPr>
              <w:t>南海及城市中压计量调压橇（成橇商工厂组装）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HEA7-6</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汇管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拔制，一进六出，支管法兰连接（带配对法兰）</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DN700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PN20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根</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HEA7-7</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汇管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拔制，三进一出，支管法兰连接（带配对法兰）</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DN800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PN20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根</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HEA7-8</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汇管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拔制，三进一出，支管法兰连接（带配对法兰）</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DN700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PN20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根</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MOV7702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电动球阀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地上，法兰连接（带配对法兰），耐火，电动执行器，带隔爆型阀位远传，带手动装置</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DN600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MOV7701、MOV7702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电动球阀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地上，法兰连接（带配对法兰），耐火，电动执行器，带隔爆型阀位远传，带手动装置</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BV7705-1~6</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6</w:t>
            </w: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BV7710</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DN300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配置法兰盖</w:t>
            </w:r>
            <w:r>
              <w:rPr>
                <w:rFonts w:hint="eastAsia" w:ascii="Times New Roman" w:hAnsi="Times New Roman" w:eastAsia="宋体"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BV7703-1~5</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地上，法兰连接（带配对法兰），全通径，耐火，带隔爆型阀位远传</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5</w:t>
            </w: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FIT-7201~72034</w:t>
            </w:r>
          </w:p>
        </w:tc>
        <w:tc>
          <w:tcPr>
            <w:tcW w:w="1175" w:type="dxa"/>
            <w:shd w:val="clear" w:color="auto" w:fill="auto"/>
            <w:vAlign w:val="center"/>
          </w:tcPr>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涡轮流量计</w:t>
            </w:r>
          </w:p>
        </w:tc>
        <w:tc>
          <w:tcPr>
            <w:tcW w:w="4825" w:type="dxa"/>
            <w:shd w:val="clear" w:color="auto" w:fill="auto"/>
            <w:vAlign w:val="center"/>
          </w:tcPr>
          <w:p>
            <w:pPr>
              <w:widowControl/>
              <w:adjustRightInd w:val="0"/>
              <w:snapToGrid w:val="0"/>
              <w:spacing w:line="360" w:lineRule="auto"/>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隔爆型；带前5后3直管段；带体积修正仪；带防浪涌单元；计量精度：Qmin～5%Qmax ±2%；5%Qmax～Qmax ±1%，配套温度、压力补偿变送器及安装附件；配套配对法兰、螺栓、螺母、垫片；P=1.4MPa；Q=40000Nm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w:t>
            </w:r>
          </w:p>
        </w:tc>
        <w:tc>
          <w:tcPr>
            <w:tcW w:w="1525" w:type="dxa"/>
            <w:shd w:val="clear" w:color="auto" w:fill="auto"/>
            <w:vAlign w:val="center"/>
          </w:tcPr>
          <w:p>
            <w:pPr>
              <w:widowControl/>
              <w:adjustRightInd w:val="0"/>
              <w:snapToGrid w:val="0"/>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 </w:t>
            </w:r>
          </w:p>
          <w:p>
            <w:pPr>
              <w:widowControl/>
              <w:adjustRightInd w:val="0"/>
              <w:snapToGrid w:val="0"/>
              <w:jc w:val="center"/>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SSV7304、SSV7305、</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SSV7306</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超压切断阀</w:t>
            </w:r>
          </w:p>
        </w:tc>
        <w:tc>
          <w:tcPr>
            <w:tcW w:w="4825" w:type="dxa"/>
            <w:shd w:val="clear" w:color="auto" w:fill="auto"/>
            <w:vAlign w:val="center"/>
          </w:tcPr>
          <w:p>
            <w:pPr>
              <w:widowControl/>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外置式，防爆阀位信号远传，超压切断，响应时间≤1秒ANSI Class150，P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=1.4Mpa；ΔP≤0.05MPa，Q=40000Nm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Merge w:val="restart"/>
            <w:shd w:val="clear" w:color="auto" w:fill="auto"/>
            <w:vAlign w:val="center"/>
          </w:tcPr>
          <w:p>
            <w:pPr>
              <w:keepNext w:val="0"/>
              <w:keepLines w:val="0"/>
              <w:widowControl/>
              <w:suppressLineNumbers w:val="0"/>
              <w:spacing w:before="0" w:beforeAutospacing="0" w:after="0" w:afterAutospacing="0" w:line="360" w:lineRule="exact"/>
              <w:ind w:left="0" w:right="0"/>
              <w:jc w:val="center"/>
              <w:rPr>
                <w:rFonts w:hint="eastAsia"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PCV7304、PCV7305、PCV7306</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监控调压器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自力式，防爆阀位信号远传，ANSI Class150，P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=1.4Mpa；Q=40000Nm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/h；ΔP≤0.05MPa，精度±1%</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Merge w:val="continue"/>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PV7304、PV7305、PV7306</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工作调压阀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自力式，防爆阀位信号远传，ANSI Clas150，P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=1.4Mpa；P</w:t>
            </w:r>
            <w:r>
              <w:rPr>
                <w:rFonts w:ascii="Times New Roman" w:hAnsi="Times New Roman" w:eastAsia="宋体" w:cs="Times New Roman"/>
                <w:color w:val="auto"/>
                <w:kern w:val="0"/>
                <w:sz w:val="21"/>
                <w:szCs w:val="21"/>
                <w:highlight w:val="none"/>
                <w:vertAlign w:val="subscript"/>
              </w:rPr>
              <w:t>2</w:t>
            </w:r>
            <w:r>
              <w:rPr>
                <w:rFonts w:ascii="Times New Roman" w:hAnsi="Times New Roman" w:eastAsia="宋体" w:cs="Times New Roman"/>
                <w:color w:val="auto"/>
                <w:kern w:val="0"/>
                <w:sz w:val="21"/>
                <w:szCs w:val="21"/>
                <w:highlight w:val="none"/>
              </w:rPr>
              <w:t>=0.3~</w:t>
            </w:r>
            <w:r>
              <w:rPr>
                <w:rFonts w:hint="eastAsia" w:ascii="Times New Roman" w:hAnsi="Times New Roman" w:eastAsia="宋体" w:cs="Times New Roman"/>
                <w:color w:val="auto"/>
                <w:kern w:val="0"/>
                <w:sz w:val="21"/>
                <w:szCs w:val="21"/>
                <w:highlight w:val="none"/>
                <w:lang w:eastAsia="zh-CN"/>
              </w:rPr>
              <w:t>0.38</w:t>
            </w:r>
            <w:r>
              <w:rPr>
                <w:rFonts w:ascii="Times New Roman" w:hAnsi="Times New Roman" w:eastAsia="宋体" w:cs="Times New Roman"/>
                <w:color w:val="auto"/>
                <w:kern w:val="0"/>
                <w:sz w:val="21"/>
                <w:szCs w:val="21"/>
                <w:highlight w:val="none"/>
              </w:rPr>
              <w:t>Mpa，Q=40000Nm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/h；ΔP≤0.05MPa，精度±1%</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Merge w:val="continue"/>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SSV7307</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超压切断阀</w:t>
            </w:r>
          </w:p>
        </w:tc>
        <w:tc>
          <w:tcPr>
            <w:tcW w:w="4825" w:type="dxa"/>
            <w:shd w:val="clear" w:color="auto" w:fill="auto"/>
            <w:vAlign w:val="center"/>
          </w:tcPr>
          <w:p>
            <w:pPr>
              <w:widowControl/>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外置式，防爆阀位信号远传，超压切断，响应时间≤1秒ANSI Class150，P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=1.4Mpa；ΔP≤0.05MPa，Q=40000Nm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Merge w:val="restart"/>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PCV7307</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监控调压器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自力式，防爆阀位信号远传，ANSI Class150，P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=1.4Mpa；Q=40000Nm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/h；ΔP≤0.05MPa，精度±1%</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Merge w:val="continue"/>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PV7307</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工作调压阀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自力式，防爆阀位信号远传，ANSI Clas150，P</w:t>
            </w:r>
            <w:r>
              <w:rPr>
                <w:rFonts w:ascii="Times New Roman" w:hAnsi="Times New Roman" w:eastAsia="宋体" w:cs="Times New Roman"/>
                <w:color w:val="auto"/>
                <w:kern w:val="0"/>
                <w:sz w:val="21"/>
                <w:szCs w:val="21"/>
                <w:highlight w:val="none"/>
                <w:vertAlign w:val="subscript"/>
              </w:rPr>
              <w:t>1</w:t>
            </w:r>
            <w:r>
              <w:rPr>
                <w:rFonts w:ascii="Times New Roman" w:hAnsi="Times New Roman" w:eastAsia="宋体" w:cs="Times New Roman"/>
                <w:color w:val="auto"/>
                <w:kern w:val="0"/>
                <w:sz w:val="21"/>
                <w:szCs w:val="21"/>
                <w:highlight w:val="none"/>
              </w:rPr>
              <w:t>=1.4Mpa；P</w:t>
            </w:r>
            <w:r>
              <w:rPr>
                <w:rFonts w:ascii="Times New Roman" w:hAnsi="Times New Roman" w:eastAsia="宋体" w:cs="Times New Roman"/>
                <w:color w:val="auto"/>
                <w:kern w:val="0"/>
                <w:sz w:val="21"/>
                <w:szCs w:val="21"/>
                <w:highlight w:val="none"/>
                <w:vertAlign w:val="subscript"/>
              </w:rPr>
              <w:t>2</w:t>
            </w:r>
            <w:r>
              <w:rPr>
                <w:rFonts w:ascii="Times New Roman" w:hAnsi="Times New Roman" w:eastAsia="宋体" w:cs="Times New Roman"/>
                <w:color w:val="auto"/>
                <w:kern w:val="0"/>
                <w:sz w:val="21"/>
                <w:szCs w:val="21"/>
                <w:highlight w:val="none"/>
              </w:rPr>
              <w:t>=0.25~0.3Mpa，Q=40000Nm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/h；ΔP≤0.05MPa，精度±1%</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Merge w:val="continue"/>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BV7706、BV7707、</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BV7708、BV7709</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DN100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FV7702、FV7703</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节流截止放空阀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DN100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PSV7701、PSV7702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先导式安全阀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地上，先导全启式，法兰连接（带配对法兰），全流量</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DN100×150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Arial Unicode MS"/>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整定压力：0.4MPa</w:t>
            </w:r>
            <w:r>
              <w:rPr>
                <w:rFonts w:hint="eastAsia" w:ascii="Times New Roman" w:hAnsi="Times New Roman" w:eastAsia="宋体" w:cs="Times New Roman"/>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BV7704-1~4、BV7711</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BV7712、BV7713、BV7714</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8</w:t>
            </w:r>
          </w:p>
        </w:tc>
        <w:tc>
          <w:tcPr>
            <w:tcW w:w="2977" w:type="dxa"/>
            <w:shd w:val="clear" w:color="auto" w:fill="auto"/>
            <w:vAlign w:val="center"/>
          </w:tcPr>
          <w:p>
            <w:pPr>
              <w:widowControl/>
              <w:adjustRightInd w:val="0"/>
              <w:snapToGrid w:val="0"/>
              <w:spacing w:line="360" w:lineRule="exact"/>
              <w:ind w:firstLine="595"/>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FV7701-1~4</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节流截止放空阀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DRV7701、DRV7702、</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DRV7703</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阀套式排污阀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BV7701、BV7702-1~5</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6</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410"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GV7701、GV7702-1~5</w:t>
            </w:r>
          </w:p>
        </w:tc>
        <w:tc>
          <w:tcPr>
            <w:tcW w:w="1175"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截止阀</w:t>
            </w:r>
          </w:p>
        </w:tc>
        <w:tc>
          <w:tcPr>
            <w:tcW w:w="4825"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w:t>
            </w:r>
          </w:p>
        </w:tc>
        <w:tc>
          <w:tcPr>
            <w:tcW w:w="1413"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6</w:t>
            </w:r>
          </w:p>
        </w:tc>
        <w:tc>
          <w:tcPr>
            <w:tcW w:w="2977"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PI-304a;305a;306a;304c;305c;306c;304d;305d;306d；307a,307c,307d</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M20*1.5；0--1.6MPa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PI-304b;305b;306b,307b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M20*1.5；0--0.6MPa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PI-003,004</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M20*1.5；0--0.6MPa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PT-7304a;7305a;7306a;7307a</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24VDC，4-20mA输出，电气接口1/2NPT，测量精度：0.075级；现场带液晶显示;迟滞及重复性：＜0.05%;防爆等级：Ex-d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1/2NPT；0--1.6MPa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PT-7203;7304b;7305b;7306b,7307b,7204</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24VDC，4-20mA输出，电气接口1/2NPT，测量精度：0.075级；现场带液晶显示;迟滞及重复性：＜0.05%;防爆等级：Ex-d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1/2NPT；0--0.6MPa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6</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TI-304a;305a;306a,307a</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工艺管径：DN250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TI-304b;305b;306b,307b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工艺管径：DN500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TI-003,004</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工艺管径：DN600,DN500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TT-7304b;7305b;7306b,7307b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工艺管径：DN450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TT-7203;7204</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工艺管径：DN600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压力表安装附件</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体管台式焊接截止阀：150CLASS;口径3/4”;进口：焊接管台3/4”；出口法兰连接；法兰式截止阀(单关断单泄放)：1/2"法兰(RF)-2x1/2"NPT(F)；316SS，配套堵头；卡套式终端接头：1/4"NPT(M)-1/4"OD；316SS；不锈钢管：1/4"ODx0.035"；0.25米；压力活接头：1/2"NPT(M)-1/2"NPT(F)；316SS。</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18</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压力变送器安装附件</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体管台式焊接截止阀：600CLASS;口径3/4”;进口：焊接管台3/4”；出口法兰连接；法兰式截止阀(单关断单泄放)：1/2"法兰(RF)-2x1/2"NPT(F)；316SS，配套堵头；卡套式终端接头：1/4"NPT(M)-1/4"OD；316SS；不锈钢管：1/4"ODx0.035"；0.25米；压力活接头：1/2"NPT(M)-1/2"NPT(F)；316SS。</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10</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75" w:type="dxa"/>
            <w:gridSpan w:val="8"/>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iCs/>
                <w:color w:val="auto"/>
                <w:kern w:val="0"/>
                <w:sz w:val="21"/>
                <w:szCs w:val="21"/>
                <w:highlight w:val="none"/>
                <w:lang w:val="en-US" w:eastAsia="zh-CN"/>
              </w:rPr>
              <w:t>三、</w:t>
            </w:r>
            <w:r>
              <w:rPr>
                <w:rFonts w:ascii="Times New Roman" w:hAnsi="Times New Roman" w:eastAsia="宋体" w:cs="Times New Roman"/>
                <w:b/>
                <w:bCs/>
                <w:iCs/>
                <w:color w:val="auto"/>
                <w:kern w:val="0"/>
                <w:sz w:val="21"/>
                <w:szCs w:val="21"/>
                <w:highlight w:val="none"/>
              </w:rPr>
              <w:t>自用气橇（成橇商工厂组装）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BV7905-1~2、BV7906</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DN80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BV7901、BV7902-1~2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PSV7901-1~2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弹簧安全阀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地上，弹簧全启式，法兰连接（带配对法兰），全流量</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整定压力：0.15MPa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BV7903-1~2、BV7904-1~2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FV7901-1~2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节流截止阀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SSV7901、SSV7902</w:t>
            </w:r>
          </w:p>
        </w:tc>
        <w:tc>
          <w:tcPr>
            <w:tcW w:w="1175" w:type="dxa"/>
            <w:shd w:val="clear" w:color="auto" w:fill="auto"/>
            <w:vAlign w:val="center"/>
          </w:tcPr>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超压切断阀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自力式，超压切断，响应时间≤1秒，P1=0.25~0.3MPa</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口径厂家计算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PV7901、PV7902</w:t>
            </w:r>
          </w:p>
        </w:tc>
        <w:tc>
          <w:tcPr>
            <w:tcW w:w="1175" w:type="dxa"/>
            <w:tcBorders>
              <w:bottom w:val="single" w:color="auto" w:sz="4" w:space="0"/>
            </w:tcBorders>
            <w:shd w:val="clear" w:color="auto" w:fill="auto"/>
            <w:vAlign w:val="center"/>
          </w:tcPr>
          <w:p>
            <w:pPr>
              <w:widowControl/>
              <w:adjustRightInd w:val="0"/>
              <w:snapToGrid w:val="0"/>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工作调压阀</w:t>
            </w:r>
          </w:p>
        </w:tc>
        <w:tc>
          <w:tcPr>
            <w:tcW w:w="4825" w:type="dxa"/>
            <w:tcBorders>
              <w:bottom w:val="single" w:color="auto" w:sz="4" w:space="0"/>
            </w:tcBorders>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自力式，调压精度：±1.0%，P1=0.25~0.3MPa，P2=5~50kPa</w:t>
            </w:r>
          </w:p>
        </w:tc>
        <w:tc>
          <w:tcPr>
            <w:tcW w:w="1525"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tcBorders>
              <w:bottom w:val="single" w:color="auto" w:sz="4" w:space="0"/>
            </w:tcBorders>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口径厂家计算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PI-006a;007a</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M20*1.5；0--0.4MPa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PI-006b;007b</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膜盒压力表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M20*1.5；0--100KPa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压力表安装附件</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体管台式焊接截止阀：150CLASS;口径3/4”;进口：焊接管台3/4”；出口法兰连接；法兰式截止阀(单关断单泄放)：1/2"法兰(RF)-2x1/2"NPT(F)；316SS，配套堵头；卡套式终端接头：1/4"NPT(M)-1/4"OD；316SS；不锈钢管：1/4"ODx0.035"；0.25米；压力活接头：1/2"NPT(M)-1/2"NPT(F)；316SS。</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75" w:type="dxa"/>
            <w:gridSpan w:val="8"/>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iCs/>
                <w:color w:val="auto"/>
                <w:kern w:val="0"/>
                <w:sz w:val="21"/>
                <w:szCs w:val="21"/>
                <w:highlight w:val="none"/>
                <w:lang w:val="en-US" w:eastAsia="zh-CN"/>
              </w:rPr>
              <w:t>四、</w:t>
            </w:r>
            <w:r>
              <w:rPr>
                <w:rFonts w:ascii="Times New Roman" w:hAnsi="Times New Roman" w:eastAsia="宋体" w:cs="Times New Roman"/>
                <w:b/>
                <w:bCs/>
                <w:iCs/>
                <w:color w:val="auto"/>
                <w:kern w:val="0"/>
                <w:sz w:val="21"/>
                <w:szCs w:val="21"/>
                <w:highlight w:val="none"/>
              </w:rPr>
              <w:t>收发球装置改造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PR7-2</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清管器收发装置</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带通球指示器，带压力平衡管及阀门，具有收发智能清管器功能，快开盲板为锁环式；</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DN800/700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adjustRightInd w:val="0"/>
              <w:snapToGrid w:val="0"/>
              <w:spacing w:before="100" w:beforeAutospacing="1" w:after="100" w:afterAutospacing="1" w:line="360" w:lineRule="exact"/>
              <w:jc w:val="both"/>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PTE7-3</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清管三通</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分支处带档条，不影响管道通球，清管三通壁厚计算强度设计系数0.3，设计压力及材质按设计要求，三通壁厚不小于直管壁厚，主管规格：D711×17.5  L415M，支管规格：D406.4×12.5  L360N；</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DN700×400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PN50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BV7715</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GV7703</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截止阀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PI-008;009</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w:t>
            </w:r>
          </w:p>
        </w:tc>
        <w:tc>
          <w:tcPr>
            <w:tcW w:w="4825" w:type="dxa"/>
            <w:shd w:val="clear" w:color="auto" w:fill="auto"/>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r>
              <w:rPr>
                <w:rFonts w:ascii="Times New Roman" w:hAnsi="Times New Roman" w:eastAsia="宋体" w:cs="Times New Roman"/>
                <w:color w:val="auto"/>
                <w:kern w:val="0"/>
                <w:sz w:val="21"/>
                <w:szCs w:val="21"/>
                <w:highlight w:val="none"/>
              </w:rPr>
              <w:t>表盘直径150mm，材质：不锈钢；精度1.</w:t>
            </w:r>
            <w:r>
              <w:rPr>
                <w:rFonts w:hint="eastAsia" w:ascii="Times New Roman" w:hAnsi="Times New Roman" w:eastAsia="宋体" w:cs="Times New Roman"/>
                <w:color w:val="auto"/>
                <w:kern w:val="0"/>
                <w:sz w:val="21"/>
                <w:szCs w:val="21"/>
                <w:highlight w:val="none"/>
                <w:lang w:val="en-US" w:eastAsia="zh-CN"/>
              </w:rPr>
              <w:t>0</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M20*1.5；0--6.0MPa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PT-7501</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24VDC，4-20mA输出，电气接口1/2NPT，测量精度：0.075级；现场带液晶显示;迟滞及重复性：＜0.05%;防爆等级：Ex-d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1/2NPT；0--6.0MPa</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TI-005</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温度计</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抽芯式双金属温度计，表盘直径100mm，材质：不锈钢；精度1.0；含测温套筒；</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工艺管径DN400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单件供应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TT-7501</w:t>
            </w: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温度变送器</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24VDC，4-20mA输出，电气接口1/2NPT ，带显示,含测温套筒；精度：±0.5℃；防爆等级：Ex-d IIC T6 (IEC79-0);防护等级：IP65(IEC529);仪表内部带瞬变电压模块</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M27*2   -20~80℃</w:t>
            </w:r>
          </w:p>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工艺管径DN400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压力表安装附件</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体管台式焊接截止阀：600CLASS;口径3/4”;进口：焊接管台3/4”；出口法兰连接；法兰式截止阀(单关断单泄放)：1/2"法兰(RF)-2x1/2"NPT(F)；316SS，配套堵头；卡套式终端接头：1/4"NPT(M)-1/4"OD；316SS；不锈钢管：1/4"ODx0.035"；0.25米；压力活接头：1/2"NPT(M)-1/2"NPT(F)；316SS。</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压力变送器安装附件</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体管台式焊接截止阀：600CLASS;口径3/4”;进口：焊接管台3/4”；出口法兰连接；法兰式截止阀(单关断单泄放)：1/2"法兰(RF)-2x1/2"NPT(F)；316SS，配套堵头；卡套式终端接头：1/4"NPT(M)-1/4"OD；316SS；不锈钢管：1/4"ODx0.035"；0.25米；压力活接头：1/2"NPT(M)-1/2"NPT(F)；316SS。</w:t>
            </w:r>
          </w:p>
        </w:tc>
        <w:tc>
          <w:tcPr>
            <w:tcW w:w="15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75" w:type="dxa"/>
            <w:gridSpan w:val="8"/>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iCs/>
                <w:color w:val="auto"/>
                <w:kern w:val="0"/>
                <w:sz w:val="21"/>
                <w:szCs w:val="21"/>
                <w:highlight w:val="none"/>
                <w:lang w:val="en-US" w:eastAsia="zh-CN"/>
              </w:rPr>
              <w:t>五、</w:t>
            </w:r>
            <w:r>
              <w:rPr>
                <w:rFonts w:ascii="Times New Roman" w:hAnsi="Times New Roman" w:eastAsia="宋体" w:cs="Times New Roman"/>
                <w:b/>
                <w:bCs/>
                <w:iCs/>
                <w:color w:val="auto"/>
                <w:kern w:val="0"/>
                <w:sz w:val="21"/>
                <w:szCs w:val="21"/>
                <w:highlight w:val="none"/>
              </w:rPr>
              <w:t>南方村阀室及石马阀室动火改造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DN50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配置法兰盖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节流截止阀</w:t>
            </w:r>
          </w:p>
        </w:tc>
        <w:tc>
          <w:tcPr>
            <w:tcW w:w="4825"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地上，法兰连接（带配对法兰），耐火</w:t>
            </w:r>
          </w:p>
        </w:tc>
        <w:tc>
          <w:tcPr>
            <w:tcW w:w="1525"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DN100</w:t>
            </w:r>
          </w:p>
        </w:tc>
        <w:tc>
          <w:tcPr>
            <w:tcW w:w="1413"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shd w:val="clear" w:color="auto" w:fill="auto"/>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shd w:val="clear" w:color="auto" w:fill="auto"/>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75" w:type="dxa"/>
            <w:gridSpan w:val="8"/>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iCs/>
                <w:color w:val="auto"/>
                <w:kern w:val="0"/>
                <w:sz w:val="21"/>
                <w:szCs w:val="21"/>
                <w:highlight w:val="none"/>
                <w:lang w:val="en-US" w:eastAsia="zh-CN"/>
              </w:rPr>
              <w:t>六、</w:t>
            </w:r>
            <w:r>
              <w:rPr>
                <w:rFonts w:ascii="Times New Roman" w:hAnsi="Times New Roman" w:eastAsia="宋体" w:cs="Times New Roman"/>
                <w:b/>
                <w:bCs/>
                <w:iCs/>
                <w:color w:val="auto"/>
                <w:kern w:val="0"/>
                <w:sz w:val="21"/>
                <w:szCs w:val="21"/>
                <w:highlight w:val="none"/>
              </w:rPr>
              <w:t>其他设备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BV7601</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DN300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keepNext w:val="0"/>
              <w:keepLines w:val="0"/>
              <w:widowControl/>
              <w:suppressLineNumbers w:val="0"/>
              <w:spacing w:before="0" w:beforeAutospacing="0" w:after="0" w:afterAutospacing="0" w:line="240" w:lineRule="auto"/>
              <w:ind w:left="0" w:right="0"/>
              <w:jc w:val="both"/>
              <w:rPr>
                <w:rFonts w:hint="eastAsia" w:ascii="宋体" w:hAnsi="宋体" w:eastAsia="宋体" w:cs="Arial Unicode MS"/>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配置法兰盖</w:t>
            </w:r>
            <w:r>
              <w:rPr>
                <w:rFonts w:hint="eastAsia" w:ascii="Times New Roman" w:hAnsi="Times New Roman" w:eastAsia="宋体" w:cs="Times New Roman"/>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BV7615</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球阀</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地上，法兰连接（带配对法兰），全通径，耐火</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DN25</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MOV7109</w:t>
            </w:r>
          </w:p>
        </w:tc>
        <w:tc>
          <w:tcPr>
            <w:tcW w:w="1175" w:type="dxa"/>
            <w:vAlign w:val="center"/>
          </w:tcPr>
          <w:p>
            <w:pPr>
              <w:widowControl/>
              <w:adjustRightInd w:val="0"/>
              <w:snapToGrid w:val="0"/>
              <w:spacing w:line="360" w:lineRule="exact"/>
              <w:jc w:val="left"/>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电动球阀</w:t>
            </w:r>
          </w:p>
        </w:tc>
        <w:tc>
          <w:tcPr>
            <w:tcW w:w="4825" w:type="dxa"/>
            <w:vAlign w:val="center"/>
          </w:tcPr>
          <w:p>
            <w:pPr>
              <w:widowControl/>
              <w:adjustRightInd w:val="0"/>
              <w:snapToGrid w:val="0"/>
              <w:spacing w:line="360" w:lineRule="exact"/>
              <w:jc w:val="left"/>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埋地，全焊接球阀，全通径，耐火</w:t>
            </w:r>
          </w:p>
        </w:tc>
        <w:tc>
          <w:tcPr>
            <w:tcW w:w="1525" w:type="dxa"/>
            <w:vAlign w:val="center"/>
          </w:tcPr>
          <w:p>
            <w:pPr>
              <w:widowControl/>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DN400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只</w:t>
            </w:r>
          </w:p>
        </w:tc>
        <w:tc>
          <w:tcPr>
            <w:tcW w:w="1038" w:type="dxa"/>
            <w:vAlign w:val="center"/>
          </w:tcPr>
          <w:p>
            <w:pPr>
              <w:widowControl/>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MOV7710</w:t>
            </w:r>
          </w:p>
        </w:tc>
        <w:tc>
          <w:tcPr>
            <w:tcW w:w="1175" w:type="dxa"/>
            <w:vAlign w:val="center"/>
          </w:tcPr>
          <w:p>
            <w:pPr>
              <w:widowControl/>
              <w:adjustRightInd w:val="0"/>
              <w:snapToGrid w:val="0"/>
              <w:spacing w:line="360" w:lineRule="exact"/>
              <w:jc w:val="left"/>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电动截止阀</w:t>
            </w:r>
          </w:p>
        </w:tc>
        <w:tc>
          <w:tcPr>
            <w:tcW w:w="4825" w:type="dxa"/>
            <w:vAlign w:val="center"/>
          </w:tcPr>
          <w:p>
            <w:pPr>
              <w:widowControl/>
              <w:adjustRightInd w:val="0"/>
              <w:snapToGrid w:val="0"/>
              <w:spacing w:line="360" w:lineRule="exact"/>
              <w:jc w:val="left"/>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地上，法兰连接（带配对法兰），耐火</w:t>
            </w:r>
          </w:p>
        </w:tc>
        <w:tc>
          <w:tcPr>
            <w:tcW w:w="1525" w:type="dxa"/>
            <w:vAlign w:val="center"/>
          </w:tcPr>
          <w:p>
            <w:pPr>
              <w:widowControl/>
              <w:adjustRightInd w:val="0"/>
              <w:snapToGrid w:val="0"/>
              <w:spacing w:line="360" w:lineRule="exact"/>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DN250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ANSI600</w:t>
            </w:r>
          </w:p>
        </w:tc>
        <w:tc>
          <w:tcPr>
            <w:tcW w:w="912" w:type="dxa"/>
            <w:vAlign w:val="center"/>
          </w:tcPr>
          <w:p>
            <w:pPr>
              <w:widowControl/>
              <w:adjustRightInd w:val="0"/>
              <w:snapToGrid w:val="0"/>
              <w:spacing w:line="360" w:lineRule="exact"/>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只</w:t>
            </w:r>
          </w:p>
        </w:tc>
        <w:tc>
          <w:tcPr>
            <w:tcW w:w="1038" w:type="dxa"/>
            <w:vAlign w:val="center"/>
          </w:tcPr>
          <w:p>
            <w:pPr>
              <w:widowControl/>
              <w:adjustRightInd w:val="0"/>
              <w:snapToGrid w:val="0"/>
              <w:spacing w:line="360" w:lineRule="exact"/>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IS7102</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绝缘接头</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整体型，U型密封，绝缘电阻：≥20MΩ 击穿电压：≥3kV</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DN600</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ANSI150</w:t>
            </w: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只</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keepNext w:val="0"/>
              <w:keepLines w:val="0"/>
              <w:widowControl/>
              <w:suppressLineNumbers w:val="0"/>
              <w:spacing w:before="0" w:beforeAutospacing="0" w:after="0" w:afterAutospacing="0" w:line="360" w:lineRule="exact"/>
              <w:ind w:left="0" w:right="0"/>
              <w:jc w:val="center"/>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OU7-1</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加臭装置</w:t>
            </w:r>
          </w:p>
        </w:tc>
        <w:tc>
          <w:tcPr>
            <w:tcW w:w="4825" w:type="dxa"/>
            <w:vAlign w:val="bottom"/>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臭罐容积V=3m</w:t>
            </w:r>
            <w:r>
              <w:rPr>
                <w:rFonts w:ascii="Times New Roman" w:hAnsi="Times New Roman" w:eastAsia="宋体" w:cs="Times New Roman"/>
                <w:color w:val="auto"/>
                <w:kern w:val="0"/>
                <w:sz w:val="21"/>
                <w:szCs w:val="21"/>
                <w:highlight w:val="none"/>
                <w:vertAlign w:val="superscript"/>
              </w:rPr>
              <w:t>3</w:t>
            </w:r>
            <w:r>
              <w:rPr>
                <w:rFonts w:ascii="Times New Roman" w:hAnsi="Times New Roman" w:eastAsia="宋体" w:cs="Times New Roman"/>
                <w:color w:val="auto"/>
                <w:kern w:val="0"/>
                <w:sz w:val="21"/>
                <w:szCs w:val="21"/>
                <w:highlight w:val="none"/>
              </w:rPr>
              <w:t>，SS316，2台加臭泵，单台最大加注量6.4kg/h，加注压力1.7-2.0MPa，配套加臭控制柜，配置加臭剂泄漏报警器</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keepNext w:val="0"/>
              <w:keepLines w:val="0"/>
              <w:widowControl/>
              <w:suppressLineNumbers w:val="0"/>
              <w:spacing w:before="0" w:beforeAutospacing="0" w:after="0" w:afterAutospacing="0" w:line="360" w:lineRule="exact"/>
              <w:ind w:left="0" w:right="0"/>
              <w:jc w:val="left"/>
              <w:rPr>
                <w:rFonts w:hint="eastAsia"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GT-7001~7002</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加臭剂泄漏采集器</w:t>
            </w:r>
          </w:p>
        </w:tc>
        <w:tc>
          <w:tcPr>
            <w:tcW w:w="4825" w:type="dxa"/>
            <w:vAlign w:val="bottom"/>
          </w:tcPr>
          <w:p>
            <w:pPr>
              <w:widowControl/>
              <w:adjustRightInd w:val="0"/>
              <w:snapToGrid w:val="0"/>
              <w:spacing w:line="360" w:lineRule="exact"/>
              <w:jc w:val="both"/>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电化学式，测四氢噻吩</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adjustRightInd w:val="0"/>
              <w:snapToGrid w:val="0"/>
              <w:spacing w:line="360" w:lineRule="exact"/>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1</w:t>
            </w:r>
          </w:p>
        </w:tc>
        <w:tc>
          <w:tcPr>
            <w:tcW w:w="2977" w:type="dxa"/>
            <w:vAlign w:val="center"/>
          </w:tcPr>
          <w:p>
            <w:pPr>
              <w:keepNext w:val="0"/>
              <w:keepLines w:val="0"/>
              <w:widowControl/>
              <w:suppressLineNumbers w:val="0"/>
              <w:spacing w:before="0" w:beforeAutospacing="0" w:after="0" w:afterAutospacing="0" w:line="360" w:lineRule="exact"/>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GIA-7001</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加臭剂泄漏报警器</w:t>
            </w:r>
          </w:p>
        </w:tc>
        <w:tc>
          <w:tcPr>
            <w:tcW w:w="4825" w:type="dxa"/>
            <w:vAlign w:val="bottom"/>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16位低功耗嵌入式微控制器，段码液晶显示,带声光报警信号，单个主机支持 255 个报警器节点数，输出RS485信号</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加臭剂在线监测仪</w:t>
            </w:r>
          </w:p>
        </w:tc>
        <w:tc>
          <w:tcPr>
            <w:tcW w:w="4825" w:type="dxa"/>
            <w:vAlign w:val="bottom"/>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测管道中四氢噻吩含量，含取样部分，气动部分，电子控制部分，气源部分及控制箱</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keepNext w:val="0"/>
              <w:keepLines w:val="0"/>
              <w:widowControl/>
              <w:suppressLineNumbers w:val="0"/>
              <w:spacing w:before="0" w:beforeAutospacing="0" w:after="0" w:afterAutospacing="0" w:line="360" w:lineRule="exact"/>
              <w:ind w:left="0" w:leftChars="0" w:right="0" w:rightChars="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GT-7101~7112</w:t>
            </w: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可燃气体探测器</w:t>
            </w:r>
          </w:p>
        </w:tc>
        <w:tc>
          <w:tcPr>
            <w:tcW w:w="4825" w:type="dxa"/>
            <w:vAlign w:val="bottom"/>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检测气体：甲烷；检测原理：固定点式、催化燃烧式；测量范围：0～100%LEL； 测量精度：±1%F.S；重复性：≤±2%F.S；防爆等级：ExdIIBT4Gb,；防护等级：IP66；输出信号：4～20mADC模拟信号；带现场 LCD或 LED显示功能；带声光报警器。</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12</w:t>
            </w:r>
          </w:p>
        </w:tc>
        <w:tc>
          <w:tcPr>
            <w:tcW w:w="2977"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橇装热水锅炉</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1、额定工作压力：常压；</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2、热效率：≥91%；</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3、适用燃烧燃料：天然气；</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4、供气压力：5-50kPa；</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5、燃烧方式：内燃微正压燃烧；</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Q=0.7MW  2台</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恒电位仪</w:t>
            </w:r>
          </w:p>
        </w:tc>
        <w:tc>
          <w:tcPr>
            <w:tcW w:w="4825"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1.30V/50A,A/B机互为备用；</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2.电源电压220VAC；</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3.配套RS485远传；</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4.控制电位与保护电位误差不大于5mV；</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5.恒电流精度±1%；</w:t>
            </w:r>
          </w:p>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6.有过流保护、防雷保护（过压通流容量10kA）；</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内部1用1备</w:t>
            </w:r>
            <w:r>
              <w:rPr>
                <w:rFonts w:hint="eastAsia" w:ascii="Times New Roman" w:hAnsi="Times New Roman" w:eastAsia="宋体" w:cs="Times New Roman"/>
                <w:color w:val="auto"/>
                <w:kern w:val="0"/>
                <w:sz w:val="21"/>
                <w:szCs w:val="21"/>
                <w:highlight w:val="none"/>
                <w:lang w:eastAsia="zh-CN"/>
              </w:rPr>
              <w:t>；</w:t>
            </w:r>
          </w:p>
          <w:p>
            <w:pPr>
              <w:widowControl/>
              <w:adjustRightInd w:val="0"/>
              <w:snapToGrid w:val="0"/>
              <w:spacing w:line="360" w:lineRule="exact"/>
              <w:jc w:val="left"/>
              <w:rPr>
                <w:rFonts w:hint="eastAsia" w:ascii="Times New Roman" w:hAnsi="Times New Roman" w:eastAsia="宋体" w:cs="Times New Roman"/>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275" w:type="dxa"/>
            <w:gridSpan w:val="8"/>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iCs/>
                <w:color w:val="auto"/>
                <w:kern w:val="0"/>
                <w:sz w:val="21"/>
                <w:szCs w:val="21"/>
                <w:highlight w:val="none"/>
                <w:lang w:val="en-US" w:eastAsia="zh-CN"/>
              </w:rPr>
              <w:t>七、</w:t>
            </w:r>
            <w:r>
              <w:rPr>
                <w:rFonts w:ascii="Times New Roman" w:hAnsi="Times New Roman" w:eastAsia="宋体" w:cs="Times New Roman"/>
                <w:b/>
                <w:bCs/>
                <w:iCs/>
                <w:color w:val="auto"/>
                <w:kern w:val="0"/>
                <w:sz w:val="21"/>
                <w:szCs w:val="21"/>
                <w:highlight w:val="none"/>
              </w:rPr>
              <w:t>站控系统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6"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PLC</w:t>
            </w:r>
          </w:p>
        </w:tc>
        <w:tc>
          <w:tcPr>
            <w:tcW w:w="4825" w:type="dxa"/>
            <w:vAlign w:val="center"/>
          </w:tcPr>
          <w:p>
            <w:pPr>
              <w:widowControl/>
              <w:jc w:val="left"/>
              <w:textAlignment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rPr>
              <w:t>内含：带冗余（双机架、双电源、双CPU、双通讯模块）、输入/输出模块、浪涌保护器；声光报警器等; AI：</w:t>
            </w:r>
            <w:r>
              <w:rPr>
                <w:rFonts w:hint="eastAsia" w:ascii="Times New Roman" w:hAnsi="Times New Roman" w:eastAsia="宋体" w:cs="Times New Roman"/>
                <w:color w:val="auto"/>
                <w:kern w:val="0"/>
                <w:sz w:val="21"/>
                <w:szCs w:val="21"/>
                <w:highlight w:val="none"/>
                <w:lang w:val="en-US" w:eastAsia="zh-CN"/>
              </w:rPr>
              <w:t>107</w:t>
            </w:r>
            <w:r>
              <w:rPr>
                <w:rFonts w:ascii="Times New Roman" w:hAnsi="Times New Roman" w:eastAsia="宋体" w:cs="Times New Roman"/>
                <w:color w:val="auto"/>
                <w:kern w:val="0"/>
                <w:sz w:val="21"/>
                <w:szCs w:val="21"/>
                <w:highlight w:val="none"/>
              </w:rPr>
              <w:t>；AO：</w:t>
            </w:r>
            <w:r>
              <w:rPr>
                <w:rFonts w:hint="eastAsia" w:ascii="Times New Roman" w:hAnsi="Times New Roman" w:eastAsia="宋体" w:cs="Times New Roman"/>
                <w:color w:val="auto"/>
                <w:kern w:val="0"/>
                <w:sz w:val="21"/>
                <w:szCs w:val="21"/>
                <w:highlight w:val="none"/>
                <w:lang w:val="en-US" w:eastAsia="zh-CN"/>
              </w:rPr>
              <w:t>1</w:t>
            </w:r>
            <w:r>
              <w:rPr>
                <w:rFonts w:ascii="Times New Roman" w:hAnsi="Times New Roman" w:eastAsia="宋体" w:cs="Times New Roman"/>
                <w:color w:val="auto"/>
                <w:kern w:val="0"/>
                <w:sz w:val="21"/>
                <w:szCs w:val="21"/>
                <w:highlight w:val="none"/>
              </w:rPr>
              <w:t>2；DI：</w:t>
            </w:r>
            <w:r>
              <w:rPr>
                <w:rFonts w:hint="eastAsia" w:ascii="Times New Roman" w:hAnsi="Times New Roman" w:eastAsia="宋体" w:cs="Times New Roman"/>
                <w:color w:val="auto"/>
                <w:kern w:val="0"/>
                <w:sz w:val="21"/>
                <w:szCs w:val="21"/>
                <w:highlight w:val="none"/>
                <w:lang w:val="en-US" w:eastAsia="zh-CN"/>
              </w:rPr>
              <w:t>147</w:t>
            </w:r>
            <w:r>
              <w:rPr>
                <w:rFonts w:ascii="Times New Roman" w:hAnsi="Times New Roman" w:eastAsia="宋体" w:cs="Times New Roman"/>
                <w:color w:val="auto"/>
                <w:kern w:val="0"/>
                <w:sz w:val="21"/>
                <w:szCs w:val="21"/>
                <w:highlight w:val="none"/>
              </w:rPr>
              <w:t>；DO：</w:t>
            </w:r>
            <w:r>
              <w:rPr>
                <w:rFonts w:hint="eastAsia" w:ascii="Times New Roman" w:hAnsi="Times New Roman" w:eastAsia="宋体" w:cs="Times New Roman"/>
                <w:color w:val="auto"/>
                <w:kern w:val="0"/>
                <w:sz w:val="21"/>
                <w:szCs w:val="21"/>
                <w:highlight w:val="none"/>
                <w:lang w:val="en-US" w:eastAsia="zh-CN"/>
              </w:rPr>
              <w:t>58</w:t>
            </w:r>
            <w:r>
              <w:rPr>
                <w:rFonts w:ascii="Times New Roman" w:hAnsi="Times New Roman" w:eastAsia="宋体" w:cs="Times New Roman"/>
                <w:color w:val="auto"/>
                <w:kern w:val="0"/>
                <w:sz w:val="21"/>
                <w:szCs w:val="21"/>
                <w:highlight w:val="none"/>
              </w:rPr>
              <w:t>；RS485:</w:t>
            </w:r>
            <w:r>
              <w:rPr>
                <w:rFonts w:hint="eastAsia" w:ascii="Times New Roman" w:hAnsi="Times New Roman" w:eastAsia="宋体" w:cs="Times New Roman"/>
                <w:color w:val="auto"/>
                <w:kern w:val="0"/>
                <w:sz w:val="21"/>
                <w:szCs w:val="21"/>
                <w:highlight w:val="none"/>
                <w:lang w:val="en-US" w:eastAsia="zh-CN"/>
              </w:rPr>
              <w:t>16;执行MODBUS TCP/IP协议</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设备IO点</w:t>
            </w: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keepNext w:val="0"/>
              <w:keepLines w:val="0"/>
              <w:widowControl/>
              <w:suppressLineNumbers w:val="0"/>
              <w:spacing w:before="0" w:beforeAutospacing="0" w:after="0" w:afterAutospacing="0" w:line="240" w:lineRule="auto"/>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PLC柜</w:t>
            </w:r>
          </w:p>
        </w:tc>
        <w:tc>
          <w:tcPr>
            <w:tcW w:w="482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PLC机柜采用标准的机柜，尺寸为2100mm（高）×800mm（宽）×800mm（深）。机柜前后开门，颜色为RAL7035。</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面</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操作台</w:t>
            </w:r>
          </w:p>
        </w:tc>
        <w:tc>
          <w:tcPr>
            <w:tcW w:w="482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参考尺寸2100x800x750mm，操作台工作位：3位，配置3把座椅</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三层网络交换机</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Cs w:val="20"/>
                <w:highlight w:val="none"/>
              </w:rPr>
              <w:t>支持端口OSPF动态路由协议</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Cs w:val="20"/>
                <w:highlight w:val="none"/>
              </w:rPr>
              <w:t>8个10/100/1000 Base TX RJ-45铜缆端口，2个1GbE SFP/SFP+ 全双工光纤端口。</w:t>
            </w:r>
            <w:r>
              <w:rPr>
                <w:rFonts w:ascii="Times New Roman" w:hAnsi="Times New Roman" w:eastAsia="宋体" w:cs="Times New Roman"/>
                <w:color w:val="auto"/>
                <w:kern w:val="0"/>
                <w:sz w:val="21"/>
                <w:szCs w:val="21"/>
                <w:highlight w:val="none"/>
              </w:rPr>
              <w:t>详见技术要求</w:t>
            </w:r>
          </w:p>
        </w:tc>
        <w:tc>
          <w:tcPr>
            <w:tcW w:w="1525" w:type="dxa"/>
            <w:vAlign w:val="center"/>
          </w:tcPr>
          <w:p>
            <w:pPr>
              <w:widowControl/>
              <w:adjustRightInd/>
              <w:snapToGrid/>
              <w:spacing w:line="240" w:lineRule="auto"/>
              <w:jc w:val="center"/>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snapToGrid/>
              <w:spacing w:line="240" w:lineRule="auto"/>
              <w:jc w:val="center"/>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keepNext w:val="0"/>
              <w:keepLines w:val="0"/>
              <w:widowControl/>
              <w:suppressLineNumbers w:val="0"/>
              <w:spacing w:before="0" w:beforeAutospacing="0" w:after="0" w:afterAutospacing="0" w:line="240" w:lineRule="auto"/>
              <w:ind w:left="0" w:right="0"/>
              <w:jc w:val="left"/>
              <w:rPr>
                <w:rFonts w:ascii="宋体" w:hAnsi="宋体" w:eastAsia="宋体" w:cs="Arial Unicode MS"/>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三层网络交换机</w:t>
            </w:r>
          </w:p>
        </w:tc>
        <w:tc>
          <w:tcPr>
            <w:tcW w:w="4825" w:type="dxa"/>
            <w:vAlign w:val="center"/>
          </w:tcPr>
          <w:p>
            <w:pPr>
              <w:widowControl/>
              <w:jc w:val="left"/>
              <w:textAlignment w:val="center"/>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24个10/100/1000 Base TX RJ-45铜缆端口，2个10GbE SFP/SFP+ 全双工光纤端口，支持端口OSPF动态路由协议</w:t>
            </w:r>
            <w:r>
              <w:rPr>
                <w:rFonts w:hint="eastAsia" w:ascii="Times New Roman" w:hAnsi="Times New Roman" w:eastAsia="宋体" w:cs="Times New Roman"/>
                <w:color w:val="auto"/>
                <w:kern w:val="0"/>
                <w:szCs w:val="20"/>
                <w:highlight w:val="none"/>
                <w:lang w:eastAsia="zh-CN"/>
              </w:rPr>
              <w:t>；</w:t>
            </w:r>
          </w:p>
        </w:tc>
        <w:tc>
          <w:tcPr>
            <w:tcW w:w="1525" w:type="dxa"/>
            <w:vAlign w:val="center"/>
          </w:tcPr>
          <w:p>
            <w:pPr>
              <w:widowControl/>
              <w:adjustRightInd/>
              <w:snapToGrid/>
              <w:spacing w:line="240" w:lineRule="auto"/>
              <w:jc w:val="center"/>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snapToGrid/>
              <w:spacing w:line="240" w:lineRule="auto"/>
              <w:jc w:val="center"/>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台</w:t>
            </w:r>
          </w:p>
        </w:tc>
        <w:tc>
          <w:tcPr>
            <w:tcW w:w="1038" w:type="dxa"/>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w:t>
            </w:r>
          </w:p>
        </w:tc>
        <w:tc>
          <w:tcPr>
            <w:tcW w:w="2977" w:type="dxa"/>
            <w:vAlign w:val="center"/>
          </w:tcPr>
          <w:p>
            <w:pPr>
              <w:keepNext w:val="0"/>
              <w:keepLines w:val="0"/>
              <w:widowControl/>
              <w:suppressLineNumbers w:val="0"/>
              <w:spacing w:before="0" w:beforeAutospacing="0" w:after="0" w:afterAutospacing="0" w:line="240" w:lineRule="auto"/>
              <w:ind w:left="0" w:right="0"/>
              <w:jc w:val="left"/>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视频交换机</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Cs w:val="20"/>
                <w:highlight w:val="none"/>
              </w:rPr>
              <w:t>8个10/100/1000 Base TX RJ-45铜缆端口，2个1GbE SFP/SFP+ 全双工光纤端口</w:t>
            </w:r>
            <w:r>
              <w:rPr>
                <w:rFonts w:hint="eastAsia" w:ascii="Times New Roman" w:hAnsi="Times New Roman" w:eastAsia="宋体" w:cs="Times New Roman"/>
                <w:color w:val="auto"/>
                <w:kern w:val="0"/>
                <w:szCs w:val="20"/>
                <w:highlight w:val="none"/>
                <w:lang w:eastAsia="zh-CN"/>
              </w:rPr>
              <w:t>。</w:t>
            </w:r>
            <w:r>
              <w:rPr>
                <w:rFonts w:ascii="Times New Roman" w:hAnsi="Times New Roman" w:eastAsia="宋体" w:cs="Times New Roman"/>
                <w:color w:val="auto"/>
                <w:kern w:val="0"/>
                <w:sz w:val="21"/>
                <w:szCs w:val="21"/>
                <w:highlight w:val="none"/>
              </w:rPr>
              <w:t>详见技术要求</w:t>
            </w:r>
          </w:p>
        </w:tc>
        <w:tc>
          <w:tcPr>
            <w:tcW w:w="1525" w:type="dxa"/>
            <w:vAlign w:val="center"/>
          </w:tcPr>
          <w:p>
            <w:pPr>
              <w:widowControl/>
              <w:adjustRightInd/>
              <w:snapToGrid/>
              <w:spacing w:line="240" w:lineRule="auto"/>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snapToGrid/>
              <w:spacing w:line="240" w:lineRule="auto"/>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ind w:firstLine="210" w:firstLineChars="1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ind w:firstLine="420" w:firstLineChars="2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5G无线路由器</w:t>
            </w:r>
          </w:p>
        </w:tc>
        <w:tc>
          <w:tcPr>
            <w:tcW w:w="4825" w:type="dxa"/>
            <w:vAlign w:val="center"/>
          </w:tcPr>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3*LAN，1*LAN/WAN，2*串口(1*232 即DTU，1*485)，支持以下功能：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支持状态页面查看设备CPU、内存占用情况</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支持状态页面查看modem 接口流量统计情况及监控下位机终端流量</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支持1 个LAN/WAN 口高速交换</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支持WAN 口静态IP/DHCP/PPPoE 拨号</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支持WiFi AP/station 客户端功能，支持WEP/WPA 加密，支持802.11n，实现最高300Mbps 的无线局域网传输速率</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支持APN、VPDN 专网接入</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支持WAN、WiFi、5G 等多网同时在线</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支持IPSec、GRE、IPIP、PPTP、L2TP、OpenVPN，也支持GRE over IPSec，IPSecover PPTP/L2TP/GRE/IPIP 等组合VPN，IPSec 支持CA 数字证书</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支持DHCP Server</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支持LCP 检测、ICMP 检测、心跳包检测等链路检测功能，保障无线网络稳定可靠</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支持任务管理功能，定时管理、按需拨号</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支持NAT、DMZ、端口映射功能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支持静态路由、支持RIP 和OSPF 动态路由、支持源地址策略路由</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支持QoS，可针对业务、协议、IP 网段进行多种方式的QoS 带宽智能管理</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支持IP、域名、MAC 过滤，端口开放功能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支持串口功能，支持1x232DTU 功能，1x485 串口调试功能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支持DNS 代理，支持DDNS</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支持SNMP 网络管理</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支持网络诊断功能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提供系统本地日志和远程日志发送，实现网络实时监控</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支持MODEM、LAN、WAN、WiFi 口的抓包分析功能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支持NTP 网络对时</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支持用户管理</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支持对所有证书的导入、导出、删除操作的管理</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支持参数备份及导入，支持使用私钥导入导出参数配置</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支持本地、远程、平台固件升级</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支持本地、远程、平台补丁升级</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支持CFE 升级固件</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支持RESET 功能、页面恢复默认及配置备份恢复功能</w:t>
            </w:r>
          </w:p>
          <w:p>
            <w:pPr>
              <w:widowControl/>
              <w:jc w:val="left"/>
              <w:textAlignment w:val="center"/>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 支持WEB、Telnet、SSH、平台多种参数管理方式</w:t>
            </w:r>
          </w:p>
        </w:tc>
        <w:tc>
          <w:tcPr>
            <w:tcW w:w="1525" w:type="dxa"/>
            <w:vAlign w:val="center"/>
          </w:tcPr>
          <w:p>
            <w:pPr>
              <w:widowControl/>
              <w:adjustRightInd/>
              <w:snapToGrid/>
              <w:spacing w:line="240" w:lineRule="auto"/>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snapToGrid/>
              <w:spacing w:line="240" w:lineRule="auto"/>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ind w:firstLine="210" w:firstLineChars="100"/>
              <w:jc w:val="left"/>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台</w:t>
            </w:r>
          </w:p>
        </w:tc>
        <w:tc>
          <w:tcPr>
            <w:tcW w:w="1038" w:type="dxa"/>
            <w:vAlign w:val="center"/>
          </w:tcPr>
          <w:p>
            <w:pPr>
              <w:widowControl/>
              <w:ind w:firstLine="420" w:firstLineChars="200"/>
              <w:jc w:val="left"/>
              <w:textAlignment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w:t>
            </w:r>
          </w:p>
        </w:tc>
        <w:tc>
          <w:tcPr>
            <w:tcW w:w="2977" w:type="dxa"/>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工业防火墙系统</w:t>
            </w:r>
          </w:p>
        </w:tc>
        <w:tc>
          <w:tcPr>
            <w:tcW w:w="4825" w:type="dxa"/>
            <w:vAlign w:val="center"/>
          </w:tcPr>
          <w:p>
            <w:pPr>
              <w:widowControl/>
              <w:jc w:val="left"/>
              <w:rPr>
                <w:rFonts w:hint="eastAsia" w:ascii="Times New Roman" w:hAnsi="Times New Roman" w:eastAsia="宋体" w:cs="Times New Roman"/>
                <w:color w:val="auto"/>
                <w:kern w:val="0"/>
                <w:szCs w:val="20"/>
                <w:highlight w:val="none"/>
              </w:rPr>
            </w:pPr>
            <w:r>
              <w:rPr>
                <w:rFonts w:ascii="Times New Roman" w:hAnsi="Times New Roman" w:eastAsia="宋体" w:cs="Times New Roman"/>
                <w:color w:val="auto"/>
                <w:kern w:val="0"/>
                <w:sz w:val="21"/>
                <w:szCs w:val="21"/>
                <w:highlight w:val="none"/>
              </w:rPr>
              <w:t>功能描述：</w:t>
            </w:r>
            <w:r>
              <w:rPr>
                <w:rFonts w:hint="eastAsia" w:ascii="Times New Roman" w:hAnsi="Times New Roman" w:eastAsia="宋体" w:cs="Times New Roman"/>
                <w:color w:val="auto"/>
                <w:kern w:val="0"/>
                <w:szCs w:val="20"/>
                <w:highlight w:val="none"/>
              </w:rPr>
              <w:t>功能描述：支持OPC ,Modbus TCP，Siemens S7等工控协议的深度报文解析，支持白名单自学习，内置工控威胁漏洞库，基础防火墙等功能。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硬件规格：标准1U机架式，标配冗余电源，4个10/100/1000Mbps自适应业务电口（支持2路ByPass），4个千兆业务光口，1个RJ45管理端口，1个EXT端口，1个串口（RJ45），2个扩展槽；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网络吞吐量16Gbps，最大并发连接数500万，每秒新建连接数10万，应用吞吐量2Gbps；</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工业协议支持：支持工控协议的深度解析不少于30余种（包括Modbus RTU，Modbus_UDP，Modbus_TCP，OPC DA，OPC UA，Siemens S7，S7-Plus，ENIPTCP，ENIPUDP，ENIPIO，IEC104，DNP3，MMS，Profinet，PNRTDCP，GOOSE，SV，BacNet，853，Omron Fins，mqtt，profinetCBA，SCNet，SONet，EGD，MELSEC_4E_BIN，MELSEC_4E_ASCII，MELSEC_5E_BIN，MELSEC_5E_ASCII等）。</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黑名单规则：内置工控威胁特征库，使用黑名单的方式有效阻止漏洞利用和网络入侵，工控威胁特征库至少达到1200条，支持升级；</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会话连接管理：支持限制某组IP之间通信建立的连接数，当连接数超过限制时，可以控制连接方向，控制连接建立的每秒连接数，并进行阻断并产生告警信息；</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含安装服务和三年维保服务。</w:t>
            </w:r>
          </w:p>
          <w:p>
            <w:pPr>
              <w:widowControl/>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Cs w:val="20"/>
                <w:highlight w:val="none"/>
              </w:rPr>
              <w:t>软件配置：工业防火墙系统</w:t>
            </w:r>
          </w:p>
        </w:tc>
        <w:tc>
          <w:tcPr>
            <w:tcW w:w="1525"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ind w:firstLine="420" w:firstLineChars="2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snapToGrid/>
              <w:spacing w:line="240" w:lineRule="auto"/>
              <w:jc w:val="left"/>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工业防火墙系统</w:t>
            </w:r>
          </w:p>
        </w:tc>
        <w:tc>
          <w:tcPr>
            <w:tcW w:w="4825" w:type="dxa"/>
            <w:vAlign w:val="center"/>
          </w:tcPr>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功能描述：支持OPC ,Modbus TCP，Siemens S7等工控协议的深度报文解析，支持白名单自学习，内置工控威胁漏洞库，基础防火墙等功能。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硬件规格：标准1U机架式，标配冗余电源，4个10/100/1000Mbps自适应业务电口（支持2路ByPass），1个RJ45管理端口，1个EXT端口，1个串口（RJ45），1个扩展槽；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网络吞吐量4Gbps，最大并发连接数200万，每秒新建连接数1万，应用吞吐量500Mbps；</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工业协议支持：支持工控协议的深度解析不少于3-余种（包括Modbus RTU，Modbus_UDP，Modbus_TCP，OPC DA，OPC UA，Siemens S7，S7-Plus，ENIPTCP，ENIPUDP，ENIPIO，IEC104，DNP3，MMS，Profinet，PNRTDCP，GOOSE，SV，BacNet，853，Omron Fins，mqtt，profinetCBA，SCNet，SONet，EGD，MELSEC_4E_BIN，MELSEC_4E_ASCII，MELSEC_5E_BIN，MELSEC_5E_ASCII等）。</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黑名单规则：内置工控威胁特征库，使用黑名单的方式有效阻止漏洞利用和网络入侵，工控威胁特征库至少达到1200条，支持升级；</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会话连接管理：支持限制某组IP之间通信建立的连接数，当连接数超过限制时，可以控制连接方向，控制连接建立的每秒连接数，并进行阻断并产生告警信息；</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含安装服务和三年维保服务。</w:t>
            </w:r>
          </w:p>
          <w:p>
            <w:pPr>
              <w:widowControl/>
              <w:jc w:val="lef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Cs w:val="20"/>
                <w:highlight w:val="none"/>
              </w:rPr>
              <w:t>软件配置：工业防火墙系统</w:t>
            </w:r>
          </w:p>
        </w:tc>
        <w:tc>
          <w:tcPr>
            <w:tcW w:w="1525"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ind w:firstLine="420" w:firstLineChars="2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val="0"/>
              <w:snapToGrid w:val="0"/>
              <w:spacing w:line="360" w:lineRule="exact"/>
              <w:jc w:val="left"/>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工业审计系统</w:t>
            </w:r>
          </w:p>
        </w:tc>
        <w:tc>
          <w:tcPr>
            <w:tcW w:w="4825" w:type="dxa"/>
            <w:vAlign w:val="center"/>
          </w:tcPr>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功能描述：工控网络异常数据或行为识别与检测，工控通讯协议指令级检测与审计，支持OPC ,Modbus TCP，Siemens S7等工控协议的深度报文解析，流量日志、攻击日志，白名单自学习，数据留存等功能。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硬件规格：标准1U机架式，标配冗余电源，4个10/100/1000Mbps自适应业务电口，1个RJ45管理端口，1个EXT端口，1个串口（RJ45），1个扩展槽；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事件信息：支持规约告记录警功能，即能对网络流量中不符合协议规约数据包进行告警记录。</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会话审计：支持对指定会话进行审计，包括会话的 IP，端口，协议，上下行报文数和上下行字节数等。</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协议分析：支持对监测到的数据进行实时分析，显示源 IP地址、源 MAC 地址、源端口、目的 IP 地址、目的MAC 地址、目的端口、抓取时间、协议类型及对其搜索，支持协议要包含 HTTP、FTP、POP3、SMTP、TELNET、SNMP、OPC Classic，OPC UA,Modbus TCP/UDP，Siemens S7，Ethernet/IP(CIP)，IEC104，DNP3，MMS， Profinet,PNRTDCP,GOOSE,SV,ENIPUDP,BacNet，853，Omron Fins, SCNet，SONet，TRDP 等。</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无 流 量 监测 ：支持对 opcda、iec104 等工控协议的无流量监控，并支持无流量认定时长的设置。支持无流量监控行为告警记录。</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含安装服务和三年维保服务。</w:t>
            </w:r>
          </w:p>
          <w:p>
            <w:pPr>
              <w:widowControl/>
              <w:jc w:val="left"/>
              <w:textAlignment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Cs w:val="20"/>
                <w:highlight w:val="none"/>
              </w:rPr>
              <w:t>软件配置：工业审计系统</w:t>
            </w:r>
          </w:p>
        </w:tc>
        <w:tc>
          <w:tcPr>
            <w:tcW w:w="1525"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ind w:firstLine="420" w:firstLineChars="2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snapToGrid/>
              <w:spacing w:line="240" w:lineRule="auto"/>
              <w:jc w:val="left"/>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工业卫士软件</w:t>
            </w:r>
          </w:p>
        </w:tc>
        <w:tc>
          <w:tcPr>
            <w:tcW w:w="4825" w:type="dxa"/>
            <w:vAlign w:val="center"/>
          </w:tcPr>
          <w:p>
            <w:pPr>
              <w:widowControl/>
              <w:jc w:val="left"/>
              <w:rPr>
                <w:rFonts w:hint="eastAsia" w:ascii="Times New Roman" w:hAnsi="Times New Roman" w:eastAsia="宋体" w:cs="Times New Roman"/>
                <w:color w:val="auto"/>
                <w:kern w:val="0"/>
                <w:szCs w:val="20"/>
                <w:highlight w:val="none"/>
              </w:rPr>
            </w:pPr>
            <w:r>
              <w:rPr>
                <w:rFonts w:ascii="Times New Roman" w:hAnsi="Times New Roman" w:eastAsia="宋体" w:cs="Times New Roman"/>
                <w:color w:val="auto"/>
                <w:kern w:val="0"/>
                <w:sz w:val="21"/>
                <w:szCs w:val="21"/>
                <w:highlight w:val="none"/>
              </w:rPr>
              <w:t xml:space="preserve"> </w:t>
            </w:r>
            <w:r>
              <w:rPr>
                <w:rFonts w:hint="eastAsia" w:ascii="Times New Roman" w:hAnsi="Times New Roman" w:eastAsia="宋体" w:cs="Times New Roman"/>
                <w:color w:val="auto"/>
                <w:kern w:val="0"/>
                <w:szCs w:val="20"/>
                <w:highlight w:val="none"/>
              </w:rPr>
              <w:t>功能描述：白名单防护、白名单更新、白名单管理、系统固化、移动存储管理、安全加固配置、移动存储介质管理、日志记录审计等功能。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支持Windows操作系统：Windows Server 2003/2008/2012/2016/2019/Windows 2000/XP/7/8/8.1/10操作系统(32位及64位)以及window7嵌入式。</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系统固化：支持对系统进行一键固化操作，自动生成白名单库；支持同类型主机的安装即固化功能</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移动存储管理：支持基于白名单的U盘接入管理，支持对单一Ｕ盘的独立权限控制，杜绝一切非注册U盘接入</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安全加固：对特定安装目录的文件进行完整性保护，防止恶意程序篡改或误操作对目标文件进行修改或删除</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含安装服务和三年维保服务。</w:t>
            </w:r>
          </w:p>
          <w:p>
            <w:pPr>
              <w:widowControl/>
              <w:jc w:val="left"/>
              <w:textAlignment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Cs w:val="20"/>
                <w:highlight w:val="none"/>
              </w:rPr>
              <w:t>软件配置：工业卫士软件</w:t>
            </w:r>
          </w:p>
        </w:tc>
        <w:tc>
          <w:tcPr>
            <w:tcW w:w="1525"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套 </w:t>
            </w:r>
          </w:p>
        </w:tc>
        <w:tc>
          <w:tcPr>
            <w:tcW w:w="1038" w:type="dxa"/>
            <w:vAlign w:val="center"/>
          </w:tcPr>
          <w:p>
            <w:pPr>
              <w:widowControl/>
              <w:ind w:firstLine="420" w:firstLineChars="2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snapToGrid/>
              <w:spacing w:line="240" w:lineRule="auto"/>
              <w:jc w:val="left"/>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监管平台系统</w:t>
            </w:r>
          </w:p>
        </w:tc>
        <w:tc>
          <w:tcPr>
            <w:tcW w:w="4825" w:type="dxa"/>
            <w:vAlign w:val="center"/>
          </w:tcPr>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功能描述：实现设备状态监视、设备发现、报警分析、安全设备管理、安全策略管理、安全审计日志、用户管理等功能。支持管理100台工控防火墙和2000个工业卫士客户端；</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硬件规格：2U标准机架式，AC220V（单电源），6个10/100/1000Mbps自适应电口，8G内存，64G SSD+1T硬盘；</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设备发现：支持以列表方式自动显示已接入设备信息，包含设备IP、MAC、设备名称、监测来源、最近发现时间等，并可对列表单页显示条数进行设置；</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报警分析：对已接入的所有安全设备进行实时监测，对其触发安全策略规则的行为或事件同步产生告警信息并进行记录，具体信息包含有设备名称、设备类型、报警类型、协议、内容、时间、状态；</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安全设备管理：支持对防火墙设备的策略管理，包括黑名单、白名单、工业协议、IP/MAC管理、基础防火墙、安全防护等；</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主机防护软件日志：支持对已接入的主机防护软件终端进行客户端操作信息采集，包括打开/退出程序、白名单防护配置、身份验证、白名单库操作、身份验证等操作；</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含安装服务和三年维保服务。</w:t>
            </w:r>
          </w:p>
          <w:p>
            <w:pPr>
              <w:widowControl/>
              <w:jc w:val="left"/>
              <w:textAlignment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Cs w:val="20"/>
                <w:highlight w:val="none"/>
              </w:rPr>
              <w:t>软件配置：监管平台系统</w:t>
            </w:r>
          </w:p>
        </w:tc>
        <w:tc>
          <w:tcPr>
            <w:tcW w:w="1525"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台 </w:t>
            </w:r>
          </w:p>
        </w:tc>
        <w:tc>
          <w:tcPr>
            <w:tcW w:w="1038" w:type="dxa"/>
            <w:vAlign w:val="center"/>
          </w:tcPr>
          <w:p>
            <w:pPr>
              <w:widowControl/>
              <w:ind w:firstLine="420" w:firstLineChars="2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snapToGrid/>
              <w:spacing w:line="240" w:lineRule="auto"/>
              <w:jc w:val="left"/>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日志审计与分析系统</w:t>
            </w:r>
          </w:p>
        </w:tc>
        <w:tc>
          <w:tcPr>
            <w:tcW w:w="4825" w:type="dxa"/>
            <w:vAlign w:val="center"/>
          </w:tcPr>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功能描述：支持主动、被动相结合的数据采集方式；支持通过Agent采集日志数据；Agent支持采集日志监控、文件监控、流量包监控数据；支持Syslog、SNMP、JDBC、WMI、FTP、文件等进行数据采集；支持日志转发；支持多种部署模式；支持50点授权。</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硬件规格：标准1U机架式，单电源，6个电口(RJ45)，2个USB接口，1个RJ45串口，16G内存，64G+2T硬盘；</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告警分析：对已接入的所有日志进行实时监测，对其触发安全策略规则的行为或事件同步产生告警信息并进行记录，具体信息包含有首次告警时间、严重级别、来源ip、内容；</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事件分析：通过事件路径，分析事件IP在产生告警后在网络环境中的访问路线节点的时间序列，并展示对应节点中产生的告警；</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解析规则：支持自定义解析规则对采集的日志解析，并归一化处理后做记忆存储。</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日志备份：支持对备份日志进行管理，可进行下载、还原、删除等操作；</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支持数据清理，可对系统冗余数据基于磁盘空间按需进行删除或清空；</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含安装服务和三年维保服务。</w:t>
            </w:r>
          </w:p>
          <w:p>
            <w:pPr>
              <w:widowControl/>
              <w:jc w:val="left"/>
              <w:rPr>
                <w:rFonts w:hint="eastAsia"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rPr>
              <w:t>软件配置：日志审计与分析系统</w:t>
            </w:r>
          </w:p>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含安装服务和三年维保服务。</w:t>
            </w:r>
            <w:r>
              <w:rPr>
                <w:rFonts w:ascii="Times New Roman" w:hAnsi="Times New Roman" w:eastAsia="宋体" w:cs="Times New Roman"/>
                <w:color w:val="auto"/>
                <w:kern w:val="0"/>
                <w:sz w:val="21"/>
                <w:szCs w:val="21"/>
                <w:highlight w:val="none"/>
              </w:rPr>
              <w:br w:type="textWrapping"/>
            </w:r>
            <w:r>
              <w:rPr>
                <w:rFonts w:ascii="Times New Roman" w:hAnsi="Times New Roman" w:eastAsia="宋体" w:cs="Times New Roman"/>
                <w:color w:val="auto"/>
                <w:kern w:val="0"/>
                <w:sz w:val="21"/>
                <w:szCs w:val="21"/>
                <w:highlight w:val="none"/>
              </w:rPr>
              <w:t>软件配置：日志审计与分析系统</w:t>
            </w:r>
          </w:p>
        </w:tc>
        <w:tc>
          <w:tcPr>
            <w:tcW w:w="1525"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left"/>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 台 </w:t>
            </w:r>
          </w:p>
        </w:tc>
        <w:tc>
          <w:tcPr>
            <w:tcW w:w="1038" w:type="dxa"/>
            <w:vAlign w:val="center"/>
          </w:tcPr>
          <w:p>
            <w:pPr>
              <w:widowControl/>
              <w:ind w:firstLine="420" w:firstLineChars="200"/>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snapToGrid/>
              <w:spacing w:line="240" w:lineRule="auto"/>
              <w:jc w:val="left"/>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网络机柜</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2100mm（高）×800mm（宽）×800mm（深）</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面</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操作员站</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主机、显示器、工程师键盘，详见技术要求</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编程软件</w:t>
            </w:r>
          </w:p>
        </w:tc>
        <w:tc>
          <w:tcPr>
            <w:tcW w:w="4825" w:type="dxa"/>
            <w:vAlign w:val="center"/>
          </w:tcPr>
          <w:p>
            <w:pPr>
              <w:widowControl/>
              <w:jc w:val="left"/>
              <w:textAlignment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rPr>
              <w:t>详见技术要求</w:t>
            </w:r>
            <w:r>
              <w:rPr>
                <w:rFonts w:hint="eastAsia" w:ascii="Times New Roman" w:hAnsi="Times New Roman" w:eastAsia="宋体" w:cs="Times New Roman"/>
                <w:color w:val="auto"/>
                <w:kern w:val="0"/>
                <w:sz w:val="21"/>
                <w:szCs w:val="21"/>
                <w:highlight w:val="none"/>
                <w:lang w:val="en-US" w:eastAsia="zh-CN"/>
              </w:rPr>
              <w:t>,正版</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组态软件</w:t>
            </w:r>
          </w:p>
        </w:tc>
        <w:tc>
          <w:tcPr>
            <w:tcW w:w="4825" w:type="dxa"/>
            <w:vAlign w:val="center"/>
          </w:tcPr>
          <w:p>
            <w:pPr>
              <w:widowControl/>
              <w:jc w:val="left"/>
              <w:textAlignment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s="Times New Roman"/>
                <w:color w:val="auto"/>
                <w:kern w:val="0"/>
                <w:sz w:val="21"/>
                <w:szCs w:val="21"/>
                <w:highlight w:val="none"/>
              </w:rPr>
              <w:t>详见技术要求</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正版。</w:t>
            </w:r>
            <w:r>
              <w:rPr>
                <w:rFonts w:hint="eastAsia" w:ascii="Times New Roman" w:hAnsi="Times New Roman" w:eastAsia="宋体" w:cs="Times New Roman"/>
                <w:color w:val="auto"/>
                <w:kern w:val="0"/>
                <w:szCs w:val="20"/>
                <w:highlight w:val="none"/>
              </w:rPr>
              <w:t>站控组态软件的二次开发程序和组态、可编程设备的程序和组态，中标单位须向招标单位提供上述软件全部的开发成果、源程序及组态文件。</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UPS</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输出：电压：220V±5%；频率：50±0.2Hz；波形失真率：≤±5%</w:t>
            </w:r>
            <w:r>
              <w:rPr>
                <w:rFonts w:ascii="Times New Roman" w:hAnsi="Times New Roman" w:eastAsia="宋体" w:cs="Times New Roman"/>
                <w:color w:val="auto"/>
                <w:kern w:val="0"/>
                <w:sz w:val="21"/>
                <w:szCs w:val="21"/>
                <w:highlight w:val="none"/>
              </w:rPr>
              <w:br w:type="textWrapping"/>
            </w:r>
            <w:r>
              <w:rPr>
                <w:rFonts w:ascii="Times New Roman" w:hAnsi="Times New Roman" w:eastAsia="宋体" w:cs="Times New Roman"/>
                <w:color w:val="auto"/>
                <w:kern w:val="0"/>
                <w:sz w:val="21"/>
                <w:szCs w:val="21"/>
                <w:highlight w:val="none"/>
              </w:rPr>
              <w:t>输入：220V±15%；输人频率50±2.5H</w:t>
            </w:r>
            <w:r>
              <w:rPr>
                <w:rFonts w:ascii="Times New Roman" w:hAnsi="Times New Roman" w:eastAsia="宋体" w:cs="Times New Roman"/>
                <w:color w:val="auto"/>
                <w:kern w:val="0"/>
                <w:sz w:val="21"/>
                <w:szCs w:val="21"/>
                <w:highlight w:val="none"/>
              </w:rPr>
              <w:br w:type="textWrapping"/>
            </w:r>
            <w:r>
              <w:rPr>
                <w:rFonts w:ascii="Times New Roman" w:hAnsi="Times New Roman" w:eastAsia="宋体" w:cs="Times New Roman"/>
                <w:color w:val="auto"/>
                <w:kern w:val="0"/>
                <w:sz w:val="21"/>
                <w:szCs w:val="21"/>
                <w:highlight w:val="none"/>
              </w:rPr>
              <w:t>过载能力大于或等于150%；容量：5kVA后备时间：1h；充电性能：2小时充电至额定容量的80%；机架式，安装于800x800x2100mm柜内。</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ESD按钮</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详见技术要求</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声光报警器</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供电电源：24V DC；防护等级：IP65；防爆等级：ExdIICT6 Gb；带防爆密封接头；详见技术要求</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火灾报警控制器</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液晶屏规格：122×32点；（2）控制器容量：最大128个总线设备，8个警报器；（3）线制：控制器与探测器间采用无极性信号二总线连接；（4）使用环境：温度：0℃～＋40℃；相对湿度≤95％，不结露；（5）电源：主电:AC220V+10%-15%；备电：DC24V 2.3Ah密封铅酸电池；（6）功耗：监控功耗≤10W；最大功耗≤15W；（7）辅助电源输出：24V/1A；（8）控制器外形尺寸：300mm×210mm×91mm。</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套</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感烟探测器</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工作电压：总线24V；（2）监视电流≤0.8mA；（3）报警电流≤1.8mA；（4）报警确认灯：红色，巡检时闪烁，报警时常亮；（5）使用环境：温度：-10℃～+55℃；相对湿度≤95%，不结露；（6）编码方式：十进制电子编码；（7）外壳防护等级：IP23；（8）外形尺寸：直径：100mm，高：56mm(带底座)。</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个</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手动火灾报警按钮</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工作电压：总线24V（2）监视电流≤0.6mA（3）报警电流≤1.8mA（4）线制：与控制器无极性二线制连接（5）输出容量：额定DC30V/100mA无源输出触点信号，接触电阻≤0.1（6）使用环境：温度：-10℃～+55℃；相对湿度≤95%，不结露（7）外壳防护等级：IP40</w:t>
            </w:r>
            <w:r>
              <w:rPr>
                <w:rFonts w:ascii="Times New Roman" w:hAnsi="Times New Roman" w:eastAsia="宋体" w:cs="Times New Roman"/>
                <w:color w:val="auto"/>
                <w:kern w:val="0"/>
                <w:sz w:val="21"/>
                <w:szCs w:val="21"/>
                <w:highlight w:val="none"/>
              </w:rPr>
              <w:br w:type="textWrapping"/>
            </w:r>
            <w:r>
              <w:rPr>
                <w:rFonts w:ascii="Times New Roman" w:hAnsi="Times New Roman" w:eastAsia="宋体" w:cs="Times New Roman"/>
                <w:color w:val="auto"/>
                <w:kern w:val="0"/>
                <w:sz w:val="21"/>
                <w:szCs w:val="21"/>
                <w:highlight w:val="none"/>
              </w:rPr>
              <w:t>（8）外形尺寸：95.4mm×98.4mm×45.5mm(带底壳)。</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个</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火灾声光报警器</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工作电压：总线24V；（2）监视电流≤0.6mA；（3）动作电流≤5mA；（4）线制：直接接入火灾报警控制器信号二总线；（5）使用环境：温度：-10℃～+50℃；相对湿度≤95%，不结露；（7）外壳防护等级：IP30；（8）执行标准：GB 26851-2011；（9）外形尺寸：86mm×86mm×43mm（带底壳）。</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个</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消防电话</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电源：直流24V±10%,总机最大工作电流约0.5A；（2）总线线路电阻（包括导线电阻和连接点接触电阻）：最大不超过70欧姆；（3）总线容量：最多99个编码地址；（4）总线长度：最大1500米；（5）话音频率范围：300～3400Hz；（6）话音传输损耗：＜5dB；（7）工作环境：环境温度：-10～55℃；相对湿度：≤95%；（8）电话总机的尺寸和重量尺寸：482.6mm×88.1mm×155mm(宽×高×厚)。</w:t>
            </w:r>
          </w:p>
        </w:tc>
        <w:tc>
          <w:tcPr>
            <w:tcW w:w="1525"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1413" w:type="dxa"/>
            <w:vAlign w:val="center"/>
          </w:tcPr>
          <w:p>
            <w:pPr>
              <w:widowControl/>
              <w:adjustRightInd w:val="0"/>
              <w:snapToGrid w:val="0"/>
              <w:spacing w:line="360" w:lineRule="exact"/>
              <w:jc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部</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云台扫描式激光甲烷遥测仪</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 xml:space="preserve">外型尺寸 长*宽*高：338*240*394mm；自动加热(可选) </w:t>
            </w:r>
            <w:r>
              <w:rPr>
                <w:rFonts w:hint="eastAsia" w:ascii="宋体" w:hAnsi="宋体" w:eastAsia="宋体" w:cs="宋体"/>
                <w:color w:val="auto"/>
                <w:kern w:val="0"/>
                <w:sz w:val="21"/>
                <w:szCs w:val="21"/>
                <w:highlight w:val="none"/>
              </w:rPr>
              <w:t>≦</w:t>
            </w:r>
            <w:r>
              <w:rPr>
                <w:rFonts w:ascii="Times New Roman" w:hAnsi="Times New Roman" w:eastAsia="宋体" w:cs="Times New Roman"/>
                <w:color w:val="auto"/>
                <w:kern w:val="0"/>
                <w:sz w:val="21"/>
                <w:szCs w:val="21"/>
                <w:highlight w:val="none"/>
              </w:rPr>
              <w:t>0℃时自动启动加热；雨刷控制 可选；防护等级 IP68（1.2m/45min）；水平旋转范围 360°连续旋转；垂直旋转范围 +90°~﹣90°；水平旋转速度 0.1°~40°/S；垂直旋转速度 0.1°~40°/S；详见技术要求；含立杆、防爆箱，防浪涌单元，声光报警器等</w:t>
            </w:r>
          </w:p>
        </w:tc>
        <w:tc>
          <w:tcPr>
            <w:tcW w:w="1525" w:type="dxa"/>
            <w:vAlign w:val="center"/>
          </w:tcPr>
          <w:p>
            <w:pPr>
              <w:widowControl/>
              <w:jc w:val="center"/>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center"/>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个</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0"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c>
          <w:tcPr>
            <w:tcW w:w="1175"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机柜</w:t>
            </w:r>
          </w:p>
        </w:tc>
        <w:tc>
          <w:tcPr>
            <w:tcW w:w="4825" w:type="dxa"/>
            <w:vAlign w:val="center"/>
          </w:tcPr>
          <w:p>
            <w:pPr>
              <w:widowControl/>
              <w:jc w:val="left"/>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2100mm（高）×800mm（宽）×800mm（深），含交换机，硬盘录像机，串口服务器等</w:t>
            </w:r>
          </w:p>
        </w:tc>
        <w:tc>
          <w:tcPr>
            <w:tcW w:w="1525" w:type="dxa"/>
            <w:vAlign w:val="center"/>
          </w:tcPr>
          <w:p>
            <w:pPr>
              <w:widowControl/>
              <w:jc w:val="center"/>
              <w:textAlignment w:val="center"/>
              <w:rPr>
                <w:rFonts w:ascii="Times New Roman" w:hAnsi="Times New Roman" w:eastAsia="宋体" w:cs="Times New Roman"/>
                <w:color w:val="auto"/>
                <w:kern w:val="0"/>
                <w:sz w:val="21"/>
                <w:szCs w:val="21"/>
                <w:highlight w:val="none"/>
              </w:rPr>
            </w:pPr>
          </w:p>
        </w:tc>
        <w:tc>
          <w:tcPr>
            <w:tcW w:w="1413" w:type="dxa"/>
            <w:vAlign w:val="center"/>
          </w:tcPr>
          <w:p>
            <w:pPr>
              <w:widowControl/>
              <w:jc w:val="center"/>
              <w:textAlignment w:val="center"/>
              <w:rPr>
                <w:rFonts w:ascii="Times New Roman" w:hAnsi="Times New Roman" w:eastAsia="宋体" w:cs="Times New Roman"/>
                <w:color w:val="auto"/>
                <w:kern w:val="0"/>
                <w:sz w:val="21"/>
                <w:szCs w:val="21"/>
                <w:highlight w:val="none"/>
              </w:rPr>
            </w:pPr>
          </w:p>
        </w:tc>
        <w:tc>
          <w:tcPr>
            <w:tcW w:w="912"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台</w:t>
            </w:r>
          </w:p>
        </w:tc>
        <w:tc>
          <w:tcPr>
            <w:tcW w:w="1038" w:type="dxa"/>
            <w:vAlign w:val="center"/>
          </w:tcPr>
          <w:p>
            <w:pPr>
              <w:widowControl/>
              <w:jc w:val="center"/>
              <w:textAlignment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w:t>
            </w:r>
          </w:p>
        </w:tc>
        <w:tc>
          <w:tcPr>
            <w:tcW w:w="2977" w:type="dxa"/>
            <w:vAlign w:val="center"/>
          </w:tcPr>
          <w:p>
            <w:pPr>
              <w:widowControl/>
              <w:adjustRightInd w:val="0"/>
              <w:snapToGrid w:val="0"/>
              <w:spacing w:line="360" w:lineRule="exact"/>
              <w:jc w:val="left"/>
              <w:rPr>
                <w:rFonts w:ascii="Times New Roman" w:hAnsi="Times New Roman" w:eastAsia="宋体" w:cs="Times New Roman"/>
                <w:color w:val="auto"/>
                <w:kern w:val="0"/>
                <w:sz w:val="21"/>
                <w:szCs w:val="21"/>
                <w:highlight w:val="none"/>
              </w:rPr>
            </w:pPr>
          </w:p>
        </w:tc>
      </w:tr>
    </w:tbl>
    <w:p>
      <w:pPr>
        <w:rPr>
          <w:rFonts w:hint="eastAsia" w:ascii="宋体" w:hAnsi="宋体" w:eastAsia="宋体" w:cs="宋体"/>
          <w:color w:val="auto"/>
          <w:highlight w:val="none"/>
        </w:rPr>
        <w:sectPr>
          <w:endnotePr>
            <w:numFmt w:val="decimal"/>
          </w:endnotePr>
          <w:pgSz w:w="16838" w:h="11906" w:orient="landscape"/>
          <w:pgMar w:top="1417" w:right="1417" w:bottom="1417" w:left="1417" w:header="850" w:footer="907" w:gutter="0"/>
          <w:pgNumType w:fmt="decimal"/>
          <w:cols w:space="0" w:num="1"/>
          <w:titlePg/>
          <w:docGrid w:type="lines" w:linePitch="312" w:charSpace="0"/>
        </w:sectPr>
      </w:pPr>
    </w:p>
    <w:p>
      <w:pPr>
        <w:pStyle w:val="4"/>
        <w:ind w:firstLine="3373" w:firstLineChars="1200"/>
        <w:jc w:val="both"/>
        <w:rPr>
          <w:rFonts w:hint="eastAsia" w:ascii="宋体" w:hAnsi="宋体" w:eastAsia="宋体" w:cs="宋体"/>
          <w:color w:val="auto"/>
          <w:highlight w:val="none"/>
        </w:rPr>
      </w:pPr>
      <w:r>
        <w:rPr>
          <w:rFonts w:hint="eastAsia" w:ascii="宋体" w:hAnsi="宋体" w:eastAsia="宋体" w:cs="宋体"/>
          <w:color w:val="auto"/>
          <w:highlight w:val="none"/>
        </w:rPr>
        <w:t>第四章投标文件格式</w:t>
      </w:r>
      <w:bookmarkEnd w:id="37"/>
      <w:bookmarkEnd w:id="38"/>
    </w:p>
    <w:p>
      <w:pPr>
        <w:autoSpaceDE w:val="0"/>
        <w:autoSpaceDN w:val="0"/>
        <w:adjustRightInd w:val="0"/>
        <w:rPr>
          <w:rFonts w:hint="eastAsia" w:ascii="宋体" w:hAnsi="宋体" w:eastAsia="宋体" w:cs="宋体"/>
          <w:color w:val="auto"/>
          <w:sz w:val="24"/>
          <w:szCs w:val="24"/>
          <w:highlight w:val="none"/>
        </w:rPr>
      </w:pPr>
    </w:p>
    <w:p>
      <w:pPr>
        <w:autoSpaceDE w:val="0"/>
        <w:autoSpaceDN w:val="0"/>
        <w:adjustRightInd w:val="0"/>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p>
    <w:p>
      <w:pPr>
        <w:pStyle w:val="241"/>
        <w:spacing w:beforeLines="0" w:afterLines="0" w:line="360" w:lineRule="auto"/>
        <w:rPr>
          <w:rFonts w:hint="eastAsia" w:ascii="宋体" w:hAnsi="宋体" w:eastAsia="宋体" w:cs="宋体"/>
          <w:color w:val="auto"/>
          <w:highlight w:val="none"/>
        </w:rPr>
      </w:pPr>
      <w:bookmarkStart w:id="792" w:name="_Toc12077"/>
      <w:bookmarkStart w:id="793" w:name="_Toc5975580"/>
      <w:r>
        <w:rPr>
          <w:rFonts w:hint="eastAsia" w:ascii="宋体" w:hAnsi="宋体" w:eastAsia="宋体" w:cs="宋体"/>
          <w:color w:val="auto"/>
          <w:highlight w:val="none"/>
        </w:rPr>
        <w:t>一、技术标投标文件格式</w:t>
      </w:r>
      <w:bookmarkEnd w:id="792"/>
      <w:bookmarkEnd w:id="793"/>
    </w:p>
    <w:p>
      <w:pPr>
        <w:pStyle w:val="256"/>
        <w:spacing w:beforeLines="0" w:afterLines="0"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794" w:name="_Toc524"/>
      <w:bookmarkStart w:id="795" w:name="_Toc532475786"/>
      <w:bookmarkStart w:id="796" w:name="_Toc5975581"/>
      <w:bookmarkStart w:id="797" w:name="_Toc532475353"/>
      <w:bookmarkStart w:id="798" w:name="_Toc510963883"/>
      <w:bookmarkStart w:id="799" w:name="_Toc36568865"/>
      <w:r>
        <w:rPr>
          <w:rFonts w:hint="eastAsia" w:ascii="宋体" w:hAnsi="宋体" w:eastAsia="宋体" w:cs="宋体"/>
          <w:color w:val="auto"/>
          <w:highlight w:val="none"/>
        </w:rPr>
        <w:t>格式一：技术标封面</w:t>
      </w:r>
      <w:bookmarkEnd w:id="794"/>
      <w:bookmarkEnd w:id="795"/>
      <w:bookmarkEnd w:id="796"/>
      <w:bookmarkEnd w:id="797"/>
      <w:bookmarkEnd w:id="798"/>
      <w:bookmarkEnd w:id="799"/>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238"/>
        <w:rPr>
          <w:rFonts w:hint="eastAsia" w:ascii="宋体" w:hAnsi="宋体" w:eastAsia="宋体" w:cs="宋体"/>
          <w:b w:val="0"/>
          <w:color w:val="auto"/>
          <w:highlight w:val="none"/>
          <w:u w:val="single"/>
        </w:rPr>
      </w:pPr>
      <w:r>
        <w:rPr>
          <w:rFonts w:hint="eastAsia" w:ascii="宋体" w:hAnsi="宋体" w:eastAsia="宋体" w:cs="宋体"/>
          <w:b w:val="0"/>
          <w:color w:val="auto"/>
          <w:highlight w:val="none"/>
          <w:u w:val="single"/>
        </w:rPr>
        <w:t xml:space="preserve">[工程名称] </w:t>
      </w: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210"/>
        <w:rPr>
          <w:rFonts w:hint="eastAsia" w:ascii="宋体" w:hAnsi="宋体" w:eastAsia="宋体" w:cs="宋体"/>
          <w:b w:val="0"/>
          <w:color w:val="auto"/>
          <w:highlight w:val="none"/>
        </w:rPr>
      </w:pPr>
      <w:r>
        <w:rPr>
          <w:rFonts w:hint="eastAsia" w:ascii="宋体" w:hAnsi="宋体" w:eastAsia="宋体" w:cs="宋体"/>
          <w:b w:val="0"/>
          <w:color w:val="auto"/>
          <w:highlight w:val="none"/>
        </w:rPr>
        <w:t>投标文件</w:t>
      </w:r>
    </w:p>
    <w:p>
      <w:pPr>
        <w:pStyle w:val="238"/>
        <w:rPr>
          <w:rFonts w:hint="eastAsia" w:ascii="宋体" w:hAnsi="宋体" w:eastAsia="宋体" w:cs="宋体"/>
          <w:b w:val="0"/>
          <w:color w:val="auto"/>
          <w:highlight w:val="none"/>
        </w:rPr>
      </w:pPr>
      <w:r>
        <w:rPr>
          <w:rFonts w:hint="eastAsia" w:ascii="宋体" w:hAnsi="宋体" w:eastAsia="宋体" w:cs="宋体"/>
          <w:b w:val="0"/>
          <w:color w:val="auto"/>
          <w:highlight w:val="none"/>
        </w:rPr>
        <w:t>第一册  【技术投标文件（含资格审查文件）】</w:t>
      </w: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237"/>
        <w:ind w:firstLine="616"/>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 xml:space="preserve">    （填写投标人单位名称）    （盖章）</w:t>
      </w:r>
    </w:p>
    <w:p>
      <w:pPr>
        <w:pStyle w:val="237"/>
        <w:ind w:firstLine="616"/>
        <w:rPr>
          <w:rFonts w:hint="eastAsia" w:ascii="宋体" w:hAnsi="宋体" w:eastAsia="宋体" w:cs="宋体"/>
          <w:color w:val="auto"/>
          <w:highlight w:val="none"/>
        </w:rPr>
      </w:pPr>
    </w:p>
    <w:p>
      <w:pPr>
        <w:pStyle w:val="237"/>
        <w:ind w:firstLine="616"/>
        <w:rPr>
          <w:rFonts w:hint="eastAsia" w:ascii="宋体" w:hAnsi="宋体" w:eastAsia="宋体" w:cs="宋体"/>
          <w:color w:val="auto"/>
          <w:highlight w:val="none"/>
        </w:rPr>
      </w:pPr>
      <w:r>
        <w:rPr>
          <w:rFonts w:hint="eastAsia" w:ascii="宋体" w:hAnsi="宋体" w:eastAsia="宋体" w:cs="宋体"/>
          <w:color w:val="auto"/>
          <w:highlight w:val="none"/>
        </w:rPr>
        <w:t>法定代表人或</w:t>
      </w:r>
    </w:p>
    <w:p>
      <w:pPr>
        <w:pStyle w:val="237"/>
        <w:ind w:firstLine="616"/>
        <w:rPr>
          <w:rFonts w:hint="eastAsia" w:ascii="宋体" w:hAnsi="宋体" w:eastAsia="宋体" w:cs="宋体"/>
          <w:color w:val="auto"/>
          <w:highlight w:val="none"/>
        </w:rPr>
      </w:pPr>
      <w:r>
        <w:rPr>
          <w:rFonts w:hint="eastAsia" w:ascii="宋体" w:hAnsi="宋体" w:eastAsia="宋体" w:cs="宋体"/>
          <w:color w:val="auto"/>
          <w:highlight w:val="none"/>
        </w:rPr>
        <w:t>其委托代理人：</w:t>
      </w:r>
      <w:r>
        <w:rPr>
          <w:rFonts w:hint="eastAsia" w:ascii="宋体" w:hAnsi="宋体" w:eastAsia="宋体" w:cs="宋体"/>
          <w:color w:val="auto"/>
          <w:highlight w:val="none"/>
          <w:u w:val="single"/>
        </w:rPr>
        <w:t xml:space="preserve">                    （签名或盖章）</w:t>
      </w:r>
    </w:p>
    <w:p>
      <w:pPr>
        <w:pStyle w:val="237"/>
        <w:ind w:firstLine="616"/>
        <w:rPr>
          <w:rFonts w:hint="eastAsia" w:ascii="宋体" w:hAnsi="宋体" w:eastAsia="宋体" w:cs="宋体"/>
          <w:color w:val="auto"/>
          <w:sz w:val="24"/>
          <w:szCs w:val="24"/>
          <w:highlight w:val="none"/>
        </w:rPr>
      </w:pPr>
      <w:r>
        <w:rPr>
          <w:rFonts w:hint="eastAsia" w:ascii="宋体" w:hAnsi="宋体" w:eastAsia="宋体" w:cs="宋体"/>
          <w:color w:val="auto"/>
          <w:highlight w:val="none"/>
        </w:rPr>
        <w:t>日  期：</w:t>
      </w:r>
    </w:p>
    <w:p>
      <w:pPr>
        <w:pStyle w:val="256"/>
        <w:spacing w:before="156" w:after="156"/>
        <w:rPr>
          <w:rFonts w:hint="eastAsia" w:ascii="宋体" w:hAnsi="宋体" w:eastAsia="宋体" w:cs="宋体"/>
          <w:bCs/>
          <w:color w:val="auto"/>
          <w:szCs w:val="21"/>
          <w:highlight w:val="none"/>
        </w:rPr>
      </w:pPr>
      <w:bookmarkStart w:id="800" w:name="_Toc27497"/>
      <w:bookmarkStart w:id="801" w:name="_Toc5975582"/>
      <w:bookmarkStart w:id="802" w:name="_Toc36568866"/>
      <w:r>
        <w:rPr>
          <w:rFonts w:hint="eastAsia" w:ascii="宋体" w:hAnsi="宋体" w:eastAsia="宋体" w:cs="宋体"/>
          <w:bCs/>
          <w:color w:val="auto"/>
          <w:szCs w:val="21"/>
          <w:highlight w:val="none"/>
        </w:rPr>
        <w:t>格式二：广州建设工程施工招标投标书</w:t>
      </w:r>
      <w:bookmarkEnd w:id="800"/>
      <w:bookmarkEnd w:id="801"/>
      <w:bookmarkEnd w:id="802"/>
    </w:p>
    <w:p>
      <w:pPr>
        <w:autoSpaceDE w:val="0"/>
        <w:autoSpaceDN w:val="0"/>
        <w:adjustRightInd w:val="0"/>
        <w:ind w:left="-540" w:leftChars="-257" w:firstLine="1135" w:firstLineChars="257"/>
        <w:jc w:val="center"/>
        <w:rPr>
          <w:rFonts w:hint="eastAsia" w:ascii="宋体" w:hAnsi="宋体" w:eastAsia="宋体" w:cs="宋体"/>
          <w:b/>
          <w:bCs/>
          <w:color w:val="auto"/>
          <w:sz w:val="44"/>
          <w:szCs w:val="44"/>
          <w:highlight w:val="none"/>
          <w:lang w:val="zh-CN"/>
        </w:rPr>
      </w:pPr>
    </w:p>
    <w:p>
      <w:pPr>
        <w:autoSpaceDE w:val="0"/>
        <w:autoSpaceDN w:val="0"/>
        <w:adjustRightInd w:val="0"/>
        <w:ind w:left="-540" w:leftChars="-257" w:firstLine="1135" w:firstLineChars="257"/>
        <w:jc w:val="center"/>
        <w:rPr>
          <w:rFonts w:hint="eastAsia" w:ascii="宋体" w:hAnsi="宋体" w:eastAsia="宋体" w:cs="宋体"/>
          <w:b/>
          <w:bCs/>
          <w:color w:val="auto"/>
          <w:sz w:val="44"/>
          <w:szCs w:val="44"/>
          <w:highlight w:val="none"/>
          <w:lang w:val="zh-CN"/>
        </w:rPr>
      </w:pPr>
      <w:r>
        <w:rPr>
          <w:rFonts w:hint="eastAsia" w:ascii="宋体" w:hAnsi="宋体" w:eastAsia="宋体" w:cs="宋体"/>
          <w:b/>
          <w:bCs/>
          <w:color w:val="auto"/>
          <w:sz w:val="44"/>
          <w:szCs w:val="44"/>
          <w:highlight w:val="none"/>
          <w:lang w:val="zh-CN"/>
        </w:rPr>
        <w:t>广州建设工程施工招标投标书</w:t>
      </w:r>
    </w:p>
    <w:tbl>
      <w:tblPr>
        <w:tblStyle w:val="40"/>
        <w:tblpPr w:leftFromText="180" w:rightFromText="180" w:vertAnchor="text" w:horzAnchor="margin" w:tblpXSpec="center" w:tblpY="275"/>
        <w:tblW w:w="9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8"/>
        <w:gridCol w:w="3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56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color w:val="auto"/>
                <w:sz w:val="24"/>
                <w:szCs w:val="24"/>
                <w:highlight w:val="none"/>
                <w:lang w:val="zh-CN"/>
              </w:rPr>
              <w:t>工程名称</w:t>
            </w:r>
          </w:p>
        </w:tc>
        <w:tc>
          <w:tcPr>
            <w:tcW w:w="3471"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56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color w:val="auto"/>
                <w:sz w:val="24"/>
                <w:szCs w:val="24"/>
                <w:highlight w:val="none"/>
                <w:lang w:val="zh-CN"/>
              </w:rPr>
              <w:t>投标总报价（元）</w:t>
            </w:r>
          </w:p>
        </w:tc>
        <w:tc>
          <w:tcPr>
            <w:tcW w:w="34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56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color w:val="auto"/>
                <w:sz w:val="24"/>
                <w:szCs w:val="24"/>
                <w:highlight w:val="none"/>
                <w:lang w:val="zh-CN"/>
              </w:rPr>
              <w:t>其中：</w:t>
            </w:r>
            <w:r>
              <w:rPr>
                <w:rFonts w:hint="eastAsia" w:ascii="宋体" w:hAnsi="宋体" w:eastAsia="宋体" w:cs="宋体"/>
                <w:b/>
                <w:bCs/>
                <w:color w:val="auto"/>
                <w:sz w:val="24"/>
                <w:szCs w:val="24"/>
                <w:highlight w:val="none"/>
                <w:lang w:val="zh-CN"/>
              </w:rPr>
              <w:t>人工费</w:t>
            </w:r>
            <w:r>
              <w:rPr>
                <w:rFonts w:hint="eastAsia" w:ascii="宋体" w:hAnsi="宋体" w:eastAsia="宋体" w:cs="宋体"/>
                <w:b/>
                <w:color w:val="auto"/>
                <w:sz w:val="24"/>
                <w:szCs w:val="24"/>
                <w:highlight w:val="none"/>
                <w:lang w:val="zh-CN"/>
              </w:rPr>
              <w:t>（元）</w:t>
            </w:r>
          </w:p>
        </w:tc>
        <w:tc>
          <w:tcPr>
            <w:tcW w:w="34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56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其中：</w:t>
            </w:r>
            <w:r>
              <w:rPr>
                <w:rFonts w:hint="eastAsia" w:ascii="宋体" w:hAnsi="宋体" w:eastAsia="宋体" w:cs="宋体"/>
                <w:b/>
                <w:color w:val="auto"/>
                <w:sz w:val="24"/>
                <w:szCs w:val="24"/>
                <w:highlight w:val="none"/>
                <w:lang w:val="zh-CN"/>
              </w:rPr>
              <w:t>绿色施工安全防护措施费（元）</w:t>
            </w:r>
          </w:p>
        </w:tc>
        <w:tc>
          <w:tcPr>
            <w:tcW w:w="34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5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投标总工期</w:t>
            </w:r>
          </w:p>
        </w:tc>
        <w:tc>
          <w:tcPr>
            <w:tcW w:w="3471"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56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zh-CN"/>
              </w:rPr>
              <w:t>工程质量标准</w:t>
            </w:r>
          </w:p>
        </w:tc>
        <w:tc>
          <w:tcPr>
            <w:tcW w:w="3471"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5638"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保修期限</w:t>
            </w:r>
          </w:p>
        </w:tc>
        <w:tc>
          <w:tcPr>
            <w:tcW w:w="3471"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hint="eastAsia" w:ascii="宋体" w:hAnsi="宋体" w:eastAsia="宋体" w:cs="宋体"/>
                <w:b/>
                <w:bCs/>
                <w:color w:val="auto"/>
                <w:sz w:val="24"/>
                <w:szCs w:val="24"/>
                <w:highlight w:val="none"/>
                <w:lang w:val="zh-CN"/>
              </w:rPr>
            </w:pPr>
          </w:p>
        </w:tc>
      </w:tr>
    </w:tbl>
    <w:p>
      <w:pPr>
        <w:rPr>
          <w:rFonts w:hint="eastAsia" w:ascii="宋体" w:hAnsi="宋体" w:eastAsia="宋体" w:cs="宋体"/>
          <w:color w:val="auto"/>
          <w:highlight w:val="none"/>
        </w:rPr>
      </w:pPr>
      <w:bookmarkStart w:id="803" w:name="_Toc5975583"/>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pPr>
        <w:rPr>
          <w:rFonts w:hint="eastAsia" w:ascii="宋体" w:hAnsi="宋体" w:eastAsia="宋体" w:cs="宋体"/>
          <w:color w:val="auto"/>
          <w:highlight w:val="none"/>
        </w:rPr>
      </w:pPr>
    </w:p>
    <w:bookmarkEnd w:id="803"/>
    <w:p>
      <w:pPr>
        <w:autoSpaceDE w:val="0"/>
        <w:autoSpaceDN w:val="0"/>
        <w:spacing w:line="360" w:lineRule="auto"/>
        <w:outlineLvl w:val="2"/>
        <w:rPr>
          <w:rFonts w:hint="eastAsia" w:ascii="宋体" w:hAnsi="宋体" w:eastAsia="宋体" w:cs="宋体"/>
          <w:bCs/>
          <w:color w:val="auto"/>
          <w:szCs w:val="21"/>
          <w:highlight w:val="none"/>
        </w:rPr>
      </w:pPr>
      <w:bookmarkStart w:id="804" w:name="_Toc5975584"/>
      <w:bookmarkStart w:id="805" w:name="_Toc28315"/>
      <w:bookmarkStart w:id="806" w:name="_Toc36568868"/>
      <w:r>
        <w:rPr>
          <w:rFonts w:hint="eastAsia" w:ascii="宋体" w:hAnsi="宋体" w:eastAsia="宋体" w:cs="宋体"/>
          <w:b/>
          <w:bCs/>
          <w:color w:val="auto"/>
          <w:spacing w:val="4"/>
          <w:kern w:val="0"/>
          <w:sz w:val="24"/>
          <w:szCs w:val="21"/>
          <w:highlight w:val="none"/>
          <w:lang w:val="zh-CN"/>
        </w:rPr>
        <w:t>格式三：参与编制技术标投标文件人员名单</w:t>
      </w:r>
      <w:bookmarkEnd w:id="804"/>
      <w:bookmarkEnd w:id="805"/>
      <w:bookmarkEnd w:id="806"/>
    </w:p>
    <w:p>
      <w:pPr>
        <w:tabs>
          <w:tab w:val="left" w:pos="720"/>
        </w:tabs>
        <w:snapToGrid w:val="0"/>
        <w:spacing w:line="360" w:lineRule="auto"/>
        <w:jc w:val="center"/>
        <w:rPr>
          <w:rFonts w:hint="eastAsia" w:ascii="宋体" w:hAnsi="宋体" w:eastAsia="宋体" w:cs="宋体"/>
          <w:b/>
          <w:color w:val="auto"/>
          <w:sz w:val="32"/>
          <w:szCs w:val="32"/>
          <w:highlight w:val="none"/>
        </w:rPr>
      </w:pPr>
    </w:p>
    <w:p>
      <w:pPr>
        <w:tabs>
          <w:tab w:val="left" w:pos="7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一、参与编制技术标投标文件人员名单</w:t>
      </w:r>
    </w:p>
    <w:tbl>
      <w:tblPr>
        <w:tblStyle w:val="40"/>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505"/>
        <w:gridCol w:w="2251"/>
        <w:gridCol w:w="250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9045" w:type="dxa"/>
            <w:gridSpan w:val="5"/>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所承担工作</w:t>
            </w: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身份证号码</w:t>
            </w: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u w:val="singl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99"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250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60" w:lineRule="auto"/>
              <w:jc w:val="center"/>
              <w:rPr>
                <w:rFonts w:hint="eastAsia" w:ascii="宋体" w:hAnsi="宋体" w:eastAsia="宋体" w:cs="宋体"/>
                <w:color w:val="auto"/>
                <w:szCs w:val="21"/>
                <w:highlight w:val="none"/>
              </w:rPr>
            </w:pPr>
          </w:p>
        </w:tc>
      </w:tr>
    </w:tbl>
    <w:p>
      <w:pPr>
        <w:tabs>
          <w:tab w:val="left" w:pos="720"/>
        </w:tabs>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注：参与编制技术标书所有人员名单应包括如编制技术投标方案、负责清样校对、负责打印及复印等所有人员在内的人员名单。</w:t>
      </w:r>
    </w:p>
    <w:p>
      <w:pPr>
        <w:autoSpaceDE w:val="0"/>
        <w:autoSpaceDN w:val="0"/>
        <w:adjustRightIn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56"/>
        <w:spacing w:beforeLines="0" w:afterLines="0" w:line="360" w:lineRule="auto"/>
        <w:rPr>
          <w:rFonts w:hint="eastAsia" w:ascii="宋体" w:hAnsi="宋体" w:eastAsia="宋体" w:cs="宋体"/>
          <w:color w:val="auto"/>
          <w:highlight w:val="none"/>
        </w:rPr>
      </w:pPr>
      <w:bookmarkStart w:id="807" w:name="_Toc5975585"/>
      <w:bookmarkStart w:id="808" w:name="_Toc36568869"/>
      <w:bookmarkStart w:id="809" w:name="_Toc14233"/>
      <w:r>
        <w:rPr>
          <w:rFonts w:hint="eastAsia" w:ascii="宋体" w:hAnsi="宋体" w:eastAsia="宋体" w:cs="宋体"/>
          <w:color w:val="auto"/>
          <w:highlight w:val="none"/>
        </w:rPr>
        <w:t>格式四：投标函</w:t>
      </w:r>
      <w:bookmarkEnd w:id="807"/>
      <w:r>
        <w:rPr>
          <w:rFonts w:hint="eastAsia" w:ascii="宋体" w:hAnsi="宋体" w:eastAsia="宋体" w:cs="宋体"/>
          <w:color w:val="auto"/>
          <w:highlight w:val="none"/>
        </w:rPr>
        <w:t>和承诺书</w:t>
      </w:r>
      <w:bookmarkEnd w:id="808"/>
      <w:bookmarkEnd w:id="809"/>
    </w:p>
    <w:p>
      <w:pPr>
        <w:pStyle w:val="214"/>
        <w:rPr>
          <w:rFonts w:hint="eastAsia" w:ascii="宋体" w:hAnsi="宋体" w:eastAsia="宋体" w:cs="宋体"/>
          <w:color w:val="auto"/>
          <w:highlight w:val="none"/>
        </w:rPr>
      </w:pPr>
      <w:r>
        <w:rPr>
          <w:rFonts w:hint="eastAsia" w:ascii="宋体" w:hAnsi="宋体" w:eastAsia="宋体" w:cs="宋体"/>
          <w:color w:val="auto"/>
          <w:highlight w:val="none"/>
        </w:rPr>
        <w:t>投 标 函</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（招标人名称） </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我方收到贵单位提供的</w:t>
      </w:r>
      <w:r>
        <w:rPr>
          <w:rFonts w:hint="eastAsia" w:ascii="宋体" w:hAnsi="宋体" w:eastAsia="宋体" w:cs="宋体"/>
          <w:color w:val="auto"/>
          <w:highlight w:val="none"/>
          <w:u w:val="single"/>
          <w:lang w:val="en-US"/>
        </w:rPr>
        <w:t xml:space="preserve">       （项目名称） </w:t>
      </w:r>
      <w:r>
        <w:rPr>
          <w:rFonts w:hint="eastAsia" w:ascii="宋体" w:hAnsi="宋体" w:eastAsia="宋体" w:cs="宋体"/>
          <w:color w:val="auto"/>
          <w:highlight w:val="none"/>
          <w:lang w:val="en-US"/>
        </w:rPr>
        <w:t>的招标文件的全部内容，我方：</w:t>
      </w:r>
      <w:r>
        <w:rPr>
          <w:rFonts w:hint="eastAsia" w:ascii="宋体" w:hAnsi="宋体" w:eastAsia="宋体" w:cs="宋体"/>
          <w:color w:val="auto"/>
          <w:highlight w:val="none"/>
          <w:u w:val="single"/>
          <w:lang w:val="en-US"/>
        </w:rPr>
        <w:t>（投标人名称）</w:t>
      </w:r>
      <w:r>
        <w:rPr>
          <w:rFonts w:hint="eastAsia" w:ascii="宋体" w:hAnsi="宋体" w:eastAsia="宋体" w:cs="宋体"/>
          <w:color w:val="auto"/>
          <w:highlight w:val="none"/>
          <w:lang w:val="en-US"/>
        </w:rPr>
        <w:t>正式授权</w:t>
      </w:r>
      <w:r>
        <w:rPr>
          <w:rFonts w:hint="eastAsia" w:ascii="宋体" w:hAnsi="宋体" w:eastAsia="宋体" w:cs="宋体"/>
          <w:color w:val="auto"/>
          <w:highlight w:val="none"/>
          <w:u w:val="single"/>
          <w:lang w:val="en-US"/>
        </w:rPr>
        <w:t>（授权代表全名，职务）</w:t>
      </w:r>
      <w:r>
        <w:rPr>
          <w:rFonts w:hint="eastAsia" w:ascii="宋体" w:hAnsi="宋体" w:eastAsia="宋体" w:cs="宋体"/>
          <w:color w:val="auto"/>
          <w:highlight w:val="none"/>
          <w:lang w:val="en-US"/>
        </w:rPr>
        <w:t>代表我方进行有关本次投标的一切事宜。</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在此提交电子投标文件。</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我方已完全明白招标文件的所有条款要求，并重申以下几点：</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1.我方已决定参加：</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val="en-US"/>
        </w:rPr>
        <w:t>（项目名称）</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rPr>
        <w:t>的投标，已详细研究了投标文件的所有内容包括澄清文件（如果有）和所有已收到的参考资料以及有关附件并完全明白, 我方放弃在此方面提出含糊意见或误解的一切权力。</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在研究了上述工程的施工合同条件、规范、图纸、参考设备材料清册、土建工程量清单以及附件后，我们，即文末签名人，兹按经济标书的报价，或根据上述条件可能确定的其它金额。我们愿意按照招标文件中的一切要求，提供投标文件及技术服务，实施并完成上述工程并修补其任何缺陷。</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3.如果我们的投标文件被接受，我们将履行招标文件中规定的每一项要求，按期、按质、按量完成合同规定的全部工程。</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4.我方同意按招标文件规定提交</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10</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rPr>
        <w:t>万元人民币的投标保证金。如果我们在本投标文件有效期内撤回投标文件；或在贵方发出中标通知书后的30天内未能或拒绝签订合同协议书，或未能提交履约担保，你方有权没收投标保证金，另选中标单位。</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5.如果我们中标，我们将保证按照你方认可的条件，按照投标报价的</w:t>
      </w:r>
      <w:r>
        <w:rPr>
          <w:rFonts w:hint="eastAsia" w:ascii="宋体" w:hAnsi="宋体" w:eastAsia="宋体" w:cs="宋体"/>
          <w:color w:val="auto"/>
          <w:highlight w:val="none"/>
          <w:u w:val="single"/>
          <w:lang w:val="en-US"/>
        </w:rPr>
        <w:t>10%</w:t>
      </w:r>
      <w:r>
        <w:rPr>
          <w:rFonts w:hint="eastAsia" w:ascii="宋体" w:hAnsi="宋体" w:eastAsia="宋体" w:cs="宋体"/>
          <w:color w:val="auto"/>
          <w:highlight w:val="none"/>
          <w:lang w:val="en-US"/>
        </w:rPr>
        <w:t>的金额提交履约担保。</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6. 本投标文件的有效期为投标截止日后90天内有效，如获中标权，有效期将延至合同终止日为止。</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7.在制定和执行一份正式合同协议书之前，本投标文件连同你方中标通知书，应构成我们双方之间有约束力的合同。</w:t>
      </w:r>
    </w:p>
    <w:p>
      <w:pPr>
        <w:pStyle w:val="94"/>
        <w:ind w:firstLine="496"/>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8. 我方理解贵方不一定接受最低报价或贵方可能收到的任何报价。</w:t>
      </w: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r>
        <w:rPr>
          <w:rFonts w:hint="eastAsia" w:ascii="宋体" w:hAnsi="宋体" w:eastAsia="宋体" w:cs="宋体"/>
          <w:color w:val="auto"/>
          <w:highlight w:val="none"/>
        </w:rPr>
        <w:t>投 标 人：（盖章）</w:t>
      </w:r>
    </w:p>
    <w:p>
      <w:pPr>
        <w:pStyle w:val="94"/>
        <w:ind w:firstLine="691" w:firstLineChars="279"/>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法定代表人或授权代理人（签字或盖章）：</w:t>
      </w:r>
    </w:p>
    <w:p>
      <w:pPr>
        <w:pStyle w:val="94"/>
        <w:ind w:firstLine="691" w:firstLineChars="279"/>
        <w:rPr>
          <w:rFonts w:hint="eastAsia" w:ascii="宋体" w:hAnsi="宋体" w:eastAsia="宋体" w:cs="宋体"/>
          <w:color w:val="auto"/>
          <w:highlight w:val="none"/>
        </w:rPr>
      </w:pPr>
      <w:r>
        <w:rPr>
          <w:rFonts w:hint="eastAsia" w:ascii="宋体" w:hAnsi="宋体" w:eastAsia="宋体" w:cs="宋体"/>
          <w:color w:val="auto"/>
          <w:highlight w:val="none"/>
        </w:rPr>
        <w:t xml:space="preserve">日    期：    年    月    日 </w:t>
      </w: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94"/>
        <w:ind w:firstLine="691" w:firstLineChars="279"/>
        <w:rPr>
          <w:rFonts w:hint="eastAsia" w:ascii="宋体" w:hAnsi="宋体" w:eastAsia="宋体" w:cs="宋体"/>
          <w:color w:val="auto"/>
          <w:highlight w:val="none"/>
        </w:rPr>
      </w:pPr>
    </w:p>
    <w:p>
      <w:pPr>
        <w:pStyle w:val="214"/>
        <w:keepNext w:val="0"/>
        <w:keepLines w:val="0"/>
        <w:pageBreakBefore w:val="0"/>
        <w:widowControl/>
        <w:kinsoku/>
        <w:wordWrap/>
        <w:overflowPunct/>
        <w:topLinePunct/>
        <w:autoSpaceDE/>
        <w:autoSpaceDN/>
        <w:bidi w:val="0"/>
        <w:adjustRightInd w:val="0"/>
        <w:snapToGrid w:val="0"/>
        <w:ind w:firstLine="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承  诺  书</w:t>
      </w:r>
    </w:p>
    <w:p>
      <w:pPr>
        <w:pStyle w:val="94"/>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b/>
          <w:snapToGrid w:val="0"/>
          <w:color w:val="auto"/>
          <w:highlight w:val="none"/>
        </w:rPr>
        <w:t>广州燃气集团有限公司</w:t>
      </w:r>
      <w:r>
        <w:rPr>
          <w:rFonts w:hint="eastAsia" w:ascii="宋体" w:hAnsi="宋体" w:eastAsia="宋体" w:cs="宋体"/>
          <w:color w:val="auto"/>
          <w:highlight w:val="none"/>
        </w:rPr>
        <w:t>：</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经详细阅读本工程招标文件、招标答疑纪要和踏勘现场，我公司已理解招标人对本招标项目工程管理的高标准及严格要求，在此，我公司郑重作出以下承诺：</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一、我公司已按投标须知第5条的要求完成了对现场的踏勘工作，已充分了解施工现场的条件。如若中标，我公司理解招标人向投标人提供的有关现场的数据和资料，是招标人现有的能被投标人利用的资料。招标人对投标人做出的任何推论、理解和结论均不需负任何的责任。我公司承诺不会因施工期间现场条件发生的任何阻碍而向招标人索赔工期或费用，并保证不因</w:t>
      </w:r>
      <w:bookmarkStart w:id="810" w:name="_Toc444607390"/>
      <w:bookmarkStart w:id="811" w:name="_Toc11044"/>
      <w:bookmarkStart w:id="812" w:name="_Toc24085"/>
      <w:r>
        <w:rPr>
          <w:rFonts w:hint="eastAsia" w:ascii="宋体" w:hAnsi="宋体" w:eastAsia="宋体" w:cs="宋体"/>
          <w:color w:val="auto"/>
          <w:highlight w:val="none"/>
        </w:rPr>
        <w:t>施工期间现</w:t>
      </w:r>
      <w:bookmarkEnd w:id="810"/>
      <w:r>
        <w:rPr>
          <w:rFonts w:hint="eastAsia" w:ascii="宋体" w:hAnsi="宋体" w:eastAsia="宋体" w:cs="宋体"/>
          <w:color w:val="auto"/>
          <w:highlight w:val="none"/>
        </w:rPr>
        <w:t>场条件发生的任何阻碍而影响投标承诺的竣工日期。</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二、我公司已全面细致熟悉、复核和理解本招标项目招标时的所有图纸、资料和设计文件，已完全理解本工程的特点和设计意图。经认真审查，我公司认为本招标项目图纸、资料和设计文件完整，不存在错项、漏项的情况，满足和符合施工要求；如工程实施过程中发生因上述图纸、资料和设计文件不完整而导致的变更，我公司承诺在不影响工程顺利推进的前提下，及时主动报招标人审批同意，其中因我公司原因而发生的，我公司承诺不要求增加任何费用。</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三、经认真审查，我公司认为本招标项目图纸、资料和设计文件中不存在不能施工、不便于施工的技术问题；施工期间如仍需发生施工工艺、重大技术方案的调整，我公司承诺在不影响工程顺利推进的前提下，及时主动报招标人审批同意，其中因我公司原因而发生的，我公司承诺不要求增加任何费用。</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四、经认真进行市场调查，我公司承诺本招标项目材料、设备来源有保证，可按投标承诺及时组织到货，无需代换，图纸、资料和设计文件中所要求的条件我公司全部能够满足。</w:t>
      </w:r>
    </w:p>
    <w:p>
      <w:pPr>
        <w:pStyle w:val="94"/>
        <w:ind w:firstLine="496"/>
        <w:rPr>
          <w:rFonts w:hint="eastAsia" w:ascii="宋体" w:hAnsi="宋体" w:eastAsia="宋体" w:cs="宋体"/>
          <w:color w:val="auto"/>
          <w:spacing w:val="2"/>
          <w:position w:val="2"/>
          <w:highlight w:val="none"/>
        </w:rPr>
      </w:pPr>
      <w:r>
        <w:rPr>
          <w:rFonts w:hint="eastAsia" w:ascii="宋体" w:hAnsi="宋体" w:eastAsia="宋体" w:cs="宋体"/>
          <w:color w:val="auto"/>
          <w:highlight w:val="none"/>
        </w:rPr>
        <w:t>五、</w:t>
      </w:r>
      <w:r>
        <w:rPr>
          <w:rFonts w:hint="eastAsia" w:ascii="宋体" w:hAnsi="宋体" w:eastAsia="宋体" w:cs="宋体"/>
          <w:color w:val="auto"/>
          <w:spacing w:val="2"/>
          <w:position w:val="2"/>
          <w:highlight w:val="none"/>
        </w:rPr>
        <w:t>鉴于本工程的重要性、复杂性和工期的紧迫性，为确保按时、按质完成本工程的施工任务，我公司经慎重考虑，承诺按招标文件的要求投入人员。否则，按合同约定处理，并承担违约责任。</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六、我公司已充分阅读并理解招标文件第三章合同格式的所有内容，且对合同条款相关疑问已在投标阶段时提出。如果我公司的投标被接受，将保证按招标文件规定的时间及合同条款与贵中心签订合同，且在办理合同签订手续时积极主动配合招标人，不提出任何违反招标文件合同条款精神的任何书面要求和疑问。</w:t>
      </w:r>
    </w:p>
    <w:p>
      <w:pPr>
        <w:pStyle w:val="94"/>
        <w:ind w:firstLine="472"/>
        <w:rPr>
          <w:rFonts w:hint="eastAsia" w:ascii="宋体" w:hAnsi="宋体" w:eastAsia="宋体" w:cs="宋体"/>
          <w:color w:val="auto"/>
          <w:spacing w:val="-2"/>
          <w:highlight w:val="none"/>
        </w:rPr>
      </w:pPr>
      <w:r>
        <w:rPr>
          <w:rFonts w:hint="eastAsia" w:ascii="宋体" w:hAnsi="宋体" w:eastAsia="宋体" w:cs="宋体"/>
          <w:color w:val="auto"/>
          <w:spacing w:val="-2"/>
          <w:highlight w:val="none"/>
        </w:rPr>
        <w:t>七、我公司保证本工程文明施工和职业健康安全管理方案完全满足国家、省、市政府、主管部门颁布的安全生产规程与规定，完全满足《建筑施工安全检查标准》（JGJ59-2011）、《广州市建设工程现场文明施工管理办法》（穗建质[2008]937号）、《广州市城乡建设委员会关于印发广州市加强建筑工地环保管理工作方案的通知(穗建质〔2014〕754号)》、《广东省建设工程施工扬尘污染防治管理办法（试行）》（粤办函【2017】708号）、《广东省住房和城乡建设厅关于采取切实措施坚决遏制施工扬尘污染的紧急通知》（粤建电发【2018】20号）、《广东省房屋建筑和市政基础设施工程用工实名管理暂行办法》（粤建规范【2018】1号）、</w:t>
      </w:r>
      <w:bookmarkEnd w:id="811"/>
      <w:bookmarkEnd w:id="812"/>
      <w:r>
        <w:rPr>
          <w:rFonts w:hint="eastAsia" w:ascii="宋体" w:hAnsi="宋体" w:eastAsia="宋体" w:cs="宋体"/>
          <w:color w:val="auto"/>
          <w:spacing w:val="-2"/>
          <w:highlight w:val="none"/>
        </w:rPr>
        <w:t>《广州市提</w:t>
      </w:r>
      <w:r>
        <w:rPr>
          <w:rFonts w:hint="eastAsia" w:ascii="宋体" w:hAnsi="宋体" w:eastAsia="宋体" w:cs="宋体"/>
          <w:bCs/>
          <w:color w:val="auto"/>
          <w:highlight w:val="none"/>
        </w:rPr>
        <w:t>升建设工程安全文明施工管理水平的工作指引》（穗建质[2017]815号）</w:t>
      </w:r>
      <w:r>
        <w:rPr>
          <w:rFonts w:hint="eastAsia" w:ascii="宋体" w:hAnsi="宋体" w:eastAsia="宋体" w:cs="宋体"/>
          <w:color w:val="auto"/>
          <w:spacing w:val="-2"/>
          <w:highlight w:val="none"/>
        </w:rPr>
        <w:t>和《广州市建筑工程安全生产措施费管理办法》（穗建筑[2003]106号）等各项规定和招标文件要求。否则，愿意无条件接受招标人的任何处罚，直至被清退出场，并为此承担相应的法律责任。</w:t>
      </w:r>
    </w:p>
    <w:p>
      <w:pPr>
        <w:pStyle w:val="94"/>
        <w:ind w:firstLine="472"/>
        <w:rPr>
          <w:rFonts w:hint="eastAsia" w:ascii="宋体" w:hAnsi="宋体" w:eastAsia="宋体" w:cs="宋体"/>
          <w:bCs/>
          <w:color w:val="auto"/>
          <w:spacing w:val="-2"/>
          <w:highlight w:val="none"/>
        </w:rPr>
      </w:pPr>
      <w:r>
        <w:rPr>
          <w:rFonts w:hint="eastAsia" w:ascii="宋体" w:hAnsi="宋体" w:eastAsia="宋体" w:cs="宋体"/>
          <w:bCs/>
          <w:color w:val="auto"/>
          <w:spacing w:val="-2"/>
          <w:highlight w:val="none"/>
        </w:rPr>
        <w:t>八、</w:t>
      </w:r>
      <w:r>
        <w:rPr>
          <w:rFonts w:hint="eastAsia" w:ascii="宋体" w:hAnsi="宋体" w:eastAsia="宋体" w:cs="宋体"/>
          <w:color w:val="auto"/>
          <w:spacing w:val="-2"/>
          <w:highlight w:val="none"/>
        </w:rPr>
        <w:t>我公司保证本工程竣工验收、竣</w:t>
      </w:r>
      <w:bookmarkStart w:id="813" w:name="_Toc12740"/>
      <w:bookmarkStart w:id="814" w:name="_Toc29194"/>
      <w:r>
        <w:rPr>
          <w:rFonts w:hint="eastAsia" w:ascii="宋体" w:hAnsi="宋体" w:eastAsia="宋体" w:cs="宋体"/>
          <w:color w:val="auto"/>
          <w:spacing w:val="-2"/>
          <w:highlight w:val="none"/>
        </w:rPr>
        <w:t>工资料和竣工备案管理完</w:t>
      </w:r>
      <w:bookmarkEnd w:id="813"/>
      <w:bookmarkEnd w:id="814"/>
      <w:r>
        <w:rPr>
          <w:rFonts w:hint="eastAsia" w:ascii="宋体" w:hAnsi="宋体" w:eastAsia="宋体" w:cs="宋体"/>
          <w:color w:val="auto"/>
          <w:spacing w:val="-2"/>
          <w:highlight w:val="none"/>
        </w:rPr>
        <w:t>全符合</w:t>
      </w:r>
      <w:bookmarkStart w:id="815" w:name="_Toc1899"/>
      <w:bookmarkStart w:id="816" w:name="_Toc7603"/>
      <w:r>
        <w:rPr>
          <w:rFonts w:hint="eastAsia" w:ascii="宋体" w:hAnsi="宋体" w:eastAsia="宋体" w:cs="宋体"/>
          <w:color w:val="auto"/>
          <w:spacing w:val="-2"/>
          <w:highlight w:val="none"/>
        </w:rPr>
        <w:t>国家、省、市政府、</w:t>
      </w:r>
      <w:bookmarkEnd w:id="815"/>
      <w:bookmarkEnd w:id="816"/>
      <w:r>
        <w:rPr>
          <w:rFonts w:hint="eastAsia" w:ascii="宋体" w:hAnsi="宋体" w:eastAsia="宋体" w:cs="宋体"/>
          <w:color w:val="auto"/>
          <w:spacing w:val="-2"/>
          <w:highlight w:val="none"/>
        </w:rPr>
        <w:t>主管部门颁布的竣工验收和档案管理各项规定及招标文件中提出的各项管理要求。</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九、我公司保证在本项目投标中不存在围标、串标等违法、违规行为，如经招标监管部门查实存在上述行为，我公司同意由招标人没收我公司提交的投标保证金，并对由此造成的后果承担相应的法律责任。</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十、如果我公司中标</w:t>
      </w:r>
      <w:bookmarkStart w:id="817" w:name="_Toc12063"/>
      <w:bookmarkStart w:id="818" w:name="_Toc4034"/>
      <w:r>
        <w:rPr>
          <w:rFonts w:hint="eastAsia" w:ascii="宋体" w:hAnsi="宋体" w:eastAsia="宋体" w:cs="宋体"/>
          <w:color w:val="auto"/>
          <w:highlight w:val="none"/>
        </w:rPr>
        <w:t>，我公司保证实际投入本项目的人员、材料、机</w:t>
      </w:r>
      <w:bookmarkEnd w:id="817"/>
      <w:bookmarkEnd w:id="818"/>
      <w:r>
        <w:rPr>
          <w:rFonts w:hint="eastAsia" w:ascii="宋体" w:hAnsi="宋体" w:eastAsia="宋体" w:cs="宋体"/>
          <w:color w:val="auto"/>
          <w:highlight w:val="none"/>
        </w:rPr>
        <w:t>械、设备与我公司递交的投标文件一致，且不低于本项目招标文件的要求。否则我公司将被视为存在弄虚作假骗取中标情形，贵中心有权拒绝我公司参与后续工程投标。</w:t>
      </w:r>
    </w:p>
    <w:p>
      <w:pPr>
        <w:pStyle w:val="94"/>
        <w:ind w:firstLine="496"/>
        <w:rPr>
          <w:rFonts w:hint="eastAsia" w:ascii="宋体" w:hAnsi="宋体" w:eastAsia="宋体" w:cs="宋体"/>
          <w:bCs/>
          <w:color w:val="auto"/>
          <w:highlight w:val="none"/>
        </w:rPr>
      </w:pPr>
      <w:r>
        <w:rPr>
          <w:rFonts w:hint="eastAsia" w:ascii="宋体" w:hAnsi="宋体" w:eastAsia="宋体" w:cs="宋体"/>
          <w:color w:val="auto"/>
          <w:highlight w:val="none"/>
        </w:rPr>
        <w:t>十一、如果我公司中标，我公司保证按招标文件第五章中“施工项目管理团队人员信息表”中的人员在进场前准时参加招标人组织的面试考核。若不满足招标文件要求或考核不通过，我公司承诺无条件按招标人的要求进行更换，直至招标人满意为止。</w:t>
      </w:r>
      <w:r>
        <w:rPr>
          <w:rFonts w:hint="eastAsia" w:ascii="宋体" w:hAnsi="宋体" w:eastAsia="宋体" w:cs="宋体"/>
          <w:bCs/>
          <w:color w:val="auto"/>
          <w:highlight w:val="none"/>
        </w:rPr>
        <w:t>经招</w:t>
      </w:r>
      <w:bookmarkStart w:id="819" w:name="_Toc18749"/>
      <w:bookmarkStart w:id="820" w:name="_Toc7328"/>
      <w:r>
        <w:rPr>
          <w:rFonts w:hint="eastAsia" w:ascii="宋体" w:hAnsi="宋体" w:eastAsia="宋体" w:cs="宋体"/>
          <w:bCs/>
          <w:color w:val="auto"/>
          <w:highlight w:val="none"/>
        </w:rPr>
        <w:t>标人和总监理工程师考核，</w:t>
      </w:r>
      <w:bookmarkEnd w:id="819"/>
      <w:bookmarkEnd w:id="820"/>
      <w:r>
        <w:rPr>
          <w:rFonts w:hint="eastAsia" w:ascii="宋体" w:hAnsi="宋体" w:eastAsia="宋体" w:cs="宋体"/>
          <w:bCs/>
          <w:color w:val="auto"/>
          <w:highlight w:val="none"/>
        </w:rPr>
        <w:t>我公司未按投标文件投入主要人员或经过更换后的人员不能满足本项目要求的，</w:t>
      </w:r>
      <w:bookmarkStart w:id="821" w:name="_Toc19075"/>
      <w:bookmarkStart w:id="822" w:name="_Toc24951"/>
      <w:r>
        <w:rPr>
          <w:rFonts w:hint="eastAsia" w:ascii="宋体" w:hAnsi="宋体" w:eastAsia="宋体" w:cs="宋体"/>
          <w:bCs/>
          <w:color w:val="auto"/>
          <w:highlight w:val="none"/>
        </w:rPr>
        <w:t>我公司承诺除无条件按招标人的要求更换外，还</w:t>
      </w:r>
      <w:bookmarkEnd w:id="821"/>
      <w:bookmarkEnd w:id="822"/>
      <w:r>
        <w:rPr>
          <w:rFonts w:hint="eastAsia" w:ascii="宋体" w:hAnsi="宋体" w:eastAsia="宋体" w:cs="宋体"/>
          <w:bCs/>
          <w:color w:val="auto"/>
          <w:highlight w:val="none"/>
        </w:rPr>
        <w:t>应按合同约定的金额向招标人支付违约金。</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十二、如果我公司中标，对招标人、监理人为确保工程质量管理和工程进度而下达的调整项目经理部组成人员的指令、通知，我公司承诺无条件地在限期内执行并调整到位。</w:t>
      </w:r>
    </w:p>
    <w:p>
      <w:pPr>
        <w:pStyle w:val="94"/>
        <w:ind w:firstLine="496"/>
        <w:rPr>
          <w:rFonts w:hint="eastAsia" w:ascii="宋体" w:hAnsi="宋体" w:eastAsia="宋体" w:cs="宋体"/>
          <w:color w:val="auto"/>
          <w:highlight w:val="none"/>
        </w:rPr>
      </w:pPr>
      <w:bookmarkStart w:id="823" w:name="_Toc386995907"/>
      <w:bookmarkStart w:id="824" w:name="_Toc3873"/>
      <w:r>
        <w:rPr>
          <w:rFonts w:hint="eastAsia" w:ascii="宋体" w:hAnsi="宋体" w:eastAsia="宋体" w:cs="宋体"/>
          <w:color w:val="auto"/>
          <w:highlight w:val="none"/>
        </w:rPr>
        <w:t>十三、如果我公司中标，我公司保证在规定时间内按招标人要求提交详细的施工组织设计并应用于实际施工过程中，且保证该施工组织设</w:t>
      </w:r>
      <w:bookmarkEnd w:id="823"/>
      <w:bookmarkEnd w:id="824"/>
      <w:r>
        <w:rPr>
          <w:rFonts w:hint="eastAsia" w:ascii="宋体" w:hAnsi="宋体" w:eastAsia="宋体" w:cs="宋体"/>
          <w:color w:val="auto"/>
          <w:highlight w:val="none"/>
        </w:rPr>
        <w:t>计</w:t>
      </w:r>
      <w:bookmarkStart w:id="825" w:name="_Toc426030442"/>
      <w:bookmarkStart w:id="826" w:name="_Toc464131244"/>
      <w:bookmarkStart w:id="827" w:name="_Toc405383088"/>
      <w:r>
        <w:rPr>
          <w:rFonts w:hint="eastAsia" w:ascii="宋体" w:hAnsi="宋体" w:eastAsia="宋体" w:cs="宋体"/>
          <w:color w:val="auto"/>
          <w:highlight w:val="none"/>
        </w:rPr>
        <w:t>不低于本投标</w:t>
      </w:r>
      <w:bookmarkEnd w:id="825"/>
      <w:bookmarkEnd w:id="826"/>
      <w:bookmarkEnd w:id="827"/>
      <w:r>
        <w:rPr>
          <w:rFonts w:hint="eastAsia" w:ascii="宋体" w:hAnsi="宋体" w:eastAsia="宋体" w:cs="宋体"/>
          <w:color w:val="auto"/>
          <w:highlight w:val="none"/>
        </w:rPr>
        <w:t>文件中施工组织设计</w:t>
      </w:r>
      <w:bookmarkStart w:id="828" w:name="_Toc420914100"/>
      <w:r>
        <w:rPr>
          <w:rFonts w:hint="eastAsia" w:ascii="宋体" w:hAnsi="宋体" w:eastAsia="宋体" w:cs="宋体"/>
          <w:color w:val="auto"/>
          <w:highlight w:val="none"/>
        </w:rPr>
        <w:t>所承诺的标准，并无条件根据招标人的要求修改完善。如违反上述承诺，由此引起的质量、工期、安全等相关责任完全由我公司承担，愿意无条件接受招标人的任何处罚，直至被清退出场，并为此承担相应的法律责任。</w:t>
      </w:r>
    </w:p>
    <w:p>
      <w:pPr>
        <w:pStyle w:val="94"/>
        <w:ind w:firstLine="496"/>
        <w:rPr>
          <w:rFonts w:hint="eastAsia" w:ascii="宋体" w:hAnsi="宋体" w:eastAsia="宋体" w:cs="宋体"/>
          <w:color w:val="auto"/>
          <w:spacing w:val="-4"/>
          <w:szCs w:val="21"/>
          <w:highlight w:val="none"/>
        </w:rPr>
      </w:pPr>
      <w:r>
        <w:rPr>
          <w:rFonts w:hint="eastAsia" w:ascii="宋体" w:hAnsi="宋体" w:eastAsia="宋体" w:cs="宋体"/>
          <w:color w:val="auto"/>
          <w:highlight w:val="none"/>
        </w:rPr>
        <w:t>十四、</w:t>
      </w:r>
      <w:r>
        <w:rPr>
          <w:rFonts w:hint="eastAsia" w:ascii="宋体" w:hAnsi="宋体" w:eastAsia="宋体" w:cs="宋体"/>
          <w:color w:val="auto"/>
          <w:spacing w:val="-4"/>
          <w:szCs w:val="21"/>
          <w:highlight w:val="none"/>
        </w:rPr>
        <w:t>如我公司中标，我公司承诺本项目的主要材料设备的选用严格按照发包人看样定板的规定执行，选用的材料设备的品牌、档次、</w:t>
      </w:r>
      <w:bookmarkEnd w:id="828"/>
      <w:r>
        <w:rPr>
          <w:rFonts w:hint="eastAsia" w:ascii="宋体" w:hAnsi="宋体" w:eastAsia="宋体" w:cs="宋体"/>
          <w:color w:val="auto"/>
          <w:spacing w:val="-4"/>
          <w:szCs w:val="21"/>
          <w:highlight w:val="none"/>
        </w:rPr>
        <w:t>技术参数需满足或优于标文件要求，且不以任何理由调整中标的材料、设备价格。</w:t>
      </w:r>
    </w:p>
    <w:p>
      <w:pPr>
        <w:pStyle w:val="94"/>
        <w:ind w:firstLine="464"/>
        <w:rPr>
          <w:rFonts w:hint="eastAsia" w:ascii="宋体" w:hAnsi="宋体" w:eastAsia="宋体" w:cs="宋体"/>
          <w:color w:val="auto"/>
          <w:spacing w:val="-4"/>
          <w:szCs w:val="21"/>
          <w:highlight w:val="none"/>
        </w:rPr>
      </w:pPr>
      <w:r>
        <w:rPr>
          <w:rFonts w:hint="eastAsia" w:ascii="宋体" w:hAnsi="宋体" w:eastAsia="宋体" w:cs="宋体"/>
          <w:color w:val="auto"/>
          <w:spacing w:val="-4"/>
          <w:szCs w:val="21"/>
          <w:highlight w:val="none"/>
        </w:rPr>
        <w:t>十五、</w:t>
      </w:r>
      <w:r>
        <w:rPr>
          <w:rFonts w:hint="eastAsia" w:ascii="宋体" w:hAnsi="宋体" w:eastAsia="宋体" w:cs="宋体"/>
          <w:color w:val="auto"/>
          <w:highlight w:val="none"/>
        </w:rPr>
        <w:t>我方承诺响应本招标文件第五章技术条件的要求，包括但不限于：工期进度要求、项目管理人员配备要求、投入机械设备和相关工作要求表上面的内容，如我方未能按照以上要求开展工作，我方无条件接受招标人的处罚并承担由此对招标人造成的损失。</w:t>
      </w:r>
    </w:p>
    <w:p>
      <w:pPr>
        <w:pStyle w:val="94"/>
        <w:ind w:firstLine="496"/>
        <w:rPr>
          <w:rFonts w:hint="eastAsia" w:ascii="宋体" w:hAnsi="宋体" w:eastAsia="宋体" w:cs="宋体"/>
          <w:color w:val="auto"/>
          <w:highlight w:val="none"/>
        </w:rPr>
      </w:pPr>
      <w:r>
        <w:rPr>
          <w:rFonts w:hint="eastAsia" w:ascii="宋体" w:hAnsi="宋体" w:eastAsia="宋体" w:cs="宋体"/>
          <w:color w:val="auto"/>
          <w:highlight w:val="none"/>
        </w:rPr>
        <w:t>十六、我公司承诺选用绿色生产达标企业生产的混凝土。</w:t>
      </w:r>
    </w:p>
    <w:p>
      <w:pPr>
        <w:pStyle w:val="94"/>
        <w:ind w:firstLine="3472" w:firstLineChars="1400"/>
        <w:rPr>
          <w:rFonts w:hint="eastAsia" w:ascii="宋体" w:hAnsi="宋体" w:eastAsia="宋体" w:cs="宋体"/>
          <w:color w:val="auto"/>
          <w:highlight w:val="none"/>
        </w:rPr>
      </w:pPr>
    </w:p>
    <w:p>
      <w:pPr>
        <w:pStyle w:val="94"/>
        <w:ind w:firstLine="3472" w:firstLineChars="1400"/>
        <w:rPr>
          <w:rFonts w:hint="eastAsia" w:ascii="宋体" w:hAnsi="宋体" w:eastAsia="宋体" w:cs="宋体"/>
          <w:color w:val="auto"/>
          <w:highlight w:val="none"/>
        </w:rPr>
      </w:pPr>
      <w:r>
        <w:rPr>
          <w:rFonts w:hint="eastAsia" w:ascii="宋体" w:hAnsi="宋体" w:eastAsia="宋体" w:cs="宋体"/>
          <w:color w:val="auto"/>
          <w:highlight w:val="none"/>
        </w:rPr>
        <w:t>投标人：　　（盖章）</w:t>
      </w:r>
    </w:p>
    <w:p>
      <w:pPr>
        <w:pStyle w:val="94"/>
        <w:ind w:firstLine="3472" w:firstLineChars="140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法定代表人或授权代理人(签字或盖章)：</w:t>
      </w:r>
    </w:p>
    <w:p>
      <w:pPr>
        <w:pStyle w:val="94"/>
        <w:ind w:firstLine="3472" w:firstLineChars="1400"/>
        <w:rPr>
          <w:rFonts w:hint="eastAsia" w:ascii="宋体" w:hAnsi="宋体" w:eastAsia="宋体" w:cs="宋体"/>
          <w:color w:val="auto"/>
          <w:highlight w:val="none"/>
        </w:rPr>
      </w:pPr>
      <w:r>
        <w:rPr>
          <w:rFonts w:hint="eastAsia" w:ascii="宋体" w:hAnsi="宋体" w:eastAsia="宋体" w:cs="宋体"/>
          <w:color w:val="auto"/>
          <w:highlight w:val="none"/>
        </w:rPr>
        <w:t>日期：    年    月    日</w:t>
      </w:r>
      <w:bookmarkStart w:id="829" w:name="_Toc524509513"/>
      <w:bookmarkStart w:id="830" w:name="_Toc11083"/>
    </w:p>
    <w:p>
      <w:pPr>
        <w:rPr>
          <w:rFonts w:hint="eastAsia" w:ascii="宋体" w:hAnsi="宋体" w:eastAsia="宋体" w:cs="宋体"/>
          <w:color w:val="auto"/>
          <w:highlight w:val="none"/>
        </w:rPr>
      </w:pPr>
      <w:bookmarkStart w:id="831" w:name="_Toc5975586"/>
      <w:bookmarkStart w:id="832" w:name="_Toc36568870"/>
      <w:r>
        <w:rPr>
          <w:rFonts w:hint="eastAsia" w:ascii="宋体" w:hAnsi="宋体" w:eastAsia="宋体" w:cs="宋体"/>
          <w:color w:val="auto"/>
          <w:highlight w:val="none"/>
        </w:rPr>
        <w:br w:type="page"/>
      </w:r>
    </w:p>
    <w:p>
      <w:pPr>
        <w:pStyle w:val="256"/>
        <w:spacing w:before="156" w:after="156"/>
        <w:rPr>
          <w:rFonts w:hint="eastAsia" w:ascii="宋体" w:hAnsi="宋体" w:eastAsia="宋体" w:cs="宋体"/>
          <w:color w:val="auto"/>
          <w:highlight w:val="none"/>
        </w:rPr>
      </w:pPr>
      <w:bookmarkStart w:id="833" w:name="_Toc29586"/>
      <w:r>
        <w:rPr>
          <w:rFonts w:hint="eastAsia" w:ascii="宋体" w:hAnsi="宋体" w:eastAsia="宋体" w:cs="宋体"/>
          <w:color w:val="auto"/>
          <w:highlight w:val="none"/>
        </w:rPr>
        <w:t>格式五：施工项目管理团队人员信息表</w:t>
      </w:r>
      <w:bookmarkEnd w:id="829"/>
      <w:bookmarkEnd w:id="830"/>
      <w:bookmarkEnd w:id="831"/>
      <w:bookmarkEnd w:id="832"/>
      <w:bookmarkEnd w:id="833"/>
    </w:p>
    <w:p>
      <w:pPr>
        <w:pStyle w:val="214"/>
        <w:ind w:firstLine="616"/>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施工项目管理团队人员信息表</w:t>
      </w:r>
    </w:p>
    <w:tbl>
      <w:tblPr>
        <w:tblStyle w:val="40"/>
        <w:tblW w:w="8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44"/>
        <w:gridCol w:w="960"/>
        <w:gridCol w:w="741"/>
        <w:gridCol w:w="709"/>
        <w:gridCol w:w="709"/>
        <w:gridCol w:w="708"/>
        <w:gridCol w:w="1428"/>
        <w:gridCol w:w="1124"/>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844"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960"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性别</w:t>
            </w:r>
          </w:p>
        </w:tc>
        <w:tc>
          <w:tcPr>
            <w:tcW w:w="741"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年龄</w:t>
            </w:r>
          </w:p>
        </w:tc>
        <w:tc>
          <w:tcPr>
            <w:tcW w:w="709"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岗位</w:t>
            </w:r>
          </w:p>
        </w:tc>
        <w:tc>
          <w:tcPr>
            <w:tcW w:w="709"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708"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专业</w:t>
            </w:r>
          </w:p>
        </w:tc>
        <w:tc>
          <w:tcPr>
            <w:tcW w:w="1428"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职称证书或资格证书编号</w:t>
            </w:r>
          </w:p>
        </w:tc>
        <w:tc>
          <w:tcPr>
            <w:tcW w:w="1124"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从事工程工作年限</w:t>
            </w:r>
          </w:p>
        </w:tc>
        <w:tc>
          <w:tcPr>
            <w:tcW w:w="1124" w:type="dxa"/>
            <w:tcBorders>
              <w:top w:val="single" w:color="auto" w:sz="4" w:space="0"/>
              <w:left w:val="single" w:color="auto" w:sz="4" w:space="0"/>
              <w:bottom w:val="single" w:color="auto" w:sz="4" w:space="0"/>
              <w:right w:val="single" w:color="auto" w:sz="4" w:space="0"/>
            </w:tcBorders>
            <w:vAlign w:val="center"/>
          </w:tcPr>
          <w:p>
            <w:pPr>
              <w:pStyle w:val="228"/>
              <w:jc w:val="both"/>
              <w:rPr>
                <w:rFonts w:hint="eastAsia" w:ascii="宋体" w:hAnsi="宋体" w:eastAsia="宋体" w:cs="宋体"/>
                <w:color w:val="auto"/>
                <w:highlight w:val="none"/>
              </w:rPr>
            </w:pPr>
            <w:r>
              <w:rPr>
                <w:rFonts w:hint="eastAsia" w:ascii="宋体" w:hAnsi="宋体" w:eastAsia="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54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844"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960"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41"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70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428" w:type="dxa"/>
            <w:tcBorders>
              <w:top w:val="single" w:color="auto" w:sz="4" w:space="0"/>
              <w:left w:val="single" w:color="auto" w:sz="4" w:space="0"/>
              <w:bottom w:val="single" w:color="auto" w:sz="4" w:space="0"/>
              <w:right w:val="single" w:color="auto" w:sz="4" w:space="0"/>
            </w:tcBorders>
            <w:vAlign w:val="center"/>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c>
          <w:tcPr>
            <w:tcW w:w="1124" w:type="dxa"/>
            <w:tcBorders>
              <w:top w:val="single" w:color="auto" w:sz="4" w:space="0"/>
              <w:left w:val="single" w:color="auto" w:sz="4" w:space="0"/>
              <w:bottom w:val="single" w:color="auto" w:sz="4" w:space="0"/>
              <w:right w:val="single" w:color="auto" w:sz="4" w:space="0"/>
            </w:tcBorders>
          </w:tcPr>
          <w:p>
            <w:pPr>
              <w:pStyle w:val="94"/>
              <w:ind w:firstLine="496"/>
              <w:rPr>
                <w:rFonts w:hint="eastAsia" w:ascii="宋体" w:hAnsi="宋体" w:eastAsia="宋体" w:cs="宋体"/>
                <w:snapToGrid w:val="0"/>
                <w:color w:val="auto"/>
                <w:highlight w:val="none"/>
                <w:lang w:val="en-US"/>
              </w:rPr>
            </w:pPr>
          </w:p>
        </w:tc>
      </w:tr>
    </w:tbl>
    <w:p>
      <w:pPr>
        <w:pStyle w:val="94"/>
        <w:spacing w:line="240" w:lineRule="auto"/>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注：附相关的证明材料。</w:t>
      </w:r>
    </w:p>
    <w:p>
      <w:pPr>
        <w:pStyle w:val="94"/>
        <w:spacing w:line="360" w:lineRule="exact"/>
        <w:ind w:firstLine="3596" w:firstLineChars="1450"/>
        <w:rPr>
          <w:rFonts w:hint="eastAsia" w:ascii="宋体" w:hAnsi="宋体" w:eastAsia="宋体" w:cs="宋体"/>
          <w:color w:val="auto"/>
          <w:highlight w:val="none"/>
        </w:rPr>
      </w:pPr>
      <w:r>
        <w:rPr>
          <w:rFonts w:hint="eastAsia" w:ascii="宋体" w:hAnsi="宋体" w:eastAsia="宋体" w:cs="宋体"/>
          <w:color w:val="auto"/>
          <w:highlight w:val="none"/>
        </w:rPr>
        <w:t>投标人：　　（盖章）</w:t>
      </w:r>
    </w:p>
    <w:p>
      <w:pPr>
        <w:pStyle w:val="94"/>
        <w:spacing w:line="360" w:lineRule="exact"/>
        <w:ind w:firstLine="3596" w:firstLineChars="145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法定代表人或授权代理人（签字或盖章）：</w:t>
      </w:r>
    </w:p>
    <w:p>
      <w:pPr>
        <w:pStyle w:val="94"/>
        <w:spacing w:line="360" w:lineRule="exact"/>
        <w:ind w:firstLine="3596" w:firstLineChars="1450"/>
        <w:rPr>
          <w:rFonts w:hint="eastAsia" w:ascii="宋体" w:hAnsi="宋体" w:eastAsia="宋体" w:cs="宋体"/>
          <w:color w:val="auto"/>
          <w:highlight w:val="none"/>
        </w:rPr>
      </w:pPr>
      <w:r>
        <w:rPr>
          <w:rFonts w:hint="eastAsia" w:ascii="宋体" w:hAnsi="宋体" w:eastAsia="宋体" w:cs="宋体"/>
          <w:color w:val="auto"/>
          <w:highlight w:val="none"/>
        </w:rPr>
        <w:t>日   期：    年    月    日</w:t>
      </w:r>
    </w:p>
    <w:p>
      <w:pPr>
        <w:rPr>
          <w:rFonts w:hint="eastAsia" w:ascii="宋体" w:hAnsi="宋体" w:eastAsia="宋体" w:cs="宋体"/>
          <w:color w:val="auto"/>
          <w:highlight w:val="none"/>
        </w:rPr>
      </w:pPr>
      <w:bookmarkStart w:id="834" w:name="_Toc524509514"/>
      <w:bookmarkStart w:id="835" w:name="_Toc5650"/>
    </w:p>
    <w:p>
      <w:pPr>
        <w:rPr>
          <w:rFonts w:hint="eastAsia" w:ascii="宋体" w:hAnsi="宋体" w:eastAsia="宋体" w:cs="宋体"/>
          <w:color w:val="auto"/>
          <w:highlight w:val="none"/>
        </w:rPr>
      </w:pPr>
      <w:bookmarkStart w:id="836" w:name="_Toc5975587"/>
      <w:bookmarkStart w:id="837" w:name="_Toc36568871"/>
    </w:p>
    <w:p>
      <w:pPr>
        <w:rPr>
          <w:rFonts w:hint="eastAsia" w:ascii="宋体" w:hAnsi="宋体" w:eastAsia="宋体" w:cs="宋体"/>
          <w:color w:val="auto"/>
          <w:highlight w:val="none"/>
        </w:rPr>
      </w:pPr>
    </w:p>
    <w:p>
      <w:pPr>
        <w:pStyle w:val="256"/>
        <w:spacing w:before="156" w:after="156"/>
        <w:rPr>
          <w:rFonts w:hint="eastAsia" w:ascii="宋体" w:hAnsi="宋体" w:eastAsia="宋体" w:cs="宋体"/>
          <w:color w:val="auto"/>
          <w:highlight w:val="none"/>
        </w:rPr>
      </w:pPr>
      <w:bookmarkStart w:id="838" w:name="_Toc3770"/>
      <w:r>
        <w:rPr>
          <w:rFonts w:hint="eastAsia" w:ascii="宋体" w:hAnsi="宋体" w:eastAsia="宋体" w:cs="宋体"/>
          <w:color w:val="auto"/>
          <w:highlight w:val="none"/>
        </w:rPr>
        <w:t>格式六：主要人员简历表</w:t>
      </w:r>
      <w:bookmarkEnd w:id="834"/>
      <w:bookmarkEnd w:id="835"/>
      <w:bookmarkEnd w:id="836"/>
      <w:bookmarkEnd w:id="837"/>
      <w:bookmarkEnd w:id="838"/>
    </w:p>
    <w:p>
      <w:pPr>
        <w:pStyle w:val="214"/>
        <w:rPr>
          <w:rFonts w:hint="eastAsia" w:ascii="宋体" w:hAnsi="宋体" w:eastAsia="宋体" w:cs="宋体"/>
          <w:color w:val="auto"/>
          <w:highlight w:val="none"/>
        </w:rPr>
      </w:pPr>
      <w:r>
        <w:rPr>
          <w:rFonts w:hint="eastAsia" w:ascii="宋体" w:hAnsi="宋体" w:eastAsia="宋体" w:cs="宋体"/>
          <w:color w:val="auto"/>
          <w:highlight w:val="none"/>
        </w:rPr>
        <w:t>主要人员简历表</w:t>
      </w:r>
    </w:p>
    <w:p>
      <w:pPr>
        <w:pStyle w:val="94"/>
        <w:ind w:firstLine="496"/>
        <w:jc w:val="center"/>
        <w:rPr>
          <w:rFonts w:hint="eastAsia" w:ascii="宋体" w:hAnsi="宋体" w:eastAsia="宋体" w:cs="宋体"/>
          <w:color w:val="auto"/>
          <w:highlight w:val="none"/>
        </w:rPr>
      </w:pPr>
      <w:r>
        <w:rPr>
          <w:rFonts w:hint="eastAsia" w:ascii="宋体" w:hAnsi="宋体" w:eastAsia="宋体" w:cs="宋体"/>
          <w:color w:val="auto"/>
          <w:highlight w:val="none"/>
        </w:rPr>
        <w:t>（项目负责人、技术负责人、安全员）</w:t>
      </w:r>
    </w:p>
    <w:tbl>
      <w:tblPr>
        <w:tblStyle w:val="40"/>
        <w:tblW w:w="9270" w:type="dxa"/>
        <w:jc w:val="center"/>
        <w:tblInd w:w="0" w:type="dxa"/>
        <w:tblLayout w:type="fixed"/>
        <w:tblCellMar>
          <w:top w:w="0" w:type="dxa"/>
          <w:left w:w="28" w:type="dxa"/>
          <w:bottom w:w="0" w:type="dxa"/>
          <w:right w:w="28" w:type="dxa"/>
        </w:tblCellMar>
      </w:tblPr>
      <w:tblGrid>
        <w:gridCol w:w="889"/>
        <w:gridCol w:w="711"/>
        <w:gridCol w:w="906"/>
        <w:gridCol w:w="683"/>
        <w:gridCol w:w="691"/>
        <w:gridCol w:w="651"/>
        <w:gridCol w:w="264"/>
        <w:gridCol w:w="1032"/>
        <w:gridCol w:w="394"/>
        <w:gridCol w:w="1604"/>
        <w:gridCol w:w="152"/>
        <w:gridCol w:w="1293"/>
      </w:tblGrid>
      <w:tr>
        <w:tblPrEx>
          <w:tblLayout w:type="fixed"/>
          <w:tblCellMar>
            <w:top w:w="0" w:type="dxa"/>
            <w:left w:w="28" w:type="dxa"/>
            <w:bottom w:w="0" w:type="dxa"/>
            <w:right w:w="28" w:type="dxa"/>
          </w:tblCellMar>
        </w:tblPrEx>
        <w:trPr>
          <w:trHeight w:val="812" w:hRule="atLeast"/>
          <w:jc w:val="center"/>
        </w:trPr>
        <w:tc>
          <w:tcPr>
            <w:tcW w:w="1600" w:type="dxa"/>
            <w:gridSpan w:val="2"/>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姓名</w:t>
            </w:r>
          </w:p>
        </w:tc>
        <w:tc>
          <w:tcPr>
            <w:tcW w:w="1589" w:type="dxa"/>
            <w:gridSpan w:val="2"/>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1342" w:type="dxa"/>
            <w:gridSpan w:val="2"/>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性别</w:t>
            </w:r>
          </w:p>
        </w:tc>
        <w:tc>
          <w:tcPr>
            <w:tcW w:w="1296" w:type="dxa"/>
            <w:gridSpan w:val="2"/>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2150" w:type="dxa"/>
            <w:gridSpan w:val="3"/>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技术职称</w:t>
            </w:r>
          </w:p>
        </w:tc>
        <w:tc>
          <w:tcPr>
            <w:tcW w:w="1293"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p>
        </w:tc>
      </w:tr>
      <w:tr>
        <w:tblPrEx>
          <w:tblLayout w:type="fixed"/>
          <w:tblCellMar>
            <w:top w:w="0" w:type="dxa"/>
            <w:left w:w="28" w:type="dxa"/>
            <w:bottom w:w="0" w:type="dxa"/>
            <w:right w:w="28" w:type="dxa"/>
          </w:tblCellMar>
        </w:tblPrEx>
        <w:trPr>
          <w:trHeight w:val="812" w:hRule="atLeast"/>
          <w:jc w:val="center"/>
        </w:trPr>
        <w:tc>
          <w:tcPr>
            <w:tcW w:w="1600" w:type="dxa"/>
            <w:gridSpan w:val="2"/>
            <w:tcBorders>
              <w:top w:val="single" w:color="auto" w:sz="6" w:space="0"/>
              <w:left w:val="single" w:color="auto" w:sz="4"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身份证号</w:t>
            </w:r>
          </w:p>
        </w:tc>
        <w:tc>
          <w:tcPr>
            <w:tcW w:w="1589"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1342"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学历</w:t>
            </w:r>
          </w:p>
        </w:tc>
        <w:tc>
          <w:tcPr>
            <w:tcW w:w="1296"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2150"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所学专业</w:t>
            </w:r>
          </w:p>
        </w:tc>
        <w:tc>
          <w:tcPr>
            <w:tcW w:w="1293"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p>
        </w:tc>
      </w:tr>
      <w:tr>
        <w:tblPrEx>
          <w:tblLayout w:type="fixed"/>
          <w:tblCellMar>
            <w:top w:w="0" w:type="dxa"/>
            <w:left w:w="28" w:type="dxa"/>
            <w:bottom w:w="0" w:type="dxa"/>
            <w:right w:w="28" w:type="dxa"/>
          </w:tblCellMar>
        </w:tblPrEx>
        <w:trPr>
          <w:trHeight w:val="812" w:hRule="atLeast"/>
          <w:jc w:val="center"/>
        </w:trPr>
        <w:tc>
          <w:tcPr>
            <w:tcW w:w="1600" w:type="dxa"/>
            <w:gridSpan w:val="2"/>
            <w:tcBorders>
              <w:top w:val="single" w:color="auto" w:sz="6" w:space="0"/>
              <w:left w:val="single" w:color="auto" w:sz="4"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社保号</w:t>
            </w:r>
          </w:p>
        </w:tc>
        <w:tc>
          <w:tcPr>
            <w:tcW w:w="1589"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1342"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1296"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2150"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bCs/>
                <w:color w:val="auto"/>
                <w:kern w:val="28"/>
                <w:position w:val="-40"/>
                <w:sz w:val="24"/>
                <w:highlight w:val="none"/>
              </w:rPr>
            </w:pPr>
          </w:p>
        </w:tc>
        <w:tc>
          <w:tcPr>
            <w:tcW w:w="1293"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p>
        </w:tc>
      </w:tr>
      <w:tr>
        <w:tblPrEx>
          <w:tblLayout w:type="fixed"/>
          <w:tblCellMar>
            <w:top w:w="0" w:type="dxa"/>
            <w:left w:w="28" w:type="dxa"/>
            <w:bottom w:w="0" w:type="dxa"/>
            <w:right w:w="28" w:type="dxa"/>
          </w:tblCellMar>
        </w:tblPrEx>
        <w:trPr>
          <w:trHeight w:val="681" w:hRule="atLeast"/>
          <w:jc w:val="center"/>
        </w:trPr>
        <w:tc>
          <w:tcPr>
            <w:tcW w:w="927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从业简历</w:t>
            </w:r>
          </w:p>
        </w:tc>
      </w:tr>
      <w:tr>
        <w:tblPrEx>
          <w:tblLayout w:type="fixed"/>
          <w:tblCellMar>
            <w:top w:w="0" w:type="dxa"/>
            <w:left w:w="28" w:type="dxa"/>
            <w:bottom w:w="0" w:type="dxa"/>
            <w:right w:w="28" w:type="dxa"/>
          </w:tblCellMar>
        </w:tblPrEx>
        <w:trPr>
          <w:trHeight w:val="798" w:hRule="atLeast"/>
          <w:jc w:val="center"/>
        </w:trPr>
        <w:tc>
          <w:tcPr>
            <w:tcW w:w="927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本人完成施工项目概况</w:t>
            </w:r>
          </w:p>
        </w:tc>
      </w:tr>
      <w:tr>
        <w:tblPrEx>
          <w:tblLayout w:type="fixed"/>
          <w:tblCellMar>
            <w:top w:w="0" w:type="dxa"/>
            <w:left w:w="28" w:type="dxa"/>
            <w:bottom w:w="0" w:type="dxa"/>
            <w:right w:w="28" w:type="dxa"/>
          </w:tblCellMar>
        </w:tblPrEx>
        <w:trPr>
          <w:trHeight w:val="1286" w:hRule="atLeast"/>
          <w:jc w:val="center"/>
        </w:trPr>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序号</w:t>
            </w:r>
          </w:p>
        </w:tc>
        <w:tc>
          <w:tcPr>
            <w:tcW w:w="161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项目名称</w:t>
            </w:r>
          </w:p>
        </w:tc>
        <w:tc>
          <w:tcPr>
            <w:tcW w:w="137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项目规模</w:t>
            </w:r>
          </w:p>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指标</w:t>
            </w:r>
          </w:p>
        </w:tc>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项目</w:t>
            </w:r>
          </w:p>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地址</w:t>
            </w:r>
          </w:p>
        </w:tc>
        <w:tc>
          <w:tcPr>
            <w:tcW w:w="14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起止</w:t>
            </w:r>
          </w:p>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时间</w:t>
            </w:r>
          </w:p>
        </w:tc>
        <w:tc>
          <w:tcPr>
            <w:tcW w:w="16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本人在工程项目所担任职务</w:t>
            </w:r>
          </w:p>
        </w:tc>
        <w:tc>
          <w:tcPr>
            <w:tcW w:w="144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color w:val="auto"/>
                <w:kern w:val="28"/>
                <w:position w:val="-40"/>
                <w:sz w:val="24"/>
                <w:highlight w:val="none"/>
              </w:rPr>
            </w:pPr>
            <w:r>
              <w:rPr>
                <w:rFonts w:hint="eastAsia" w:ascii="宋体" w:hAnsi="宋体" w:eastAsia="宋体" w:cs="宋体"/>
                <w:bCs/>
                <w:color w:val="auto"/>
                <w:kern w:val="28"/>
                <w:position w:val="-40"/>
                <w:sz w:val="24"/>
                <w:highlight w:val="none"/>
              </w:rPr>
              <w:t>完成项目的建筑业企业及资质等级</w:t>
            </w:r>
          </w:p>
        </w:tc>
      </w:tr>
      <w:tr>
        <w:tblPrEx>
          <w:tblLayout w:type="fixed"/>
          <w:tblCellMar>
            <w:top w:w="0" w:type="dxa"/>
            <w:left w:w="28" w:type="dxa"/>
            <w:bottom w:w="0" w:type="dxa"/>
            <w:right w:w="28" w:type="dxa"/>
          </w:tblCellMar>
        </w:tblPrEx>
        <w:trPr>
          <w:trHeight w:val="265" w:hRule="atLeast"/>
          <w:jc w:val="center"/>
        </w:trPr>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28"/>
                <w:position w:val="-40"/>
                <w:sz w:val="24"/>
                <w:highlight w:val="none"/>
              </w:rPr>
            </w:pPr>
          </w:p>
        </w:tc>
        <w:tc>
          <w:tcPr>
            <w:tcW w:w="161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28"/>
                <w:position w:val="-40"/>
                <w:sz w:val="24"/>
                <w:highlight w:val="none"/>
              </w:rPr>
            </w:pPr>
          </w:p>
        </w:tc>
        <w:tc>
          <w:tcPr>
            <w:tcW w:w="137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28"/>
                <w:position w:val="-40"/>
                <w:sz w:val="24"/>
                <w:highlight w:val="none"/>
              </w:rPr>
            </w:pPr>
          </w:p>
        </w:tc>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28"/>
                <w:position w:val="-40"/>
                <w:sz w:val="24"/>
                <w:highlight w:val="none"/>
              </w:rPr>
            </w:pPr>
          </w:p>
        </w:tc>
        <w:tc>
          <w:tcPr>
            <w:tcW w:w="14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28"/>
                <w:position w:val="-40"/>
                <w:sz w:val="24"/>
                <w:highlight w:val="none"/>
              </w:rPr>
            </w:pPr>
          </w:p>
        </w:tc>
        <w:tc>
          <w:tcPr>
            <w:tcW w:w="16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28"/>
                <w:position w:val="-40"/>
                <w:sz w:val="24"/>
                <w:highlight w:val="none"/>
              </w:rPr>
            </w:pPr>
          </w:p>
        </w:tc>
        <w:tc>
          <w:tcPr>
            <w:tcW w:w="144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kern w:val="28"/>
                <w:position w:val="-40"/>
                <w:sz w:val="24"/>
                <w:highlight w:val="none"/>
              </w:rPr>
            </w:pPr>
          </w:p>
        </w:tc>
      </w:tr>
    </w:tbl>
    <w:p>
      <w:pPr>
        <w:ind w:firstLine="482"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人承诺以上填写内容真实有效。我知道隐瞒有关真实情况和填报虚假信息是严重的违法行为，以上关于我本人的基本信息及其业绩如有虚假，本人愿接受招标监管主管部门或其他有关部门依法给予的行政处罚并纳入个人诚信记录，除身份证号外，本人同意上述内容在评标后全部公开。</w:t>
      </w:r>
    </w:p>
    <w:p>
      <w:pPr>
        <w:jc w:val="right"/>
        <w:rPr>
          <w:rFonts w:hint="eastAsia" w:ascii="宋体" w:hAnsi="宋体" w:eastAsia="宋体" w:cs="宋体"/>
          <w:b/>
          <w:bCs/>
          <w:color w:val="auto"/>
          <w:sz w:val="24"/>
          <w:szCs w:val="24"/>
          <w:highlight w:val="none"/>
        </w:rPr>
      </w:pPr>
    </w:p>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本人签字：</w:t>
      </w:r>
    </w:p>
    <w:p>
      <w:pPr>
        <w:wordWrap w:val="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年 月 日</w:t>
      </w:r>
    </w:p>
    <w:p>
      <w:pPr>
        <w:jc w:val="center"/>
        <w:rPr>
          <w:rFonts w:hint="eastAsia" w:ascii="宋体" w:hAnsi="宋体" w:eastAsia="宋体" w:cs="宋体"/>
          <w:b/>
          <w:bCs/>
          <w:color w:val="auto"/>
          <w:sz w:val="24"/>
          <w:szCs w:val="24"/>
          <w:highlight w:val="none"/>
        </w:rPr>
      </w:pPr>
    </w:p>
    <w:p>
      <w:pPr>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我公司承诺上述内容真实有效。我公司知道隐瞒有关真实情况和填报虚假信息是严重的违法行为，上述内容如有虚假，我公司愿接受招标监管部门或其他有关部门依法给予的行政处罚，并接受招标人将我公司永久进入黑名单，不参与招标人今后所有项目的投标。</w:t>
      </w:r>
    </w:p>
    <w:p>
      <w:pPr>
        <w:jc w:val="right"/>
        <w:rPr>
          <w:rFonts w:hint="eastAsia" w:ascii="宋体" w:hAnsi="宋体" w:eastAsia="宋体" w:cs="宋体"/>
          <w:b/>
          <w:bCs/>
          <w:color w:val="auto"/>
          <w:sz w:val="24"/>
          <w:szCs w:val="24"/>
          <w:highlight w:val="none"/>
        </w:rPr>
      </w:pPr>
    </w:p>
    <w:p>
      <w:pPr>
        <w:jc w:val="right"/>
        <w:rPr>
          <w:rFonts w:hint="eastAsia" w:ascii="宋体" w:hAnsi="宋体" w:eastAsia="宋体" w:cs="宋体"/>
          <w:b/>
          <w:bCs/>
          <w:color w:val="auto"/>
          <w:sz w:val="24"/>
          <w:szCs w:val="24"/>
          <w:highlight w:val="none"/>
        </w:rPr>
      </w:pPr>
    </w:p>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单位盖章</w:t>
      </w:r>
    </w:p>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年 月 日</w:t>
      </w:r>
    </w:p>
    <w:p>
      <w:pPr>
        <w:pStyle w:val="94"/>
        <w:ind w:firstLine="496"/>
        <w:rPr>
          <w:rFonts w:hint="eastAsia" w:ascii="宋体" w:hAnsi="宋体" w:eastAsia="宋体" w:cs="宋体"/>
          <w:color w:val="auto"/>
          <w:highlight w:val="none"/>
        </w:rPr>
      </w:pPr>
    </w:p>
    <w:p>
      <w:pPr>
        <w:pStyle w:val="256"/>
        <w:spacing w:before="156" w:after="156"/>
        <w:rPr>
          <w:rFonts w:hint="eastAsia" w:ascii="宋体" w:hAnsi="宋体" w:eastAsia="宋体" w:cs="宋体"/>
          <w:color w:val="auto"/>
          <w:highlight w:val="none"/>
        </w:rPr>
      </w:pPr>
      <w:bookmarkStart w:id="839" w:name="_Toc21561"/>
      <w:bookmarkStart w:id="840" w:name="_Toc5975589"/>
      <w:bookmarkStart w:id="841" w:name="_Toc36568872"/>
      <w:r>
        <w:rPr>
          <w:rFonts w:hint="eastAsia" w:ascii="宋体" w:hAnsi="宋体" w:eastAsia="宋体" w:cs="宋体"/>
          <w:color w:val="auto"/>
          <w:highlight w:val="none"/>
        </w:rPr>
        <w:t>格式七：企业类似工程业绩表（技术标评分）</w:t>
      </w:r>
      <w:bookmarkEnd w:id="839"/>
      <w:bookmarkEnd w:id="840"/>
      <w:bookmarkEnd w:id="841"/>
    </w:p>
    <w:p>
      <w:pPr>
        <w:rPr>
          <w:rFonts w:hint="eastAsia" w:ascii="宋体" w:hAnsi="宋体" w:eastAsia="宋体" w:cs="宋体"/>
          <w:color w:val="auto"/>
          <w:highlight w:val="none"/>
        </w:rPr>
      </w:pPr>
    </w:p>
    <w:p>
      <w:pPr>
        <w:rPr>
          <w:rFonts w:hint="eastAsia" w:ascii="宋体" w:hAnsi="宋体" w:eastAsia="宋体" w:cs="宋体"/>
          <w:color w:val="auto"/>
          <w:highlight w:val="none"/>
        </w:rPr>
      </w:pPr>
    </w:p>
    <w:tbl>
      <w:tblPr>
        <w:tblStyle w:val="40"/>
        <w:tblpPr w:leftFromText="180" w:rightFromText="180" w:vertAnchor="text" w:horzAnchor="page" w:tblpX="1126" w:tblpY="280"/>
        <w:tblOverlap w:val="never"/>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713"/>
        <w:gridCol w:w="1530"/>
        <w:gridCol w:w="1440"/>
        <w:gridCol w:w="1425"/>
        <w:gridCol w:w="1245"/>
        <w:gridCol w:w="10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rPr>
        <w:tc>
          <w:tcPr>
            <w:tcW w:w="492"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713" w:type="dxa"/>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eastAsia="zh-CN"/>
              </w:rPr>
              <w:t>名称</w:t>
            </w:r>
          </w:p>
        </w:tc>
        <w:tc>
          <w:tcPr>
            <w:tcW w:w="1530"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发包人</w:t>
            </w:r>
            <w:r>
              <w:rPr>
                <w:rFonts w:hint="eastAsia" w:ascii="宋体" w:hAnsi="宋体" w:eastAsia="宋体" w:cs="宋体"/>
                <w:color w:val="auto"/>
                <w:sz w:val="24"/>
                <w:szCs w:val="24"/>
                <w:highlight w:val="none"/>
              </w:rPr>
              <w:t>名称</w:t>
            </w:r>
          </w:p>
        </w:tc>
        <w:tc>
          <w:tcPr>
            <w:tcW w:w="1440" w:type="dxa"/>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发包人地址</w:t>
            </w:r>
          </w:p>
        </w:tc>
        <w:tc>
          <w:tcPr>
            <w:tcW w:w="1425" w:type="dxa"/>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发包人电话</w:t>
            </w:r>
          </w:p>
        </w:tc>
        <w:tc>
          <w:tcPr>
            <w:tcW w:w="1245" w:type="dxa"/>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合同价格</w:t>
            </w:r>
          </w:p>
        </w:tc>
        <w:tc>
          <w:tcPr>
            <w:tcW w:w="1080" w:type="dxa"/>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竣工验收时间</w:t>
            </w:r>
          </w:p>
        </w:tc>
        <w:tc>
          <w:tcPr>
            <w:tcW w:w="780" w:type="dxa"/>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rPr>
        <w:tc>
          <w:tcPr>
            <w:tcW w:w="492" w:type="dxa"/>
          </w:tcPr>
          <w:p>
            <w:pPr>
              <w:jc w:val="center"/>
              <w:rPr>
                <w:rFonts w:hint="eastAsia" w:ascii="宋体" w:hAnsi="宋体" w:eastAsia="宋体" w:cs="宋体"/>
                <w:b/>
                <w:color w:val="auto"/>
                <w:sz w:val="24"/>
                <w:szCs w:val="24"/>
                <w:highlight w:val="none"/>
              </w:rPr>
            </w:pPr>
          </w:p>
        </w:tc>
        <w:tc>
          <w:tcPr>
            <w:tcW w:w="1713" w:type="dxa"/>
          </w:tcPr>
          <w:p>
            <w:pPr>
              <w:jc w:val="center"/>
              <w:rPr>
                <w:rFonts w:hint="eastAsia" w:ascii="宋体" w:hAnsi="宋体" w:eastAsia="宋体" w:cs="宋体"/>
                <w:b/>
                <w:color w:val="auto"/>
                <w:sz w:val="24"/>
                <w:szCs w:val="24"/>
                <w:highlight w:val="none"/>
              </w:rPr>
            </w:pPr>
          </w:p>
        </w:tc>
        <w:tc>
          <w:tcPr>
            <w:tcW w:w="1530" w:type="dxa"/>
          </w:tcPr>
          <w:p>
            <w:pPr>
              <w:jc w:val="center"/>
              <w:rPr>
                <w:rFonts w:hint="eastAsia" w:ascii="宋体" w:hAnsi="宋体" w:eastAsia="宋体" w:cs="宋体"/>
                <w:b/>
                <w:color w:val="auto"/>
                <w:sz w:val="24"/>
                <w:szCs w:val="24"/>
                <w:highlight w:val="none"/>
              </w:rPr>
            </w:pPr>
          </w:p>
        </w:tc>
        <w:tc>
          <w:tcPr>
            <w:tcW w:w="1440" w:type="dxa"/>
          </w:tcPr>
          <w:p>
            <w:pPr>
              <w:jc w:val="center"/>
              <w:rPr>
                <w:rFonts w:hint="eastAsia" w:ascii="宋体" w:hAnsi="宋体" w:eastAsia="宋体" w:cs="宋体"/>
                <w:b/>
                <w:color w:val="auto"/>
                <w:sz w:val="24"/>
                <w:szCs w:val="24"/>
                <w:highlight w:val="none"/>
              </w:rPr>
            </w:pPr>
          </w:p>
        </w:tc>
        <w:tc>
          <w:tcPr>
            <w:tcW w:w="1425" w:type="dxa"/>
          </w:tcPr>
          <w:p>
            <w:pPr>
              <w:jc w:val="center"/>
              <w:rPr>
                <w:rFonts w:hint="eastAsia" w:ascii="宋体" w:hAnsi="宋体" w:eastAsia="宋体" w:cs="宋体"/>
                <w:b/>
                <w:color w:val="auto"/>
                <w:sz w:val="24"/>
                <w:szCs w:val="24"/>
                <w:highlight w:val="none"/>
              </w:rPr>
            </w:pPr>
          </w:p>
        </w:tc>
        <w:tc>
          <w:tcPr>
            <w:tcW w:w="1245" w:type="dxa"/>
          </w:tcPr>
          <w:p>
            <w:pPr>
              <w:jc w:val="center"/>
              <w:rPr>
                <w:rFonts w:hint="eastAsia" w:ascii="宋体" w:hAnsi="宋体" w:eastAsia="宋体" w:cs="宋体"/>
                <w:b/>
                <w:color w:val="auto"/>
                <w:sz w:val="24"/>
                <w:szCs w:val="24"/>
                <w:highlight w:val="none"/>
              </w:rPr>
            </w:pPr>
          </w:p>
        </w:tc>
        <w:tc>
          <w:tcPr>
            <w:tcW w:w="1080" w:type="dxa"/>
          </w:tcPr>
          <w:p>
            <w:pPr>
              <w:jc w:val="center"/>
              <w:rPr>
                <w:rFonts w:hint="eastAsia" w:ascii="宋体" w:hAnsi="宋体" w:eastAsia="宋体" w:cs="宋体"/>
                <w:b/>
                <w:color w:val="auto"/>
                <w:sz w:val="24"/>
                <w:szCs w:val="24"/>
                <w:highlight w:val="none"/>
              </w:rPr>
            </w:pPr>
          </w:p>
        </w:tc>
        <w:tc>
          <w:tcPr>
            <w:tcW w:w="780" w:type="dxa"/>
          </w:tcPr>
          <w:p>
            <w:pPr>
              <w:jc w:val="center"/>
              <w:rPr>
                <w:rFonts w:hint="eastAsia" w:ascii="宋体" w:hAnsi="宋体" w:eastAsia="宋体" w:cs="宋体"/>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rPr>
        <w:tc>
          <w:tcPr>
            <w:tcW w:w="492" w:type="dxa"/>
          </w:tcPr>
          <w:p>
            <w:pPr>
              <w:jc w:val="center"/>
              <w:rPr>
                <w:rFonts w:hint="eastAsia" w:ascii="宋体" w:hAnsi="宋体" w:eastAsia="宋体" w:cs="宋体"/>
                <w:b/>
                <w:color w:val="auto"/>
                <w:sz w:val="24"/>
                <w:szCs w:val="24"/>
                <w:highlight w:val="none"/>
              </w:rPr>
            </w:pPr>
          </w:p>
        </w:tc>
        <w:tc>
          <w:tcPr>
            <w:tcW w:w="1713" w:type="dxa"/>
          </w:tcPr>
          <w:p>
            <w:pPr>
              <w:jc w:val="center"/>
              <w:rPr>
                <w:rFonts w:hint="eastAsia" w:ascii="宋体" w:hAnsi="宋体" w:eastAsia="宋体" w:cs="宋体"/>
                <w:b/>
                <w:color w:val="auto"/>
                <w:sz w:val="24"/>
                <w:szCs w:val="24"/>
                <w:highlight w:val="none"/>
              </w:rPr>
            </w:pPr>
          </w:p>
        </w:tc>
        <w:tc>
          <w:tcPr>
            <w:tcW w:w="1530" w:type="dxa"/>
          </w:tcPr>
          <w:p>
            <w:pPr>
              <w:jc w:val="center"/>
              <w:rPr>
                <w:rFonts w:hint="eastAsia" w:ascii="宋体" w:hAnsi="宋体" w:eastAsia="宋体" w:cs="宋体"/>
                <w:b/>
                <w:color w:val="auto"/>
                <w:sz w:val="24"/>
                <w:szCs w:val="24"/>
                <w:highlight w:val="none"/>
              </w:rPr>
            </w:pPr>
          </w:p>
        </w:tc>
        <w:tc>
          <w:tcPr>
            <w:tcW w:w="1440" w:type="dxa"/>
          </w:tcPr>
          <w:p>
            <w:pPr>
              <w:jc w:val="center"/>
              <w:rPr>
                <w:rFonts w:hint="eastAsia" w:ascii="宋体" w:hAnsi="宋体" w:eastAsia="宋体" w:cs="宋体"/>
                <w:b/>
                <w:color w:val="auto"/>
                <w:sz w:val="24"/>
                <w:szCs w:val="24"/>
                <w:highlight w:val="none"/>
              </w:rPr>
            </w:pPr>
          </w:p>
        </w:tc>
        <w:tc>
          <w:tcPr>
            <w:tcW w:w="1425" w:type="dxa"/>
          </w:tcPr>
          <w:p>
            <w:pPr>
              <w:jc w:val="center"/>
              <w:rPr>
                <w:rFonts w:hint="eastAsia" w:ascii="宋体" w:hAnsi="宋体" w:eastAsia="宋体" w:cs="宋体"/>
                <w:b/>
                <w:color w:val="auto"/>
                <w:sz w:val="24"/>
                <w:szCs w:val="24"/>
                <w:highlight w:val="none"/>
              </w:rPr>
            </w:pPr>
          </w:p>
        </w:tc>
        <w:tc>
          <w:tcPr>
            <w:tcW w:w="1245" w:type="dxa"/>
          </w:tcPr>
          <w:p>
            <w:pPr>
              <w:jc w:val="center"/>
              <w:rPr>
                <w:rFonts w:hint="eastAsia" w:ascii="宋体" w:hAnsi="宋体" w:eastAsia="宋体" w:cs="宋体"/>
                <w:b/>
                <w:color w:val="auto"/>
                <w:sz w:val="24"/>
                <w:szCs w:val="24"/>
                <w:highlight w:val="none"/>
              </w:rPr>
            </w:pPr>
          </w:p>
        </w:tc>
        <w:tc>
          <w:tcPr>
            <w:tcW w:w="1080" w:type="dxa"/>
          </w:tcPr>
          <w:p>
            <w:pPr>
              <w:jc w:val="center"/>
              <w:rPr>
                <w:rFonts w:hint="eastAsia" w:ascii="宋体" w:hAnsi="宋体" w:eastAsia="宋体" w:cs="宋体"/>
                <w:b/>
                <w:color w:val="auto"/>
                <w:sz w:val="24"/>
                <w:szCs w:val="24"/>
                <w:highlight w:val="none"/>
              </w:rPr>
            </w:pPr>
          </w:p>
        </w:tc>
        <w:tc>
          <w:tcPr>
            <w:tcW w:w="780" w:type="dxa"/>
          </w:tcPr>
          <w:p>
            <w:pPr>
              <w:jc w:val="center"/>
              <w:rPr>
                <w:rFonts w:hint="eastAsia" w:ascii="宋体" w:hAnsi="宋体" w:eastAsia="宋体" w:cs="宋体"/>
                <w:b/>
                <w:color w:val="auto"/>
                <w:sz w:val="24"/>
                <w:szCs w:val="24"/>
                <w:highlight w:val="none"/>
              </w:rPr>
            </w:pPr>
          </w:p>
        </w:tc>
      </w:tr>
    </w:tbl>
    <w:p>
      <w:pPr>
        <w:jc w:val="center"/>
        <w:rPr>
          <w:rFonts w:hint="eastAsia" w:ascii="宋体" w:hAnsi="宋体" w:eastAsia="宋体" w:cs="宋体"/>
          <w:b/>
          <w:bCs/>
          <w:color w:val="auto"/>
          <w:sz w:val="24"/>
          <w:szCs w:val="24"/>
          <w:highlight w:val="none"/>
        </w:rPr>
      </w:pPr>
    </w:p>
    <w:p>
      <w:pPr>
        <w:jc w:val="center"/>
        <w:rPr>
          <w:rFonts w:hint="eastAsia" w:ascii="宋体" w:hAnsi="宋体" w:eastAsia="宋体" w:cs="宋体"/>
          <w:b/>
          <w:bCs/>
          <w:color w:val="auto"/>
          <w:sz w:val="24"/>
          <w:szCs w:val="24"/>
          <w:highlight w:val="none"/>
        </w:rPr>
      </w:pPr>
    </w:p>
    <w:p>
      <w:pPr>
        <w:jc w:val="center"/>
        <w:rPr>
          <w:rFonts w:hint="eastAsia" w:ascii="宋体" w:hAnsi="宋体" w:eastAsia="宋体" w:cs="宋体"/>
          <w:b/>
          <w:color w:val="auto"/>
          <w:sz w:val="24"/>
          <w:szCs w:val="24"/>
          <w:highlight w:val="none"/>
        </w:rPr>
      </w:pPr>
    </w:p>
    <w:p>
      <w:pPr>
        <w:jc w:val="center"/>
        <w:rPr>
          <w:rFonts w:hint="eastAsia" w:ascii="宋体" w:hAnsi="宋体" w:eastAsia="宋体" w:cs="宋体"/>
          <w:b/>
          <w:color w:val="auto"/>
          <w:sz w:val="24"/>
          <w:szCs w:val="24"/>
          <w:highlight w:val="none"/>
        </w:rPr>
      </w:pPr>
    </w:p>
    <w:p>
      <w:pPr>
        <w:jc w:val="center"/>
        <w:rPr>
          <w:rFonts w:hint="eastAsia" w:ascii="宋体" w:hAnsi="宋体" w:eastAsia="宋体" w:cs="宋体"/>
          <w:b/>
          <w:color w:val="auto"/>
          <w:sz w:val="24"/>
          <w:szCs w:val="24"/>
          <w:highlight w:val="none"/>
        </w:rPr>
      </w:pPr>
    </w:p>
    <w:p>
      <w:pPr>
        <w:jc w:val="center"/>
        <w:rPr>
          <w:rFonts w:hint="eastAsia" w:ascii="宋体" w:hAnsi="宋体" w:eastAsia="宋体" w:cs="宋体"/>
          <w:b/>
          <w:color w:val="auto"/>
          <w:sz w:val="24"/>
          <w:szCs w:val="24"/>
          <w:highlight w:val="none"/>
        </w:rPr>
      </w:pPr>
    </w:p>
    <w:p>
      <w:pPr>
        <w:pStyle w:val="94"/>
        <w:ind w:firstLine="3596" w:firstLineChars="1450"/>
        <w:rPr>
          <w:rFonts w:hint="eastAsia" w:ascii="宋体" w:hAnsi="宋体" w:eastAsia="宋体" w:cs="宋体"/>
          <w:color w:val="auto"/>
          <w:highlight w:val="none"/>
        </w:rPr>
      </w:pPr>
    </w:p>
    <w:p>
      <w:pPr>
        <w:pStyle w:val="94"/>
        <w:ind w:firstLine="3596" w:firstLineChars="1450"/>
        <w:rPr>
          <w:rFonts w:hint="eastAsia" w:ascii="宋体" w:hAnsi="宋体" w:eastAsia="宋体" w:cs="宋体"/>
          <w:color w:val="auto"/>
          <w:highlight w:val="none"/>
        </w:rPr>
      </w:pPr>
    </w:p>
    <w:p>
      <w:pPr>
        <w:pStyle w:val="94"/>
        <w:ind w:firstLine="3596" w:firstLineChars="1450"/>
        <w:rPr>
          <w:rFonts w:hint="eastAsia" w:ascii="宋体" w:hAnsi="宋体" w:eastAsia="宋体" w:cs="宋体"/>
          <w:color w:val="auto"/>
          <w:highlight w:val="none"/>
        </w:rPr>
      </w:pPr>
      <w:r>
        <w:rPr>
          <w:rFonts w:hint="eastAsia" w:ascii="宋体" w:hAnsi="宋体" w:eastAsia="宋体" w:cs="宋体"/>
          <w:color w:val="auto"/>
          <w:highlight w:val="none"/>
        </w:rPr>
        <w:t>投标人：　　（盖章）</w:t>
      </w:r>
    </w:p>
    <w:p>
      <w:pPr>
        <w:pStyle w:val="94"/>
        <w:ind w:firstLine="3596" w:firstLineChars="145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法定代表人或授权代理人(签字或盖章)：</w:t>
      </w:r>
    </w:p>
    <w:p>
      <w:pPr>
        <w:pStyle w:val="94"/>
        <w:ind w:firstLine="3596" w:firstLineChars="1450"/>
        <w:rPr>
          <w:rFonts w:hint="eastAsia" w:ascii="宋体" w:hAnsi="宋体" w:eastAsia="宋体" w:cs="宋体"/>
          <w:color w:val="auto"/>
          <w:highlight w:val="none"/>
        </w:rPr>
      </w:pPr>
      <w:bookmarkStart w:id="842" w:name="_Toc510963892"/>
      <w:bookmarkStart w:id="843" w:name="_Toc532475362"/>
      <w:bookmarkStart w:id="844" w:name="_Toc532475795"/>
      <w:r>
        <w:rPr>
          <w:rFonts w:hint="eastAsia" w:ascii="宋体" w:hAnsi="宋体" w:eastAsia="宋体" w:cs="宋体"/>
          <w:color w:val="auto"/>
          <w:highlight w:val="none"/>
        </w:rPr>
        <w:t>日   期：     年    月    日</w:t>
      </w:r>
      <w:bookmarkEnd w:id="842"/>
      <w:bookmarkEnd w:id="843"/>
      <w:bookmarkEnd w:id="844"/>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jc w:val="left"/>
        <w:rPr>
          <w:rFonts w:hint="eastAsia" w:ascii="宋体" w:hAnsi="宋体" w:eastAsia="宋体" w:cs="宋体"/>
          <w:color w:val="auto"/>
          <w:highlight w:val="none"/>
        </w:rPr>
      </w:pPr>
    </w:p>
    <w:p>
      <w:pPr>
        <w:tabs>
          <w:tab w:val="left" w:pos="720"/>
        </w:tabs>
        <w:snapToGrid w:val="0"/>
        <w:spacing w:line="360" w:lineRule="auto"/>
        <w:rPr>
          <w:rFonts w:hint="eastAsia" w:ascii="宋体" w:hAnsi="宋体" w:eastAsia="宋体" w:cs="宋体"/>
          <w:color w:val="auto"/>
          <w:szCs w:val="21"/>
          <w:highlight w:val="none"/>
        </w:rPr>
      </w:pPr>
    </w:p>
    <w:p>
      <w:pPr>
        <w:tabs>
          <w:tab w:val="left" w:pos="720"/>
        </w:tabs>
        <w:snapToGrid w:val="0"/>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br w:type="page"/>
      </w:r>
    </w:p>
    <w:p>
      <w:pPr>
        <w:pStyle w:val="241"/>
        <w:spacing w:beforeLines="0" w:afterLines="0" w:line="360" w:lineRule="auto"/>
        <w:rPr>
          <w:rFonts w:hint="eastAsia" w:ascii="宋体" w:hAnsi="宋体" w:eastAsia="宋体" w:cs="宋体"/>
          <w:color w:val="auto"/>
          <w:highlight w:val="none"/>
        </w:rPr>
      </w:pPr>
      <w:bookmarkStart w:id="845" w:name="_Toc5975590"/>
      <w:bookmarkStart w:id="846" w:name="_Toc532475801"/>
      <w:bookmarkStart w:id="847" w:name="_Toc532475368"/>
      <w:bookmarkStart w:id="848" w:name="_Toc29257"/>
      <w:bookmarkStart w:id="849" w:name="_Toc510963900"/>
      <w:r>
        <w:rPr>
          <w:rFonts w:hint="eastAsia" w:ascii="宋体" w:hAnsi="宋体" w:eastAsia="宋体" w:cs="宋体"/>
          <w:color w:val="auto"/>
          <w:highlight w:val="none"/>
        </w:rPr>
        <w:t>二、经济标投标文件格式</w:t>
      </w:r>
      <w:bookmarkEnd w:id="845"/>
      <w:bookmarkEnd w:id="846"/>
      <w:bookmarkEnd w:id="847"/>
      <w:bookmarkEnd w:id="848"/>
      <w:bookmarkEnd w:id="849"/>
    </w:p>
    <w:p>
      <w:pPr>
        <w:pStyle w:val="94"/>
        <w:ind w:firstLine="496"/>
        <w:rPr>
          <w:rFonts w:hint="eastAsia" w:ascii="宋体" w:hAnsi="宋体" w:eastAsia="宋体" w:cs="宋体"/>
          <w:color w:val="auto"/>
          <w:highlight w:val="none"/>
        </w:rPr>
      </w:pPr>
    </w:p>
    <w:p>
      <w:pPr>
        <w:pStyle w:val="256"/>
        <w:spacing w:beforeLines="0" w:afterLines="0" w:line="360" w:lineRule="auto"/>
        <w:rPr>
          <w:rFonts w:hint="eastAsia" w:ascii="宋体" w:hAnsi="宋体" w:eastAsia="宋体" w:cs="宋体"/>
          <w:color w:val="auto"/>
          <w:highlight w:val="none"/>
        </w:rPr>
      </w:pPr>
      <w:r>
        <w:rPr>
          <w:rFonts w:hint="eastAsia" w:ascii="宋体" w:hAnsi="宋体" w:eastAsia="宋体" w:cs="宋体"/>
          <w:b w:val="0"/>
          <w:color w:val="auto"/>
          <w:highlight w:val="none"/>
        </w:rPr>
        <w:br w:type="page"/>
      </w:r>
      <w:bookmarkStart w:id="850" w:name="_Toc29215"/>
      <w:bookmarkStart w:id="851" w:name="_Toc510963901"/>
      <w:bookmarkStart w:id="852" w:name="_Toc532475802"/>
      <w:bookmarkStart w:id="853" w:name="_Toc5975591"/>
      <w:bookmarkStart w:id="854" w:name="_Toc532475369"/>
      <w:bookmarkStart w:id="855" w:name="_Toc36568874"/>
      <w:r>
        <w:rPr>
          <w:rFonts w:hint="eastAsia" w:ascii="宋体" w:hAnsi="宋体" w:eastAsia="宋体" w:cs="宋体"/>
          <w:color w:val="auto"/>
          <w:highlight w:val="none"/>
        </w:rPr>
        <w:t>格式一：经济标封面</w:t>
      </w:r>
      <w:bookmarkEnd w:id="850"/>
      <w:bookmarkEnd w:id="851"/>
      <w:bookmarkEnd w:id="852"/>
      <w:bookmarkEnd w:id="853"/>
      <w:bookmarkEnd w:id="854"/>
      <w:bookmarkEnd w:id="855"/>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238"/>
        <w:rPr>
          <w:rFonts w:hint="eastAsia" w:ascii="宋体" w:hAnsi="宋体" w:eastAsia="宋体" w:cs="宋体"/>
          <w:b w:val="0"/>
          <w:color w:val="auto"/>
          <w:highlight w:val="none"/>
          <w:u w:val="single"/>
        </w:rPr>
      </w:pPr>
      <w:r>
        <w:rPr>
          <w:rFonts w:hint="eastAsia" w:ascii="宋体" w:hAnsi="宋体" w:eastAsia="宋体" w:cs="宋体"/>
          <w:b w:val="0"/>
          <w:color w:val="auto"/>
          <w:highlight w:val="none"/>
          <w:u w:val="single"/>
        </w:rPr>
        <w:t xml:space="preserve">[工程名称] </w:t>
      </w: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210"/>
        <w:rPr>
          <w:rFonts w:hint="eastAsia" w:ascii="宋体" w:hAnsi="宋体" w:eastAsia="宋体" w:cs="宋体"/>
          <w:b w:val="0"/>
          <w:color w:val="auto"/>
          <w:highlight w:val="none"/>
        </w:rPr>
      </w:pPr>
      <w:r>
        <w:rPr>
          <w:rFonts w:hint="eastAsia" w:ascii="宋体" w:hAnsi="宋体" w:eastAsia="宋体" w:cs="宋体"/>
          <w:b w:val="0"/>
          <w:color w:val="auto"/>
          <w:highlight w:val="none"/>
        </w:rPr>
        <w:t>投标文件</w:t>
      </w:r>
    </w:p>
    <w:p>
      <w:pPr>
        <w:pStyle w:val="238"/>
        <w:rPr>
          <w:rFonts w:hint="eastAsia" w:ascii="宋体" w:hAnsi="宋体" w:eastAsia="宋体" w:cs="宋体"/>
          <w:b w:val="0"/>
          <w:color w:val="auto"/>
          <w:highlight w:val="none"/>
        </w:rPr>
      </w:pPr>
      <w:r>
        <w:rPr>
          <w:rFonts w:hint="eastAsia" w:ascii="宋体" w:hAnsi="宋体" w:eastAsia="宋体" w:cs="宋体"/>
          <w:b w:val="0"/>
          <w:color w:val="auto"/>
          <w:highlight w:val="none"/>
        </w:rPr>
        <w:t>第二册 （经济标书）</w:t>
      </w: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94"/>
        <w:ind w:firstLine="496"/>
        <w:rPr>
          <w:rFonts w:hint="eastAsia" w:ascii="宋体" w:hAnsi="宋体" w:eastAsia="宋体" w:cs="宋体"/>
          <w:color w:val="auto"/>
          <w:highlight w:val="none"/>
        </w:rPr>
      </w:pPr>
    </w:p>
    <w:p>
      <w:pPr>
        <w:pStyle w:val="237"/>
        <w:ind w:firstLine="616"/>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 xml:space="preserve">      （填写投标人单位名称）       （盖章）</w:t>
      </w:r>
    </w:p>
    <w:p>
      <w:pPr>
        <w:pStyle w:val="237"/>
        <w:ind w:firstLine="616"/>
        <w:rPr>
          <w:rFonts w:hint="eastAsia" w:ascii="宋体" w:hAnsi="宋体" w:eastAsia="宋体" w:cs="宋体"/>
          <w:color w:val="auto"/>
          <w:highlight w:val="none"/>
        </w:rPr>
      </w:pPr>
    </w:p>
    <w:p>
      <w:pPr>
        <w:pStyle w:val="237"/>
        <w:ind w:firstLine="616"/>
        <w:rPr>
          <w:rFonts w:hint="eastAsia" w:ascii="宋体" w:hAnsi="宋体" w:eastAsia="宋体" w:cs="宋体"/>
          <w:color w:val="auto"/>
          <w:highlight w:val="none"/>
        </w:rPr>
      </w:pPr>
      <w:r>
        <w:rPr>
          <w:rFonts w:hint="eastAsia" w:ascii="宋体" w:hAnsi="宋体" w:eastAsia="宋体" w:cs="宋体"/>
          <w:color w:val="auto"/>
          <w:highlight w:val="none"/>
        </w:rPr>
        <w:t>法定代表人或</w:t>
      </w:r>
    </w:p>
    <w:p>
      <w:pPr>
        <w:pStyle w:val="237"/>
        <w:ind w:firstLine="616"/>
        <w:rPr>
          <w:rFonts w:hint="eastAsia" w:ascii="宋体" w:hAnsi="宋体" w:eastAsia="宋体" w:cs="宋体"/>
          <w:color w:val="auto"/>
          <w:highlight w:val="none"/>
        </w:rPr>
      </w:pPr>
      <w:r>
        <w:rPr>
          <w:rFonts w:hint="eastAsia" w:ascii="宋体" w:hAnsi="宋体" w:eastAsia="宋体" w:cs="宋体"/>
          <w:color w:val="auto"/>
          <w:highlight w:val="none"/>
        </w:rPr>
        <w:t>其委托代理人：</w:t>
      </w:r>
      <w:r>
        <w:rPr>
          <w:rFonts w:hint="eastAsia" w:ascii="宋体" w:hAnsi="宋体" w:eastAsia="宋体" w:cs="宋体"/>
          <w:color w:val="auto"/>
          <w:highlight w:val="none"/>
          <w:u w:val="single"/>
        </w:rPr>
        <w:t xml:space="preserve">                     （签字或盖章）</w:t>
      </w:r>
    </w:p>
    <w:p>
      <w:pPr>
        <w:pStyle w:val="237"/>
        <w:ind w:firstLine="616"/>
        <w:rPr>
          <w:rFonts w:hint="eastAsia" w:ascii="宋体" w:hAnsi="宋体" w:eastAsia="宋体" w:cs="宋体"/>
          <w:color w:val="auto"/>
          <w:highlight w:val="none"/>
        </w:rPr>
      </w:pPr>
      <w:r>
        <w:rPr>
          <w:rFonts w:hint="eastAsia" w:ascii="宋体" w:hAnsi="宋体" w:eastAsia="宋体" w:cs="宋体"/>
          <w:color w:val="auto"/>
          <w:highlight w:val="none"/>
        </w:rPr>
        <w:t>日  期：</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856" w:name="_Toc532475804"/>
      <w:bookmarkStart w:id="857" w:name="_Toc532475371"/>
      <w:bookmarkStart w:id="858" w:name="_Toc510963903"/>
    </w:p>
    <w:p>
      <w:pPr>
        <w:pStyle w:val="256"/>
        <w:spacing w:beforeLines="0" w:afterLines="0" w:line="360" w:lineRule="auto"/>
        <w:rPr>
          <w:rFonts w:hint="eastAsia" w:ascii="宋体" w:hAnsi="宋体" w:eastAsia="宋体" w:cs="宋体"/>
          <w:color w:val="auto"/>
          <w:highlight w:val="none"/>
        </w:rPr>
      </w:pPr>
      <w:bookmarkStart w:id="859" w:name="_Toc13177"/>
      <w:bookmarkStart w:id="860" w:name="_Toc5975592"/>
      <w:bookmarkStart w:id="861" w:name="_Toc36568875"/>
      <w:r>
        <w:rPr>
          <w:rFonts w:hint="eastAsia" w:ascii="宋体" w:hAnsi="宋体" w:eastAsia="宋体" w:cs="宋体"/>
          <w:color w:val="auto"/>
          <w:highlight w:val="none"/>
        </w:rPr>
        <w:t>格式二：工程量清单计价表</w:t>
      </w:r>
      <w:bookmarkEnd w:id="856"/>
      <w:bookmarkEnd w:id="857"/>
      <w:bookmarkEnd w:id="858"/>
      <w:bookmarkEnd w:id="859"/>
      <w:bookmarkEnd w:id="860"/>
      <w:bookmarkEnd w:id="861"/>
    </w:p>
    <w:p>
      <w:pPr>
        <w:pStyle w:val="94"/>
        <w:ind w:firstLine="498"/>
        <w:rPr>
          <w:rFonts w:hint="eastAsia" w:ascii="宋体" w:hAnsi="宋体" w:eastAsia="宋体" w:cs="宋体"/>
          <w:b/>
          <w:color w:val="auto"/>
          <w:highlight w:val="none"/>
        </w:rPr>
      </w:pPr>
    </w:p>
    <w:p>
      <w:pPr>
        <w:pStyle w:val="214"/>
        <w:ind w:firstLine="617"/>
        <w:rPr>
          <w:rFonts w:hint="eastAsia" w:ascii="宋体" w:hAnsi="宋体" w:eastAsia="宋体" w:cs="宋体"/>
          <w:color w:val="auto"/>
          <w:highlight w:val="none"/>
        </w:rPr>
      </w:pPr>
      <w:r>
        <w:rPr>
          <w:rFonts w:hint="eastAsia" w:ascii="宋体" w:hAnsi="宋体" w:eastAsia="宋体" w:cs="宋体"/>
          <w:color w:val="auto"/>
          <w:highlight w:val="none"/>
        </w:rPr>
        <w:t>工程量清单计价表</w:t>
      </w:r>
    </w:p>
    <w:p>
      <w:pPr>
        <w:pStyle w:val="94"/>
        <w:ind w:firstLine="498"/>
        <w:rPr>
          <w:rFonts w:hint="eastAsia" w:ascii="宋体" w:hAnsi="宋体" w:eastAsia="宋体" w:cs="宋体"/>
          <w:b/>
          <w:color w:val="auto"/>
          <w:highlight w:val="none"/>
        </w:rPr>
      </w:pPr>
    </w:p>
    <w:p>
      <w:pPr>
        <w:pStyle w:val="94"/>
        <w:ind w:firstLine="498"/>
        <w:rPr>
          <w:rFonts w:hint="eastAsia" w:ascii="宋体" w:hAnsi="宋体" w:eastAsia="宋体" w:cs="宋体"/>
          <w:b/>
          <w:color w:val="auto"/>
          <w:highlight w:val="none"/>
        </w:rPr>
      </w:pPr>
      <w:r>
        <w:rPr>
          <w:rFonts w:hint="eastAsia" w:ascii="宋体" w:hAnsi="宋体" w:eastAsia="宋体" w:cs="宋体"/>
          <w:b/>
          <w:color w:val="auto"/>
          <w:highlight w:val="none"/>
        </w:rPr>
        <w:t>本部分内容详见招标文件第七章工程量清单。</w:t>
      </w:r>
    </w:p>
    <w:p>
      <w:pPr>
        <w:pStyle w:val="94"/>
        <w:ind w:firstLine="496"/>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862" w:name="_Toc532475805"/>
      <w:bookmarkStart w:id="863" w:name="_Toc510963904"/>
      <w:bookmarkStart w:id="864" w:name="_Toc532475372"/>
    </w:p>
    <w:p>
      <w:pPr>
        <w:pStyle w:val="256"/>
        <w:spacing w:beforeLines="0" w:afterLines="0" w:line="360" w:lineRule="auto"/>
        <w:rPr>
          <w:rFonts w:hint="eastAsia" w:ascii="宋体" w:hAnsi="宋体" w:eastAsia="宋体" w:cs="宋体"/>
          <w:color w:val="auto"/>
          <w:highlight w:val="none"/>
        </w:rPr>
      </w:pPr>
      <w:bookmarkStart w:id="865" w:name="_Toc5975593"/>
      <w:bookmarkStart w:id="866" w:name="_Toc9"/>
      <w:bookmarkStart w:id="867" w:name="_Toc36568876"/>
      <w:r>
        <w:rPr>
          <w:rFonts w:hint="eastAsia" w:ascii="宋体" w:hAnsi="宋体" w:eastAsia="宋体" w:cs="宋体"/>
          <w:color w:val="auto"/>
          <w:highlight w:val="none"/>
        </w:rPr>
        <w:t>格式三：参与编制经济标投标文件人员名单</w:t>
      </w:r>
      <w:bookmarkEnd w:id="862"/>
      <w:bookmarkEnd w:id="863"/>
      <w:bookmarkEnd w:id="864"/>
      <w:bookmarkEnd w:id="865"/>
      <w:bookmarkEnd w:id="866"/>
      <w:bookmarkEnd w:id="867"/>
    </w:p>
    <w:p>
      <w:pPr>
        <w:tabs>
          <w:tab w:val="left" w:pos="720"/>
        </w:tabs>
        <w:snapToGrid w:val="0"/>
        <w:spacing w:line="360" w:lineRule="auto"/>
        <w:jc w:val="center"/>
        <w:rPr>
          <w:rFonts w:hint="eastAsia" w:ascii="宋体" w:hAnsi="宋体" w:eastAsia="宋体" w:cs="宋体"/>
          <w:color w:val="auto"/>
          <w:sz w:val="24"/>
          <w:highlight w:val="none"/>
        </w:rPr>
      </w:pPr>
    </w:p>
    <w:p>
      <w:pPr>
        <w:pStyle w:val="214"/>
        <w:ind w:firstLine="617"/>
        <w:rPr>
          <w:rFonts w:hint="eastAsia" w:ascii="宋体" w:hAnsi="宋体" w:eastAsia="宋体" w:cs="宋体"/>
          <w:color w:val="auto"/>
          <w:highlight w:val="none"/>
        </w:rPr>
      </w:pPr>
      <w:r>
        <w:rPr>
          <w:rFonts w:hint="eastAsia" w:ascii="宋体" w:hAnsi="宋体" w:eastAsia="宋体" w:cs="宋体"/>
          <w:color w:val="auto"/>
          <w:highlight w:val="none"/>
        </w:rPr>
        <w:t>参与编制经济标投标文件人员名单</w:t>
      </w:r>
    </w:p>
    <w:tbl>
      <w:tblPr>
        <w:tblStyle w:val="4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2"/>
        <w:gridCol w:w="2341"/>
        <w:gridCol w:w="2245"/>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9464" w:type="dxa"/>
            <w:gridSpan w:val="5"/>
            <w:vAlign w:val="center"/>
          </w:tcPr>
          <w:p>
            <w:pPr>
              <w:tabs>
                <w:tab w:val="left" w:pos="720"/>
              </w:tabs>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职务</w:t>
            </w: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所承担工作</w:t>
            </w: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19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1382"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41"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245"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c>
          <w:tcPr>
            <w:tcW w:w="2304" w:type="dxa"/>
            <w:vAlign w:val="center"/>
          </w:tcPr>
          <w:p>
            <w:pPr>
              <w:tabs>
                <w:tab w:val="left" w:pos="720"/>
              </w:tabs>
              <w:snapToGrid w:val="0"/>
              <w:spacing w:line="360" w:lineRule="auto"/>
              <w:jc w:val="center"/>
              <w:rPr>
                <w:rFonts w:hint="eastAsia" w:ascii="宋体" w:hAnsi="宋体" w:eastAsia="宋体" w:cs="宋体"/>
                <w:color w:val="auto"/>
                <w:sz w:val="24"/>
                <w:highlight w:val="none"/>
              </w:rPr>
            </w:pPr>
          </w:p>
        </w:tc>
      </w:tr>
    </w:tbl>
    <w:p>
      <w:pPr>
        <w:tabs>
          <w:tab w:val="left" w:pos="720"/>
        </w:tabs>
        <w:snapToGrid w:val="0"/>
        <w:spacing w:line="360" w:lineRule="auto"/>
        <w:rPr>
          <w:rFonts w:hint="eastAsia" w:ascii="宋体" w:hAnsi="宋体" w:eastAsia="宋体" w:cs="宋体"/>
          <w:color w:val="auto"/>
          <w:sz w:val="24"/>
          <w:highlight w:val="none"/>
        </w:rPr>
      </w:pPr>
    </w:p>
    <w:p>
      <w:pPr>
        <w:autoSpaceDE w:val="0"/>
        <w:autoSpaceDN w:val="0"/>
        <w:adjustRightInd w:val="0"/>
        <w:spacing w:line="360" w:lineRule="auto"/>
        <w:ind w:firstLine="368"/>
        <w:rPr>
          <w:rFonts w:hint="eastAsia" w:ascii="宋体" w:hAnsi="宋体" w:eastAsia="宋体" w:cs="宋体"/>
          <w:color w:val="auto"/>
          <w:szCs w:val="21"/>
          <w:highlight w:val="none"/>
        </w:rPr>
      </w:pPr>
      <w:r>
        <w:rPr>
          <w:rFonts w:hint="eastAsia" w:ascii="宋体" w:hAnsi="宋体" w:eastAsia="宋体" w:cs="宋体"/>
          <w:color w:val="auto"/>
          <w:highlight w:val="none"/>
        </w:rPr>
        <w:t>注：参与编制经济标书所有人员名单应包括如编制各种专业工程量清单投标报价、负责清样校对、负责打印及复印等所有人员在内的人员名单。</w:t>
      </w:r>
    </w:p>
    <w:p>
      <w:pPr>
        <w:autoSpaceDE w:val="0"/>
        <w:autoSpaceDN w:val="0"/>
        <w:adjustRightInd w:val="0"/>
        <w:outlineLvl w:val="2"/>
        <w:rPr>
          <w:rFonts w:hint="eastAsia" w:ascii="宋体" w:hAnsi="宋体" w:eastAsia="宋体" w:cs="宋体"/>
          <w:color w:val="auto"/>
          <w:highlight w:val="none"/>
        </w:rPr>
      </w:pPr>
      <w:r>
        <w:rPr>
          <w:rFonts w:hint="eastAsia" w:ascii="宋体" w:hAnsi="宋体" w:eastAsia="宋体" w:cs="宋体"/>
          <w:color w:val="auto"/>
          <w:sz w:val="24"/>
          <w:highlight w:val="none"/>
        </w:rPr>
        <w:br w:type="page"/>
      </w:r>
      <w:bookmarkStart w:id="868" w:name="_Toc5975594"/>
      <w:bookmarkStart w:id="869" w:name="_Toc12014"/>
      <w:r>
        <w:rPr>
          <w:rFonts w:hint="eastAsia" w:ascii="宋体" w:hAnsi="宋体" w:eastAsia="宋体" w:cs="宋体"/>
          <w:b/>
          <w:bCs/>
          <w:color w:val="auto"/>
          <w:sz w:val="24"/>
          <w:szCs w:val="24"/>
          <w:highlight w:val="none"/>
        </w:rPr>
        <w:t>格式四：对投标文件编制的承诺</w:t>
      </w:r>
      <w:bookmarkEnd w:id="868"/>
      <w:bookmarkEnd w:id="869"/>
    </w:p>
    <w:p>
      <w:pPr>
        <w:pStyle w:val="156"/>
        <w:spacing w:line="360" w:lineRule="auto"/>
        <w:ind w:firstLine="643"/>
        <w:jc w:val="center"/>
        <w:rPr>
          <w:rFonts w:hint="eastAsia" w:ascii="宋体" w:hAnsi="宋体" w:eastAsia="宋体" w:cs="宋体"/>
          <w:b/>
          <w:color w:val="auto"/>
          <w:sz w:val="32"/>
          <w:szCs w:val="32"/>
          <w:highlight w:val="none"/>
        </w:rPr>
      </w:pPr>
    </w:p>
    <w:p>
      <w:pPr>
        <w:pStyle w:val="156"/>
        <w:spacing w:line="360" w:lineRule="auto"/>
        <w:ind w:firstLine="643"/>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对投标文件编制的承诺</w:t>
      </w:r>
    </w:p>
    <w:p>
      <w:pPr>
        <w:pStyle w:val="156"/>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本公司授权</w:t>
      </w:r>
      <w:r>
        <w:rPr>
          <w:rFonts w:hint="eastAsia" w:ascii="宋体" w:hAnsi="宋体" w:eastAsia="宋体" w:cs="宋体"/>
          <w:color w:val="auto"/>
          <w:sz w:val="24"/>
          <w:szCs w:val="24"/>
          <w:highlight w:val="none"/>
          <w:u w:val="single"/>
        </w:rPr>
        <w:t xml:space="preserve">         （身份证号：               ）</w:t>
      </w:r>
      <w:r>
        <w:rPr>
          <w:rFonts w:hint="eastAsia" w:ascii="宋体" w:hAnsi="宋体" w:eastAsia="宋体" w:cs="宋体"/>
          <w:color w:val="auto"/>
          <w:sz w:val="24"/>
          <w:szCs w:val="24"/>
          <w:highlight w:val="none"/>
        </w:rPr>
        <w:t>负责对投标文件的编制及内容进行解释、说明，并承诺以下事项：</w:t>
      </w:r>
    </w:p>
    <w:p>
      <w:pPr>
        <w:pStyle w:val="156"/>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1.被授权人清楚投标文件编制的具体情况，包括技术方案文件、工程量清单、以及投标文件的加密打包的理解；</w:t>
      </w:r>
    </w:p>
    <w:p>
      <w:pPr>
        <w:pStyle w:val="156"/>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2.在本项目开标至评标结束前，努力确保被授权人在项目评标所在地附近；</w:t>
      </w:r>
    </w:p>
    <w:p>
      <w:pPr>
        <w:pStyle w:val="156"/>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3.从评标委员会要求澄清起二小时内，被授权人应如实地书面澄清。</w:t>
      </w:r>
    </w:p>
    <w:p>
      <w:pPr>
        <w:pStyle w:val="156"/>
        <w:spacing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如由于未遵守上述承诺内容之一导致无法进行澄清的，我公司认可和接受评标委员会作出的评审结论。                                 </w:t>
      </w:r>
    </w:p>
    <w:p>
      <w:pPr>
        <w:pStyle w:val="156"/>
        <w:spacing w:line="360" w:lineRule="auto"/>
        <w:ind w:firstLine="360" w:firstLineChars="150"/>
        <w:rPr>
          <w:rFonts w:hint="eastAsia" w:ascii="宋体" w:hAnsi="宋体" w:eastAsia="宋体" w:cs="宋体"/>
          <w:color w:val="auto"/>
          <w:sz w:val="24"/>
          <w:szCs w:val="24"/>
          <w:highlight w:val="none"/>
        </w:rPr>
      </w:pPr>
    </w:p>
    <w:p>
      <w:pPr>
        <w:pStyle w:val="156"/>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pPr>
        <w:spacing w:line="360" w:lineRule="auto"/>
        <w:ind w:right="90" w:firstLine="3240" w:firstLineChars="1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投标人名称（盖法人公章）：</w:t>
      </w:r>
    </w:p>
    <w:p>
      <w:pPr>
        <w:spacing w:line="360" w:lineRule="auto"/>
        <w:ind w:firstLine="2160" w:firstLineChars="9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法定代表人或被授权人（签字或盖章）：</w:t>
      </w:r>
    </w:p>
    <w:p>
      <w:pPr>
        <w:spacing w:line="360" w:lineRule="auto"/>
        <w:ind w:firstLine="4440" w:firstLineChars="18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 </w:t>
      </w:r>
    </w:p>
    <w:p>
      <w:pPr>
        <w:pStyle w:val="2"/>
        <w:rPr>
          <w:rFonts w:hint="eastAsia" w:ascii="宋体" w:hAnsi="宋体" w:eastAsia="宋体" w:cs="宋体"/>
          <w:color w:val="auto"/>
          <w:highlight w:val="none"/>
          <w:lang w:val="en-US"/>
        </w:rPr>
      </w:pPr>
    </w:p>
    <w:p>
      <w:pPr>
        <w:pStyle w:val="156"/>
        <w:spacing w:line="360" w:lineRule="auto"/>
        <w:ind w:firstLine="643"/>
        <w:jc w:val="center"/>
        <w:rPr>
          <w:rFonts w:hint="eastAsia" w:ascii="宋体" w:hAnsi="宋体" w:eastAsia="宋体" w:cs="宋体"/>
          <w:color w:val="auto"/>
          <w:sz w:val="18"/>
          <w:szCs w:val="18"/>
          <w:highlight w:val="none"/>
        </w:rPr>
      </w:pPr>
      <w:r>
        <w:rPr>
          <w:rFonts w:hint="eastAsia" w:ascii="宋体" w:hAnsi="宋体" w:eastAsia="宋体" w:cs="宋体"/>
          <w:b/>
          <w:color w:val="auto"/>
          <w:sz w:val="32"/>
          <w:szCs w:val="32"/>
          <w:highlight w:val="none"/>
        </w:rPr>
        <w:t>投标文件编制情况</w:t>
      </w:r>
    </w:p>
    <w:p>
      <w:pPr>
        <w:pStyle w:val="156"/>
        <w:spacing w:line="360" w:lineRule="auto"/>
        <w:ind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1.投标文件报价编制方式: □自行编制的，编制的负责人：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（盖造价工程师执业专用章或全国建设工程造价员章，执业单位应与投标人一致） </w:t>
      </w:r>
      <w:r>
        <w:rPr>
          <w:rFonts w:hint="eastAsia" w:ascii="宋体" w:hAnsi="宋体" w:eastAsia="宋体" w:cs="宋体"/>
          <w:color w:val="auto"/>
          <w:sz w:val="24"/>
          <w:szCs w:val="24"/>
          <w:highlight w:val="none"/>
        </w:rPr>
        <w:t>。□委托编制的，受委托单位，编制的负责人：</w:t>
      </w:r>
      <w:r>
        <w:rPr>
          <w:rFonts w:hint="eastAsia" w:ascii="宋体" w:hAnsi="宋体" w:eastAsia="宋体" w:cs="宋体"/>
          <w:color w:val="auto"/>
          <w:sz w:val="24"/>
          <w:szCs w:val="24"/>
          <w:highlight w:val="none"/>
          <w:u w:val="single"/>
        </w:rPr>
        <w:t xml:space="preserve"> （盖造价工程师执业专用章或全国建设工程造价员章，执业单位应与受委托单位一致） </w:t>
      </w:r>
      <w:r>
        <w:rPr>
          <w:rFonts w:hint="eastAsia" w:ascii="宋体" w:hAnsi="宋体" w:eastAsia="宋体" w:cs="宋体"/>
          <w:color w:val="auto"/>
          <w:sz w:val="24"/>
          <w:szCs w:val="24"/>
          <w:highlight w:val="none"/>
        </w:rPr>
        <w:t>。</w:t>
      </w:r>
    </w:p>
    <w:p>
      <w:pPr>
        <w:pStyle w:val="156"/>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2.投标文件加密打包的电脑情况</w:t>
      </w:r>
    </w:p>
    <w:tbl>
      <w:tblPr>
        <w:tblStyle w:val="40"/>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rPr>
          <w:trHeight w:val="2819" w:hRule="atLeast"/>
        </w:trPr>
        <w:tc>
          <w:tcPr>
            <w:tcW w:w="8522" w:type="dxa"/>
          </w:tcPr>
          <w:p>
            <w:pPr>
              <w:pStyle w:val="156"/>
              <w:spacing w:line="360" w:lineRule="auto"/>
              <w:ind w:firstLine="48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投标文件加密打包的电脑     自有    □      外包    □     其他    □</w:t>
            </w:r>
          </w:p>
          <w:p>
            <w:pPr>
              <w:pStyle w:val="156"/>
              <w:spacing w:line="360" w:lineRule="auto"/>
              <w:ind w:firstLine="48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电脑类型</w:t>
            </w:r>
          </w:p>
          <w:p>
            <w:pPr>
              <w:pStyle w:val="156"/>
              <w:spacing w:line="360" w:lineRule="auto"/>
              <w:ind w:firstLine="48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电脑所属单位</w:t>
            </w:r>
          </w:p>
          <w:p>
            <w:pPr>
              <w:pStyle w:val="156"/>
              <w:spacing w:line="360" w:lineRule="auto"/>
              <w:ind w:firstLine="48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电脑所在地址        （如××市××区(县) ××街（路）××号××大厦××房）</w:t>
            </w:r>
          </w:p>
        </w:tc>
      </w:tr>
    </w:tbl>
    <w:p>
      <w:pPr>
        <w:tabs>
          <w:tab w:val="left" w:pos="720"/>
        </w:tabs>
        <w:snapToGrid w:val="0"/>
        <w:spacing w:line="360" w:lineRule="auto"/>
        <w:rPr>
          <w:rFonts w:hint="eastAsia" w:ascii="宋体" w:hAnsi="宋体" w:eastAsia="宋体" w:cs="宋体"/>
          <w:color w:val="auto"/>
          <w:sz w:val="24"/>
          <w:szCs w:val="24"/>
          <w:highlight w:val="none"/>
        </w:rPr>
      </w:pPr>
    </w:p>
    <w:p>
      <w:pPr>
        <w:pStyle w:val="4"/>
        <w:rPr>
          <w:rFonts w:hint="eastAsia" w:ascii="宋体" w:hAnsi="宋体" w:eastAsia="宋体" w:cs="宋体"/>
          <w:color w:val="auto"/>
          <w:highlight w:val="none"/>
        </w:rPr>
      </w:pPr>
      <w:bookmarkStart w:id="870" w:name="_Toc20788"/>
      <w:bookmarkStart w:id="871" w:name="_Toc5975595"/>
      <w:r>
        <w:rPr>
          <w:rFonts w:hint="eastAsia" w:ascii="宋体" w:hAnsi="宋体" w:eastAsia="宋体" w:cs="宋体"/>
          <w:color w:val="auto"/>
          <w:highlight w:val="none"/>
        </w:rPr>
        <w:t>第五章技术条件（工程建设标准）</w:t>
      </w:r>
      <w:bookmarkEnd w:id="870"/>
      <w:bookmarkEnd w:id="871"/>
    </w:p>
    <w:p>
      <w:pPr>
        <w:widowControl/>
        <w:topLinePunct/>
        <w:adjustRightInd w:val="0"/>
        <w:snapToGrid w:val="0"/>
        <w:spacing w:after="20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下列文件应被认</w:t>
      </w:r>
      <w:bookmarkStart w:id="872" w:name="_Toc392692104"/>
      <w:bookmarkStart w:id="873" w:name="_Toc392863103"/>
      <w:r>
        <w:rPr>
          <w:rFonts w:hint="eastAsia" w:ascii="宋体" w:hAnsi="宋体" w:eastAsia="宋体" w:cs="宋体"/>
          <w:color w:val="auto"/>
          <w:sz w:val="24"/>
          <w:szCs w:val="24"/>
          <w:highlight w:val="none"/>
        </w:rPr>
        <w:t>为是组成本章内容的</w:t>
      </w:r>
      <w:bookmarkEnd w:id="872"/>
      <w:bookmarkEnd w:id="873"/>
      <w:r>
        <w:rPr>
          <w:rFonts w:hint="eastAsia" w:ascii="宋体" w:hAnsi="宋体" w:eastAsia="宋体" w:cs="宋体"/>
          <w:color w:val="auto"/>
          <w:sz w:val="24"/>
          <w:szCs w:val="24"/>
          <w:highlight w:val="none"/>
        </w:rPr>
        <w:t>一部分，并互为补充和解释，如各文件存在冲突之处，以如下排列次序在前者优先适用：</w:t>
      </w:r>
    </w:p>
    <w:p>
      <w:pPr>
        <w:widowControl/>
        <w:topLinePunct/>
        <w:adjustRightInd w:val="0"/>
        <w:snapToGrid w:val="0"/>
        <w:spacing w:after="20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1、遵照广州发展集团股份有限公司相关规定要求；</w:t>
      </w:r>
    </w:p>
    <w:p>
      <w:pPr>
        <w:widowControl/>
        <w:topLinePunct/>
        <w:adjustRightInd w:val="0"/>
        <w:snapToGrid w:val="0"/>
        <w:spacing w:after="20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2、采用图纸中规定的其它技术和验收标准；</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3、采用中华人民共和国现行技术和验收规范。</w:t>
      </w:r>
    </w:p>
    <w:p>
      <w:pPr>
        <w:ind w:firstLine="480" w:firstLineChars="200"/>
        <w:rPr>
          <w:rFonts w:hint="eastAsia" w:ascii="宋体" w:hAnsi="宋体" w:eastAsia="宋体" w:cs="宋体"/>
          <w:color w:val="auto"/>
          <w:sz w:val="24"/>
          <w:szCs w:val="24"/>
          <w:highlight w:val="none"/>
        </w:rPr>
      </w:pP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1.标准</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引用的国家及有关部委颁布的标准、规范、和规程。若施工时期建设主管部门颁布新的规范、标准，则按照新的规范、标准执行。</w:t>
      </w: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2.施工组织设计要点</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如果中标，中标人应按项目的进展需求，并在规定的时间内按要点要求，编制详细的施工组织设计，作为工程施工的指导性文件，向建设单位提交一式五份的《施工组织设计方案》，内容包括（不限于）以下：</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（一）工程概况及特点</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工程概况</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工程简述，工程规模，工程承包范围，地质及地貌状况，自然环境，交通情况等。</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工程特点</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设计特点、工程特点、影响施工的主要和特殊环节分析等。</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（二）施工现场组织机构</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组织机构关系图</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工程主要负责人简介。</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（三）施工现场总平面布置图</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施工现场平面布置图</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面布置要求内容全面，充分利用现场条件，合理布置施工队、材料站、指挥部等。确定现场指挥部（工程处）和工区的驻地，材料站的设置，施工工区与施工班驻地，主要交通道路和通讯设施。平面布置图采用A3纸，图面要求线条清晰、标志明确。</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（四）施工方案</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施工准备</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简要叙述施工技术资料、材料、通讯、施工场地的准备，施工机械、施工力量的配置，以及生活设施等的准备情况。主要施工机械设备表。</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 施工工序总体安排</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主要工序和特殊工序的施工方法和施工效率估计，潜在问题的分析。</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 工程成本的控制措施为控制成本，提高效益，拟采取的措施。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（五）工期及施工进度计划</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工期规划及要求</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用横道图反映各主要施工过程的计划进度，深度达到全面、准确、清楚的描述工程实施过程，从中可衍生出各种施工资源计划及其过程管理信息。</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 施工进度计划网络图</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施工网络图应明确工程开工、竣工日期，工程施工的关键路线，并针对关键工序，提出确保工期拟采取的措施。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施工资源（人力、材料、机具、场地及进场道路、公共关系）计划</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 施工进度计划分析</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计划潜在问题，计划中的潜力及其开发途径等。</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 计划控制</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程序、方法及制度等。</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（六）质量目标、质量保证体系及技术组织措施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 质量目标</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本工程要求的质量目标：合格。</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用单位工程和分项工程合格率、优良品率表示，欲达到的工程质量等级。</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 质量管理组织机构及主要职责</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用框图表示质量管理组织机构，并简要叙述各质量管理部门的主要职责。</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 质量管理的措施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简要叙述质量管理的措施和关键工序的质量控制。</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 质量管理及检验的标准</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执行的主要质量标准、规范。</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 质量保证技术措施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针对本工程特点，分析质量薄弱环节，拟将采取的技术措施。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（七）安全目标、安全保证体系及技术组织措施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安全管理目标</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 安全管理组织机构及主要职责</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用框图表示安全管理组织机构，并简要叙述各安全管理部门及人员的主要职责。</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 安全管理制度及办法</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安全组织技术措施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针对本工程特点，分析安全薄弱环节，拟将采取的技术措施。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 重要施工方案和特殊施工工序的安全过程控制</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7.6 严格执行《建筑施工安全检查标准》(JGJ59-99)和省、市建设主管部门有关文明施工的规定。并按照甲方要求安排工作时间，在施工中尽量减少噪音，必要时采取有效的隔音措施，混凝土浇灌需连续不间断作业时，按有关规定申报夜间施工许可证。</w:t>
      </w:r>
    </w:p>
    <w:p>
      <w:pPr>
        <w:spacing w:line="360" w:lineRule="auto"/>
        <w:rPr>
          <w:rFonts w:hint="eastAsia" w:ascii="宋体" w:hAnsi="宋体" w:eastAsia="宋体" w:cs="宋体"/>
          <w:color w:val="auto"/>
          <w:sz w:val="24"/>
          <w:szCs w:val="24"/>
          <w:highlight w:val="none"/>
        </w:rPr>
      </w:pPr>
      <w:bookmarkStart w:id="874" w:name="_Hlt531956504"/>
      <w:r>
        <w:rPr>
          <w:rFonts w:hint="eastAsia" w:ascii="宋体" w:hAnsi="宋体" w:eastAsia="宋体" w:cs="宋体"/>
          <w:color w:val="auto"/>
          <w:sz w:val="24"/>
          <w:szCs w:val="24"/>
          <w:highlight w:val="none"/>
        </w:rPr>
        <w:t>安全生产目标：杜绝本项目施工人员重大伤亡事故。</w:t>
      </w:r>
      <w:bookmarkEnd w:id="874"/>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文明施工目标：标准化管理。</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（八）环境保护及文明施工</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 环境保护</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分析因施工可能引起的环境保护方面的问题。</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加强施工管理、严格保护环境</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提出环境保护的目标及采取的具体措施。</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文明施工的目标、组织机构和实施方案</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 文明施工考核、管理办法</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（九）计划、统计和信息管理</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 计划、统计报表的编制与传递；</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信息管理</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提出信息管理的目标及拟将采取的措施。</w:t>
      </w:r>
    </w:p>
    <w:p>
      <w:pPr>
        <w:spacing w:line="360" w:lineRule="auto"/>
        <w:ind w:firstLine="480" w:firstLineChars="200"/>
        <w:jc w:val="left"/>
        <w:rPr>
          <w:rFonts w:hint="eastAsia" w:ascii="宋体" w:hAnsi="宋体" w:eastAsia="宋体" w:cs="宋体"/>
          <w:color w:val="auto"/>
          <w:sz w:val="24"/>
          <w:szCs w:val="24"/>
          <w:highlight w:val="none"/>
        </w:rPr>
      </w:pPr>
    </w:p>
    <w:p>
      <w:pPr>
        <w:pStyle w:val="4"/>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875" w:name="_Toc5975596"/>
      <w:bookmarkStart w:id="876" w:name="_Toc22386"/>
      <w:r>
        <w:rPr>
          <w:rFonts w:hint="eastAsia" w:ascii="宋体" w:hAnsi="宋体" w:eastAsia="宋体" w:cs="宋体"/>
          <w:color w:val="auto"/>
          <w:highlight w:val="none"/>
        </w:rPr>
        <w:t>第六章图纸及勘察资料</w:t>
      </w:r>
      <w:bookmarkEnd w:id="875"/>
      <w:bookmarkEnd w:id="876"/>
    </w:p>
    <w:p>
      <w:pP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注：另册。</w:t>
      </w:r>
    </w:p>
    <w:p>
      <w:pPr>
        <w:pStyle w:val="4"/>
        <w:rPr>
          <w:rFonts w:hint="eastAsia" w:ascii="宋体" w:hAnsi="宋体" w:eastAsia="宋体" w:cs="宋体"/>
          <w:color w:val="auto"/>
          <w:highlight w:val="none"/>
        </w:rPr>
      </w:pPr>
      <w:r>
        <w:rPr>
          <w:rFonts w:hint="eastAsia" w:ascii="宋体" w:hAnsi="宋体" w:eastAsia="宋体" w:cs="宋体"/>
          <w:color w:val="auto"/>
          <w:sz w:val="24"/>
          <w:szCs w:val="24"/>
          <w:highlight w:val="none"/>
        </w:rPr>
        <w:br w:type="page"/>
      </w:r>
      <w:bookmarkStart w:id="877" w:name="_Toc20411"/>
      <w:bookmarkStart w:id="878" w:name="_Toc5975597"/>
      <w:bookmarkStart w:id="879" w:name="_GoBack"/>
      <w:bookmarkEnd w:id="879"/>
      <w:r>
        <w:rPr>
          <w:rFonts w:hint="eastAsia" w:ascii="宋体" w:hAnsi="宋体" w:eastAsia="宋体" w:cs="宋体"/>
          <w:color w:val="auto"/>
          <w:highlight w:val="none"/>
        </w:rPr>
        <w:t>第七章工程量清单</w:t>
      </w:r>
      <w:bookmarkEnd w:id="877"/>
      <w:bookmarkEnd w:id="878"/>
    </w:p>
    <w:p>
      <w:pPr>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另册</w:t>
      </w:r>
    </w:p>
    <w:p>
      <w:pPr>
        <w:pStyle w:val="156"/>
        <w:spacing w:line="360" w:lineRule="auto"/>
        <w:ind w:left="-2" w:leftChars="-1" w:firstLine="960" w:firstLineChars="400"/>
        <w:rPr>
          <w:rFonts w:hint="eastAsia" w:ascii="宋体" w:hAnsi="宋体" w:eastAsia="宋体" w:cs="宋体"/>
          <w:color w:val="auto"/>
          <w:sz w:val="24"/>
          <w:highlight w:val="none"/>
        </w:rPr>
      </w:pPr>
    </w:p>
    <w:p>
      <w:pPr>
        <w:rPr>
          <w:rFonts w:hint="eastAsia" w:ascii="宋体" w:hAnsi="宋体" w:eastAsia="宋体" w:cs="宋体"/>
          <w:color w:val="auto"/>
          <w:highlight w:val="none"/>
        </w:rPr>
      </w:pPr>
    </w:p>
    <w:p>
      <w:pPr>
        <w:spacing w:line="600" w:lineRule="exact"/>
        <w:jc w:val="center"/>
        <w:rPr>
          <w:rFonts w:hint="eastAsia" w:ascii="宋体" w:hAnsi="宋体" w:eastAsia="宋体" w:cs="宋体"/>
          <w:color w:val="auto"/>
          <w:sz w:val="24"/>
          <w:szCs w:val="24"/>
          <w:highlight w:val="none"/>
        </w:rPr>
      </w:pPr>
    </w:p>
    <w:sectPr>
      <w:endnotePr>
        <w:numFmt w:val="decimal"/>
      </w:endnotePr>
      <w:pgSz w:w="11906" w:h="16838"/>
      <w:pgMar w:top="1417" w:right="1417" w:bottom="1417" w:left="1417" w:header="850" w:footer="907" w:gutter="0"/>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sto MT">
    <w:panose1 w:val="02040603050505030304"/>
    <w:charset w:val="00"/>
    <w:family w:val="roman"/>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altName w:val="方正舒体"/>
    <w:panose1 w:val="02010601030101010101"/>
    <w:charset w:val="86"/>
    <w:family w:val="script"/>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guYAWAgAAFw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yoLmA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6GRVoW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ehkVa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240</w:t>
                    </w:r>
                    <w:r>
                      <w:rPr>
                        <w:rFonts w:hint="eastAsia"/>
                        <w:lang w:eastAsia="zh-CN"/>
                      </w:rPr>
                      <w:fldChar w:fldCharType="end"/>
                    </w:r>
                  </w:p>
                </w:txbxContent>
              </v:textbox>
            </v:shape>
          </w:pict>
        </mc:Fallback>
      </mc:AlternateContent>
    </w:r>
  </w:p>
  <w:p>
    <w:pPr>
      <w:pStyle w:val="2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ElyQW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aUKKZwpJO37+dfvw6/fxKohIQtdbP4Lmx8A3dW9Nh1YPeQxkn&#10;7yqn4o2ZCOwA+3gBWHSB8Bg0nUynOUwctuGB/NljuHU+vBNGkSgU1GGDCVh2WPvQuw4usZo2q0bK&#10;tEWpSVvQ69d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iRJck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2"/>
    </w:pPr>
    <w:r>
      <w:fldChar w:fldCharType="begin"/>
    </w:r>
    <w:r>
      <w:instrText xml:space="preserve">PAGE  </w:instrText>
    </w:r>
    <w:r>
      <w:fldChar w:fldCharType="separate"/>
    </w:r>
    <w:r>
      <w:rPr>
        <w:rFonts w:hint="eastAsia"/>
        <w:lang w:val="en-US"/>
      </w:rPr>
      <w:t>一</w:t>
    </w:r>
    <w:r>
      <w:rPr>
        <w:lang w:val="en-US"/>
      </w:rPr>
      <w:t>–2</w:t>
    </w:r>
    <w:r>
      <w:rPr>
        <w:lang w:val="en-US"/>
      </w:rPr>
      <w:fldChar w:fldCharType="end"/>
    </w:r>
  </w:p>
  <w:p>
    <w:pPr>
      <w:pStyle w:val="27"/>
      <w:ind w:firstLine="392"/>
    </w:pPr>
    <w:r>
      <w:t>--</w: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5ia/4WAgAAFw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NKNFMYUmn799OP36dfn4lUQmIWutn8NxY+Iburemw6kHvoYyT&#10;d5VT8cZMBHaAfbwALLpAeAyaTqbTHCYO2/BA/uwx3Dof3gmjSBQK6rDBBCw7rH3oXQeXWE2bVSNl&#10;2qLUpC3o9es3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OYmv+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e9WIWAgAAFwQAAA4AAABkcnMvZTJvRG9jLnhtbK1Ty47TMBTdI/EP&#10;lvc0aWcY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19RYlmCks6fft6+v50+vGFRCUgaq2fwXNj4Ru6N6bDqge9hzJO&#10;3lVOxRszEdgB9vECsOgC4TFoOplOc5g4bMMD+bPncOt8eCuMIlEoqMMGE7DssPahdx1cYjVtVo2U&#10;aYtSk7agN1ev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l3vVi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pPr>
    <w:r>
      <w:fldChar w:fldCharType="begin"/>
    </w:r>
    <w:r>
      <w:instrText xml:space="preserve">PAGE  </w:instrText>
    </w:r>
    <w:r>
      <w:fldChar w:fldCharType="separate"/>
    </w:r>
    <w:r>
      <w:rPr>
        <w:rFonts w:hint="eastAsia"/>
        <w:lang w:val="en-US"/>
      </w:rPr>
      <w:t>一</w:t>
    </w:r>
    <w:r>
      <w:rPr>
        <w:lang w:val="en-US"/>
      </w:rPr>
      <w:t>–2</w:t>
    </w:r>
    <w:r>
      <w:rPr>
        <w:lang w:val="en-US"/>
      </w:rPr>
      <w:fldChar w:fldCharType="end"/>
    </w:r>
  </w:p>
  <w:p>
    <w:pPr>
      <w:pStyle w:val="27"/>
      <w:ind w:right="360" w:firstLine="360"/>
      <w:jc w:val="center"/>
    </w:pPr>
    <w:r>
      <w:rPr>
        <w:sz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2584D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dW1Cf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5"/>
      </w:rPr>
    </w:pPr>
    <w:r>
      <w:fldChar w:fldCharType="begin"/>
    </w:r>
    <w:r>
      <w:rPr>
        <w:rStyle w:val="45"/>
      </w:rPr>
      <w:instrText xml:space="preserve">PAGE  </w:instrText>
    </w:r>
    <w:r>
      <w:fldChar w:fldCharType="end"/>
    </w:r>
  </w:p>
  <w:p>
    <w:pPr>
      <w:pStyle w:val="2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ZguEWAgAAFwQAAA4AAABkcnMvZTJvRG9jLnhtbK1Ty47TMBTdI/EP&#10;lvc0aRmq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c2UEs0UlnT++uX87cf5+2cSlYCotX4Oz62Fb+hemw6rHvQeyjh5&#10;VzkVb8xEYAfYpyvAoguEx6DZZDbLYeKwDQ/kz57CrfPhjTCKRKGgDhtMwLLjxofedXCJ1bRZN1Km&#10;LUpN2oJOX77K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hmYLh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v:textbox>
            </v:shape>
          </w:pict>
        </mc:Fallback>
      </mc:AlternateContent>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92"/>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92"/>
    </w:pPr>
    <w:r>
      <w:rPr>
        <w:rFonts w:hint="eastAsia"/>
      </w:rPr>
      <w:t>横枝岗路道路排水改造工程招标文件</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pP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i/>
        <w:iCs/>
      </w:rPr>
    </w:pPr>
    <w:r>
      <w:rPr>
        <w:rFonts w:hint="eastAsia"/>
        <w:i/>
        <w:iCs/>
      </w:rPr>
      <w:t>横枝岗路道路排水改造工程招标文件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right"/>
      <w:rPr>
        <w:i/>
        <w:i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B87B05"/>
    <w:multiLevelType w:val="singleLevel"/>
    <w:tmpl w:val="A4B87B05"/>
    <w:lvl w:ilvl="0" w:tentative="0">
      <w:start w:val="1"/>
      <w:numFmt w:val="decimal"/>
      <w:lvlText w:val="%1)"/>
      <w:lvlJc w:val="left"/>
      <w:pPr>
        <w:ind w:left="425" w:hanging="425"/>
      </w:pPr>
      <w:rPr>
        <w:rFonts w:hint="default"/>
      </w:rPr>
    </w:lvl>
  </w:abstractNum>
  <w:abstractNum w:abstractNumId="1">
    <w:nsid w:val="F1893EE2"/>
    <w:multiLevelType w:val="singleLevel"/>
    <w:tmpl w:val="F1893EE2"/>
    <w:lvl w:ilvl="0" w:tentative="0">
      <w:start w:val="12"/>
      <w:numFmt w:val="chineseCounting"/>
      <w:suff w:val="nothing"/>
      <w:lvlText w:val="%1、"/>
      <w:lvlJc w:val="left"/>
      <w:rPr>
        <w:rFonts w:hint="eastAsia"/>
      </w:rPr>
    </w:lvl>
  </w:abstractNum>
  <w:abstractNum w:abstractNumId="2">
    <w:nsid w:val="FFB4B1E7"/>
    <w:multiLevelType w:val="singleLevel"/>
    <w:tmpl w:val="FFB4B1E7"/>
    <w:lvl w:ilvl="0" w:tentative="0">
      <w:start w:val="3"/>
      <w:numFmt w:val="chineseCounting"/>
      <w:suff w:val="nothing"/>
      <w:lvlText w:val="%1、"/>
      <w:lvlJc w:val="left"/>
      <w:rPr>
        <w:rFonts w:hint="eastAsia"/>
      </w:rPr>
    </w:lvl>
  </w:abstractNum>
  <w:abstractNum w:abstractNumId="3">
    <w:nsid w:val="00000004"/>
    <w:multiLevelType w:val="multilevel"/>
    <w:tmpl w:val="00000004"/>
    <w:lvl w:ilvl="0" w:tentative="0">
      <w:start w:val="1"/>
      <w:numFmt w:val="chineseCountingThousand"/>
      <w:pStyle w:val="255"/>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10"/>
      <w:suff w:val="space"/>
      <w:lvlText w:val="%2.%3.%4"/>
      <w:lvlJc w:val="left"/>
      <w:pPr>
        <w:ind w:left="284" w:hanging="284"/>
      </w:pPr>
      <w:rPr>
        <w:rFonts w:hint="eastAsia" w:ascii="宋体" w:eastAsia="宋体" w:cs="Times New Roman"/>
        <w:b/>
        <w:i w:val="0"/>
        <w:sz w:val="28"/>
      </w:rPr>
    </w:lvl>
    <w:lvl w:ilvl="4" w:tentative="0">
      <w:start w:val="1"/>
      <w:numFmt w:val="decimal"/>
      <w:pStyle w:val="12"/>
      <w:isLgl/>
      <w:suff w:val="space"/>
      <w:lvlText w:val="%2.%3.%4.%5"/>
      <w:lvlJc w:val="left"/>
      <w:pPr>
        <w:ind w:left="284" w:hanging="284"/>
      </w:pPr>
      <w:rPr>
        <w:rFonts w:hint="eastAsia" w:ascii="宋体" w:eastAsia="宋体" w:cs="Times New Roman"/>
        <w:b/>
        <w:i w:val="0"/>
        <w:sz w:val="28"/>
      </w:rPr>
    </w:lvl>
    <w:lvl w:ilvl="5" w:tentative="0">
      <w:start w:val="1"/>
      <w:numFmt w:val="decimal"/>
      <w:suff w:val="space"/>
      <w:lvlText w:val="1.1.1.1.1.%6%5"/>
      <w:lvlJc w:val="left"/>
      <w:rPr>
        <w:rFonts w:hint="eastAsia" w:ascii="宋体" w:eastAsia="宋体" w:cs="Times New Roman"/>
        <w:b/>
        <w:i w:val="0"/>
        <w:sz w:val="28"/>
      </w:rPr>
    </w:lvl>
    <w:lvl w:ilvl="6" w:tentative="0">
      <w:start w:val="1"/>
      <w:numFmt w:val="none"/>
      <w:pStyle w:val="14"/>
      <w:suff w:val="nothing"/>
      <w:lvlText w:val=""/>
      <w:lvlJc w:val="left"/>
      <w:rPr>
        <w:rFonts w:hint="eastAsia" w:cs="Times New Roman"/>
      </w:rPr>
    </w:lvl>
    <w:lvl w:ilvl="7" w:tentative="0">
      <w:start w:val="1"/>
      <w:numFmt w:val="none"/>
      <w:pStyle w:val="15"/>
      <w:suff w:val="nothing"/>
      <w:lvlText w:val=""/>
      <w:lvlJc w:val="left"/>
      <w:rPr>
        <w:rFonts w:hint="eastAsia" w:cs="Times New Roman"/>
      </w:rPr>
    </w:lvl>
    <w:lvl w:ilvl="8" w:tentative="0">
      <w:start w:val="1"/>
      <w:numFmt w:val="none"/>
      <w:pStyle w:val="16"/>
      <w:suff w:val="nothing"/>
      <w:lvlText w:val=""/>
      <w:lvlJc w:val="left"/>
      <w:rPr>
        <w:rFonts w:hint="eastAsia" w:cs="Times New Roman"/>
      </w:rPr>
    </w:lvl>
  </w:abstractNum>
  <w:abstractNum w:abstractNumId="4">
    <w:nsid w:val="00000006"/>
    <w:multiLevelType w:val="multilevel"/>
    <w:tmpl w:val="00000006"/>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13"/>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5">
    <w:nsid w:val="087057B6"/>
    <w:multiLevelType w:val="singleLevel"/>
    <w:tmpl w:val="087057B6"/>
    <w:lvl w:ilvl="0" w:tentative="0">
      <w:start w:val="1"/>
      <w:numFmt w:val="decimal"/>
      <w:lvlText w:val="(%1)"/>
      <w:lvlJc w:val="left"/>
      <w:pPr>
        <w:ind w:left="425" w:hanging="425"/>
      </w:pPr>
      <w:rPr>
        <w:rFonts w:hint="default"/>
      </w:rPr>
    </w:lvl>
  </w:abstractNum>
  <w:abstractNum w:abstractNumId="6">
    <w:nsid w:val="19B90126"/>
    <w:multiLevelType w:val="multilevel"/>
    <w:tmpl w:val="19B901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CD4B77"/>
    <w:multiLevelType w:val="multilevel"/>
    <w:tmpl w:val="62CD4B77"/>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62CD4B82"/>
    <w:multiLevelType w:val="multilevel"/>
    <w:tmpl w:val="62CD4B82"/>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62CD4B8D"/>
    <w:multiLevelType w:val="multilevel"/>
    <w:tmpl w:val="62CD4B8D"/>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2CD4B98"/>
    <w:multiLevelType w:val="multilevel"/>
    <w:tmpl w:val="62CD4B98"/>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2CD4BA3"/>
    <w:multiLevelType w:val="multilevel"/>
    <w:tmpl w:val="62CD4BA3"/>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12">
    <w:nsid w:val="62CD4BAE"/>
    <w:multiLevelType w:val="multilevel"/>
    <w:tmpl w:val="62CD4BAE"/>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62CD4BB9"/>
    <w:multiLevelType w:val="multilevel"/>
    <w:tmpl w:val="62CD4BB9"/>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62CD4BC4"/>
    <w:multiLevelType w:val="multilevel"/>
    <w:tmpl w:val="62CD4BC4"/>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62CD4BCF"/>
    <w:multiLevelType w:val="multilevel"/>
    <w:tmpl w:val="62CD4BCF"/>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62CD4BDA"/>
    <w:multiLevelType w:val="multilevel"/>
    <w:tmpl w:val="62CD4BDA"/>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62CD4BE5"/>
    <w:multiLevelType w:val="multilevel"/>
    <w:tmpl w:val="62CD4BE5"/>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62CD4BF0"/>
    <w:multiLevelType w:val="multilevel"/>
    <w:tmpl w:val="62CD4BF0"/>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62CD4BFB"/>
    <w:multiLevelType w:val="multilevel"/>
    <w:tmpl w:val="62CD4BFB"/>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2CD4C06"/>
    <w:multiLevelType w:val="multilevel"/>
    <w:tmpl w:val="62CD4C06"/>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2CD4C11"/>
    <w:multiLevelType w:val="multilevel"/>
    <w:tmpl w:val="62CD4C1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2CD4C1C"/>
    <w:multiLevelType w:val="multilevel"/>
    <w:tmpl w:val="62CD4C1C"/>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2CD4C28"/>
    <w:multiLevelType w:val="multilevel"/>
    <w:tmpl w:val="62CD4C28"/>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2CD4C33"/>
    <w:multiLevelType w:val="multilevel"/>
    <w:tmpl w:val="62CD4C33"/>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62CD4C3E"/>
    <w:multiLevelType w:val="multilevel"/>
    <w:tmpl w:val="62CD4C3E"/>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CD4C49"/>
    <w:multiLevelType w:val="multilevel"/>
    <w:tmpl w:val="62CD4C49"/>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2CD4C54"/>
    <w:multiLevelType w:val="multilevel"/>
    <w:tmpl w:val="62CD4C54"/>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62CD4C5F"/>
    <w:multiLevelType w:val="multilevel"/>
    <w:tmpl w:val="62CD4C5F"/>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2CD4C6A"/>
    <w:multiLevelType w:val="multilevel"/>
    <w:tmpl w:val="62CD4C6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62CD4C75"/>
    <w:multiLevelType w:val="multilevel"/>
    <w:tmpl w:val="62CD4C75"/>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2CD4C80"/>
    <w:multiLevelType w:val="multilevel"/>
    <w:tmpl w:val="62CD4C8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2CD4C8B"/>
    <w:multiLevelType w:val="multilevel"/>
    <w:tmpl w:val="62CD4C8B"/>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2CD4C96"/>
    <w:multiLevelType w:val="multilevel"/>
    <w:tmpl w:val="62CD4C9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62CD4CA1"/>
    <w:multiLevelType w:val="multilevel"/>
    <w:tmpl w:val="62CD4CA1"/>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num w:numId="1">
    <w:abstractNumId w:val="3"/>
  </w:num>
  <w:num w:numId="2">
    <w:abstractNumId w:val="4"/>
  </w:num>
  <w:num w:numId="3">
    <w:abstractNumId w:val="6"/>
  </w:num>
  <w:num w:numId="4">
    <w:abstractNumId w:val="0"/>
  </w:num>
  <w:num w:numId="5">
    <w:abstractNumId w:val="2"/>
  </w:num>
  <w:num w:numId="6">
    <w:abstractNumId w:val="1"/>
  </w:num>
  <w:num w:numId="7">
    <w:abstractNumId w:val="7"/>
    <w:lvlOverride w:ilvl="0">
      <w:startOverride w:val="1"/>
    </w:lvlOverride>
  </w:num>
  <w:num w:numId="8">
    <w:abstractNumId w:val="8"/>
    <w:lvlOverride w:ilvl="0">
      <w:startOverride w:val="1"/>
    </w:lvlOverride>
  </w:num>
  <w:num w:numId="9">
    <w:abstractNumId w:val="9"/>
    <w:lvlOverride w:ilvl="0">
      <w:startOverride w:val="1"/>
    </w:lvlOverride>
  </w:num>
  <w:num w:numId="10">
    <w:abstractNumId w:val="10"/>
    <w:lvlOverride w:ilvl="0">
      <w:startOverride w:val="1"/>
    </w:lvlOverride>
  </w:num>
  <w:num w:numId="11">
    <w:abstractNumId w:val="11"/>
    <w:lvlOverride w:ilvl="0">
      <w:startOverride w:val="1"/>
    </w:lvlOverride>
  </w:num>
  <w:num w:numId="12">
    <w:abstractNumId w:val="12"/>
    <w:lvlOverride w:ilvl="0">
      <w:startOverride w:val="1"/>
    </w:lvlOverride>
  </w:num>
  <w:num w:numId="13">
    <w:abstractNumId w:val="13"/>
    <w:lvlOverride w:ilvl="1">
      <w:startOverride w:val="1"/>
    </w:lvlOverride>
  </w:num>
  <w:num w:numId="14">
    <w:abstractNumId w:val="14"/>
    <w:lvlOverride w:ilvl="0">
      <w:startOverride w:val="1"/>
    </w:lvlOverride>
  </w:num>
  <w:num w:numId="15">
    <w:abstractNumId w:val="15"/>
    <w:lvlOverride w:ilvl="0">
      <w:startOverride w:val="1"/>
    </w:lvlOverride>
  </w:num>
  <w:num w:numId="16">
    <w:abstractNumId w:val="16"/>
    <w:lvlOverride w:ilvl="0">
      <w:startOverride w:val="1"/>
    </w:lvlOverride>
  </w:num>
  <w:num w:numId="17">
    <w:abstractNumId w:val="17"/>
    <w:lvlOverride w:ilvl="0">
      <w:startOverride w:val="1"/>
    </w:lvlOverride>
  </w:num>
  <w:num w:numId="18">
    <w:abstractNumId w:val="18"/>
    <w:lvlOverride w:ilvl="0">
      <w:startOverride w:val="1"/>
    </w:lvlOverride>
  </w:num>
  <w:num w:numId="19">
    <w:abstractNumId w:val="19"/>
    <w:lvlOverride w:ilvl="0">
      <w:startOverride w:val="1"/>
    </w:lvlOverride>
  </w:num>
  <w:num w:numId="20">
    <w:abstractNumId w:val="20"/>
    <w:lvlOverride w:ilvl="0">
      <w:startOverride w:val="1"/>
    </w:lvlOverride>
  </w:num>
  <w:num w:numId="21">
    <w:abstractNumId w:val="21"/>
    <w:lvlOverride w:ilvl="0">
      <w:startOverride w:val="1"/>
    </w:lvlOverride>
  </w:num>
  <w:num w:numId="22">
    <w:abstractNumId w:val="22"/>
    <w:lvlOverride w:ilvl="0">
      <w:startOverride w:val="1"/>
    </w:lvlOverride>
  </w:num>
  <w:num w:numId="23">
    <w:abstractNumId w:val="23"/>
    <w:lvlOverride w:ilvl="0">
      <w:startOverride w:val="1"/>
    </w:lvlOverride>
  </w:num>
  <w:num w:numId="24">
    <w:abstractNumId w:val="24"/>
    <w:lvlOverride w:ilvl="0">
      <w:startOverride w:val="1"/>
    </w:lvlOverride>
  </w:num>
  <w:num w:numId="25">
    <w:abstractNumId w:val="25"/>
    <w:lvlOverride w:ilvl="0">
      <w:startOverride w:val="1"/>
    </w:lvlOverride>
  </w:num>
  <w:num w:numId="26">
    <w:abstractNumId w:val="26"/>
    <w:lvlOverride w:ilvl="0">
      <w:startOverride w:val="1"/>
    </w:lvlOverride>
  </w:num>
  <w:num w:numId="27">
    <w:abstractNumId w:val="27"/>
    <w:lvlOverride w:ilvl="0">
      <w:startOverride w:val="1"/>
    </w:lvlOverride>
  </w:num>
  <w:num w:numId="28">
    <w:abstractNumId w:val="28"/>
    <w:lvlOverride w:ilvl="0">
      <w:startOverride w:val="1"/>
    </w:lvlOverride>
  </w:num>
  <w:num w:numId="29">
    <w:abstractNumId w:val="29"/>
    <w:lvlOverride w:ilvl="0">
      <w:startOverride w:val="1"/>
    </w:lvlOverride>
  </w:num>
  <w:num w:numId="30">
    <w:abstractNumId w:val="30"/>
    <w:lvlOverride w:ilvl="0">
      <w:startOverride w:val="1"/>
    </w:lvlOverride>
  </w:num>
  <w:num w:numId="31">
    <w:abstractNumId w:val="35"/>
  </w:num>
  <w:num w:numId="32">
    <w:abstractNumId w:val="5"/>
  </w:num>
  <w:num w:numId="33">
    <w:abstractNumId w:val="31"/>
    <w:lvlOverride w:ilvl="0">
      <w:startOverride w:val="1"/>
    </w:lvlOverride>
  </w:num>
  <w:num w:numId="34">
    <w:abstractNumId w:val="32"/>
    <w:lvlOverride w:ilvl="0">
      <w:startOverride w:val="1"/>
    </w:lvlOverride>
  </w:num>
  <w:num w:numId="35">
    <w:abstractNumId w:val="33"/>
    <w:lvlOverride w:ilvl="0">
      <w:startOverride w:val="1"/>
    </w:lvlOverride>
  </w:num>
  <w:num w:numId="36">
    <w:abstractNumId w:val="3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hideSpellingErrors/>
  <w:documentProtection w:edit="trackedChanges" w:enforcement="0"/>
  <w:defaultTabStop w:val="420"/>
  <w:drawingGridHorizontalSpacing w:val="21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172A27"/>
    <w:rsid w:val="00005D97"/>
    <w:rsid w:val="000113C7"/>
    <w:rsid w:val="00011A9D"/>
    <w:rsid w:val="00021F17"/>
    <w:rsid w:val="0003510D"/>
    <w:rsid w:val="0003721B"/>
    <w:rsid w:val="0003748E"/>
    <w:rsid w:val="000505AC"/>
    <w:rsid w:val="0006406C"/>
    <w:rsid w:val="000842E5"/>
    <w:rsid w:val="0008481C"/>
    <w:rsid w:val="00086386"/>
    <w:rsid w:val="00095688"/>
    <w:rsid w:val="000A20DF"/>
    <w:rsid w:val="000A2D4F"/>
    <w:rsid w:val="000A4B56"/>
    <w:rsid w:val="000C0980"/>
    <w:rsid w:val="000C0B39"/>
    <w:rsid w:val="000D3D26"/>
    <w:rsid w:val="000D752D"/>
    <w:rsid w:val="000E005A"/>
    <w:rsid w:val="000E7AFE"/>
    <w:rsid w:val="000F2756"/>
    <w:rsid w:val="00106D8D"/>
    <w:rsid w:val="00111073"/>
    <w:rsid w:val="001141A6"/>
    <w:rsid w:val="00131636"/>
    <w:rsid w:val="001519F6"/>
    <w:rsid w:val="00165FD3"/>
    <w:rsid w:val="00166AF6"/>
    <w:rsid w:val="00172A27"/>
    <w:rsid w:val="0017364D"/>
    <w:rsid w:val="00175652"/>
    <w:rsid w:val="0018249C"/>
    <w:rsid w:val="00187A7A"/>
    <w:rsid w:val="001B72F3"/>
    <w:rsid w:val="001C6890"/>
    <w:rsid w:val="001D0134"/>
    <w:rsid w:val="001D39D1"/>
    <w:rsid w:val="001D454E"/>
    <w:rsid w:val="001D6721"/>
    <w:rsid w:val="001D6CB5"/>
    <w:rsid w:val="001E4BD3"/>
    <w:rsid w:val="001F28F3"/>
    <w:rsid w:val="001F3A9D"/>
    <w:rsid w:val="001F3D40"/>
    <w:rsid w:val="001F4484"/>
    <w:rsid w:val="00204646"/>
    <w:rsid w:val="002109A9"/>
    <w:rsid w:val="002157E3"/>
    <w:rsid w:val="00220849"/>
    <w:rsid w:val="00235EAE"/>
    <w:rsid w:val="00253FC5"/>
    <w:rsid w:val="00254D99"/>
    <w:rsid w:val="00255824"/>
    <w:rsid w:val="00264C47"/>
    <w:rsid w:val="002722EA"/>
    <w:rsid w:val="002751EF"/>
    <w:rsid w:val="00281787"/>
    <w:rsid w:val="002822E9"/>
    <w:rsid w:val="0028281A"/>
    <w:rsid w:val="002B22DD"/>
    <w:rsid w:val="002B777A"/>
    <w:rsid w:val="002C1957"/>
    <w:rsid w:val="002D2E06"/>
    <w:rsid w:val="002D77E7"/>
    <w:rsid w:val="002E0079"/>
    <w:rsid w:val="002E6E42"/>
    <w:rsid w:val="002F36DB"/>
    <w:rsid w:val="00307A95"/>
    <w:rsid w:val="003418B6"/>
    <w:rsid w:val="00344304"/>
    <w:rsid w:val="00357587"/>
    <w:rsid w:val="00361AE5"/>
    <w:rsid w:val="00365452"/>
    <w:rsid w:val="0038389A"/>
    <w:rsid w:val="00386ACE"/>
    <w:rsid w:val="0039219C"/>
    <w:rsid w:val="003935B2"/>
    <w:rsid w:val="003955BA"/>
    <w:rsid w:val="003A3708"/>
    <w:rsid w:val="003C6B39"/>
    <w:rsid w:val="003C7663"/>
    <w:rsid w:val="003D1BDF"/>
    <w:rsid w:val="003D3222"/>
    <w:rsid w:val="00410559"/>
    <w:rsid w:val="00411396"/>
    <w:rsid w:val="00416601"/>
    <w:rsid w:val="0042095A"/>
    <w:rsid w:val="004221DD"/>
    <w:rsid w:val="00426089"/>
    <w:rsid w:val="004266E1"/>
    <w:rsid w:val="00433F33"/>
    <w:rsid w:val="004355DF"/>
    <w:rsid w:val="0044523D"/>
    <w:rsid w:val="00446E8B"/>
    <w:rsid w:val="00450792"/>
    <w:rsid w:val="00453336"/>
    <w:rsid w:val="00453A57"/>
    <w:rsid w:val="00460F46"/>
    <w:rsid w:val="00463BEF"/>
    <w:rsid w:val="00466FA1"/>
    <w:rsid w:val="004743BA"/>
    <w:rsid w:val="0048590C"/>
    <w:rsid w:val="004869E4"/>
    <w:rsid w:val="004871B8"/>
    <w:rsid w:val="00492EA1"/>
    <w:rsid w:val="0049594D"/>
    <w:rsid w:val="004977AF"/>
    <w:rsid w:val="004B34D3"/>
    <w:rsid w:val="004B38E1"/>
    <w:rsid w:val="004C63E0"/>
    <w:rsid w:val="004E6AF0"/>
    <w:rsid w:val="004F4A5F"/>
    <w:rsid w:val="004F65A0"/>
    <w:rsid w:val="005001E2"/>
    <w:rsid w:val="005010B0"/>
    <w:rsid w:val="00506802"/>
    <w:rsid w:val="00523CC2"/>
    <w:rsid w:val="0052581B"/>
    <w:rsid w:val="00525BB2"/>
    <w:rsid w:val="005268D8"/>
    <w:rsid w:val="0053631A"/>
    <w:rsid w:val="00547BF3"/>
    <w:rsid w:val="00554B09"/>
    <w:rsid w:val="00554ED7"/>
    <w:rsid w:val="00560D29"/>
    <w:rsid w:val="00567A76"/>
    <w:rsid w:val="0058036C"/>
    <w:rsid w:val="00583D9B"/>
    <w:rsid w:val="00590453"/>
    <w:rsid w:val="0059059E"/>
    <w:rsid w:val="005959DB"/>
    <w:rsid w:val="005A0DB5"/>
    <w:rsid w:val="005A3E7E"/>
    <w:rsid w:val="005A6F15"/>
    <w:rsid w:val="005B09A0"/>
    <w:rsid w:val="005B1D84"/>
    <w:rsid w:val="005B4398"/>
    <w:rsid w:val="005B646A"/>
    <w:rsid w:val="005B759F"/>
    <w:rsid w:val="005C5165"/>
    <w:rsid w:val="005D567D"/>
    <w:rsid w:val="005D7EE8"/>
    <w:rsid w:val="005E247A"/>
    <w:rsid w:val="005E7E52"/>
    <w:rsid w:val="0060086A"/>
    <w:rsid w:val="00600EB2"/>
    <w:rsid w:val="006034F4"/>
    <w:rsid w:val="00607804"/>
    <w:rsid w:val="00615F73"/>
    <w:rsid w:val="00621295"/>
    <w:rsid w:val="00623EBA"/>
    <w:rsid w:val="00627EDE"/>
    <w:rsid w:val="00630AD9"/>
    <w:rsid w:val="00635D63"/>
    <w:rsid w:val="0064087E"/>
    <w:rsid w:val="0064217D"/>
    <w:rsid w:val="006433E6"/>
    <w:rsid w:val="00645CD9"/>
    <w:rsid w:val="00646B52"/>
    <w:rsid w:val="006563A3"/>
    <w:rsid w:val="00656CC5"/>
    <w:rsid w:val="00674991"/>
    <w:rsid w:val="00676472"/>
    <w:rsid w:val="00681B81"/>
    <w:rsid w:val="00687674"/>
    <w:rsid w:val="00691573"/>
    <w:rsid w:val="00692433"/>
    <w:rsid w:val="006A0874"/>
    <w:rsid w:val="006B456E"/>
    <w:rsid w:val="006C67DE"/>
    <w:rsid w:val="006D289E"/>
    <w:rsid w:val="006D593A"/>
    <w:rsid w:val="006D60F3"/>
    <w:rsid w:val="006D6C4F"/>
    <w:rsid w:val="006F137A"/>
    <w:rsid w:val="006F319C"/>
    <w:rsid w:val="006F6E6E"/>
    <w:rsid w:val="00703F95"/>
    <w:rsid w:val="00705308"/>
    <w:rsid w:val="007255ED"/>
    <w:rsid w:val="007361E4"/>
    <w:rsid w:val="00744DD0"/>
    <w:rsid w:val="00745975"/>
    <w:rsid w:val="0075049B"/>
    <w:rsid w:val="00754BF3"/>
    <w:rsid w:val="00754C6D"/>
    <w:rsid w:val="00761E40"/>
    <w:rsid w:val="007626D1"/>
    <w:rsid w:val="00772483"/>
    <w:rsid w:val="00776160"/>
    <w:rsid w:val="0079065D"/>
    <w:rsid w:val="00792D4D"/>
    <w:rsid w:val="007936D5"/>
    <w:rsid w:val="00794DC4"/>
    <w:rsid w:val="007961E1"/>
    <w:rsid w:val="007A2A2E"/>
    <w:rsid w:val="007A41EE"/>
    <w:rsid w:val="007A5600"/>
    <w:rsid w:val="007A7597"/>
    <w:rsid w:val="007B50AD"/>
    <w:rsid w:val="007B7D56"/>
    <w:rsid w:val="007C7150"/>
    <w:rsid w:val="007D0FCD"/>
    <w:rsid w:val="007D1ED6"/>
    <w:rsid w:val="007D2376"/>
    <w:rsid w:val="007D35DC"/>
    <w:rsid w:val="007D6EF0"/>
    <w:rsid w:val="007D6F76"/>
    <w:rsid w:val="007E3F3F"/>
    <w:rsid w:val="007E4F6C"/>
    <w:rsid w:val="007E5062"/>
    <w:rsid w:val="007F22F5"/>
    <w:rsid w:val="00833332"/>
    <w:rsid w:val="00833460"/>
    <w:rsid w:val="0084317F"/>
    <w:rsid w:val="008532E7"/>
    <w:rsid w:val="0085514A"/>
    <w:rsid w:val="008659E0"/>
    <w:rsid w:val="00871512"/>
    <w:rsid w:val="0087548B"/>
    <w:rsid w:val="00875C5C"/>
    <w:rsid w:val="0088019E"/>
    <w:rsid w:val="008878F2"/>
    <w:rsid w:val="008901A3"/>
    <w:rsid w:val="008949F6"/>
    <w:rsid w:val="008B0557"/>
    <w:rsid w:val="008B15E6"/>
    <w:rsid w:val="008B2B46"/>
    <w:rsid w:val="008B5333"/>
    <w:rsid w:val="008B756D"/>
    <w:rsid w:val="008D761D"/>
    <w:rsid w:val="008D7F03"/>
    <w:rsid w:val="008E75DA"/>
    <w:rsid w:val="008F0F13"/>
    <w:rsid w:val="008F39A7"/>
    <w:rsid w:val="00900806"/>
    <w:rsid w:val="009011F0"/>
    <w:rsid w:val="00901D44"/>
    <w:rsid w:val="00903B24"/>
    <w:rsid w:val="009130BB"/>
    <w:rsid w:val="00915980"/>
    <w:rsid w:val="00920F58"/>
    <w:rsid w:val="00923AAB"/>
    <w:rsid w:val="00930A42"/>
    <w:rsid w:val="00930ECA"/>
    <w:rsid w:val="009505C6"/>
    <w:rsid w:val="0096004C"/>
    <w:rsid w:val="00960E28"/>
    <w:rsid w:val="0098085C"/>
    <w:rsid w:val="009846B7"/>
    <w:rsid w:val="009858ED"/>
    <w:rsid w:val="00985D2B"/>
    <w:rsid w:val="00991DC6"/>
    <w:rsid w:val="00992480"/>
    <w:rsid w:val="00992BC4"/>
    <w:rsid w:val="009A1221"/>
    <w:rsid w:val="009C6BE9"/>
    <w:rsid w:val="009C701C"/>
    <w:rsid w:val="009D1828"/>
    <w:rsid w:val="009D3689"/>
    <w:rsid w:val="009F1762"/>
    <w:rsid w:val="009F1825"/>
    <w:rsid w:val="00A00064"/>
    <w:rsid w:val="00A0228C"/>
    <w:rsid w:val="00A030F4"/>
    <w:rsid w:val="00A11A48"/>
    <w:rsid w:val="00A12922"/>
    <w:rsid w:val="00A138C1"/>
    <w:rsid w:val="00A17176"/>
    <w:rsid w:val="00A21838"/>
    <w:rsid w:val="00A27DD7"/>
    <w:rsid w:val="00A4442D"/>
    <w:rsid w:val="00A448FC"/>
    <w:rsid w:val="00A5581F"/>
    <w:rsid w:val="00A56706"/>
    <w:rsid w:val="00A65184"/>
    <w:rsid w:val="00A66D1E"/>
    <w:rsid w:val="00A76B4D"/>
    <w:rsid w:val="00A77FB4"/>
    <w:rsid w:val="00A84091"/>
    <w:rsid w:val="00A9370C"/>
    <w:rsid w:val="00A97F08"/>
    <w:rsid w:val="00AC0A52"/>
    <w:rsid w:val="00AC78F6"/>
    <w:rsid w:val="00AD4F3A"/>
    <w:rsid w:val="00AD5D64"/>
    <w:rsid w:val="00AD7D64"/>
    <w:rsid w:val="00AE002C"/>
    <w:rsid w:val="00AE25E7"/>
    <w:rsid w:val="00AF142D"/>
    <w:rsid w:val="00AF6990"/>
    <w:rsid w:val="00B12A56"/>
    <w:rsid w:val="00B14CF9"/>
    <w:rsid w:val="00B20FC4"/>
    <w:rsid w:val="00B2127B"/>
    <w:rsid w:val="00B229C8"/>
    <w:rsid w:val="00B26197"/>
    <w:rsid w:val="00B2643D"/>
    <w:rsid w:val="00B26926"/>
    <w:rsid w:val="00B31242"/>
    <w:rsid w:val="00B33D35"/>
    <w:rsid w:val="00B372C0"/>
    <w:rsid w:val="00B37C07"/>
    <w:rsid w:val="00B41016"/>
    <w:rsid w:val="00B46733"/>
    <w:rsid w:val="00B5228C"/>
    <w:rsid w:val="00B777EC"/>
    <w:rsid w:val="00B80DC6"/>
    <w:rsid w:val="00B80E31"/>
    <w:rsid w:val="00B82206"/>
    <w:rsid w:val="00B835B8"/>
    <w:rsid w:val="00B87FF6"/>
    <w:rsid w:val="00BA0676"/>
    <w:rsid w:val="00BA6A07"/>
    <w:rsid w:val="00BB13F5"/>
    <w:rsid w:val="00BB1820"/>
    <w:rsid w:val="00BC56C8"/>
    <w:rsid w:val="00BD5253"/>
    <w:rsid w:val="00BD58ED"/>
    <w:rsid w:val="00BD5F40"/>
    <w:rsid w:val="00BE3C51"/>
    <w:rsid w:val="00BF17F2"/>
    <w:rsid w:val="00BF4F52"/>
    <w:rsid w:val="00C00767"/>
    <w:rsid w:val="00C01317"/>
    <w:rsid w:val="00C06D6C"/>
    <w:rsid w:val="00C31CFE"/>
    <w:rsid w:val="00C35B9A"/>
    <w:rsid w:val="00C41AD0"/>
    <w:rsid w:val="00C4355C"/>
    <w:rsid w:val="00C50B74"/>
    <w:rsid w:val="00C53467"/>
    <w:rsid w:val="00C539E0"/>
    <w:rsid w:val="00C56FA7"/>
    <w:rsid w:val="00C6331C"/>
    <w:rsid w:val="00C66F06"/>
    <w:rsid w:val="00C771BB"/>
    <w:rsid w:val="00C878FF"/>
    <w:rsid w:val="00CA7F7D"/>
    <w:rsid w:val="00CB7F86"/>
    <w:rsid w:val="00CC46C6"/>
    <w:rsid w:val="00CC6DB5"/>
    <w:rsid w:val="00CD7027"/>
    <w:rsid w:val="00CF011D"/>
    <w:rsid w:val="00CF48DC"/>
    <w:rsid w:val="00CF65D0"/>
    <w:rsid w:val="00D035F1"/>
    <w:rsid w:val="00D05466"/>
    <w:rsid w:val="00D057EB"/>
    <w:rsid w:val="00D05FA7"/>
    <w:rsid w:val="00D1357F"/>
    <w:rsid w:val="00D20EA4"/>
    <w:rsid w:val="00D21A6D"/>
    <w:rsid w:val="00D25A8F"/>
    <w:rsid w:val="00D2651A"/>
    <w:rsid w:val="00D269F0"/>
    <w:rsid w:val="00D3532E"/>
    <w:rsid w:val="00D35C43"/>
    <w:rsid w:val="00D36623"/>
    <w:rsid w:val="00D44AB6"/>
    <w:rsid w:val="00D47D04"/>
    <w:rsid w:val="00D503A8"/>
    <w:rsid w:val="00D510D2"/>
    <w:rsid w:val="00D62969"/>
    <w:rsid w:val="00D6491D"/>
    <w:rsid w:val="00D71F0A"/>
    <w:rsid w:val="00D73EA9"/>
    <w:rsid w:val="00D73FC8"/>
    <w:rsid w:val="00D743E9"/>
    <w:rsid w:val="00D75E39"/>
    <w:rsid w:val="00D8580B"/>
    <w:rsid w:val="00D87843"/>
    <w:rsid w:val="00D96DCF"/>
    <w:rsid w:val="00DA227E"/>
    <w:rsid w:val="00DA2CF8"/>
    <w:rsid w:val="00DB06FE"/>
    <w:rsid w:val="00DB2820"/>
    <w:rsid w:val="00DC2A95"/>
    <w:rsid w:val="00DE0CB4"/>
    <w:rsid w:val="00DE1460"/>
    <w:rsid w:val="00E000DB"/>
    <w:rsid w:val="00E22BC7"/>
    <w:rsid w:val="00E244E2"/>
    <w:rsid w:val="00E27E2E"/>
    <w:rsid w:val="00E32CE8"/>
    <w:rsid w:val="00E35948"/>
    <w:rsid w:val="00E442E1"/>
    <w:rsid w:val="00E47BEA"/>
    <w:rsid w:val="00E50FDB"/>
    <w:rsid w:val="00E556FC"/>
    <w:rsid w:val="00E55E6B"/>
    <w:rsid w:val="00E57681"/>
    <w:rsid w:val="00E61CF0"/>
    <w:rsid w:val="00E677C1"/>
    <w:rsid w:val="00E73092"/>
    <w:rsid w:val="00E8071B"/>
    <w:rsid w:val="00EA7178"/>
    <w:rsid w:val="00EB2036"/>
    <w:rsid w:val="00EB232F"/>
    <w:rsid w:val="00EB31A5"/>
    <w:rsid w:val="00EB5C14"/>
    <w:rsid w:val="00ED1DA1"/>
    <w:rsid w:val="00ED6738"/>
    <w:rsid w:val="00EE0AA0"/>
    <w:rsid w:val="00EE2837"/>
    <w:rsid w:val="00EF6B8A"/>
    <w:rsid w:val="00F042E0"/>
    <w:rsid w:val="00F07507"/>
    <w:rsid w:val="00F10E85"/>
    <w:rsid w:val="00F13DA6"/>
    <w:rsid w:val="00F14512"/>
    <w:rsid w:val="00F1558C"/>
    <w:rsid w:val="00F16940"/>
    <w:rsid w:val="00F16D1E"/>
    <w:rsid w:val="00F25403"/>
    <w:rsid w:val="00F2794E"/>
    <w:rsid w:val="00F40A77"/>
    <w:rsid w:val="00F43CD9"/>
    <w:rsid w:val="00F4574C"/>
    <w:rsid w:val="00F45EB7"/>
    <w:rsid w:val="00F534F0"/>
    <w:rsid w:val="00F53AD1"/>
    <w:rsid w:val="00F53FC5"/>
    <w:rsid w:val="00F55115"/>
    <w:rsid w:val="00F5608B"/>
    <w:rsid w:val="00F56191"/>
    <w:rsid w:val="00F578A2"/>
    <w:rsid w:val="00F629AC"/>
    <w:rsid w:val="00F62E11"/>
    <w:rsid w:val="00F719BC"/>
    <w:rsid w:val="00F77C93"/>
    <w:rsid w:val="00F926A2"/>
    <w:rsid w:val="00F960DE"/>
    <w:rsid w:val="00F97D92"/>
    <w:rsid w:val="00FA0D29"/>
    <w:rsid w:val="00FA3358"/>
    <w:rsid w:val="00FC57E1"/>
    <w:rsid w:val="00FC5CC0"/>
    <w:rsid w:val="00FC77F3"/>
    <w:rsid w:val="00FC7C34"/>
    <w:rsid w:val="00FD0420"/>
    <w:rsid w:val="010A0DFB"/>
    <w:rsid w:val="0139168C"/>
    <w:rsid w:val="0167234E"/>
    <w:rsid w:val="017C3855"/>
    <w:rsid w:val="01810778"/>
    <w:rsid w:val="01AB5E81"/>
    <w:rsid w:val="0208381F"/>
    <w:rsid w:val="02336BBB"/>
    <w:rsid w:val="023F27C5"/>
    <w:rsid w:val="024B3BEA"/>
    <w:rsid w:val="02547183"/>
    <w:rsid w:val="02982714"/>
    <w:rsid w:val="02C51D27"/>
    <w:rsid w:val="032B6FC9"/>
    <w:rsid w:val="03344FDB"/>
    <w:rsid w:val="03697EDB"/>
    <w:rsid w:val="03B25010"/>
    <w:rsid w:val="03CE6BC2"/>
    <w:rsid w:val="03F17519"/>
    <w:rsid w:val="04066283"/>
    <w:rsid w:val="040A3929"/>
    <w:rsid w:val="04373FE7"/>
    <w:rsid w:val="0471159E"/>
    <w:rsid w:val="048A15DB"/>
    <w:rsid w:val="04B43547"/>
    <w:rsid w:val="04F0013F"/>
    <w:rsid w:val="05104A5A"/>
    <w:rsid w:val="05396BE6"/>
    <w:rsid w:val="05666FE2"/>
    <w:rsid w:val="05B2465D"/>
    <w:rsid w:val="05ED5931"/>
    <w:rsid w:val="06934226"/>
    <w:rsid w:val="06D24FB8"/>
    <w:rsid w:val="06E01E82"/>
    <w:rsid w:val="07031814"/>
    <w:rsid w:val="072F3060"/>
    <w:rsid w:val="07D940D8"/>
    <w:rsid w:val="07F14B01"/>
    <w:rsid w:val="081154F5"/>
    <w:rsid w:val="08162019"/>
    <w:rsid w:val="08293582"/>
    <w:rsid w:val="088E1686"/>
    <w:rsid w:val="08CC0E3F"/>
    <w:rsid w:val="08FA5E9B"/>
    <w:rsid w:val="091E0BB7"/>
    <w:rsid w:val="093B7A4C"/>
    <w:rsid w:val="095B52A3"/>
    <w:rsid w:val="09B972DA"/>
    <w:rsid w:val="0A375428"/>
    <w:rsid w:val="0A4D256B"/>
    <w:rsid w:val="0AC77FA9"/>
    <w:rsid w:val="0B267F9C"/>
    <w:rsid w:val="0B3F2B90"/>
    <w:rsid w:val="0B6B5BC3"/>
    <w:rsid w:val="0BAB21A4"/>
    <w:rsid w:val="0BBA74C0"/>
    <w:rsid w:val="0BD5662F"/>
    <w:rsid w:val="0BFF6C28"/>
    <w:rsid w:val="0DA26F7A"/>
    <w:rsid w:val="0DF90980"/>
    <w:rsid w:val="0DFF1CF4"/>
    <w:rsid w:val="0E1C30A6"/>
    <w:rsid w:val="0E1E5833"/>
    <w:rsid w:val="0E8E4CBA"/>
    <w:rsid w:val="0F026C7A"/>
    <w:rsid w:val="0F324AA4"/>
    <w:rsid w:val="0F353935"/>
    <w:rsid w:val="0F6274C6"/>
    <w:rsid w:val="0F784FB5"/>
    <w:rsid w:val="0F821E97"/>
    <w:rsid w:val="0FBC75BB"/>
    <w:rsid w:val="0FBE7714"/>
    <w:rsid w:val="0FF05033"/>
    <w:rsid w:val="10354BEC"/>
    <w:rsid w:val="10585AC7"/>
    <w:rsid w:val="10EC57EB"/>
    <w:rsid w:val="11031970"/>
    <w:rsid w:val="11394E3D"/>
    <w:rsid w:val="11961D34"/>
    <w:rsid w:val="120E242F"/>
    <w:rsid w:val="12767EBA"/>
    <w:rsid w:val="12A0613E"/>
    <w:rsid w:val="12B6570E"/>
    <w:rsid w:val="12C20478"/>
    <w:rsid w:val="134043E6"/>
    <w:rsid w:val="13A478A3"/>
    <w:rsid w:val="13D95382"/>
    <w:rsid w:val="14557E56"/>
    <w:rsid w:val="14583431"/>
    <w:rsid w:val="146358FF"/>
    <w:rsid w:val="14695002"/>
    <w:rsid w:val="148C0521"/>
    <w:rsid w:val="1492533F"/>
    <w:rsid w:val="14AE6843"/>
    <w:rsid w:val="14F97DBC"/>
    <w:rsid w:val="153336D5"/>
    <w:rsid w:val="155D1B14"/>
    <w:rsid w:val="15770D92"/>
    <w:rsid w:val="15B81C4D"/>
    <w:rsid w:val="15D24231"/>
    <w:rsid w:val="15DF7B86"/>
    <w:rsid w:val="167F73B9"/>
    <w:rsid w:val="16DD634B"/>
    <w:rsid w:val="16EB55BA"/>
    <w:rsid w:val="16F91D4A"/>
    <w:rsid w:val="174C6E36"/>
    <w:rsid w:val="177414C9"/>
    <w:rsid w:val="17BF0FAB"/>
    <w:rsid w:val="17DB1191"/>
    <w:rsid w:val="18D861E3"/>
    <w:rsid w:val="18DB418F"/>
    <w:rsid w:val="194250E0"/>
    <w:rsid w:val="195657B5"/>
    <w:rsid w:val="196A1F61"/>
    <w:rsid w:val="19AE7CCD"/>
    <w:rsid w:val="19FF5163"/>
    <w:rsid w:val="1A4903CB"/>
    <w:rsid w:val="1AE55B42"/>
    <w:rsid w:val="1B335FD5"/>
    <w:rsid w:val="1B473171"/>
    <w:rsid w:val="1B903686"/>
    <w:rsid w:val="1BB700A3"/>
    <w:rsid w:val="1BED7381"/>
    <w:rsid w:val="1BFF10F0"/>
    <w:rsid w:val="1C096FED"/>
    <w:rsid w:val="1C0C2F95"/>
    <w:rsid w:val="1C48450C"/>
    <w:rsid w:val="1CBF588F"/>
    <w:rsid w:val="1D061732"/>
    <w:rsid w:val="1D1B5C4E"/>
    <w:rsid w:val="1D680772"/>
    <w:rsid w:val="1E7D2C3B"/>
    <w:rsid w:val="1E8E0280"/>
    <w:rsid w:val="1EF27C7E"/>
    <w:rsid w:val="1F483BCF"/>
    <w:rsid w:val="1F4F5FD4"/>
    <w:rsid w:val="1FD523B5"/>
    <w:rsid w:val="20423E14"/>
    <w:rsid w:val="2054484E"/>
    <w:rsid w:val="20585EE3"/>
    <w:rsid w:val="20CE556E"/>
    <w:rsid w:val="20D34EE2"/>
    <w:rsid w:val="20DC61C0"/>
    <w:rsid w:val="211936A5"/>
    <w:rsid w:val="218A172D"/>
    <w:rsid w:val="21F674E5"/>
    <w:rsid w:val="23422331"/>
    <w:rsid w:val="23776366"/>
    <w:rsid w:val="237A6BCC"/>
    <w:rsid w:val="23F723BD"/>
    <w:rsid w:val="24053972"/>
    <w:rsid w:val="24067B14"/>
    <w:rsid w:val="240C38F0"/>
    <w:rsid w:val="24A80EDF"/>
    <w:rsid w:val="254256F3"/>
    <w:rsid w:val="2572150B"/>
    <w:rsid w:val="258B272D"/>
    <w:rsid w:val="26027B0D"/>
    <w:rsid w:val="264865A1"/>
    <w:rsid w:val="272745FE"/>
    <w:rsid w:val="27713607"/>
    <w:rsid w:val="28125B31"/>
    <w:rsid w:val="282412E8"/>
    <w:rsid w:val="283134B6"/>
    <w:rsid w:val="289626E0"/>
    <w:rsid w:val="28BC3A96"/>
    <w:rsid w:val="28FE5FEE"/>
    <w:rsid w:val="29106C7D"/>
    <w:rsid w:val="293E04F4"/>
    <w:rsid w:val="2980434C"/>
    <w:rsid w:val="29DE4FE4"/>
    <w:rsid w:val="2A3D3471"/>
    <w:rsid w:val="2A9777D4"/>
    <w:rsid w:val="2AAA1A30"/>
    <w:rsid w:val="2AFE6327"/>
    <w:rsid w:val="2B083205"/>
    <w:rsid w:val="2B8F28F6"/>
    <w:rsid w:val="2C636BBB"/>
    <w:rsid w:val="2CE1271E"/>
    <w:rsid w:val="2D4C7B04"/>
    <w:rsid w:val="2D511488"/>
    <w:rsid w:val="2D7A7675"/>
    <w:rsid w:val="2D950BE3"/>
    <w:rsid w:val="2DA3453B"/>
    <w:rsid w:val="2DE61637"/>
    <w:rsid w:val="2E5435FD"/>
    <w:rsid w:val="2E8E2CE0"/>
    <w:rsid w:val="2EA3221B"/>
    <w:rsid w:val="2EAA7103"/>
    <w:rsid w:val="2F475AF5"/>
    <w:rsid w:val="2FAF3090"/>
    <w:rsid w:val="2FB61BA5"/>
    <w:rsid w:val="2FBB7776"/>
    <w:rsid w:val="2FBE6EB4"/>
    <w:rsid w:val="2FCF11AE"/>
    <w:rsid w:val="2FDF298C"/>
    <w:rsid w:val="300E43F8"/>
    <w:rsid w:val="3044003E"/>
    <w:rsid w:val="3057416C"/>
    <w:rsid w:val="30E953AA"/>
    <w:rsid w:val="30F83A7F"/>
    <w:rsid w:val="319B3608"/>
    <w:rsid w:val="31B969E3"/>
    <w:rsid w:val="31BF05DF"/>
    <w:rsid w:val="31EE3937"/>
    <w:rsid w:val="3279432A"/>
    <w:rsid w:val="328926EA"/>
    <w:rsid w:val="32E541BC"/>
    <w:rsid w:val="3386578B"/>
    <w:rsid w:val="33B93D08"/>
    <w:rsid w:val="33DE3ACE"/>
    <w:rsid w:val="34110192"/>
    <w:rsid w:val="341D5D12"/>
    <w:rsid w:val="343B0891"/>
    <w:rsid w:val="34943570"/>
    <w:rsid w:val="34B70F5D"/>
    <w:rsid w:val="34CC32EC"/>
    <w:rsid w:val="34FA610D"/>
    <w:rsid w:val="3531092A"/>
    <w:rsid w:val="35426BA9"/>
    <w:rsid w:val="35487BAF"/>
    <w:rsid w:val="35810F21"/>
    <w:rsid w:val="35951634"/>
    <w:rsid w:val="35A1257D"/>
    <w:rsid w:val="35A87C64"/>
    <w:rsid w:val="35CC52F1"/>
    <w:rsid w:val="363A67D9"/>
    <w:rsid w:val="36457CC0"/>
    <w:rsid w:val="36BA5A24"/>
    <w:rsid w:val="36C75A49"/>
    <w:rsid w:val="37EC7CDA"/>
    <w:rsid w:val="38332326"/>
    <w:rsid w:val="384C36F7"/>
    <w:rsid w:val="385D1988"/>
    <w:rsid w:val="38C103BE"/>
    <w:rsid w:val="390110A7"/>
    <w:rsid w:val="392647C3"/>
    <w:rsid w:val="395F6C2C"/>
    <w:rsid w:val="397C3F01"/>
    <w:rsid w:val="398B1DE0"/>
    <w:rsid w:val="39D32008"/>
    <w:rsid w:val="3A005423"/>
    <w:rsid w:val="3A0C4D7C"/>
    <w:rsid w:val="3A9F063E"/>
    <w:rsid w:val="3ADC524A"/>
    <w:rsid w:val="3BE1344B"/>
    <w:rsid w:val="3C575815"/>
    <w:rsid w:val="3CAD2B1D"/>
    <w:rsid w:val="3CAE0104"/>
    <w:rsid w:val="3CC40DCE"/>
    <w:rsid w:val="3CE204DA"/>
    <w:rsid w:val="3D126C93"/>
    <w:rsid w:val="3D135AE6"/>
    <w:rsid w:val="3D584176"/>
    <w:rsid w:val="3DCD352E"/>
    <w:rsid w:val="3DE03A76"/>
    <w:rsid w:val="3DF10520"/>
    <w:rsid w:val="3E0D798E"/>
    <w:rsid w:val="3E280B4C"/>
    <w:rsid w:val="3E4F6389"/>
    <w:rsid w:val="3E662AD1"/>
    <w:rsid w:val="3E955FBB"/>
    <w:rsid w:val="3ED447F5"/>
    <w:rsid w:val="401A3269"/>
    <w:rsid w:val="401F3306"/>
    <w:rsid w:val="402218CE"/>
    <w:rsid w:val="4030033E"/>
    <w:rsid w:val="403E2CAE"/>
    <w:rsid w:val="40653D85"/>
    <w:rsid w:val="407E0AB9"/>
    <w:rsid w:val="408E57BB"/>
    <w:rsid w:val="411A707C"/>
    <w:rsid w:val="41515AD6"/>
    <w:rsid w:val="4160529C"/>
    <w:rsid w:val="41B87D17"/>
    <w:rsid w:val="41CF3F26"/>
    <w:rsid w:val="421B035F"/>
    <w:rsid w:val="423B0BF9"/>
    <w:rsid w:val="42A3393C"/>
    <w:rsid w:val="42E46A90"/>
    <w:rsid w:val="42F32551"/>
    <w:rsid w:val="4331012B"/>
    <w:rsid w:val="438F2C3F"/>
    <w:rsid w:val="43E2450D"/>
    <w:rsid w:val="440131BA"/>
    <w:rsid w:val="4422110A"/>
    <w:rsid w:val="44250A7F"/>
    <w:rsid w:val="44481B28"/>
    <w:rsid w:val="44763187"/>
    <w:rsid w:val="44967CDF"/>
    <w:rsid w:val="44983404"/>
    <w:rsid w:val="44A2104B"/>
    <w:rsid w:val="44DF0E44"/>
    <w:rsid w:val="44F53E98"/>
    <w:rsid w:val="451D0607"/>
    <w:rsid w:val="455E2FC8"/>
    <w:rsid w:val="456C2C0D"/>
    <w:rsid w:val="457C7C30"/>
    <w:rsid w:val="465D109D"/>
    <w:rsid w:val="46830001"/>
    <w:rsid w:val="46837602"/>
    <w:rsid w:val="46C16EBB"/>
    <w:rsid w:val="47215DE5"/>
    <w:rsid w:val="4738774F"/>
    <w:rsid w:val="47864706"/>
    <w:rsid w:val="47940A75"/>
    <w:rsid w:val="47D54EA3"/>
    <w:rsid w:val="47D8006E"/>
    <w:rsid w:val="486E23CD"/>
    <w:rsid w:val="48757B3C"/>
    <w:rsid w:val="4884298A"/>
    <w:rsid w:val="48AF618A"/>
    <w:rsid w:val="48EB1522"/>
    <w:rsid w:val="493F5DF0"/>
    <w:rsid w:val="49C4781A"/>
    <w:rsid w:val="4A185B83"/>
    <w:rsid w:val="4AA7340B"/>
    <w:rsid w:val="4AFD0FB2"/>
    <w:rsid w:val="4B094E2D"/>
    <w:rsid w:val="4B6B5C84"/>
    <w:rsid w:val="4BB679FF"/>
    <w:rsid w:val="4C446D89"/>
    <w:rsid w:val="4CA17F64"/>
    <w:rsid w:val="4CA80D44"/>
    <w:rsid w:val="4CBE1354"/>
    <w:rsid w:val="4D2525D6"/>
    <w:rsid w:val="4D4D7614"/>
    <w:rsid w:val="4D7B1581"/>
    <w:rsid w:val="4DE36B9C"/>
    <w:rsid w:val="4DEC3DB2"/>
    <w:rsid w:val="4E590DBD"/>
    <w:rsid w:val="4E5E6470"/>
    <w:rsid w:val="4F861249"/>
    <w:rsid w:val="4FB15E08"/>
    <w:rsid w:val="4FB52526"/>
    <w:rsid w:val="4FD129E8"/>
    <w:rsid w:val="4FE75BBD"/>
    <w:rsid w:val="505E23E6"/>
    <w:rsid w:val="512D134C"/>
    <w:rsid w:val="522B1598"/>
    <w:rsid w:val="52336515"/>
    <w:rsid w:val="523C31A5"/>
    <w:rsid w:val="524131CD"/>
    <w:rsid w:val="52D30720"/>
    <w:rsid w:val="52FE35A3"/>
    <w:rsid w:val="532F5263"/>
    <w:rsid w:val="53A80D28"/>
    <w:rsid w:val="54920DF2"/>
    <w:rsid w:val="54A730AF"/>
    <w:rsid w:val="54F91354"/>
    <w:rsid w:val="553F5171"/>
    <w:rsid w:val="559D4BC5"/>
    <w:rsid w:val="55B577AC"/>
    <w:rsid w:val="567E49FF"/>
    <w:rsid w:val="56A46F3E"/>
    <w:rsid w:val="56C87320"/>
    <w:rsid w:val="56D17AFC"/>
    <w:rsid w:val="570E019B"/>
    <w:rsid w:val="575C658A"/>
    <w:rsid w:val="578E267B"/>
    <w:rsid w:val="57EE54B2"/>
    <w:rsid w:val="586E5FF0"/>
    <w:rsid w:val="59266848"/>
    <w:rsid w:val="592B2CDE"/>
    <w:rsid w:val="5964525D"/>
    <w:rsid w:val="59676172"/>
    <w:rsid w:val="596C2EE0"/>
    <w:rsid w:val="59A47466"/>
    <w:rsid w:val="59E53206"/>
    <w:rsid w:val="5A534DB5"/>
    <w:rsid w:val="5AE52C3D"/>
    <w:rsid w:val="5B122935"/>
    <w:rsid w:val="5B9543A2"/>
    <w:rsid w:val="5C1723C7"/>
    <w:rsid w:val="5C685CED"/>
    <w:rsid w:val="5C721D88"/>
    <w:rsid w:val="5C791387"/>
    <w:rsid w:val="5C817AF5"/>
    <w:rsid w:val="5D431240"/>
    <w:rsid w:val="5E2E25AF"/>
    <w:rsid w:val="5E682A0C"/>
    <w:rsid w:val="5E802D7A"/>
    <w:rsid w:val="5E8C749D"/>
    <w:rsid w:val="5EC70B76"/>
    <w:rsid w:val="5F21145D"/>
    <w:rsid w:val="5F2216BD"/>
    <w:rsid w:val="5F543329"/>
    <w:rsid w:val="5F6541EA"/>
    <w:rsid w:val="5F7A71E1"/>
    <w:rsid w:val="5FB25206"/>
    <w:rsid w:val="5FBD673E"/>
    <w:rsid w:val="5FFE0B54"/>
    <w:rsid w:val="60321A66"/>
    <w:rsid w:val="604E03A7"/>
    <w:rsid w:val="60547B6D"/>
    <w:rsid w:val="60612A06"/>
    <w:rsid w:val="607B0AC2"/>
    <w:rsid w:val="61641992"/>
    <w:rsid w:val="61697D25"/>
    <w:rsid w:val="62635BC2"/>
    <w:rsid w:val="62B3231B"/>
    <w:rsid w:val="62E164A5"/>
    <w:rsid w:val="630D072B"/>
    <w:rsid w:val="633862E4"/>
    <w:rsid w:val="634D1BF3"/>
    <w:rsid w:val="635D4B36"/>
    <w:rsid w:val="63886530"/>
    <w:rsid w:val="63EF54CF"/>
    <w:rsid w:val="643E39FD"/>
    <w:rsid w:val="64B11C70"/>
    <w:rsid w:val="64D0432A"/>
    <w:rsid w:val="65395664"/>
    <w:rsid w:val="65B21A66"/>
    <w:rsid w:val="65F134B4"/>
    <w:rsid w:val="660F5AA2"/>
    <w:rsid w:val="66C52910"/>
    <w:rsid w:val="66D36F6B"/>
    <w:rsid w:val="66EB7F35"/>
    <w:rsid w:val="676104D8"/>
    <w:rsid w:val="67C0596A"/>
    <w:rsid w:val="67C8616F"/>
    <w:rsid w:val="67F503E3"/>
    <w:rsid w:val="67F75DAF"/>
    <w:rsid w:val="68B17377"/>
    <w:rsid w:val="68D6382C"/>
    <w:rsid w:val="696F375A"/>
    <w:rsid w:val="6A357B28"/>
    <w:rsid w:val="6A692133"/>
    <w:rsid w:val="6A8B4864"/>
    <w:rsid w:val="6AEF4E6E"/>
    <w:rsid w:val="6B281588"/>
    <w:rsid w:val="6B3F4073"/>
    <w:rsid w:val="6B4A2F2D"/>
    <w:rsid w:val="6B5F4601"/>
    <w:rsid w:val="6B67474A"/>
    <w:rsid w:val="6B7A3958"/>
    <w:rsid w:val="6C0F4C0A"/>
    <w:rsid w:val="6C1A4AF1"/>
    <w:rsid w:val="6C1C2DE4"/>
    <w:rsid w:val="6C276D41"/>
    <w:rsid w:val="6C450895"/>
    <w:rsid w:val="6C652AA5"/>
    <w:rsid w:val="6C657576"/>
    <w:rsid w:val="6CA92AFD"/>
    <w:rsid w:val="6CB82149"/>
    <w:rsid w:val="6CF51B6D"/>
    <w:rsid w:val="6D5838F6"/>
    <w:rsid w:val="6DAC04BA"/>
    <w:rsid w:val="6E4A6613"/>
    <w:rsid w:val="6E5C7570"/>
    <w:rsid w:val="6EF61C53"/>
    <w:rsid w:val="6F7D7A8F"/>
    <w:rsid w:val="6F86352A"/>
    <w:rsid w:val="704563AA"/>
    <w:rsid w:val="705D45CA"/>
    <w:rsid w:val="70A14AC8"/>
    <w:rsid w:val="70AC093C"/>
    <w:rsid w:val="71AA0C21"/>
    <w:rsid w:val="71B4355D"/>
    <w:rsid w:val="71C30620"/>
    <w:rsid w:val="71C76B3B"/>
    <w:rsid w:val="720C5C55"/>
    <w:rsid w:val="72197E24"/>
    <w:rsid w:val="724B1801"/>
    <w:rsid w:val="727B4694"/>
    <w:rsid w:val="728318FB"/>
    <w:rsid w:val="728F0586"/>
    <w:rsid w:val="729F531D"/>
    <w:rsid w:val="72C028C4"/>
    <w:rsid w:val="7314332F"/>
    <w:rsid w:val="734B4D80"/>
    <w:rsid w:val="735427F8"/>
    <w:rsid w:val="735F732F"/>
    <w:rsid w:val="736C35C0"/>
    <w:rsid w:val="73B70353"/>
    <w:rsid w:val="73E22753"/>
    <w:rsid w:val="73E43065"/>
    <w:rsid w:val="741C7890"/>
    <w:rsid w:val="7466219A"/>
    <w:rsid w:val="748203EF"/>
    <w:rsid w:val="748623BD"/>
    <w:rsid w:val="75241869"/>
    <w:rsid w:val="75B62D1D"/>
    <w:rsid w:val="75F12B5F"/>
    <w:rsid w:val="76C458FD"/>
    <w:rsid w:val="76CF4CA8"/>
    <w:rsid w:val="76DF735D"/>
    <w:rsid w:val="76F86038"/>
    <w:rsid w:val="778F2307"/>
    <w:rsid w:val="77B54F37"/>
    <w:rsid w:val="77FF6069"/>
    <w:rsid w:val="780E1C53"/>
    <w:rsid w:val="78180A96"/>
    <w:rsid w:val="785029CA"/>
    <w:rsid w:val="78AB5125"/>
    <w:rsid w:val="78DD059C"/>
    <w:rsid w:val="7901626D"/>
    <w:rsid w:val="790F2F27"/>
    <w:rsid w:val="7910448C"/>
    <w:rsid w:val="79783E04"/>
    <w:rsid w:val="7985504B"/>
    <w:rsid w:val="79CE3DB6"/>
    <w:rsid w:val="79D60FAD"/>
    <w:rsid w:val="79F372DE"/>
    <w:rsid w:val="7A3741B5"/>
    <w:rsid w:val="7A4B720F"/>
    <w:rsid w:val="7A690CCE"/>
    <w:rsid w:val="7ACA7D9D"/>
    <w:rsid w:val="7AEF3BDF"/>
    <w:rsid w:val="7B1575B6"/>
    <w:rsid w:val="7B3231B3"/>
    <w:rsid w:val="7B3A2579"/>
    <w:rsid w:val="7B64107F"/>
    <w:rsid w:val="7B7658DD"/>
    <w:rsid w:val="7BB84695"/>
    <w:rsid w:val="7BF438AA"/>
    <w:rsid w:val="7C163765"/>
    <w:rsid w:val="7C290B75"/>
    <w:rsid w:val="7C4736D6"/>
    <w:rsid w:val="7C7F7CF3"/>
    <w:rsid w:val="7CE468A9"/>
    <w:rsid w:val="7D284B20"/>
    <w:rsid w:val="7D2B3E2A"/>
    <w:rsid w:val="7D3F354D"/>
    <w:rsid w:val="7E335E3B"/>
    <w:rsid w:val="7ED408E6"/>
    <w:rsid w:val="7F2C3E68"/>
    <w:rsid w:val="7F43797A"/>
    <w:rsid w:val="7F843359"/>
    <w:rsid w:val="7F8C298A"/>
    <w:rsid w:val="7FC62363"/>
    <w:rsid w:val="7FDC69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5"/>
    <w:next w:val="6"/>
    <w:link w:val="148"/>
    <w:qFormat/>
    <w:uiPriority w:val="0"/>
    <w:pPr>
      <w:keepNext/>
      <w:keepLines/>
      <w:spacing w:after="120" w:line="360" w:lineRule="auto"/>
      <w:outlineLvl w:val="0"/>
    </w:pPr>
    <w:rPr>
      <w:kern w:val="44"/>
      <w:sz w:val="28"/>
      <w:szCs w:val="28"/>
    </w:rPr>
  </w:style>
  <w:style w:type="paragraph" w:styleId="8">
    <w:name w:val="heading 2"/>
    <w:basedOn w:val="1"/>
    <w:next w:val="1"/>
    <w:link w:val="84"/>
    <w:qFormat/>
    <w:uiPriority w:val="0"/>
    <w:pPr>
      <w:keepNext/>
      <w:keepLines/>
      <w:spacing w:before="120" w:after="120" w:line="415" w:lineRule="auto"/>
      <w:ind w:left="454" w:firstLine="525"/>
      <w:jc w:val="center"/>
      <w:outlineLvl w:val="1"/>
    </w:pPr>
    <w:rPr>
      <w:rFonts w:ascii="Arial" w:hAnsi="Arial"/>
      <w:b/>
      <w:kern w:val="0"/>
      <w:sz w:val="24"/>
      <w:szCs w:val="24"/>
      <w:lang w:val="zh-CN"/>
    </w:rPr>
  </w:style>
  <w:style w:type="paragraph" w:styleId="9">
    <w:name w:val="heading 3"/>
    <w:basedOn w:val="1"/>
    <w:next w:val="1"/>
    <w:link w:val="130"/>
    <w:qFormat/>
    <w:uiPriority w:val="0"/>
    <w:pPr>
      <w:widowControl/>
      <w:spacing w:before="100" w:beforeAutospacing="1" w:after="100" w:afterAutospacing="1"/>
      <w:jc w:val="left"/>
      <w:outlineLvl w:val="2"/>
    </w:pPr>
    <w:rPr>
      <w:rFonts w:ascii="宋体" w:hAnsi="宋体"/>
      <w:kern w:val="0"/>
      <w:sz w:val="27"/>
      <w:szCs w:val="27"/>
      <w:lang w:val="zh-CN"/>
    </w:rPr>
  </w:style>
  <w:style w:type="paragraph" w:styleId="10">
    <w:name w:val="heading 4"/>
    <w:basedOn w:val="9"/>
    <w:next w:val="11"/>
    <w:link w:val="193"/>
    <w:qFormat/>
    <w:uiPriority w:val="0"/>
    <w:pPr>
      <w:keepNext/>
      <w:keepLines/>
      <w:widowControl w:val="0"/>
      <w:numPr>
        <w:ilvl w:val="3"/>
        <w:numId w:val="1"/>
      </w:numPr>
      <w:spacing w:beforeLines="50" w:beforeAutospacing="0" w:afterLines="50" w:afterAutospacing="0" w:line="360" w:lineRule="auto"/>
      <w:outlineLvl w:val="3"/>
    </w:pPr>
    <w:rPr>
      <w:rFonts w:ascii="Arial" w:hAnsi="Arial"/>
      <w:color w:val="000000"/>
      <w:sz w:val="20"/>
      <w:szCs w:val="21"/>
    </w:rPr>
  </w:style>
  <w:style w:type="paragraph" w:styleId="12">
    <w:name w:val="heading 5"/>
    <w:basedOn w:val="10"/>
    <w:next w:val="11"/>
    <w:link w:val="105"/>
    <w:qFormat/>
    <w:uiPriority w:val="0"/>
    <w:pPr>
      <w:numPr>
        <w:ilvl w:val="4"/>
      </w:numPr>
      <w:spacing w:line="240" w:lineRule="exact"/>
      <w:outlineLvl w:val="4"/>
    </w:pPr>
  </w:style>
  <w:style w:type="paragraph" w:styleId="13">
    <w:name w:val="heading 6"/>
    <w:basedOn w:val="1"/>
    <w:next w:val="1"/>
    <w:link w:val="117"/>
    <w:qFormat/>
    <w:uiPriority w:val="0"/>
    <w:pPr>
      <w:keepNext/>
      <w:keepLines/>
      <w:numPr>
        <w:ilvl w:val="5"/>
        <w:numId w:val="2"/>
      </w:numPr>
      <w:spacing w:before="240" w:after="64" w:line="320" w:lineRule="auto"/>
      <w:outlineLvl w:val="5"/>
    </w:pPr>
    <w:rPr>
      <w:rFonts w:ascii="Arial" w:hAnsi="Arial" w:eastAsia="黑体"/>
      <w:b/>
      <w:bCs/>
      <w:kern w:val="0"/>
      <w:sz w:val="24"/>
      <w:szCs w:val="24"/>
      <w:lang w:val="zh-CN"/>
    </w:rPr>
  </w:style>
  <w:style w:type="paragraph" w:styleId="14">
    <w:name w:val="heading 7"/>
    <w:basedOn w:val="1"/>
    <w:next w:val="11"/>
    <w:link w:val="186"/>
    <w:qFormat/>
    <w:uiPriority w:val="0"/>
    <w:pPr>
      <w:keepNext/>
      <w:keepLines/>
      <w:numPr>
        <w:ilvl w:val="6"/>
        <w:numId w:val="1"/>
      </w:numPr>
      <w:spacing w:before="240" w:after="64" w:line="320" w:lineRule="auto"/>
      <w:outlineLvl w:val="6"/>
    </w:pPr>
    <w:rPr>
      <w:b/>
      <w:kern w:val="0"/>
      <w:sz w:val="24"/>
      <w:szCs w:val="20"/>
      <w:lang w:val="zh-CN"/>
    </w:rPr>
  </w:style>
  <w:style w:type="paragraph" w:styleId="15">
    <w:name w:val="heading 8"/>
    <w:basedOn w:val="1"/>
    <w:next w:val="11"/>
    <w:link w:val="63"/>
    <w:qFormat/>
    <w:uiPriority w:val="0"/>
    <w:pPr>
      <w:keepNext/>
      <w:keepLines/>
      <w:numPr>
        <w:ilvl w:val="7"/>
        <w:numId w:val="1"/>
      </w:numPr>
      <w:spacing w:before="240" w:after="64" w:line="320" w:lineRule="auto"/>
      <w:outlineLvl w:val="7"/>
    </w:pPr>
    <w:rPr>
      <w:rFonts w:ascii="Arial" w:hAnsi="Arial" w:eastAsia="黑体"/>
      <w:kern w:val="0"/>
      <w:sz w:val="24"/>
      <w:szCs w:val="20"/>
      <w:lang w:val="zh-CN"/>
    </w:rPr>
  </w:style>
  <w:style w:type="paragraph" w:styleId="16">
    <w:name w:val="heading 9"/>
    <w:basedOn w:val="1"/>
    <w:next w:val="11"/>
    <w:link w:val="115"/>
    <w:qFormat/>
    <w:uiPriority w:val="0"/>
    <w:pPr>
      <w:keepNext/>
      <w:keepLines/>
      <w:numPr>
        <w:ilvl w:val="8"/>
        <w:numId w:val="1"/>
      </w:numPr>
      <w:spacing w:before="240" w:after="64" w:line="320" w:lineRule="auto"/>
      <w:outlineLvl w:val="8"/>
    </w:pPr>
    <w:rPr>
      <w:rFonts w:ascii="Arial" w:hAnsi="Arial" w:eastAsia="黑体"/>
      <w:kern w:val="0"/>
      <w:sz w:val="20"/>
      <w:szCs w:val="20"/>
      <w:lang w:val="zh-CN"/>
    </w:rPr>
  </w:style>
  <w:style w:type="character" w:default="1" w:styleId="42">
    <w:name w:val="Default Paragraph Font"/>
    <w:unhideWhenUsed/>
    <w:qFormat/>
    <w:uiPriority w:val="1"/>
  </w:style>
  <w:style w:type="table" w:default="1" w:styleId="40">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1"/>
    <w:link w:val="99"/>
    <w:unhideWhenUsed/>
    <w:qFormat/>
    <w:uiPriority w:val="99"/>
    <w:pPr>
      <w:spacing w:after="120"/>
      <w:ind w:left="420" w:leftChars="200"/>
    </w:pPr>
    <w:rPr>
      <w:lang w:val="zh-CN"/>
    </w:rPr>
  </w:style>
  <w:style w:type="paragraph" w:styleId="5">
    <w:name w:val="Title"/>
    <w:basedOn w:val="1"/>
    <w:link w:val="151"/>
    <w:qFormat/>
    <w:uiPriority w:val="0"/>
    <w:pPr>
      <w:spacing w:before="120" w:after="60"/>
      <w:jc w:val="center"/>
    </w:pPr>
    <w:rPr>
      <w:rFonts w:ascii="Arial" w:hAnsi="Arial"/>
      <w:b/>
      <w:kern w:val="0"/>
      <w:sz w:val="44"/>
      <w:szCs w:val="20"/>
      <w:lang w:val="zh-CN"/>
    </w:rPr>
  </w:style>
  <w:style w:type="paragraph" w:customStyle="1" w:styleId="6">
    <w:name w:val="正文首行缩进1"/>
    <w:basedOn w:val="7"/>
    <w:link w:val="70"/>
    <w:qFormat/>
    <w:uiPriority w:val="0"/>
    <w:pPr>
      <w:ind w:firstLine="420"/>
    </w:pPr>
    <w:rPr>
      <w:kern w:val="0"/>
      <w:sz w:val="20"/>
      <w:szCs w:val="20"/>
    </w:rPr>
  </w:style>
  <w:style w:type="paragraph" w:styleId="7">
    <w:name w:val="Body Text"/>
    <w:basedOn w:val="1"/>
    <w:link w:val="77"/>
    <w:unhideWhenUsed/>
    <w:qFormat/>
    <w:uiPriority w:val="99"/>
    <w:pPr>
      <w:spacing w:after="120"/>
    </w:pPr>
    <w:rPr>
      <w:lang w:val="zh-CN"/>
    </w:rPr>
  </w:style>
  <w:style w:type="paragraph" w:styleId="11">
    <w:name w:val="Normal Indent"/>
    <w:basedOn w:val="1"/>
    <w:next w:val="1"/>
    <w:link w:val="181"/>
    <w:qFormat/>
    <w:uiPriority w:val="0"/>
    <w:pPr>
      <w:ind w:firstLine="420"/>
    </w:pPr>
    <w:rPr>
      <w:szCs w:val="20"/>
      <w:lang w:val="zh-CN"/>
    </w:rPr>
  </w:style>
  <w:style w:type="paragraph" w:styleId="17">
    <w:name w:val="Document Map"/>
    <w:basedOn w:val="1"/>
    <w:link w:val="122"/>
    <w:qFormat/>
    <w:uiPriority w:val="0"/>
    <w:pPr>
      <w:shd w:val="clear" w:color="auto" w:fill="000080"/>
    </w:pPr>
    <w:rPr>
      <w:kern w:val="0"/>
      <w:sz w:val="20"/>
      <w:szCs w:val="20"/>
      <w:lang w:val="zh-CN"/>
    </w:rPr>
  </w:style>
  <w:style w:type="paragraph" w:styleId="18">
    <w:name w:val="annotation text"/>
    <w:basedOn w:val="1"/>
    <w:link w:val="150"/>
    <w:unhideWhenUsed/>
    <w:qFormat/>
    <w:uiPriority w:val="99"/>
    <w:pPr>
      <w:jc w:val="left"/>
    </w:pPr>
    <w:rPr>
      <w:lang w:val="zh-CN"/>
    </w:rPr>
  </w:style>
  <w:style w:type="paragraph" w:styleId="19">
    <w:name w:val="Salutation"/>
    <w:basedOn w:val="1"/>
    <w:next w:val="1"/>
    <w:link w:val="132"/>
    <w:qFormat/>
    <w:uiPriority w:val="0"/>
    <w:rPr>
      <w:sz w:val="24"/>
      <w:szCs w:val="24"/>
    </w:rPr>
  </w:style>
  <w:style w:type="paragraph" w:styleId="20">
    <w:name w:val="Body Text 3"/>
    <w:basedOn w:val="1"/>
    <w:qFormat/>
    <w:uiPriority w:val="99"/>
    <w:rPr>
      <w:rFonts w:ascii="宋体"/>
      <w:sz w:val="24"/>
      <w:szCs w:val="20"/>
    </w:rPr>
  </w:style>
  <w:style w:type="paragraph" w:styleId="21">
    <w:name w:val="toc 3"/>
    <w:basedOn w:val="1"/>
    <w:next w:val="1"/>
    <w:qFormat/>
    <w:uiPriority w:val="39"/>
    <w:pPr>
      <w:ind w:left="840" w:leftChars="400"/>
    </w:pPr>
  </w:style>
  <w:style w:type="paragraph" w:styleId="22">
    <w:name w:val="Plain Text"/>
    <w:basedOn w:val="1"/>
    <w:next w:val="1"/>
    <w:link w:val="139"/>
    <w:qFormat/>
    <w:uiPriority w:val="0"/>
    <w:rPr>
      <w:rFonts w:ascii="宋体" w:hAnsi="Courier New"/>
      <w:kern w:val="0"/>
      <w:sz w:val="20"/>
      <w:szCs w:val="20"/>
      <w:lang w:val="zh-CN"/>
    </w:rPr>
  </w:style>
  <w:style w:type="paragraph" w:styleId="23">
    <w:name w:val="Date"/>
    <w:basedOn w:val="1"/>
    <w:next w:val="1"/>
    <w:link w:val="152"/>
    <w:qFormat/>
    <w:uiPriority w:val="0"/>
    <w:rPr>
      <w:kern w:val="0"/>
      <w:sz w:val="20"/>
      <w:szCs w:val="20"/>
      <w:lang w:val="zh-CN"/>
    </w:rPr>
  </w:style>
  <w:style w:type="paragraph" w:styleId="24">
    <w:name w:val="Body Text Indent 2"/>
    <w:basedOn w:val="1"/>
    <w:link w:val="111"/>
    <w:qFormat/>
    <w:uiPriority w:val="0"/>
    <w:pPr>
      <w:spacing w:line="400" w:lineRule="exact"/>
      <w:ind w:left="425"/>
    </w:pPr>
    <w:rPr>
      <w:color w:val="000000"/>
      <w:kern w:val="0"/>
      <w:sz w:val="24"/>
      <w:szCs w:val="20"/>
      <w:lang w:val="zh-CN"/>
    </w:rPr>
  </w:style>
  <w:style w:type="paragraph" w:styleId="25">
    <w:name w:val="endnote text"/>
    <w:basedOn w:val="1"/>
    <w:link w:val="96"/>
    <w:qFormat/>
    <w:uiPriority w:val="0"/>
    <w:pPr>
      <w:snapToGrid w:val="0"/>
      <w:jc w:val="left"/>
    </w:pPr>
    <w:rPr>
      <w:kern w:val="0"/>
      <w:sz w:val="20"/>
      <w:szCs w:val="20"/>
      <w:lang w:val="zh-CN"/>
    </w:rPr>
  </w:style>
  <w:style w:type="paragraph" w:styleId="26">
    <w:name w:val="Balloon Text"/>
    <w:basedOn w:val="1"/>
    <w:link w:val="172"/>
    <w:qFormat/>
    <w:uiPriority w:val="0"/>
    <w:rPr>
      <w:kern w:val="0"/>
      <w:sz w:val="18"/>
      <w:szCs w:val="18"/>
      <w:lang w:val="zh-CN"/>
    </w:rPr>
  </w:style>
  <w:style w:type="paragraph" w:styleId="27">
    <w:name w:val="footer"/>
    <w:basedOn w:val="1"/>
    <w:link w:val="160"/>
    <w:unhideWhenUsed/>
    <w:qFormat/>
    <w:uiPriority w:val="0"/>
    <w:pPr>
      <w:tabs>
        <w:tab w:val="center" w:pos="4153"/>
        <w:tab w:val="right" w:pos="8306"/>
      </w:tabs>
      <w:snapToGrid w:val="0"/>
      <w:jc w:val="left"/>
    </w:pPr>
    <w:rPr>
      <w:kern w:val="0"/>
      <w:sz w:val="18"/>
      <w:szCs w:val="18"/>
      <w:lang w:val="zh-CN"/>
    </w:rPr>
  </w:style>
  <w:style w:type="paragraph" w:styleId="28">
    <w:name w:val="header"/>
    <w:basedOn w:val="1"/>
    <w:link w:val="90"/>
    <w:unhideWhenUsed/>
    <w:qFormat/>
    <w:uiPriority w:val="0"/>
    <w:pPr>
      <w:pBdr>
        <w:bottom w:val="single" w:color="auto" w:sz="6" w:space="1"/>
      </w:pBdr>
      <w:tabs>
        <w:tab w:val="center" w:pos="4153"/>
        <w:tab w:val="right" w:pos="8306"/>
      </w:tabs>
      <w:snapToGrid w:val="0"/>
      <w:jc w:val="center"/>
    </w:pPr>
    <w:rPr>
      <w:kern w:val="0"/>
      <w:sz w:val="18"/>
      <w:szCs w:val="18"/>
      <w:lang w:val="zh-CN"/>
    </w:rPr>
  </w:style>
  <w:style w:type="paragraph" w:styleId="29">
    <w:name w:val="toc 1"/>
    <w:basedOn w:val="1"/>
    <w:next w:val="1"/>
    <w:qFormat/>
    <w:uiPriority w:val="39"/>
  </w:style>
  <w:style w:type="paragraph" w:styleId="30">
    <w:name w:val="Subtitle"/>
    <w:basedOn w:val="1"/>
    <w:next w:val="1"/>
    <w:link w:val="86"/>
    <w:qFormat/>
    <w:uiPriority w:val="0"/>
    <w:pPr>
      <w:widowControl/>
      <w:spacing w:after="200" w:line="276" w:lineRule="auto"/>
      <w:jc w:val="left"/>
    </w:pPr>
    <w:rPr>
      <w:rFonts w:ascii="Cambria" w:hAnsi="Cambria"/>
      <w:i/>
      <w:iCs/>
      <w:color w:val="4F81BD"/>
      <w:spacing w:val="15"/>
      <w:kern w:val="0"/>
      <w:sz w:val="24"/>
      <w:szCs w:val="24"/>
      <w:lang w:val="zh-CN"/>
    </w:rPr>
  </w:style>
  <w:style w:type="paragraph" w:styleId="31">
    <w:name w:val="footnote text"/>
    <w:basedOn w:val="1"/>
    <w:link w:val="87"/>
    <w:qFormat/>
    <w:uiPriority w:val="0"/>
    <w:pPr>
      <w:snapToGrid w:val="0"/>
      <w:spacing w:line="360" w:lineRule="auto"/>
      <w:ind w:firstLine="523" w:firstLineChars="218"/>
      <w:jc w:val="left"/>
    </w:pPr>
    <w:rPr>
      <w:rFonts w:ascii="宋体" w:hAnsi="宋体"/>
      <w:kern w:val="0"/>
      <w:sz w:val="18"/>
      <w:szCs w:val="18"/>
      <w:lang w:val="zh-CN"/>
    </w:rPr>
  </w:style>
  <w:style w:type="paragraph" w:styleId="32">
    <w:name w:val="Body Text Indent 3"/>
    <w:basedOn w:val="1"/>
    <w:link w:val="71"/>
    <w:qFormat/>
    <w:uiPriority w:val="0"/>
    <w:pPr>
      <w:tabs>
        <w:tab w:val="left" w:pos="0"/>
      </w:tabs>
      <w:spacing w:line="400" w:lineRule="exact"/>
      <w:ind w:left="563" w:leftChars="228" w:hanging="84" w:hangingChars="35"/>
    </w:pPr>
    <w:rPr>
      <w:color w:val="000000"/>
      <w:kern w:val="0"/>
      <w:sz w:val="24"/>
      <w:szCs w:val="20"/>
      <w:lang w:val="zh-CN"/>
    </w:rPr>
  </w:style>
  <w:style w:type="paragraph" w:styleId="33">
    <w:name w:val="toc 2"/>
    <w:basedOn w:val="1"/>
    <w:next w:val="1"/>
    <w:qFormat/>
    <w:uiPriority w:val="39"/>
    <w:pPr>
      <w:ind w:left="420" w:leftChars="200"/>
    </w:pPr>
  </w:style>
  <w:style w:type="paragraph" w:styleId="34">
    <w:name w:val="toc 9"/>
    <w:basedOn w:val="1"/>
    <w:next w:val="1"/>
    <w:qFormat/>
    <w:uiPriority w:val="39"/>
    <w:pPr>
      <w:ind w:left="1680"/>
    </w:pPr>
    <w:rPr>
      <w:sz w:val="18"/>
      <w:szCs w:val="18"/>
    </w:rPr>
  </w:style>
  <w:style w:type="paragraph" w:styleId="35">
    <w:name w:val="Body Text 2"/>
    <w:basedOn w:val="1"/>
    <w:link w:val="129"/>
    <w:qFormat/>
    <w:uiPriority w:val="0"/>
    <w:rPr>
      <w:rFonts w:ascii="宋体" w:hAnsi="宋体"/>
      <w:kern w:val="0"/>
      <w:sz w:val="20"/>
      <w:szCs w:val="24"/>
      <w:u w:val="single"/>
      <w:lang w:val="zh-CN"/>
    </w:rPr>
  </w:style>
  <w:style w:type="paragraph" w:styleId="36">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37">
    <w:name w:val="index 1"/>
    <w:basedOn w:val="1"/>
    <w:next w:val="1"/>
    <w:qFormat/>
    <w:uiPriority w:val="0"/>
    <w:rPr>
      <w:rFonts w:eastAsia="仿宋_GB2312"/>
      <w:sz w:val="28"/>
      <w:szCs w:val="20"/>
    </w:rPr>
  </w:style>
  <w:style w:type="paragraph" w:styleId="38">
    <w:name w:val="annotation subject"/>
    <w:basedOn w:val="18"/>
    <w:next w:val="18"/>
    <w:link w:val="173"/>
    <w:qFormat/>
    <w:uiPriority w:val="0"/>
    <w:pPr>
      <w:spacing w:line="360" w:lineRule="auto"/>
      <w:ind w:firstLine="523" w:firstLineChars="218"/>
    </w:pPr>
    <w:rPr>
      <w:rFonts w:ascii="宋体" w:hAnsi="宋体"/>
      <w:b/>
      <w:bCs/>
      <w:kern w:val="0"/>
      <w:sz w:val="24"/>
      <w:szCs w:val="24"/>
    </w:rPr>
  </w:style>
  <w:style w:type="paragraph" w:styleId="39">
    <w:name w:val="Body Text First Indent"/>
    <w:basedOn w:val="7"/>
    <w:unhideWhenUsed/>
    <w:qFormat/>
    <w:uiPriority w:val="0"/>
    <w:pPr>
      <w:ind w:firstLine="420" w:firstLineChars="100"/>
    </w:pPr>
    <w:rPr>
      <w:lang w:val="en-US"/>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3">
    <w:name w:val="Strong"/>
    <w:qFormat/>
    <w:uiPriority w:val="0"/>
    <w:rPr>
      <w:rFonts w:ascii="Calibri" w:hAnsi="Calibri" w:eastAsia="宋体" w:cs="Times New Roman"/>
      <w:b/>
    </w:rPr>
  </w:style>
  <w:style w:type="character" w:styleId="44">
    <w:name w:val="endnote reference"/>
    <w:qFormat/>
    <w:uiPriority w:val="0"/>
    <w:rPr>
      <w:rFonts w:ascii="Calibri" w:hAnsi="Calibri" w:eastAsia="宋体" w:cs="Times New Roman"/>
      <w:vertAlign w:val="superscript"/>
    </w:rPr>
  </w:style>
  <w:style w:type="character" w:styleId="45">
    <w:name w:val="page number"/>
    <w:basedOn w:val="42"/>
    <w:qFormat/>
    <w:uiPriority w:val="0"/>
  </w:style>
  <w:style w:type="character" w:styleId="46">
    <w:name w:val="FollowedHyperlink"/>
    <w:basedOn w:val="42"/>
    <w:qFormat/>
    <w:uiPriority w:val="0"/>
    <w:rPr>
      <w:color w:val="333333"/>
      <w:u w:val="none"/>
    </w:rPr>
  </w:style>
  <w:style w:type="character" w:styleId="47">
    <w:name w:val="Emphasis"/>
    <w:basedOn w:val="42"/>
    <w:qFormat/>
    <w:uiPriority w:val="20"/>
    <w:rPr>
      <w:b/>
    </w:rPr>
  </w:style>
  <w:style w:type="character" w:styleId="48">
    <w:name w:val="HTML Definition"/>
    <w:basedOn w:val="42"/>
    <w:unhideWhenUsed/>
    <w:qFormat/>
    <w:uiPriority w:val="99"/>
  </w:style>
  <w:style w:type="character" w:styleId="49">
    <w:name w:val="HTML Variable"/>
    <w:basedOn w:val="42"/>
    <w:unhideWhenUsed/>
    <w:qFormat/>
    <w:uiPriority w:val="99"/>
  </w:style>
  <w:style w:type="character" w:styleId="50">
    <w:name w:val="Hyperlink"/>
    <w:qFormat/>
    <w:uiPriority w:val="99"/>
    <w:rPr>
      <w:rFonts w:ascii="Calibri" w:hAnsi="Calibri" w:eastAsia="宋体" w:cs="Times New Roman"/>
      <w:color w:val="0000FF"/>
      <w:u w:val="single"/>
    </w:rPr>
  </w:style>
  <w:style w:type="character" w:styleId="51">
    <w:name w:val="HTML Code"/>
    <w:basedOn w:val="42"/>
    <w:unhideWhenUsed/>
    <w:qFormat/>
    <w:uiPriority w:val="99"/>
    <w:rPr>
      <w:rFonts w:ascii="Courier New" w:hAnsi="Courier New"/>
      <w:sz w:val="20"/>
    </w:rPr>
  </w:style>
  <w:style w:type="character" w:styleId="52">
    <w:name w:val="annotation reference"/>
    <w:qFormat/>
    <w:uiPriority w:val="0"/>
    <w:rPr>
      <w:sz w:val="21"/>
      <w:szCs w:val="21"/>
    </w:rPr>
  </w:style>
  <w:style w:type="character" w:styleId="53">
    <w:name w:val="HTML Cite"/>
    <w:basedOn w:val="42"/>
    <w:unhideWhenUsed/>
    <w:qFormat/>
    <w:uiPriority w:val="99"/>
  </w:style>
  <w:style w:type="character" w:styleId="54">
    <w:name w:val="footnote reference"/>
    <w:qFormat/>
    <w:uiPriority w:val="0"/>
    <w:rPr>
      <w:rFonts w:ascii="Calibri" w:hAnsi="Calibri" w:eastAsia="宋体" w:cs="Times New Roman"/>
      <w:vertAlign w:val="superscript"/>
    </w:rPr>
  </w:style>
  <w:style w:type="character" w:styleId="55">
    <w:name w:val="HTML Keyboard"/>
    <w:basedOn w:val="42"/>
    <w:unhideWhenUsed/>
    <w:qFormat/>
    <w:uiPriority w:val="99"/>
    <w:rPr>
      <w:rFonts w:ascii="Courier New" w:hAnsi="Courier New"/>
      <w:sz w:val="20"/>
    </w:rPr>
  </w:style>
  <w:style w:type="character" w:styleId="56">
    <w:name w:val="HTML Sample"/>
    <w:basedOn w:val="42"/>
    <w:unhideWhenUsed/>
    <w:qFormat/>
    <w:uiPriority w:val="99"/>
    <w:rPr>
      <w:rFonts w:ascii="Courier New" w:hAnsi="Courier New"/>
    </w:rPr>
  </w:style>
  <w:style w:type="paragraph" w:customStyle="1" w:styleId="57">
    <w:name w:val="Default"/>
    <w:next w:val="1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character" w:customStyle="1" w:styleId="59">
    <w:name w:val="批注框文本 字符1"/>
    <w:qFormat/>
    <w:uiPriority w:val="0"/>
    <w:rPr>
      <w:rFonts w:ascii="Times New Roman" w:hAnsi="Times New Roman" w:eastAsia="宋体" w:cs="Times New Roman"/>
      <w:sz w:val="18"/>
      <w:szCs w:val="18"/>
    </w:rPr>
  </w:style>
  <w:style w:type="character" w:customStyle="1" w:styleId="60">
    <w:name w:val="Char Char12"/>
    <w:qFormat/>
    <w:uiPriority w:val="0"/>
    <w:rPr>
      <w:rFonts w:ascii="Calibri" w:hAnsi="Calibri" w:eastAsia="宋体" w:cs="Times New Roman"/>
      <w:sz w:val="18"/>
      <w:lang w:bidi="ar-SA"/>
    </w:rPr>
  </w:style>
  <w:style w:type="character" w:customStyle="1" w:styleId="61">
    <w:name w:val="尾注文本 Char2"/>
    <w:semiHidden/>
    <w:qFormat/>
    <w:uiPriority w:val="99"/>
    <w:rPr>
      <w:kern w:val="2"/>
      <w:sz w:val="21"/>
      <w:szCs w:val="22"/>
    </w:rPr>
  </w:style>
  <w:style w:type="character" w:customStyle="1" w:styleId="62">
    <w:name w:val="已访问的超链接11"/>
    <w:qFormat/>
    <w:uiPriority w:val="0"/>
    <w:rPr>
      <w:color w:val="800080"/>
      <w:u w:val="single"/>
    </w:rPr>
  </w:style>
  <w:style w:type="character" w:customStyle="1" w:styleId="63">
    <w:name w:val="标题 8 Char"/>
    <w:link w:val="15"/>
    <w:qFormat/>
    <w:uiPriority w:val="0"/>
    <w:rPr>
      <w:rFonts w:ascii="Arial" w:hAnsi="Arial" w:eastAsia="黑体"/>
      <w:sz w:val="24"/>
    </w:rPr>
  </w:style>
  <w:style w:type="character" w:customStyle="1" w:styleId="64">
    <w:name w:val="正文文本缩进 2 Char1"/>
    <w:qFormat/>
    <w:uiPriority w:val="0"/>
    <w:rPr>
      <w:rFonts w:ascii="Calibri" w:hAnsi="Calibri" w:eastAsia="宋体" w:cs="Times New Roman"/>
      <w:kern w:val="2"/>
      <w:sz w:val="21"/>
      <w:szCs w:val="22"/>
    </w:rPr>
  </w:style>
  <w:style w:type="character" w:customStyle="1" w:styleId="65">
    <w:name w:val="页眉 字符"/>
    <w:qFormat/>
    <w:uiPriority w:val="0"/>
    <w:rPr>
      <w:rFonts w:ascii="Calibri" w:hAnsi="Calibri" w:eastAsia="宋体" w:cs="Times New Roman"/>
      <w:sz w:val="18"/>
      <w:szCs w:val="18"/>
    </w:rPr>
  </w:style>
  <w:style w:type="character" w:customStyle="1" w:styleId="66">
    <w:name w:val="正文文本 2 Char1"/>
    <w:semiHidden/>
    <w:qFormat/>
    <w:uiPriority w:val="99"/>
    <w:rPr>
      <w:kern w:val="2"/>
      <w:sz w:val="21"/>
      <w:szCs w:val="22"/>
    </w:rPr>
  </w:style>
  <w:style w:type="character" w:customStyle="1" w:styleId="67">
    <w:name w:val="无间隔 Char"/>
    <w:link w:val="68"/>
    <w:qFormat/>
    <w:uiPriority w:val="0"/>
    <w:rPr>
      <w:kern w:val="2"/>
      <w:sz w:val="21"/>
      <w:szCs w:val="24"/>
      <w:lang w:val="en-US" w:eastAsia="zh-CN" w:bidi="ar-SA"/>
    </w:rPr>
  </w:style>
  <w:style w:type="paragraph" w:customStyle="1" w:styleId="68">
    <w:name w:val="无间隔1"/>
    <w:link w:val="6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9">
    <w:name w:val="标题 字符1"/>
    <w:qFormat/>
    <w:uiPriority w:val="10"/>
    <w:rPr>
      <w:rFonts w:ascii="Arial" w:hAnsi="Arial" w:eastAsia="宋体" w:cs="Times New Roman"/>
      <w:b/>
      <w:sz w:val="44"/>
      <w:szCs w:val="20"/>
    </w:rPr>
  </w:style>
  <w:style w:type="character" w:customStyle="1" w:styleId="70">
    <w:name w:val="正文首行缩进 Char"/>
    <w:link w:val="6"/>
    <w:qFormat/>
    <w:uiPriority w:val="0"/>
  </w:style>
  <w:style w:type="character" w:customStyle="1" w:styleId="71">
    <w:name w:val="正文文本缩进 3 Char"/>
    <w:link w:val="32"/>
    <w:qFormat/>
    <w:uiPriority w:val="0"/>
    <w:rPr>
      <w:rFonts w:ascii="Times New Roman" w:hAnsi="Times New Roman"/>
      <w:color w:val="000000"/>
      <w:sz w:val="24"/>
    </w:rPr>
  </w:style>
  <w:style w:type="character" w:customStyle="1" w:styleId="72">
    <w:name w:val="批注框文本 Char1"/>
    <w:qFormat/>
    <w:uiPriority w:val="0"/>
    <w:rPr>
      <w:rFonts w:ascii="Calibri" w:hAnsi="Calibri" w:eastAsia="宋体" w:cs="Times New Roman"/>
      <w:kern w:val="2"/>
      <w:sz w:val="18"/>
      <w:szCs w:val="18"/>
    </w:rPr>
  </w:style>
  <w:style w:type="character" w:customStyle="1" w:styleId="73">
    <w:name w:val="纯文本 字符"/>
    <w:qFormat/>
    <w:uiPriority w:val="0"/>
    <w:rPr>
      <w:rFonts w:ascii="等线" w:hAnsi="Courier New" w:eastAsia="宋体" w:cs="Courier New"/>
    </w:rPr>
  </w:style>
  <w:style w:type="character" w:customStyle="1" w:styleId="74">
    <w:name w:val="正文首行缩进 2 Char"/>
    <w:link w:val="75"/>
    <w:qFormat/>
    <w:uiPriority w:val="0"/>
    <w:rPr>
      <w:rFonts w:ascii="Times New Roman" w:hAnsi="Times New Roman"/>
      <w:sz w:val="28"/>
      <w:szCs w:val="24"/>
    </w:rPr>
  </w:style>
  <w:style w:type="paragraph" w:customStyle="1" w:styleId="75">
    <w:name w:val="正文首行缩进 21"/>
    <w:basedOn w:val="3"/>
    <w:link w:val="74"/>
    <w:qFormat/>
    <w:uiPriority w:val="0"/>
    <w:pPr>
      <w:ind w:firstLine="420" w:firstLineChars="200"/>
    </w:pPr>
    <w:rPr>
      <w:kern w:val="0"/>
      <w:sz w:val="28"/>
      <w:szCs w:val="24"/>
    </w:rPr>
  </w:style>
  <w:style w:type="character" w:customStyle="1" w:styleId="76">
    <w:name w:val="正文文本首行缩进 字符1"/>
    <w:basedOn w:val="77"/>
    <w:qFormat/>
    <w:uiPriority w:val="0"/>
    <w:rPr>
      <w:rFonts w:ascii="Times New Roman" w:hAnsi="Times New Roman"/>
      <w:kern w:val="2"/>
      <w:sz w:val="21"/>
      <w:szCs w:val="22"/>
    </w:rPr>
  </w:style>
  <w:style w:type="character" w:customStyle="1" w:styleId="77">
    <w:name w:val="正文文本 Char2"/>
    <w:link w:val="7"/>
    <w:semiHidden/>
    <w:qFormat/>
    <w:uiPriority w:val="99"/>
    <w:rPr>
      <w:kern w:val="2"/>
      <w:sz w:val="21"/>
      <w:szCs w:val="22"/>
    </w:rPr>
  </w:style>
  <w:style w:type="character" w:customStyle="1" w:styleId="78">
    <w:name w:val="批注框文本 Char2"/>
    <w:semiHidden/>
    <w:qFormat/>
    <w:uiPriority w:val="99"/>
    <w:rPr>
      <w:kern w:val="2"/>
      <w:sz w:val="18"/>
      <w:szCs w:val="18"/>
    </w:rPr>
  </w:style>
  <w:style w:type="character" w:customStyle="1" w:styleId="79">
    <w:name w:val="脚注文本 Char1"/>
    <w:semiHidden/>
    <w:qFormat/>
    <w:uiPriority w:val="99"/>
    <w:rPr>
      <w:kern w:val="2"/>
      <w:sz w:val="18"/>
      <w:szCs w:val="18"/>
    </w:rPr>
  </w:style>
  <w:style w:type="character" w:customStyle="1" w:styleId="80">
    <w:name w:val="正文文本缩进 Char1"/>
    <w:qFormat/>
    <w:uiPriority w:val="0"/>
    <w:rPr>
      <w:rFonts w:ascii="Calibri" w:hAnsi="Calibri" w:eastAsia="宋体" w:cs="Times New Roman"/>
      <w:kern w:val="2"/>
      <w:sz w:val="21"/>
      <w:szCs w:val="22"/>
    </w:rPr>
  </w:style>
  <w:style w:type="character" w:customStyle="1" w:styleId="81">
    <w:name w:val="日期 Char2"/>
    <w:semiHidden/>
    <w:qFormat/>
    <w:uiPriority w:val="99"/>
    <w:rPr>
      <w:kern w:val="2"/>
      <w:sz w:val="21"/>
      <w:szCs w:val="22"/>
    </w:rPr>
  </w:style>
  <w:style w:type="character" w:customStyle="1" w:styleId="82">
    <w:name w:val="脚注文本 字符1"/>
    <w:qFormat/>
    <w:uiPriority w:val="0"/>
    <w:rPr>
      <w:rFonts w:ascii="宋体" w:hAnsi="宋体" w:eastAsia="宋体" w:cs="Times New Roman"/>
      <w:sz w:val="18"/>
      <w:szCs w:val="18"/>
    </w:rPr>
  </w:style>
  <w:style w:type="character" w:customStyle="1" w:styleId="83">
    <w:name w:val="正文首行缩进 2 Char1"/>
    <w:semiHidden/>
    <w:qFormat/>
    <w:uiPriority w:val="99"/>
    <w:rPr>
      <w:kern w:val="2"/>
      <w:sz w:val="21"/>
      <w:szCs w:val="22"/>
    </w:rPr>
  </w:style>
  <w:style w:type="character" w:customStyle="1" w:styleId="84">
    <w:name w:val="标题 2 Char"/>
    <w:link w:val="8"/>
    <w:qFormat/>
    <w:uiPriority w:val="0"/>
    <w:rPr>
      <w:rFonts w:ascii="Arial" w:hAnsi="Arial"/>
      <w:b/>
      <w:sz w:val="24"/>
      <w:szCs w:val="24"/>
    </w:rPr>
  </w:style>
  <w:style w:type="character" w:customStyle="1" w:styleId="85">
    <w:name w:val="批注文字 Char1"/>
    <w:qFormat/>
    <w:uiPriority w:val="0"/>
    <w:rPr>
      <w:rFonts w:ascii="Calibri" w:hAnsi="Calibri" w:eastAsia="宋体" w:cs="Times New Roman"/>
      <w:kern w:val="2"/>
      <w:sz w:val="21"/>
      <w:szCs w:val="22"/>
    </w:rPr>
  </w:style>
  <w:style w:type="character" w:customStyle="1" w:styleId="86">
    <w:name w:val="副标题 Char"/>
    <w:link w:val="30"/>
    <w:qFormat/>
    <w:uiPriority w:val="0"/>
    <w:rPr>
      <w:rFonts w:ascii="Cambria" w:hAnsi="Cambria"/>
      <w:i/>
      <w:iCs/>
      <w:color w:val="4F81BD"/>
      <w:spacing w:val="15"/>
      <w:sz w:val="24"/>
      <w:szCs w:val="24"/>
    </w:rPr>
  </w:style>
  <w:style w:type="character" w:customStyle="1" w:styleId="87">
    <w:name w:val="脚注文本 Char"/>
    <w:link w:val="31"/>
    <w:qFormat/>
    <w:uiPriority w:val="0"/>
    <w:rPr>
      <w:rFonts w:ascii="宋体" w:hAnsi="宋体"/>
      <w:sz w:val="18"/>
      <w:szCs w:val="18"/>
    </w:rPr>
  </w:style>
  <w:style w:type="character" w:customStyle="1" w:styleId="88">
    <w:name w:val="纯文本 Char1"/>
    <w:semiHidden/>
    <w:qFormat/>
    <w:uiPriority w:val="99"/>
    <w:rPr>
      <w:rFonts w:ascii="宋体" w:hAnsi="Courier New" w:cs="Courier New"/>
      <w:kern w:val="2"/>
      <w:sz w:val="21"/>
      <w:szCs w:val="21"/>
    </w:rPr>
  </w:style>
  <w:style w:type="character" w:customStyle="1" w:styleId="89">
    <w:name w:val="正文首行缩进 字符"/>
    <w:qFormat/>
    <w:uiPriority w:val="99"/>
    <w:rPr>
      <w:rFonts w:ascii="Calibri" w:hAnsi="Calibri" w:eastAsia="宋体" w:cs="Times New Roman"/>
    </w:rPr>
  </w:style>
  <w:style w:type="character" w:customStyle="1" w:styleId="90">
    <w:name w:val="页眉 Char"/>
    <w:link w:val="28"/>
    <w:qFormat/>
    <w:uiPriority w:val="0"/>
    <w:rPr>
      <w:sz w:val="18"/>
      <w:szCs w:val="18"/>
    </w:rPr>
  </w:style>
  <w:style w:type="character" w:customStyle="1" w:styleId="91">
    <w:name w:val="批注主题 字符1"/>
    <w:qFormat/>
    <w:uiPriority w:val="0"/>
    <w:rPr>
      <w:rFonts w:ascii="宋体" w:hAnsi="宋体" w:eastAsia="宋体" w:cs="Times New Roman"/>
      <w:b/>
      <w:bCs/>
      <w:sz w:val="24"/>
      <w:szCs w:val="24"/>
    </w:rPr>
  </w:style>
  <w:style w:type="character" w:customStyle="1" w:styleId="92">
    <w:name w:val="标题 8 字符1"/>
    <w:qFormat/>
    <w:uiPriority w:val="0"/>
    <w:rPr>
      <w:rFonts w:ascii="Arial" w:hAnsi="Arial" w:eastAsia="黑体" w:cs="Times New Roman"/>
      <w:sz w:val="24"/>
      <w:szCs w:val="20"/>
    </w:rPr>
  </w:style>
  <w:style w:type="character" w:customStyle="1" w:styleId="93">
    <w:name w:val="文一 Char"/>
    <w:link w:val="94"/>
    <w:qFormat/>
    <w:uiPriority w:val="0"/>
    <w:rPr>
      <w:spacing w:val="4"/>
      <w:sz w:val="24"/>
      <w:szCs w:val="24"/>
    </w:rPr>
  </w:style>
  <w:style w:type="paragraph" w:customStyle="1" w:styleId="94">
    <w:name w:val="文一"/>
    <w:basedOn w:val="1"/>
    <w:link w:val="93"/>
    <w:qFormat/>
    <w:uiPriority w:val="0"/>
    <w:pPr>
      <w:widowControl/>
      <w:topLinePunct/>
      <w:adjustRightInd w:val="0"/>
      <w:snapToGrid w:val="0"/>
      <w:spacing w:after="200" w:line="360" w:lineRule="auto"/>
      <w:ind w:firstLine="200" w:firstLineChars="200"/>
      <w:jc w:val="left"/>
    </w:pPr>
    <w:rPr>
      <w:spacing w:val="4"/>
      <w:kern w:val="0"/>
      <w:sz w:val="24"/>
      <w:szCs w:val="24"/>
      <w:lang w:val="zh-CN"/>
    </w:rPr>
  </w:style>
  <w:style w:type="character" w:customStyle="1" w:styleId="95">
    <w:name w:val="正文文本 2 字符1"/>
    <w:qFormat/>
    <w:uiPriority w:val="0"/>
    <w:rPr>
      <w:rFonts w:ascii="宋体" w:hAnsi="宋体" w:eastAsia="宋体" w:cs="Times New Roman"/>
      <w:szCs w:val="24"/>
      <w:u w:val="single"/>
    </w:rPr>
  </w:style>
  <w:style w:type="character" w:customStyle="1" w:styleId="96">
    <w:name w:val="尾注文本 Char"/>
    <w:link w:val="25"/>
    <w:qFormat/>
    <w:uiPriority w:val="0"/>
    <w:rPr>
      <w:rFonts w:ascii="Times New Roman" w:hAnsi="Times New Roman"/>
    </w:rPr>
  </w:style>
  <w:style w:type="character" w:customStyle="1" w:styleId="97">
    <w:name w:val="文档结构图 字符"/>
    <w:qFormat/>
    <w:uiPriority w:val="99"/>
    <w:rPr>
      <w:rFonts w:ascii="Microsoft YaHei UI" w:hAnsi="Calibri" w:eastAsia="Microsoft YaHei UI" w:cs="Times New Roman"/>
      <w:sz w:val="18"/>
      <w:szCs w:val="18"/>
    </w:rPr>
  </w:style>
  <w:style w:type="character" w:customStyle="1" w:styleId="98">
    <w:name w:val="正文文本 2 字符"/>
    <w:qFormat/>
    <w:uiPriority w:val="0"/>
    <w:rPr>
      <w:rFonts w:ascii="Calibri" w:hAnsi="Calibri" w:eastAsia="宋体" w:cs="Times New Roman"/>
    </w:rPr>
  </w:style>
  <w:style w:type="character" w:customStyle="1" w:styleId="99">
    <w:name w:val="正文文本缩进 Char2"/>
    <w:link w:val="3"/>
    <w:semiHidden/>
    <w:qFormat/>
    <w:uiPriority w:val="99"/>
    <w:rPr>
      <w:kern w:val="2"/>
      <w:sz w:val="21"/>
      <w:szCs w:val="22"/>
    </w:rPr>
  </w:style>
  <w:style w:type="character" w:customStyle="1" w:styleId="100">
    <w:name w:val="正文文本 字符1"/>
    <w:qFormat/>
    <w:uiPriority w:val="0"/>
    <w:rPr>
      <w:rFonts w:ascii="Times New Roman" w:hAnsi="Times New Roman" w:eastAsia="宋体" w:cs="Times New Roman"/>
      <w:szCs w:val="20"/>
    </w:rPr>
  </w:style>
  <w:style w:type="character" w:customStyle="1" w:styleId="101">
    <w:name w:val="annotation reference1"/>
    <w:qFormat/>
    <w:uiPriority w:val="0"/>
    <w:rPr>
      <w:sz w:val="21"/>
      <w:szCs w:val="21"/>
    </w:rPr>
  </w:style>
  <w:style w:type="character" w:customStyle="1" w:styleId="102">
    <w:name w:val="日期 字符1"/>
    <w:qFormat/>
    <w:uiPriority w:val="0"/>
    <w:rPr>
      <w:rFonts w:ascii="Times New Roman" w:hAnsi="Times New Roman" w:eastAsia="宋体" w:cs="Times New Roman"/>
      <w:szCs w:val="20"/>
    </w:rPr>
  </w:style>
  <w:style w:type="character" w:customStyle="1" w:styleId="103">
    <w:name w:val="标题 3 字符"/>
    <w:qFormat/>
    <w:uiPriority w:val="0"/>
    <w:rPr>
      <w:rFonts w:ascii="Calibri" w:hAnsi="Calibri" w:eastAsia="宋体" w:cs="Times New Roman"/>
      <w:b/>
      <w:bCs/>
      <w:sz w:val="32"/>
      <w:szCs w:val="32"/>
    </w:rPr>
  </w:style>
  <w:style w:type="character" w:customStyle="1" w:styleId="104">
    <w:name w:val="批注文字 字符"/>
    <w:qFormat/>
    <w:uiPriority w:val="0"/>
    <w:rPr>
      <w:rFonts w:ascii="Calibri" w:hAnsi="Calibri" w:eastAsia="宋体" w:cs="Times New Roman"/>
    </w:rPr>
  </w:style>
  <w:style w:type="character" w:customStyle="1" w:styleId="105">
    <w:name w:val="标题 5 Char"/>
    <w:link w:val="12"/>
    <w:qFormat/>
    <w:uiPriority w:val="0"/>
    <w:rPr>
      <w:rFonts w:ascii="Arial" w:hAnsi="Arial"/>
      <w:color w:val="000000"/>
      <w:szCs w:val="21"/>
    </w:rPr>
  </w:style>
  <w:style w:type="character" w:customStyle="1" w:styleId="106">
    <w:name w:val="正文文本 字符"/>
    <w:qFormat/>
    <w:uiPriority w:val="0"/>
    <w:rPr>
      <w:rFonts w:ascii="Calibri" w:hAnsi="Calibri" w:eastAsia="宋体" w:cs="Times New Roman"/>
    </w:rPr>
  </w:style>
  <w:style w:type="character" w:customStyle="1" w:styleId="107">
    <w:name w:val="标题 5 字符"/>
    <w:qFormat/>
    <w:uiPriority w:val="0"/>
    <w:rPr>
      <w:rFonts w:ascii="Calibri" w:hAnsi="Calibri" w:eastAsia="宋体" w:cs="Times New Roman"/>
      <w:b/>
      <w:bCs/>
      <w:sz w:val="28"/>
      <w:szCs w:val="28"/>
    </w:rPr>
  </w:style>
  <w:style w:type="character" w:customStyle="1" w:styleId="108">
    <w:name w:val="标题 7 字符"/>
    <w:qFormat/>
    <w:uiPriority w:val="0"/>
    <w:rPr>
      <w:rFonts w:ascii="Calibri" w:hAnsi="Calibri" w:eastAsia="宋体" w:cs="Times New Roman"/>
      <w:b/>
      <w:bCs/>
      <w:sz w:val="24"/>
      <w:szCs w:val="24"/>
    </w:rPr>
  </w:style>
  <w:style w:type="character" w:customStyle="1" w:styleId="109">
    <w:name w:val="正文文本缩进 2 字符1"/>
    <w:qFormat/>
    <w:uiPriority w:val="0"/>
    <w:rPr>
      <w:rFonts w:ascii="Times New Roman" w:hAnsi="Times New Roman" w:eastAsia="宋体" w:cs="Times New Roman"/>
      <w:color w:val="000000"/>
      <w:sz w:val="24"/>
      <w:szCs w:val="20"/>
    </w:rPr>
  </w:style>
  <w:style w:type="character" w:customStyle="1" w:styleId="110">
    <w:name w:val="批注文字 Char"/>
    <w:qFormat/>
    <w:uiPriority w:val="0"/>
    <w:rPr>
      <w:rFonts w:ascii="宋体" w:hAnsi="宋体"/>
      <w:sz w:val="24"/>
      <w:szCs w:val="24"/>
    </w:rPr>
  </w:style>
  <w:style w:type="character" w:customStyle="1" w:styleId="111">
    <w:name w:val="正文文本缩进 2 Char"/>
    <w:link w:val="24"/>
    <w:qFormat/>
    <w:uiPriority w:val="0"/>
    <w:rPr>
      <w:rFonts w:ascii="Times New Roman" w:hAnsi="Times New Roman"/>
      <w:color w:val="000000"/>
      <w:sz w:val="24"/>
    </w:rPr>
  </w:style>
  <w:style w:type="character" w:customStyle="1" w:styleId="112">
    <w:name w:val="批注主题 字符"/>
    <w:qFormat/>
    <w:uiPriority w:val="0"/>
    <w:rPr>
      <w:rFonts w:ascii="Calibri" w:hAnsi="Calibri" w:eastAsia="宋体" w:cs="Times New Roman"/>
      <w:b/>
      <w:bCs/>
    </w:rPr>
  </w:style>
  <w:style w:type="character" w:customStyle="1" w:styleId="113">
    <w:name w:val="正文文本缩进 3 字符"/>
    <w:qFormat/>
    <w:uiPriority w:val="0"/>
    <w:rPr>
      <w:rFonts w:ascii="Calibri" w:hAnsi="Calibri" w:eastAsia="宋体" w:cs="Times New Roman"/>
      <w:sz w:val="16"/>
      <w:szCs w:val="16"/>
    </w:rPr>
  </w:style>
  <w:style w:type="character" w:customStyle="1" w:styleId="114">
    <w:name w:val="标题 4 字符1"/>
    <w:qFormat/>
    <w:uiPriority w:val="0"/>
    <w:rPr>
      <w:rFonts w:ascii="Arial" w:hAnsi="Arial" w:eastAsia="宋体" w:cs="Times New Roman"/>
      <w:color w:val="000000"/>
      <w:szCs w:val="21"/>
    </w:rPr>
  </w:style>
  <w:style w:type="character" w:customStyle="1" w:styleId="115">
    <w:name w:val="标题 9 Char"/>
    <w:link w:val="16"/>
    <w:qFormat/>
    <w:uiPriority w:val="0"/>
    <w:rPr>
      <w:rFonts w:ascii="Arial" w:hAnsi="Arial" w:eastAsia="黑体"/>
    </w:rPr>
  </w:style>
  <w:style w:type="character" w:customStyle="1" w:styleId="116">
    <w:name w:val="文档结构图 Char2"/>
    <w:semiHidden/>
    <w:qFormat/>
    <w:uiPriority w:val="99"/>
    <w:rPr>
      <w:rFonts w:ascii="宋体"/>
      <w:kern w:val="2"/>
      <w:sz w:val="18"/>
      <w:szCs w:val="18"/>
    </w:rPr>
  </w:style>
  <w:style w:type="character" w:customStyle="1" w:styleId="117">
    <w:name w:val="标题 6 Char"/>
    <w:link w:val="13"/>
    <w:qFormat/>
    <w:uiPriority w:val="0"/>
    <w:rPr>
      <w:rFonts w:ascii="Arial" w:hAnsi="Arial" w:eastAsia="黑体"/>
      <w:b/>
      <w:bCs/>
      <w:sz w:val="24"/>
      <w:szCs w:val="24"/>
    </w:rPr>
  </w:style>
  <w:style w:type="character" w:customStyle="1" w:styleId="118">
    <w:name w:val="标题 8 字符"/>
    <w:qFormat/>
    <w:uiPriority w:val="0"/>
    <w:rPr>
      <w:rFonts w:ascii="等线 Light" w:hAnsi="等线 Light" w:eastAsia="等线 Light" w:cs="Times New Roman"/>
      <w:sz w:val="24"/>
      <w:szCs w:val="24"/>
    </w:rPr>
  </w:style>
  <w:style w:type="character" w:customStyle="1" w:styleId="119">
    <w:name w:val="副标题 Char1"/>
    <w:qFormat/>
    <w:uiPriority w:val="0"/>
    <w:rPr>
      <w:rFonts w:ascii="Cambria" w:hAnsi="Cambria" w:eastAsia="宋体" w:cs="Times New Roman"/>
      <w:b/>
      <w:bCs/>
      <w:kern w:val="28"/>
      <w:sz w:val="32"/>
      <w:szCs w:val="32"/>
    </w:rPr>
  </w:style>
  <w:style w:type="character" w:customStyle="1" w:styleId="120">
    <w:name w:val="ggbt1"/>
    <w:qFormat/>
    <w:uiPriority w:val="0"/>
    <w:rPr>
      <w:b/>
      <w:bCs/>
      <w:sz w:val="21"/>
      <w:szCs w:val="21"/>
    </w:rPr>
  </w:style>
  <w:style w:type="character" w:customStyle="1" w:styleId="121">
    <w:name w:val="正文文本缩进 3 字符1"/>
    <w:qFormat/>
    <w:uiPriority w:val="0"/>
    <w:rPr>
      <w:rFonts w:ascii="Times New Roman" w:hAnsi="Times New Roman" w:eastAsia="宋体" w:cs="Times New Roman"/>
      <w:color w:val="000000"/>
      <w:sz w:val="24"/>
      <w:szCs w:val="20"/>
    </w:rPr>
  </w:style>
  <w:style w:type="character" w:customStyle="1" w:styleId="122">
    <w:name w:val="文档结构图 Char"/>
    <w:link w:val="17"/>
    <w:qFormat/>
    <w:uiPriority w:val="0"/>
    <w:rPr>
      <w:rFonts w:ascii="Times New Roman" w:hAnsi="Times New Roman"/>
      <w:shd w:val="clear" w:color="auto" w:fill="000080"/>
    </w:rPr>
  </w:style>
  <w:style w:type="character" w:customStyle="1" w:styleId="123">
    <w:name w:val="批注框文本 字符"/>
    <w:qFormat/>
    <w:uiPriority w:val="0"/>
    <w:rPr>
      <w:rFonts w:ascii="Calibri" w:hAnsi="Calibri" w:eastAsia="宋体" w:cs="Times New Roman"/>
      <w:sz w:val="18"/>
      <w:szCs w:val="18"/>
    </w:rPr>
  </w:style>
  <w:style w:type="character" w:customStyle="1" w:styleId="124">
    <w:name w:val="Char Char10"/>
    <w:qFormat/>
    <w:uiPriority w:val="0"/>
    <w:rPr>
      <w:rFonts w:ascii="Calibri" w:hAnsi="Calibri" w:eastAsia="宋体" w:cs="Times New Roman"/>
      <w:kern w:val="2"/>
      <w:sz w:val="21"/>
      <w:szCs w:val="24"/>
      <w:lang w:val="en-US" w:eastAsia="zh-CN" w:bidi="ar-SA"/>
    </w:rPr>
  </w:style>
  <w:style w:type="character" w:customStyle="1" w:styleId="125">
    <w:name w:val="纯文本 字符1"/>
    <w:qFormat/>
    <w:uiPriority w:val="99"/>
    <w:rPr>
      <w:rFonts w:ascii="宋体" w:hAnsi="Courier New" w:eastAsia="宋体" w:cs="Times New Roman"/>
      <w:szCs w:val="20"/>
    </w:rPr>
  </w:style>
  <w:style w:type="character" w:customStyle="1" w:styleId="126">
    <w:name w:val="标题 1 字符1"/>
    <w:qFormat/>
    <w:uiPriority w:val="0"/>
    <w:rPr>
      <w:rFonts w:ascii="Arial" w:hAnsi="Arial" w:eastAsia="宋体"/>
      <w:b/>
      <w:kern w:val="44"/>
      <w:sz w:val="28"/>
      <w:szCs w:val="28"/>
    </w:rPr>
  </w:style>
  <w:style w:type="character" w:customStyle="1" w:styleId="127">
    <w:name w:val="标题 6 字符"/>
    <w:qFormat/>
    <w:uiPriority w:val="0"/>
    <w:rPr>
      <w:rFonts w:ascii="等线 Light" w:hAnsi="等线 Light" w:eastAsia="等线 Light" w:cs="Times New Roman"/>
      <w:b/>
      <w:bCs/>
      <w:sz w:val="24"/>
      <w:szCs w:val="24"/>
    </w:rPr>
  </w:style>
  <w:style w:type="character" w:customStyle="1" w:styleId="128">
    <w:name w:val="Char Char9"/>
    <w:qFormat/>
    <w:uiPriority w:val="0"/>
    <w:rPr>
      <w:rFonts w:ascii="Calibri" w:hAnsi="Calibri" w:eastAsia="宋体" w:cs="Times New Roman"/>
      <w:b/>
      <w:bCs/>
      <w:lang w:bidi="ar-SA"/>
    </w:rPr>
  </w:style>
  <w:style w:type="character" w:customStyle="1" w:styleId="129">
    <w:name w:val="正文文本 2 Char"/>
    <w:link w:val="35"/>
    <w:qFormat/>
    <w:uiPriority w:val="0"/>
    <w:rPr>
      <w:rFonts w:ascii="宋体" w:hAnsi="宋体"/>
      <w:szCs w:val="24"/>
      <w:u w:val="single"/>
    </w:rPr>
  </w:style>
  <w:style w:type="character" w:customStyle="1" w:styleId="130">
    <w:name w:val="标题 3 Char"/>
    <w:link w:val="9"/>
    <w:qFormat/>
    <w:uiPriority w:val="0"/>
    <w:rPr>
      <w:rFonts w:ascii="宋体" w:hAnsi="宋体"/>
      <w:sz w:val="27"/>
      <w:szCs w:val="27"/>
    </w:rPr>
  </w:style>
  <w:style w:type="character" w:customStyle="1" w:styleId="131">
    <w:name w:val="标题 7 字符1"/>
    <w:qFormat/>
    <w:uiPriority w:val="0"/>
    <w:rPr>
      <w:rFonts w:ascii="Times New Roman" w:hAnsi="Times New Roman" w:eastAsia="宋体" w:cs="Times New Roman"/>
      <w:b/>
      <w:sz w:val="24"/>
      <w:szCs w:val="20"/>
    </w:rPr>
  </w:style>
  <w:style w:type="character" w:customStyle="1" w:styleId="132">
    <w:name w:val="称呼 Char"/>
    <w:basedOn w:val="42"/>
    <w:link w:val="19"/>
    <w:qFormat/>
    <w:uiPriority w:val="0"/>
    <w:rPr>
      <w:rFonts w:ascii="Times New Roman" w:hAnsi="Times New Roman"/>
      <w:kern w:val="2"/>
      <w:sz w:val="24"/>
      <w:szCs w:val="24"/>
    </w:rPr>
  </w:style>
  <w:style w:type="character" w:customStyle="1" w:styleId="133">
    <w:name w:val="3eee Char"/>
    <w:link w:val="134"/>
    <w:qFormat/>
    <w:uiPriority w:val="0"/>
    <w:rPr>
      <w:rFonts w:ascii="宋体" w:hAnsi="宋体" w:cs="宋体"/>
      <w:sz w:val="24"/>
      <w:szCs w:val="24"/>
    </w:rPr>
  </w:style>
  <w:style w:type="paragraph" w:customStyle="1" w:styleId="134">
    <w:name w:val="3eee"/>
    <w:basedOn w:val="1"/>
    <w:link w:val="133"/>
    <w:qFormat/>
    <w:uiPriority w:val="0"/>
    <w:pPr>
      <w:widowControl/>
      <w:spacing w:line="440" w:lineRule="exact"/>
      <w:ind w:firstLine="480" w:firstLineChars="200"/>
      <w:jc w:val="left"/>
    </w:pPr>
    <w:rPr>
      <w:rFonts w:ascii="宋体" w:hAnsi="宋体"/>
      <w:kern w:val="0"/>
      <w:sz w:val="24"/>
      <w:szCs w:val="24"/>
      <w:lang w:val="zh-CN"/>
    </w:rPr>
  </w:style>
  <w:style w:type="character" w:customStyle="1" w:styleId="135">
    <w:name w:val="批注主题 Char2"/>
    <w:semiHidden/>
    <w:qFormat/>
    <w:uiPriority w:val="99"/>
    <w:rPr>
      <w:b/>
      <w:bCs/>
      <w:kern w:val="2"/>
      <w:sz w:val="21"/>
      <w:szCs w:val="22"/>
    </w:rPr>
  </w:style>
  <w:style w:type="character" w:customStyle="1" w:styleId="136">
    <w:name w:val="副标题 Char2"/>
    <w:qFormat/>
    <w:uiPriority w:val="11"/>
    <w:rPr>
      <w:rFonts w:ascii="Cambria" w:hAnsi="Cambria" w:cs="Times New Roman"/>
      <w:b/>
      <w:bCs/>
      <w:kern w:val="28"/>
      <w:sz w:val="32"/>
      <w:szCs w:val="32"/>
    </w:rPr>
  </w:style>
  <w:style w:type="character" w:customStyle="1" w:styleId="137">
    <w:name w:val="正文文本缩进 2 Char2"/>
    <w:semiHidden/>
    <w:qFormat/>
    <w:uiPriority w:val="99"/>
    <w:rPr>
      <w:kern w:val="2"/>
      <w:sz w:val="21"/>
      <w:szCs w:val="22"/>
    </w:rPr>
  </w:style>
  <w:style w:type="character" w:customStyle="1" w:styleId="138">
    <w:name w:val="标题 Char2"/>
    <w:qFormat/>
    <w:uiPriority w:val="10"/>
    <w:rPr>
      <w:rFonts w:ascii="Cambria" w:hAnsi="Cambria" w:cs="Times New Roman"/>
      <w:b/>
      <w:bCs/>
      <w:kern w:val="2"/>
      <w:sz w:val="32"/>
      <w:szCs w:val="32"/>
    </w:rPr>
  </w:style>
  <w:style w:type="character" w:customStyle="1" w:styleId="139">
    <w:name w:val="纯文本 Char"/>
    <w:link w:val="22"/>
    <w:qFormat/>
    <w:uiPriority w:val="0"/>
    <w:rPr>
      <w:rFonts w:ascii="宋体" w:hAnsi="Courier New"/>
    </w:rPr>
  </w:style>
  <w:style w:type="character" w:customStyle="1" w:styleId="140">
    <w:name w:val="标题 6 字符1"/>
    <w:qFormat/>
    <w:uiPriority w:val="0"/>
    <w:rPr>
      <w:rFonts w:ascii="Arial" w:hAnsi="Arial" w:eastAsia="黑体" w:cs="Times New Roman"/>
      <w:b/>
      <w:bCs/>
      <w:sz w:val="24"/>
      <w:szCs w:val="24"/>
    </w:rPr>
  </w:style>
  <w:style w:type="character" w:customStyle="1" w:styleId="141">
    <w:name w:val="文档结构图 Char1"/>
    <w:qFormat/>
    <w:uiPriority w:val="0"/>
    <w:rPr>
      <w:rFonts w:ascii="宋体" w:hAnsi="Calibri" w:eastAsia="宋体" w:cs="Times New Roman"/>
      <w:kern w:val="2"/>
      <w:sz w:val="18"/>
      <w:szCs w:val="18"/>
    </w:rPr>
  </w:style>
  <w:style w:type="character" w:customStyle="1" w:styleId="142">
    <w:name w:val="标题 字符"/>
    <w:qFormat/>
    <w:uiPriority w:val="0"/>
    <w:rPr>
      <w:rFonts w:ascii="等线 Light" w:hAnsi="等线 Light" w:eastAsia="等线 Light" w:cs="Times New Roman"/>
      <w:b/>
      <w:bCs/>
      <w:sz w:val="32"/>
      <w:szCs w:val="32"/>
    </w:rPr>
  </w:style>
  <w:style w:type="character" w:customStyle="1" w:styleId="143">
    <w:name w:val="标题 3 Char1"/>
    <w:qFormat/>
    <w:uiPriority w:val="0"/>
    <w:rPr>
      <w:rFonts w:ascii="Calibri" w:hAnsi="Calibri" w:eastAsia="宋体"/>
      <w:b/>
      <w:bCs/>
      <w:kern w:val="2"/>
      <w:sz w:val="32"/>
      <w:szCs w:val="32"/>
      <w:lang w:val="en-US" w:eastAsia="zh-CN"/>
    </w:rPr>
  </w:style>
  <w:style w:type="character" w:customStyle="1" w:styleId="144">
    <w:name w:val="标题 1 字符"/>
    <w:qFormat/>
    <w:uiPriority w:val="0"/>
    <w:rPr>
      <w:rFonts w:ascii="Calibri" w:hAnsi="Calibri" w:eastAsia="宋体" w:cs="Times New Roman"/>
      <w:b/>
      <w:bCs/>
      <w:kern w:val="44"/>
      <w:sz w:val="44"/>
      <w:szCs w:val="44"/>
    </w:rPr>
  </w:style>
  <w:style w:type="character" w:customStyle="1" w:styleId="145">
    <w:name w:val="正文文本缩进 2 字符"/>
    <w:qFormat/>
    <w:uiPriority w:val="0"/>
    <w:rPr>
      <w:rFonts w:ascii="Calibri" w:hAnsi="Calibri" w:eastAsia="宋体" w:cs="Times New Roman"/>
    </w:rPr>
  </w:style>
  <w:style w:type="character" w:customStyle="1" w:styleId="146">
    <w:name w:val="font51"/>
    <w:qFormat/>
    <w:uiPriority w:val="0"/>
    <w:rPr>
      <w:rFonts w:hint="eastAsia" w:ascii="宋体" w:hAnsi="宋体" w:eastAsia="宋体" w:cs="宋体"/>
      <w:color w:val="000000"/>
      <w:sz w:val="20"/>
      <w:szCs w:val="20"/>
      <w:u w:val="none"/>
    </w:rPr>
  </w:style>
  <w:style w:type="character" w:customStyle="1" w:styleId="147">
    <w:name w:val="标题 5 字符1"/>
    <w:qFormat/>
    <w:uiPriority w:val="0"/>
    <w:rPr>
      <w:rFonts w:ascii="Arial" w:hAnsi="Arial" w:eastAsia="宋体" w:cs="Times New Roman"/>
      <w:color w:val="000000"/>
      <w:szCs w:val="21"/>
    </w:rPr>
  </w:style>
  <w:style w:type="character" w:customStyle="1" w:styleId="148">
    <w:name w:val="标题 1 Char"/>
    <w:link w:val="4"/>
    <w:qFormat/>
    <w:uiPriority w:val="0"/>
    <w:rPr>
      <w:rFonts w:ascii="Arial" w:hAnsi="Arial"/>
      <w:b/>
      <w:kern w:val="44"/>
      <w:sz w:val="28"/>
      <w:szCs w:val="28"/>
    </w:rPr>
  </w:style>
  <w:style w:type="character" w:customStyle="1" w:styleId="149">
    <w:name w:val="正文首行缩进 Char2"/>
    <w:semiHidden/>
    <w:qFormat/>
    <w:uiPriority w:val="99"/>
    <w:rPr>
      <w:kern w:val="2"/>
      <w:sz w:val="21"/>
      <w:szCs w:val="22"/>
    </w:rPr>
  </w:style>
  <w:style w:type="character" w:customStyle="1" w:styleId="150">
    <w:name w:val="批注文字 Char2"/>
    <w:link w:val="18"/>
    <w:semiHidden/>
    <w:qFormat/>
    <w:uiPriority w:val="99"/>
    <w:rPr>
      <w:kern w:val="2"/>
      <w:sz w:val="21"/>
      <w:szCs w:val="22"/>
    </w:rPr>
  </w:style>
  <w:style w:type="character" w:customStyle="1" w:styleId="151">
    <w:name w:val="标题 Char"/>
    <w:link w:val="5"/>
    <w:qFormat/>
    <w:uiPriority w:val="0"/>
    <w:rPr>
      <w:rFonts w:ascii="Arial" w:hAnsi="Arial"/>
      <w:b/>
      <w:sz w:val="44"/>
    </w:rPr>
  </w:style>
  <w:style w:type="character" w:customStyle="1" w:styleId="152">
    <w:name w:val="日期 Char"/>
    <w:link w:val="23"/>
    <w:qFormat/>
    <w:uiPriority w:val="0"/>
    <w:rPr>
      <w:rFonts w:ascii="Times New Roman" w:hAnsi="Times New Roman"/>
    </w:rPr>
  </w:style>
  <w:style w:type="character" w:customStyle="1" w:styleId="153">
    <w:name w:val="正文文本缩进 3 Char1"/>
    <w:qFormat/>
    <w:uiPriority w:val="0"/>
    <w:rPr>
      <w:rFonts w:ascii="Calibri" w:hAnsi="Calibri" w:eastAsia="宋体" w:cs="Times New Roman"/>
      <w:kern w:val="2"/>
      <w:sz w:val="16"/>
      <w:szCs w:val="16"/>
    </w:rPr>
  </w:style>
  <w:style w:type="character" w:customStyle="1" w:styleId="154">
    <w:name w:val="正文首行缩进 Char1"/>
    <w:semiHidden/>
    <w:qFormat/>
    <w:uiPriority w:val="99"/>
  </w:style>
  <w:style w:type="character" w:customStyle="1" w:styleId="155">
    <w:name w:val="正文文本首行缩进 字符"/>
    <w:link w:val="156"/>
    <w:qFormat/>
    <w:uiPriority w:val="0"/>
    <w:rPr>
      <w:rFonts w:ascii="Times New Roman" w:hAnsi="Times New Roman"/>
      <w:kern w:val="2"/>
      <w:sz w:val="21"/>
    </w:rPr>
  </w:style>
  <w:style w:type="paragraph" w:customStyle="1" w:styleId="156">
    <w:name w:val="_Style 62"/>
    <w:basedOn w:val="1"/>
    <w:next w:val="157"/>
    <w:link w:val="155"/>
    <w:qFormat/>
    <w:uiPriority w:val="0"/>
    <w:pPr>
      <w:ind w:firstLine="420" w:firstLineChars="200"/>
    </w:pPr>
    <w:rPr>
      <w:szCs w:val="20"/>
      <w:lang w:val="zh-CN"/>
    </w:rPr>
  </w:style>
  <w:style w:type="paragraph" w:customStyle="1" w:styleId="157">
    <w:name w:val="列出段落1"/>
    <w:basedOn w:val="1"/>
    <w:qFormat/>
    <w:uiPriority w:val="0"/>
    <w:pPr>
      <w:ind w:firstLine="420" w:firstLineChars="200"/>
    </w:pPr>
    <w:rPr>
      <w:szCs w:val="20"/>
    </w:rPr>
  </w:style>
  <w:style w:type="character" w:customStyle="1" w:styleId="158">
    <w:name w:val="日期 Char1"/>
    <w:semiHidden/>
    <w:qFormat/>
    <w:uiPriority w:val="99"/>
    <w:rPr>
      <w:kern w:val="2"/>
      <w:sz w:val="21"/>
      <w:szCs w:val="22"/>
    </w:rPr>
  </w:style>
  <w:style w:type="character" w:customStyle="1" w:styleId="159">
    <w:name w:val="正文文本 Char"/>
    <w:qFormat/>
    <w:uiPriority w:val="0"/>
    <w:rPr>
      <w:rFonts w:ascii="Times New Roman" w:hAnsi="Times New Roman"/>
    </w:rPr>
  </w:style>
  <w:style w:type="character" w:customStyle="1" w:styleId="160">
    <w:name w:val="页脚 Char"/>
    <w:link w:val="27"/>
    <w:qFormat/>
    <w:uiPriority w:val="0"/>
    <w:rPr>
      <w:sz w:val="18"/>
      <w:szCs w:val="18"/>
    </w:rPr>
  </w:style>
  <w:style w:type="character" w:customStyle="1" w:styleId="161">
    <w:name w:val="正文文本缩进 字符"/>
    <w:qFormat/>
    <w:uiPriority w:val="0"/>
    <w:rPr>
      <w:rFonts w:ascii="Calibri" w:hAnsi="Calibri" w:eastAsia="宋体" w:cs="Times New Roman"/>
    </w:rPr>
  </w:style>
  <w:style w:type="character" w:customStyle="1" w:styleId="162">
    <w:name w:val="正文文本 2 Char2"/>
    <w:semiHidden/>
    <w:qFormat/>
    <w:uiPriority w:val="99"/>
    <w:rPr>
      <w:kern w:val="2"/>
      <w:sz w:val="21"/>
      <w:szCs w:val="22"/>
    </w:rPr>
  </w:style>
  <w:style w:type="character" w:customStyle="1" w:styleId="163">
    <w:name w:val="page number1"/>
    <w:qFormat/>
    <w:uiPriority w:val="0"/>
  </w:style>
  <w:style w:type="character" w:customStyle="1" w:styleId="164">
    <w:name w:val="正文文本 Char1"/>
    <w:qFormat/>
    <w:uiPriority w:val="0"/>
    <w:rPr>
      <w:kern w:val="2"/>
      <w:sz w:val="21"/>
      <w:szCs w:val="22"/>
    </w:rPr>
  </w:style>
  <w:style w:type="character" w:customStyle="1" w:styleId="165">
    <w:name w:val="已访问的超链接1"/>
    <w:unhideWhenUsed/>
    <w:qFormat/>
    <w:uiPriority w:val="99"/>
    <w:rPr>
      <w:color w:val="800080"/>
      <w:u w:val="single"/>
    </w:rPr>
  </w:style>
  <w:style w:type="character" w:customStyle="1" w:styleId="166">
    <w:name w:val="批注主题 Char1"/>
    <w:qFormat/>
    <w:uiPriority w:val="0"/>
    <w:rPr>
      <w:rFonts w:ascii="Calibri" w:hAnsi="Calibri" w:eastAsia="宋体" w:cs="Times New Roman"/>
      <w:b/>
      <w:bCs/>
      <w:kern w:val="2"/>
      <w:sz w:val="21"/>
      <w:szCs w:val="22"/>
    </w:rPr>
  </w:style>
  <w:style w:type="character" w:customStyle="1" w:styleId="167">
    <w:name w:val="尾注文本 Char1"/>
    <w:qFormat/>
    <w:uiPriority w:val="0"/>
    <w:rPr>
      <w:rFonts w:ascii="Calibri" w:hAnsi="Calibri" w:eastAsia="宋体" w:cs="Times New Roman"/>
      <w:kern w:val="2"/>
      <w:sz w:val="21"/>
      <w:szCs w:val="22"/>
    </w:rPr>
  </w:style>
  <w:style w:type="character" w:customStyle="1" w:styleId="168">
    <w:name w:val="Char Char13"/>
    <w:qFormat/>
    <w:uiPriority w:val="0"/>
    <w:rPr>
      <w:rFonts w:ascii="Calibri" w:hAnsi="Calibri" w:eastAsia="宋体" w:cs="Times New Roman"/>
      <w:sz w:val="18"/>
      <w:szCs w:val="18"/>
      <w:lang w:bidi="ar-SA"/>
    </w:rPr>
  </w:style>
  <w:style w:type="character" w:customStyle="1" w:styleId="169">
    <w:name w:val="日期 字符"/>
    <w:qFormat/>
    <w:uiPriority w:val="0"/>
    <w:rPr>
      <w:rFonts w:ascii="Calibri" w:hAnsi="Calibri" w:eastAsia="宋体" w:cs="Times New Roman"/>
    </w:rPr>
  </w:style>
  <w:style w:type="character" w:customStyle="1" w:styleId="170">
    <w:name w:val="标题 2 字符1"/>
    <w:qFormat/>
    <w:uiPriority w:val="0"/>
    <w:rPr>
      <w:rFonts w:ascii="Arial" w:hAnsi="Arial" w:eastAsia="宋体" w:cs="Times New Roman"/>
      <w:b/>
      <w:color w:val="000000"/>
      <w:sz w:val="24"/>
      <w:szCs w:val="24"/>
    </w:rPr>
  </w:style>
  <w:style w:type="character" w:customStyle="1" w:styleId="171">
    <w:name w:val="页脚 字符"/>
    <w:qFormat/>
    <w:uiPriority w:val="0"/>
    <w:rPr>
      <w:rFonts w:ascii="Calibri" w:hAnsi="Calibri" w:eastAsia="宋体" w:cs="Times New Roman"/>
      <w:sz w:val="18"/>
      <w:szCs w:val="18"/>
    </w:rPr>
  </w:style>
  <w:style w:type="character" w:customStyle="1" w:styleId="172">
    <w:name w:val="批注框文本 Char"/>
    <w:link w:val="26"/>
    <w:qFormat/>
    <w:uiPriority w:val="0"/>
    <w:rPr>
      <w:rFonts w:ascii="Times New Roman" w:hAnsi="Times New Roman"/>
      <w:sz w:val="18"/>
      <w:szCs w:val="18"/>
    </w:rPr>
  </w:style>
  <w:style w:type="character" w:customStyle="1" w:styleId="173">
    <w:name w:val="批注主题 Char"/>
    <w:link w:val="38"/>
    <w:qFormat/>
    <w:uiPriority w:val="0"/>
    <w:rPr>
      <w:rFonts w:ascii="宋体" w:hAnsi="宋体"/>
      <w:b/>
      <w:bCs/>
      <w:sz w:val="24"/>
      <w:szCs w:val="24"/>
    </w:rPr>
  </w:style>
  <w:style w:type="character" w:customStyle="1" w:styleId="174">
    <w:name w:val="纯文本 Char2"/>
    <w:semiHidden/>
    <w:qFormat/>
    <w:uiPriority w:val="99"/>
    <w:rPr>
      <w:rFonts w:ascii="宋体" w:hAnsi="Courier New" w:cs="Courier New"/>
      <w:kern w:val="2"/>
      <w:sz w:val="21"/>
      <w:szCs w:val="21"/>
    </w:rPr>
  </w:style>
  <w:style w:type="character" w:customStyle="1" w:styleId="175">
    <w:name w:val="批注文字 字符1"/>
    <w:qFormat/>
    <w:uiPriority w:val="0"/>
    <w:rPr>
      <w:rFonts w:ascii="宋体" w:hAnsi="宋体" w:eastAsia="宋体" w:cs="Times New Roman"/>
      <w:sz w:val="24"/>
      <w:szCs w:val="24"/>
    </w:rPr>
  </w:style>
  <w:style w:type="character" w:customStyle="1" w:styleId="176">
    <w:name w:val="页脚 字符1"/>
    <w:qFormat/>
    <w:uiPriority w:val="0"/>
    <w:rPr>
      <w:rFonts w:ascii="Calibri" w:hAnsi="Calibri" w:eastAsia="宋体" w:cs="Times New Roman"/>
      <w:sz w:val="18"/>
      <w:szCs w:val="18"/>
    </w:rPr>
  </w:style>
  <w:style w:type="character" w:customStyle="1" w:styleId="177">
    <w:name w:val="标题 4 字符"/>
    <w:qFormat/>
    <w:uiPriority w:val="0"/>
    <w:rPr>
      <w:rFonts w:ascii="等线 Light" w:hAnsi="等线 Light" w:eastAsia="等线 Light" w:cs="Times New Roman"/>
      <w:b/>
      <w:bCs/>
      <w:sz w:val="28"/>
      <w:szCs w:val="28"/>
    </w:rPr>
  </w:style>
  <w:style w:type="character" w:customStyle="1" w:styleId="178">
    <w:name w:val="尾注文本 字符1"/>
    <w:qFormat/>
    <w:uiPriority w:val="0"/>
    <w:rPr>
      <w:rFonts w:ascii="Times New Roman" w:hAnsi="Times New Roman" w:eastAsia="宋体" w:cs="Times New Roman"/>
      <w:szCs w:val="20"/>
    </w:rPr>
  </w:style>
  <w:style w:type="character" w:customStyle="1" w:styleId="179">
    <w:name w:val="文档结构图 字符1"/>
    <w:qFormat/>
    <w:uiPriority w:val="0"/>
    <w:rPr>
      <w:rFonts w:ascii="Times New Roman" w:hAnsi="Times New Roman" w:eastAsia="宋体" w:cs="Times New Roman"/>
      <w:szCs w:val="20"/>
      <w:shd w:val="clear" w:color="auto" w:fill="000080"/>
    </w:rPr>
  </w:style>
  <w:style w:type="character" w:customStyle="1" w:styleId="180">
    <w:name w:val="正文文本缩进 Char"/>
    <w:qFormat/>
    <w:uiPriority w:val="0"/>
    <w:rPr>
      <w:rFonts w:ascii="Times New Roman" w:hAnsi="Times New Roman"/>
      <w:sz w:val="28"/>
    </w:rPr>
  </w:style>
  <w:style w:type="character" w:customStyle="1" w:styleId="181">
    <w:name w:val="正文缩进 Char"/>
    <w:link w:val="11"/>
    <w:qFormat/>
    <w:locked/>
    <w:uiPriority w:val="0"/>
    <w:rPr>
      <w:rFonts w:ascii="Times New Roman" w:hAnsi="Times New Roman"/>
      <w:kern w:val="2"/>
      <w:sz w:val="21"/>
    </w:rPr>
  </w:style>
  <w:style w:type="character" w:customStyle="1" w:styleId="182">
    <w:name w:val="正文文本缩进 3 Char2"/>
    <w:semiHidden/>
    <w:qFormat/>
    <w:uiPriority w:val="99"/>
    <w:rPr>
      <w:kern w:val="2"/>
      <w:sz w:val="16"/>
      <w:szCs w:val="16"/>
    </w:rPr>
  </w:style>
  <w:style w:type="character" w:customStyle="1" w:styleId="183">
    <w:name w:val="尾注文本 字符"/>
    <w:qFormat/>
    <w:uiPriority w:val="99"/>
    <w:rPr>
      <w:rFonts w:ascii="Calibri" w:hAnsi="Calibri" w:eastAsia="宋体" w:cs="Times New Roman"/>
    </w:rPr>
  </w:style>
  <w:style w:type="character" w:customStyle="1" w:styleId="184">
    <w:name w:val="标题 9 字符"/>
    <w:qFormat/>
    <w:uiPriority w:val="0"/>
    <w:rPr>
      <w:rFonts w:ascii="等线 Light" w:hAnsi="等线 Light" w:eastAsia="等线 Light" w:cs="Times New Roman"/>
      <w:szCs w:val="21"/>
    </w:rPr>
  </w:style>
  <w:style w:type="character" w:customStyle="1" w:styleId="185">
    <w:name w:val="标题 2 字符"/>
    <w:qFormat/>
    <w:uiPriority w:val="0"/>
    <w:rPr>
      <w:rFonts w:ascii="等线 Light" w:hAnsi="等线 Light" w:eastAsia="等线 Light" w:cs="Times New Roman"/>
      <w:b/>
      <w:bCs/>
      <w:sz w:val="32"/>
      <w:szCs w:val="32"/>
    </w:rPr>
  </w:style>
  <w:style w:type="character" w:customStyle="1" w:styleId="186">
    <w:name w:val="标题 7 Char"/>
    <w:link w:val="14"/>
    <w:qFormat/>
    <w:uiPriority w:val="0"/>
    <w:rPr>
      <w:rFonts w:ascii="Times New Roman" w:hAnsi="Times New Roman"/>
      <w:b/>
      <w:sz w:val="24"/>
    </w:rPr>
  </w:style>
  <w:style w:type="character" w:customStyle="1" w:styleId="187">
    <w:name w:val="标题 9 字符1"/>
    <w:qFormat/>
    <w:uiPriority w:val="0"/>
    <w:rPr>
      <w:rFonts w:ascii="Arial" w:hAnsi="Arial" w:eastAsia="黑体" w:cs="Times New Roman"/>
      <w:szCs w:val="20"/>
    </w:rPr>
  </w:style>
  <w:style w:type="character" w:customStyle="1" w:styleId="188">
    <w:name w:val="正文文本缩进 字符1"/>
    <w:qFormat/>
    <w:uiPriority w:val="0"/>
    <w:rPr>
      <w:rFonts w:ascii="Times New Roman" w:hAnsi="Times New Roman" w:eastAsia="宋体" w:cs="Times New Roman"/>
      <w:sz w:val="28"/>
      <w:szCs w:val="20"/>
    </w:rPr>
  </w:style>
  <w:style w:type="character" w:customStyle="1" w:styleId="189">
    <w:name w:val="标题 3 字符1"/>
    <w:qFormat/>
    <w:uiPriority w:val="0"/>
    <w:rPr>
      <w:rFonts w:ascii="宋体" w:hAnsi="宋体" w:eastAsia="宋体" w:cs="宋体"/>
      <w:kern w:val="0"/>
      <w:sz w:val="27"/>
      <w:szCs w:val="27"/>
    </w:rPr>
  </w:style>
  <w:style w:type="character" w:customStyle="1" w:styleId="190">
    <w:name w:val="标题 Char1"/>
    <w:qFormat/>
    <w:uiPriority w:val="10"/>
    <w:rPr>
      <w:rFonts w:ascii="Cambria" w:hAnsi="Cambria" w:cs="Times New Roman"/>
      <w:b/>
      <w:bCs/>
      <w:kern w:val="2"/>
      <w:sz w:val="32"/>
      <w:szCs w:val="32"/>
    </w:rPr>
  </w:style>
  <w:style w:type="character" w:customStyle="1" w:styleId="191">
    <w:name w:val="脚注文本 字符"/>
    <w:qFormat/>
    <w:uiPriority w:val="99"/>
    <w:rPr>
      <w:rFonts w:ascii="Calibri" w:hAnsi="Calibri" w:eastAsia="宋体" w:cs="Times New Roman"/>
      <w:sz w:val="18"/>
      <w:szCs w:val="18"/>
    </w:rPr>
  </w:style>
  <w:style w:type="character" w:customStyle="1" w:styleId="192">
    <w:name w:val="页眉 字符1"/>
    <w:qFormat/>
    <w:uiPriority w:val="0"/>
    <w:rPr>
      <w:rFonts w:ascii="Calibri" w:hAnsi="Calibri" w:eastAsia="宋体" w:cs="Times New Roman"/>
      <w:sz w:val="18"/>
      <w:szCs w:val="18"/>
    </w:rPr>
  </w:style>
  <w:style w:type="character" w:customStyle="1" w:styleId="193">
    <w:name w:val="标题 4 Char"/>
    <w:link w:val="10"/>
    <w:qFormat/>
    <w:uiPriority w:val="0"/>
    <w:rPr>
      <w:rFonts w:ascii="Arial" w:hAnsi="Arial"/>
      <w:color w:val="000000"/>
      <w:szCs w:val="21"/>
    </w:rPr>
  </w:style>
  <w:style w:type="paragraph" w:customStyle="1" w:styleId="194">
    <w:name w:val="正文首行缩进11"/>
    <w:basedOn w:val="7"/>
    <w:qFormat/>
    <w:uiPriority w:val="0"/>
    <w:pPr>
      <w:ind w:firstLine="420" w:firstLineChars="100"/>
    </w:pPr>
    <w:rPr>
      <w:szCs w:val="20"/>
      <w:lang w:val="en-US"/>
    </w:rPr>
  </w:style>
  <w:style w:type="paragraph" w:customStyle="1" w:styleId="195">
    <w:name w:val="二级无标题条"/>
    <w:basedOn w:val="1"/>
    <w:qFormat/>
    <w:uiPriority w:val="0"/>
    <w:rPr>
      <w:szCs w:val="24"/>
    </w:rPr>
  </w:style>
  <w:style w:type="paragraph" w:customStyle="1" w:styleId="19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97">
    <w:name w:val="_Style 25"/>
    <w:basedOn w:val="1"/>
    <w:next w:val="1"/>
    <w:qFormat/>
    <w:uiPriority w:val="0"/>
  </w:style>
  <w:style w:type="paragraph" w:customStyle="1" w:styleId="198">
    <w:name w:val="公文抬头"/>
    <w:basedOn w:val="11"/>
    <w:qFormat/>
    <w:uiPriority w:val="0"/>
    <w:pPr>
      <w:ind w:firstLine="0"/>
    </w:pPr>
    <w:rPr>
      <w:rFonts w:ascii="仿宋_GB2312" w:hAnsi="Calibri" w:eastAsia="仿宋_GB2312"/>
      <w:sz w:val="30"/>
      <w:szCs w:val="24"/>
    </w:rPr>
  </w:style>
  <w:style w:type="paragraph" w:customStyle="1" w:styleId="199">
    <w:name w:val="xl77"/>
    <w:basedOn w:val="1"/>
    <w:qFormat/>
    <w:uiPriority w:val="0"/>
    <w:pPr>
      <w:widowControl/>
      <w:pBdr>
        <w:top w:val="single" w:color="FF0000" w:sz="4" w:space="0"/>
        <w:left w:val="single" w:color="FF0000" w:sz="4" w:space="0"/>
        <w:bottom w:val="single" w:color="FF0000" w:sz="4" w:space="0"/>
        <w:right w:val="single" w:color="FF0000" w:sz="4" w:space="0"/>
      </w:pBdr>
      <w:spacing w:before="100" w:beforeAutospacing="1" w:after="100" w:afterAutospacing="1"/>
      <w:jc w:val="left"/>
    </w:pPr>
    <w:rPr>
      <w:rFonts w:ascii="宋体" w:hAnsi="宋体" w:cs="宋体"/>
      <w:kern w:val="0"/>
      <w:sz w:val="24"/>
      <w:szCs w:val="24"/>
    </w:rPr>
  </w:style>
  <w:style w:type="paragraph" w:customStyle="1" w:styleId="200">
    <w:name w:val="xl79"/>
    <w:basedOn w:val="1"/>
    <w:qFormat/>
    <w:uiPriority w:val="0"/>
    <w:pPr>
      <w:widowControl/>
      <w:pBdr>
        <w:left w:val="single" w:color="FF0000" w:sz="4" w:space="0"/>
        <w:right w:val="single" w:color="FF0000" w:sz="4" w:space="0"/>
      </w:pBdr>
      <w:spacing w:before="100" w:beforeAutospacing="1" w:after="100" w:afterAutospacing="1"/>
      <w:jc w:val="center"/>
    </w:pPr>
    <w:rPr>
      <w:rFonts w:ascii="宋体" w:hAnsi="宋体" w:cs="宋体"/>
      <w:b/>
      <w:bCs/>
      <w:kern w:val="0"/>
      <w:sz w:val="24"/>
      <w:szCs w:val="24"/>
    </w:rPr>
  </w:style>
  <w:style w:type="paragraph" w:customStyle="1" w:styleId="201">
    <w:name w:val="目录 1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customStyle="1" w:styleId="202">
    <w:name w:val="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3">
    <w:name w:val="xl68"/>
    <w:basedOn w:val="1"/>
    <w:qFormat/>
    <w:uiPriority w:val="0"/>
    <w:pPr>
      <w:widowControl/>
      <w:pBdr>
        <w:left w:val="single" w:color="FF0000" w:sz="4" w:space="0"/>
        <w:right w:val="single" w:color="FF0000" w:sz="4" w:space="0"/>
      </w:pBdr>
      <w:spacing w:before="100" w:beforeAutospacing="1" w:after="100" w:afterAutospacing="1"/>
      <w:jc w:val="left"/>
    </w:pPr>
    <w:rPr>
      <w:rFonts w:ascii="宋体" w:hAnsi="宋体" w:cs="宋体"/>
      <w:kern w:val="0"/>
      <w:sz w:val="24"/>
      <w:szCs w:val="24"/>
    </w:rPr>
  </w:style>
  <w:style w:type="paragraph" w:customStyle="1" w:styleId="204">
    <w:name w:val="目录 21"/>
    <w:basedOn w:val="1"/>
    <w:next w:val="1"/>
    <w:qFormat/>
    <w:uiPriority w:val="39"/>
    <w:pPr>
      <w:tabs>
        <w:tab w:val="right" w:leader="dot" w:pos="9060"/>
      </w:tabs>
      <w:snapToGrid w:val="0"/>
      <w:spacing w:line="360" w:lineRule="auto"/>
      <w:ind w:left="420" w:leftChars="200"/>
      <w:jc w:val="left"/>
    </w:pPr>
    <w:rPr>
      <w:sz w:val="24"/>
      <w:szCs w:val="24"/>
    </w:rPr>
  </w:style>
  <w:style w:type="paragraph" w:customStyle="1" w:styleId="20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206">
    <w:name w:val="xl65"/>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07">
    <w:name w:val="ac"/>
    <w:basedOn w:val="1"/>
    <w:qFormat/>
    <w:uiPriority w:val="0"/>
    <w:pPr>
      <w:widowControl/>
      <w:jc w:val="left"/>
    </w:pPr>
    <w:rPr>
      <w:rFonts w:ascii="宋体" w:hAnsi="宋体" w:cs="宋体"/>
      <w:kern w:val="0"/>
      <w:sz w:val="24"/>
      <w:szCs w:val="24"/>
    </w:rPr>
  </w:style>
  <w:style w:type="paragraph" w:customStyle="1" w:styleId="20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4"/>
      <w:szCs w:val="24"/>
    </w:rPr>
  </w:style>
  <w:style w:type="paragraph" w:customStyle="1" w:styleId="209">
    <w:name w:val="TOC 标题1"/>
    <w:basedOn w:val="4"/>
    <w:next w:val="1"/>
    <w:qFormat/>
    <w:uiPriority w:val="39"/>
    <w:pPr>
      <w:widowControl/>
      <w:spacing w:before="480" w:after="0" w:line="276" w:lineRule="auto"/>
      <w:outlineLvl w:val="9"/>
    </w:pPr>
    <w:rPr>
      <w:rFonts w:ascii="Cambria" w:hAnsi="Cambria"/>
      <w:color w:val="365F91"/>
      <w:kern w:val="0"/>
    </w:rPr>
  </w:style>
  <w:style w:type="paragraph" w:customStyle="1" w:styleId="210">
    <w:name w:val="封一"/>
    <w:basedOn w:val="94"/>
    <w:next w:val="94"/>
    <w:qFormat/>
    <w:uiPriority w:val="0"/>
    <w:pPr>
      <w:ind w:firstLine="0" w:firstLineChars="0"/>
      <w:jc w:val="center"/>
    </w:pPr>
    <w:rPr>
      <w:rFonts w:eastAsia="黑体"/>
      <w:b/>
      <w:sz w:val="84"/>
      <w:szCs w:val="84"/>
    </w:rPr>
  </w:style>
  <w:style w:type="paragraph" w:customStyle="1" w:styleId="211">
    <w:name w:val="目录 31"/>
    <w:basedOn w:val="1"/>
    <w:next w:val="1"/>
    <w:qFormat/>
    <w:uiPriority w:val="39"/>
    <w:pPr>
      <w:snapToGrid w:val="0"/>
      <w:spacing w:line="360" w:lineRule="auto"/>
      <w:ind w:left="400" w:leftChars="400"/>
      <w:jc w:val="left"/>
    </w:pPr>
    <w:rPr>
      <w:sz w:val="24"/>
      <w:szCs w:val="20"/>
    </w:rPr>
  </w:style>
  <w:style w:type="paragraph" w:customStyle="1" w:styleId="212">
    <w:name w:val="xl81"/>
    <w:basedOn w:val="1"/>
    <w:qFormat/>
    <w:uiPriority w:val="0"/>
    <w:pPr>
      <w:widowControl/>
      <w:pBdr>
        <w:right w:val="single" w:color="auto" w:sz="4" w:space="0"/>
      </w:pBdr>
      <w:spacing w:before="100" w:beforeAutospacing="1" w:after="100" w:afterAutospacing="1"/>
      <w:jc w:val="left"/>
    </w:pPr>
    <w:rPr>
      <w:rFonts w:ascii="宋体" w:hAnsi="宋体" w:cs="宋体"/>
      <w:kern w:val="0"/>
      <w:sz w:val="24"/>
      <w:szCs w:val="24"/>
    </w:rPr>
  </w:style>
  <w:style w:type="paragraph" w:customStyle="1" w:styleId="213">
    <w:name w:val="xl80"/>
    <w:basedOn w:val="1"/>
    <w:qFormat/>
    <w:uiPriority w:val="0"/>
    <w:pPr>
      <w:widowControl/>
      <w:pBdr>
        <w:left w:val="single" w:color="auto" w:sz="4" w:space="0"/>
      </w:pBdr>
      <w:spacing w:before="100" w:beforeAutospacing="1" w:after="100" w:afterAutospacing="1"/>
      <w:jc w:val="left"/>
    </w:pPr>
    <w:rPr>
      <w:rFonts w:ascii="宋体" w:hAnsi="宋体" w:cs="宋体"/>
      <w:kern w:val="0"/>
      <w:sz w:val="24"/>
      <w:szCs w:val="24"/>
    </w:rPr>
  </w:style>
  <w:style w:type="paragraph" w:customStyle="1" w:styleId="214">
    <w:name w:val="正题"/>
    <w:basedOn w:val="94"/>
    <w:next w:val="94"/>
    <w:qFormat/>
    <w:uiPriority w:val="0"/>
    <w:pPr>
      <w:ind w:firstLine="0" w:firstLineChars="0"/>
      <w:jc w:val="center"/>
    </w:pPr>
    <w:rPr>
      <w:rFonts w:eastAsia="黑体"/>
      <w:b/>
      <w:sz w:val="36"/>
      <w:szCs w:val="36"/>
    </w:rPr>
  </w:style>
  <w:style w:type="paragraph" w:customStyle="1" w:styleId="215">
    <w:name w:val="文档结构图1"/>
    <w:basedOn w:val="1"/>
    <w:qFormat/>
    <w:uiPriority w:val="0"/>
    <w:rPr>
      <w:rFonts w:ascii="宋体"/>
      <w:sz w:val="18"/>
      <w:szCs w:val="18"/>
    </w:rPr>
  </w:style>
  <w:style w:type="paragraph" w:customStyle="1" w:styleId="216">
    <w:name w:val="_Style 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kern w:val="0"/>
      <w:sz w:val="24"/>
      <w:szCs w:val="24"/>
    </w:rPr>
  </w:style>
  <w:style w:type="paragraph" w:customStyle="1" w:styleId="219">
    <w:name w:val="Char Char Char Char"/>
    <w:basedOn w:val="1"/>
    <w:qFormat/>
    <w:uiPriority w:val="0"/>
    <w:rPr>
      <w:sz w:val="30"/>
      <w:szCs w:val="24"/>
    </w:rPr>
  </w:style>
  <w:style w:type="paragraph" w:customStyle="1" w:styleId="220">
    <w:name w:val="01"/>
    <w:basedOn w:val="8"/>
    <w:qFormat/>
    <w:uiPriority w:val="0"/>
    <w:pPr>
      <w:snapToGrid w:val="0"/>
      <w:spacing w:before="0" w:after="0" w:line="360" w:lineRule="auto"/>
      <w:ind w:left="33" w:firstLine="561"/>
    </w:pPr>
    <w:rPr>
      <w:rFonts w:ascii="楷体_GB2312" w:eastAsia="楷体_GB2312"/>
      <w:bCs/>
      <w:color w:val="000000"/>
      <w:sz w:val="21"/>
      <w:szCs w:val="20"/>
      <w:lang w:val="en-US"/>
    </w:rPr>
  </w:style>
  <w:style w:type="paragraph" w:customStyle="1" w:styleId="22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22">
    <w:name w:val="标题1"/>
    <w:basedOn w:val="7"/>
    <w:next w:val="7"/>
    <w:qFormat/>
    <w:uiPriority w:val="0"/>
    <w:pPr>
      <w:spacing w:beforeLines="50" w:after="0" w:line="360" w:lineRule="auto"/>
      <w:jc w:val="center"/>
      <w:outlineLvl w:val="0"/>
    </w:pPr>
    <w:rPr>
      <w:rFonts w:ascii="仿宋_GB2312" w:eastAsia="仿宋_GB2312"/>
      <w:b/>
      <w:sz w:val="44"/>
      <w:szCs w:val="44"/>
      <w:lang w:val="en-US"/>
    </w:rPr>
  </w:style>
  <w:style w:type="paragraph" w:customStyle="1" w:styleId="223">
    <w:name w:val="xl25"/>
    <w:basedOn w:val="1"/>
    <w:qFormat/>
    <w:uiPriority w:val="0"/>
    <w:pPr>
      <w:widowControl/>
      <w:pBdr>
        <w:bottom w:val="single" w:color="auto" w:sz="4" w:space="0"/>
      </w:pBdr>
      <w:spacing w:before="100" w:beforeAutospacing="1" w:after="100" w:afterAutospacing="1"/>
      <w:jc w:val="center"/>
    </w:pPr>
    <w:rPr>
      <w:rFonts w:ascii="Arial Unicode MS" w:hAnsi="Arial Unicode MS" w:eastAsia="Arial Unicode MS"/>
      <w:kern w:val="0"/>
      <w:sz w:val="24"/>
      <w:szCs w:val="24"/>
    </w:rPr>
  </w:style>
  <w:style w:type="paragraph" w:customStyle="1" w:styleId="224">
    <w:name w:val="公文标题"/>
    <w:basedOn w:val="9"/>
    <w:qFormat/>
    <w:uiPriority w:val="0"/>
    <w:pPr>
      <w:keepNext/>
      <w:keepLines/>
      <w:widowControl w:val="0"/>
      <w:spacing w:before="0" w:beforeAutospacing="0" w:after="0" w:afterAutospacing="0"/>
      <w:ind w:left="1469" w:right="1542"/>
    </w:pPr>
    <w:rPr>
      <w:rFonts w:ascii="Calibri" w:hAnsi="Times New Roman"/>
      <w:b/>
      <w:kern w:val="2"/>
      <w:sz w:val="44"/>
      <w:szCs w:val="21"/>
    </w:rPr>
  </w:style>
  <w:style w:type="paragraph" w:customStyle="1" w:styleId="22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paragraph" w:customStyle="1" w:styleId="22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color w:val="000000"/>
      <w:kern w:val="0"/>
      <w:sz w:val="24"/>
      <w:szCs w:val="24"/>
    </w:rPr>
  </w:style>
  <w:style w:type="paragraph" w:customStyle="1" w:styleId="227">
    <w:name w:val="文提"/>
    <w:basedOn w:val="94"/>
    <w:qFormat/>
    <w:uiPriority w:val="0"/>
    <w:pPr>
      <w:widowControl w:val="0"/>
      <w:spacing w:after="0"/>
      <w:ind w:firstLine="0" w:firstLineChars="0"/>
      <w:jc w:val="both"/>
    </w:pPr>
    <w:rPr>
      <w:rFonts w:eastAsia="黑体" w:cs="宋体"/>
      <w:b/>
    </w:rPr>
  </w:style>
  <w:style w:type="paragraph" w:customStyle="1" w:styleId="228">
    <w:name w:val="文二"/>
    <w:basedOn w:val="1"/>
    <w:qFormat/>
    <w:uiPriority w:val="0"/>
    <w:pPr>
      <w:widowControl/>
      <w:spacing w:after="200" w:line="276" w:lineRule="auto"/>
      <w:jc w:val="left"/>
    </w:pPr>
    <w:rPr>
      <w:rFonts w:ascii="宋体" w:hAnsi="宋体"/>
      <w:kern w:val="0"/>
      <w:sz w:val="22"/>
      <w:szCs w:val="21"/>
      <w:lang w:eastAsia="en-US" w:bidi="en-US"/>
    </w:rPr>
  </w:style>
  <w:style w:type="paragraph" w:customStyle="1" w:styleId="229">
    <w:name w:val="xl40"/>
    <w:basedOn w:val="1"/>
    <w:qFormat/>
    <w:uiPriority w:val="0"/>
    <w:pPr>
      <w:widowControl/>
      <w:pBdr>
        <w:bottom w:val="single" w:color="auto" w:sz="4" w:space="0"/>
      </w:pBdr>
      <w:spacing w:before="100" w:beforeAutospacing="1" w:after="100" w:afterAutospacing="1"/>
      <w:textAlignment w:val="center"/>
    </w:pPr>
    <w:rPr>
      <w:rFonts w:ascii="Arial Unicode MS" w:hAnsi="Arial Unicode MS"/>
      <w:b/>
      <w:bCs/>
      <w:kern w:val="0"/>
      <w:sz w:val="24"/>
      <w:szCs w:val="24"/>
    </w:rPr>
  </w:style>
  <w:style w:type="paragraph" w:customStyle="1" w:styleId="230">
    <w:name w:val="表头"/>
    <w:basedOn w:val="1"/>
    <w:qFormat/>
    <w:uiPriority w:val="0"/>
    <w:pPr>
      <w:spacing w:line="360" w:lineRule="auto"/>
      <w:jc w:val="center"/>
    </w:pPr>
    <w:rPr>
      <w:rFonts w:ascii="黑体" w:eastAsia="黑体"/>
      <w:kern w:val="0"/>
      <w:sz w:val="24"/>
      <w:szCs w:val="20"/>
    </w:rPr>
  </w:style>
  <w:style w:type="paragraph" w:customStyle="1" w:styleId="231">
    <w:name w:val="xl66"/>
    <w:basedOn w:val="1"/>
    <w:qFormat/>
    <w:uiPriority w:val="0"/>
    <w:pPr>
      <w:widowControl/>
      <w:pBdr>
        <w:top w:val="single" w:color="FF0000" w:sz="4" w:space="0"/>
        <w:left w:val="single" w:color="FF0000" w:sz="4" w:space="0"/>
        <w:bottom w:val="single" w:color="FF0000" w:sz="4" w:space="0"/>
        <w:right w:val="single" w:color="FF0000" w:sz="4" w:space="0"/>
      </w:pBdr>
      <w:shd w:val="clear" w:color="000000" w:fill="FFFF00"/>
      <w:spacing w:before="100" w:beforeAutospacing="1" w:after="100" w:afterAutospacing="1"/>
      <w:jc w:val="center"/>
    </w:pPr>
    <w:rPr>
      <w:rFonts w:ascii="宋体" w:hAnsi="宋体" w:cs="宋体"/>
      <w:b/>
      <w:bCs/>
      <w:kern w:val="0"/>
      <w:sz w:val="24"/>
      <w:szCs w:val="24"/>
    </w:rPr>
  </w:style>
  <w:style w:type="paragraph" w:customStyle="1" w:styleId="232">
    <w:name w:val="修订1"/>
    <w:qFormat/>
    <w:uiPriority w:val="99"/>
    <w:rPr>
      <w:rFonts w:ascii="Times New Roman" w:hAnsi="Times New Roman" w:eastAsia="宋体" w:cs="Times New Roman"/>
      <w:kern w:val="2"/>
      <w:sz w:val="21"/>
      <w:lang w:val="en-US" w:eastAsia="zh-CN" w:bidi="ar-SA"/>
    </w:rPr>
  </w:style>
  <w:style w:type="paragraph" w:customStyle="1" w:styleId="233">
    <w:name w:val="列表段落1"/>
    <w:basedOn w:val="1"/>
    <w:qFormat/>
    <w:uiPriority w:val="0"/>
    <w:pPr>
      <w:ind w:firstLine="420" w:firstLineChars="200"/>
    </w:pPr>
  </w:style>
  <w:style w:type="paragraph" w:customStyle="1" w:styleId="234">
    <w:name w:val="_Style 11"/>
    <w:basedOn w:val="1"/>
    <w:qFormat/>
    <w:uiPriority w:val="0"/>
    <w:rPr>
      <w:sz w:val="30"/>
      <w:szCs w:val="24"/>
    </w:rPr>
  </w:style>
  <w:style w:type="paragraph" w:customStyle="1" w:styleId="23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237">
    <w:name w:val="封四"/>
    <w:basedOn w:val="94"/>
    <w:next w:val="94"/>
    <w:qFormat/>
    <w:uiPriority w:val="0"/>
    <w:rPr>
      <w:sz w:val="30"/>
      <w:szCs w:val="30"/>
    </w:rPr>
  </w:style>
  <w:style w:type="paragraph" w:customStyle="1" w:styleId="238">
    <w:name w:val="封二"/>
    <w:basedOn w:val="94"/>
    <w:next w:val="94"/>
    <w:qFormat/>
    <w:uiPriority w:val="0"/>
    <w:pPr>
      <w:ind w:firstLine="0" w:firstLineChars="0"/>
      <w:jc w:val="center"/>
    </w:pPr>
    <w:rPr>
      <w:rFonts w:eastAsia="黑体"/>
      <w:b/>
      <w:sz w:val="36"/>
      <w:szCs w:val="36"/>
    </w:rPr>
  </w:style>
  <w:style w:type="paragraph" w:customStyle="1" w:styleId="239">
    <w:name w:val="发文落款"/>
    <w:basedOn w:val="240"/>
    <w:qFormat/>
    <w:uiPriority w:val="0"/>
    <w:pPr>
      <w:ind w:left="4094" w:right="607" w:firstLine="0"/>
      <w:jc w:val="center"/>
    </w:pPr>
    <w:rPr>
      <w:rFonts w:ascii="Calibri" w:hAnsi="Calibri" w:eastAsia="宋体"/>
    </w:rPr>
  </w:style>
  <w:style w:type="paragraph" w:customStyle="1" w:styleId="240">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41">
    <w:name w:val="章节二"/>
    <w:basedOn w:val="1"/>
    <w:next w:val="1"/>
    <w:qFormat/>
    <w:uiPriority w:val="0"/>
    <w:pPr>
      <w:topLinePunct/>
      <w:adjustRightInd w:val="0"/>
      <w:snapToGrid w:val="0"/>
      <w:spacing w:beforeLines="50" w:afterLines="50"/>
      <w:jc w:val="center"/>
      <w:outlineLvl w:val="1"/>
    </w:pPr>
    <w:rPr>
      <w:rFonts w:eastAsia="黑体"/>
      <w:b/>
      <w:snapToGrid w:val="0"/>
      <w:spacing w:val="4"/>
      <w:kern w:val="0"/>
      <w:sz w:val="30"/>
      <w:szCs w:val="30"/>
    </w:rPr>
  </w:style>
  <w:style w:type="paragraph" w:customStyle="1" w:styleId="24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24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24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46">
    <w:name w:val="正文 New New"/>
    <w:basedOn w:val="1"/>
    <w:qFormat/>
    <w:uiPriority w:val="0"/>
    <w:rPr>
      <w:rFonts w:eastAsia="楷体_GB2312" w:cs="宋体"/>
      <w:szCs w:val="21"/>
    </w:rPr>
  </w:style>
  <w:style w:type="paragraph" w:customStyle="1" w:styleId="247">
    <w:name w:val="Char"/>
    <w:basedOn w:val="1"/>
    <w:qFormat/>
    <w:uiPriority w:val="0"/>
    <w:pPr>
      <w:tabs>
        <w:tab w:val="left" w:pos="420"/>
      </w:tabs>
      <w:ind w:left="420" w:hanging="420"/>
    </w:pPr>
    <w:rPr>
      <w:sz w:val="24"/>
      <w:szCs w:val="24"/>
    </w:rPr>
  </w:style>
  <w:style w:type="paragraph" w:customStyle="1" w:styleId="248">
    <w:name w:val="Char Char Char Char Char Char1 Char"/>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249">
    <w:name w:val="bg"/>
    <w:basedOn w:val="1"/>
    <w:qFormat/>
    <w:uiPriority w:val="0"/>
    <w:pPr>
      <w:widowControl/>
    </w:pPr>
    <w:rPr>
      <w:kern w:val="0"/>
      <w:sz w:val="24"/>
      <w:szCs w:val="20"/>
    </w:rPr>
  </w:style>
  <w:style w:type="paragraph" w:customStyle="1" w:styleId="250">
    <w:name w:val="Char Char Char1 Char"/>
    <w:basedOn w:val="17"/>
    <w:qFormat/>
    <w:uiPriority w:val="0"/>
    <w:rPr>
      <w:rFonts w:ascii="Tahoma" w:hAnsi="Tahoma"/>
      <w:sz w:val="24"/>
      <w:szCs w:val="24"/>
    </w:rPr>
  </w:style>
  <w:style w:type="paragraph" w:customStyle="1" w:styleId="251">
    <w:name w:val="Char Char Char Char1"/>
    <w:basedOn w:val="1"/>
    <w:qFormat/>
    <w:uiPriority w:val="0"/>
    <w:rPr>
      <w:szCs w:val="24"/>
    </w:rPr>
  </w:style>
  <w:style w:type="paragraph" w:customStyle="1" w:styleId="252">
    <w:name w:val="_Style 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3">
    <w:name w:val="xl38"/>
    <w:basedOn w:val="1"/>
    <w:qFormat/>
    <w:uiPriority w:val="0"/>
    <w:pPr>
      <w:widowControl/>
      <w:spacing w:before="100" w:beforeAutospacing="1" w:after="100" w:afterAutospacing="1"/>
      <w:jc w:val="center"/>
    </w:pPr>
    <w:rPr>
      <w:rFonts w:ascii="Arial Unicode MS" w:hAnsi="Arial Unicode MS"/>
      <w:b/>
      <w:bCs/>
      <w:kern w:val="0"/>
      <w:sz w:val="32"/>
      <w:szCs w:val="32"/>
    </w:rPr>
  </w:style>
  <w:style w:type="paragraph" w:customStyle="1" w:styleId="254">
    <w:name w:val="Char11"/>
    <w:basedOn w:val="1"/>
    <w:qFormat/>
    <w:uiPriority w:val="0"/>
    <w:rPr>
      <w:rFonts w:ascii="Tahoma" w:hAnsi="Tahoma"/>
      <w:sz w:val="24"/>
      <w:szCs w:val="20"/>
    </w:rPr>
  </w:style>
  <w:style w:type="paragraph" w:customStyle="1" w:styleId="255">
    <w:name w:val="Char1"/>
    <w:basedOn w:val="1"/>
    <w:qFormat/>
    <w:uiPriority w:val="0"/>
    <w:pPr>
      <w:numPr>
        <w:ilvl w:val="0"/>
        <w:numId w:val="1"/>
      </w:numPr>
    </w:pPr>
    <w:rPr>
      <w:sz w:val="24"/>
      <w:szCs w:val="24"/>
    </w:rPr>
  </w:style>
  <w:style w:type="paragraph" w:customStyle="1" w:styleId="256">
    <w:name w:val="章节三"/>
    <w:basedOn w:val="94"/>
    <w:next w:val="94"/>
    <w:qFormat/>
    <w:uiPriority w:val="0"/>
    <w:pPr>
      <w:spacing w:beforeLines="50" w:afterLines="50" w:line="240" w:lineRule="auto"/>
      <w:ind w:firstLine="0" w:firstLineChars="0"/>
      <w:outlineLvl w:val="2"/>
    </w:pPr>
    <w:rPr>
      <w:rFonts w:ascii="黑体" w:hAnsi="宋体" w:eastAsia="黑体"/>
      <w:b/>
    </w:rPr>
  </w:style>
  <w:style w:type="table" w:customStyle="1" w:styleId="257">
    <w:name w:val="网格型1"/>
    <w:basedOn w:val="4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8">
    <w:name w:val="num"/>
    <w:basedOn w:val="42"/>
    <w:qFormat/>
    <w:uiPriority w:val="0"/>
    <w:rPr>
      <w:rFonts w:ascii="Arial" w:hAnsi="Arial" w:cs="Arial"/>
      <w:color w:val="FF6600"/>
      <w:sz w:val="16"/>
      <w:szCs w:val="16"/>
    </w:rPr>
  </w:style>
  <w:style w:type="character" w:customStyle="1" w:styleId="259">
    <w:name w:val="num1"/>
    <w:basedOn w:val="42"/>
    <w:qFormat/>
    <w:uiPriority w:val="0"/>
    <w:rPr>
      <w:color w:val="FFFFFF"/>
      <w:shd w:val="clear" w:color="auto" w:fill="FF6600"/>
    </w:rPr>
  </w:style>
  <w:style w:type="character" w:customStyle="1" w:styleId="260">
    <w:name w:val="num2"/>
    <w:basedOn w:val="42"/>
    <w:qFormat/>
    <w:uiPriority w:val="0"/>
    <w:rPr>
      <w:rFonts w:hint="default" w:ascii="Arial" w:hAnsi="Arial" w:cs="Arial"/>
      <w:color w:val="FF6600"/>
      <w:sz w:val="16"/>
      <w:szCs w:val="16"/>
    </w:rPr>
  </w:style>
  <w:style w:type="character" w:customStyle="1" w:styleId="261">
    <w:name w:val="num3"/>
    <w:basedOn w:val="42"/>
    <w:qFormat/>
    <w:uiPriority w:val="0"/>
    <w:rPr>
      <w:color w:val="FFFFFF"/>
      <w:shd w:val="clear" w:color="auto" w:fill="FF6600"/>
    </w:rPr>
  </w:style>
  <w:style w:type="character" w:customStyle="1" w:styleId="262">
    <w:name w:val="button16"/>
    <w:basedOn w:val="42"/>
    <w:qFormat/>
    <w:uiPriority w:val="0"/>
  </w:style>
  <w:style w:type="character" w:customStyle="1" w:styleId="263">
    <w:name w:val="sign"/>
    <w:basedOn w:val="42"/>
    <w:qFormat/>
    <w:uiPriority w:val="0"/>
    <w:rPr>
      <w:color w:val="D40000"/>
    </w:rPr>
  </w:style>
  <w:style w:type="character" w:customStyle="1" w:styleId="264">
    <w:name w:val="ar_item"/>
    <w:basedOn w:val="42"/>
    <w:qFormat/>
    <w:uiPriority w:val="0"/>
  </w:style>
  <w:style w:type="character" w:customStyle="1" w:styleId="265">
    <w:name w:val="arrow"/>
    <w:basedOn w:val="42"/>
    <w:qFormat/>
    <w:uiPriority w:val="0"/>
  </w:style>
  <w:style w:type="character" w:customStyle="1" w:styleId="266">
    <w:name w:val="arrow1"/>
    <w:basedOn w:val="42"/>
    <w:qFormat/>
    <w:uiPriority w:val="0"/>
  </w:style>
  <w:style w:type="character" w:customStyle="1" w:styleId="267">
    <w:name w:val="arrow2"/>
    <w:basedOn w:val="42"/>
    <w:qFormat/>
    <w:uiPriority w:val="0"/>
  </w:style>
  <w:style w:type="character" w:customStyle="1" w:styleId="268">
    <w:name w:val="custext"/>
    <w:basedOn w:val="42"/>
    <w:qFormat/>
    <w:uiPriority w:val="0"/>
  </w:style>
  <w:style w:type="character" w:customStyle="1" w:styleId="269">
    <w:name w:val="custext1"/>
    <w:basedOn w:val="42"/>
    <w:qFormat/>
    <w:uiPriority w:val="0"/>
  </w:style>
  <w:style w:type="character" w:customStyle="1" w:styleId="270">
    <w:name w:val="tmpztreemove_arrow"/>
    <w:basedOn w:val="42"/>
    <w:qFormat/>
    <w:uiPriority w:val="0"/>
  </w:style>
  <w:style w:type="paragraph" w:customStyle="1" w:styleId="271">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2">
    <w:name w:val="列出段落2"/>
    <w:basedOn w:val="1"/>
    <w:qFormat/>
    <w:uiPriority w:val="99"/>
    <w:pPr>
      <w:ind w:firstLine="420" w:firstLineChars="200"/>
    </w:pPr>
  </w:style>
  <w:style w:type="paragraph" w:customStyle="1" w:styleId="273">
    <w:name w:val="修订2"/>
    <w:hidden/>
    <w:semiHidden/>
    <w:qFormat/>
    <w:uiPriority w:val="99"/>
    <w:rPr>
      <w:rFonts w:ascii="Times New Roman" w:hAnsi="Times New Roman" w:eastAsia="宋体" w:cs="Times New Roman"/>
      <w:kern w:val="2"/>
      <w:sz w:val="21"/>
      <w:szCs w:val="22"/>
      <w:lang w:val="en-US" w:eastAsia="zh-CN" w:bidi="ar-SA"/>
    </w:rPr>
  </w:style>
  <w:style w:type="paragraph" w:customStyle="1" w:styleId="274">
    <w:name w:val="x_msonormal"/>
    <w:basedOn w:val="1"/>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DB6B51-A21B-4F52-8740-958AF732F4E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298</Pages>
  <Words>163950</Words>
  <Characters>177857</Characters>
  <Lines>720</Lines>
  <Paragraphs>202</Paragraphs>
  <TotalTime>49</TotalTime>
  <ScaleCrop>false</ScaleCrop>
  <LinksUpToDate>false</LinksUpToDate>
  <CharactersWithSpaces>183951</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2021-06-09T08:23:00Z</dcterms:created>
  <dc:creator>未定义</dc:creator>
  <cp:lastModifiedBy>迟爽</cp:lastModifiedBy>
  <cp:lastPrinted>2020-06-29T07:06:00Z</cp:lastPrinted>
  <dcterms:modified xsi:type="dcterms:W3CDTF">2023-07-20T08:29:28Z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E1022F4B798C4872B9F62AB5B7D4DCD9</vt:lpwstr>
  </property>
</Properties>
</file>