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otum" w:eastAsia="Dotum"/>
          <w:b/>
          <w:vanish/>
          <w:sz w:val="48"/>
          <w:szCs w:val="48"/>
        </w:rPr>
      </w:pPr>
      <w:r>
        <w:rPr>
          <w:rFonts w:ascii="宋体" w:hAnsi="宋体" w:cs="宋体"/>
          <w:b/>
          <w:vanish/>
          <w:kern w:val="0"/>
          <w:sz w:val="36"/>
          <w:szCs w:val="36"/>
        </w:rPr>
        <w:t>GZZB</w:t>
      </w:r>
      <w:r>
        <w:rPr>
          <w:rFonts w:hint="eastAsia" w:ascii="宋体" w:hAnsi="宋体" w:cs="宋体"/>
          <w:b/>
          <w:vanish/>
          <w:kern w:val="0"/>
          <w:sz w:val="36"/>
          <w:szCs w:val="36"/>
        </w:rPr>
        <w:t>2018-3</w:t>
      </w:r>
    </w:p>
    <w:p>
      <w:pPr>
        <w:rPr>
          <w:rFonts w:ascii="Dotum" w:eastAsia="Dotum"/>
          <w:b/>
          <w:vanish/>
          <w:sz w:val="48"/>
          <w:szCs w:val="48"/>
        </w:rPr>
      </w:pPr>
      <w:r>
        <w:rPr>
          <w:rFonts w:ascii="宋体" w:hAnsi="宋体" w:cs="宋体"/>
          <w:b/>
          <w:vanish/>
          <w:kern w:val="0"/>
          <w:sz w:val="36"/>
          <w:szCs w:val="36"/>
        </w:rPr>
        <w:t>GZZB</w:t>
      </w:r>
      <w:r>
        <w:rPr>
          <w:rFonts w:hint="eastAsia" w:ascii="宋体" w:hAnsi="宋体" w:cs="宋体"/>
          <w:b/>
          <w:vanish/>
          <w:kern w:val="0"/>
          <w:sz w:val="36"/>
          <w:szCs w:val="36"/>
        </w:rPr>
        <w:t>2018-3</w:t>
      </w:r>
    </w:p>
    <w:p>
      <w:pPr>
        <w:spacing w:line="360" w:lineRule="auto"/>
        <w:jc w:val="center"/>
        <w:rPr>
          <w:rFonts w:ascii="宋体" w:hAnsi="宋体" w:cs="宋体"/>
          <w:sz w:val="44"/>
          <w:szCs w:val="32"/>
          <w:u w:val="single"/>
        </w:rPr>
      </w:pPr>
      <w:r>
        <w:rPr>
          <w:rFonts w:hint="eastAsia" w:ascii="宋体" w:hAnsi="宋体" w:cs="宋体"/>
          <w:b/>
          <w:bCs/>
          <w:spacing w:val="40"/>
          <w:sz w:val="52"/>
          <w:szCs w:val="56"/>
        </w:rPr>
        <w:t>广东外语外贸大学白云山校区第二期体育设施修缮施工总承包</w:t>
      </w:r>
    </w:p>
    <w:p>
      <w:pPr>
        <w:spacing w:line="360" w:lineRule="auto"/>
        <w:rPr>
          <w:rFonts w:ascii="宋体" w:hAnsi="宋体" w:cs="宋体"/>
          <w:b/>
          <w:bCs/>
          <w:spacing w:val="26"/>
          <w:sz w:val="110"/>
          <w:szCs w:val="110"/>
        </w:rPr>
      </w:pPr>
    </w:p>
    <w:p>
      <w:pPr>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招标文件</w:t>
      </w:r>
    </w:p>
    <w:p>
      <w:pPr>
        <w:spacing w:line="360" w:lineRule="auto"/>
        <w:jc w:val="center"/>
        <w:rPr>
          <w:rFonts w:ascii="宋体" w:hAnsi="宋体" w:cs="宋体"/>
          <w:sz w:val="32"/>
        </w:rPr>
      </w:pPr>
    </w:p>
    <w:p>
      <w:pPr>
        <w:spacing w:line="360" w:lineRule="auto"/>
        <w:ind w:firstLine="2560" w:firstLineChars="800"/>
        <w:rPr>
          <w:rFonts w:ascii="宋体" w:hAnsi="宋体" w:cs="宋体"/>
          <w:sz w:val="32"/>
        </w:rPr>
      </w:pPr>
    </w:p>
    <w:p>
      <w:pPr>
        <w:spacing w:line="360" w:lineRule="auto"/>
        <w:rPr>
          <w:rFonts w:ascii="宋体" w:hAnsi="宋体" w:cs="宋体"/>
          <w:sz w:val="30"/>
          <w:szCs w:val="30"/>
        </w:rPr>
      </w:pPr>
    </w:p>
    <w:p>
      <w:pPr>
        <w:spacing w:line="360" w:lineRule="auto"/>
        <w:ind w:firstLine="900" w:firstLineChars="300"/>
        <w:rPr>
          <w:rFonts w:ascii="宋体" w:hAnsi="宋体" w:cs="宋体"/>
          <w:sz w:val="30"/>
          <w:szCs w:val="30"/>
        </w:rPr>
      </w:pPr>
    </w:p>
    <w:p>
      <w:pPr>
        <w:pStyle w:val="8"/>
        <w:rPr>
          <w:rFonts w:ascii="宋体" w:hAnsi="宋体" w:cs="宋体"/>
          <w:sz w:val="30"/>
          <w:szCs w:val="30"/>
        </w:rPr>
      </w:pPr>
    </w:p>
    <w:p/>
    <w:p>
      <w:pPr>
        <w:pStyle w:val="2"/>
      </w:pPr>
    </w:p>
    <w:p>
      <w:bookmarkStart w:id="41" w:name="_GoBack"/>
      <w:bookmarkEnd w:id="41"/>
    </w:p>
    <w:p>
      <w:pPr>
        <w:pStyle w:val="8"/>
      </w:pPr>
    </w:p>
    <w:p>
      <w:pPr>
        <w:pStyle w:val="2"/>
      </w:pPr>
    </w:p>
    <w:p>
      <w:pPr>
        <w:pStyle w:val="2"/>
      </w:pPr>
    </w:p>
    <w:p>
      <w:pPr>
        <w:spacing w:line="360" w:lineRule="auto"/>
        <w:jc w:val="center"/>
        <w:rPr>
          <w:rFonts w:ascii="宋体" w:hAnsi="宋体" w:cs="宋体"/>
          <w:sz w:val="30"/>
          <w:szCs w:val="30"/>
          <w:u w:val="single"/>
        </w:rPr>
      </w:pPr>
      <w:r>
        <w:rPr>
          <w:rFonts w:hint="eastAsia" w:ascii="宋体" w:hAnsi="宋体" w:cs="宋体"/>
          <w:sz w:val="30"/>
          <w:szCs w:val="30"/>
        </w:rPr>
        <w:t>招  标 单 位：</w:t>
      </w:r>
      <w:r>
        <w:rPr>
          <w:rFonts w:hint="eastAsia" w:ascii="宋体" w:hAnsi="宋体" w:cs="宋体"/>
          <w:sz w:val="30"/>
          <w:szCs w:val="30"/>
          <w:u w:val="single"/>
        </w:rPr>
        <w:t>广东外语外贸大学</w:t>
      </w:r>
    </w:p>
    <w:p>
      <w:pPr>
        <w:spacing w:line="360" w:lineRule="auto"/>
        <w:jc w:val="center"/>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中捷通信有限公司</w:t>
      </w:r>
    </w:p>
    <w:p>
      <w:pPr>
        <w:spacing w:line="360" w:lineRule="auto"/>
        <w:jc w:val="center"/>
        <w:rPr>
          <w:rFonts w:ascii="宋体" w:hAnsi="宋体" w:cs="宋体"/>
          <w:sz w:val="30"/>
          <w:szCs w:val="30"/>
        </w:rPr>
      </w:pPr>
      <w:r>
        <w:rPr>
          <w:rFonts w:hint="eastAsia" w:ascii="宋体" w:hAnsi="宋体" w:cs="宋体"/>
          <w:sz w:val="30"/>
          <w:szCs w:val="30"/>
        </w:rPr>
        <w:t>日         期： 2023 年  7  月</w:t>
      </w:r>
    </w:p>
    <w:p>
      <w:pPr>
        <w:spacing w:line="360" w:lineRule="auto"/>
        <w:ind w:firstLine="900" w:firstLineChars="300"/>
        <w:jc w:val="center"/>
        <w:rPr>
          <w:rFonts w:ascii="宋体" w:hAnsi="宋体" w:cs="宋体"/>
          <w:b/>
          <w:caps/>
          <w:kern w:val="0"/>
        </w:rPr>
      </w:pPr>
      <w:r>
        <w:rPr>
          <w:rFonts w:hint="eastAsia" w:ascii="宋体" w:hAnsi="宋体" w:cs="宋体"/>
          <w:sz w:val="30"/>
          <w:szCs w:val="30"/>
        </w:rPr>
        <w:br w:type="page"/>
      </w:r>
      <w:r>
        <w:rPr>
          <w:rStyle w:val="43"/>
          <w:rFonts w:hint="eastAsia" w:ascii="宋体" w:hAnsi="宋体" w:cs="宋体"/>
          <w:b/>
          <w:bCs/>
          <w:color w:val="auto"/>
          <w:sz w:val="30"/>
          <w:szCs w:val="30"/>
          <w:u w:val="none"/>
        </w:rPr>
        <w:t>目录</w:t>
      </w:r>
    </w:p>
    <w:p>
      <w:pPr>
        <w:pStyle w:val="27"/>
        <w:tabs>
          <w:tab w:val="right" w:leader="dot" w:pos="9070"/>
          <w:tab w:val="clear" w:pos="9060"/>
        </w:tabs>
      </w:pPr>
      <w:r>
        <w:rPr>
          <w:rFonts w:hint="eastAsia" w:cs="宋体"/>
        </w:rPr>
        <w:fldChar w:fldCharType="begin"/>
      </w:r>
      <w:r>
        <w:rPr>
          <w:rFonts w:hint="eastAsia" w:cs="宋体"/>
        </w:rPr>
        <w:instrText xml:space="preserve"> TOC \o "1-3" \h \z \u </w:instrText>
      </w:r>
      <w:r>
        <w:rPr>
          <w:rFonts w:hint="eastAsia" w:cs="宋体"/>
        </w:rPr>
        <w:fldChar w:fldCharType="separate"/>
      </w:r>
      <w:r>
        <w:fldChar w:fldCharType="begin"/>
      </w:r>
      <w:r>
        <w:instrText xml:space="preserve"> HYPERLINK \l "_Toc6238" </w:instrText>
      </w:r>
      <w:r>
        <w:fldChar w:fldCharType="separate"/>
      </w:r>
      <w:r>
        <w:rPr>
          <w:rFonts w:hint="eastAsia" w:cs="宋体"/>
        </w:rPr>
        <w:t>第一章  投标须知</w:t>
      </w:r>
      <w:r>
        <w:tab/>
      </w:r>
      <w:r>
        <w:fldChar w:fldCharType="begin"/>
      </w:r>
      <w:r>
        <w:instrText xml:space="preserve"> PAGEREF _Toc6238 \h </w:instrText>
      </w:r>
      <w:r>
        <w:fldChar w:fldCharType="separate"/>
      </w:r>
      <w:r>
        <w:t>3</w:t>
      </w:r>
      <w:r>
        <w:fldChar w:fldCharType="end"/>
      </w:r>
      <w:r>
        <w:fldChar w:fldCharType="end"/>
      </w:r>
    </w:p>
    <w:p>
      <w:pPr>
        <w:pStyle w:val="30"/>
        <w:tabs>
          <w:tab w:val="right" w:leader="dot" w:pos="9070"/>
          <w:tab w:val="clear" w:pos="9060"/>
        </w:tabs>
      </w:pPr>
      <w:r>
        <w:fldChar w:fldCharType="begin"/>
      </w:r>
      <w:r>
        <w:instrText xml:space="preserve"> HYPERLINK \l "_Toc14836" </w:instrText>
      </w:r>
      <w:r>
        <w:fldChar w:fldCharType="separate"/>
      </w:r>
      <w:r>
        <w:rPr>
          <w:rFonts w:hint="eastAsia" w:ascii="宋体" w:hAnsi="宋体" w:cs="宋体"/>
        </w:rPr>
        <w:t>一、投标须知前附表</w:t>
      </w:r>
      <w:r>
        <w:tab/>
      </w:r>
      <w:r>
        <w:fldChar w:fldCharType="begin"/>
      </w:r>
      <w:r>
        <w:instrText xml:space="preserve"> PAGEREF _Toc14836 \h </w:instrText>
      </w:r>
      <w:r>
        <w:fldChar w:fldCharType="separate"/>
      </w:r>
      <w:r>
        <w:t>3</w:t>
      </w:r>
      <w:r>
        <w:fldChar w:fldCharType="end"/>
      </w:r>
      <w:r>
        <w:fldChar w:fldCharType="end"/>
      </w:r>
    </w:p>
    <w:p>
      <w:pPr>
        <w:pStyle w:val="30"/>
        <w:tabs>
          <w:tab w:val="right" w:leader="dot" w:pos="9070"/>
          <w:tab w:val="clear" w:pos="9060"/>
        </w:tabs>
      </w:pPr>
      <w:r>
        <w:fldChar w:fldCharType="begin"/>
      </w:r>
      <w:r>
        <w:instrText xml:space="preserve"> HYPERLINK \l "_Toc8783" </w:instrText>
      </w:r>
      <w:r>
        <w:fldChar w:fldCharType="separate"/>
      </w:r>
      <w:r>
        <w:rPr>
          <w:rFonts w:hint="eastAsia" w:ascii="宋体" w:hAnsi="宋体" w:cs="宋体"/>
        </w:rPr>
        <w:t>二、投标须知修改表</w:t>
      </w:r>
      <w:r>
        <w:tab/>
      </w:r>
      <w:r>
        <w:fldChar w:fldCharType="end"/>
      </w:r>
      <w:r>
        <w:rPr>
          <w:rFonts w:hint="eastAsia"/>
        </w:rPr>
        <w:t>9</w:t>
      </w:r>
    </w:p>
    <w:p>
      <w:pPr>
        <w:pStyle w:val="30"/>
        <w:tabs>
          <w:tab w:val="right" w:leader="dot" w:pos="9070"/>
          <w:tab w:val="clear" w:pos="9060"/>
        </w:tabs>
      </w:pPr>
      <w:r>
        <w:fldChar w:fldCharType="begin"/>
      </w:r>
      <w:r>
        <w:instrText xml:space="preserve"> HYPERLINK \l "_Toc17114" </w:instrText>
      </w:r>
      <w:r>
        <w:fldChar w:fldCharType="separate"/>
      </w:r>
      <w:r>
        <w:rPr>
          <w:rFonts w:hint="eastAsia" w:ascii="宋体" w:hAnsi="宋体" w:cs="宋体"/>
        </w:rPr>
        <w:t>三、投标须知通用条款</w:t>
      </w:r>
      <w:r>
        <w:tab/>
      </w:r>
      <w:r>
        <w:fldChar w:fldCharType="end"/>
      </w:r>
      <w:r>
        <w:rPr>
          <w:rFonts w:hint="eastAsia"/>
        </w:rPr>
        <w:t>21</w:t>
      </w:r>
    </w:p>
    <w:p>
      <w:pPr>
        <w:pStyle w:val="20"/>
        <w:tabs>
          <w:tab w:val="right" w:leader="dot" w:pos="9070"/>
        </w:tabs>
        <w:ind w:left="840"/>
      </w:pPr>
      <w:r>
        <w:fldChar w:fldCharType="begin"/>
      </w:r>
      <w:r>
        <w:instrText xml:space="preserve"> HYPERLINK \l "_Toc20883" </w:instrText>
      </w:r>
      <w:r>
        <w:fldChar w:fldCharType="separate"/>
      </w:r>
      <w:r>
        <w:rPr>
          <w:rFonts w:hint="eastAsia"/>
        </w:rPr>
        <w:t>（一）总则</w:t>
      </w:r>
      <w:r>
        <w:tab/>
      </w:r>
      <w:r>
        <w:fldChar w:fldCharType="end"/>
      </w:r>
      <w:r>
        <w:rPr>
          <w:rFonts w:hint="eastAsia"/>
        </w:rPr>
        <w:t>21</w:t>
      </w:r>
    </w:p>
    <w:p>
      <w:pPr>
        <w:pStyle w:val="20"/>
        <w:tabs>
          <w:tab w:val="right" w:leader="dot" w:pos="9070"/>
        </w:tabs>
        <w:ind w:left="840"/>
      </w:pPr>
      <w:r>
        <w:fldChar w:fldCharType="begin"/>
      </w:r>
      <w:r>
        <w:instrText xml:space="preserve"> HYPERLINK \l "_Toc7377" </w:instrText>
      </w:r>
      <w:r>
        <w:fldChar w:fldCharType="separate"/>
      </w:r>
      <w:r>
        <w:rPr>
          <w:rFonts w:hint="eastAsia"/>
        </w:rPr>
        <w:t>（二）招标文件</w:t>
      </w:r>
      <w:r>
        <w:tab/>
      </w:r>
      <w:r>
        <w:fldChar w:fldCharType="end"/>
      </w:r>
      <w:r>
        <w:rPr>
          <w:rFonts w:hint="eastAsia"/>
        </w:rPr>
        <w:t>22</w:t>
      </w:r>
    </w:p>
    <w:p>
      <w:pPr>
        <w:pStyle w:val="20"/>
        <w:tabs>
          <w:tab w:val="right" w:leader="dot" w:pos="9070"/>
        </w:tabs>
        <w:ind w:left="840"/>
      </w:pPr>
      <w:r>
        <w:fldChar w:fldCharType="begin"/>
      </w:r>
      <w:r>
        <w:instrText xml:space="preserve"> HYPERLINK \l "_Toc15240" </w:instrText>
      </w:r>
      <w:r>
        <w:fldChar w:fldCharType="separate"/>
      </w:r>
      <w:r>
        <w:rPr>
          <w:rFonts w:hint="eastAsia"/>
        </w:rPr>
        <w:t>（三）投标文件的编制</w:t>
      </w:r>
      <w:r>
        <w:tab/>
      </w:r>
      <w:r>
        <w:fldChar w:fldCharType="end"/>
      </w:r>
      <w:r>
        <w:rPr>
          <w:rFonts w:hint="eastAsia"/>
        </w:rPr>
        <w:t>23</w:t>
      </w:r>
    </w:p>
    <w:p>
      <w:pPr>
        <w:pStyle w:val="20"/>
        <w:tabs>
          <w:tab w:val="right" w:leader="dot" w:pos="9070"/>
        </w:tabs>
        <w:ind w:left="840"/>
      </w:pPr>
      <w:r>
        <w:fldChar w:fldCharType="begin"/>
      </w:r>
      <w:r>
        <w:instrText xml:space="preserve"> HYPERLINK \l "_Toc27134" </w:instrText>
      </w:r>
      <w:r>
        <w:fldChar w:fldCharType="separate"/>
      </w:r>
      <w:r>
        <w:rPr>
          <w:rFonts w:hint="eastAsia"/>
        </w:rPr>
        <w:t>（四）投标文件的提交</w:t>
      </w:r>
      <w:r>
        <w:tab/>
      </w:r>
      <w:r>
        <w:fldChar w:fldCharType="end"/>
      </w:r>
      <w:r>
        <w:rPr>
          <w:rFonts w:hint="eastAsia"/>
        </w:rPr>
        <w:t>30</w:t>
      </w:r>
    </w:p>
    <w:p>
      <w:pPr>
        <w:pStyle w:val="20"/>
        <w:tabs>
          <w:tab w:val="right" w:leader="dot" w:pos="9070"/>
        </w:tabs>
        <w:ind w:left="840"/>
      </w:pPr>
      <w:r>
        <w:fldChar w:fldCharType="begin"/>
      </w:r>
      <w:r>
        <w:instrText xml:space="preserve"> HYPERLINK \l "_Toc23295" </w:instrText>
      </w:r>
      <w:r>
        <w:fldChar w:fldCharType="separate"/>
      </w:r>
      <w:r>
        <w:rPr>
          <w:rFonts w:hint="eastAsia"/>
        </w:rPr>
        <w:t>（五）开标、评标、定标及合同签定</w:t>
      </w:r>
      <w:r>
        <w:tab/>
      </w:r>
      <w:r>
        <w:fldChar w:fldCharType="end"/>
      </w:r>
      <w:r>
        <w:rPr>
          <w:rFonts w:hint="eastAsia"/>
        </w:rPr>
        <w:t>31</w:t>
      </w:r>
    </w:p>
    <w:p>
      <w:pPr>
        <w:pStyle w:val="27"/>
        <w:tabs>
          <w:tab w:val="right" w:leader="dot" w:pos="9070"/>
          <w:tab w:val="clear" w:pos="9060"/>
        </w:tabs>
      </w:pPr>
      <w:r>
        <w:fldChar w:fldCharType="begin"/>
      </w:r>
      <w:r>
        <w:instrText xml:space="preserve"> HYPERLINK \l "_Toc32318" </w:instrText>
      </w:r>
      <w:r>
        <w:fldChar w:fldCharType="separate"/>
      </w:r>
      <w:r>
        <w:rPr>
          <w:rFonts w:hint="eastAsia" w:cs="宋体"/>
        </w:rPr>
        <w:t>第二章  开标、评标及定标办法</w:t>
      </w:r>
      <w:r>
        <w:tab/>
      </w:r>
      <w:r>
        <w:fldChar w:fldCharType="end"/>
      </w:r>
      <w:r>
        <w:rPr>
          <w:rFonts w:hint="eastAsia"/>
        </w:rPr>
        <w:t>34</w:t>
      </w:r>
    </w:p>
    <w:p>
      <w:pPr>
        <w:pStyle w:val="30"/>
        <w:tabs>
          <w:tab w:val="right" w:leader="dot" w:pos="9070"/>
          <w:tab w:val="clear" w:pos="9060"/>
        </w:tabs>
      </w:pPr>
      <w:r>
        <w:fldChar w:fldCharType="begin"/>
      </w:r>
      <w:r>
        <w:instrText xml:space="preserve"> HYPERLINK \l "_Toc12134" </w:instrText>
      </w:r>
      <w:r>
        <w:fldChar w:fldCharType="separate"/>
      </w:r>
      <w:r>
        <w:rPr>
          <w:rFonts w:hint="eastAsia" w:ascii="宋体" w:hAnsi="宋体" w:cs="宋体"/>
          <w:szCs w:val="28"/>
        </w:rPr>
        <w:t>一、</w:t>
      </w:r>
      <w:r>
        <w:rPr>
          <w:rFonts w:hint="eastAsia" w:ascii="宋体" w:hAnsi="宋体" w:cs="宋体"/>
        </w:rPr>
        <w:t>开标、评标及定标办法修改表</w:t>
      </w:r>
      <w:r>
        <w:tab/>
      </w:r>
      <w:r>
        <w:fldChar w:fldCharType="end"/>
      </w:r>
      <w:r>
        <w:rPr>
          <w:rFonts w:hint="eastAsia"/>
        </w:rPr>
        <w:t>34</w:t>
      </w:r>
    </w:p>
    <w:p>
      <w:pPr>
        <w:pStyle w:val="30"/>
        <w:tabs>
          <w:tab w:val="right" w:leader="dot" w:pos="9070"/>
          <w:tab w:val="clear" w:pos="9060"/>
        </w:tabs>
      </w:pPr>
      <w:r>
        <w:fldChar w:fldCharType="begin"/>
      </w:r>
      <w:r>
        <w:instrText xml:space="preserve"> HYPERLINK \l "_Toc4656" </w:instrText>
      </w:r>
      <w:r>
        <w:fldChar w:fldCharType="separate"/>
      </w:r>
      <w:r>
        <w:rPr>
          <w:rFonts w:hint="eastAsia" w:ascii="宋体" w:hAnsi="宋体" w:cs="宋体"/>
        </w:rPr>
        <w:t>二、开标、评标及定标办法</w:t>
      </w:r>
      <w:r>
        <w:rPr>
          <w:rFonts w:hint="eastAsia" w:ascii="宋体" w:hAnsi="宋体" w:cs="宋体"/>
          <w:szCs w:val="30"/>
        </w:rPr>
        <w:t>通用条款</w:t>
      </w:r>
      <w:r>
        <w:tab/>
      </w:r>
      <w:r>
        <w:fldChar w:fldCharType="end"/>
      </w:r>
      <w:r>
        <w:rPr>
          <w:rFonts w:hint="eastAsia"/>
        </w:rPr>
        <w:t>39</w:t>
      </w:r>
    </w:p>
    <w:p>
      <w:pPr>
        <w:pStyle w:val="20"/>
        <w:tabs>
          <w:tab w:val="right" w:leader="dot" w:pos="9070"/>
        </w:tabs>
        <w:ind w:left="840"/>
      </w:pPr>
      <w:r>
        <w:fldChar w:fldCharType="begin"/>
      </w:r>
      <w:r>
        <w:instrText xml:space="preserve"> HYPERLINK \l "_Toc29247" </w:instrText>
      </w:r>
      <w:r>
        <w:fldChar w:fldCharType="separate"/>
      </w:r>
      <w:r>
        <w:rPr>
          <w:rFonts w:hint="eastAsia" w:cs="宋体"/>
        </w:rPr>
        <w:t>（一）总则</w:t>
      </w:r>
      <w:r>
        <w:tab/>
      </w:r>
      <w:r>
        <w:fldChar w:fldCharType="end"/>
      </w:r>
      <w:r>
        <w:rPr>
          <w:rFonts w:hint="eastAsia"/>
        </w:rPr>
        <w:t>39</w:t>
      </w:r>
    </w:p>
    <w:p>
      <w:pPr>
        <w:pStyle w:val="20"/>
        <w:tabs>
          <w:tab w:val="right" w:leader="dot" w:pos="9070"/>
        </w:tabs>
        <w:ind w:left="840"/>
      </w:pPr>
      <w:r>
        <w:fldChar w:fldCharType="begin"/>
      </w:r>
      <w:r>
        <w:instrText xml:space="preserve"> HYPERLINK \l "_Toc14141" </w:instrText>
      </w:r>
      <w:r>
        <w:fldChar w:fldCharType="separate"/>
      </w:r>
      <w:r>
        <w:rPr>
          <w:rFonts w:hint="eastAsia" w:cs="宋体"/>
          <w:szCs w:val="24"/>
        </w:rPr>
        <w:t>（二）开标评标办法程序和细则</w:t>
      </w:r>
      <w:r>
        <w:tab/>
      </w:r>
      <w:r>
        <w:fldChar w:fldCharType="end"/>
      </w:r>
      <w:r>
        <w:rPr>
          <w:rFonts w:hint="eastAsia"/>
        </w:rPr>
        <w:t>41</w:t>
      </w:r>
    </w:p>
    <w:p>
      <w:pPr>
        <w:pStyle w:val="20"/>
        <w:tabs>
          <w:tab w:val="right" w:leader="dot" w:pos="9070"/>
        </w:tabs>
        <w:ind w:left="840"/>
      </w:pPr>
      <w:r>
        <w:fldChar w:fldCharType="begin"/>
      </w:r>
      <w:r>
        <w:instrText xml:space="preserve"> HYPERLINK \l "_Toc32119" </w:instrText>
      </w:r>
      <w:r>
        <w:fldChar w:fldCharType="separate"/>
      </w:r>
      <w:r>
        <w:rPr>
          <w:rFonts w:hint="eastAsia"/>
        </w:rPr>
        <w:t>可选办法七（适合综合评分法四，技术标与经济标同时开启）</w:t>
      </w:r>
      <w:r>
        <w:tab/>
      </w:r>
      <w:r>
        <w:fldChar w:fldCharType="end"/>
      </w:r>
      <w:r>
        <w:rPr>
          <w:rFonts w:hint="eastAsia"/>
        </w:rPr>
        <w:t>42</w:t>
      </w:r>
    </w:p>
    <w:p>
      <w:pPr>
        <w:pStyle w:val="27"/>
        <w:tabs>
          <w:tab w:val="right" w:leader="dot" w:pos="9070"/>
          <w:tab w:val="clear" w:pos="9060"/>
        </w:tabs>
      </w:pPr>
      <w:r>
        <w:fldChar w:fldCharType="begin"/>
      </w:r>
      <w:r>
        <w:instrText xml:space="preserve"> HYPERLINK \l "_Toc23837" </w:instrText>
      </w:r>
      <w:r>
        <w:fldChar w:fldCharType="separate"/>
      </w:r>
      <w:r>
        <w:rPr>
          <w:rFonts w:hint="eastAsia" w:cs="宋体"/>
        </w:rPr>
        <w:t>第三章  合同条款</w:t>
      </w:r>
      <w:r>
        <w:tab/>
      </w:r>
      <w:r>
        <w:fldChar w:fldCharType="end"/>
      </w:r>
      <w:r>
        <w:rPr>
          <w:rFonts w:hint="eastAsia"/>
        </w:rPr>
        <w:t>59</w:t>
      </w:r>
    </w:p>
    <w:p>
      <w:pPr>
        <w:pStyle w:val="27"/>
        <w:tabs>
          <w:tab w:val="right" w:leader="dot" w:pos="9070"/>
          <w:tab w:val="clear" w:pos="9060"/>
        </w:tabs>
      </w:pPr>
      <w:r>
        <w:fldChar w:fldCharType="begin"/>
      </w:r>
      <w:r>
        <w:instrText xml:space="preserve"> HYPERLINK \l "_Toc4443" </w:instrText>
      </w:r>
      <w:r>
        <w:fldChar w:fldCharType="separate"/>
      </w:r>
      <w:r>
        <w:rPr>
          <w:rFonts w:hint="eastAsia" w:cs="宋体"/>
        </w:rPr>
        <w:t>第四章 投标文件格式</w:t>
      </w:r>
      <w:r>
        <w:tab/>
      </w:r>
      <w:r>
        <w:fldChar w:fldCharType="end"/>
      </w:r>
      <w:r>
        <w:rPr>
          <w:rFonts w:hint="eastAsia"/>
        </w:rPr>
        <w:t>60</w:t>
      </w:r>
    </w:p>
    <w:p>
      <w:pPr>
        <w:pStyle w:val="27"/>
        <w:tabs>
          <w:tab w:val="right" w:leader="dot" w:pos="9070"/>
          <w:tab w:val="clear" w:pos="9060"/>
        </w:tabs>
      </w:pPr>
      <w:r>
        <w:fldChar w:fldCharType="begin"/>
      </w:r>
      <w:r>
        <w:instrText xml:space="preserve"> HYPERLINK \l "_Toc31868" </w:instrText>
      </w:r>
      <w:r>
        <w:fldChar w:fldCharType="separate"/>
      </w:r>
      <w:r>
        <w:rPr>
          <w:rFonts w:hint="eastAsia" w:cs="宋体"/>
        </w:rPr>
        <w:t>第五章  技术条件（工程建设标准）</w:t>
      </w:r>
      <w:r>
        <w:tab/>
      </w:r>
      <w:r>
        <w:fldChar w:fldCharType="end"/>
      </w:r>
      <w:r>
        <w:rPr>
          <w:rFonts w:hint="eastAsia"/>
        </w:rPr>
        <w:t>68</w:t>
      </w:r>
    </w:p>
    <w:p>
      <w:pPr>
        <w:pStyle w:val="27"/>
        <w:tabs>
          <w:tab w:val="right" w:leader="dot" w:pos="9070"/>
          <w:tab w:val="clear" w:pos="9060"/>
        </w:tabs>
      </w:pPr>
      <w:r>
        <w:fldChar w:fldCharType="begin"/>
      </w:r>
      <w:r>
        <w:instrText xml:space="preserve"> HYPERLINK \l "_Toc24376" </w:instrText>
      </w:r>
      <w:r>
        <w:fldChar w:fldCharType="separate"/>
      </w:r>
      <w:r>
        <w:rPr>
          <w:rFonts w:hint="eastAsia" w:cs="宋体"/>
        </w:rPr>
        <w:t>第六章  图纸及勘察资料</w:t>
      </w:r>
      <w:r>
        <w:tab/>
      </w:r>
      <w:r>
        <w:fldChar w:fldCharType="end"/>
      </w:r>
      <w:r>
        <w:rPr>
          <w:rFonts w:hint="eastAsia"/>
        </w:rPr>
        <w:t>69</w:t>
      </w:r>
    </w:p>
    <w:p>
      <w:pPr>
        <w:pStyle w:val="27"/>
        <w:tabs>
          <w:tab w:val="right" w:leader="dot" w:pos="9070"/>
          <w:tab w:val="clear" w:pos="9060"/>
        </w:tabs>
      </w:pPr>
      <w:r>
        <w:fldChar w:fldCharType="begin"/>
      </w:r>
      <w:r>
        <w:instrText xml:space="preserve"> HYPERLINK \l "_Toc22427" </w:instrText>
      </w:r>
      <w:r>
        <w:fldChar w:fldCharType="separate"/>
      </w:r>
      <w:r>
        <w:rPr>
          <w:rFonts w:hint="eastAsia" w:cs="宋体"/>
        </w:rPr>
        <w:t>第七章  工程量清单</w:t>
      </w:r>
      <w:r>
        <w:tab/>
      </w:r>
      <w:r>
        <w:fldChar w:fldCharType="end"/>
      </w:r>
      <w:r>
        <w:rPr>
          <w:rFonts w:hint="eastAsia"/>
        </w:rPr>
        <w:t>70</w:t>
      </w:r>
    </w:p>
    <w:p>
      <w:pPr>
        <w:pStyle w:val="27"/>
        <w:tabs>
          <w:tab w:val="right" w:leader="dot" w:pos="9070"/>
          <w:tab w:val="clear" w:pos="9060"/>
        </w:tabs>
      </w:pPr>
      <w:r>
        <w:fldChar w:fldCharType="begin"/>
      </w:r>
      <w:r>
        <w:instrText xml:space="preserve"> HYPERLINK \l "_Toc9700" </w:instrText>
      </w:r>
      <w:r>
        <w:fldChar w:fldCharType="separate"/>
      </w:r>
      <w:r>
        <w:rPr>
          <w:rFonts w:hint="eastAsia" w:cs="宋体"/>
        </w:rPr>
        <w:t>第八章  最高投标限价</w:t>
      </w:r>
      <w:r>
        <w:tab/>
      </w:r>
      <w:r>
        <w:fldChar w:fldCharType="end"/>
      </w:r>
      <w:r>
        <w:rPr>
          <w:rFonts w:hint="eastAsia"/>
        </w:rPr>
        <w:t>71</w:t>
      </w:r>
    </w:p>
    <w:p>
      <w:pPr>
        <w:rPr>
          <w:rFonts w:ascii="宋体" w:hAnsi="宋体" w:cs="宋体"/>
        </w:rPr>
      </w:pPr>
      <w:r>
        <w:rPr>
          <w:rFonts w:hint="eastAsia" w:ascii="宋体" w:hAnsi="宋体" w:cs="宋体"/>
        </w:rPr>
        <w:fldChar w:fldCharType="end"/>
      </w:r>
    </w:p>
    <w:p>
      <w:pPr>
        <w:rPr>
          <w:rFonts w:ascii="宋体" w:hAnsi="宋体" w:cs="宋体"/>
        </w:rPr>
      </w:pPr>
    </w:p>
    <w:p>
      <w:pPr>
        <w:rPr>
          <w:rFonts w:ascii="宋体" w:hAnsi="宋体" w:cs="宋体"/>
        </w:rPr>
      </w:pPr>
    </w:p>
    <w:p>
      <w:pPr>
        <w:jc w:val="center"/>
        <w:rPr>
          <w:rFonts w:ascii="宋体" w:hAnsi="宋体" w:cs="宋体"/>
        </w:rPr>
      </w:pPr>
      <w:r>
        <w:rPr>
          <w:rFonts w:hint="eastAsia" w:ascii="宋体" w:hAnsi="宋体" w:cs="宋体"/>
        </w:rPr>
        <w:br w:type="page"/>
      </w:r>
      <w:bookmarkStart w:id="0" w:name="_Toc5797"/>
      <w:bookmarkStart w:id="1" w:name="_Toc6238"/>
      <w:r>
        <w:rPr>
          <w:rFonts w:hint="eastAsia" w:ascii="宋体" w:hAnsi="宋体" w:cs="宋体"/>
        </w:rPr>
        <w:t>第一章  投标须知</w:t>
      </w:r>
      <w:bookmarkEnd w:id="0"/>
      <w:bookmarkEnd w:id="1"/>
    </w:p>
    <w:p>
      <w:pPr>
        <w:pStyle w:val="7"/>
        <w:rPr>
          <w:rFonts w:ascii="宋体" w:hAnsi="宋体" w:cs="宋体"/>
          <w:color w:val="auto"/>
        </w:rPr>
      </w:pPr>
      <w:bookmarkStart w:id="2" w:name="_Toc20582"/>
      <w:bookmarkStart w:id="3" w:name="_Toc14836"/>
      <w:r>
        <w:rPr>
          <w:rFonts w:hint="eastAsia" w:ascii="宋体" w:hAnsi="宋体" w:cs="宋体"/>
          <w:color w:val="auto"/>
        </w:rPr>
        <w:t>一、投标须知前附表</w:t>
      </w:r>
      <w:bookmarkEnd w:id="2"/>
      <w:bookmarkEnd w:id="3"/>
    </w:p>
    <w:p>
      <w:pPr>
        <w:pStyle w:val="8"/>
        <w:spacing w:line="360" w:lineRule="auto"/>
        <w:ind w:firstLine="0"/>
        <w:rPr>
          <w:rFonts w:ascii="宋体" w:hAnsi="宋体" w:cs="宋体"/>
          <w:b/>
          <w:sz w:val="24"/>
          <w:szCs w:val="24"/>
        </w:rPr>
      </w:pPr>
      <w:r>
        <w:rPr>
          <w:rFonts w:hint="eastAsia" w:ascii="宋体" w:hAnsi="宋体" w:cs="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项目</w:t>
            </w:r>
          </w:p>
        </w:tc>
        <w:tc>
          <w:tcPr>
            <w:tcW w:w="887" w:type="dxa"/>
            <w:tcBorders>
              <w:top w:val="doub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条款号</w:t>
            </w:r>
          </w:p>
        </w:tc>
        <w:tc>
          <w:tcPr>
            <w:tcW w:w="1713"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s="宋体"/>
                <w:szCs w:val="21"/>
              </w:rPr>
            </w:pPr>
            <w:r>
              <w:rPr>
                <w:rFonts w:hint="eastAsia" w:ascii="宋体" w:hAnsi="宋体" w:cs="宋体"/>
                <w:szCs w:val="21"/>
              </w:rPr>
              <w:t>内容</w:t>
            </w:r>
          </w:p>
        </w:tc>
        <w:tc>
          <w:tcPr>
            <w:tcW w:w="6048" w:type="dxa"/>
            <w:tcBorders>
              <w:top w:val="double" w:color="auto" w:sz="4" w:space="0"/>
              <w:left w:val="single" w:color="auto" w:sz="4" w:space="0"/>
              <w:bottom w:val="single" w:color="auto" w:sz="4" w:space="0"/>
              <w:right w:val="double" w:color="auto" w:sz="4" w:space="0"/>
            </w:tcBorders>
            <w:vAlign w:val="center"/>
          </w:tcPr>
          <w:p>
            <w:pPr>
              <w:pStyle w:val="21"/>
              <w:ind w:firstLine="458"/>
              <w:jc w:val="center"/>
              <w:rPr>
                <w:rFonts w:ascii="宋体" w:hAnsi="宋体" w:cs="宋体"/>
                <w:szCs w:val="21"/>
              </w:rPr>
            </w:pPr>
            <w:r>
              <w:rPr>
                <w:rFonts w:hint="eastAsia" w:ascii="宋体" w:hAnsi="宋体" w:cs="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定义</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招标人（即发包人）：</w:t>
            </w:r>
            <w:r>
              <w:rPr>
                <w:rFonts w:hint="eastAsia" w:ascii="宋体" w:hAnsi="宋体" w:cs="宋体"/>
                <w:szCs w:val="21"/>
                <w:u w:val="single"/>
              </w:rPr>
              <w:t>广东外语外贸大学</w:t>
            </w:r>
          </w:p>
          <w:p>
            <w:pPr>
              <w:rPr>
                <w:rFonts w:ascii="宋体" w:hAnsi="宋体" w:cs="宋体"/>
                <w:szCs w:val="21"/>
              </w:rPr>
            </w:pPr>
            <w:r>
              <w:rPr>
                <w:rFonts w:hint="eastAsia" w:ascii="宋体" w:hAnsi="宋体" w:cs="宋体"/>
                <w:szCs w:val="21"/>
              </w:rPr>
              <w:t>招标代理：</w:t>
            </w:r>
            <w:r>
              <w:rPr>
                <w:rFonts w:hint="eastAsia" w:ascii="宋体" w:hAnsi="宋体" w:cs="宋体"/>
                <w:szCs w:val="21"/>
                <w:u w:val="single"/>
              </w:rPr>
              <w:t>中捷通信有限公司</w:t>
            </w:r>
          </w:p>
          <w:p>
            <w:pPr>
              <w:rPr>
                <w:rFonts w:ascii="宋体" w:hAnsi="宋体" w:cs="宋体"/>
                <w:szCs w:val="21"/>
              </w:rPr>
            </w:pPr>
            <w:r>
              <w:rPr>
                <w:rFonts w:hint="eastAsia" w:ascii="宋体" w:hAnsi="宋体" w:cs="宋体"/>
                <w:szCs w:val="21"/>
              </w:rPr>
              <w:t>设计单位：</w:t>
            </w:r>
            <w:r>
              <w:rPr>
                <w:rFonts w:hint="eastAsia" w:ascii="宋体" w:hAnsi="宋体" w:cs="宋体"/>
                <w:szCs w:val="21"/>
                <w:u w:val="single"/>
              </w:rPr>
              <w:t>华南创图设计有限公司</w:t>
            </w:r>
          </w:p>
          <w:p>
            <w:pPr>
              <w:rPr>
                <w:rFonts w:ascii="宋体" w:hAnsi="宋体" w:cs="宋体"/>
                <w:szCs w:val="21"/>
              </w:rPr>
            </w:pPr>
            <w:r>
              <w:rPr>
                <w:rFonts w:hint="eastAsia" w:ascii="宋体" w:hAnsi="宋体" w:cs="宋体"/>
                <w:szCs w:val="21"/>
              </w:rPr>
              <w:t>监理单位：</w:t>
            </w:r>
            <w:r>
              <w:rPr>
                <w:rFonts w:hint="eastAsia" w:ascii="宋体" w:hAnsi="宋体" w:cs="宋体"/>
                <w:szCs w:val="21"/>
                <w:u w:val="single"/>
              </w:rPr>
              <w:t xml:space="preserve">     /    </w:t>
            </w:r>
          </w:p>
          <w:p>
            <w:pPr>
              <w:rPr>
                <w:rFonts w:ascii="宋体" w:hAnsi="宋体" w:cs="宋体"/>
                <w:szCs w:val="21"/>
              </w:rPr>
            </w:pPr>
            <w:r>
              <w:rPr>
                <w:rFonts w:hint="eastAsia" w:ascii="宋体" w:hAnsi="宋体" w:cs="宋体"/>
                <w:szCs w:val="21"/>
              </w:rPr>
              <w:t>检测机构：</w:t>
            </w:r>
            <w:r>
              <w:rPr>
                <w:rFonts w:hint="eastAsia" w:ascii="宋体" w:hAnsi="宋体" w:cs="宋体"/>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广东外语外贸大学白云山校区第二期体育设施修缮施工总承包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广州市白云区黄石街道白云大道北2号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szCs w:val="21"/>
              </w:rPr>
              <w:t>采用工程量清单综合单价包干，工程量按实结算，措施项目费（含绿色施工安全防护措施费、措施其它项目费）总价包干的承包方式。投标人按照招标文件的要求，以招标人提供的图纸、工程量清单等资料为依据，按工程量清单法报价响应（报价格式详见附件），即按照招标工程量清单及设计图纸等相关要求，包工、包料、包机械、包工期、包质量、包安全生产、包文明施工、包劳保、包竣工验收、包保修等的承包方式。如工程量清单与图纸不一致时，请投标人在提交招标文件答疑时提出，由招标人在答疑中补充列项，否则，投标报价即已包含按图纸施工的全部工程内容。余泥及废弃物外运消纳费已包含在合同总价内，结算时凭发票按实结算，否则按合同内的暂定金额予以扣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6</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szCs w:val="21"/>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7</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50个日历天</w:t>
            </w:r>
            <w:r>
              <w:rPr>
                <w:rFonts w:hint="eastAsia" w:ascii="宋体" w:hAnsi="宋体" w:cs="宋体"/>
                <w:szCs w:val="21"/>
                <w:u w:val="single"/>
                <w:lang w:val="zh-CN"/>
              </w:rPr>
              <w:t>。</w:t>
            </w:r>
            <w:r>
              <w:rPr>
                <w:rFonts w:hint="eastAsia" w:ascii="宋体" w:hAnsi="宋体" w:cs="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9</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kern w:val="0"/>
                <w:szCs w:val="21"/>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10</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4.1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11</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12</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szCs w:val="21"/>
              </w:rPr>
              <w:t>工程量清单计价。根据《建设工程工程量清单计价规范》（GB50500-2013）计价原则，执行《广东省建设工程计价依据（2018）》《广东省房屋建筑与装饰工程综合定额（2018）》《广东省市政工程综合定额（2018）》《广东省通用安装工程综合定额（2018）》《广东省园林绿化工程综合定额（2018）》《广东省建设工程施工机具台班费用编制规则（2018）》和《广东省住房和城乡建设厅关于调整广东省建设工程计价依据增值税税率的通知》（粤建标函〔2019〕819号）（税金按增值税9%，其他人工、材料、机械按增值税方式计）等计价依据编制投标文件，按招标文件中工程量清单所列的工作内容和工程量填报相应的综合单价后，累计合价加上措施项目费、其它项目费和税金等计算出投标总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15.1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 xml:space="preserve"> 90 </w:t>
            </w:r>
            <w:r>
              <w:rPr>
                <w:rFonts w:hint="eastAsia" w:ascii="宋体" w:hAnsi="宋体" w:cs="宋体"/>
                <w:szCs w:val="21"/>
              </w:rPr>
              <w:t>日历天。（从投标截止之日计起）</w:t>
            </w:r>
            <w:r>
              <w:rPr>
                <w:rFonts w:hint="eastAsia" w:ascii="宋体" w:hAnsi="宋体" w:cs="宋体"/>
                <w:szCs w:val="21"/>
                <w:u w:val="single"/>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16.1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pPr>
              <w:spacing w:line="288" w:lineRule="auto"/>
            </w:pPr>
            <w:r>
              <w:rPr>
                <w:rFonts w:hint="eastAsia"/>
              </w:rPr>
              <w:t>投标保证金</w:t>
            </w:r>
            <w:r>
              <w:rPr>
                <w:rFonts w:hint="eastAsia"/>
                <w:u w:val="single"/>
              </w:rPr>
              <w:t>10</w:t>
            </w:r>
            <w:r>
              <w:rPr>
                <w:rFonts w:hint="eastAsia"/>
              </w:rPr>
              <w:t>万元人民币，</w:t>
            </w:r>
            <w:r>
              <w:rPr>
                <w:rFonts w:hint="eastAsia" w:ascii="宋体" w:hAnsi="宋体"/>
                <w:szCs w:val="21"/>
              </w:rPr>
              <w:t>缴纳时间在</w:t>
            </w:r>
            <w:r>
              <w:rPr>
                <w:rFonts w:hint="eastAsia" w:ascii="宋体" w:hAnsi="宋体"/>
                <w:szCs w:val="21"/>
                <w:u w:val="single"/>
              </w:rPr>
              <w:t xml:space="preserve"> 投标截止时间 </w:t>
            </w:r>
            <w:r>
              <w:rPr>
                <w:rFonts w:hint="eastAsia" w:ascii="宋体" w:hAnsi="宋体"/>
                <w:szCs w:val="21"/>
              </w:rPr>
              <w:t>之前</w:t>
            </w:r>
            <w:r>
              <w:rPr>
                <w:rFonts w:hint="eastAsia"/>
              </w:rPr>
              <w:t>。</w:t>
            </w:r>
          </w:p>
          <w:p>
            <w:pPr>
              <w:spacing w:line="288" w:lineRule="auto"/>
            </w:pPr>
            <w:r>
              <w:rPr>
                <w:rFonts w:hint="eastAsia"/>
              </w:rPr>
              <w:t>投标保证金可采用现金、支票、银行保函、保证保险、专业工程担保公司担保的形式。</w:t>
            </w:r>
          </w:p>
          <w:p>
            <w:pPr>
              <w:spacing w:line="288" w:lineRule="auto"/>
            </w:pPr>
            <w:r>
              <w:rPr>
                <w:rFonts w:hint="eastAsia"/>
              </w:rPr>
              <w:t>1、如采用现金或者支票形式提交的，投标保证金从投标人基本账户递交，由广州公共资源交易中心代收。具体操作要求详见广州公共资源交易中心有关指引，或咨询交易中心。各投标人应在投标文件递交截止时间前按上述金额递交至广州公共资源交易中心，到账情况以开标时广州公共资源交易中心数据库查询的信息为准。</w:t>
            </w:r>
          </w:p>
          <w:p>
            <w:pPr>
              <w:spacing w:line="288" w:lineRule="auto"/>
              <w:ind w:left="420" w:leftChars="200"/>
            </w:pPr>
            <w:r>
              <w:rPr>
                <w:rFonts w:hint="eastAsia"/>
              </w:rPr>
              <w:t>收款单位：广州交易集团有限公司</w:t>
            </w:r>
          </w:p>
          <w:p>
            <w:pPr>
              <w:spacing w:line="288" w:lineRule="auto"/>
              <w:ind w:left="420" w:leftChars="200"/>
            </w:pPr>
            <w:r>
              <w:rPr>
                <w:rFonts w:hint="eastAsia"/>
              </w:rPr>
              <w:t>开户银行：中国建设银行广州天润路支行</w:t>
            </w:r>
          </w:p>
          <w:p>
            <w:pPr>
              <w:spacing w:line="288" w:lineRule="auto"/>
              <w:ind w:left="420" w:leftChars="200"/>
            </w:pPr>
            <w:r>
              <w:rPr>
                <w:rFonts w:hint="eastAsia"/>
              </w:rPr>
              <w:t>银行账号：44001583404059333333</w:t>
            </w:r>
          </w:p>
          <w:p>
            <w:pPr>
              <w:spacing w:line="288" w:lineRule="auto"/>
            </w:pPr>
            <w:r>
              <w:rPr>
                <w:rFonts w:hint="eastAsia"/>
              </w:rPr>
              <w:t>2、如投标人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pStyle w:val="2"/>
            </w:pPr>
            <w:r>
              <w:rPr>
                <w:rFonts w:hint="eastAsia"/>
              </w:rPr>
              <w:t>3、若以交易系统支持的电子保函或电子投标保证保险递交的，具体操作请自行咨询广州公共资源交易中心。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ind w:firstLine="210" w:firstLineChars="100"/>
              <w:rPr>
                <w:rFonts w:ascii="宋体" w:hAnsi="宋体" w:cs="宋体"/>
                <w:szCs w:val="21"/>
              </w:rPr>
            </w:pPr>
            <w:r>
              <w:rPr>
                <w:rFonts w:hint="eastAsia" w:ascii="宋体" w:hAnsi="宋体" w:cs="宋体"/>
                <w:szCs w:val="21"/>
              </w:rPr>
              <w:t>15</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5</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pPr>
              <w:pStyle w:val="21"/>
              <w:rPr>
                <w:rFonts w:ascii="宋体" w:hAnsi="宋体" w:cs="宋体"/>
                <w:szCs w:val="21"/>
              </w:rPr>
            </w:pPr>
            <w:r>
              <w:rPr>
                <w:rFonts w:hint="eastAsia" w:ascii="宋体" w:hAnsi="宋体" w:cs="宋体"/>
                <w:szCs w:val="21"/>
                <w:u w:val="single"/>
              </w:rPr>
              <w:t>招标人不集中组织，由投标人自行踏勘</w:t>
            </w: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16</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8</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r>
              <w:rPr>
                <w:rFonts w:hint="eastAsia"/>
              </w:rPr>
              <w:t>疑问提交时间：在递交投标文件截止日期前</w:t>
            </w:r>
            <w:r>
              <w:t>18日</w:t>
            </w:r>
            <w:r>
              <w:rPr>
                <w:rFonts w:hint="eastAsia"/>
              </w:rPr>
              <w:t>；具体截止时间以广州公共资源交易中心网站“网上答疑专区”的时间为准。</w:t>
            </w:r>
          </w:p>
          <w:p>
            <w:r>
              <w:rPr>
                <w:rFonts w:hint="eastAsia"/>
              </w:rPr>
              <w:t>形式：投标人的疑问通过广州公共资源交易中心交易平台提交。</w:t>
            </w:r>
          </w:p>
          <w:p>
            <w:r>
              <w:rPr>
                <w:rFonts w:hint="eastAsia"/>
              </w:rPr>
              <w:t>具体要求：按照交易平台关于全流程电子化项目的相关指南进行操作，详见：广州公共资源交易中心。提问一律不得署名。</w:t>
            </w:r>
          </w:p>
          <w:p>
            <w:pPr>
              <w:rPr>
                <w:rFonts w:ascii="宋体" w:hAnsi="宋体" w:cs="宋体"/>
                <w:szCs w:val="21"/>
              </w:rPr>
            </w:pPr>
            <w:r>
              <w:rPr>
                <w:rFonts w:hint="eastAsia"/>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17</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trike/>
                <w:szCs w:val="21"/>
              </w:rPr>
            </w:pPr>
            <w:r>
              <w:rPr>
                <w:rFonts w:hint="eastAsia" w:ascii="宋体" w:hAnsi="宋体"/>
                <w:szCs w:val="21"/>
              </w:rPr>
              <w:t>年 月 日 时（北京时间）。（详见广州</w:t>
            </w:r>
            <w:r>
              <w:rPr>
                <w:rFonts w:ascii="宋体" w:hAnsi="宋体"/>
                <w:szCs w:val="21"/>
              </w:rPr>
              <w:t>公共资源交易中心</w:t>
            </w:r>
            <w:r>
              <w:rPr>
                <w:rFonts w:hint="eastAsia" w:ascii="宋体" w:hAnsi="宋体"/>
                <w:szCs w:val="21"/>
              </w:rPr>
              <w:t>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18</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u w:val="single"/>
              </w:rPr>
            </w:pPr>
            <w:r>
              <w:rPr>
                <w:rFonts w:hint="eastAsia" w:ascii="宋体" w:hAnsi="宋体"/>
                <w:szCs w:val="21"/>
              </w:rPr>
              <w:t>1、开标开始时间： 年 月 日 时 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p>
          <w:p>
            <w:pPr>
              <w:rPr>
                <w:rFonts w:ascii="宋体" w:hAnsi="宋体"/>
                <w:strike/>
                <w:szCs w:val="21"/>
              </w:rPr>
            </w:pPr>
            <w:r>
              <w:rPr>
                <w:rFonts w:hint="eastAsia" w:ascii="宋体" w:hAnsi="宋体"/>
                <w:szCs w:val="21"/>
              </w:rPr>
              <w:t>注：投标文件解密问题。投标人只用执行一次解密，招标人执行解密次数根据招标文件开标次数确定。</w:t>
            </w:r>
          </w:p>
          <w:p>
            <w:pPr>
              <w:rPr>
                <w:rFonts w:ascii="宋体" w:hAnsi="宋体"/>
                <w:szCs w:val="21"/>
              </w:rPr>
            </w:pPr>
            <w:r>
              <w:rPr>
                <w:rFonts w:hint="eastAsia" w:ascii="宋体" w:hAnsi="宋体"/>
                <w:szCs w:val="21"/>
              </w:rPr>
              <w:t>2、递交投标文件备用光盘时间：年月日时分至年月日时分；</w:t>
            </w:r>
          </w:p>
          <w:p>
            <w:pPr>
              <w:rPr>
                <w:rFonts w:ascii="宋体" w:hAnsi="宋体"/>
                <w:strike/>
              </w:rPr>
            </w:pPr>
            <w:r>
              <w:rPr>
                <w:rFonts w:hint="eastAsia" w:ascii="宋体" w:hAnsi="宋体"/>
                <w:szCs w:val="21"/>
              </w:rPr>
              <w:t>递交地点：</w:t>
            </w:r>
            <w:r>
              <w:rPr>
                <w:rFonts w:hint="eastAsia" w:ascii="宋体" w:hAnsi="宋体"/>
              </w:rPr>
              <w:t>在投标文件截止时间前15分钟至投标文件截止时间）</w:t>
            </w:r>
          </w:p>
          <w:p>
            <w:pPr>
              <w:rPr>
                <w:rFonts w:ascii="宋体" w:hAnsi="宋体" w:cs="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19</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26</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rPr>
            </w:pPr>
            <w:r>
              <w:rPr>
                <w:rFonts w:hint="eastAsia" w:ascii="宋体" w:hAnsi="宋体" w:cs="宋体"/>
                <w:szCs w:val="21"/>
              </w:rPr>
              <w:t>方式一：选取方法</w:t>
            </w:r>
            <w:r>
              <w:rPr>
                <w:rFonts w:hint="eastAsia" w:ascii="宋体" w:hAnsi="宋体" w:cs="宋体"/>
                <w:szCs w:val="21"/>
                <w:u w:val="single"/>
              </w:rPr>
              <w:t>七（综合评分法四，技术标与经济标同时开启）</w:t>
            </w:r>
            <w:r>
              <w:rPr>
                <w:rFonts w:hint="eastAsia" w:ascii="宋体" w:hAnsi="宋体" w:cs="宋体"/>
                <w:szCs w:val="21"/>
              </w:rPr>
              <w:t>；</w:t>
            </w:r>
          </w:p>
          <w:p>
            <w:pPr>
              <w:pStyle w:val="5"/>
              <w:ind w:firstLine="0"/>
              <w:rPr>
                <w:rFonts w:ascii="宋体" w:hAnsi="宋体" w:cs="宋体"/>
                <w:szCs w:val="21"/>
              </w:rPr>
            </w:pPr>
            <w:r>
              <w:rPr>
                <w:rFonts w:hint="eastAsia" w:ascii="宋体" w:hAnsi="宋体" w:cs="宋体"/>
                <w:szCs w:val="21"/>
                <w:u w:val="single"/>
              </w:rPr>
              <w:t>投标人总得分</w:t>
            </w:r>
            <w:r>
              <w:rPr>
                <w:rFonts w:hint="eastAsia" w:ascii="宋体" w:hAnsi="宋体" w:cs="宋体"/>
                <w:b/>
                <w:szCs w:val="21"/>
                <w:u w:val="single"/>
              </w:rPr>
              <w:t>＝</w:t>
            </w:r>
            <w:r>
              <w:rPr>
                <w:rFonts w:hint="eastAsia" w:ascii="宋体" w:hAnsi="宋体" w:cs="宋体"/>
                <w:szCs w:val="21"/>
                <w:u w:val="single"/>
              </w:rPr>
              <w:t>技术得分＋经济得分×80%。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20</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29.1</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s="宋体"/>
                <w:szCs w:val="21"/>
                <w:u w:val="single"/>
              </w:rPr>
            </w:pPr>
            <w:r>
              <w:rPr>
                <w:rFonts w:hint="eastAsia"/>
              </w:rPr>
              <w:t>方式一：中标人提供的履约保证金为中标价款的5%。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21</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本项目最高投标限价为人民币</w:t>
            </w:r>
            <w:r>
              <w:rPr>
                <w:rFonts w:hint="eastAsia" w:ascii="宋体" w:hAnsi="宋体" w:cs="宋体"/>
                <w:szCs w:val="21"/>
                <w:u w:val="single"/>
              </w:rPr>
              <w:t xml:space="preserve"> 6115033.90</w:t>
            </w:r>
            <w:r>
              <w:rPr>
                <w:rFonts w:hint="eastAsia" w:ascii="宋体" w:hAnsi="宋体" w:cs="宋体"/>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22</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本项目绿色施工安全防护措施费为</w:t>
            </w:r>
            <w:r>
              <w:rPr>
                <w:rFonts w:hint="eastAsia" w:ascii="宋体" w:hAnsi="宋体" w:cs="宋体"/>
                <w:szCs w:val="21"/>
                <w:u w:val="single"/>
              </w:rPr>
              <w:t>115750.85</w:t>
            </w:r>
            <w:r>
              <w:rPr>
                <w:rFonts w:hint="eastAsia" w:ascii="宋体" w:hAnsi="宋体" w:cs="宋体"/>
                <w:szCs w:val="21"/>
              </w:rPr>
              <w:t>元，暂列金额为</w:t>
            </w:r>
            <w:r>
              <w:rPr>
                <w:rFonts w:hint="eastAsia" w:ascii="宋体" w:hAnsi="宋体" w:cs="宋体"/>
                <w:szCs w:val="21"/>
                <w:u w:val="single"/>
              </w:rPr>
              <w:t>405738.93</w:t>
            </w:r>
            <w:r>
              <w:rPr>
                <w:rFonts w:hint="eastAsia" w:ascii="宋体" w:hAnsi="宋体" w:cs="宋体"/>
                <w:szCs w:val="21"/>
              </w:rPr>
              <w:t>元，暂估价为</w:t>
            </w:r>
            <w:r>
              <w:rPr>
                <w:rFonts w:hint="eastAsia" w:ascii="宋体" w:hAnsi="宋体" w:cs="宋体"/>
                <w:szCs w:val="21"/>
                <w:u w:val="single"/>
              </w:rPr>
              <w:t>0</w:t>
            </w:r>
            <w:r>
              <w:rPr>
                <w:rFonts w:hint="eastAsia" w:ascii="宋体" w:hAnsi="宋体" w:cs="宋体"/>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s="宋体"/>
                <w:szCs w:val="21"/>
              </w:rPr>
            </w:pPr>
            <w:r>
              <w:rPr>
                <w:rFonts w:hint="eastAsia" w:ascii="宋体" w:hAnsi="宋体" w:cs="宋体"/>
                <w:szCs w:val="21"/>
              </w:rPr>
              <w:t>保修期</w:t>
            </w:r>
          </w:p>
        </w:tc>
        <w:tc>
          <w:tcPr>
            <w:tcW w:w="6048" w:type="dxa"/>
            <w:tcBorders>
              <w:top w:val="single" w:color="auto" w:sz="4" w:space="0"/>
              <w:left w:val="single" w:color="auto" w:sz="4" w:space="0"/>
              <w:bottom w:val="single" w:color="auto" w:sz="4" w:space="0"/>
              <w:right w:val="double" w:color="auto" w:sz="4" w:space="0"/>
            </w:tcBorders>
            <w:vAlign w:val="center"/>
          </w:tcPr>
          <w:p>
            <w:pPr>
              <w:pStyle w:val="8"/>
              <w:ind w:firstLine="0"/>
              <w:rPr>
                <w:rFonts w:ascii="宋体" w:hAnsi="宋体" w:cs="宋体"/>
                <w:szCs w:val="21"/>
              </w:rPr>
            </w:pPr>
            <w:r>
              <w:rPr>
                <w:rFonts w:hint="eastAsia" w:ascii="宋体" w:hAnsi="宋体" w:cs="宋体"/>
                <w:szCs w:val="21"/>
              </w:rPr>
              <w:t>现浇型全塑自结纹跑道面层保修期为验收合格之日起五年内，其他按照《建设工程质量管理条例》规定。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计算评标参考价的等分点值</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25</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26</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工程成本警戒价为</w:t>
            </w:r>
            <w:r>
              <w:rPr>
                <w:rFonts w:hint="eastAsia" w:ascii="宋体" w:hAnsi="宋体" w:cs="宋体"/>
                <w:szCs w:val="21"/>
                <w:u w:val="single"/>
              </w:rPr>
              <w:t>5503530.51</w:t>
            </w:r>
            <w:r>
              <w:rPr>
                <w:rFonts w:hint="eastAsia" w:ascii="宋体" w:hAnsi="宋体" w:cs="宋体"/>
                <w:szCs w:val="21"/>
              </w:rPr>
              <w:t>元（按最高投标限价的</w:t>
            </w:r>
            <w:r>
              <w:rPr>
                <w:rFonts w:hint="eastAsia" w:ascii="宋体" w:hAnsi="宋体" w:cs="宋体"/>
                <w:szCs w:val="21"/>
                <w:u w:val="single"/>
              </w:rPr>
              <w:t>90</w:t>
            </w:r>
            <w:r>
              <w:rPr>
                <w:rFonts w:hint="eastAsia" w:ascii="宋体" w:hAnsi="宋体" w:cs="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s="宋体"/>
                <w:szCs w:val="21"/>
                <w:u w:val="single"/>
              </w:rPr>
            </w:pPr>
            <w:r>
              <w:rPr>
                <w:rFonts w:hint="eastAsia" w:ascii="宋体" w:hAnsi="宋体" w:cs="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27</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28</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29</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30</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31</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32</w:t>
            </w:r>
          </w:p>
        </w:tc>
        <w:tc>
          <w:tcPr>
            <w:tcW w:w="887"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33</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13.4、13.5.2</w:t>
            </w: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34</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建设工程质量检测单位</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rPr>
            </w:pPr>
            <w:r>
              <w:rPr>
                <w:rFonts w:hint="eastAsia" w:ascii="宋体" w:hAnsi="宋体" w:cs="宋体"/>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35</w:t>
            </w:r>
          </w:p>
        </w:tc>
        <w:tc>
          <w:tcPr>
            <w:tcW w:w="88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71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kern w:val="0"/>
                <w:szCs w:val="21"/>
                <w:lang w:val="zh-CN"/>
              </w:rPr>
            </w:pPr>
            <w:r>
              <w:rPr>
                <w:rFonts w:hint="eastAsia" w:ascii="宋体" w:hAnsi="宋体" w:cs="宋体"/>
                <w:kern w:val="0"/>
                <w:szCs w:val="21"/>
                <w:lang w:val="zh-CN"/>
              </w:rPr>
              <w:t>■不允许，</w:t>
            </w:r>
            <w:r>
              <w:rPr>
                <w:rFonts w:hint="eastAsia" w:ascii="宋体" w:hAnsi="宋体" w:cs="宋体"/>
                <w:kern w:val="0"/>
                <w:szCs w:val="21"/>
              </w:rPr>
              <w:t>其余见施工合同约定</w:t>
            </w:r>
            <w:r>
              <w:rPr>
                <w:rFonts w:hint="eastAsia" w:ascii="宋体" w:hAnsi="宋体" w:cs="宋体"/>
                <w:kern w:val="0"/>
                <w:szCs w:val="21"/>
                <w:lang w:val="zh-CN"/>
              </w:rPr>
              <w:t>；</w:t>
            </w:r>
          </w:p>
          <w:p>
            <w:pPr>
              <w:rPr>
                <w:rFonts w:ascii="宋体" w:hAnsi="宋体" w:cs="宋体"/>
                <w:kern w:val="0"/>
                <w:szCs w:val="21"/>
              </w:rPr>
            </w:pPr>
            <w:r>
              <w:rPr>
                <w:rFonts w:hint="eastAsia" w:ascii="宋体" w:hAnsi="宋体" w:cs="宋体"/>
                <w:kern w:val="0"/>
                <w:szCs w:val="21"/>
                <w:lang w:val="zh-CN"/>
              </w:rPr>
              <w:t>□允许：分包内容要求：</w:t>
            </w:r>
            <w:r>
              <w:rPr>
                <w:rFonts w:hint="eastAsia" w:ascii="宋体" w:hAnsi="宋体" w:cs="宋体"/>
                <w:kern w:val="0"/>
                <w:szCs w:val="21"/>
              </w:rPr>
              <w:t>/</w:t>
            </w:r>
          </w:p>
          <w:p>
            <w:pPr>
              <w:rPr>
                <w:rFonts w:ascii="宋体" w:hAnsi="宋体" w:cs="宋体"/>
                <w:kern w:val="0"/>
                <w:szCs w:val="21"/>
              </w:rPr>
            </w:pPr>
            <w:r>
              <w:rPr>
                <w:rFonts w:hint="eastAsia" w:ascii="宋体" w:hAnsi="宋体" w:cs="宋体"/>
                <w:kern w:val="0"/>
                <w:szCs w:val="21"/>
                <w:lang w:val="zh-CN"/>
              </w:rPr>
              <w:t xml:space="preserve">        分包金额要求：</w:t>
            </w:r>
            <w:r>
              <w:rPr>
                <w:rFonts w:hint="eastAsia" w:ascii="宋体" w:hAnsi="宋体" w:cs="宋体"/>
                <w:kern w:val="0"/>
                <w:szCs w:val="21"/>
              </w:rPr>
              <w:t>/</w:t>
            </w:r>
          </w:p>
          <w:p>
            <w:pPr>
              <w:rPr>
                <w:rFonts w:ascii="宋体" w:hAnsi="宋体" w:cs="宋体"/>
                <w:kern w:val="0"/>
                <w:szCs w:val="21"/>
              </w:rPr>
            </w:pPr>
            <w:r>
              <w:rPr>
                <w:rFonts w:hint="eastAsia" w:ascii="宋体" w:hAnsi="宋体" w:cs="宋体"/>
                <w:kern w:val="0"/>
                <w:szCs w:val="21"/>
                <w:lang w:val="zh-CN"/>
              </w:rPr>
              <w:t xml:space="preserve">        对分包人的资质要求：</w:t>
            </w:r>
            <w:r>
              <w:rPr>
                <w:rFonts w:hint="eastAsia" w:ascii="宋体" w:hAnsi="宋体" w:cs="宋体"/>
                <w:kern w:val="0"/>
                <w:szCs w:val="21"/>
              </w:rPr>
              <w:t>/</w:t>
            </w:r>
          </w:p>
          <w:p>
            <w:pPr>
              <w:rPr>
                <w:rFonts w:ascii="宋体" w:hAnsi="宋体" w:cs="宋体"/>
                <w:kern w:val="0"/>
                <w:szCs w:val="21"/>
              </w:rPr>
            </w:pPr>
            <w:r>
              <w:rPr>
                <w:rFonts w:hint="eastAsia" w:ascii="宋体" w:hAnsi="宋体" w:cs="宋体"/>
                <w:kern w:val="0"/>
                <w:szCs w:val="21"/>
                <w:lang w:val="zh-CN"/>
              </w:rPr>
              <w:t xml:space="preserve">        对分包人的其他要求：</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36</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u w:val="single"/>
              </w:rPr>
              <w:t>广州公共资源交易中心网站</w:t>
            </w:r>
            <w:r>
              <w:rPr>
                <w:rFonts w:hint="eastAsia" w:ascii="宋体" w:hAnsi="宋体" w:cs="Courier New"/>
                <w:szCs w:val="21"/>
              </w:rPr>
              <w:t>。</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宋体"/>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37</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rPr>
              <w:t>其他</w:t>
            </w:r>
          </w:p>
        </w:tc>
        <w:tc>
          <w:tcPr>
            <w:tcW w:w="6048"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
                <w:bCs/>
                <w:szCs w:val="21"/>
                <w:u w:val="single"/>
              </w:rPr>
            </w:pPr>
            <w:r>
              <w:rPr>
                <w:rFonts w:hint="eastAsia" w:ascii="宋体" w:hAnsi="宋体" w:cs="Courier New"/>
                <w:szCs w:val="21"/>
              </w:rPr>
              <w:t>中标单位须于收到本项目中标通知书一周内，向招标人提供与电子投标文件完全一致的纸质投标文件一正二副，</w:t>
            </w:r>
            <w:r>
              <w:t>电子光盘一个</w:t>
            </w:r>
            <w:r>
              <w:rPr>
                <w:rFonts w:hint="eastAsia" w:ascii="宋体" w:hAnsi="宋体" w:cs="Courier New"/>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38</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rPr>
              <w:t>其他</w:t>
            </w:r>
          </w:p>
        </w:tc>
        <w:tc>
          <w:tcPr>
            <w:tcW w:w="6048" w:type="dxa"/>
            <w:tcBorders>
              <w:top w:val="single" w:color="auto" w:sz="4" w:space="0"/>
              <w:left w:val="single" w:color="auto" w:sz="4" w:space="0"/>
              <w:bottom w:val="single" w:color="auto" w:sz="4" w:space="0"/>
              <w:right w:val="double" w:color="auto" w:sz="4" w:space="0"/>
            </w:tcBorders>
            <w:vAlign w:val="center"/>
          </w:tcPr>
          <w:p>
            <w:pPr>
              <w:widowControl/>
              <w:rPr>
                <w:szCs w:val="21"/>
                <w:u w:val="single"/>
              </w:rPr>
            </w:pPr>
            <w:r>
              <w:rPr>
                <w:rFonts w:hint="eastAsia"/>
                <w:szCs w:val="21"/>
                <w:u w:val="single"/>
                <w:lang w:bidi="ar"/>
              </w:rPr>
              <w:t>交易服务费：由中标人支付，根据政府相关文件规定缴纳。</w:t>
            </w:r>
          </w:p>
          <w:p>
            <w:pPr>
              <w:rPr>
                <w:rFonts w:ascii="宋体" w:hAnsi="宋体" w:cs="宋体"/>
                <w:szCs w:val="21"/>
              </w:rPr>
            </w:pPr>
            <w:r>
              <w:rPr>
                <w:rFonts w:hint="eastAsia"/>
                <w:szCs w:val="21"/>
                <w:u w:val="single"/>
                <w:lang w:bidi="ar"/>
              </w:rPr>
              <w:t>招标代理费：由中标人支付，按照招标人与招标代理签订的招标代理合同约定的内容执行。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39</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rPr>
              <w:t>其他</w:t>
            </w:r>
          </w:p>
        </w:tc>
        <w:tc>
          <w:tcPr>
            <w:tcW w:w="6048" w:type="dxa"/>
            <w:tcBorders>
              <w:top w:val="single" w:color="auto" w:sz="4" w:space="0"/>
              <w:left w:val="single" w:color="auto" w:sz="4" w:space="0"/>
              <w:bottom w:val="single" w:color="auto" w:sz="4" w:space="0"/>
              <w:right w:val="double" w:color="auto" w:sz="4" w:space="0"/>
            </w:tcBorders>
            <w:vAlign w:val="center"/>
          </w:tcPr>
          <w:p>
            <w:r>
              <w:rPr>
                <w:rFonts w:hint="eastAsia"/>
              </w:rPr>
              <w:t>1、本工程如地方政府部门或行政监督管理部门对本工程相关材料有要求进行检测，并取得检测合格证书的，中标单位必须按照相关要求进行检测，且相关检测费用由中标单位自行承担。如图纸要求的技术标准需要第三方检测公司出具的，相关检测费用由施工单位承担。</w:t>
            </w:r>
          </w:p>
          <w:p>
            <w:pPr>
              <w:pStyle w:val="8"/>
              <w:ind w:firstLine="0"/>
              <w:rPr>
                <w:rFonts w:ascii="宋体" w:hAnsi="宋体" w:cs="宋体"/>
                <w:szCs w:val="21"/>
              </w:rPr>
            </w:pPr>
            <w:r>
              <w:rPr>
                <w:rFonts w:hint="eastAsia"/>
              </w:rPr>
              <w:t>2、本工程如地方政府部门或行政监督管理部门对本工程提出疫情防控相应要求的，例如工地封闭管理，定时对施工人员进行核酸检测等，施工单位必须全力配合并支付相应费用，不得向甲方提出费用变更或增加。</w:t>
            </w:r>
          </w:p>
        </w:tc>
      </w:tr>
    </w:tbl>
    <w:p>
      <w:pPr>
        <w:spacing w:line="480" w:lineRule="auto"/>
        <w:rPr>
          <w:rFonts w:ascii="宋体" w:hAnsi="宋体" w:cs="宋体"/>
          <w:sz w:val="24"/>
        </w:rPr>
      </w:pPr>
      <w:r>
        <w:rPr>
          <w:rFonts w:hint="eastAsia" w:ascii="宋体" w:hAnsi="宋体" w:cs="宋体"/>
          <w:sz w:val="24"/>
        </w:rPr>
        <w:t>注：企业</w:t>
      </w:r>
      <w:r>
        <w:rPr>
          <w:rFonts w:hint="eastAsia" w:ascii="宋体" w:hAnsi="宋体" w:cs="宋体"/>
          <w:kern w:val="0"/>
          <w:sz w:val="24"/>
        </w:rPr>
        <w:t>综合诚信评价得分即</w:t>
      </w:r>
      <w:r>
        <w:rPr>
          <w:rFonts w:hint="eastAsia" w:ascii="宋体" w:hAnsi="宋体" w:cs="宋体"/>
          <w:sz w:val="24"/>
        </w:rPr>
        <w:t>企业</w:t>
      </w:r>
      <w:r>
        <w:rPr>
          <w:rFonts w:hint="eastAsia" w:ascii="宋体" w:hAnsi="宋体" w:cs="宋体"/>
          <w:kern w:val="0"/>
          <w:sz w:val="24"/>
        </w:rPr>
        <w:t>综合诚信评价60日诚信分，以下同。</w:t>
      </w:r>
    </w:p>
    <w:p>
      <w:pPr>
        <w:pStyle w:val="7"/>
        <w:rPr>
          <w:rFonts w:ascii="宋体" w:hAnsi="宋体" w:cs="宋体"/>
          <w:color w:val="auto"/>
        </w:rPr>
      </w:pPr>
      <w:r>
        <w:rPr>
          <w:rFonts w:hint="eastAsia" w:ascii="宋体" w:hAnsi="宋体" w:cs="宋体"/>
          <w:color w:val="auto"/>
        </w:rPr>
        <w:br w:type="page"/>
      </w:r>
      <w:bookmarkStart w:id="4" w:name="_Toc8783"/>
      <w:bookmarkStart w:id="5" w:name="_Toc25207"/>
      <w:r>
        <w:rPr>
          <w:rFonts w:hint="eastAsia" w:ascii="宋体" w:hAnsi="宋体" w:cs="宋体"/>
          <w:color w:val="auto"/>
        </w:rPr>
        <w:t>二、投标须知修改表</w:t>
      </w:r>
      <w:bookmarkEnd w:id="4"/>
      <w:bookmarkEnd w:id="5"/>
    </w:p>
    <w:p>
      <w:pPr>
        <w:pStyle w:val="5"/>
        <w:spacing w:line="360" w:lineRule="auto"/>
        <w:rPr>
          <w:rFonts w:ascii="宋体" w:hAnsi="宋体" w:cs="宋体"/>
          <w:b/>
          <w:szCs w:val="21"/>
        </w:rPr>
      </w:pPr>
      <w:r>
        <w:rPr>
          <w:rFonts w:hint="eastAsia" w:ascii="宋体" w:hAnsi="宋体" w:cs="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fldChar w:fldCharType="begin"/>
      </w:r>
      <w:r>
        <w:instrText xml:space="preserve"> HYPERLINK "http://www.gzcc.gov.cn/）下载查阅" </w:instrText>
      </w:r>
      <w:r>
        <w:fldChar w:fldCharType="separate"/>
      </w:r>
      <w:r>
        <w:rPr>
          <w:rFonts w:hint="eastAsia" w:ascii="宋体" w:hAnsi="宋体" w:cs="宋体"/>
          <w:b/>
        </w:rPr>
        <w:t>http://zfcj.gz.gov.cn/）下载查阅</w:t>
      </w:r>
      <w:r>
        <w:rPr>
          <w:rFonts w:hint="eastAsia" w:ascii="宋体" w:hAnsi="宋体" w:cs="宋体"/>
          <w:b/>
        </w:rPr>
        <w:fldChar w:fldCharType="end"/>
      </w:r>
      <w:r>
        <w:rPr>
          <w:rFonts w:hint="eastAsia" w:ascii="宋体" w:hAnsi="宋体" w:cs="宋体"/>
          <w:b/>
          <w:szCs w:val="21"/>
        </w:rPr>
        <w:t>。</w:t>
      </w:r>
    </w:p>
    <w:p>
      <w:pPr>
        <w:tabs>
          <w:tab w:val="left" w:pos="5620"/>
        </w:tabs>
        <w:spacing w:line="360" w:lineRule="auto"/>
        <w:ind w:firstLine="472" w:firstLineChars="224"/>
        <w:rPr>
          <w:rFonts w:ascii="宋体" w:hAnsi="宋体" w:cs="宋体"/>
          <w:b/>
          <w:szCs w:val="21"/>
        </w:rPr>
      </w:pPr>
      <w:r>
        <w:rPr>
          <w:rFonts w:hint="eastAsia" w:ascii="宋体" w:hAnsi="宋体" w:cs="宋体"/>
          <w:b/>
          <w:szCs w:val="21"/>
        </w:rPr>
        <w:t>条款号：2.5                    修改类型：增加</w:t>
      </w:r>
    </w:p>
    <w:p>
      <w:pPr>
        <w:pBdr>
          <w:bottom w:val="single" w:color="auto" w:sz="6" w:space="1"/>
        </w:pBdr>
        <w:spacing w:line="360" w:lineRule="auto"/>
        <w:ind w:firstLine="413" w:firstLineChars="196"/>
        <w:rPr>
          <w:rFonts w:ascii="宋体" w:hAnsi="宋体" w:cs="宋体"/>
          <w:b/>
          <w:szCs w:val="21"/>
        </w:rPr>
      </w:pPr>
      <w:r>
        <w:rPr>
          <w:rFonts w:hint="eastAsia" w:ascii="宋体" w:hAnsi="宋体" w:cs="宋体"/>
          <w:b/>
          <w:szCs w:val="21"/>
        </w:rPr>
        <w:t>现文：</w:t>
      </w:r>
      <w:r>
        <w:rPr>
          <w:rFonts w:hint="eastAsia" w:ascii="宋体" w:hAnsi="宋体" w:cs="宋体"/>
          <w:szCs w:val="21"/>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5620"/>
        </w:tabs>
        <w:spacing w:line="36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szCs w:val="21"/>
        </w:rPr>
        <w:t>7.1</w:t>
      </w:r>
      <w:r>
        <w:rPr>
          <w:rFonts w:hint="eastAsia" w:ascii="宋体" w:hAnsi="宋体" w:cs="宋体"/>
          <w:b/>
          <w:szCs w:val="21"/>
        </w:rPr>
        <w:t xml:space="preserve">            修改类型：修改</w:t>
      </w:r>
      <w:r>
        <w:rPr>
          <w:rFonts w:hint="eastAsia" w:ascii="宋体" w:hAnsi="宋体" w:cs="宋体"/>
          <w:b/>
          <w:szCs w:val="21"/>
        </w:rPr>
        <w:tab/>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bCs/>
          <w:szCs w:val="21"/>
        </w:rPr>
      </w:pPr>
      <w:r>
        <w:rPr>
          <w:rFonts w:hint="eastAsia" w:ascii="宋体" w:hAnsi="宋体" w:cs="宋体"/>
          <w:bCs/>
          <w:szCs w:val="21"/>
        </w:rPr>
        <w:t>第一章  投标须知</w:t>
      </w:r>
    </w:p>
    <w:p>
      <w:pPr>
        <w:spacing w:line="360" w:lineRule="auto"/>
        <w:ind w:firstLine="420" w:firstLineChars="200"/>
        <w:rPr>
          <w:rFonts w:ascii="宋体" w:hAnsi="宋体" w:cs="宋体"/>
          <w:bCs/>
          <w:szCs w:val="21"/>
        </w:rPr>
      </w:pPr>
      <w:r>
        <w:rPr>
          <w:rFonts w:hint="eastAsia" w:ascii="宋体" w:hAnsi="宋体" w:cs="宋体"/>
          <w:bCs/>
          <w:szCs w:val="21"/>
        </w:rPr>
        <w:t>第二章  开标、评标及定标办法</w:t>
      </w:r>
    </w:p>
    <w:p>
      <w:pPr>
        <w:spacing w:line="360" w:lineRule="auto"/>
        <w:ind w:firstLine="420" w:firstLineChars="200"/>
        <w:rPr>
          <w:rFonts w:ascii="宋体" w:hAnsi="宋体" w:cs="宋体"/>
          <w:bCs/>
          <w:szCs w:val="21"/>
        </w:rPr>
      </w:pPr>
      <w:r>
        <w:rPr>
          <w:rFonts w:hint="eastAsia" w:ascii="宋体" w:hAnsi="宋体" w:cs="宋体"/>
          <w:bCs/>
          <w:szCs w:val="21"/>
        </w:rPr>
        <w:t>第三章  合同条款</w:t>
      </w:r>
    </w:p>
    <w:p>
      <w:pPr>
        <w:spacing w:line="360" w:lineRule="auto"/>
        <w:ind w:firstLine="420" w:firstLineChars="200"/>
        <w:rPr>
          <w:rFonts w:ascii="宋体" w:hAnsi="宋体" w:cs="宋体"/>
          <w:bCs/>
          <w:szCs w:val="21"/>
        </w:rPr>
      </w:pPr>
      <w:r>
        <w:rPr>
          <w:rFonts w:hint="eastAsia" w:ascii="宋体" w:hAnsi="宋体" w:cs="宋体"/>
          <w:bCs/>
          <w:szCs w:val="21"/>
        </w:rPr>
        <w:t>第四章  投标文件格式</w:t>
      </w:r>
    </w:p>
    <w:p>
      <w:pPr>
        <w:spacing w:line="360" w:lineRule="auto"/>
        <w:ind w:firstLine="420" w:firstLineChars="200"/>
        <w:rPr>
          <w:rFonts w:ascii="宋体" w:hAnsi="宋体" w:cs="宋体"/>
          <w:bCs/>
          <w:szCs w:val="21"/>
        </w:rPr>
      </w:pPr>
      <w:r>
        <w:rPr>
          <w:rFonts w:hint="eastAsia" w:ascii="宋体" w:hAnsi="宋体" w:cs="宋体"/>
          <w:bCs/>
          <w:szCs w:val="21"/>
        </w:rPr>
        <w:t>第五章  技术条件（工程建设标准）（另册）</w:t>
      </w:r>
    </w:p>
    <w:p>
      <w:pPr>
        <w:spacing w:line="360" w:lineRule="auto"/>
        <w:ind w:firstLine="420" w:firstLineChars="200"/>
        <w:rPr>
          <w:rFonts w:ascii="宋体" w:hAnsi="宋体" w:cs="宋体"/>
          <w:bCs/>
          <w:szCs w:val="21"/>
        </w:rPr>
      </w:pPr>
      <w:r>
        <w:rPr>
          <w:rFonts w:hint="eastAsia" w:ascii="宋体" w:hAnsi="宋体" w:cs="宋体"/>
          <w:bCs/>
          <w:szCs w:val="21"/>
        </w:rPr>
        <w:t>第六章  图纸及勘察资料（另册）</w:t>
      </w:r>
    </w:p>
    <w:p>
      <w:pPr>
        <w:spacing w:line="360" w:lineRule="auto"/>
        <w:ind w:firstLine="420" w:firstLineChars="200"/>
        <w:rPr>
          <w:rFonts w:ascii="宋体" w:hAnsi="宋体" w:cs="宋体"/>
          <w:bCs/>
          <w:szCs w:val="21"/>
        </w:rPr>
      </w:pPr>
      <w:r>
        <w:rPr>
          <w:rFonts w:hint="eastAsia" w:ascii="宋体" w:hAnsi="宋体" w:cs="宋体"/>
          <w:bCs/>
          <w:szCs w:val="21"/>
        </w:rPr>
        <w:t>第七章  招标工程量清单（另册）</w:t>
      </w:r>
    </w:p>
    <w:p>
      <w:pPr>
        <w:spacing w:line="360" w:lineRule="auto"/>
        <w:ind w:firstLine="420" w:firstLineChars="200"/>
        <w:rPr>
          <w:rFonts w:ascii="宋体" w:hAnsi="宋体" w:cs="宋体"/>
          <w:bCs/>
          <w:szCs w:val="21"/>
        </w:rPr>
      </w:pPr>
      <w:r>
        <w:rPr>
          <w:rFonts w:hint="eastAsia" w:ascii="宋体" w:hAnsi="宋体" w:cs="宋体"/>
          <w:bCs/>
          <w:szCs w:val="21"/>
        </w:rPr>
        <w:t>第八章  最高投标限价</w:t>
      </w:r>
    </w:p>
    <w:p>
      <w:pPr>
        <w:spacing w:line="360" w:lineRule="auto"/>
        <w:ind w:firstLine="420" w:firstLineChars="200"/>
        <w:rPr>
          <w:rFonts w:ascii="宋体" w:hAnsi="宋体" w:cs="宋体"/>
          <w:bCs/>
          <w:szCs w:val="21"/>
        </w:rPr>
      </w:pPr>
      <w:r>
        <w:rPr>
          <w:rFonts w:hint="eastAsia" w:ascii="宋体" w:hAnsi="宋体" w:cs="宋体"/>
          <w:bCs/>
          <w:szCs w:val="21"/>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5"/>
        <w:spacing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5"/>
        <w:spacing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5"/>
        <w:spacing w:line="360" w:lineRule="auto"/>
        <w:ind w:left="-2" w:firstLineChars="200"/>
        <w:rPr>
          <w:rFonts w:ascii="宋体" w:hAnsi="宋体" w:cs="宋体"/>
          <w:szCs w:val="21"/>
          <w:u w:val="single"/>
        </w:rPr>
      </w:pPr>
      <w:r>
        <w:rPr>
          <w:rFonts w:hint="eastAsia" w:ascii="宋体" w:hAnsi="宋体" w:cs="宋体"/>
          <w:szCs w:val="21"/>
          <w:u w:val="single"/>
        </w:rPr>
        <w:t>第三章  合同条款（另册）</w:t>
      </w:r>
    </w:p>
    <w:p>
      <w:pPr>
        <w:pStyle w:val="5"/>
        <w:spacing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5"/>
        <w:spacing w:line="360" w:lineRule="auto"/>
        <w:ind w:left="-2" w:firstLineChars="200"/>
        <w:rPr>
          <w:rFonts w:ascii="宋体" w:hAnsi="宋体" w:cs="宋体"/>
          <w:szCs w:val="21"/>
        </w:rPr>
      </w:pPr>
      <w:r>
        <w:rPr>
          <w:rFonts w:hint="eastAsia" w:ascii="宋体" w:hAnsi="宋体" w:cs="宋体"/>
          <w:bCs/>
          <w:szCs w:val="21"/>
        </w:rPr>
        <w:t xml:space="preserve">第五章  </w:t>
      </w:r>
      <w:r>
        <w:rPr>
          <w:rFonts w:hint="eastAsia" w:ascii="宋体" w:hAnsi="宋体" w:cs="宋体"/>
          <w:szCs w:val="21"/>
        </w:rPr>
        <w:t>技术条件（工程建设标准）</w:t>
      </w:r>
    </w:p>
    <w:p>
      <w:pPr>
        <w:pStyle w:val="5"/>
        <w:spacing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5"/>
        <w:spacing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第八章  最高投标限价</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8.1         </w:t>
      </w:r>
      <w:r>
        <w:rPr>
          <w:rFonts w:hint="eastAsia" w:ascii="宋体" w:hAnsi="宋体" w:cs="宋体"/>
          <w:b/>
          <w:szCs w:val="21"/>
        </w:rPr>
        <w:t>修改类型：修改</w:t>
      </w:r>
    </w:p>
    <w:p>
      <w:pPr>
        <w:pStyle w:val="5"/>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8.1 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8.1 投标人若对招标文件（包括招标图纸）中有疑问，可以书面形式通过广州公共资源交易中心交易平台提交给招标人或招标代理人，提交形式见本须知前附表第16项。</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8.2</w:t>
      </w:r>
      <w:r>
        <w:rPr>
          <w:rFonts w:hint="eastAsia" w:ascii="宋体" w:hAnsi="宋体" w:cs="宋体"/>
          <w:b/>
          <w:szCs w:val="21"/>
        </w:rPr>
        <w:t xml:space="preserve">             修改类型：修改</w:t>
      </w:r>
    </w:p>
    <w:p>
      <w:pPr>
        <w:pStyle w:val="5"/>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413" w:firstLineChars="196"/>
        <w:rPr>
          <w:rFonts w:ascii="宋体" w:hAnsi="宋体" w:cs="宋体"/>
          <w:szCs w:val="21"/>
        </w:rPr>
      </w:pPr>
      <w:r>
        <w:rPr>
          <w:rFonts w:hint="eastAsia" w:ascii="宋体" w:hAnsi="宋体" w:cs="宋体"/>
          <w:b/>
          <w:szCs w:val="21"/>
        </w:rPr>
        <w:t>现文：</w:t>
      </w:r>
      <w:r>
        <w:rPr>
          <w:rFonts w:hint="eastAsia" w:ascii="宋体" w:hAnsi="宋体" w:cs="宋体"/>
          <w:szCs w:val="21"/>
        </w:rPr>
        <w:t>8.2招标答疑会会议纪要将在提交投标文件截止时间15日前在</w:t>
      </w:r>
      <w:r>
        <w:rPr>
          <w:rFonts w:hint="eastAsia" w:ascii="宋体" w:hAnsi="宋体" w:cs="宋体"/>
          <w:szCs w:val="21"/>
          <w:u w:val="single"/>
        </w:rPr>
        <w:t>广州公共资源交易中心</w:t>
      </w:r>
      <w:r>
        <w:rPr>
          <w:rFonts w:hint="eastAsia" w:ascii="宋体" w:hAnsi="宋体" w:cs="宋体"/>
          <w:szCs w:val="21"/>
        </w:rPr>
        <w:t>交易平台 “项目答疑纪要”专区公开发布。答疑纪要一经在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w:t>
      </w:r>
    </w:p>
    <w:p>
      <w:pPr>
        <w:pStyle w:val="8"/>
        <w:rPr>
          <w:szCs w:val="21"/>
        </w:rPr>
      </w:pP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9.2</w:t>
      </w:r>
      <w:r>
        <w:rPr>
          <w:rFonts w:hint="eastAsia" w:ascii="宋体" w:hAnsi="宋体" w:cs="宋体"/>
          <w:b/>
          <w:szCs w:val="21"/>
        </w:rPr>
        <w:t xml:space="preserve">             修改类型：修改</w:t>
      </w:r>
    </w:p>
    <w:p>
      <w:pPr>
        <w:pStyle w:val="5"/>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413" w:firstLineChars="196"/>
        <w:rPr>
          <w:rFonts w:ascii="宋体" w:hAnsi="宋体" w:cs="宋体"/>
          <w:b/>
          <w:szCs w:val="21"/>
        </w:rPr>
      </w:pPr>
      <w:r>
        <w:rPr>
          <w:rFonts w:hint="eastAsia" w:ascii="宋体" w:hAnsi="宋体" w:cs="宋体"/>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w:t>
      </w:r>
      <w:r>
        <w:rPr>
          <w:rFonts w:hint="eastAsia" w:ascii="宋体" w:hAnsi="宋体" w:cs="宋体"/>
          <w:szCs w:val="21"/>
        </w:rPr>
        <w:t>交易平台“项目答疑纪要”专区公开发布。答疑纪要一经在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广州公共资源交易中心</w:t>
      </w:r>
      <w:r>
        <w:rPr>
          <w:rFonts w:hint="eastAsia" w:ascii="宋体" w:hAnsi="宋体" w:cs="宋体"/>
          <w:szCs w:val="21"/>
        </w:rPr>
        <w:t>交易平台上网发布时间作为送达时间。</w:t>
      </w:r>
    </w:p>
    <w:p>
      <w:pPr>
        <w:spacing w:line="360" w:lineRule="auto"/>
        <w:ind w:firstLine="472" w:firstLineChars="224"/>
        <w:rPr>
          <w:rFonts w:ascii="宋体" w:hAnsi="宋体" w:cs="宋体"/>
          <w:b/>
          <w:szCs w:val="21"/>
        </w:rPr>
      </w:pPr>
      <w:r>
        <w:rPr>
          <w:rFonts w:hint="eastAsia" w:ascii="宋体" w:hAnsi="宋体" w:cs="宋体"/>
          <w:b/>
          <w:szCs w:val="21"/>
        </w:rPr>
        <w:t>条款号：</w:t>
      </w:r>
      <w:r>
        <w:rPr>
          <w:rFonts w:hint="eastAsia" w:ascii="宋体" w:hAnsi="宋体" w:cs="宋体"/>
          <w:szCs w:val="21"/>
        </w:rPr>
        <w:t xml:space="preserve">9.4             </w:t>
      </w:r>
      <w:r>
        <w:rPr>
          <w:rFonts w:hint="eastAsia" w:ascii="宋体" w:hAnsi="宋体" w:cs="宋体"/>
          <w:b/>
          <w:szCs w:val="21"/>
        </w:rPr>
        <w:t>修改类型：修改</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9.4招标文件的澄清或修改均以广州公共资源交易中心交易平台发布的内容为准。当招标文件的澄清、修改、补充等在同一内容的表述不一致时，以广州公共资源交易中心交易平台最后发布的文件为准。</w:t>
      </w:r>
    </w:p>
    <w:p>
      <w:pPr>
        <w:spacing w:line="480" w:lineRule="auto"/>
        <w:ind w:firstLine="472" w:firstLineChars="224"/>
        <w:rPr>
          <w:rFonts w:ascii="宋体" w:hAnsi="宋体" w:cs="宋体"/>
          <w:b/>
          <w:szCs w:val="21"/>
        </w:rPr>
      </w:pPr>
      <w:r>
        <w:rPr>
          <w:rFonts w:hint="eastAsia" w:ascii="宋体" w:hAnsi="宋体" w:cs="宋体"/>
          <w:b/>
          <w:szCs w:val="21"/>
        </w:rPr>
        <w:t xml:space="preserve">条款号： </w:t>
      </w:r>
      <w:r>
        <w:rPr>
          <w:rFonts w:hint="eastAsia" w:ascii="宋体" w:hAnsi="宋体" w:cs="宋体"/>
          <w:bCs/>
          <w:szCs w:val="21"/>
        </w:rPr>
        <w:t>11.2</w:t>
      </w:r>
      <w:r>
        <w:rPr>
          <w:rFonts w:hint="eastAsia" w:ascii="宋体" w:hAnsi="宋体" w:cs="宋体"/>
          <w:b/>
          <w:szCs w:val="21"/>
        </w:rPr>
        <w:t xml:space="preserve">            修改类型：修改</w:t>
      </w:r>
    </w:p>
    <w:p>
      <w:pPr>
        <w:pStyle w:val="5"/>
        <w:rPr>
          <w:rFonts w:ascii="宋体" w:hAnsi="宋体"/>
          <w:bCs/>
          <w:szCs w:val="21"/>
        </w:rPr>
      </w:pPr>
      <w:r>
        <w:rPr>
          <w:rFonts w:hint="eastAsia" w:ascii="宋体" w:hAnsi="宋体" w:cs="宋体"/>
          <w:b/>
          <w:szCs w:val="21"/>
        </w:rPr>
        <w:t>原文：</w:t>
      </w:r>
      <w:r>
        <w:rPr>
          <w:rFonts w:ascii="宋体" w:hAnsi="宋体"/>
          <w:bCs/>
          <w:szCs w:val="21"/>
        </w:rPr>
        <w:t>11.2</w:t>
      </w:r>
      <w:r>
        <w:rPr>
          <w:rFonts w:hint="eastAsia" w:ascii="宋体" w:hAnsi="宋体"/>
          <w:bCs/>
          <w:szCs w:val="21"/>
        </w:rPr>
        <w:t>投标文件技术标部分主要包括下列内容</w:t>
      </w:r>
      <w:r>
        <w:rPr>
          <w:rFonts w:ascii="宋体" w:hAnsi="宋体"/>
          <w:bCs/>
          <w:szCs w:val="21"/>
        </w:rPr>
        <w:t>:</w:t>
      </w:r>
    </w:p>
    <w:p>
      <w:pPr>
        <w:spacing w:line="360" w:lineRule="auto"/>
        <w:ind w:firstLine="420" w:firstLineChars="200"/>
        <w:rPr>
          <w:rFonts w:ascii="宋体"/>
          <w:bCs/>
          <w:szCs w:val="21"/>
        </w:rPr>
      </w:pPr>
      <w:r>
        <w:rPr>
          <w:rFonts w:hint="eastAsia" w:ascii="宋体"/>
          <w:bCs/>
          <w:szCs w:val="21"/>
        </w:rPr>
        <w:t>11.2.1 技术投标文件</w:t>
      </w:r>
      <w:r>
        <w:rPr>
          <w:rFonts w:ascii="宋体" w:hAnsi="宋体"/>
          <w:szCs w:val="21"/>
        </w:rPr>
        <w:t>(</w:t>
      </w:r>
      <w:r>
        <w:rPr>
          <w:rFonts w:hint="eastAsia" w:ascii="宋体" w:hAnsi="宋体"/>
          <w:szCs w:val="21"/>
        </w:rPr>
        <w:t>按招标文件的要求填写</w:t>
      </w:r>
      <w:r>
        <w:rPr>
          <w:rFonts w:ascii="宋体" w:hAnsi="宋体"/>
          <w:szCs w:val="21"/>
        </w:rPr>
        <w:t>)</w:t>
      </w:r>
      <w:r>
        <w:rPr>
          <w:rFonts w:hint="eastAsia" w:ascii="宋体"/>
          <w:bCs/>
          <w:szCs w:val="21"/>
        </w:rPr>
        <w:t>；</w:t>
      </w:r>
    </w:p>
    <w:p>
      <w:pPr>
        <w:spacing w:line="360" w:lineRule="auto"/>
        <w:ind w:firstLine="420" w:firstLineChars="200"/>
        <w:rPr>
          <w:rFonts w:ascii="宋体"/>
          <w:bCs/>
          <w:szCs w:val="21"/>
        </w:rPr>
      </w:pPr>
      <w:r>
        <w:rPr>
          <w:rFonts w:hint="eastAsia" w:ascii="宋体"/>
          <w:bCs/>
          <w:szCs w:val="21"/>
        </w:rPr>
        <w:t>11.2.2 资格审查文件：</w:t>
      </w:r>
    </w:p>
    <w:p>
      <w:pPr>
        <w:spacing w:line="360" w:lineRule="auto"/>
        <w:ind w:firstLine="420" w:firstLineChars="200"/>
        <w:rPr>
          <w:rFonts w:ascii="宋体"/>
          <w:bCs/>
          <w:szCs w:val="21"/>
        </w:rPr>
      </w:pPr>
      <w:r>
        <w:rPr>
          <w:rFonts w:hint="eastAsia" w:ascii="宋体"/>
          <w:bCs/>
          <w:szCs w:val="21"/>
        </w:rPr>
        <w:t xml:space="preserve">（1）投标人声明； </w:t>
      </w:r>
    </w:p>
    <w:p>
      <w:pPr>
        <w:spacing w:line="360" w:lineRule="auto"/>
        <w:ind w:firstLine="420" w:firstLineChars="200"/>
        <w:rPr>
          <w:rFonts w:ascii="宋体"/>
          <w:bCs/>
          <w:szCs w:val="21"/>
        </w:rPr>
      </w:pPr>
      <w:r>
        <w:rPr>
          <w:rFonts w:hint="eastAsia" w:ascii="宋体"/>
          <w:bCs/>
          <w:szCs w:val="21"/>
        </w:rPr>
        <w:t>（2）法定代表人证明书、法定代表人签字或盖章的本投标文件授权委托证明书；</w:t>
      </w:r>
    </w:p>
    <w:p>
      <w:pPr>
        <w:spacing w:line="360" w:lineRule="auto"/>
        <w:ind w:firstLine="420" w:firstLineChars="200"/>
        <w:rPr>
          <w:rFonts w:ascii="宋体"/>
          <w:bCs/>
          <w:szCs w:val="21"/>
        </w:rPr>
      </w:pPr>
      <w:r>
        <w:rPr>
          <w:rFonts w:hint="eastAsia" w:ascii="宋体"/>
          <w:bCs/>
          <w:szCs w:val="21"/>
        </w:rPr>
        <w:t>（3）企业营业执照（取自平台内上传件）；</w:t>
      </w:r>
    </w:p>
    <w:p>
      <w:pPr>
        <w:spacing w:line="360" w:lineRule="auto"/>
        <w:ind w:firstLine="420" w:firstLineChars="200"/>
        <w:rPr>
          <w:rFonts w:ascii="宋体"/>
          <w:bCs/>
          <w:szCs w:val="21"/>
        </w:rPr>
      </w:pPr>
      <w:r>
        <w:rPr>
          <w:rFonts w:hint="eastAsia" w:ascii="宋体"/>
          <w:bCs/>
          <w:szCs w:val="21"/>
        </w:rPr>
        <w:t>（4）企业资质证书（取自平台内上传件）；</w:t>
      </w:r>
    </w:p>
    <w:p>
      <w:pPr>
        <w:spacing w:line="360" w:lineRule="auto"/>
        <w:ind w:firstLine="420" w:firstLineChars="200"/>
        <w:rPr>
          <w:rFonts w:ascii="宋体"/>
          <w:bCs/>
          <w:szCs w:val="21"/>
        </w:rPr>
      </w:pPr>
      <w:r>
        <w:rPr>
          <w:rFonts w:hint="eastAsia" w:asci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bCs/>
          <w:szCs w:val="21"/>
        </w:rPr>
        <w:t>（6）</w:t>
      </w:r>
      <w:r>
        <w:rPr>
          <w:rFonts w:hint="eastAsia" w:ascii="宋体" w:hAnsi="宋体"/>
          <w:bCs/>
          <w:szCs w:val="21"/>
        </w:rPr>
        <w:t>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bCs/>
          <w:szCs w:val="21"/>
        </w:rPr>
      </w:pPr>
      <w:r>
        <w:rPr>
          <w:rFonts w:hint="eastAsia" w:ascii="宋体"/>
          <w:bCs/>
          <w:szCs w:val="21"/>
        </w:rPr>
        <w:t>（8）拟委托技术负责人的相关证书、资料（具体要求由招标人明确）</w:t>
      </w:r>
    </w:p>
    <w:p>
      <w:pPr>
        <w:spacing w:line="360" w:lineRule="auto"/>
        <w:ind w:firstLine="420" w:firstLineChars="200"/>
        <w:rPr>
          <w:rFonts w:ascii="宋体"/>
          <w:bCs/>
          <w:szCs w:val="21"/>
        </w:rPr>
      </w:pPr>
      <w:r>
        <w:rPr>
          <w:rFonts w:hint="eastAsia" w:ascii="宋体"/>
          <w:bCs/>
          <w:szCs w:val="21"/>
        </w:rPr>
        <w:t xml:space="preserve">（9）拟委派项目负责人的建造师注册证书（取自平台内上传件）； </w:t>
      </w:r>
    </w:p>
    <w:p>
      <w:pPr>
        <w:spacing w:line="360" w:lineRule="auto"/>
        <w:ind w:firstLine="420" w:firstLineChars="200"/>
        <w:rPr>
          <w:rFonts w:ascii="宋体"/>
          <w:bCs/>
          <w:szCs w:val="21"/>
        </w:rPr>
      </w:pPr>
      <w:r>
        <w:rPr>
          <w:rFonts w:hint="eastAsia" w:ascii="宋体"/>
          <w:bCs/>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bCs/>
          <w:szCs w:val="21"/>
        </w:rPr>
      </w:pPr>
      <w:r>
        <w:rPr>
          <w:rFonts w:hint="eastAsia" w:ascii="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bCs/>
          <w:szCs w:val="21"/>
        </w:rPr>
      </w:pPr>
      <w:r>
        <w:rPr>
          <w:rFonts w:hint="eastAsia" w:ascii="宋体"/>
          <w:bCs/>
          <w:szCs w:val="21"/>
        </w:rPr>
        <w:t>（12）</w:t>
      </w:r>
      <w:r>
        <w:rPr>
          <w:rFonts w:hint="eastAsia" w:ascii="宋体" w:hAnsi="宋体"/>
          <w:bCs/>
          <w:szCs w:val="21"/>
        </w:rPr>
        <w:t>用于资格审查的业绩（设置业绩要求时选择此项，投标人</w:t>
      </w:r>
      <w:r>
        <w:rPr>
          <w:rFonts w:hint="eastAsia" w:ascii="宋体" w:hAnsi="宋体"/>
          <w:szCs w:val="21"/>
        </w:rPr>
        <w:t>须提供类似工程业绩的项目名称及项目编号，具体格式由招标人自定</w:t>
      </w:r>
      <w:r>
        <w:rPr>
          <w:rFonts w:hint="eastAsia" w:ascii="宋体" w:hAnsi="宋体"/>
          <w:bCs/>
          <w:szCs w:val="21"/>
        </w:rPr>
        <w:t>）；</w:t>
      </w:r>
    </w:p>
    <w:p>
      <w:pPr>
        <w:spacing w:line="360" w:lineRule="auto"/>
        <w:ind w:firstLine="420" w:firstLineChars="200"/>
        <w:rPr>
          <w:rFonts w:ascii="宋体"/>
          <w:bCs/>
          <w:szCs w:val="21"/>
        </w:rPr>
      </w:pPr>
      <w:r>
        <w:rPr>
          <w:rFonts w:hint="eastAsia" w:ascii="宋体"/>
          <w:bCs/>
          <w:szCs w:val="21"/>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bCs/>
          <w:szCs w:val="21"/>
        </w:rPr>
      </w:pPr>
      <w:r>
        <w:rPr>
          <w:rFonts w:hint="eastAsia" w:ascii="宋体" w:hAnsi="宋体"/>
          <w:bCs/>
          <w:szCs w:val="21"/>
        </w:rPr>
        <w:t>（</w:t>
      </w:r>
      <w:r>
        <w:rPr>
          <w:rFonts w:hint="eastAsia" w:ascii="宋体" w:hAnsi="宋体"/>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szCs w:val="21"/>
        </w:rPr>
      </w:pPr>
      <w:r>
        <w:rPr>
          <w:rFonts w:hint="eastAsia" w:ascii="宋体" w:hAnsi="宋体"/>
          <w:bCs/>
          <w:szCs w:val="21"/>
        </w:rPr>
        <w:t>（15）</w:t>
      </w:r>
      <w:r>
        <w:rPr>
          <w:rFonts w:hint="eastAsia" w:ascii="宋体" w:hAnsi="宋体"/>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s="宋体"/>
          <w:sz w:val="24"/>
          <w:szCs w:val="24"/>
        </w:rPr>
      </w:pPr>
      <w:r>
        <w:rPr>
          <w:rFonts w:hint="eastAsia" w:ascii="宋体" w:hAnsi="宋体" w:cs="宋体"/>
          <w:sz w:val="24"/>
          <w:szCs w:val="24"/>
        </w:rPr>
        <w:t>11.2.3项目管理机构配备。</w:t>
      </w:r>
    </w:p>
    <w:p>
      <w:pPr>
        <w:spacing w:line="360" w:lineRule="auto"/>
        <w:ind w:firstLine="480" w:firstLineChars="200"/>
        <w:rPr>
          <w:rFonts w:ascii="宋体" w:hAnsi="宋体" w:cs="宋体"/>
          <w:sz w:val="24"/>
          <w:szCs w:val="24"/>
        </w:rPr>
      </w:pPr>
      <w:r>
        <w:rPr>
          <w:rFonts w:hint="eastAsia" w:ascii="宋体" w:hAnsi="宋体" w:cs="宋体"/>
          <w:sz w:val="24"/>
          <w:szCs w:val="24"/>
        </w:rPr>
        <w:t>（1）投标人应列出该项目工程的施工组织机构构成和画出机构框架图及其负责人；</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s="宋体"/>
          <w:sz w:val="24"/>
          <w:szCs w:val="24"/>
        </w:rPr>
      </w:pPr>
      <w:r>
        <w:rPr>
          <w:rFonts w:hint="eastAsia" w:ascii="宋体" w:hAnsi="宋体" w:cs="宋体"/>
          <w:sz w:val="24"/>
          <w:szCs w:val="24"/>
        </w:rPr>
        <w:t>（3）其他辅助说明资料。</w:t>
      </w:r>
    </w:p>
    <w:p>
      <w:pPr>
        <w:spacing w:line="360" w:lineRule="auto"/>
        <w:ind w:firstLine="480" w:firstLineChars="200"/>
        <w:rPr>
          <w:rFonts w:ascii="宋体" w:hAnsi="宋体" w:cs="宋体"/>
          <w:sz w:val="24"/>
          <w:szCs w:val="24"/>
        </w:rPr>
      </w:pPr>
      <w:r>
        <w:rPr>
          <w:rFonts w:hint="eastAsia" w:ascii="宋体" w:hAnsi="宋体" w:cs="宋体"/>
          <w:sz w:val="24"/>
          <w:szCs w:val="24"/>
        </w:rPr>
        <w:t>11.2.4投标人在广州市可使用适合本工程的机械设备（附：机械设备为自有或租赁的说明；及承诺机械设备如属于租赁的，其租赁是不属于重复租赁）。</w:t>
      </w:r>
    </w:p>
    <w:p>
      <w:pPr>
        <w:spacing w:line="360" w:lineRule="auto"/>
        <w:ind w:firstLine="480" w:firstLineChars="200"/>
        <w:rPr>
          <w:rFonts w:ascii="宋体" w:hAnsi="宋体" w:cs="宋体"/>
          <w:sz w:val="24"/>
          <w:szCs w:val="24"/>
        </w:rPr>
      </w:pPr>
      <w:r>
        <w:rPr>
          <w:rFonts w:hint="eastAsia" w:ascii="宋体" w:hAnsi="宋体" w:cs="宋体"/>
          <w:sz w:val="24"/>
          <w:szCs w:val="24"/>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ascii="宋体"/>
          <w:sz w:val="24"/>
          <w:szCs w:val="24"/>
        </w:rPr>
      </w:pPr>
      <w:r>
        <w:rPr>
          <w:rFonts w:hint="eastAsia" w:ascii="宋体" w:hAnsi="宋体" w:cs="宋体"/>
          <w:sz w:val="24"/>
          <w:szCs w:val="24"/>
        </w:rPr>
        <w:t>11.2.6按照招标文件要求填写的《参与编制技术标投标文件人员名单》。</w:t>
      </w:r>
    </w:p>
    <w:p>
      <w:pPr>
        <w:pStyle w:val="2"/>
      </w:pPr>
    </w:p>
    <w:p>
      <w:pPr>
        <w:tabs>
          <w:tab w:val="left" w:pos="1125"/>
        </w:tabs>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11.2.1广州建设工程施工招标投标书</w:t>
      </w:r>
      <w:r>
        <w:rPr>
          <w:rFonts w:hint="eastAsia" w:ascii="宋体" w:hAnsi="宋体" w:cs="宋体"/>
          <w:bCs/>
          <w:szCs w:val="21"/>
        </w:rPr>
        <w:t>(按招标文件的要求填写)；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（1）投标人声明</w:t>
      </w:r>
      <w:r>
        <w:rPr>
          <w:rFonts w:hint="eastAsia" w:ascii="宋体" w:hAnsi="宋体" w:cs="宋体"/>
          <w:b/>
          <w:bCs/>
          <w:kern w:val="0"/>
          <w:szCs w:val="21"/>
          <w:u w:val="single"/>
        </w:rPr>
        <w:t>（按招标公告附件一的格式及内容提交）</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（2）法定代表人证明书、法定代表人签字或盖章的本投标文件授权委托证明书；</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（3）企业营业执照（取自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（4）企业资质证书（取自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（5）建筑施工企业安全生产许可证（取自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（6）项目负责人（按网上投标登记时选择拟投标的项目负责人）；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（7）专职安全员（按网上投标登记时选择拟投标的专职安全员）；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（8）拟委托技术负责人的</w:t>
      </w:r>
      <w:r>
        <w:rPr>
          <w:rFonts w:hint="eastAsia" w:ascii="宋体" w:hAnsi="宋体" w:cs="宋体"/>
          <w:kern w:val="0"/>
          <w:szCs w:val="21"/>
          <w:u w:val="single"/>
        </w:rPr>
        <w:t>职称证书</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bCs/>
          <w:kern w:val="0"/>
          <w:szCs w:val="21"/>
        </w:rPr>
        <w:t>拟委派项目负责人</w:t>
      </w:r>
      <w:r>
        <w:rPr>
          <w:rFonts w:hint="eastAsia" w:ascii="宋体" w:hAnsi="宋体" w:cs="宋体"/>
          <w:bCs/>
          <w:kern w:val="0"/>
          <w:szCs w:val="21"/>
        </w:rPr>
        <w:t>的</w:t>
      </w:r>
      <w:r>
        <w:rPr>
          <w:rFonts w:ascii="宋体" w:hAnsi="宋体" w:cs="宋体"/>
          <w:bCs/>
          <w:kern w:val="0"/>
          <w:szCs w:val="21"/>
        </w:rPr>
        <w:t>建造师注册证书（取自</w:t>
      </w:r>
      <w:r>
        <w:rPr>
          <w:rFonts w:hint="eastAsia" w:ascii="宋体" w:hAnsi="宋体" w:cs="宋体"/>
          <w:b/>
          <w:bCs/>
          <w:kern w:val="0"/>
          <w:szCs w:val="21"/>
        </w:rPr>
        <w:t>平台</w:t>
      </w:r>
      <w:r>
        <w:rPr>
          <w:rFonts w:hint="eastAsia" w:ascii="宋体" w:hAnsi="宋体" w:cs="宋体"/>
          <w:bCs/>
          <w:kern w:val="0"/>
          <w:szCs w:val="21"/>
        </w:rPr>
        <w:t>内上传件）</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（10）</w:t>
      </w:r>
      <w:r>
        <w:rPr>
          <w:rFonts w:ascii="宋体" w:hAnsi="宋体" w:cs="宋体"/>
          <w:bCs/>
          <w:kern w:val="0"/>
          <w:szCs w:val="21"/>
        </w:rPr>
        <w:t>项目负责人安全培训考核合格证明或在有效期内的安全考核合格证书（B类）</w:t>
      </w:r>
      <w:r>
        <w:rPr>
          <w:rFonts w:hint="eastAsia" w:ascii="宋体" w:hAnsi="宋体" w:cs="宋体"/>
          <w:b/>
          <w:bCs/>
          <w:kern w:val="0"/>
          <w:szCs w:val="21"/>
        </w:rPr>
        <w:t>或建筑施工企业项目负责人安全生产考核合格证书</w:t>
      </w:r>
      <w:r>
        <w:rPr>
          <w:rFonts w:hint="eastAsia" w:ascii="宋体" w:hAnsi="宋体" w:cs="宋体"/>
          <w:bCs/>
          <w:kern w:val="0"/>
          <w:szCs w:val="21"/>
        </w:rPr>
        <w:t>（取自</w:t>
      </w:r>
      <w:r>
        <w:rPr>
          <w:rFonts w:hint="eastAsia" w:ascii="宋体" w:hAnsi="宋体" w:cs="宋体"/>
          <w:b/>
          <w:bCs/>
          <w:kern w:val="0"/>
          <w:szCs w:val="21"/>
        </w:rPr>
        <w:t>平台内</w:t>
      </w:r>
      <w:r>
        <w:rPr>
          <w:rFonts w:hint="eastAsia" w:ascii="宋体" w:hAnsi="宋体" w:cs="宋体"/>
          <w:bCs/>
          <w:kern w:val="0"/>
          <w:szCs w:val="21"/>
        </w:rPr>
        <w:t>上传件）</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w:t>
      </w:r>
      <w:r>
        <w:rPr>
          <w:rFonts w:hint="eastAsia" w:ascii="宋体" w:hAnsi="宋体"/>
          <w:kern w:val="0"/>
          <w:szCs w:val="21"/>
        </w:rPr>
        <w:t>专职安全员须具有安全生产考核合格证（C类）或</w:t>
      </w:r>
      <w:r>
        <w:rPr>
          <w:rFonts w:hint="eastAsia" w:ascii="宋体" w:hAnsi="宋体"/>
          <w:b/>
          <w:bCs/>
          <w:kern w:val="0"/>
          <w:szCs w:val="21"/>
        </w:rPr>
        <w:t>建筑施工企业专职安全生产管理人员安全生产考核合格证（C3类）</w:t>
      </w:r>
      <w:r>
        <w:rPr>
          <w:rFonts w:hint="eastAsia" w:ascii="宋体" w:hAnsi="宋体"/>
          <w:kern w:val="0"/>
          <w:szCs w:val="21"/>
        </w:rPr>
        <w:t>。</w:t>
      </w:r>
      <w:r>
        <w:rPr>
          <w:rFonts w:hint="eastAsia" w:ascii="宋体" w:hAnsi="宋体" w:cs="宋体"/>
          <w:b/>
          <w:bCs/>
          <w:kern w:val="0"/>
          <w:szCs w:val="21"/>
        </w:rPr>
        <w:t>（</w:t>
      </w:r>
      <w:r>
        <w:rPr>
          <w:rFonts w:hint="eastAsia" w:ascii="宋体" w:hAnsi="宋体" w:cs="宋体"/>
          <w:bCs/>
          <w:kern w:val="0"/>
          <w:szCs w:val="21"/>
        </w:rPr>
        <w:t>取自</w:t>
      </w:r>
      <w:r>
        <w:rPr>
          <w:rFonts w:hint="eastAsia" w:ascii="宋体" w:hAnsi="宋体" w:cs="宋体"/>
          <w:b/>
          <w:bCs/>
          <w:kern w:val="0"/>
          <w:szCs w:val="21"/>
        </w:rPr>
        <w:t>平台内</w:t>
      </w:r>
      <w:r>
        <w:rPr>
          <w:rFonts w:hint="eastAsia" w:ascii="宋体" w:hAnsi="宋体" w:cs="宋体"/>
          <w:bCs/>
          <w:kern w:val="0"/>
          <w:szCs w:val="21"/>
        </w:rPr>
        <w:t>上传件），</w:t>
      </w:r>
      <w:r>
        <w:rPr>
          <w:rFonts w:hint="eastAsia" w:ascii="宋体" w:hAnsi="宋体" w:cs="宋体"/>
          <w:b/>
          <w:bCs/>
          <w:kern w:val="0"/>
          <w:szCs w:val="21"/>
          <w:u w:val="single"/>
        </w:rPr>
        <w:t>项目负责人和安全员不为同一人</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（12）资格审查前，投标人须在</w:t>
      </w:r>
      <w:r>
        <w:rPr>
          <w:rFonts w:hint="eastAsia" w:ascii="宋体" w:hAnsi="宋体" w:cs="宋体"/>
          <w:b/>
          <w:kern w:val="0"/>
          <w:szCs w:val="21"/>
        </w:rPr>
        <w:t>广州市住房和城乡建设局建立企业信用档案</w:t>
      </w:r>
      <w:r>
        <w:rPr>
          <w:rFonts w:hint="eastAsia" w:ascii="宋体" w:hAnsi="宋体" w:cs="宋体"/>
          <w:kern w:val="0"/>
          <w:szCs w:val="21"/>
        </w:rPr>
        <w:t>，拟担任本工程项目负责人</w:t>
      </w:r>
      <w:r>
        <w:rPr>
          <w:rFonts w:hint="eastAsia" w:ascii="宋体" w:hAnsi="宋体" w:cs="宋体"/>
          <w:kern w:val="0"/>
          <w:szCs w:val="21"/>
          <w:u w:val="single"/>
        </w:rPr>
        <w:t>、专职安全员</w:t>
      </w:r>
      <w:r>
        <w:rPr>
          <w:rFonts w:hint="eastAsia" w:ascii="宋体" w:hAnsi="宋体" w:cs="宋体"/>
          <w:kern w:val="0"/>
          <w:szCs w:val="21"/>
        </w:rPr>
        <w:t>须是本企业</w:t>
      </w:r>
      <w:r>
        <w:rPr>
          <w:rFonts w:hint="eastAsia" w:ascii="宋体" w:hAnsi="宋体" w:cs="宋体"/>
          <w:b/>
          <w:kern w:val="0"/>
          <w:szCs w:val="21"/>
        </w:rPr>
        <w:t>信用档案</w:t>
      </w:r>
      <w:r>
        <w:rPr>
          <w:rFonts w:hint="eastAsia" w:ascii="宋体" w:hAnsi="宋体" w:cs="宋体"/>
          <w:kern w:val="0"/>
          <w:szCs w:val="21"/>
        </w:rPr>
        <w:t>中的在册人员。</w:t>
      </w:r>
    </w:p>
    <w:p>
      <w:pPr>
        <w:spacing w:line="360" w:lineRule="auto"/>
        <w:ind w:firstLine="420" w:firstLineChars="200"/>
        <w:rPr>
          <w:rFonts w:ascii="宋体" w:hAnsi="宋体" w:cs="宋体"/>
          <w:szCs w:val="21"/>
        </w:rPr>
      </w:pPr>
      <w:r>
        <w:rPr>
          <w:rFonts w:ascii="宋体" w:hAnsi="宋体" w:cs="宋体"/>
          <w:szCs w:val="21"/>
        </w:rPr>
        <w:t>11.2.3</w:t>
      </w:r>
      <w:r>
        <w:rPr>
          <w:rFonts w:hint="eastAsia" w:ascii="宋体" w:hAnsi="宋体" w:cs="宋体"/>
          <w:szCs w:val="21"/>
          <w:u w:val="single"/>
        </w:rPr>
        <w:t>企业资信的证明材料</w:t>
      </w:r>
      <w:r>
        <w:rPr>
          <w:rFonts w:hint="eastAsia" w:ascii="宋体" w:hAnsi="宋体" w:cs="宋体"/>
          <w:szCs w:val="21"/>
        </w:rPr>
        <w:t>。</w:t>
      </w:r>
    </w:p>
    <w:p>
      <w:pPr>
        <w:pStyle w:val="123"/>
        <w:spacing w:after="0" w:line="360" w:lineRule="auto"/>
        <w:ind w:firstLine="420" w:firstLineChars="200"/>
        <w:rPr>
          <w:rFonts w:ascii="宋体" w:hAnsi="宋体" w:cs="宋体"/>
          <w:kern w:val="2"/>
          <w:sz w:val="21"/>
          <w:szCs w:val="21"/>
        </w:rPr>
      </w:pPr>
      <w:r>
        <w:rPr>
          <w:rFonts w:ascii="宋体" w:hAnsi="宋体" w:cs="宋体"/>
          <w:kern w:val="2"/>
          <w:sz w:val="21"/>
          <w:szCs w:val="21"/>
        </w:rPr>
        <w:t>11.2.4施工项目管理团队人员信息表</w:t>
      </w:r>
      <w:r>
        <w:rPr>
          <w:rFonts w:hint="eastAsia" w:ascii="宋体" w:hAnsi="宋体" w:cs="宋体"/>
          <w:kern w:val="2"/>
          <w:sz w:val="21"/>
          <w:szCs w:val="21"/>
        </w:rPr>
        <w:t>。</w:t>
      </w:r>
    </w:p>
    <w:p>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11.2.5按照招标文件要求填写的《参与编制技术标投标文件人员名单》。</w:t>
      </w:r>
    </w:p>
    <w:p>
      <w:pPr>
        <w:pBdr>
          <w:bottom w:val="single" w:color="auto" w:sz="6" w:space="1"/>
        </w:pBdr>
        <w:spacing w:line="360" w:lineRule="auto"/>
        <w:ind w:firstLine="420" w:firstLineChars="200"/>
        <w:rPr>
          <w:szCs w:val="21"/>
        </w:rPr>
      </w:pPr>
      <w:r>
        <w:rPr>
          <w:rFonts w:hint="eastAsia" w:ascii="宋体" w:hAnsi="宋体" w:cs="宋体"/>
          <w:szCs w:val="21"/>
        </w:rPr>
        <w:t>11.2.6按照招标文件要求提供《承诺函》。</w:t>
      </w:r>
    </w:p>
    <w:p>
      <w:pPr>
        <w:pBdr>
          <w:bottom w:val="single" w:color="auto" w:sz="6" w:space="1"/>
        </w:pBdr>
        <w:spacing w:line="360" w:lineRule="auto"/>
        <w:ind w:firstLine="420" w:firstLineChars="200"/>
      </w:pPr>
      <w:r>
        <w:rPr>
          <w:rFonts w:hint="eastAsia" w:ascii="宋体" w:hAnsi="宋体" w:cs="宋体"/>
          <w:szCs w:val="21"/>
        </w:rPr>
        <w:t>11.2.7其他投标人认为应该提供的资料。</w:t>
      </w:r>
    </w:p>
    <w:p>
      <w:pPr>
        <w:pBdr>
          <w:top w:val="single" w:color="auto" w:sz="4" w:space="0"/>
        </w:pBdr>
        <w:spacing w:line="360" w:lineRule="auto"/>
        <w:ind w:firstLine="422" w:firstLineChars="200"/>
        <w:rPr>
          <w:b/>
          <w:szCs w:val="21"/>
        </w:rPr>
      </w:pPr>
      <w:r>
        <w:rPr>
          <w:rFonts w:hint="eastAsia"/>
          <w:b/>
          <w:szCs w:val="21"/>
        </w:rPr>
        <w:t>条款号：11.3.5            修改类型：增加</w:t>
      </w:r>
    </w:p>
    <w:p>
      <w:pPr>
        <w:pBdr>
          <w:top w:val="single" w:color="auto" w:sz="4" w:space="0"/>
        </w:pBdr>
        <w:spacing w:line="360" w:lineRule="auto"/>
        <w:ind w:firstLine="422" w:firstLineChars="200"/>
        <w:rPr>
          <w:b/>
          <w:szCs w:val="21"/>
        </w:rPr>
      </w:pPr>
      <w:r>
        <w:rPr>
          <w:rFonts w:hint="eastAsia"/>
          <w:b/>
          <w:szCs w:val="21"/>
        </w:rPr>
        <w:t>现文：</w:t>
      </w:r>
      <w:r>
        <w:rPr>
          <w:rFonts w:hint="eastAsia" w:ascii="宋体" w:hAnsi="宋体"/>
          <w:szCs w:val="21"/>
        </w:rPr>
        <w:t>11.3.5《对投标文件编制的承诺》（须按招标文件第四章 “投标文件格式”附件三）</w:t>
      </w:r>
    </w:p>
    <w:p>
      <w:pPr>
        <w:pBdr>
          <w:top w:val="single" w:color="auto" w:sz="4" w:space="1"/>
          <w:left w:val="none" w:color="auto" w:sz="0" w:space="4"/>
          <w:bottom w:val="none" w:color="auto" w:sz="0" w:space="1"/>
          <w:right w:val="none" w:color="auto" w:sz="0" w:space="4"/>
        </w:pBdr>
        <w:spacing w:line="360" w:lineRule="auto"/>
        <w:ind w:firstLine="422" w:firstLineChars="200"/>
        <w:rPr>
          <w:b/>
          <w:szCs w:val="21"/>
        </w:rPr>
      </w:pPr>
      <w:r>
        <w:rPr>
          <w:rFonts w:hint="eastAsia"/>
          <w:b/>
          <w:szCs w:val="21"/>
        </w:rPr>
        <w:t>条款号：12.2             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szCs w:val="21"/>
        </w:rPr>
        <w:t>12.2</w:t>
      </w:r>
      <w:r>
        <w:rPr>
          <w:rFonts w:hint="eastAsia" w:ascii="宋体" w:hAnsi="宋体" w:cs="宋体"/>
          <w:szCs w:val="21"/>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Cs w:val="21"/>
          <w:u w:val="single"/>
        </w:rPr>
        <w:t xml:space="preserve">      /      </w:t>
      </w:r>
      <w:r>
        <w:rPr>
          <w:rFonts w:hint="eastAsia" w:ascii="宋体" w:hAnsi="宋体" w:cs="宋体"/>
          <w:szCs w:val="21"/>
        </w:rPr>
        <w:t xml:space="preserve"> 。</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12.2 </w:t>
      </w:r>
      <w:r>
        <w:rPr>
          <w:rFonts w:hint="eastAsia" w:ascii="宋体" w:hAnsi="宋体"/>
          <w:bCs/>
          <w:szCs w:val="21"/>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szCs w:val="21"/>
          <w:u w:val="single"/>
        </w:rPr>
        <w:t>广州公共资源交易中心</w:t>
      </w:r>
      <w:r>
        <w:rPr>
          <w:rFonts w:hint="eastAsia"/>
          <w:szCs w:val="21"/>
        </w:rPr>
        <w:t>。</w:t>
      </w:r>
    </w:p>
    <w:p>
      <w:pPr>
        <w:spacing w:line="360" w:lineRule="auto"/>
        <w:ind w:firstLine="422" w:firstLineChars="200"/>
        <w:rPr>
          <w:b/>
          <w:szCs w:val="21"/>
        </w:rPr>
      </w:pPr>
      <w:r>
        <w:rPr>
          <w:rFonts w:hint="eastAsia"/>
          <w:b/>
          <w:szCs w:val="21"/>
        </w:rPr>
        <w:t>条款号：12.3             修改类型：修改</w:t>
      </w:r>
    </w:p>
    <w:p>
      <w:pPr>
        <w:spacing w:line="360" w:lineRule="auto"/>
        <w:ind w:firstLine="422" w:firstLineChars="200"/>
        <w:rPr>
          <w:b/>
          <w:szCs w:val="21"/>
        </w:rPr>
      </w:pPr>
      <w:r>
        <w:rPr>
          <w:rFonts w:hint="eastAsia"/>
          <w:b/>
          <w:szCs w:val="21"/>
        </w:rPr>
        <w:t>原文：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szCs w:val="21"/>
          <w:u w:val="single"/>
        </w:rPr>
        <w:t>广州公共资源交易中心</w:t>
      </w:r>
      <w:r>
        <w:rPr>
          <w:rFonts w:hint="eastAsia" w:ascii="宋体" w:hAnsi="宋体"/>
          <w:szCs w:val="21"/>
        </w:rPr>
        <w:t>。</w:t>
      </w:r>
    </w:p>
    <w:p>
      <w:pPr>
        <w:spacing w:line="360" w:lineRule="auto"/>
        <w:ind w:firstLine="422" w:firstLineChars="200"/>
        <w:rPr>
          <w:rFonts w:ascii="宋体" w:hAnsi="宋体" w:cs="宋体"/>
          <w:b/>
          <w:szCs w:val="21"/>
        </w:rPr>
      </w:pPr>
      <w:r>
        <w:rPr>
          <w:rFonts w:hint="eastAsia" w:ascii="宋体" w:hAnsi="宋体" w:cs="宋体"/>
          <w:b/>
          <w:szCs w:val="21"/>
        </w:rPr>
        <w:t>条款号：13.1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13.1 本工程的投标报价采用投标须知前附表第12项所规定的方式。投标报价（含单价及总价）精确到“分”。</w:t>
      </w:r>
    </w:p>
    <w:p>
      <w:pPr>
        <w:pBdr>
          <w:bottom w:val="single" w:color="auto" w:sz="4"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投标报价（含单价及总价）精确到“分”。</w:t>
      </w:r>
    </w:p>
    <w:p>
      <w:pPr>
        <w:spacing w:line="360" w:lineRule="auto"/>
        <w:ind w:firstLine="422" w:firstLineChars="200"/>
        <w:rPr>
          <w:rFonts w:ascii="宋体" w:hAnsi="宋体" w:cs="宋体"/>
          <w:b/>
          <w:szCs w:val="21"/>
        </w:rPr>
      </w:pPr>
      <w:r>
        <w:rPr>
          <w:rFonts w:hint="eastAsia" w:ascii="宋体" w:hAnsi="宋体" w:cs="宋体"/>
          <w:b/>
          <w:szCs w:val="21"/>
        </w:rPr>
        <w:t>条款号：13.4          修改类型：修改</w:t>
      </w:r>
    </w:p>
    <w:p>
      <w:pPr>
        <w:spacing w:line="360" w:lineRule="auto"/>
        <w:ind w:firstLine="422" w:firstLineChars="200"/>
        <w:rPr>
          <w:rFonts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13.4投标人一旦中标，投标人对招标人提供的招标工程量清单中列出的工程项目所报出的综合单价，在工程结算时将不得变更，即在施工过程中即使工程量清单项目的工程量发生变更，</w:t>
      </w:r>
      <w:r>
        <w:rPr>
          <w:rFonts w:hint="eastAsia" w:ascii="宋体" w:hAnsi="宋体" w:cs="宋体"/>
          <w:szCs w:val="21"/>
          <w:u w:val="single"/>
        </w:rPr>
        <w:t xml:space="preserve">中标投标文件列出的综合单价和总价措施项目费也不发生改变。 </w:t>
      </w:r>
    </w:p>
    <w:p>
      <w:pPr>
        <w:spacing w:line="360" w:lineRule="auto"/>
        <w:ind w:firstLine="422" w:firstLineChars="200"/>
        <w:rPr>
          <w:rFonts w:ascii="宋体" w:hAnsi="宋体" w:cs="宋体"/>
          <w:b/>
          <w:szCs w:val="21"/>
        </w:rPr>
      </w:pPr>
      <w:r>
        <w:rPr>
          <w:rFonts w:hint="eastAsia" w:ascii="宋体" w:hAnsi="宋体" w:cs="宋体"/>
          <w:b/>
          <w:szCs w:val="21"/>
        </w:rPr>
        <w:t>条款号：13.5  13.5.1  13.5.2  13.5.3  13.5.4          修改类型：修改</w:t>
      </w:r>
    </w:p>
    <w:p>
      <w:pPr>
        <w:pStyle w:val="5"/>
        <w:pBdr>
          <w:bottom w:val="single" w:color="auto" w:sz="6" w:space="1"/>
        </w:pBdr>
        <w:spacing w:after="0"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13.5工程项目实施期间……，中标后双方协商约定。</w:t>
      </w:r>
    </w:p>
    <w:p>
      <w:pPr>
        <w:pStyle w:val="5"/>
        <w:pBdr>
          <w:bottom w:val="single" w:color="auto" w:sz="6" w:space="1"/>
        </w:pBdr>
        <w:spacing w:after="0"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rPr>
        <w:t>13.5</w:t>
      </w:r>
      <w:r>
        <w:rPr>
          <w:rFonts w:hint="eastAsia" w:ascii="宋体" w:hAnsi="宋体" w:cs="宋体"/>
          <w:szCs w:val="21"/>
          <w:u w:val="single"/>
        </w:rPr>
        <w:t>变更结算方式按招标文件及施工合同相关规定执行。</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16.5.3按招标文件要求免于提供投标保证金的投标人存在16.4条款所列情形的。</w:t>
      </w:r>
    </w:p>
    <w:p>
      <w:pPr>
        <w:spacing w:line="360" w:lineRule="auto"/>
        <w:ind w:firstLine="420" w:firstLineChars="200"/>
        <w:rPr>
          <w:rFonts w:ascii="宋体" w:hAnsi="宋体" w:cs="宋体"/>
          <w:bCs/>
          <w:szCs w:val="21"/>
        </w:rPr>
      </w:pPr>
      <w:r>
        <w:rPr>
          <w:rFonts w:hint="eastAsia" w:ascii="宋体" w:hAnsi="宋体" w:cs="宋体"/>
          <w:bCs/>
          <w:szCs w:val="21"/>
        </w:rPr>
        <w:t>注：16.5.3款由招标人二选一，需在招标文件中明确。</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w:t>
      </w:r>
      <w:r>
        <w:rPr>
          <w:rFonts w:hint="eastAsia" w:ascii="宋体" w:hAnsi="宋体" w:cs="宋体"/>
          <w:szCs w:val="21"/>
          <w:u w:val="single"/>
        </w:rPr>
        <w:t>一年内</w:t>
      </w:r>
      <w:r>
        <w:rPr>
          <w:rFonts w:hint="eastAsia" w:ascii="宋体" w:hAnsi="宋体" w:cs="宋体"/>
          <w:szCs w:val="21"/>
        </w:rPr>
        <w:t>参与招标人后续工程投标；</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pPr>
      <w:r>
        <w:rPr>
          <w:rFonts w:hint="eastAsia" w:ascii="宋体" w:hAnsi="宋体" w:cs="宋体"/>
          <w:szCs w:val="21"/>
        </w:rPr>
        <w:t>16.5.3按招标文件要求免于提供投标保证金的投标人存在16.4条款所列情形，且未按招标人要求补交投标保证金的。</w:t>
      </w:r>
    </w:p>
    <w:p>
      <w:pPr>
        <w:pBdr>
          <w:top w:val="single" w:color="auto" w:sz="4" w:space="0"/>
        </w:pBdr>
        <w:spacing w:line="360" w:lineRule="auto"/>
        <w:ind w:firstLine="422" w:firstLineChars="200"/>
        <w:rPr>
          <w:b/>
          <w:szCs w:val="21"/>
        </w:rPr>
      </w:pPr>
      <w:r>
        <w:rPr>
          <w:rFonts w:hint="eastAsia"/>
          <w:b/>
          <w:szCs w:val="21"/>
        </w:rPr>
        <w:t>条款号：17.1             修改类型：修改</w:t>
      </w:r>
    </w:p>
    <w:p>
      <w:pPr>
        <w:spacing w:line="360" w:lineRule="auto"/>
        <w:ind w:firstLine="422" w:firstLineChars="200"/>
        <w:rPr>
          <w:rFonts w:ascii="宋体" w:hAnsi="宋体"/>
          <w:szCs w:val="21"/>
        </w:rPr>
      </w:pPr>
      <w:r>
        <w:rPr>
          <w:rFonts w:hint="eastAsia"/>
          <w:b/>
          <w:szCs w:val="21"/>
        </w:rPr>
        <w:t>原文：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ascii="宋体" w:hAnsi="宋体"/>
          <w:szCs w:val="21"/>
          <w:u w:val="single"/>
        </w:rPr>
        <w:t>广州公共资源交易中心最新指引</w:t>
      </w:r>
      <w:r>
        <w:rPr>
          <w:rFonts w:hint="eastAsia" w:ascii="宋体" w:hAnsi="宋体"/>
          <w:szCs w:val="21"/>
        </w:rPr>
        <w:t>。</w:t>
      </w:r>
    </w:p>
    <w:p>
      <w:pPr>
        <w:spacing w:line="360" w:lineRule="auto"/>
        <w:ind w:firstLine="422" w:firstLineChars="200"/>
        <w:rPr>
          <w:b/>
          <w:szCs w:val="21"/>
        </w:rPr>
      </w:pPr>
      <w:r>
        <w:rPr>
          <w:rFonts w:hint="eastAsia"/>
          <w:b/>
          <w:szCs w:val="21"/>
        </w:rPr>
        <w:t>条款号：18.1、18.2             修改类型：修改</w:t>
      </w:r>
    </w:p>
    <w:p>
      <w:pPr>
        <w:pStyle w:val="5"/>
        <w:spacing w:after="0"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 。</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ascii="宋体" w:hAnsi="宋体"/>
          <w:szCs w:val="21"/>
        </w:rPr>
        <w:t>交易平台</w:t>
      </w:r>
      <w:r>
        <w:rPr>
          <w:rFonts w:hint="eastAsia" w:ascii="宋体"/>
          <w:bCs/>
          <w:szCs w:val="21"/>
        </w:rPr>
        <w:t>将予以拒收。</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w:t>
      </w:r>
      <w:r>
        <w:rPr>
          <w:rFonts w:hint="eastAsia"/>
          <w:szCs w:val="21"/>
          <w:u w:val="single"/>
        </w:rPr>
        <w:t>广州公共资源交易中心</w:t>
      </w:r>
      <w:r>
        <w:rPr>
          <w:rFonts w:hint="eastAsia"/>
          <w:szCs w:val="21"/>
        </w:rPr>
        <w:t>。</w:t>
      </w:r>
    </w:p>
    <w:p>
      <w:pPr>
        <w:pBdr>
          <w:bottom w:val="single" w:color="auto" w:sz="6" w:space="1"/>
        </w:pBdr>
        <w:spacing w:line="360" w:lineRule="auto"/>
        <w:ind w:firstLine="420" w:firstLineChars="200"/>
        <w:rPr>
          <w:b/>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szCs w:val="21"/>
          <w:u w:val="single"/>
        </w:rPr>
        <w:t>广州公共资源交易中心</w:t>
      </w:r>
      <w:r>
        <w:rPr>
          <w:rFonts w:hint="eastAsia" w:ascii="宋体" w:hAnsi="宋体"/>
          <w:szCs w:val="21"/>
        </w:rPr>
        <w:t>交易平台</w:t>
      </w:r>
      <w:r>
        <w:rPr>
          <w:rFonts w:hint="eastAsia" w:ascii="宋体"/>
          <w:bCs/>
          <w:szCs w:val="21"/>
        </w:rPr>
        <w:t>将予以拒收。</w:t>
      </w:r>
    </w:p>
    <w:p>
      <w:pPr>
        <w:spacing w:line="360" w:lineRule="auto"/>
        <w:ind w:firstLine="422" w:firstLineChars="200"/>
        <w:rPr>
          <w:b/>
          <w:szCs w:val="21"/>
        </w:rPr>
      </w:pPr>
      <w:r>
        <w:rPr>
          <w:rFonts w:hint="eastAsia"/>
          <w:b/>
          <w:szCs w:val="21"/>
        </w:rPr>
        <w:t>条款号：19.1、19.2、19.3、19.5             修改类型：修改</w:t>
      </w:r>
    </w:p>
    <w:p>
      <w:pPr>
        <w:spacing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ascii="宋体" w:hAnsi="宋体"/>
          <w:szCs w:val="21"/>
        </w:rPr>
        <w:t>交易平台将予以拒收。</w:t>
      </w:r>
    </w:p>
    <w:p>
      <w:pPr>
        <w:spacing w:line="360" w:lineRule="auto"/>
        <w:ind w:firstLine="420" w:firstLineChars="200"/>
        <w:rPr>
          <w:b/>
          <w:szCs w:val="21"/>
        </w:rPr>
      </w:pPr>
      <w:r>
        <w:rPr>
          <w:rFonts w:ascii="宋体" w:hAnsi="宋体"/>
          <w:szCs w:val="21"/>
        </w:rPr>
        <w:t>19.</w:t>
      </w:r>
      <w:r>
        <w:rPr>
          <w:rFonts w:hint="eastAsia" w:ascii="宋体" w:hAnsi="宋体"/>
          <w:szCs w:val="21"/>
        </w:rPr>
        <w:t>5如技术标和经济标先后分别开启，交易平台将按招标文件规定的时间分别开启技术标和经济标。</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szCs w:val="21"/>
          <w:u w:val="single"/>
        </w:rPr>
        <w:t>广州公共资源交易中心</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szCs w:val="21"/>
          <w:u w:val="single"/>
        </w:rPr>
        <w:t>广州公共资源交易中心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bottom w:val="single" w:color="auto" w:sz="6" w:space="1"/>
        </w:pBdr>
        <w:spacing w:line="360" w:lineRule="auto"/>
        <w:ind w:firstLine="420" w:firstLineChars="200"/>
        <w:rPr>
          <w:b/>
          <w:szCs w:val="21"/>
        </w:rPr>
      </w:pPr>
      <w:r>
        <w:rPr>
          <w:rFonts w:ascii="宋体" w:hAnsi="宋体"/>
          <w:szCs w:val="21"/>
        </w:rPr>
        <w:t>19.</w:t>
      </w:r>
      <w:r>
        <w:rPr>
          <w:rFonts w:hint="eastAsia" w:ascii="宋体" w:hAnsi="宋体"/>
          <w:szCs w:val="21"/>
        </w:rPr>
        <w:t>5如技术标和经济标先后分别开启，</w:t>
      </w:r>
      <w:r>
        <w:rPr>
          <w:rFonts w:hint="eastAsia"/>
          <w:szCs w:val="21"/>
          <w:u w:val="single"/>
        </w:rPr>
        <w:t>广州公共资源交易中心</w:t>
      </w:r>
      <w:r>
        <w:rPr>
          <w:rFonts w:hint="eastAsia" w:ascii="宋体" w:hAnsi="宋体"/>
          <w:szCs w:val="21"/>
        </w:rPr>
        <w:t>交易平台将按招标文件规定的时间分别开启技术标和经济标。</w:t>
      </w:r>
    </w:p>
    <w:p>
      <w:pPr>
        <w:spacing w:line="360" w:lineRule="auto"/>
        <w:ind w:firstLine="422" w:firstLineChars="200"/>
        <w:rPr>
          <w:b/>
          <w:szCs w:val="21"/>
        </w:rPr>
      </w:pPr>
      <w:r>
        <w:rPr>
          <w:rFonts w:hint="eastAsia"/>
          <w:b/>
          <w:szCs w:val="21"/>
        </w:rPr>
        <w:t>条款号：19.6             修改类型：删除</w:t>
      </w:r>
    </w:p>
    <w:p>
      <w:pPr>
        <w:spacing w:line="360" w:lineRule="auto"/>
        <w:ind w:firstLine="422" w:firstLineChars="200"/>
        <w:rPr>
          <w:b/>
          <w:szCs w:val="21"/>
        </w:rPr>
      </w:pPr>
      <w:r>
        <w:rPr>
          <w:rFonts w:hint="eastAsia"/>
          <w:b/>
          <w:szCs w:val="21"/>
        </w:rPr>
        <w:t>原文：</w:t>
      </w:r>
      <w:r>
        <w:rPr>
          <w:rFonts w:hint="eastAsia"/>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r>
        <w:rPr>
          <w:rFonts w:hint="eastAsia" w:ascii="宋体" w:hAnsi="宋体"/>
          <w:szCs w:val="21"/>
        </w:rPr>
        <w:t>。</w:t>
      </w:r>
    </w:p>
    <w:p>
      <w:pPr>
        <w:pBdr>
          <w:top w:val="single" w:color="auto" w:sz="4" w:space="0"/>
        </w:pBdr>
        <w:spacing w:line="360" w:lineRule="auto"/>
        <w:ind w:firstLine="422" w:firstLineChars="200"/>
        <w:rPr>
          <w:b/>
          <w:szCs w:val="21"/>
        </w:rPr>
      </w:pPr>
      <w:r>
        <w:rPr>
          <w:rFonts w:hint="eastAsia"/>
          <w:b/>
          <w:szCs w:val="21"/>
        </w:rPr>
        <w:t>条款号：21.1             修改类型：修改</w:t>
      </w:r>
    </w:p>
    <w:p>
      <w:pPr>
        <w:spacing w:line="360" w:lineRule="auto"/>
        <w:ind w:firstLine="422" w:firstLineChars="200"/>
        <w:rPr>
          <w:b/>
          <w:szCs w:val="21"/>
        </w:rPr>
      </w:pPr>
      <w:r>
        <w:rPr>
          <w:rFonts w:hint="eastAsia"/>
          <w:b/>
          <w:szCs w:val="21"/>
        </w:rPr>
        <w:t>原文：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ascii="宋体" w:hAnsi="宋体"/>
          <w:szCs w:val="21"/>
        </w:rPr>
        <w:t>交易平台将予以拒收。</w:t>
      </w:r>
    </w:p>
    <w:p>
      <w:pPr>
        <w:spacing w:line="360" w:lineRule="auto"/>
        <w:ind w:firstLine="422" w:firstLineChars="200"/>
        <w:rPr>
          <w:b/>
          <w:szCs w:val="21"/>
        </w:rPr>
      </w:pPr>
      <w:r>
        <w:rPr>
          <w:rFonts w:hint="eastAsia"/>
          <w:b/>
          <w:szCs w:val="21"/>
        </w:rPr>
        <w:t>现文：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top w:val="single" w:color="auto" w:sz="4" w:space="0"/>
        </w:pBdr>
        <w:spacing w:line="360" w:lineRule="auto"/>
        <w:ind w:firstLine="422" w:firstLineChars="200"/>
        <w:rPr>
          <w:b/>
          <w:szCs w:val="21"/>
        </w:rPr>
      </w:pPr>
      <w:r>
        <w:rPr>
          <w:rFonts w:hint="eastAsia"/>
          <w:b/>
          <w:szCs w:val="21"/>
        </w:rPr>
        <w:t>条款号：27.1             修改类型：修改</w:t>
      </w:r>
    </w:p>
    <w:p>
      <w:pPr>
        <w:spacing w:line="360" w:lineRule="auto"/>
        <w:ind w:firstLine="422" w:firstLineChars="200"/>
        <w:rPr>
          <w:b/>
          <w:szCs w:val="21"/>
        </w:rPr>
      </w:pPr>
      <w:r>
        <w:rPr>
          <w:rFonts w:hint="eastAsia"/>
          <w:b/>
          <w:szCs w:val="21"/>
        </w:rPr>
        <w:t>原文：</w:t>
      </w:r>
      <w:r>
        <w:rPr>
          <w:rFonts w:ascii="宋体" w:hAnsi="宋体"/>
          <w:szCs w:val="21"/>
        </w:rPr>
        <w:t>27.1</w:t>
      </w:r>
      <w:r>
        <w:rPr>
          <w:rFonts w:hint="eastAsia" w:ascii="宋体" w:hAnsi="宋体"/>
          <w:szCs w:val="21"/>
        </w:rPr>
        <w:t>招标人将在交易平台、广东省招标投标监管网和中国招标投标公共服务平台公示中标候选人，公示期为三天。</w:t>
      </w:r>
    </w:p>
    <w:p>
      <w:pPr>
        <w:spacing w:line="360" w:lineRule="auto"/>
        <w:ind w:firstLine="422" w:firstLineChars="200"/>
        <w:rPr>
          <w:b/>
          <w:szCs w:val="21"/>
        </w:rPr>
      </w:pPr>
      <w:r>
        <w:rPr>
          <w:rFonts w:hint="eastAsia"/>
          <w:b/>
          <w:szCs w:val="21"/>
        </w:rPr>
        <w:t>现文：</w:t>
      </w:r>
      <w:r>
        <w:rPr>
          <w:rFonts w:ascii="宋体" w:hAnsi="宋体"/>
          <w:szCs w:val="21"/>
        </w:rPr>
        <w:t>27.1</w:t>
      </w:r>
      <w:r>
        <w:rPr>
          <w:rFonts w:hint="eastAsia" w:ascii="宋体" w:hAnsi="宋体"/>
          <w:szCs w:val="21"/>
        </w:rPr>
        <w:t>招标人将在</w:t>
      </w:r>
      <w:r>
        <w:rPr>
          <w:rFonts w:hint="eastAsia"/>
          <w:szCs w:val="21"/>
          <w:u w:val="single"/>
        </w:rPr>
        <w:t>广州公共资源交易中心</w:t>
      </w:r>
      <w:r>
        <w:rPr>
          <w:rFonts w:hint="eastAsia" w:ascii="宋体" w:hAnsi="宋体"/>
          <w:szCs w:val="21"/>
        </w:rPr>
        <w:t>交易平台、广东省招标投标监管网和中国招标投标公共服务平台公示中标候选人，公示期为三天。</w:t>
      </w:r>
      <w:r>
        <w:rPr>
          <w:rFonts w:hint="eastAsia" w:ascii="宋体" w:hAnsi="宋体" w:cs="宋体"/>
          <w:bCs/>
          <w:szCs w:val="21"/>
          <w:u w:val="single"/>
        </w:rPr>
        <w:t>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法重新招标。</w:t>
      </w:r>
    </w:p>
    <w:p>
      <w:pPr>
        <w:pBdr>
          <w:top w:val="single" w:color="auto" w:sz="4" w:space="0"/>
        </w:pBdr>
        <w:spacing w:line="360" w:lineRule="auto"/>
        <w:ind w:firstLine="422" w:firstLineChars="200"/>
        <w:rPr>
          <w:b/>
          <w:szCs w:val="21"/>
        </w:rPr>
      </w:pPr>
      <w:r>
        <w:rPr>
          <w:rFonts w:hint="eastAsia"/>
          <w:b/>
          <w:szCs w:val="21"/>
        </w:rPr>
        <w:t>条款号：27.4             修改类型：修改</w:t>
      </w:r>
    </w:p>
    <w:p>
      <w:pPr>
        <w:spacing w:line="360" w:lineRule="auto"/>
        <w:ind w:firstLine="422" w:firstLineChars="200"/>
        <w:rPr>
          <w:szCs w:val="21"/>
        </w:rPr>
      </w:pPr>
      <w:r>
        <w:rPr>
          <w:rFonts w:hint="eastAsia"/>
          <w:b/>
          <w:szCs w:val="21"/>
        </w:rPr>
        <w:t>原文：</w:t>
      </w:r>
      <w:r>
        <w:rPr>
          <w:rFonts w:hint="eastAsia"/>
          <w:szCs w:val="21"/>
        </w:rPr>
        <w:t>27.4在产生中标候选人后，招标人将中标候选人的投标文件商务部分文件的所有内容（包括报价清单、人员、业绩、奖项等资料）在</w:t>
      </w:r>
      <w:r>
        <w:rPr>
          <w:rFonts w:hint="eastAsia"/>
          <w:szCs w:val="21"/>
          <w:u w:val="single"/>
        </w:rPr>
        <w:t>　　/　　</w:t>
      </w:r>
      <w:r>
        <w:rPr>
          <w:rFonts w:hint="eastAsia"/>
          <w:szCs w:val="21"/>
        </w:rPr>
        <w:t>交易平台和广东省招标投标监管网公开。</w:t>
      </w:r>
    </w:p>
    <w:p>
      <w:pPr>
        <w:spacing w:line="360" w:lineRule="auto"/>
        <w:ind w:firstLine="422" w:firstLineChars="200"/>
        <w:rPr>
          <w:b/>
          <w:szCs w:val="21"/>
        </w:rPr>
      </w:pPr>
      <w:r>
        <w:rPr>
          <w:rFonts w:hint="eastAsia"/>
          <w:b/>
          <w:szCs w:val="21"/>
        </w:rPr>
        <w:t>现文：</w:t>
      </w:r>
      <w:r>
        <w:rPr>
          <w:rFonts w:hint="eastAsia"/>
          <w:szCs w:val="21"/>
        </w:rPr>
        <w:t>27.4在产生中标候选人后，招标人将中标候选人的投标文件商务部分</w:t>
      </w:r>
      <w:r>
        <w:rPr>
          <w:rFonts w:hint="eastAsia"/>
          <w:szCs w:val="21"/>
          <w:u w:val="single"/>
        </w:rPr>
        <w:t>的人员、业绩、奖项等资料</w:t>
      </w:r>
      <w:r>
        <w:rPr>
          <w:rFonts w:hint="eastAsia"/>
          <w:szCs w:val="21"/>
        </w:rPr>
        <w:t>在</w:t>
      </w:r>
      <w:r>
        <w:rPr>
          <w:rFonts w:hint="eastAsia"/>
          <w:szCs w:val="21"/>
          <w:u w:val="single"/>
        </w:rPr>
        <w:t>广州公共资源交易中心</w:t>
      </w:r>
      <w:r>
        <w:rPr>
          <w:rFonts w:hint="eastAsia"/>
          <w:szCs w:val="21"/>
        </w:rPr>
        <w:t>交易平台和广东省招标投标监管网公开。</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szCs w:val="21"/>
        </w:rPr>
      </w:pPr>
      <w:r>
        <w:rPr>
          <w:rFonts w:hint="eastAsia" w:ascii="宋体" w:hAnsi="宋体" w:cs="宋体"/>
          <w:b/>
          <w:szCs w:val="21"/>
        </w:rPr>
        <w:t>原文：29.2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211" w:firstLineChars="100"/>
        <w:rPr>
          <w:b/>
          <w:szCs w:val="21"/>
        </w:rPr>
      </w:pPr>
      <w:r>
        <w:rPr>
          <w:rFonts w:hint="eastAsia" w:ascii="宋体" w:hAnsi="宋体" w:cs="宋体"/>
          <w:b/>
          <w:szCs w:val="21"/>
        </w:rPr>
        <w:t>现文：29.2</w:t>
      </w:r>
      <w:r>
        <w:rPr>
          <w:rFonts w:hint="eastAsia" w:ascii="宋体" w:hAnsi="宋体" w:cs="宋体"/>
          <w:szCs w:val="21"/>
        </w:rPr>
        <w:t>中标通知书发出之日起15日</w:t>
      </w:r>
      <w:r>
        <w:rPr>
          <w:rFonts w:hint="eastAsia" w:ascii="宋体" w:hAnsi="宋体" w:cs="宋体"/>
          <w:b/>
          <w:bCs/>
          <w:szCs w:val="21"/>
          <w:u w:val="single"/>
        </w:rPr>
        <w:t>内</w:t>
      </w:r>
      <w:r>
        <w:rPr>
          <w:rFonts w:hint="eastAsia" w:ascii="宋体" w:hAnsi="宋体" w:cs="宋体"/>
          <w:szCs w:val="21"/>
        </w:rPr>
        <w:t>，中标人未按上款的规定提交履约担保，招标人</w:t>
      </w:r>
      <w:r>
        <w:rPr>
          <w:rFonts w:hint="eastAsia" w:ascii="宋体" w:hAnsi="宋体" w:cs="宋体"/>
          <w:szCs w:val="21"/>
          <w:u w:val="single"/>
        </w:rPr>
        <w:t>有权</w:t>
      </w:r>
      <w:r>
        <w:rPr>
          <w:rFonts w:hint="eastAsia" w:ascii="宋体" w:hAnsi="宋体" w:cs="宋体"/>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p>
    <w:p>
      <w:pPr>
        <w:pBdr>
          <w:top w:val="single" w:color="auto" w:sz="4" w:space="0"/>
        </w:pBd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color w:val="auto"/>
        </w:rPr>
      </w:pPr>
      <w:r>
        <w:rPr>
          <w:color w:val="auto"/>
        </w:rPr>
        <w:br w:type="page"/>
      </w:r>
      <w:bookmarkStart w:id="6" w:name="_Toc2272548"/>
      <w:bookmarkStart w:id="7" w:name="_Toc16035"/>
      <w:r>
        <w:rPr>
          <w:rFonts w:hint="eastAsia"/>
          <w:color w:val="auto"/>
        </w:rPr>
        <w:t>三、投标须知通用条款</w:t>
      </w:r>
      <w:bookmarkEnd w:id="6"/>
      <w:bookmarkEnd w:id="7"/>
    </w:p>
    <w:p>
      <w:pPr>
        <w:pStyle w:val="9"/>
        <w:spacing w:before="156" w:after="156"/>
      </w:pPr>
      <w:bookmarkStart w:id="8" w:name="_Toc2272549"/>
      <w:bookmarkStart w:id="9" w:name="_Toc32267"/>
      <w:r>
        <w:rPr>
          <w:rFonts w:hint="eastAsia"/>
        </w:rPr>
        <w:t>（一）总则</w:t>
      </w:r>
      <w:bookmarkEnd w:id="8"/>
      <w:bookmarkEnd w:id="9"/>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9"/>
        <w:spacing w:before="156" w:after="156"/>
      </w:pPr>
      <w:bookmarkStart w:id="10" w:name="_Toc2272550"/>
      <w:bookmarkStart w:id="11" w:name="_Toc28794"/>
      <w:r>
        <w:rPr>
          <w:rFonts w:hint="eastAsia"/>
        </w:rPr>
        <w:t>（二）招标文件</w:t>
      </w:r>
      <w:bookmarkEnd w:id="10"/>
      <w:bookmarkEnd w:id="11"/>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hAnsi="宋体"/>
          <w:bCs/>
          <w:sz w:val="24"/>
        </w:rPr>
      </w:pPr>
      <w:r>
        <w:rPr>
          <w:rFonts w:hint="eastAsia" w:ascii="宋体" w:hAnsi="宋体"/>
          <w:bCs/>
          <w:sz w:val="24"/>
        </w:rPr>
        <w:t>7.1本招标文件包括下列文件，以及所有按本须知第8条发出的招标答疑会会议纪要和按本须知第9条发出的澄清或修改：</w:t>
      </w:r>
    </w:p>
    <w:p>
      <w:pPr>
        <w:spacing w:line="360" w:lineRule="auto"/>
        <w:ind w:firstLine="480" w:firstLineChars="200"/>
        <w:rPr>
          <w:rFonts w:ascii="宋体" w:hAnsi="宋体"/>
          <w:bCs/>
          <w:sz w:val="24"/>
        </w:rPr>
      </w:pPr>
      <w:r>
        <w:rPr>
          <w:rFonts w:hint="eastAsia" w:ascii="宋体" w:hAnsi="宋体"/>
          <w:bCs/>
          <w:sz w:val="24"/>
        </w:rPr>
        <w:t>第一章  投标须知</w:t>
      </w:r>
    </w:p>
    <w:p>
      <w:pPr>
        <w:spacing w:line="360" w:lineRule="auto"/>
        <w:ind w:firstLine="480" w:firstLineChars="200"/>
        <w:rPr>
          <w:rFonts w:ascii="宋体" w:hAnsi="宋体"/>
          <w:bCs/>
          <w:sz w:val="24"/>
        </w:rPr>
      </w:pPr>
      <w:r>
        <w:rPr>
          <w:rFonts w:hint="eastAsia" w:ascii="宋体" w:hAnsi="宋体"/>
          <w:bCs/>
          <w:sz w:val="24"/>
        </w:rPr>
        <w:t>第二章  开标、评标及定标办法</w:t>
      </w:r>
    </w:p>
    <w:p>
      <w:pPr>
        <w:spacing w:line="360" w:lineRule="auto"/>
        <w:ind w:firstLine="480" w:firstLineChars="200"/>
        <w:rPr>
          <w:rFonts w:ascii="宋体" w:hAnsi="宋体"/>
          <w:bCs/>
          <w:sz w:val="24"/>
        </w:rPr>
      </w:pPr>
      <w:r>
        <w:rPr>
          <w:rFonts w:hint="eastAsia" w:ascii="宋体" w:hAnsi="宋体"/>
          <w:bCs/>
          <w:sz w:val="24"/>
        </w:rPr>
        <w:t>第三章  合同条款</w:t>
      </w:r>
    </w:p>
    <w:p>
      <w:pPr>
        <w:spacing w:line="360" w:lineRule="auto"/>
        <w:ind w:firstLine="480" w:firstLineChars="200"/>
        <w:rPr>
          <w:rFonts w:ascii="宋体" w:hAnsi="宋体"/>
          <w:bCs/>
          <w:sz w:val="24"/>
        </w:rPr>
      </w:pPr>
      <w:r>
        <w:rPr>
          <w:rFonts w:hint="eastAsia" w:ascii="宋体" w:hAnsi="宋体"/>
          <w:bCs/>
          <w:sz w:val="24"/>
        </w:rPr>
        <w:t>第四章  投标文件格式</w:t>
      </w:r>
    </w:p>
    <w:p>
      <w:pPr>
        <w:spacing w:line="360" w:lineRule="auto"/>
        <w:ind w:firstLine="480" w:firstLineChars="200"/>
        <w:rPr>
          <w:rFonts w:ascii="宋体" w:hAnsi="宋体"/>
          <w:bCs/>
          <w:sz w:val="24"/>
        </w:rPr>
      </w:pPr>
      <w:r>
        <w:rPr>
          <w:rFonts w:hint="eastAsia" w:ascii="宋体" w:hAnsi="宋体"/>
          <w:bCs/>
          <w:sz w:val="24"/>
        </w:rPr>
        <w:t>第五章  技术条件（工程建设标准）（另册）</w:t>
      </w:r>
    </w:p>
    <w:p>
      <w:pPr>
        <w:spacing w:line="360" w:lineRule="auto"/>
        <w:ind w:firstLine="480" w:firstLineChars="200"/>
        <w:rPr>
          <w:rFonts w:ascii="宋体" w:hAnsi="宋体"/>
          <w:bCs/>
          <w:sz w:val="24"/>
        </w:rPr>
      </w:pPr>
      <w:r>
        <w:rPr>
          <w:rFonts w:hint="eastAsia" w:ascii="宋体" w:hAnsi="宋体"/>
          <w:bCs/>
          <w:sz w:val="24"/>
        </w:rPr>
        <w:t>第六章  图纸及勘察资料（另册）</w:t>
      </w:r>
    </w:p>
    <w:p>
      <w:pPr>
        <w:spacing w:line="360" w:lineRule="auto"/>
        <w:ind w:firstLine="480" w:firstLineChars="200"/>
        <w:rPr>
          <w:rFonts w:ascii="宋体" w:hAnsi="宋体"/>
          <w:bCs/>
          <w:sz w:val="24"/>
        </w:rPr>
      </w:pPr>
      <w:r>
        <w:rPr>
          <w:rFonts w:hint="eastAsia" w:ascii="宋体" w:hAnsi="宋体"/>
          <w:bCs/>
          <w:sz w:val="24"/>
        </w:rPr>
        <w:t>第七章  招标工程量清单（另册）</w:t>
      </w:r>
    </w:p>
    <w:p>
      <w:pPr>
        <w:spacing w:line="360" w:lineRule="auto"/>
        <w:ind w:firstLine="480" w:firstLineChars="200"/>
        <w:rPr>
          <w:rFonts w:ascii="宋体" w:hAnsi="宋体"/>
          <w:bCs/>
          <w:sz w:val="24"/>
        </w:rPr>
      </w:pPr>
      <w:r>
        <w:rPr>
          <w:rFonts w:hint="eastAsia" w:ascii="宋体" w:hAnsi="宋体"/>
          <w:bCs/>
          <w:sz w:val="24"/>
        </w:rPr>
        <w:t>第八章  最高投标限价</w:t>
      </w:r>
    </w:p>
    <w:p>
      <w:pPr>
        <w:pStyle w:val="5"/>
        <w:spacing w:after="0" w:line="360" w:lineRule="auto"/>
        <w:ind w:left="-2" w:firstLine="480" w:firstLineChars="200"/>
        <w:rPr>
          <w:rFonts w:ascii="宋体"/>
          <w:sz w:val="24"/>
        </w:rPr>
      </w:pPr>
      <w:r>
        <w:rPr>
          <w:rFonts w:hint="eastAsia" w:ascii="宋体" w:hAnsi="宋体"/>
          <w:bCs/>
          <w:sz w:val="24"/>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5"/>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w:t>
      </w:r>
    </w:p>
    <w:p>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5"/>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5"/>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发布，视作已发放给所有投标人，以</w:t>
      </w:r>
      <w:r>
        <w:rPr>
          <w:rFonts w:hint="eastAsia" w:ascii="宋体" w:hAnsi="宋体"/>
          <w:sz w:val="24"/>
          <w:szCs w:val="24"/>
        </w:rPr>
        <w:t>交易平台</w:t>
      </w:r>
      <w:r>
        <w:rPr>
          <w:rFonts w:hint="eastAsia" w:ascii="宋体"/>
          <w:sz w:val="24"/>
        </w:rPr>
        <w:t>上网发布时间作为送达时间。</w:t>
      </w:r>
    </w:p>
    <w:p>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5"/>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pPr>
      <w:bookmarkStart w:id="12" w:name="_Toc19370"/>
      <w:bookmarkStart w:id="13" w:name="_Toc2272551"/>
      <w:r>
        <w:rPr>
          <w:rFonts w:hint="eastAsia"/>
        </w:rPr>
        <w:t>（三）投标文件的编制</w:t>
      </w:r>
      <w:bookmarkEnd w:id="12"/>
      <w:bookmarkEnd w:id="13"/>
    </w:p>
    <w:p>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5"/>
        <w:spacing w:after="0" w:line="360" w:lineRule="auto"/>
        <w:ind w:firstLine="480" w:firstLineChars="200"/>
        <w:rPr>
          <w:rFonts w:ascii="宋体"/>
          <w:b/>
          <w:sz w:val="24"/>
          <w:szCs w:val="24"/>
        </w:rPr>
      </w:pPr>
      <w:r>
        <w:rPr>
          <w:rFonts w:ascii="宋体" w:hAnsi="宋体"/>
          <w:sz w:val="24"/>
          <w:szCs w:val="24"/>
        </w:rPr>
        <w:t xml:space="preserve">11.1 </w:t>
      </w:r>
      <w:r>
        <w:rPr>
          <w:rFonts w:hint="eastAsia" w:ascii="宋体" w:hAnsi="宋体"/>
          <w:sz w:val="24"/>
          <w:szCs w:val="24"/>
        </w:rPr>
        <w:t>投标文件由技术部分（含资格审查文件）和经济部分二部分投标文件组成</w:t>
      </w:r>
      <w:r>
        <w:rPr>
          <w:rFonts w:hint="eastAsia" w:ascii="宋体" w:hAnsi="宋体"/>
          <w:b/>
          <w:sz w:val="24"/>
          <w:szCs w:val="24"/>
        </w:rPr>
        <w:t>。</w:t>
      </w:r>
    </w:p>
    <w:p>
      <w:pPr>
        <w:spacing w:line="360" w:lineRule="auto"/>
        <w:ind w:firstLine="480" w:firstLineChars="200"/>
        <w:rPr>
          <w:rFonts w:ascii="宋体" w:hAnsi="宋体" w:cs="宋体"/>
          <w:sz w:val="24"/>
          <w:szCs w:val="24"/>
        </w:rPr>
      </w:pPr>
      <w:r>
        <w:rPr>
          <w:rFonts w:ascii="宋体" w:hAnsi="宋体"/>
          <w:bCs/>
          <w:sz w:val="24"/>
          <w:szCs w:val="24"/>
        </w:rPr>
        <w:t>11.2</w:t>
      </w:r>
      <w:r>
        <w:rPr>
          <w:rFonts w:hint="eastAsia" w:ascii="宋体" w:hAnsi="宋体" w:cs="宋体"/>
          <w:sz w:val="24"/>
          <w:szCs w:val="24"/>
        </w:rPr>
        <w:t>11.2投标文件技术标部分主要包括下列内容: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11.2.1 技术投标文件(按招标文件的要求填写)；</w:t>
      </w:r>
    </w:p>
    <w:p>
      <w:pPr>
        <w:spacing w:line="360" w:lineRule="auto"/>
        <w:ind w:firstLine="480" w:firstLineChars="200"/>
        <w:rPr>
          <w:rFonts w:ascii="宋体" w:hAnsi="宋体" w:cs="宋体"/>
          <w:sz w:val="24"/>
          <w:szCs w:val="24"/>
        </w:rPr>
      </w:pPr>
      <w:r>
        <w:rPr>
          <w:rFonts w:hint="eastAsia" w:ascii="宋体" w:hAnsi="宋体" w:cs="宋体"/>
          <w:sz w:val="24"/>
          <w:szCs w:val="24"/>
        </w:rPr>
        <w:t>11.2.2 资格审查文件：</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（1）投标人声明； </w:t>
      </w:r>
    </w:p>
    <w:p>
      <w:pPr>
        <w:spacing w:line="360" w:lineRule="auto"/>
        <w:ind w:firstLine="480" w:firstLineChars="200"/>
        <w:rPr>
          <w:rFonts w:ascii="宋体" w:hAnsi="宋体" w:cs="宋体"/>
          <w:sz w:val="24"/>
          <w:szCs w:val="24"/>
        </w:rPr>
      </w:pPr>
      <w:r>
        <w:rPr>
          <w:rFonts w:hint="eastAsia" w:ascii="宋体" w:hAnsi="宋体" w:cs="宋体"/>
          <w:sz w:val="24"/>
          <w:szCs w:val="24"/>
        </w:rPr>
        <w:t>（2）法定代表人证明书、法定代表人签字或盖章的本投标文件授权委托证明书；</w:t>
      </w:r>
    </w:p>
    <w:p>
      <w:pPr>
        <w:spacing w:line="360" w:lineRule="auto"/>
        <w:ind w:firstLine="480" w:firstLineChars="200"/>
        <w:rPr>
          <w:rFonts w:ascii="宋体" w:hAnsi="宋体" w:cs="宋体"/>
          <w:sz w:val="24"/>
          <w:szCs w:val="24"/>
        </w:rPr>
      </w:pPr>
      <w:r>
        <w:rPr>
          <w:rFonts w:hint="eastAsia" w:ascii="宋体" w:hAnsi="宋体" w:cs="宋体"/>
          <w:sz w:val="24"/>
          <w:szCs w:val="24"/>
        </w:rPr>
        <w:t>（3）企业营业执照（取自库内上传件）；</w:t>
      </w:r>
    </w:p>
    <w:p>
      <w:pPr>
        <w:spacing w:line="360" w:lineRule="auto"/>
        <w:ind w:firstLine="480" w:firstLineChars="200"/>
        <w:rPr>
          <w:rFonts w:ascii="宋体" w:hAnsi="宋体" w:cs="宋体"/>
          <w:sz w:val="24"/>
          <w:szCs w:val="24"/>
        </w:rPr>
      </w:pPr>
      <w:r>
        <w:rPr>
          <w:rFonts w:hint="eastAsia" w:ascii="宋体" w:hAnsi="宋体" w:cs="宋体"/>
          <w:sz w:val="24"/>
          <w:szCs w:val="24"/>
        </w:rPr>
        <w:t>（4）企业资质证书（取自库内上传件）；</w:t>
      </w:r>
    </w:p>
    <w:p>
      <w:pPr>
        <w:spacing w:line="360" w:lineRule="auto"/>
        <w:ind w:firstLine="480" w:firstLineChars="200"/>
        <w:rPr>
          <w:rFonts w:ascii="宋体" w:hAnsi="宋体" w:cs="宋体"/>
          <w:sz w:val="24"/>
          <w:szCs w:val="24"/>
        </w:rPr>
      </w:pPr>
      <w:r>
        <w:rPr>
          <w:rFonts w:hint="eastAsia" w:ascii="宋体" w:hAnsi="宋体" w:cs="宋体"/>
          <w:sz w:val="24"/>
          <w:szCs w:val="24"/>
        </w:rPr>
        <w:t>（5）建筑施工企业安全生产许可证（取自库内上传件）；</w:t>
      </w:r>
    </w:p>
    <w:p>
      <w:pPr>
        <w:spacing w:line="360" w:lineRule="auto"/>
        <w:ind w:firstLine="480" w:firstLineChars="200"/>
        <w:rPr>
          <w:rFonts w:ascii="宋体" w:hAnsi="宋体" w:cs="宋体"/>
          <w:sz w:val="24"/>
          <w:szCs w:val="24"/>
        </w:rPr>
      </w:pPr>
      <w:r>
        <w:rPr>
          <w:rFonts w:hint="eastAsia" w:ascii="宋体" w:hAnsi="宋体" w:cs="宋体"/>
          <w:sz w:val="24"/>
          <w:szCs w:val="24"/>
        </w:rPr>
        <w:t>（6）项目负责人（按网上投标登记时选择拟投标的项目负责人）</w:t>
      </w:r>
    </w:p>
    <w:p>
      <w:pPr>
        <w:spacing w:line="360" w:lineRule="auto"/>
        <w:ind w:firstLine="480" w:firstLineChars="200"/>
        <w:rPr>
          <w:rFonts w:ascii="宋体" w:hAnsi="宋体" w:cs="宋体"/>
          <w:sz w:val="24"/>
          <w:szCs w:val="24"/>
        </w:rPr>
      </w:pPr>
      <w:r>
        <w:rPr>
          <w:rFonts w:hint="eastAsia" w:ascii="宋体" w:hAnsi="宋体" w:cs="宋体"/>
          <w:sz w:val="24"/>
          <w:szCs w:val="24"/>
        </w:rPr>
        <w:t>（7）专职安全员（按网上投标登记时选择拟投标的专职安全员）</w:t>
      </w:r>
    </w:p>
    <w:p>
      <w:pPr>
        <w:spacing w:line="360" w:lineRule="auto"/>
        <w:ind w:firstLine="480" w:firstLineChars="200"/>
        <w:rPr>
          <w:rFonts w:ascii="宋体" w:hAnsi="宋体" w:cs="宋体"/>
          <w:sz w:val="24"/>
          <w:szCs w:val="24"/>
        </w:rPr>
      </w:pPr>
      <w:r>
        <w:rPr>
          <w:rFonts w:hint="eastAsia" w:ascii="宋体" w:hAnsi="宋体" w:cs="宋体"/>
          <w:sz w:val="24"/>
          <w:szCs w:val="24"/>
        </w:rPr>
        <w:t>（8）拟委托技术负责人的相关证书、资料（具体要求由招标人明确）</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（9）拟委派项目负责人的建造师或临时建造师证书或二级注册建造师电子注册证书或小型项目负责人相关证明（取自库内上传件）； </w:t>
      </w:r>
    </w:p>
    <w:p>
      <w:pPr>
        <w:spacing w:line="360" w:lineRule="auto"/>
        <w:ind w:firstLine="480" w:firstLineChars="200"/>
        <w:rPr>
          <w:rFonts w:ascii="宋体" w:hAnsi="宋体" w:cs="宋体"/>
          <w:sz w:val="24"/>
          <w:szCs w:val="24"/>
        </w:rPr>
      </w:pPr>
      <w:r>
        <w:rPr>
          <w:rFonts w:hint="eastAsia" w:ascii="宋体" w:hAnsi="宋体" w:cs="宋体"/>
          <w:sz w:val="24"/>
          <w:szCs w:val="24"/>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80" w:firstLineChars="200"/>
        <w:rPr>
          <w:rFonts w:ascii="宋体" w:hAnsi="宋体" w:cs="宋体"/>
          <w:sz w:val="24"/>
          <w:szCs w:val="24"/>
        </w:rPr>
      </w:pPr>
      <w:r>
        <w:rPr>
          <w:rFonts w:hint="eastAsia" w:ascii="宋体" w:hAnsi="宋体" w:cs="宋体"/>
          <w:sz w:val="24"/>
          <w:szCs w:val="24"/>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80" w:firstLineChars="200"/>
        <w:rPr>
          <w:rFonts w:ascii="宋体" w:hAnsi="宋体" w:cs="宋体"/>
          <w:sz w:val="24"/>
          <w:szCs w:val="24"/>
        </w:rPr>
      </w:pPr>
      <w:r>
        <w:rPr>
          <w:rFonts w:hint="eastAsia" w:ascii="宋体" w:hAnsi="宋体" w:cs="宋体"/>
          <w:sz w:val="24"/>
          <w:szCs w:val="24"/>
        </w:rPr>
        <w:t>（12）用于资格审查的业绩（设置业绩要求时选择此项，投标人须提供类似工程业绩的项目名称及项目编号，具体格式由招标人自定）；</w:t>
      </w:r>
    </w:p>
    <w:p>
      <w:pPr>
        <w:spacing w:line="360" w:lineRule="auto"/>
        <w:ind w:firstLine="480" w:firstLineChars="200"/>
        <w:rPr>
          <w:rFonts w:ascii="宋体" w:hAnsi="宋体" w:cs="宋体"/>
          <w:sz w:val="24"/>
          <w:szCs w:val="24"/>
        </w:rPr>
      </w:pPr>
      <w:r>
        <w:rPr>
          <w:rFonts w:hint="eastAsia" w:ascii="宋体" w:hAnsi="宋体" w:cs="宋体"/>
          <w:sz w:val="24"/>
          <w:szCs w:val="24"/>
        </w:rPr>
        <w:t>（13）资格审查前，投标人须在广州市住房和城乡建设局建立企业诚信档案，拟担任本工程项目负责人须是本企业诚信档案中的在册人员。</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80" w:firstLineChars="200"/>
        <w:rPr>
          <w:rFonts w:ascii="宋体" w:hAnsi="宋体" w:cs="宋体"/>
          <w:sz w:val="24"/>
          <w:szCs w:val="24"/>
        </w:rPr>
      </w:pPr>
      <w:r>
        <w:rPr>
          <w:rFonts w:hint="eastAsia" w:ascii="宋体" w:hAnsi="宋体" w:cs="宋体"/>
          <w:sz w:val="24"/>
          <w:szCs w:val="24"/>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s="宋体"/>
          <w:sz w:val="24"/>
          <w:szCs w:val="24"/>
        </w:rPr>
      </w:pPr>
      <w:r>
        <w:rPr>
          <w:rFonts w:hint="eastAsia" w:ascii="宋体" w:hAnsi="宋体" w:cs="宋体"/>
          <w:sz w:val="24"/>
          <w:szCs w:val="24"/>
        </w:rPr>
        <w:t>11.2.3项目管理机构配备。</w:t>
      </w:r>
    </w:p>
    <w:p>
      <w:pPr>
        <w:spacing w:line="360" w:lineRule="auto"/>
        <w:ind w:firstLine="480" w:firstLineChars="200"/>
        <w:rPr>
          <w:rFonts w:ascii="宋体" w:hAnsi="宋体" w:cs="宋体"/>
          <w:sz w:val="24"/>
          <w:szCs w:val="24"/>
        </w:rPr>
      </w:pPr>
      <w:r>
        <w:rPr>
          <w:rFonts w:hint="eastAsia" w:ascii="宋体" w:hAnsi="宋体" w:cs="宋体"/>
          <w:sz w:val="24"/>
          <w:szCs w:val="24"/>
        </w:rPr>
        <w:t>（1）投标人应列出该项目工程的施工组织机构构成和画出机构框架图及其负责人；</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s="宋体"/>
          <w:sz w:val="24"/>
          <w:szCs w:val="24"/>
        </w:rPr>
      </w:pPr>
      <w:r>
        <w:rPr>
          <w:rFonts w:hint="eastAsia" w:ascii="宋体" w:hAnsi="宋体" w:cs="宋体"/>
          <w:sz w:val="24"/>
          <w:szCs w:val="24"/>
        </w:rPr>
        <w:t>（3）其他辅助说明资料。</w:t>
      </w:r>
    </w:p>
    <w:p>
      <w:pPr>
        <w:spacing w:line="360" w:lineRule="auto"/>
        <w:ind w:firstLine="480" w:firstLineChars="200"/>
        <w:rPr>
          <w:rFonts w:ascii="宋体" w:hAnsi="宋体" w:cs="宋体"/>
          <w:sz w:val="24"/>
          <w:szCs w:val="24"/>
        </w:rPr>
      </w:pPr>
      <w:r>
        <w:rPr>
          <w:rFonts w:hint="eastAsia" w:ascii="宋体" w:hAnsi="宋体" w:cs="宋体"/>
          <w:sz w:val="24"/>
          <w:szCs w:val="24"/>
        </w:rPr>
        <w:t>11.2.4投标人在广州市可使用适合本工程的机械设备（附：机械设备为自有或租赁的说明；及承诺机械设备如属于租赁的，其租赁是不属于重复租赁）。</w:t>
      </w:r>
    </w:p>
    <w:p>
      <w:pPr>
        <w:spacing w:line="360" w:lineRule="auto"/>
        <w:ind w:firstLine="480" w:firstLineChars="200"/>
        <w:rPr>
          <w:rFonts w:ascii="宋体" w:hAnsi="宋体" w:cs="宋体"/>
          <w:sz w:val="24"/>
          <w:szCs w:val="24"/>
        </w:rPr>
      </w:pPr>
      <w:r>
        <w:rPr>
          <w:rFonts w:hint="eastAsia" w:ascii="宋体" w:hAnsi="宋体" w:cs="宋体"/>
          <w:sz w:val="24"/>
          <w:szCs w:val="24"/>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ascii="宋体"/>
          <w:sz w:val="24"/>
          <w:szCs w:val="24"/>
        </w:rPr>
      </w:pPr>
      <w:r>
        <w:rPr>
          <w:rFonts w:hint="eastAsia" w:ascii="宋体" w:hAnsi="宋体" w:cs="宋体"/>
          <w:sz w:val="24"/>
          <w:szCs w:val="24"/>
        </w:rPr>
        <w:t>11.2.6按照招标文件要求填写的《参与编制技术标投标文件人员名单》。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             。</w:t>
      </w:r>
    </w:p>
    <w:p>
      <w:pPr>
        <w:pStyle w:val="5"/>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p>
    <w:p>
      <w:pPr>
        <w:pStyle w:val="5"/>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5"/>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widowControl/>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16.1投标人应按投标须知前附表第14项所述金额和时间递交投标保证金。</w:t>
      </w:r>
      <w:r>
        <w:rPr>
          <w:rFonts w:hint="eastAsia" w:ascii="宋体" w:hAnsi="宋体" w:cs="宋体"/>
          <w:b/>
          <w:bCs/>
          <w:kern w:val="0"/>
          <w:sz w:val="24"/>
          <w:szCs w:val="24"/>
        </w:rPr>
        <w:t>招标人应当允许投标人自主选择现金、银行保函、保证保险、专业工程担保公司担保等方式缴纳投标保证金。</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16.1.1 采用现金或者支票形式提交的，投标保证金须从投标人的银行基本账户转出。</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16.1.3 采用电子形式的保函、担保或保证保险提交投标保证金的，应在招标文件中明确电子递交途径。</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16.3投标保证金应依据法律法规的相关规定退还。</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如有下列情况之一的，招标人</w:t>
      </w:r>
      <w:r>
        <w:rPr>
          <w:rFonts w:hint="eastAsia" w:ascii="宋体" w:hAnsi="宋体" w:cs="宋体"/>
          <w:b/>
          <w:bCs/>
          <w:kern w:val="0"/>
          <w:sz w:val="24"/>
          <w:szCs w:val="24"/>
        </w:rPr>
        <w:t>可以</w:t>
      </w:r>
      <w:r>
        <w:rPr>
          <w:rFonts w:hint="eastAsia" w:ascii="宋体" w:hAnsi="宋体" w:cs="宋体"/>
          <w:b/>
          <w:kern w:val="0"/>
          <w:sz w:val="24"/>
          <w:szCs w:val="24"/>
        </w:rPr>
        <w:t>不予退还投标保证金</w:t>
      </w:r>
      <w:r>
        <w:rPr>
          <w:rFonts w:hint="eastAsia" w:ascii="宋体" w:hAnsi="宋体" w:cs="宋体"/>
          <w:b/>
          <w:bCs/>
          <w:kern w:val="0"/>
          <w:sz w:val="24"/>
          <w:szCs w:val="24"/>
        </w:rPr>
        <w:t>（是否退还投标保证金由招标人在招标文件中规定）</w:t>
      </w:r>
      <w:r>
        <w:rPr>
          <w:rFonts w:hint="eastAsia" w:ascii="宋体" w:hAnsi="宋体" w:cs="宋体"/>
          <w:b/>
          <w:kern w:val="0"/>
          <w:sz w:val="24"/>
          <w:szCs w:val="24"/>
        </w:rPr>
        <w:t>：</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.1因投标人原因造成投标文件未解密的；</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.2投标人在投标有效期内撤销投标文件；</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.3中标人未能在规定期限内按要求提交履约担保；</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.4中标人未能在规定期限内签署合同协议。</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16.5投标人如存在下列情况之一的，将被拒绝在一定时期内参与招标人后续工程投标（拒绝时限需在招标文件中明确）：</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16.5.1</w:t>
      </w:r>
      <w:r>
        <w:rPr>
          <w:rFonts w:hint="eastAsia" w:ascii="宋体" w:hAnsi="宋体" w:cs="宋体"/>
          <w:b/>
          <w:bCs/>
          <w:kern w:val="0"/>
          <w:sz w:val="24"/>
          <w:szCs w:val="24"/>
        </w:rPr>
        <w:t>投标人</w:t>
      </w:r>
      <w:r>
        <w:rPr>
          <w:rFonts w:hint="eastAsia" w:ascii="宋体" w:hAnsi="宋体" w:cs="宋体"/>
          <w:b/>
          <w:kern w:val="0"/>
          <w:sz w:val="24"/>
          <w:szCs w:val="24"/>
        </w:rPr>
        <w:t>存在16.4条款所列情形且投标人提交的保函、担保或保证保险无法兑付的；</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kern w:val="0"/>
          <w:sz w:val="24"/>
          <w:szCs w:val="24"/>
        </w:rPr>
        <w:t>16.5.2采用非电子形式提交投标保证金的</w:t>
      </w:r>
      <w:r>
        <w:rPr>
          <w:rFonts w:hint="eastAsia" w:ascii="宋体" w:hAnsi="宋体" w:cs="宋体"/>
          <w:b/>
          <w:bCs/>
          <w:kern w:val="0"/>
          <w:sz w:val="24"/>
          <w:szCs w:val="24"/>
        </w:rPr>
        <w:t>投标人</w:t>
      </w:r>
      <w:r>
        <w:rPr>
          <w:rFonts w:hint="eastAsia" w:ascii="宋体" w:hAnsi="宋体" w:cs="宋体"/>
          <w:b/>
          <w:kern w:val="0"/>
          <w:sz w:val="24"/>
          <w:szCs w:val="24"/>
        </w:rPr>
        <w:t>存在16.4条款所列情形，且未按招标人要求补交</w:t>
      </w:r>
      <w:r>
        <w:rPr>
          <w:rFonts w:hint="eastAsia" w:ascii="宋体" w:hAnsi="宋体" w:cs="宋体"/>
          <w:b/>
          <w:bCs/>
          <w:kern w:val="0"/>
          <w:sz w:val="24"/>
          <w:szCs w:val="24"/>
        </w:rPr>
        <w:t>银行保函、专业工程担保公司担保或保证保险原件的；</w:t>
      </w:r>
    </w:p>
    <w:p>
      <w:pPr>
        <w:spacing w:line="360" w:lineRule="auto"/>
        <w:ind w:firstLine="482" w:firstLineChars="200"/>
        <w:rPr>
          <w:rFonts w:ascii="宋体" w:hAnsi="Courier New"/>
          <w:sz w:val="24"/>
          <w:szCs w:val="24"/>
        </w:rPr>
      </w:pPr>
      <w:r>
        <w:rPr>
          <w:rFonts w:hint="eastAsia" w:ascii="宋体" w:hAnsi="宋体" w:cs="宋体"/>
          <w:b/>
          <w:bCs/>
          <w:kern w:val="0"/>
          <w:sz w:val="24"/>
          <w:szCs w:val="24"/>
        </w:rPr>
        <w:t>16.5.3按招标文件要求免于提供投标保证金</w:t>
      </w:r>
      <w:r>
        <w:rPr>
          <w:rFonts w:hint="eastAsia" w:ascii="宋体" w:hAnsi="宋体" w:cs="宋体"/>
          <w:b/>
          <w:kern w:val="0"/>
          <w:sz w:val="24"/>
          <w:szCs w:val="24"/>
        </w:rPr>
        <w:t>的</w:t>
      </w:r>
      <w:r>
        <w:rPr>
          <w:rFonts w:hint="eastAsia" w:ascii="宋体" w:hAnsi="宋体" w:cs="宋体"/>
          <w:b/>
          <w:bCs/>
          <w:kern w:val="0"/>
          <w:sz w:val="24"/>
          <w:szCs w:val="24"/>
        </w:rPr>
        <w:t>投标人</w:t>
      </w:r>
      <w:r>
        <w:rPr>
          <w:rFonts w:hint="eastAsia" w:ascii="宋体" w:hAnsi="宋体" w:cs="宋体"/>
          <w:b/>
          <w:kern w:val="0"/>
          <w:sz w:val="24"/>
          <w:szCs w:val="24"/>
        </w:rPr>
        <w:t>存在16.4条款所列情形，且未按招标人要求补交投标保证金的；</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bCs/>
          <w:kern w:val="0"/>
          <w:sz w:val="24"/>
          <w:szCs w:val="24"/>
        </w:rPr>
        <w:t>16.5.3按招标文件要求免于提供投标保证金</w:t>
      </w:r>
      <w:r>
        <w:rPr>
          <w:rFonts w:hint="eastAsia" w:ascii="宋体" w:hAnsi="宋体" w:cs="宋体"/>
          <w:b/>
          <w:kern w:val="0"/>
          <w:sz w:val="24"/>
          <w:szCs w:val="24"/>
        </w:rPr>
        <w:t>的</w:t>
      </w:r>
      <w:r>
        <w:rPr>
          <w:rFonts w:hint="eastAsia" w:ascii="宋体" w:hAnsi="宋体" w:cs="宋体"/>
          <w:b/>
          <w:bCs/>
          <w:kern w:val="0"/>
          <w:sz w:val="24"/>
          <w:szCs w:val="24"/>
        </w:rPr>
        <w:t>投标人</w:t>
      </w:r>
      <w:r>
        <w:rPr>
          <w:rFonts w:hint="eastAsia" w:ascii="宋体" w:hAnsi="宋体" w:cs="宋体"/>
          <w:b/>
          <w:kern w:val="0"/>
          <w:sz w:val="24"/>
          <w:szCs w:val="24"/>
        </w:rPr>
        <w:t>存在16.4条款所列情形的。</w:t>
      </w:r>
    </w:p>
    <w:p>
      <w:pPr>
        <w:spacing w:line="360" w:lineRule="auto"/>
        <w:ind w:firstLine="482" w:firstLineChars="200"/>
        <w:rPr>
          <w:rFonts w:ascii="宋体"/>
          <w:sz w:val="24"/>
        </w:rPr>
      </w:pPr>
      <w:r>
        <w:rPr>
          <w:rFonts w:hint="eastAsia" w:ascii="宋体" w:hAnsi="宋体" w:cs="宋体"/>
          <w:b/>
          <w:bCs/>
          <w:kern w:val="0"/>
          <w:sz w:val="24"/>
          <w:szCs w:val="24"/>
        </w:rPr>
        <w:t>注：16.5.3款由招标人二选一，需在招标文件中明确。</w:t>
      </w:r>
    </w:p>
    <w:p>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ascii="宋体" w:hAnsi="宋体"/>
          <w:bCs/>
          <w:sz w:val="24"/>
        </w:rPr>
        <w:t>投标人应采用单位数字证书，按招标文件要求在相应位置加盖电子印章。投标文件中需个人签字或盖章的，</w:t>
      </w:r>
      <w:r>
        <w:rPr>
          <w:rFonts w:hint="eastAsia" w:ascii="宋体" w:hAnsi="宋体"/>
          <w:b/>
          <w:sz w:val="24"/>
        </w:rPr>
        <w:t>应加盖个人电子印章或在线下完成后扫描上传。</w:t>
      </w:r>
      <w:r>
        <w:rPr>
          <w:rFonts w:hint="eastAsia" w:ascii="宋体" w:hAnsi="宋体"/>
          <w:bCs/>
          <w:sz w:val="24"/>
        </w:rPr>
        <w:t>按照交易平台关于全流程电子化项目的相关指南进行操作。详见：</w:t>
      </w:r>
      <w:r>
        <w:rPr>
          <w:rFonts w:hint="eastAsia" w:ascii="宋体" w:hAnsi="宋体"/>
          <w:sz w:val="24"/>
        </w:rPr>
        <w:t>。</w:t>
      </w:r>
    </w:p>
    <w:p>
      <w:pPr>
        <w:pStyle w:val="9"/>
        <w:spacing w:before="156" w:after="156"/>
      </w:pPr>
      <w:bookmarkStart w:id="14" w:name="_Toc5458"/>
      <w:bookmarkStart w:id="15" w:name="_Toc2272552"/>
      <w:r>
        <w:rPr>
          <w:rFonts w:hint="eastAsia"/>
        </w:rPr>
        <w:t>（四）投标文件的提交</w:t>
      </w:r>
      <w:bookmarkEnd w:id="14"/>
      <w:bookmarkEnd w:id="15"/>
    </w:p>
    <w:p>
      <w:pPr>
        <w:pStyle w:val="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pStyle w:val="9"/>
        <w:spacing w:before="156" w:after="156"/>
      </w:pPr>
      <w:bookmarkStart w:id="16" w:name="_Toc3744"/>
      <w:bookmarkStart w:id="17" w:name="_Toc2272553"/>
      <w:r>
        <w:rPr>
          <w:rFonts w:hint="eastAsia"/>
        </w:rPr>
        <w:t>（五）开标、评标、定标及合同</w:t>
      </w:r>
      <w:bookmarkEnd w:id="16"/>
      <w:bookmarkEnd w:id="17"/>
      <w:r>
        <w:rPr>
          <w:rFonts w:hint="eastAsia"/>
        </w:rPr>
        <w:t>签订</w:t>
      </w:r>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27.4在产生中标候选人后，招标人将中标候选人的投标文件商务部分文件的所有内容（包括报价清单、人员、业绩、奖项等资料）在</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非经招标人同意，中标人在投标过程中使用的银行名称及账号至完成竣工结算不得变更，否则招标人有权停止工程款项的拨付及至解除合同，由此造成的一切责任由中标人承担。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w:t>
      </w:r>
      <w:r>
        <w:rPr>
          <w:rFonts w:hint="eastAsia" w:ascii="宋体" w:hAnsi="宋体"/>
          <w:b/>
          <w:bCs/>
          <w:sz w:val="24"/>
        </w:rPr>
        <w:t>按规定开具</w:t>
      </w:r>
      <w:r>
        <w:rPr>
          <w:rFonts w:hint="eastAsia" w:ascii="宋体" w:hAnsi="宋体"/>
          <w:sz w:val="24"/>
        </w:rPr>
        <w:t>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2" w:firstLineChars="200"/>
        <w:rPr>
          <w:rFonts w:ascii="宋体"/>
          <w:b/>
          <w:bCs/>
          <w:sz w:val="24"/>
        </w:rPr>
      </w:pPr>
      <w:r>
        <w:rPr>
          <w:rFonts w:ascii="宋体" w:hAnsi="宋体"/>
          <w:b/>
          <w:bCs/>
          <w:sz w:val="24"/>
        </w:rPr>
        <w:t xml:space="preserve">29.1 </w:t>
      </w:r>
      <w:r>
        <w:rPr>
          <w:rFonts w:hint="eastAsia" w:ascii="宋体" w:hAnsi="宋体"/>
          <w:b/>
          <w:bCs/>
          <w:sz w:val="24"/>
        </w:rPr>
        <w:t>在收到中标通知书后的</w:t>
      </w:r>
      <w:r>
        <w:rPr>
          <w:rFonts w:ascii="宋体" w:hAnsi="宋体"/>
          <w:b/>
          <w:bCs/>
          <w:sz w:val="24"/>
        </w:rPr>
        <w:t>5</w:t>
      </w:r>
      <w:r>
        <w:rPr>
          <w:rFonts w:hint="eastAsia" w:ascii="宋体" w:hAnsi="宋体"/>
          <w:b/>
          <w:bCs/>
          <w:sz w:val="24"/>
        </w:rPr>
        <w:t>日内，中标人应按本须知前附表第</w:t>
      </w:r>
      <w:r>
        <w:rPr>
          <w:rFonts w:ascii="宋体" w:hAnsi="宋体"/>
          <w:b/>
          <w:bCs/>
          <w:sz w:val="24"/>
        </w:rPr>
        <w:t>2</w:t>
      </w:r>
      <w:r>
        <w:rPr>
          <w:rFonts w:hint="eastAsia" w:ascii="宋体" w:hAnsi="宋体"/>
          <w:b/>
          <w:bCs/>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5"/>
        <w:spacing w:after="0" w:line="360" w:lineRule="auto"/>
        <w:ind w:firstLine="480" w:firstLineChars="200"/>
        <w:rPr>
          <w:rFonts w:ascii="宋体"/>
          <w:sz w:val="24"/>
        </w:rPr>
      </w:pPr>
      <w:r>
        <w:rPr>
          <w:rFonts w:hint="eastAsia" w:ascii="宋体"/>
          <w:sz w:val="24"/>
        </w:rPr>
        <w:t>32.3投标人如在本项目中存在串通投标、弄虚作假、行贿情形的，中标无效，行政监督部门将对其违法行为进行行政处罚并通报。该投标人将被招标人列入黑名单并限制其参与招标人后续项目的投标。</w:t>
      </w:r>
    </w:p>
    <w:p>
      <w:pPr>
        <w:spacing w:line="480" w:lineRule="auto"/>
        <w:ind w:firstLine="540" w:firstLineChars="224"/>
        <w:rPr>
          <w:rFonts w:ascii="宋体" w:hAnsi="宋体"/>
          <w:b/>
          <w:sz w:val="24"/>
        </w:rPr>
      </w:pPr>
      <w:r>
        <w:rPr>
          <w:rFonts w:hint="eastAsia" w:ascii="宋体"/>
          <w:b/>
          <w:sz w:val="24"/>
        </w:rPr>
        <w:t>33.</w:t>
      </w:r>
      <w:r>
        <w:rPr>
          <w:rFonts w:hint="eastAsia" w:ascii="宋体" w:hAnsi="宋体"/>
          <w:b/>
          <w:sz w:val="24"/>
        </w:rPr>
        <w:t xml:space="preserve"> 投标人信誉的要求</w:t>
      </w:r>
    </w:p>
    <w:p>
      <w:pPr>
        <w:spacing w:line="480" w:lineRule="auto"/>
        <w:ind w:firstLine="537" w:firstLineChars="224"/>
        <w:rPr>
          <w:rFonts w:ascii="宋体" w:hAnsi="宋体"/>
          <w:sz w:val="24"/>
        </w:rPr>
      </w:pPr>
      <w:r>
        <w:rPr>
          <w:rFonts w:hint="eastAsia" w:ascii="宋体" w:hAnsi="宋体"/>
          <w:sz w:val="24"/>
        </w:rPr>
        <w:t>存在下列情形之一的，招标人可以限制其投标（需在招标文件中明确评定方法）</w:t>
      </w:r>
    </w:p>
    <w:p>
      <w:pPr>
        <w:spacing w:line="480" w:lineRule="auto"/>
        <w:ind w:firstLine="537" w:firstLineChars="224"/>
        <w:rPr>
          <w:rFonts w:ascii="宋体" w:hAnsi="宋体"/>
          <w:sz w:val="24"/>
        </w:rPr>
      </w:pPr>
      <w:r>
        <w:rPr>
          <w:rFonts w:hint="eastAsia" w:ascii="宋体" w:hAnsi="宋体"/>
          <w:sz w:val="24"/>
        </w:rPr>
        <w:t>（1）被住房城乡建设行政主管部门在全国建筑市场监管一体化工作平台列入建筑市场主体“黑名单”；</w:t>
      </w:r>
    </w:p>
    <w:p>
      <w:pPr>
        <w:pStyle w:val="5"/>
        <w:spacing w:after="0" w:line="360" w:lineRule="auto"/>
        <w:ind w:firstLine="480" w:firstLineChars="200"/>
        <w:rPr>
          <w:rFonts w:ascii="宋体"/>
          <w:sz w:val="24"/>
        </w:rPr>
      </w:pPr>
      <w:r>
        <w:rPr>
          <w:rFonts w:hint="eastAsia" w:ascii="宋体" w:hAnsi="宋体"/>
          <w:sz w:val="24"/>
        </w:rPr>
        <w:t>（2）被发改委、人力资源社会保障、质检总局等有关部门、单位在“信用中国”网站中列入联合惩戒失信黑名单。</w:t>
      </w:r>
    </w:p>
    <w:p>
      <w:pPr>
        <w:pStyle w:val="3"/>
      </w:pPr>
      <w:r>
        <w:rPr>
          <w:rFonts w:ascii="宋体"/>
          <w:sz w:val="24"/>
        </w:rPr>
        <w:br w:type="page"/>
      </w:r>
      <w:bookmarkStart w:id="18" w:name="_Toc10264"/>
      <w:bookmarkStart w:id="19" w:name="_Toc2272554"/>
      <w:r>
        <w:rPr>
          <w:rFonts w:hint="eastAsia"/>
        </w:rPr>
        <w:t>第二章  开标、评标及定标办法</w:t>
      </w:r>
      <w:bookmarkEnd w:id="18"/>
      <w:bookmarkEnd w:id="19"/>
    </w:p>
    <w:p>
      <w:pPr>
        <w:pStyle w:val="7"/>
        <w:rPr>
          <w:color w:val="auto"/>
        </w:rPr>
      </w:pPr>
      <w:bookmarkStart w:id="20" w:name="_Toc2272555"/>
      <w:bookmarkStart w:id="21" w:name="_Toc29431"/>
      <w:r>
        <w:rPr>
          <w:rFonts w:hint="eastAsia"/>
          <w:color w:val="auto"/>
          <w:sz w:val="28"/>
          <w:szCs w:val="28"/>
        </w:rPr>
        <w:t>一、</w:t>
      </w:r>
      <w:r>
        <w:rPr>
          <w:rFonts w:hint="eastAsia"/>
          <w:color w:val="auto"/>
        </w:rPr>
        <w:t>开标、评标及定标办法修改表</w:t>
      </w:r>
      <w:bookmarkEnd w:id="20"/>
      <w:bookmarkEnd w:id="21"/>
    </w:p>
    <w:p>
      <w:pPr>
        <w:pStyle w:val="5"/>
        <w:snapToGrid w:val="0"/>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3"/>
          <w:b/>
          <w:color w:val="auto"/>
          <w:szCs w:val="21"/>
          <w:u w:val="none"/>
        </w:rPr>
        <w:t>http://www.gzcc.gov.cn/</w:t>
      </w:r>
      <w:r>
        <w:rPr>
          <w:rStyle w:val="43"/>
          <w:rFonts w:hint="eastAsia"/>
          <w:b/>
          <w:color w:val="auto"/>
          <w:szCs w:val="21"/>
          <w:u w:val="none"/>
        </w:rPr>
        <w:t>）下载GZZB2018-3</w:t>
      </w:r>
      <w:r>
        <w:rPr>
          <w:rStyle w:val="43"/>
          <w:rFonts w:hint="eastAsia"/>
          <w:b/>
          <w:color w:val="auto"/>
          <w:szCs w:val="21"/>
          <w:u w:val="none"/>
        </w:rPr>
        <w:fldChar w:fldCharType="end"/>
      </w:r>
      <w:r>
        <w:rPr>
          <w:rFonts w:hint="eastAsia"/>
          <w:b/>
          <w:szCs w:val="21"/>
        </w:rPr>
        <w:t>范本查阅。</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原文：36.1</w:t>
      </w:r>
      <w:r>
        <w:rPr>
          <w:rFonts w:hint="eastAsia" w:ascii="宋体" w:hAnsi="宋体" w:cs="宋体"/>
          <w:sz w:val="24"/>
          <w:szCs w:val="24"/>
        </w:rPr>
        <w:t xml:space="preserve"> 招标人按投标须知前附表第18项所规定的时间和地点公开开标，并邀请所有投标人参加。截标后，开标开始时间因故推迟的，相关评标信息仍以原定的开标开始时间的信息为准。</w:t>
      </w:r>
    </w:p>
    <w:p>
      <w:pPr>
        <w:spacing w:line="460" w:lineRule="exact"/>
        <w:ind w:firstLine="482" w:firstLineChars="200"/>
        <w:rPr>
          <w:rFonts w:ascii="宋体" w:hAnsi="宋体" w:cs="宋体"/>
          <w:b/>
          <w:sz w:val="24"/>
          <w:szCs w:val="24"/>
        </w:rPr>
      </w:pPr>
      <w:r>
        <w:rPr>
          <w:rFonts w:hint="eastAsia" w:ascii="宋体" w:hAnsi="宋体" w:cs="宋体"/>
          <w:b/>
          <w:sz w:val="24"/>
          <w:szCs w:val="24"/>
        </w:rPr>
        <w:t>现文：36.1</w:t>
      </w:r>
      <w:r>
        <w:rPr>
          <w:rFonts w:hint="eastAsia" w:ascii="宋体" w:hAnsi="宋体" w:cs="宋体"/>
          <w:sz w:val="24"/>
          <w:szCs w:val="24"/>
        </w:rPr>
        <w:t xml:space="preserve">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条款号：36.5.1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36.5.1在投标截止时间后半小时内，投标人通过</w:t>
      </w:r>
      <w:r>
        <w:rPr>
          <w:rFonts w:hint="eastAsia" w:ascii="宋体" w:hAnsi="宋体" w:cs="宋体"/>
          <w:sz w:val="24"/>
          <w:szCs w:val="24"/>
          <w:u w:val="single"/>
        </w:rPr>
        <w:t>广州公共资源交易中心</w:t>
      </w:r>
      <w:r>
        <w:rPr>
          <w:rFonts w:hint="eastAsia" w:ascii="宋体" w:hAnsi="宋体" w:cs="宋体"/>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条款号：评标办法               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可选办法一（适合综合评分法一，技术标与经济标先后分别开启）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可选办法二（适合综合评分法一，技术标与经济标同时开启）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可选办法三（适合综合评分法二，技术标与经济标先后分别开启）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可选办法四（适合综合评分法二，技术标与经济标同时开启）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可选办法五（适合综合评分法三，技术标与经济标先后分别开启）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可选办法六（适合综合评分法三，技术标与经济标同时开启）</w:t>
      </w:r>
    </w:p>
    <w:p>
      <w:pPr>
        <w:pBdr>
          <w:bottom w:val="single" w:color="auto" w:sz="4" w:space="1"/>
        </w:pBdr>
        <w:spacing w:line="460" w:lineRule="exact"/>
        <w:ind w:firstLine="480" w:firstLineChars="200"/>
        <w:rPr>
          <w:rFonts w:ascii="宋体" w:hAnsi="宋体" w:cs="宋体"/>
          <w:sz w:val="24"/>
          <w:szCs w:val="24"/>
        </w:rPr>
      </w:pPr>
      <w:r>
        <w:rPr>
          <w:rFonts w:hint="eastAsia" w:ascii="宋体" w:hAnsi="宋体" w:cs="宋体"/>
          <w:sz w:val="24"/>
          <w:szCs w:val="24"/>
        </w:rPr>
        <w:t>可选办法八（适合经评审的最低投标价法，技术标与经济标同时开启）</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41.1 开标由招标人</w:t>
      </w:r>
      <w:r>
        <w:rPr>
          <w:rFonts w:hint="eastAsia" w:ascii="宋体" w:hAnsi="宋体" w:cs="宋体"/>
          <w:sz w:val="24"/>
          <w:szCs w:val="24"/>
          <w:u w:val="single"/>
        </w:rPr>
        <w:t>或招标代理</w:t>
      </w:r>
      <w:r>
        <w:rPr>
          <w:rFonts w:hint="eastAsia" w:ascii="宋体" w:hAnsi="宋体" w:cs="宋体"/>
          <w:sz w:val="24"/>
          <w:szCs w:val="24"/>
        </w:rPr>
        <w:t>主持；</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 xml:space="preserve">41.2.1投标截止期前，各投标人递交投标文件（包括技术标投标文件、经济标投标文件）至交易平台。有关投标文件提交的事项详见第一章投标须知。 </w:t>
      </w:r>
    </w:p>
    <w:p>
      <w:pPr>
        <w:pBdr>
          <w:bottom w:val="single" w:color="auto" w:sz="4"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广州公共资源交易中心 </w:t>
      </w:r>
      <w:r>
        <w:rPr>
          <w:rFonts w:hint="eastAsia" w:ascii="宋体" w:hAnsi="宋体" w:cs="宋体"/>
          <w:sz w:val="24"/>
          <w:szCs w:val="24"/>
        </w:rPr>
        <w:t xml:space="preserve">交易平台。有关投标文件提交的事项详见第一章投标须知。 </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条款号：41.2.2修改类型：删除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sz w:val="24"/>
          <w:szCs w:val="24"/>
        </w:rPr>
        <w:t>41.2.2开标前，首先由招标人随机抽取确定该工程计算评标参考价的等分点值X。</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41.3     </w:t>
      </w:r>
      <w:r>
        <w:rPr>
          <w:rFonts w:hint="eastAsia" w:ascii="宋体" w:hAnsi="宋体" w:cs="宋体"/>
          <w:b/>
          <w:sz w:val="24"/>
          <w:szCs w:val="24"/>
        </w:rPr>
        <w:t>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41.3招标人对开标过程进行记录，并存档备查，投标人在技术标开标记录上签字。</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41.3招标人</w:t>
      </w:r>
      <w:r>
        <w:rPr>
          <w:rFonts w:hint="eastAsia" w:ascii="宋体" w:hAnsi="宋体" w:cs="宋体"/>
          <w:sz w:val="24"/>
          <w:szCs w:val="24"/>
          <w:u w:val="single"/>
        </w:rPr>
        <w:t>或招标代理机构</w:t>
      </w:r>
      <w:r>
        <w:rPr>
          <w:rFonts w:hint="eastAsia" w:ascii="宋体" w:hAnsi="宋体" w:cs="宋体"/>
          <w:sz w:val="24"/>
          <w:szCs w:val="24"/>
        </w:rPr>
        <w:t>对开标过程进行记录，并存档备查，投标人在技术标开标记录上签字。</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条款号：42.2修改类型：修改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42.2评标委员会的组成：方式</w:t>
      </w:r>
      <w:r>
        <w:rPr>
          <w:rFonts w:hint="eastAsia" w:ascii="宋体" w:hAnsi="宋体" w:cs="宋体"/>
          <w:sz w:val="24"/>
          <w:szCs w:val="24"/>
          <w:u w:val="single"/>
        </w:rPr>
        <w:t xml:space="preserve">  一  </w:t>
      </w:r>
      <w:r>
        <w:rPr>
          <w:rFonts w:hint="eastAsia" w:ascii="宋体" w:hAnsi="宋体" w:cs="宋体"/>
          <w:sz w:val="24"/>
          <w:szCs w:val="24"/>
        </w:rPr>
        <w:t>。</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原文：45.1</w:t>
      </w:r>
      <w:r>
        <w:rPr>
          <w:rFonts w:hint="eastAsia" w:ascii="宋体" w:hAnsi="宋体" w:cs="宋体"/>
          <w:bCs/>
          <w:sz w:val="24"/>
          <w:szCs w:val="24"/>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现文：45.1</w:t>
      </w:r>
      <w:r>
        <w:rPr>
          <w:rFonts w:hint="eastAsia" w:ascii="宋体" w:hAnsi="宋体" w:cs="宋体"/>
          <w:bCs/>
          <w:sz w:val="24"/>
          <w:szCs w:val="24"/>
        </w:rPr>
        <w:t>若通过技术标有效性审查的投标人中所有投标报价均大于等于最高投标限价*D%（D的取值范围为</w:t>
      </w:r>
      <w:r>
        <w:rPr>
          <w:rFonts w:hint="eastAsia" w:ascii="宋体" w:hAnsi="宋体" w:cs="宋体"/>
          <w:bCs/>
          <w:sz w:val="24"/>
          <w:szCs w:val="24"/>
          <w:u w:val="single"/>
        </w:rPr>
        <w:t>97</w:t>
      </w:r>
      <w:r>
        <w:rPr>
          <w:rFonts w:hint="eastAsia" w:ascii="宋体" w:hAnsi="宋体" w:cs="宋体"/>
          <w:bCs/>
          <w:sz w:val="24"/>
          <w:szCs w:val="24"/>
        </w:rPr>
        <w:t>）的</w:t>
      </w:r>
      <w:r>
        <w:rPr>
          <w:rFonts w:hint="eastAsia" w:ascii="宋体" w:hAnsi="宋体" w:cs="宋体"/>
          <w:b/>
          <w:sz w:val="24"/>
          <w:szCs w:val="24"/>
        </w:rPr>
        <w:t>（具体金额为：</w:t>
      </w:r>
      <w:r>
        <w:rPr>
          <w:rFonts w:hint="eastAsia" w:ascii="宋体" w:hAnsi="宋体" w:cs="宋体"/>
          <w:b/>
          <w:bCs/>
          <w:sz w:val="24"/>
          <w:szCs w:val="24"/>
          <w:u w:val="single"/>
        </w:rPr>
        <w:t>5931582.88</w:t>
      </w:r>
      <w:r>
        <w:rPr>
          <w:rFonts w:hint="eastAsia" w:ascii="宋体" w:hAnsi="宋体" w:cs="宋体"/>
          <w:b/>
          <w:sz w:val="24"/>
          <w:szCs w:val="24"/>
        </w:rPr>
        <w:t>元）</w:t>
      </w:r>
      <w:r>
        <w:rPr>
          <w:rFonts w:hint="eastAsia" w:ascii="宋体" w:hAnsi="宋体" w:cs="宋体"/>
          <w:bCs/>
          <w:sz w:val="24"/>
          <w:szCs w:val="24"/>
        </w:rPr>
        <w:t>，则本项目招标失败，由招标人依法重新招标。</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条款号：45.2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原文：45.2</w:t>
      </w:r>
      <w:r>
        <w:rPr>
          <w:rFonts w:hint="eastAsia" w:ascii="宋体" w:hAnsi="宋体" w:cs="宋体"/>
          <w:bCs/>
          <w:sz w:val="24"/>
          <w:szCs w:val="24"/>
        </w:rPr>
        <w:t>按方法计算评标参考价：</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宋体"/>
          <w:sz w:val="24"/>
          <w:szCs w:val="24"/>
        </w:rPr>
      </w:pPr>
      <w:r>
        <w:rPr>
          <w:rFonts w:hint="eastAsia" w:ascii="宋体" w:hAnsi="宋体" w:cs="宋体"/>
          <w:sz w:val="24"/>
          <w:szCs w:val="24"/>
        </w:rPr>
        <w:t>技术标或技术标加诚信得分（具体由招标人自定）前N名（N≥5，具体由招标人自定）的经济报价加权平均，计算评标参考价。公式如下：</w:t>
      </w:r>
    </w:p>
    <w:p>
      <w:pP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81000" cy="447675"/>
            <wp:effectExtent l="0" t="0" r="0" b="8890"/>
            <wp:docPr id="1027" name="图片 13"/>
            <wp:cNvGraphicFramePr/>
            <a:graphic xmlns:a="http://schemas.openxmlformats.org/drawingml/2006/main">
              <a:graphicData uri="http://schemas.openxmlformats.org/drawingml/2006/picture">
                <pic:pic xmlns:pic="http://schemas.openxmlformats.org/drawingml/2006/picture">
                  <pic:nvPicPr>
                    <pic:cNvPr id="1027" name="图片 13"/>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81000" cy="447675"/>
            <wp:effectExtent l="0" t="0" r="0" b="8890"/>
            <wp:docPr id="1028" name="图片 14"/>
            <wp:cNvGraphicFramePr/>
            <a:graphic xmlns:a="http://schemas.openxmlformats.org/drawingml/2006/main">
              <a:graphicData uri="http://schemas.openxmlformats.org/drawingml/2006/picture">
                <pic:pic xmlns:pic="http://schemas.openxmlformats.org/drawingml/2006/picture">
                  <pic:nvPicPr>
                    <pic:cNvPr id="1028" name="图片 14"/>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29" name="图片 15"/>
            <wp:cNvGraphicFramePr/>
            <a:graphic xmlns:a="http://schemas.openxmlformats.org/drawingml/2006/main">
              <a:graphicData uri="http://schemas.openxmlformats.org/drawingml/2006/picture">
                <pic:pic xmlns:pic="http://schemas.openxmlformats.org/drawingml/2006/picture">
                  <pic:nvPicPr>
                    <pic:cNvPr id="1029" name="图片 15"/>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position w:val="-23"/>
          <w:sz w:val="24"/>
          <w:szCs w:val="24"/>
        </w:rPr>
        <w:drawing>
          <wp:inline distT="0" distB="0" distL="0" distR="0">
            <wp:extent cx="323850" cy="484505"/>
            <wp:effectExtent l="0" t="0" r="0" b="11430"/>
            <wp:docPr id="1030" name="图片 16"/>
            <wp:cNvGraphicFramePr/>
            <a:graphic xmlns:a="http://schemas.openxmlformats.org/drawingml/2006/main">
              <a:graphicData uri="http://schemas.openxmlformats.org/drawingml/2006/picture">
                <pic:pic xmlns:pic="http://schemas.openxmlformats.org/drawingml/2006/picture">
                  <pic:nvPicPr>
                    <pic:cNvPr id="1030" name="图片 16"/>
                    <pic:cNvPicPr/>
                  </pic:nvPicPr>
                  <pic:blipFill>
                    <a:blip r:embed="rId11" cstate="print">
                      <a:clrChange>
                        <a:clrFrom>
                          <a:srgbClr val="FFFFFF"/>
                        </a:clrFrom>
                        <a:clrTo>
                          <a:srgbClr val="FFFFFF">
                            <a:alpha val="0"/>
                          </a:srgbClr>
                        </a:clrTo>
                      </a:clrChange>
                    </a:blip>
                    <a:srcRect/>
                    <a:stretch>
                      <a:fillRect/>
                    </a:stretch>
                  </pic:blipFill>
                  <pic:spPr>
                    <a:xfrm>
                      <a:off x="0" y="0"/>
                      <a:ext cx="323850" cy="484505"/>
                    </a:xfrm>
                    <a:prstGeom prst="rect">
                      <a:avLst/>
                    </a:prstGeom>
                    <a:ln>
                      <a:noFill/>
                    </a:ln>
                  </pic:spPr>
                </pic:pic>
              </a:graphicData>
            </a:graphic>
          </wp:inline>
        </w:drawing>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1" name="图片 17"/>
            <wp:cNvGraphicFramePr/>
            <a:graphic xmlns:a="http://schemas.openxmlformats.org/drawingml/2006/main">
              <a:graphicData uri="http://schemas.openxmlformats.org/drawingml/2006/picture">
                <pic:pic xmlns:pic="http://schemas.openxmlformats.org/drawingml/2006/picture">
                  <pic:nvPicPr>
                    <pic:cNvPr id="1031" name="图片 17"/>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400050"/>
            <wp:effectExtent l="0" t="0" r="0" b="0"/>
            <wp:docPr id="1032" name="图片 18"/>
            <wp:cNvGraphicFramePr/>
            <a:graphic xmlns:a="http://schemas.openxmlformats.org/drawingml/2006/main">
              <a:graphicData uri="http://schemas.openxmlformats.org/drawingml/2006/picture">
                <pic:pic xmlns:pic="http://schemas.openxmlformats.org/drawingml/2006/picture">
                  <pic:nvPicPr>
                    <pic:cNvPr id="1032" name="图片 18"/>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方法二：区间抽取法</w:t>
      </w:r>
    </w:p>
    <w:p>
      <w:pPr>
        <w:widowControl/>
        <w:spacing w:line="460" w:lineRule="exact"/>
        <w:ind w:firstLine="480" w:firstLineChars="200"/>
        <w:rPr>
          <w:rFonts w:ascii="宋体" w:hAnsi="宋体" w:cs="宋体"/>
          <w:kern w:val="0"/>
          <w:sz w:val="24"/>
          <w:szCs w:val="24"/>
        </w:rPr>
      </w:pPr>
      <w:r>
        <w:rPr>
          <w:rFonts w:hint="eastAsia" w:ascii="宋体" w:hAnsi="宋体" w:cs="宋体"/>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460" w:lineRule="exact"/>
        <w:ind w:firstLine="480" w:firstLineChars="200"/>
        <w:rPr>
          <w:rFonts w:ascii="宋体" w:hAnsi="宋体" w:cs="宋体"/>
          <w:kern w:val="0"/>
          <w:sz w:val="24"/>
          <w:szCs w:val="24"/>
          <w:vertAlign w:val="subscript"/>
        </w:rPr>
      </w:pPr>
      <w:r>
        <w:rPr>
          <w:rFonts w:hint="eastAsia" w:ascii="宋体" w:hAnsi="宋体" w:cs="宋体"/>
          <w:kern w:val="0"/>
          <w:sz w:val="24"/>
          <w:szCs w:val="24"/>
        </w:rPr>
        <w:t>评标参考价</w:t>
      </w:r>
      <w:r>
        <w:rPr>
          <w:rFonts w:hint="eastAsia" w:ascii="宋体" w:hAnsi="宋体" w:cs="宋体"/>
          <w:b/>
          <w:kern w:val="0"/>
          <w:sz w:val="24"/>
          <w:szCs w:val="24"/>
        </w:rPr>
        <w:t>＝</w:t>
      </w: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kern w:val="0"/>
          <w:sz w:val="24"/>
          <w:szCs w:val="24"/>
        </w:rPr>
        <w:t>-Q</w:t>
      </w:r>
      <w:r>
        <w:rPr>
          <w:rFonts w:hint="eastAsia" w:ascii="宋体" w:hAnsi="宋体" w:cs="宋体"/>
          <w:kern w:val="0"/>
          <w:sz w:val="24"/>
          <w:szCs w:val="24"/>
          <w:vertAlign w:val="subscript"/>
        </w:rPr>
        <w:t>低</w:t>
      </w:r>
      <w:r>
        <w:rPr>
          <w:rFonts w:hint="eastAsia" w:ascii="宋体" w:hAnsi="宋体" w:cs="宋体"/>
          <w:kern w:val="0"/>
          <w:sz w:val="24"/>
          <w:szCs w:val="24"/>
        </w:rPr>
        <w:t>）/100*Ｘ+Q</w:t>
      </w:r>
      <w:r>
        <w:rPr>
          <w:rFonts w:hint="eastAsia" w:ascii="宋体" w:hAnsi="宋体" w:cs="宋体"/>
          <w:kern w:val="0"/>
          <w:sz w:val="24"/>
          <w:szCs w:val="24"/>
          <w:vertAlign w:val="subscript"/>
        </w:rPr>
        <w:t>低</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：为达到或超过技术标及格分数线的投标人最低报价与工程成本警示价两者中的较高值；</w:t>
      </w:r>
    </w:p>
    <w:p>
      <w:pPr>
        <w:widowControl/>
        <w:spacing w:line="460" w:lineRule="exact"/>
        <w:ind w:firstLine="480" w:firstLineChars="200"/>
        <w:rPr>
          <w:rFonts w:ascii="宋体" w:hAnsi="宋体" w:cs="宋体"/>
          <w:sz w:val="24"/>
          <w:szCs w:val="24"/>
        </w:rPr>
      </w:pP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sz w:val="24"/>
          <w:szCs w:val="24"/>
        </w:rPr>
        <w:t>：为（最高投标限价*D%）（D的取值范围为[94,100]，由招标人自定）</w:t>
      </w:r>
    </w:p>
    <w:p>
      <w:pPr>
        <w:widowControl/>
        <w:spacing w:line="460" w:lineRule="exact"/>
        <w:ind w:firstLine="480" w:firstLineChars="200"/>
        <w:rPr>
          <w:rFonts w:ascii="宋体" w:hAnsi="宋体" w:cs="宋体"/>
          <w:bCs/>
          <w:sz w:val="24"/>
          <w:szCs w:val="24"/>
        </w:rPr>
      </w:pPr>
      <w:r>
        <w:rPr>
          <w:rFonts w:hint="eastAsia" w:ascii="宋体" w:hAnsi="宋体" w:cs="宋体"/>
          <w:sz w:val="24"/>
          <w:szCs w:val="24"/>
        </w:rPr>
        <w:t>X:为等分点值，</w:t>
      </w:r>
      <w:r>
        <w:rPr>
          <w:rFonts w:hint="eastAsia" w:ascii="宋体" w:hAnsi="宋体" w:cs="宋体"/>
          <w:b/>
          <w:bCs/>
          <w:sz w:val="24"/>
          <w:szCs w:val="24"/>
        </w:rPr>
        <w:t>在开标前</w:t>
      </w:r>
      <w:r>
        <w:rPr>
          <w:rFonts w:hint="eastAsia" w:ascii="宋体" w:hAnsi="宋体" w:cs="宋体"/>
          <w:sz w:val="24"/>
          <w:szCs w:val="24"/>
        </w:rPr>
        <w:t>从[0,100]整数中随机抽取</w:t>
      </w:r>
    </w:p>
    <w:p>
      <w:pPr>
        <w:pBdr>
          <w:bottom w:val="none" w:color="auto" w:sz="0" w:space="1"/>
        </w:pBdr>
        <w:spacing w:line="460" w:lineRule="exact"/>
        <w:ind w:firstLine="482" w:firstLineChars="200"/>
        <w:rPr>
          <w:rFonts w:ascii="宋体" w:hAnsi="宋体" w:cs="宋体"/>
          <w:sz w:val="24"/>
          <w:szCs w:val="24"/>
        </w:rPr>
      </w:pPr>
      <w:r>
        <w:rPr>
          <w:rFonts w:hint="eastAsia" w:ascii="宋体" w:hAnsi="宋体" w:cs="宋体"/>
          <w:b/>
          <w:sz w:val="24"/>
          <w:szCs w:val="24"/>
        </w:rPr>
        <w:t xml:space="preserve">现文： </w:t>
      </w:r>
      <w:r>
        <w:rPr>
          <w:rFonts w:hint="eastAsia" w:ascii="宋体" w:hAnsi="宋体" w:cs="宋体"/>
          <w:sz w:val="24"/>
          <w:szCs w:val="24"/>
        </w:rPr>
        <w:t>45.2按方法</w:t>
      </w:r>
      <w:r>
        <w:rPr>
          <w:rFonts w:hint="eastAsia" w:ascii="宋体" w:hAnsi="宋体" w:cs="宋体"/>
          <w:b/>
          <w:bCs/>
          <w:sz w:val="24"/>
          <w:szCs w:val="24"/>
          <w:u w:val="single"/>
        </w:rPr>
        <w:t>一</w:t>
      </w:r>
      <w:r>
        <w:rPr>
          <w:rFonts w:hint="eastAsia" w:ascii="宋体" w:hAnsi="宋体" w:cs="宋体"/>
          <w:sz w:val="24"/>
          <w:szCs w:val="24"/>
        </w:rPr>
        <w:t>计算评标参考价：</w:t>
      </w:r>
    </w:p>
    <w:p>
      <w:pPr>
        <w:pBdr>
          <w:bottom w:val="none" w:color="auto" w:sz="0" w:space="1"/>
        </w:pBd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仿宋"/>
          <w:sz w:val="24"/>
          <w:szCs w:val="24"/>
        </w:rPr>
      </w:pPr>
      <w:r>
        <w:rPr>
          <w:rFonts w:hint="eastAsia" w:ascii="宋体" w:hAnsi="宋体" w:cs="宋体"/>
          <w:sz w:val="24"/>
          <w:szCs w:val="24"/>
        </w:rPr>
        <w:t>技术标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的经济报价加权平均，计算评标参考价。公式如下：</w:t>
      </w:r>
    </w:p>
    <w:p>
      <w:pPr>
        <w:pBdr>
          <w:bottom w:val="none" w:color="auto" w:sz="0" w:space="1"/>
        </w:pBd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pBdr>
          <w:bottom w:val="single" w:color="auto" w:sz="6" w:space="1"/>
        </w:pBdr>
        <w:spacing w:line="360" w:lineRule="auto"/>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81000" cy="447675"/>
            <wp:effectExtent l="0" t="0" r="0" b="8890"/>
            <wp:docPr id="1033" name="图片 19"/>
            <wp:cNvGraphicFramePr/>
            <a:graphic xmlns:a="http://schemas.openxmlformats.org/drawingml/2006/main">
              <a:graphicData uri="http://schemas.openxmlformats.org/drawingml/2006/picture">
                <pic:pic xmlns:pic="http://schemas.openxmlformats.org/drawingml/2006/picture">
                  <pic:nvPicPr>
                    <pic:cNvPr id="1033" name="图片 19"/>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instrText xml:space="preserve"> \* MERGEFORMAT </w:instrText>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81000" cy="212725"/>
            <wp:effectExtent l="0" t="0" r="0" b="15875"/>
            <wp:docPr id="1034" name="图片 20"/>
            <wp:cNvGraphicFramePr/>
            <a:graphic xmlns:a="http://schemas.openxmlformats.org/drawingml/2006/main">
              <a:graphicData uri="http://schemas.openxmlformats.org/drawingml/2006/picture">
                <pic:pic xmlns:pic="http://schemas.openxmlformats.org/drawingml/2006/picture">
                  <pic:nvPicPr>
                    <pic:cNvPr id="1034" name="图片 20"/>
                    <pic:cNvPicPr/>
                  </pic:nvPicPr>
                  <pic:blipFill>
                    <a:blip r:embed="rId10" cstate="print">
                      <a:clrChange>
                        <a:clrFrom>
                          <a:srgbClr val="FFFFFF"/>
                        </a:clrFrom>
                        <a:clrTo>
                          <a:srgbClr val="FFFFFF">
                            <a:alpha val="0"/>
                          </a:srgbClr>
                        </a:clrTo>
                      </a:clrChange>
                    </a:blip>
                    <a:srcRect/>
                    <a:stretch>
                      <a:fillRect/>
                    </a:stretch>
                  </pic:blipFill>
                  <pic:spPr>
                    <a:xfrm>
                      <a:off x="0" y="0"/>
                      <a:ext cx="381000" cy="21272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5" name="图片 21"/>
            <wp:cNvGraphicFramePr/>
            <a:graphic xmlns:a="http://schemas.openxmlformats.org/drawingml/2006/main">
              <a:graphicData uri="http://schemas.openxmlformats.org/drawingml/2006/picture">
                <pic:pic xmlns:pic="http://schemas.openxmlformats.org/drawingml/2006/picture">
                  <pic:nvPicPr>
                    <pic:cNvPr id="1035" name="图片 21"/>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position w:val="-23"/>
          <w:sz w:val="24"/>
          <w:szCs w:val="24"/>
        </w:rPr>
        <w:instrText xml:space="preserve"> \* MERGEFORMAT </w:instrText>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277495"/>
            <wp:effectExtent l="0" t="0" r="0" b="7620"/>
            <wp:docPr id="1036" name="图片 22"/>
            <wp:cNvGraphicFramePr/>
            <a:graphic xmlns:a="http://schemas.openxmlformats.org/drawingml/2006/main">
              <a:graphicData uri="http://schemas.openxmlformats.org/drawingml/2006/picture">
                <pic:pic xmlns:pic="http://schemas.openxmlformats.org/drawingml/2006/picture">
                  <pic:nvPicPr>
                    <pic:cNvPr id="1036" name="图片 22"/>
                    <pic:cNvPicPr/>
                  </pic:nvPicPr>
                  <pic:blipFill>
                    <a:blip r:embed="rId11" cstate="print">
                      <a:clrChange>
                        <a:clrFrom>
                          <a:srgbClr val="FFFFFF"/>
                        </a:clrFrom>
                        <a:clrTo>
                          <a:srgbClr val="FFFFFF">
                            <a:alpha val="0"/>
                          </a:srgbClr>
                        </a:clrTo>
                      </a:clrChange>
                    </a:blip>
                    <a:srcRect/>
                    <a:stretch>
                      <a:fillRect/>
                    </a:stretch>
                  </pic:blipFill>
                  <pic:spPr>
                    <a:xfrm>
                      <a:off x="0" y="0"/>
                      <a:ext cx="323850" cy="27749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7" name="图片 23"/>
            <wp:cNvGraphicFramePr/>
            <a:graphic xmlns:a="http://schemas.openxmlformats.org/drawingml/2006/main">
              <a:graphicData uri="http://schemas.openxmlformats.org/drawingml/2006/picture">
                <pic:pic xmlns:pic="http://schemas.openxmlformats.org/drawingml/2006/picture">
                  <pic:nvPicPr>
                    <pic:cNvPr id="1037" name="图片 23"/>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position w:val="-23"/>
          <w:sz w:val="24"/>
          <w:szCs w:val="24"/>
        </w:rPr>
        <w:instrText xml:space="preserve"> \* MERGEFORMAT </w:instrText>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311150"/>
            <wp:effectExtent l="0" t="0" r="0" b="13335"/>
            <wp:docPr id="1038" name="图片 24"/>
            <wp:cNvGraphicFramePr/>
            <a:graphic xmlns:a="http://schemas.openxmlformats.org/drawingml/2006/main">
              <a:graphicData uri="http://schemas.openxmlformats.org/drawingml/2006/picture">
                <pic:pic xmlns:pic="http://schemas.openxmlformats.org/drawingml/2006/picture">
                  <pic:nvPicPr>
                    <pic:cNvPr id="1038" name="图片 24"/>
                    <pic:cNvPicPr/>
                  </pic:nvPicPr>
                  <pic:blipFill>
                    <a:blip r:embed="rId12" cstate="print">
                      <a:clrChange>
                        <a:clrFrom>
                          <a:srgbClr val="FFFFFF"/>
                        </a:clrFrom>
                        <a:clrTo>
                          <a:srgbClr val="FFFFFF">
                            <a:alpha val="0"/>
                          </a:srgbClr>
                        </a:clrTo>
                      </a:clrChange>
                    </a:blip>
                    <a:srcRect/>
                    <a:stretch>
                      <a:fillRect/>
                    </a:stretch>
                  </pic:blipFill>
                  <pic:spPr>
                    <a:xfrm>
                      <a:off x="0" y="0"/>
                      <a:ext cx="323850" cy="3111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条款号：45.3             修改类型：修改</w:t>
      </w:r>
    </w:p>
    <w:p>
      <w:pPr>
        <w:spacing w:line="460" w:lineRule="exact"/>
        <w:ind w:firstLine="482" w:firstLineChars="200"/>
        <w:rPr>
          <w:rFonts w:ascii="宋体" w:hAnsi="宋体"/>
          <w:sz w:val="24"/>
          <w:szCs w:val="24"/>
        </w:rPr>
      </w:pPr>
      <w:r>
        <w:rPr>
          <w:rFonts w:hint="eastAsia" w:ascii="宋体" w:hAnsi="宋体" w:cs="宋体"/>
          <w:b/>
          <w:sz w:val="24"/>
          <w:szCs w:val="24"/>
        </w:rPr>
        <w:t>原文：</w:t>
      </w: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460" w:lineRule="exact"/>
        <w:ind w:firstLine="482" w:firstLineChars="200"/>
      </w:pPr>
      <w:r>
        <w:rPr>
          <w:rFonts w:hint="eastAsia" w:ascii="宋体" w:hAnsi="宋体" w:cs="宋体"/>
          <w:b/>
          <w:sz w:val="24"/>
          <w:szCs w:val="24"/>
        </w:rPr>
        <w:t>现文：</w:t>
      </w: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0.3</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0.2</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条款号：45.4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45.4计算通过技术标有效性审查的投标人总得分。投标人总得分</w:t>
      </w:r>
      <w:r>
        <w:rPr>
          <w:rFonts w:hint="eastAsia" w:ascii="宋体" w:hAnsi="宋体" w:cs="宋体"/>
          <w:b/>
          <w:sz w:val="24"/>
          <w:szCs w:val="24"/>
        </w:rPr>
        <w:t>＝</w:t>
      </w:r>
      <w:r>
        <w:rPr>
          <w:rFonts w:hint="eastAsia" w:ascii="宋体" w:hAnsi="宋体" w:cs="宋体"/>
          <w:sz w:val="24"/>
          <w:szCs w:val="24"/>
        </w:rPr>
        <w:t>（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60" w:lineRule="exact"/>
        <w:ind w:firstLine="482" w:firstLineChars="200"/>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u w:val="single"/>
        </w:rPr>
        <w:t>45.4计算通过技术标有效性审查的投标人总得分。投标人总得分＝技术得分（满分20分）＋经济得分（100分）×经济得分权重（80%）。总得分四舍五入保留两位小数。</w:t>
      </w:r>
    </w:p>
    <w:p>
      <w:pPr>
        <w:pBdr>
          <w:bottom w:val="single" w:color="auto" w:sz="6" w:space="1"/>
        </w:pBdr>
        <w:spacing w:line="460" w:lineRule="exact"/>
        <w:ind w:firstLine="480" w:firstLineChars="200"/>
        <w:rPr>
          <w:rFonts w:ascii="宋体" w:hAnsi="宋体" w:cs="宋体"/>
          <w:bCs/>
          <w:sz w:val="24"/>
          <w:szCs w:val="24"/>
        </w:rPr>
      </w:pPr>
      <w:r>
        <w:rPr>
          <w:rFonts w:hint="eastAsia" w:ascii="宋体" w:hAnsi="宋体" w:cs="宋体"/>
          <w:sz w:val="24"/>
          <w:szCs w:val="24"/>
          <w:u w:val="single"/>
        </w:rPr>
        <w:t>总得分相同的，以技术标得分较高的排前；总得分与技术标得分均相同的投标文件，以投标报价较低的排前；如仍存在相同情况，则对具有相同情况的投标人，由评标委员会采用投票方式，确定投标人的排序。</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条款号：48.修改类型：修改</w:t>
      </w:r>
    </w:p>
    <w:p>
      <w:pPr>
        <w:spacing w:line="460" w:lineRule="exact"/>
        <w:ind w:firstLine="482" w:firstLineChars="200"/>
        <w:rPr>
          <w:rFonts w:ascii="宋体" w:hAnsi="宋体" w:cs="宋体"/>
          <w:kern w:val="0"/>
          <w:sz w:val="24"/>
          <w:szCs w:val="24"/>
        </w:rPr>
      </w:pPr>
      <w:r>
        <w:rPr>
          <w:rFonts w:hint="eastAsia" w:ascii="宋体" w:hAnsi="宋体" w:cs="宋体"/>
          <w:b/>
          <w:sz w:val="24"/>
          <w:szCs w:val="24"/>
        </w:rPr>
        <w:t>原文：</w:t>
      </w:r>
      <w:r>
        <w:rPr>
          <w:rFonts w:hint="eastAsia" w:ascii="宋体" w:hAnsi="宋体" w:cs="宋体"/>
          <w:kern w:val="0"/>
          <w:sz w:val="24"/>
          <w:szCs w:val="24"/>
        </w:rPr>
        <w:t>48.评标委员会应在通过投标文件经济标有效性审查的投标人中，按步骤45.4确定的投标人第二阶段排序，推荐前3名依次为第一中标候选人至第三中标候选人</w:t>
      </w:r>
      <w:r>
        <w:rPr>
          <w:rFonts w:hint="eastAsia" w:ascii="宋体" w:hAnsi="宋体" w:cs="宋体"/>
          <w:bCs/>
          <w:kern w:val="0"/>
          <w:sz w:val="24"/>
          <w:szCs w:val="24"/>
        </w:rPr>
        <w:t>，</w:t>
      </w:r>
      <w:r>
        <w:rPr>
          <w:rFonts w:hint="eastAsia" w:ascii="宋体" w:hAnsi="宋体" w:cs="宋体"/>
          <w:kern w:val="0"/>
          <w:sz w:val="24"/>
          <w:szCs w:val="24"/>
        </w:rPr>
        <w:t>并编制评标报告</w:t>
      </w:r>
      <w:r>
        <w:rPr>
          <w:rFonts w:hint="eastAsia" w:ascii="宋体" w:hAnsi="宋体" w:cs="宋体"/>
          <w:sz w:val="24"/>
          <w:szCs w:val="24"/>
        </w:rPr>
        <w:t>。</w:t>
      </w:r>
    </w:p>
    <w:p>
      <w:pPr>
        <w:pBdr>
          <w:bottom w:val="single" w:color="auto" w:sz="4" w:space="1"/>
        </w:pBdr>
        <w:spacing w:line="460" w:lineRule="exact"/>
        <w:ind w:firstLine="482" w:firstLineChars="200"/>
        <w:rPr>
          <w:sz w:val="24"/>
          <w:szCs w:val="24"/>
        </w:rPr>
      </w:pPr>
      <w:r>
        <w:rPr>
          <w:rFonts w:hint="eastAsia" w:ascii="宋体" w:hAnsi="宋体" w:cs="宋体"/>
          <w:b/>
          <w:sz w:val="24"/>
          <w:szCs w:val="24"/>
        </w:rPr>
        <w:t>现文：</w:t>
      </w:r>
      <w:r>
        <w:rPr>
          <w:rFonts w:hint="eastAsia" w:ascii="宋体" w:hAnsi="宋体" w:cs="宋体"/>
          <w:kern w:val="0"/>
          <w:sz w:val="24"/>
          <w:szCs w:val="24"/>
        </w:rPr>
        <w:t>48.评标委员会应在通过投标文件经济标有效性审查的投标人中，按步骤45.4确定的投标人排序，推荐前3名依次为第一中标候选人至第三中标候选人，并编制评标报告</w:t>
      </w:r>
      <w:r>
        <w:rPr>
          <w:rFonts w:hint="eastAsia" w:ascii="宋体" w:hAnsi="宋体" w:cs="宋体"/>
          <w:sz w:val="24"/>
          <w:szCs w:val="24"/>
        </w:rPr>
        <w:t>。</w:t>
      </w:r>
    </w:p>
    <w:p>
      <w:pPr>
        <w:spacing w:line="460" w:lineRule="exact"/>
        <w:ind w:firstLine="211" w:firstLineChars="100"/>
        <w:rPr>
          <w:b/>
          <w:szCs w:val="21"/>
        </w:rPr>
      </w:pPr>
      <w:r>
        <w:rPr>
          <w:rFonts w:hint="eastAsia"/>
          <w:b/>
          <w:szCs w:val="21"/>
        </w:rPr>
        <w:t>注：以上修改，仅限于本范本中有可供选择条款的情形。</w:t>
      </w:r>
    </w:p>
    <w:p>
      <w:pPr>
        <w:spacing w:line="460" w:lineRule="exact"/>
      </w:pPr>
      <w:r>
        <w:rPr>
          <w:rFonts w:hint="eastAsia"/>
          <w:b/>
          <w:szCs w:val="21"/>
        </w:rPr>
        <w:t>（以下无正文）</w:t>
      </w:r>
    </w:p>
    <w:p>
      <w:pPr>
        <w:pStyle w:val="8"/>
        <w:spacing w:line="360" w:lineRule="auto"/>
      </w:pPr>
      <w:r>
        <w:br w:type="page"/>
      </w:r>
    </w:p>
    <w:p>
      <w:pPr>
        <w:pStyle w:val="7"/>
        <w:ind w:firstLine="525"/>
        <w:rPr>
          <w:color w:val="auto"/>
        </w:rPr>
      </w:pPr>
      <w:bookmarkStart w:id="22" w:name="_Toc2272556"/>
      <w:bookmarkStart w:id="23" w:name="_Toc5686"/>
      <w:r>
        <w:rPr>
          <w:rFonts w:hint="eastAsia"/>
          <w:color w:val="auto"/>
        </w:rPr>
        <w:t>二、开标、评标及定标办法</w:t>
      </w:r>
      <w:r>
        <w:rPr>
          <w:rFonts w:hint="eastAsia"/>
          <w:color w:val="auto"/>
          <w:szCs w:val="30"/>
        </w:rPr>
        <w:t>通用条款</w:t>
      </w:r>
      <w:bookmarkEnd w:id="22"/>
      <w:bookmarkEnd w:id="23"/>
    </w:p>
    <w:p>
      <w:pPr>
        <w:pStyle w:val="9"/>
        <w:spacing w:before="156" w:after="156"/>
        <w:ind w:firstLine="540" w:firstLineChars="200"/>
      </w:pPr>
      <w:bookmarkStart w:id="24" w:name="_Toc981"/>
      <w:bookmarkStart w:id="25" w:name="_Toc2272557"/>
      <w:r>
        <w:rPr>
          <w:rFonts w:hint="eastAsia"/>
        </w:rPr>
        <w:t>（一）总则</w:t>
      </w:r>
      <w:bookmarkEnd w:id="24"/>
      <w:bookmarkEnd w:id="25"/>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必须公正、不得徇私；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pPr>
      <w:bookmarkStart w:id="26" w:name="_Toc2272558"/>
      <w:bookmarkStart w:id="27" w:name="_Toc19477"/>
      <w:r>
        <w:rPr>
          <w:rFonts w:hint="eastAsia"/>
        </w:rPr>
        <w:t>（二）开标评标办法程序和细则</w:t>
      </w:r>
      <w:bookmarkEnd w:id="26"/>
      <w:bookmarkEnd w:id="27"/>
    </w:p>
    <w:p>
      <w:pPr>
        <w:spacing w:line="360" w:lineRule="auto"/>
        <w:ind w:firstLine="480" w:firstLineChars="200"/>
        <w:rPr>
          <w:rFonts w:ascii="宋体" w:hAnsi="宋体"/>
          <w:sz w:val="24"/>
          <w:szCs w:val="24"/>
        </w:rPr>
      </w:pPr>
      <w:r>
        <w:rPr>
          <w:rFonts w:hint="eastAsia" w:ascii="宋体" w:hAnsi="宋体"/>
          <w:sz w:val="24"/>
          <w:szCs w:val="24"/>
        </w:rPr>
        <w:t>注：以下评标办法所述企业综合诚信评价分数即投标截至当日</w:t>
      </w:r>
      <w:r>
        <w:rPr>
          <w:rFonts w:hint="eastAsia"/>
          <w:b/>
          <w:bCs/>
          <w:sz w:val="24"/>
          <w:szCs w:val="24"/>
        </w:rPr>
        <w:t>广州市工程招标代理行业协会</w:t>
      </w:r>
      <w:r>
        <w:rPr>
          <w:rFonts w:hint="eastAsia" w:ascii="宋体" w:hAnsi="宋体"/>
          <w:sz w:val="24"/>
          <w:szCs w:val="24"/>
        </w:rPr>
        <w:t>网站上公布的企业综合诚信评价</w:t>
      </w:r>
      <w:r>
        <w:rPr>
          <w:rFonts w:ascii="宋体" w:hAnsi="宋体"/>
          <w:sz w:val="24"/>
          <w:szCs w:val="24"/>
        </w:rPr>
        <w:t>60</w:t>
      </w:r>
      <w:r>
        <w:rPr>
          <w:rFonts w:hint="eastAsia" w:ascii="宋体" w:hAnsi="宋体"/>
          <w:sz w:val="24"/>
          <w:szCs w:val="24"/>
        </w:rPr>
        <w:t>日诚信分。</w:t>
      </w:r>
    </w:p>
    <w:p>
      <w:pPr>
        <w:pStyle w:val="9"/>
        <w:spacing w:before="156" w:after="156"/>
        <w:ind w:firstLine="540" w:firstLineChars="200"/>
      </w:pPr>
      <w:bookmarkStart w:id="28" w:name="_Toc2272564"/>
      <w:bookmarkStart w:id="29" w:name="_Toc14960"/>
      <w:r>
        <w:rPr>
          <w:rFonts w:hint="eastAsia"/>
        </w:rPr>
        <w:t>可选办法七（适合综合评分法四，技术标与经济标同时开启）</w:t>
      </w:r>
      <w:bookmarkEnd w:id="28"/>
      <w:bookmarkEnd w:id="29"/>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w:t>
      </w:r>
      <w:r>
        <w:rPr>
          <w:rFonts w:hint="eastAsia" w:ascii="宋体" w:hAnsi="宋体"/>
          <w:b/>
          <w:bCs/>
          <w:sz w:val="24"/>
          <w:szCs w:val="24"/>
        </w:rPr>
        <w:t>所有</w:t>
      </w:r>
      <w:r>
        <w:rPr>
          <w:rFonts w:hint="eastAsia" w:ascii="宋体" w:hAnsi="宋体"/>
          <w:sz w:val="24"/>
          <w:szCs w:val="24"/>
        </w:rPr>
        <w:t>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8890"/>
            <wp:docPr id="1039" name="图片 6"/>
            <wp:cNvGraphicFramePr/>
            <a:graphic xmlns:a="http://schemas.openxmlformats.org/drawingml/2006/main">
              <a:graphicData uri="http://schemas.openxmlformats.org/drawingml/2006/picture">
                <pic:pic xmlns:pic="http://schemas.openxmlformats.org/drawingml/2006/picture">
                  <pic:nvPicPr>
                    <pic:cNvPr id="1039" name="图片 6"/>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8890"/>
            <wp:docPr id="1040" name="图片 5"/>
            <wp:cNvGraphicFramePr/>
            <a:graphic xmlns:a="http://schemas.openxmlformats.org/drawingml/2006/main">
              <a:graphicData uri="http://schemas.openxmlformats.org/drawingml/2006/picture">
                <pic:pic xmlns:pic="http://schemas.openxmlformats.org/drawingml/2006/picture">
                  <pic:nvPicPr>
                    <pic:cNvPr id="1040" name="图片 5"/>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1" name="图片 4"/>
            <wp:cNvGraphicFramePr/>
            <a:graphic xmlns:a="http://schemas.openxmlformats.org/drawingml/2006/main">
              <a:graphicData uri="http://schemas.openxmlformats.org/drawingml/2006/picture">
                <pic:pic xmlns:pic="http://schemas.openxmlformats.org/drawingml/2006/picture">
                  <pic:nvPicPr>
                    <pic:cNvPr id="1041" name="图片 4"/>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2" name="图片 3"/>
            <wp:cNvGraphicFramePr/>
            <a:graphic xmlns:a="http://schemas.openxmlformats.org/drawingml/2006/main">
              <a:graphicData uri="http://schemas.openxmlformats.org/drawingml/2006/picture">
                <pic:pic xmlns:pic="http://schemas.openxmlformats.org/drawingml/2006/picture">
                  <pic:nvPicPr>
                    <pic:cNvPr id="1042" name="图片 3"/>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3" name="图片 2"/>
            <wp:cNvGraphicFramePr/>
            <a:graphic xmlns:a="http://schemas.openxmlformats.org/drawingml/2006/main">
              <a:graphicData uri="http://schemas.openxmlformats.org/drawingml/2006/picture">
                <pic:pic xmlns:pic="http://schemas.openxmlformats.org/drawingml/2006/picture">
                  <pic:nvPicPr>
                    <pic:cNvPr id="1043" name="图片 2"/>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4" name="图片 1"/>
            <wp:cNvGraphicFramePr/>
            <a:graphic xmlns:a="http://schemas.openxmlformats.org/drawingml/2006/main">
              <a:graphicData uri="http://schemas.openxmlformats.org/drawingml/2006/picture">
                <pic:pic xmlns:pic="http://schemas.openxmlformats.org/drawingml/2006/picture">
                  <pic:nvPicPr>
                    <pic:cNvPr id="1044" name="图片 1"/>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cs="仿宋"/>
          <w:bCs/>
          <w:sz w:val="24"/>
          <w:szCs w:val="24"/>
        </w:rPr>
      </w:pPr>
      <w:r>
        <w:rPr>
          <w:rFonts w:hint="eastAsia" w:ascii="宋体" w:hAnsi="宋体" w:cs="仿宋"/>
          <w:bCs/>
          <w:sz w:val="24"/>
          <w:szCs w:val="24"/>
        </w:rPr>
        <w:t>X：为等分点值，</w:t>
      </w:r>
      <w:r>
        <w:rPr>
          <w:rFonts w:hint="eastAsia" w:ascii="宋体" w:hAnsi="宋体" w:cs="仿宋"/>
          <w:b/>
          <w:bCs/>
          <w:sz w:val="24"/>
          <w:szCs w:val="24"/>
        </w:rPr>
        <w:t>在开标前</w:t>
      </w:r>
      <w:r>
        <w:rPr>
          <w:rFonts w:hint="eastAsia" w:ascii="宋体" w:hAnsi="宋体" w:cs="仿宋"/>
          <w:bCs/>
          <w:sz w:val="24"/>
          <w:szCs w:val="24"/>
        </w:rPr>
        <w:t>从[0,100]整数中随机抽取。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outlineLvl w:val="3"/>
        <w:rPr>
          <w:rFonts w:ascii="宋体"/>
          <w:szCs w:val="21"/>
        </w:rPr>
      </w:pPr>
      <w:r>
        <w:rPr>
          <w:rFonts w:hint="eastAsia" w:ascii="宋体" w:hAnsi="宋体"/>
          <w:szCs w:val="21"/>
        </w:rPr>
        <w:t>附表一：资格审查表</w:t>
      </w:r>
    </w:p>
    <w:p>
      <w:pPr>
        <w:jc w:val="center"/>
        <w:rPr>
          <w:b/>
          <w:sz w:val="32"/>
          <w:szCs w:val="32"/>
        </w:rPr>
      </w:pPr>
      <w:r>
        <w:rPr>
          <w:rFonts w:hint="eastAsia"/>
          <w:b/>
          <w:sz w:val="32"/>
          <w:szCs w:val="32"/>
        </w:rPr>
        <w:t>资格审查表</w:t>
      </w:r>
    </w:p>
    <w:p>
      <w:pPr>
        <w:spacing w:line="360" w:lineRule="auto"/>
        <w:rPr>
          <w:sz w:val="24"/>
          <w:szCs w:val="24"/>
        </w:rPr>
      </w:pPr>
      <w:r>
        <w:rPr>
          <w:rFonts w:hint="eastAsia"/>
          <w:sz w:val="24"/>
          <w:szCs w:val="24"/>
        </w:rPr>
        <w:t>工程名称：</w:t>
      </w:r>
    </w:p>
    <w:p>
      <w:pPr>
        <w:spacing w:line="360" w:lineRule="auto"/>
        <w:rPr>
          <w:sz w:val="24"/>
          <w:szCs w:val="24"/>
        </w:rPr>
      </w:pPr>
      <w:r>
        <w:rPr>
          <w:rFonts w:hint="eastAsia"/>
          <w:sz w:val="24"/>
          <w:szCs w:val="24"/>
        </w:rPr>
        <w:t>投标人名称：</w:t>
      </w:r>
    </w:p>
    <w:tbl>
      <w:tblPr>
        <w:tblStyle w:val="36"/>
        <w:tblW w:w="9189"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60"/>
        <w:gridCol w:w="404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投标人参加投标的意思表达清楚，投标人代表被授权有效。</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投标人均具有独立法人资格，按国家法律经营。</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营业执照在</w:t>
            </w:r>
            <w:r>
              <w:rPr>
                <w:rFonts w:hint="eastAsia" w:ascii="宋体" w:hAnsi="宋体"/>
                <w:b/>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bCs/>
                <w:szCs w:val="21"/>
              </w:rPr>
              <w:t>资质证书及安全生产许可证在</w:t>
            </w:r>
            <w:r>
              <w:rPr>
                <w:rFonts w:hint="eastAsia" w:ascii="宋体" w:hAnsi="宋体"/>
                <w:b/>
                <w:szCs w:val="21"/>
              </w:rPr>
              <w:t>广州市住建行业信用管理平台</w:t>
            </w:r>
            <w:r>
              <w:rPr>
                <w:rFonts w:hint="eastAsia" w:ascii="宋体" w:hAnsi="宋体"/>
                <w:bCs/>
                <w:szCs w:val="21"/>
              </w:rPr>
              <w:t>内上传件</w:t>
            </w:r>
            <w:r>
              <w:rPr>
                <w:rFonts w:hint="eastAsia" w:ascii="宋体"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投标人拟担任本工程的项目负责人符合公告要求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bCs/>
                <w:szCs w:val="21"/>
              </w:rPr>
            </w:pPr>
            <w:r>
              <w:rPr>
                <w:rFonts w:hint="eastAsia" w:ascii="宋体" w:hAnsi="宋体"/>
                <w:b/>
                <w:bCs/>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b/>
                <w:bCs/>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持有项目负责人安全培训考核合格证（</w:t>
            </w:r>
            <w:r>
              <w:rPr>
                <w:rFonts w:ascii="宋体" w:hAnsi="宋体"/>
                <w:bCs/>
                <w:szCs w:val="21"/>
              </w:rPr>
              <w:t>B类）或</w:t>
            </w:r>
            <w:r>
              <w:rPr>
                <w:rFonts w:hint="eastAsia" w:ascii="宋体" w:hAnsi="宋体"/>
                <w:b/>
                <w:szCs w:val="21"/>
              </w:rPr>
              <w:t>建筑施工企业项目负责人安全生产考核合格证</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项目负责人安全培训考核合格证（</w:t>
            </w:r>
            <w:r>
              <w:rPr>
                <w:rFonts w:ascii="宋体" w:hAnsi="宋体"/>
                <w:bCs/>
                <w:szCs w:val="21"/>
              </w:rPr>
              <w:t>B证）</w:t>
            </w:r>
            <w:r>
              <w:rPr>
                <w:rFonts w:hint="eastAsia" w:ascii="宋体" w:hAnsi="宋体"/>
                <w:b/>
                <w:bCs/>
                <w:szCs w:val="21"/>
              </w:rPr>
              <w:t>或建筑施工企业项目负责人安全生产考核合格证</w:t>
            </w:r>
            <w:r>
              <w:rPr>
                <w:rFonts w:hint="eastAsia" w:ascii="宋体" w:hAnsi="宋体"/>
                <w:bCs/>
                <w:szCs w:val="21"/>
              </w:rPr>
              <w:t>在</w:t>
            </w:r>
            <w:r>
              <w:rPr>
                <w:rFonts w:hint="eastAsia" w:ascii="宋体" w:hAnsi="宋体"/>
                <w:b/>
                <w:bCs/>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投标人拟担任本工程技术负责人符合公告要求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拟委派技术负责人的职称证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kern w:val="0"/>
                <w:szCs w:val="21"/>
              </w:rPr>
              <w:t>专职安全员须具有安全生产考核合格证（C类）或</w:t>
            </w:r>
            <w:r>
              <w:rPr>
                <w:rFonts w:hint="eastAsia" w:ascii="宋体" w:hAnsi="宋体"/>
                <w:b/>
                <w:bCs/>
                <w:kern w:val="0"/>
                <w:szCs w:val="21"/>
              </w:rPr>
              <w:t>建筑施工企业专职安全生产管理人员安全生产考核合格证（C3类）</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kern w:val="0"/>
                <w:szCs w:val="21"/>
              </w:rPr>
              <w:t>专职安全员须具有安全生产考核合格证（C类）或</w:t>
            </w:r>
            <w:r>
              <w:rPr>
                <w:rFonts w:hint="eastAsia" w:ascii="宋体" w:hAnsi="宋体"/>
                <w:b/>
                <w:bCs/>
                <w:kern w:val="0"/>
                <w:szCs w:val="21"/>
              </w:rPr>
              <w:t>建筑施工企业专职安全生产管理人员安全生产考核合格证（C3类）</w:t>
            </w:r>
            <w:r>
              <w:rPr>
                <w:rFonts w:hint="eastAsia" w:ascii="宋体" w:hAnsi="宋体"/>
                <w:bCs/>
                <w:szCs w:val="21"/>
              </w:rPr>
              <w:t>在</w:t>
            </w:r>
            <w:r>
              <w:rPr>
                <w:rFonts w:hint="eastAsia" w:ascii="宋体" w:hAnsi="宋体"/>
                <w:b/>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投标人提供的投标人声明符合公告要求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w:t>
            </w:r>
            <w:r>
              <w:rPr>
                <w:rFonts w:hint="eastAsia" w:ascii="宋体" w:hAnsi="宋体"/>
                <w:b/>
                <w:bCs/>
                <w:szCs w:val="21"/>
              </w:rPr>
              <w:t>投标</w:t>
            </w:r>
            <w:r>
              <w:rPr>
                <w:rFonts w:hint="eastAsia" w:ascii="宋体" w:hAnsi="宋体"/>
                <w:szCs w:val="21"/>
              </w:rPr>
              <w:t>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s="宋体"/>
                <w:szCs w:val="21"/>
              </w:rPr>
              <w:t>提供联合体工作协议。投标人拟任本工程项目负责人应为主办方正式员工。联合体工作协议应明确约定各方拟承担的工作和责任（如有）</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资格审查前，投标人须在</w:t>
            </w:r>
            <w:r>
              <w:rPr>
                <w:rFonts w:hint="eastAsia" w:ascii="宋体" w:hAnsi="宋体"/>
                <w:b/>
                <w:szCs w:val="21"/>
              </w:rPr>
              <w:t>广州市住房和城乡建设局建立企业信用档案</w:t>
            </w:r>
            <w:r>
              <w:rPr>
                <w:rFonts w:hint="eastAsia" w:ascii="宋体" w:hAnsi="宋体"/>
                <w:bCs/>
                <w:szCs w:val="21"/>
              </w:rPr>
              <w:t>及拟担任本工程项目负责人、专职安全员须是本企业中的在册人员</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投标人在</w:t>
            </w:r>
            <w:r>
              <w:rPr>
                <w:rFonts w:hint="eastAsia" w:ascii="宋体" w:hAnsi="宋体"/>
                <w:b/>
                <w:szCs w:val="21"/>
              </w:rPr>
              <w:t>广州市住建行业信用管理平台</w:t>
            </w:r>
            <w:r>
              <w:rPr>
                <w:rFonts w:hint="eastAsia" w:ascii="宋体" w:hAnsi="宋体"/>
                <w:bCs/>
                <w:szCs w:val="21"/>
              </w:rPr>
              <w:t>内</w:t>
            </w:r>
            <w:r>
              <w:rPr>
                <w:rFonts w:hint="eastAsia" w:ascii="宋体" w:hAnsi="宋体"/>
                <w:b/>
                <w:szCs w:val="21"/>
              </w:rPr>
              <w:t>企业信用档案</w:t>
            </w:r>
            <w:r>
              <w:rPr>
                <w:rFonts w:hint="eastAsia" w:ascii="宋体" w:hAnsi="宋体"/>
                <w:bCs/>
                <w:szCs w:val="21"/>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bCs/>
                <w:kern w:val="2"/>
                <w:sz w:val="21"/>
                <w:szCs w:val="21"/>
                <w:lang w:val="en-US" w:eastAsia="zh-CN" w:bidi="ar-SA"/>
              </w:rPr>
            </w:pPr>
            <w:r>
              <w:rPr>
                <w:rFonts w:hint="eastAsia" w:ascii="宋体" w:hAnsi="宋体"/>
                <w:bCs/>
                <w:szCs w:val="21"/>
              </w:rPr>
              <w:t>投标人未出现以下情形：与其它投标人的单位负责人为同一人或者存在控股、管理关系的（按投标人提供的《投标人声明》第</w:t>
            </w:r>
            <w:r>
              <w:rPr>
                <w:rFonts w:hint="eastAsia" w:ascii="宋体" w:hAnsi="宋体"/>
                <w:b/>
                <w:bCs/>
                <w:szCs w:val="21"/>
              </w:rPr>
              <w:t>八</w:t>
            </w:r>
            <w:r>
              <w:rPr>
                <w:rFonts w:hint="eastAsia" w:ascii="宋体" w:hAnsi="宋体"/>
                <w:bCs/>
                <w:szCs w:val="21"/>
              </w:rPr>
              <w:t>条内容进行评审）。</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Times New Roman"/>
                <w:kern w:val="2"/>
                <w:sz w:val="21"/>
                <w:szCs w:val="21"/>
                <w:lang w:val="en-US" w:eastAsia="zh-CN" w:bidi="ar-SA"/>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13</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bCs/>
                <w:kern w:val="2"/>
                <w:sz w:val="21"/>
                <w:szCs w:val="21"/>
                <w:lang w:val="en-US" w:eastAsia="zh-CN" w:bidi="ar-SA"/>
              </w:rPr>
            </w:pPr>
            <w:r>
              <w:rPr>
                <w:rFonts w:hint="eastAsia" w:ascii="宋体" w:hAnsi="宋体"/>
                <w:bCs/>
                <w:szCs w:val="21"/>
              </w:rPr>
              <w:t>未被列入拖欠农民工工资失信联合惩戒对象名单</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Times New Roman"/>
                <w:kern w:val="2"/>
                <w:sz w:val="21"/>
                <w:szCs w:val="21"/>
                <w:lang w:val="en-US" w:eastAsia="zh-CN" w:bidi="ar-SA"/>
              </w:rPr>
            </w:pPr>
            <w:r>
              <w:rPr>
                <w:rFonts w:hint="eastAsia" w:ascii="宋体" w:hAnsi="宋体" w:cs="宋体"/>
                <w:b/>
                <w:bCs/>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360" w:lineRule="auto"/>
        <w:ind w:firstLine="470" w:firstLineChars="224"/>
        <w:rPr>
          <w:rFonts w:ascii="宋体"/>
          <w:szCs w:val="21"/>
        </w:rPr>
      </w:pPr>
      <w:r>
        <w:rPr>
          <w:rFonts w:hint="eastAsia" w:ascii="宋体" w:hAnsi="宋体"/>
          <w:szCs w:val="21"/>
        </w:rPr>
        <w:t>备注：</w:t>
      </w:r>
    </w:p>
    <w:p>
      <w:pPr>
        <w:spacing w:line="36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pStyle w:val="8"/>
      </w:pPr>
    </w:p>
    <w:p>
      <w:pPr>
        <w:rPr>
          <w:szCs w:val="21"/>
        </w:rPr>
        <w:sectPr>
          <w:headerReference r:id="rId3" w:type="default"/>
          <w:footerReference r:id="rId4" w:type="default"/>
          <w:endnotePr>
            <w:numFmt w:val="decimal"/>
          </w:endnotePr>
          <w:pgSz w:w="11906" w:h="16838"/>
          <w:pgMar w:top="1417" w:right="1417" w:bottom="1417" w:left="1417" w:header="851" w:footer="680" w:gutter="0"/>
          <w:pgNumType w:start="1"/>
          <w:cols w:space="720" w:num="1"/>
          <w:docGrid w:type="lines" w:linePitch="312" w:charSpace="0"/>
        </w:sectPr>
      </w:pPr>
    </w:p>
    <w:p>
      <w:pPr>
        <w:widowControl/>
        <w:snapToGrid w:val="0"/>
        <w:spacing w:line="360" w:lineRule="auto"/>
        <w:ind w:right="102"/>
        <w:jc w:val="left"/>
        <w:outlineLvl w:val="3"/>
        <w:rPr>
          <w:rFonts w:ascii="宋体" w:hAnsi="宋体"/>
          <w:szCs w:val="21"/>
        </w:rPr>
      </w:pPr>
      <w:r>
        <w:rPr>
          <w:rFonts w:hint="eastAsia" w:ascii="宋体" w:hAnsi="宋体"/>
          <w:szCs w:val="21"/>
        </w:rPr>
        <w:t>附表二：技术标有效性审查表</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485"/>
        <w:gridCol w:w="1422"/>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485"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不能满足完成投标项目工期的；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不符合招标文件及有关技术规格、质量要求、检验标准和方法的；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投标文件未按规定的格式（投标文件格式二、格式三、格式五、格式六、格式七）填写，或主要内容不全，或关键字迹模糊、无法辨认的；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outlineLvl w:val="3"/>
        <w:rPr>
          <w:szCs w:val="21"/>
        </w:rPr>
      </w:pPr>
      <w:r>
        <w:br w:type="page"/>
      </w:r>
      <w:r>
        <w:rPr>
          <w:rFonts w:hint="eastAsia"/>
          <w:szCs w:val="21"/>
        </w:rPr>
        <w:t>附表三：经济标有效性审查表</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投标文件未按规定的格式（格式一）填写，或主要内容不全，或关键字迹模糊、无法辨认的；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5"/>
        <w:ind w:firstLine="458"/>
        <w:rPr>
          <w:rFonts w:ascii="宋体" w:hAnsi="宋体"/>
          <w:szCs w:val="21"/>
        </w:rPr>
      </w:pPr>
      <w:r>
        <w:rPr>
          <w:rFonts w:hint="eastAsia" w:ascii="宋体" w:hAnsi="宋体"/>
          <w:szCs w:val="21"/>
        </w:rPr>
        <w:t>评委签名：</w:t>
      </w:r>
    </w:p>
    <w:p>
      <w:pPr>
        <w:pStyle w:val="5"/>
        <w:ind w:firstLine="458"/>
        <w:rPr>
          <w:rFonts w:ascii="宋体" w:hAnsi="宋体"/>
          <w:szCs w:val="21"/>
        </w:rPr>
      </w:pPr>
    </w:p>
    <w:p>
      <w:pPr>
        <w:rPr>
          <w:szCs w:val="21"/>
        </w:rPr>
        <w:sectPr>
          <w:headerReference r:id="rId5" w:type="default"/>
          <w:footerReference r:id="rId6" w:type="default"/>
          <w:endnotePr>
            <w:numFmt w:val="decimal"/>
          </w:endnotePr>
          <w:pgSz w:w="16838" w:h="11906" w:orient="landscape"/>
          <w:pgMar w:top="1417" w:right="1417" w:bottom="1417" w:left="1417" w:header="851" w:footer="680" w:gutter="0"/>
          <w:cols w:space="720" w:num="1"/>
          <w:docGrid w:type="lines" w:linePitch="312" w:charSpace="0"/>
        </w:sectPr>
      </w:pPr>
    </w:p>
    <w:p>
      <w:pPr>
        <w:outlineLvl w:val="3"/>
        <w:rPr>
          <w:szCs w:val="21"/>
        </w:rPr>
      </w:pPr>
      <w:r>
        <w:rPr>
          <w:rFonts w:hint="eastAsia"/>
          <w:szCs w:val="21"/>
        </w:rPr>
        <w:t>附表四：技术标详细审查评分表</w:t>
      </w:r>
    </w:p>
    <w:p>
      <w:pPr>
        <w:jc w:val="center"/>
        <w:rPr>
          <w:rFonts w:ascii="宋体" w:hAnsi="宋体"/>
          <w:b/>
          <w:bCs/>
          <w:sz w:val="36"/>
          <w:szCs w:val="36"/>
        </w:rPr>
      </w:pPr>
      <w:r>
        <w:rPr>
          <w:rFonts w:hint="eastAsia" w:ascii="宋体" w:hAnsi="宋体"/>
          <w:b/>
          <w:bCs/>
          <w:sz w:val="36"/>
          <w:szCs w:val="36"/>
        </w:rPr>
        <w:t>技术标详细审查评分表</w:t>
      </w:r>
    </w:p>
    <w:p>
      <w:pPr>
        <w:rPr>
          <w:rFonts w:ascii="宋体" w:hAnsi="宋体"/>
          <w:szCs w:val="21"/>
        </w:rPr>
      </w:pPr>
      <w:r>
        <w:rPr>
          <w:rFonts w:hint="eastAsia" w:ascii="宋体" w:hAnsi="宋体"/>
        </w:rPr>
        <w:t>工程名称：</w:t>
      </w:r>
    </w:p>
    <w:tbl>
      <w:tblPr>
        <w:tblStyle w:val="36"/>
        <w:tblW w:w="14589" w:type="dxa"/>
        <w:jc w:val="center"/>
        <w:tblLayout w:type="fixed"/>
        <w:tblCellMar>
          <w:top w:w="0" w:type="dxa"/>
          <w:left w:w="108" w:type="dxa"/>
          <w:bottom w:w="0" w:type="dxa"/>
          <w:right w:w="108" w:type="dxa"/>
        </w:tblCellMar>
      </w:tblPr>
      <w:tblGrid>
        <w:gridCol w:w="1105"/>
        <w:gridCol w:w="1303"/>
        <w:gridCol w:w="727"/>
        <w:gridCol w:w="11454"/>
      </w:tblGrid>
      <w:tr>
        <w:tblPrEx>
          <w:tblCellMar>
            <w:top w:w="0" w:type="dxa"/>
            <w:left w:w="108" w:type="dxa"/>
            <w:bottom w:w="0" w:type="dxa"/>
            <w:right w:w="108" w:type="dxa"/>
          </w:tblCellMar>
        </w:tblPrEx>
        <w:trPr>
          <w:trHeight w:val="420" w:hRule="atLeast"/>
          <w:tblHeader/>
          <w:jc w:val="center"/>
        </w:trPr>
        <w:tc>
          <w:tcPr>
            <w:tcW w:w="1105" w:type="dxa"/>
            <w:tcBorders>
              <w:top w:val="single" w:color="auto" w:sz="8" w:space="0"/>
              <w:left w:val="single" w:color="auto" w:sz="8"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评分项目</w:t>
            </w:r>
          </w:p>
        </w:tc>
        <w:tc>
          <w:tcPr>
            <w:tcW w:w="1303" w:type="dxa"/>
            <w:tcBorders>
              <w:top w:val="single" w:color="auto" w:sz="8" w:space="0"/>
              <w:left w:val="nil"/>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评分内容</w:t>
            </w:r>
          </w:p>
        </w:tc>
        <w:tc>
          <w:tcPr>
            <w:tcW w:w="727" w:type="dxa"/>
            <w:tcBorders>
              <w:top w:val="single" w:color="auto" w:sz="8" w:space="0"/>
              <w:left w:val="nil"/>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分值</w:t>
            </w:r>
          </w:p>
        </w:tc>
        <w:tc>
          <w:tcPr>
            <w:tcW w:w="11454" w:type="dxa"/>
            <w:tcBorders>
              <w:top w:val="single" w:color="auto" w:sz="8" w:space="0"/>
              <w:left w:val="nil"/>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评审标准</w:t>
            </w:r>
          </w:p>
        </w:tc>
      </w:tr>
      <w:tr>
        <w:tblPrEx>
          <w:tblCellMar>
            <w:top w:w="0" w:type="dxa"/>
            <w:left w:w="108" w:type="dxa"/>
            <w:bottom w:w="0" w:type="dxa"/>
            <w:right w:w="108" w:type="dxa"/>
          </w:tblCellMar>
        </w:tblPrEx>
        <w:trPr>
          <w:cantSplit/>
          <w:trHeight w:val="685" w:hRule="atLeast"/>
          <w:jc w:val="center"/>
        </w:trPr>
        <w:tc>
          <w:tcPr>
            <w:tcW w:w="1105" w:type="dxa"/>
            <w:vMerge w:val="restart"/>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一、项目管理机构能力（1</w:t>
            </w:r>
            <w:r>
              <w:rPr>
                <w:rFonts w:ascii="宋体" w:hAnsi="宋体" w:cs="宋体"/>
                <w:kern w:val="0"/>
                <w:szCs w:val="21"/>
              </w:rPr>
              <w:t>4</w:t>
            </w:r>
            <w:r>
              <w:rPr>
                <w:rFonts w:hint="eastAsia" w:ascii="宋体" w:hAnsi="宋体" w:cs="宋体"/>
                <w:kern w:val="0"/>
                <w:szCs w:val="21"/>
              </w:rPr>
              <w:t>分）</w:t>
            </w:r>
          </w:p>
        </w:tc>
        <w:tc>
          <w:tcPr>
            <w:tcW w:w="1303"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rPr>
            </w:pPr>
            <w:r>
              <w:rPr>
                <w:rFonts w:hint="eastAsia" w:ascii="宋体" w:hAnsi="宋体" w:cs="宋体"/>
                <w:kern w:val="0"/>
                <w:szCs w:val="21"/>
              </w:rPr>
              <w:t>技术负责人</w:t>
            </w:r>
          </w:p>
        </w:tc>
        <w:tc>
          <w:tcPr>
            <w:tcW w:w="727"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s="宋体"/>
                <w:kern w:val="0"/>
                <w:szCs w:val="21"/>
              </w:rPr>
            </w:pPr>
            <w:r>
              <w:rPr>
                <w:rFonts w:hint="eastAsia" w:ascii="宋体" w:hAnsi="宋体" w:cs="宋体"/>
                <w:color w:val="000000"/>
                <w:szCs w:val="21"/>
              </w:rPr>
              <w:t>5</w:t>
            </w:r>
          </w:p>
        </w:tc>
        <w:tc>
          <w:tcPr>
            <w:tcW w:w="11454"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lang w:bidi="ar"/>
              </w:rPr>
            </w:pPr>
            <w:r>
              <w:rPr>
                <w:rFonts w:hint="eastAsia" w:ascii="宋体" w:hAnsi="宋体" w:cs="宋体"/>
                <w:kern w:val="0"/>
                <w:szCs w:val="21"/>
                <w:lang w:bidi="ar"/>
              </w:rPr>
              <w:t>（1）</w:t>
            </w:r>
            <w:r>
              <w:rPr>
                <w:rFonts w:hint="eastAsia" w:ascii="Times New Roman" w:hAnsi="Times New Roman"/>
                <w:szCs w:val="21"/>
              </w:rPr>
              <w:t>技术负责人具有建筑工程相关专业高级工程师或以上技术职称的，得3分</w:t>
            </w:r>
            <w:r>
              <w:rPr>
                <w:rFonts w:hint="eastAsia" w:ascii="宋体" w:hAnsi="宋体" w:cs="宋体"/>
                <w:kern w:val="0"/>
                <w:szCs w:val="21"/>
                <w:lang w:bidi="ar"/>
              </w:rPr>
              <w:t>。</w:t>
            </w:r>
          </w:p>
          <w:p>
            <w:pPr>
              <w:snapToGrid w:val="0"/>
              <w:spacing w:line="360" w:lineRule="auto"/>
              <w:rPr>
                <w:rFonts w:ascii="宋体" w:hAnsi="宋体" w:cs="宋体"/>
                <w:kern w:val="0"/>
                <w:szCs w:val="21"/>
                <w:lang w:bidi="ar"/>
              </w:rPr>
            </w:pPr>
            <w:r>
              <w:rPr>
                <w:rFonts w:hint="eastAsia" w:ascii="宋体" w:hAnsi="宋体" w:cs="宋体"/>
                <w:kern w:val="0"/>
                <w:szCs w:val="21"/>
                <w:lang w:bidi="ar"/>
              </w:rPr>
              <w:t>（2）技术负责人具有工作经验：10年或以上（含），得2分；5年（含）至10年（不含），得1分；1（含）-5（不含）年，得</w:t>
            </w:r>
            <w:r>
              <w:rPr>
                <w:rFonts w:ascii="宋体" w:hAnsi="宋体" w:cs="宋体"/>
                <w:kern w:val="0"/>
                <w:szCs w:val="21"/>
                <w:lang w:bidi="ar"/>
              </w:rPr>
              <w:t>0.</w:t>
            </w:r>
            <w:r>
              <w:rPr>
                <w:rFonts w:hint="eastAsia" w:ascii="宋体" w:hAnsi="宋体" w:cs="宋体"/>
                <w:kern w:val="0"/>
                <w:szCs w:val="21"/>
                <w:lang w:bidi="ar"/>
              </w:rPr>
              <w:t>5分。不满足上述条件的不得分，本小项最高得2分。</w:t>
            </w:r>
          </w:p>
        </w:tc>
      </w:tr>
      <w:tr>
        <w:tblPrEx>
          <w:tblCellMar>
            <w:top w:w="0" w:type="dxa"/>
            <w:left w:w="108" w:type="dxa"/>
            <w:bottom w:w="0" w:type="dxa"/>
            <w:right w:w="108" w:type="dxa"/>
          </w:tblCellMar>
        </w:tblPrEx>
        <w:trPr>
          <w:cantSplit/>
          <w:trHeight w:val="685" w:hRule="atLeast"/>
          <w:jc w:val="center"/>
        </w:trPr>
        <w:tc>
          <w:tcPr>
            <w:tcW w:w="1105" w:type="dxa"/>
            <w:vMerge w:val="continue"/>
            <w:tcBorders>
              <w:left w:val="single" w:color="auto" w:sz="8" w:space="0"/>
              <w:right w:val="single" w:color="auto" w:sz="4" w:space="0"/>
            </w:tcBorders>
            <w:vAlign w:val="center"/>
          </w:tcPr>
          <w:p>
            <w:pPr>
              <w:spacing w:line="360" w:lineRule="auto"/>
              <w:rPr>
                <w:rFonts w:ascii="宋体" w:hAnsi="宋体" w:cs="宋体"/>
                <w:kern w:val="0"/>
                <w:szCs w:val="21"/>
              </w:rPr>
            </w:pPr>
          </w:p>
        </w:tc>
        <w:tc>
          <w:tcPr>
            <w:tcW w:w="1303"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rPr>
            </w:pPr>
            <w:r>
              <w:rPr>
                <w:rFonts w:hint="eastAsia" w:ascii="宋体" w:hAnsi="宋体" w:cs="宋体"/>
                <w:kern w:val="0"/>
                <w:szCs w:val="21"/>
                <w:lang w:bidi="ar"/>
              </w:rPr>
              <w:t>安全负责人</w:t>
            </w:r>
          </w:p>
        </w:tc>
        <w:tc>
          <w:tcPr>
            <w:tcW w:w="727"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s="宋体"/>
                <w:kern w:val="0"/>
                <w:szCs w:val="21"/>
              </w:rPr>
            </w:pPr>
            <w:r>
              <w:rPr>
                <w:rFonts w:hint="eastAsia" w:ascii="宋体" w:hAnsi="宋体" w:cs="宋体"/>
                <w:color w:val="000000"/>
                <w:szCs w:val="21"/>
              </w:rPr>
              <w:t>3</w:t>
            </w:r>
          </w:p>
        </w:tc>
        <w:tc>
          <w:tcPr>
            <w:tcW w:w="11454"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lang w:bidi="ar"/>
              </w:rPr>
            </w:pPr>
            <w:r>
              <w:rPr>
                <w:rFonts w:hint="eastAsia" w:ascii="宋体" w:hAnsi="宋体" w:cs="宋体"/>
                <w:kern w:val="0"/>
                <w:szCs w:val="21"/>
                <w:lang w:bidi="ar"/>
              </w:rPr>
              <w:t>（1）安全负责人具有有效期内的注册安全工程师证书，</w:t>
            </w:r>
            <w:r>
              <w:rPr>
                <w:rFonts w:hint="eastAsia" w:ascii="宋体" w:hAnsi="宋体" w:cs="宋体"/>
                <w:color w:val="333333"/>
                <w:szCs w:val="21"/>
              </w:rPr>
              <w:t>具有建筑工程相关专业工程师或以上技术职称，</w:t>
            </w:r>
            <w:r>
              <w:rPr>
                <w:rFonts w:hint="eastAsia" w:ascii="宋体" w:hAnsi="宋体" w:cs="宋体"/>
                <w:kern w:val="0"/>
                <w:szCs w:val="21"/>
                <w:lang w:bidi="ar"/>
              </w:rPr>
              <w:t>得1分；不满足上述条件的不得分，本小项最高得1分。</w:t>
            </w:r>
          </w:p>
          <w:p>
            <w:pPr>
              <w:snapToGrid w:val="0"/>
              <w:spacing w:line="360" w:lineRule="auto"/>
              <w:rPr>
                <w:rFonts w:ascii="宋体" w:hAnsi="宋体" w:cs="宋体"/>
                <w:kern w:val="0"/>
                <w:szCs w:val="21"/>
                <w:lang w:bidi="ar"/>
              </w:rPr>
            </w:pPr>
            <w:r>
              <w:rPr>
                <w:rFonts w:hint="eastAsia" w:ascii="宋体" w:hAnsi="宋体" w:cs="宋体"/>
                <w:kern w:val="0"/>
                <w:szCs w:val="21"/>
                <w:lang w:bidi="ar"/>
              </w:rPr>
              <w:t>（2）安全负责人具有安全生产考核合格证（B类或C类）或建筑施工企业项目负责人安全生产考核合格证书或建筑施工企业专职安全生产管理人员安全生产考核合格证书（C3类），得1分；不满足上述条件的不得分，本小项最高得1分。</w:t>
            </w:r>
          </w:p>
          <w:p>
            <w:pPr>
              <w:snapToGrid w:val="0"/>
              <w:spacing w:line="360" w:lineRule="auto"/>
              <w:rPr>
                <w:rFonts w:ascii="宋体" w:hAnsi="宋体" w:cs="宋体"/>
                <w:kern w:val="0"/>
                <w:szCs w:val="21"/>
                <w:lang w:bidi="ar"/>
              </w:rPr>
            </w:pPr>
            <w:r>
              <w:rPr>
                <w:rFonts w:hint="eastAsia" w:ascii="宋体" w:hAnsi="宋体" w:cs="宋体"/>
                <w:kern w:val="0"/>
                <w:szCs w:val="21"/>
                <w:lang w:bidi="ar"/>
              </w:rPr>
              <w:t>（3）安全负责人具有工作经验：10年或以上（含），得1分；5年（含）至10年（不含），得</w:t>
            </w:r>
            <w:r>
              <w:rPr>
                <w:rFonts w:ascii="宋体" w:hAnsi="宋体" w:cs="宋体"/>
                <w:kern w:val="0"/>
                <w:szCs w:val="21"/>
                <w:lang w:bidi="ar"/>
              </w:rPr>
              <w:t>0.</w:t>
            </w:r>
            <w:r>
              <w:rPr>
                <w:rFonts w:hint="eastAsia" w:ascii="宋体" w:hAnsi="宋体" w:cs="宋体"/>
                <w:kern w:val="0"/>
                <w:szCs w:val="21"/>
                <w:lang w:bidi="ar"/>
              </w:rPr>
              <w:t>5分；1（含）-5（不含）年，得</w:t>
            </w:r>
            <w:r>
              <w:rPr>
                <w:rFonts w:ascii="宋体" w:hAnsi="宋体" w:cs="宋体"/>
                <w:kern w:val="0"/>
                <w:szCs w:val="21"/>
                <w:lang w:bidi="ar"/>
              </w:rPr>
              <w:t>0.1</w:t>
            </w:r>
            <w:r>
              <w:rPr>
                <w:rFonts w:hint="eastAsia" w:ascii="宋体" w:hAnsi="宋体" w:cs="宋体"/>
                <w:kern w:val="0"/>
                <w:szCs w:val="21"/>
                <w:lang w:bidi="ar"/>
              </w:rPr>
              <w:t>分。不满足上述条件的不得分，本小项最高得1分。</w:t>
            </w:r>
          </w:p>
        </w:tc>
      </w:tr>
      <w:tr>
        <w:tblPrEx>
          <w:tblCellMar>
            <w:top w:w="0" w:type="dxa"/>
            <w:left w:w="108" w:type="dxa"/>
            <w:bottom w:w="0" w:type="dxa"/>
            <w:right w:w="108" w:type="dxa"/>
          </w:tblCellMar>
        </w:tblPrEx>
        <w:trPr>
          <w:cantSplit/>
          <w:trHeight w:val="564" w:hRule="atLeast"/>
          <w:jc w:val="center"/>
        </w:trPr>
        <w:tc>
          <w:tcPr>
            <w:tcW w:w="1105"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rPr>
            </w:pPr>
            <w:r>
              <w:rPr>
                <w:rFonts w:hint="eastAsia" w:ascii="宋体" w:hAnsi="宋体" w:cs="宋体"/>
                <w:kern w:val="0"/>
                <w:szCs w:val="21"/>
                <w:lang w:bidi="ar"/>
              </w:rPr>
              <w:t>质量负责人</w:t>
            </w:r>
          </w:p>
        </w:tc>
        <w:tc>
          <w:tcPr>
            <w:tcW w:w="727"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s="宋体"/>
                <w:kern w:val="0"/>
                <w:szCs w:val="21"/>
              </w:rPr>
            </w:pPr>
            <w:r>
              <w:rPr>
                <w:rFonts w:hint="eastAsia" w:ascii="宋体" w:hAnsi="宋体" w:cs="宋体"/>
                <w:color w:val="000000"/>
                <w:szCs w:val="21"/>
              </w:rPr>
              <w:t>3</w:t>
            </w:r>
          </w:p>
        </w:tc>
        <w:tc>
          <w:tcPr>
            <w:tcW w:w="11454"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lang w:bidi="ar"/>
              </w:rPr>
            </w:pPr>
            <w:r>
              <w:rPr>
                <w:rFonts w:hint="eastAsia" w:ascii="宋体" w:hAnsi="宋体" w:cs="宋体"/>
                <w:kern w:val="0"/>
                <w:szCs w:val="21"/>
                <w:lang w:bidi="ar"/>
              </w:rPr>
              <w:t>（1）质量负责人具有建筑工程类相关专业高级或以上工程师职称，得2分；具有建筑工程类相关专业中级工程师职称的，得1分。不满足上述条件的不得分，本小项最高得2分。</w:t>
            </w:r>
          </w:p>
          <w:p>
            <w:pPr>
              <w:snapToGrid w:val="0"/>
              <w:spacing w:line="360" w:lineRule="auto"/>
              <w:rPr>
                <w:rFonts w:ascii="宋体" w:hAnsi="宋体" w:cs="宋体"/>
                <w:kern w:val="0"/>
                <w:szCs w:val="21"/>
                <w:lang w:bidi="ar"/>
              </w:rPr>
            </w:pPr>
            <w:r>
              <w:rPr>
                <w:rFonts w:hint="eastAsia" w:ascii="宋体" w:hAnsi="宋体" w:cs="宋体"/>
                <w:kern w:val="0"/>
                <w:szCs w:val="21"/>
                <w:lang w:bidi="ar"/>
              </w:rPr>
              <w:t>（2）质量负责人具有工作经验：10年或以上（含），得1分；5年（含）至10年（不含），得</w:t>
            </w:r>
            <w:r>
              <w:rPr>
                <w:rFonts w:ascii="宋体" w:hAnsi="宋体" w:cs="宋体"/>
                <w:kern w:val="0"/>
                <w:szCs w:val="21"/>
                <w:lang w:bidi="ar"/>
              </w:rPr>
              <w:t>0.</w:t>
            </w:r>
            <w:r>
              <w:rPr>
                <w:rFonts w:hint="eastAsia" w:ascii="宋体" w:hAnsi="宋体" w:cs="宋体"/>
                <w:kern w:val="0"/>
                <w:szCs w:val="21"/>
                <w:lang w:bidi="ar"/>
              </w:rPr>
              <w:t>5分；1（含）-5（不含）年，得</w:t>
            </w:r>
            <w:r>
              <w:rPr>
                <w:rFonts w:ascii="宋体" w:hAnsi="宋体" w:cs="宋体"/>
                <w:kern w:val="0"/>
                <w:szCs w:val="21"/>
                <w:lang w:bidi="ar"/>
              </w:rPr>
              <w:t>0.1</w:t>
            </w:r>
            <w:r>
              <w:rPr>
                <w:rFonts w:hint="eastAsia" w:ascii="宋体" w:hAnsi="宋体" w:cs="宋体"/>
                <w:kern w:val="0"/>
                <w:szCs w:val="21"/>
                <w:lang w:bidi="ar"/>
              </w:rPr>
              <w:t>分。不满足上述条件的不得分，本小项最高得1分。</w:t>
            </w:r>
          </w:p>
        </w:tc>
      </w:tr>
      <w:tr>
        <w:tblPrEx>
          <w:tblCellMar>
            <w:top w:w="0" w:type="dxa"/>
            <w:left w:w="108" w:type="dxa"/>
            <w:bottom w:w="0" w:type="dxa"/>
            <w:right w:w="108" w:type="dxa"/>
          </w:tblCellMar>
        </w:tblPrEx>
        <w:trPr>
          <w:cantSplit/>
          <w:trHeight w:val="746" w:hRule="atLeast"/>
          <w:jc w:val="center"/>
        </w:trPr>
        <w:tc>
          <w:tcPr>
            <w:tcW w:w="1105" w:type="dxa"/>
            <w:vMerge w:val="continue"/>
            <w:tcBorders>
              <w:top w:val="single" w:color="auto" w:sz="4" w:space="0"/>
              <w:left w:val="single" w:color="auto" w:sz="8"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rPr>
            </w:pPr>
            <w:r>
              <w:rPr>
                <w:rFonts w:hint="eastAsia" w:ascii="宋体" w:hAnsi="宋体" w:cs="宋体"/>
                <w:kern w:val="0"/>
                <w:szCs w:val="21"/>
                <w:lang w:bidi="ar"/>
              </w:rPr>
              <w:t>造价负责人</w:t>
            </w:r>
          </w:p>
        </w:tc>
        <w:tc>
          <w:tcPr>
            <w:tcW w:w="727"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s="宋体"/>
                <w:kern w:val="0"/>
                <w:szCs w:val="21"/>
              </w:rPr>
            </w:pPr>
            <w:r>
              <w:rPr>
                <w:rFonts w:hint="eastAsia" w:ascii="宋体" w:hAnsi="宋体" w:cs="宋体"/>
                <w:color w:val="000000"/>
                <w:szCs w:val="21"/>
              </w:rPr>
              <w:t>3</w:t>
            </w:r>
          </w:p>
        </w:tc>
        <w:tc>
          <w:tcPr>
            <w:tcW w:w="11454" w:type="dxa"/>
            <w:tcBorders>
              <w:top w:val="single" w:color="auto" w:sz="4" w:space="0"/>
              <w:left w:val="nil"/>
              <w:bottom w:val="single" w:color="auto" w:sz="4" w:space="0"/>
              <w:right w:val="single" w:color="auto" w:sz="4" w:space="0"/>
            </w:tcBorders>
            <w:vAlign w:val="center"/>
          </w:tcPr>
          <w:p>
            <w:pPr>
              <w:snapToGrid w:val="0"/>
              <w:spacing w:line="360" w:lineRule="auto"/>
              <w:rPr>
                <w:rFonts w:ascii="宋体" w:hAnsi="宋体" w:cs="宋体"/>
                <w:kern w:val="0"/>
                <w:szCs w:val="21"/>
                <w:lang w:bidi="ar"/>
              </w:rPr>
            </w:pPr>
            <w:r>
              <w:rPr>
                <w:rFonts w:hint="eastAsia" w:ascii="宋体" w:hAnsi="宋体" w:cs="宋体"/>
                <w:kern w:val="0"/>
                <w:szCs w:val="21"/>
                <w:lang w:bidi="ar"/>
              </w:rPr>
              <w:t>（1）造价负责人具有有效期内一级注册造价工程师证书，得2分；具有有效期内二级注册造价工程师证书，得1分；不满足上述条件的不得分，本小项最高得2分。</w:t>
            </w:r>
          </w:p>
          <w:p>
            <w:pPr>
              <w:snapToGrid w:val="0"/>
              <w:spacing w:line="360" w:lineRule="auto"/>
              <w:rPr>
                <w:rFonts w:ascii="宋体" w:hAnsi="宋体" w:cs="宋体"/>
                <w:kern w:val="0"/>
                <w:szCs w:val="21"/>
                <w:lang w:bidi="ar"/>
              </w:rPr>
            </w:pPr>
            <w:r>
              <w:rPr>
                <w:rFonts w:hint="eastAsia" w:ascii="宋体" w:hAnsi="宋体" w:cs="宋体"/>
                <w:kern w:val="0"/>
                <w:szCs w:val="21"/>
                <w:lang w:bidi="ar"/>
              </w:rPr>
              <w:t>（2）造价负责人具有工作经验：10年或以上（含），得1分；5年（含）至10年（不含），得</w:t>
            </w:r>
            <w:r>
              <w:rPr>
                <w:rFonts w:ascii="宋体" w:hAnsi="宋体" w:cs="宋体"/>
                <w:kern w:val="0"/>
                <w:szCs w:val="21"/>
                <w:lang w:bidi="ar"/>
              </w:rPr>
              <w:t>0.</w:t>
            </w:r>
            <w:r>
              <w:rPr>
                <w:rFonts w:hint="eastAsia" w:ascii="宋体" w:hAnsi="宋体" w:cs="宋体"/>
                <w:kern w:val="0"/>
                <w:szCs w:val="21"/>
                <w:lang w:bidi="ar"/>
              </w:rPr>
              <w:t>5分；具有1（含）-5（不含）年，得</w:t>
            </w:r>
            <w:r>
              <w:rPr>
                <w:rFonts w:ascii="宋体" w:hAnsi="宋体" w:cs="宋体"/>
                <w:kern w:val="0"/>
                <w:szCs w:val="21"/>
                <w:lang w:bidi="ar"/>
              </w:rPr>
              <w:t>0.1</w:t>
            </w:r>
            <w:r>
              <w:rPr>
                <w:rFonts w:hint="eastAsia" w:ascii="宋体" w:hAnsi="宋体" w:cs="宋体"/>
                <w:kern w:val="0"/>
                <w:szCs w:val="21"/>
                <w:lang w:bidi="ar"/>
              </w:rPr>
              <w:t>分。不满足上述条件的不得分，本小项最高得1分。</w:t>
            </w:r>
          </w:p>
        </w:tc>
      </w:tr>
      <w:tr>
        <w:tblPrEx>
          <w:tblCellMar>
            <w:top w:w="0" w:type="dxa"/>
            <w:left w:w="108" w:type="dxa"/>
            <w:bottom w:w="0" w:type="dxa"/>
            <w:right w:w="108" w:type="dxa"/>
          </w:tblCellMar>
        </w:tblPrEx>
        <w:trPr>
          <w:cantSplit/>
          <w:trHeight w:val="833" w:hRule="exact"/>
          <w:jc w:val="center"/>
        </w:trPr>
        <w:tc>
          <w:tcPr>
            <w:tcW w:w="1105"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二</w:t>
            </w:r>
            <w:r>
              <w:rPr>
                <w:rFonts w:ascii="宋体" w:hAnsi="宋体" w:cs="宋体"/>
                <w:kern w:val="0"/>
                <w:szCs w:val="21"/>
              </w:rPr>
              <w:t>、</w:t>
            </w:r>
            <w:r>
              <w:rPr>
                <w:rFonts w:hint="eastAsia" w:ascii="宋体" w:hAnsi="宋体" w:cs="宋体"/>
                <w:kern w:val="0"/>
                <w:szCs w:val="21"/>
              </w:rPr>
              <w:t>资信部分（</w:t>
            </w:r>
            <w:r>
              <w:rPr>
                <w:rFonts w:ascii="宋体" w:hAnsi="宋体" w:cs="宋体"/>
                <w:kern w:val="0"/>
                <w:szCs w:val="21"/>
              </w:rPr>
              <w:t>6</w:t>
            </w:r>
            <w:r>
              <w:rPr>
                <w:rFonts w:hint="eastAsia" w:ascii="宋体" w:hAnsi="宋体" w:cs="宋体"/>
                <w:kern w:val="0"/>
                <w:szCs w:val="21"/>
              </w:rPr>
              <w:t>分）</w:t>
            </w:r>
          </w:p>
        </w:tc>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工程业绩</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ascii="宋体" w:hAnsi="宋体" w:cs="宋体"/>
                <w:kern w:val="0"/>
                <w:szCs w:val="21"/>
                <w:lang w:bidi="ar"/>
              </w:rPr>
              <w:t>1.6</w:t>
            </w:r>
          </w:p>
        </w:tc>
        <w:tc>
          <w:tcPr>
            <w:tcW w:w="11454" w:type="dxa"/>
            <w:tcBorders>
              <w:top w:val="single" w:color="auto" w:sz="4" w:space="0"/>
              <w:left w:val="single" w:color="auto" w:sz="4" w:space="0"/>
              <w:bottom w:val="single" w:color="auto" w:sz="4" w:space="0"/>
              <w:right w:val="single" w:color="auto" w:sz="4" w:space="0"/>
            </w:tcBorders>
            <w:vAlign w:val="center"/>
          </w:tcPr>
          <w:p>
            <w:pPr>
              <w:spacing w:line="360" w:lineRule="auto"/>
              <w:ind w:right="134" w:rightChars="64"/>
              <w:rPr>
                <w:rFonts w:ascii="宋体" w:hAnsi="宋体" w:cs="宋体"/>
                <w:kern w:val="0"/>
                <w:szCs w:val="21"/>
              </w:rPr>
            </w:pPr>
            <w:r>
              <w:rPr>
                <w:rFonts w:hint="eastAsia" w:ascii="宋体" w:hAnsi="宋体" w:cs="宋体"/>
                <w:kern w:val="0"/>
                <w:szCs w:val="21"/>
                <w:lang w:bidi="ar"/>
              </w:rPr>
              <w:t>投标人自2019年 1月 1日至投标截止时间止，完成过质量合格且中标金额大于或等于4</w:t>
            </w:r>
            <w:r>
              <w:rPr>
                <w:rFonts w:ascii="宋体" w:hAnsi="宋体" w:cs="宋体"/>
                <w:kern w:val="0"/>
                <w:szCs w:val="21"/>
                <w:lang w:bidi="ar"/>
              </w:rPr>
              <w:t>00</w:t>
            </w:r>
            <w:r>
              <w:rPr>
                <w:rFonts w:hint="eastAsia" w:ascii="宋体" w:hAnsi="宋体" w:cs="宋体"/>
                <w:kern w:val="0"/>
                <w:szCs w:val="21"/>
                <w:lang w:bidi="ar"/>
              </w:rPr>
              <w:t>万元的建筑工程施工总承包业绩，每一项得</w:t>
            </w:r>
            <w:r>
              <w:rPr>
                <w:rFonts w:ascii="宋体" w:hAnsi="宋体" w:cs="宋体"/>
                <w:kern w:val="0"/>
                <w:szCs w:val="21"/>
                <w:lang w:bidi="ar"/>
              </w:rPr>
              <w:t>0.2</w:t>
            </w:r>
            <w:r>
              <w:rPr>
                <w:rFonts w:hint="eastAsia" w:ascii="宋体" w:hAnsi="宋体" w:cs="宋体"/>
                <w:kern w:val="0"/>
                <w:szCs w:val="21"/>
                <w:lang w:bidi="ar"/>
              </w:rPr>
              <w:t>分，本项最高得</w:t>
            </w:r>
            <w:r>
              <w:rPr>
                <w:rFonts w:ascii="宋体" w:hAnsi="宋体" w:cs="宋体"/>
                <w:kern w:val="0"/>
                <w:szCs w:val="21"/>
                <w:lang w:bidi="ar"/>
              </w:rPr>
              <w:t>1.6</w:t>
            </w:r>
            <w:r>
              <w:rPr>
                <w:rFonts w:hint="eastAsia" w:ascii="宋体" w:hAnsi="宋体" w:cs="宋体"/>
                <w:kern w:val="0"/>
                <w:szCs w:val="21"/>
                <w:lang w:bidi="ar"/>
              </w:rPr>
              <w:t>分。</w:t>
            </w:r>
          </w:p>
        </w:tc>
      </w:tr>
      <w:tr>
        <w:tblPrEx>
          <w:tblCellMar>
            <w:top w:w="0" w:type="dxa"/>
            <w:left w:w="108" w:type="dxa"/>
            <w:bottom w:w="0" w:type="dxa"/>
            <w:right w:w="108" w:type="dxa"/>
          </w:tblCellMar>
        </w:tblPrEx>
        <w:trPr>
          <w:cantSplit/>
          <w:trHeight w:val="1933" w:hRule="exac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企业获奖</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ascii="宋体" w:hAnsi="宋体" w:cs="宋体"/>
                <w:kern w:val="0"/>
                <w:szCs w:val="21"/>
                <w:lang w:bidi="ar"/>
              </w:rPr>
              <w:t>1.4</w:t>
            </w:r>
          </w:p>
        </w:tc>
        <w:tc>
          <w:tcPr>
            <w:tcW w:w="114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lang w:bidi="ar"/>
              </w:rPr>
            </w:pPr>
            <w:r>
              <w:rPr>
                <w:rFonts w:hint="eastAsia" w:ascii="宋体" w:hAnsi="宋体" w:cs="宋体"/>
                <w:kern w:val="0"/>
                <w:szCs w:val="21"/>
                <w:lang w:bidi="ar"/>
              </w:rPr>
              <w:t>投标人提供的以上质量合格建筑工程施工总承包业绩，获得过的市级或以上建筑工程奖项：</w:t>
            </w:r>
          </w:p>
          <w:p>
            <w:pPr>
              <w:spacing w:line="360" w:lineRule="auto"/>
              <w:rPr>
                <w:rFonts w:ascii="宋体" w:hAnsi="宋体" w:cs="宋体"/>
                <w:kern w:val="0"/>
                <w:szCs w:val="21"/>
                <w:lang w:bidi="ar"/>
              </w:rPr>
            </w:pPr>
            <w:r>
              <w:rPr>
                <w:rFonts w:hint="eastAsia" w:ascii="宋体" w:hAnsi="宋体" w:cs="宋体"/>
                <w:kern w:val="0"/>
                <w:szCs w:val="21"/>
                <w:lang w:bidi="ar"/>
              </w:rPr>
              <w:t>（1）累计获得7项或以上的，得</w:t>
            </w:r>
            <w:r>
              <w:rPr>
                <w:rFonts w:ascii="宋体" w:hAnsi="宋体" w:cs="宋体"/>
                <w:kern w:val="0"/>
                <w:szCs w:val="21"/>
                <w:lang w:bidi="ar"/>
              </w:rPr>
              <w:t>1.4</w:t>
            </w:r>
            <w:r>
              <w:rPr>
                <w:rFonts w:hint="eastAsia" w:ascii="宋体" w:hAnsi="宋体" w:cs="宋体"/>
                <w:kern w:val="0"/>
                <w:szCs w:val="21"/>
                <w:lang w:bidi="ar"/>
              </w:rPr>
              <w:t>分；</w:t>
            </w:r>
          </w:p>
          <w:p>
            <w:pPr>
              <w:spacing w:line="360" w:lineRule="auto"/>
              <w:rPr>
                <w:rFonts w:ascii="宋体" w:hAnsi="宋体" w:cs="宋体"/>
                <w:kern w:val="0"/>
                <w:szCs w:val="21"/>
                <w:lang w:bidi="ar"/>
              </w:rPr>
            </w:pPr>
            <w:r>
              <w:rPr>
                <w:rFonts w:hint="eastAsia" w:ascii="宋体" w:hAnsi="宋体" w:cs="宋体"/>
                <w:kern w:val="0"/>
                <w:szCs w:val="21"/>
                <w:lang w:bidi="ar"/>
              </w:rPr>
              <w:t>（2）累计获得4-6项的，得</w:t>
            </w:r>
            <w:r>
              <w:rPr>
                <w:rFonts w:ascii="宋体" w:hAnsi="宋体" w:cs="宋体"/>
                <w:kern w:val="0"/>
                <w:szCs w:val="21"/>
                <w:lang w:bidi="ar"/>
              </w:rPr>
              <w:t>0.7</w:t>
            </w:r>
            <w:r>
              <w:rPr>
                <w:rFonts w:hint="eastAsia" w:ascii="宋体" w:hAnsi="宋体" w:cs="宋体"/>
                <w:kern w:val="0"/>
                <w:szCs w:val="21"/>
                <w:lang w:bidi="ar"/>
              </w:rPr>
              <w:t>分；</w:t>
            </w:r>
          </w:p>
          <w:p>
            <w:pPr>
              <w:spacing w:line="360" w:lineRule="auto"/>
              <w:rPr>
                <w:rFonts w:ascii="宋体" w:hAnsi="宋体" w:cs="宋体"/>
                <w:kern w:val="0"/>
                <w:szCs w:val="21"/>
                <w:lang w:bidi="ar"/>
              </w:rPr>
            </w:pPr>
            <w:r>
              <w:rPr>
                <w:rFonts w:hint="eastAsia" w:ascii="宋体" w:hAnsi="宋体" w:cs="宋体"/>
                <w:kern w:val="0"/>
                <w:szCs w:val="21"/>
                <w:lang w:bidi="ar"/>
              </w:rPr>
              <w:t>（3）累计获得1-3项的，得</w:t>
            </w:r>
            <w:r>
              <w:rPr>
                <w:rFonts w:ascii="宋体" w:hAnsi="宋体" w:cs="宋体"/>
                <w:kern w:val="0"/>
                <w:szCs w:val="21"/>
                <w:lang w:bidi="ar"/>
              </w:rPr>
              <w:t>0.1</w:t>
            </w:r>
            <w:r>
              <w:rPr>
                <w:rFonts w:hint="eastAsia" w:ascii="宋体" w:hAnsi="宋体" w:cs="宋体"/>
                <w:kern w:val="0"/>
                <w:szCs w:val="21"/>
                <w:lang w:bidi="ar"/>
              </w:rPr>
              <w:t>分。</w:t>
            </w:r>
          </w:p>
          <w:p>
            <w:pPr>
              <w:spacing w:line="360" w:lineRule="auto"/>
              <w:rPr>
                <w:rFonts w:ascii="宋体" w:hAnsi="宋体" w:cs="宋体"/>
                <w:kern w:val="0"/>
                <w:szCs w:val="21"/>
                <w:lang w:bidi="ar"/>
              </w:rPr>
            </w:pPr>
            <w:r>
              <w:rPr>
                <w:rFonts w:hint="eastAsia" w:ascii="宋体" w:hAnsi="宋体" w:cs="宋体"/>
                <w:kern w:val="0"/>
                <w:szCs w:val="21"/>
                <w:lang w:bidi="ar"/>
              </w:rPr>
              <w:t>不符合上述条件的不得分，本项最高得</w:t>
            </w:r>
            <w:r>
              <w:rPr>
                <w:rFonts w:ascii="宋体" w:hAnsi="宋体" w:cs="宋体"/>
                <w:kern w:val="0"/>
                <w:szCs w:val="21"/>
                <w:lang w:bidi="ar"/>
              </w:rPr>
              <w:t>1.4</w:t>
            </w:r>
            <w:r>
              <w:rPr>
                <w:rFonts w:hint="eastAsia" w:ascii="宋体" w:hAnsi="宋体" w:cs="宋体"/>
                <w:kern w:val="0"/>
                <w:szCs w:val="21"/>
                <w:lang w:bidi="ar"/>
              </w:rPr>
              <w:t>分。</w:t>
            </w:r>
          </w:p>
        </w:tc>
      </w:tr>
      <w:tr>
        <w:tblPrEx>
          <w:tblCellMar>
            <w:top w:w="0" w:type="dxa"/>
            <w:left w:w="108" w:type="dxa"/>
            <w:bottom w:w="0" w:type="dxa"/>
            <w:right w:w="108" w:type="dxa"/>
          </w:tblCellMar>
        </w:tblPrEx>
        <w:trPr>
          <w:cantSplit/>
          <w:trHeight w:val="2060" w:hRule="exac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kern w:val="0"/>
                <w:szCs w:val="21"/>
              </w:rPr>
            </w:pPr>
            <w:r>
              <w:rPr>
                <w:rFonts w:hint="eastAsia" w:ascii="宋体" w:hAnsi="宋体" w:cs="宋体"/>
                <w:kern w:val="0"/>
                <w:szCs w:val="21"/>
              </w:rPr>
              <w:t>第三方评价</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ascii="宋体" w:hAnsi="宋体" w:cs="宋体"/>
                <w:kern w:val="0"/>
                <w:szCs w:val="21"/>
              </w:rPr>
              <w:t>0.8</w:t>
            </w:r>
          </w:p>
        </w:tc>
        <w:tc>
          <w:tcPr>
            <w:tcW w:w="114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lang w:bidi="ar"/>
              </w:rPr>
            </w:pPr>
            <w:r>
              <w:rPr>
                <w:rFonts w:hint="eastAsia" w:ascii="宋体" w:hAnsi="宋体" w:cs="宋体"/>
                <w:kern w:val="0"/>
                <w:szCs w:val="21"/>
                <w:lang w:bidi="ar"/>
              </w:rPr>
              <w:t>投标人至投标截止时间连续被国家级行业协会评为最高等级信用企业的次数进行横向对比（次数最多为第一名，以此类推，次数相同并列排名）：</w:t>
            </w:r>
          </w:p>
          <w:p>
            <w:pPr>
              <w:spacing w:line="360" w:lineRule="auto"/>
              <w:rPr>
                <w:rFonts w:ascii="宋体" w:hAnsi="宋体" w:cs="宋体"/>
                <w:kern w:val="0"/>
                <w:szCs w:val="21"/>
                <w:lang w:bidi="ar"/>
              </w:rPr>
            </w:pPr>
            <w:r>
              <w:rPr>
                <w:rFonts w:hint="eastAsia" w:ascii="宋体" w:hAnsi="宋体" w:cs="宋体"/>
                <w:kern w:val="0"/>
                <w:szCs w:val="21"/>
                <w:lang w:bidi="ar"/>
              </w:rPr>
              <w:t>（1）获得第一名的，得0.8分；</w:t>
            </w:r>
          </w:p>
          <w:p>
            <w:pPr>
              <w:spacing w:line="360" w:lineRule="auto"/>
              <w:rPr>
                <w:rFonts w:ascii="宋体" w:hAnsi="宋体" w:cs="宋体"/>
                <w:kern w:val="0"/>
                <w:szCs w:val="21"/>
                <w:lang w:bidi="ar"/>
              </w:rPr>
            </w:pPr>
            <w:r>
              <w:rPr>
                <w:rFonts w:hint="eastAsia" w:ascii="宋体" w:hAnsi="宋体" w:cs="宋体"/>
                <w:kern w:val="0"/>
                <w:szCs w:val="21"/>
                <w:lang w:bidi="ar"/>
              </w:rPr>
              <w:t>（2）获得第二名的，得0.4分；</w:t>
            </w:r>
          </w:p>
          <w:p>
            <w:pPr>
              <w:spacing w:line="360" w:lineRule="auto"/>
              <w:rPr>
                <w:rFonts w:ascii="宋体" w:hAnsi="宋体" w:cs="宋体"/>
                <w:kern w:val="0"/>
                <w:szCs w:val="21"/>
                <w:lang w:bidi="ar"/>
              </w:rPr>
            </w:pPr>
            <w:r>
              <w:rPr>
                <w:rFonts w:hint="eastAsia" w:ascii="宋体" w:hAnsi="宋体" w:cs="宋体"/>
                <w:kern w:val="0"/>
                <w:szCs w:val="21"/>
                <w:lang w:bidi="ar"/>
              </w:rPr>
              <w:t>（3）获得第三名或以下的，得0.1分。</w:t>
            </w:r>
          </w:p>
          <w:p>
            <w:pPr>
              <w:spacing w:line="360" w:lineRule="auto"/>
              <w:rPr>
                <w:rFonts w:ascii="宋体" w:hAnsi="宋体" w:cs="宋体"/>
                <w:kern w:val="0"/>
                <w:szCs w:val="21"/>
                <w:lang w:bidi="ar"/>
              </w:rPr>
            </w:pPr>
            <w:r>
              <w:rPr>
                <w:rFonts w:hint="eastAsia" w:ascii="宋体" w:hAnsi="宋体" w:cs="宋体"/>
                <w:kern w:val="0"/>
                <w:szCs w:val="21"/>
                <w:lang w:bidi="ar"/>
              </w:rPr>
              <w:t>没有不得分。</w:t>
            </w:r>
          </w:p>
        </w:tc>
      </w:tr>
      <w:tr>
        <w:tblPrEx>
          <w:tblCellMar>
            <w:top w:w="0" w:type="dxa"/>
            <w:left w:w="108" w:type="dxa"/>
            <w:bottom w:w="0" w:type="dxa"/>
            <w:right w:w="108" w:type="dxa"/>
          </w:tblCellMar>
        </w:tblPrEx>
        <w:trPr>
          <w:cantSplit/>
          <w:trHeight w:val="1996" w:hRule="exac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vMerge w:val="continue"/>
            <w:tcBorders>
              <w:left w:val="single" w:color="auto" w:sz="4" w:space="0"/>
              <w:right w:val="single" w:color="auto" w:sz="4" w:space="0"/>
            </w:tcBorders>
            <w:vAlign w:val="center"/>
          </w:tcPr>
          <w:p>
            <w:pPr>
              <w:spacing w:line="360" w:lineRule="auto"/>
              <w:rPr>
                <w:rFonts w:ascii="宋体" w:hAnsi="宋体" w:cs="宋体"/>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ascii="宋体" w:hAnsi="宋体" w:cs="宋体"/>
                <w:kern w:val="0"/>
                <w:szCs w:val="21"/>
              </w:rPr>
              <w:t>0.4</w:t>
            </w:r>
          </w:p>
        </w:tc>
        <w:tc>
          <w:tcPr>
            <w:tcW w:w="114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lang w:bidi="ar"/>
              </w:rPr>
            </w:pPr>
            <w:r>
              <w:rPr>
                <w:rFonts w:hint="eastAsia" w:ascii="宋体" w:hAnsi="宋体" w:cs="宋体"/>
                <w:kern w:val="0"/>
                <w:szCs w:val="21"/>
                <w:lang w:bidi="ar"/>
              </w:rPr>
              <w:t>投标人连续获得“纳税信用A级纳税人”的年限（须包含2022年度）：</w:t>
            </w:r>
          </w:p>
          <w:p>
            <w:pPr>
              <w:spacing w:line="360" w:lineRule="auto"/>
              <w:rPr>
                <w:rFonts w:ascii="宋体" w:hAnsi="宋体" w:cs="宋体"/>
                <w:kern w:val="0"/>
                <w:szCs w:val="21"/>
                <w:lang w:bidi="ar"/>
              </w:rPr>
            </w:pPr>
            <w:r>
              <w:rPr>
                <w:rFonts w:hint="eastAsia" w:ascii="宋体" w:hAnsi="宋体" w:cs="宋体"/>
                <w:kern w:val="0"/>
                <w:szCs w:val="21"/>
                <w:lang w:bidi="ar"/>
              </w:rPr>
              <w:t>（1）连续获得6年（或以上）的，得0.4分；</w:t>
            </w:r>
          </w:p>
          <w:p>
            <w:pPr>
              <w:spacing w:line="360" w:lineRule="auto"/>
              <w:rPr>
                <w:rFonts w:ascii="宋体" w:hAnsi="宋体" w:cs="宋体"/>
                <w:kern w:val="0"/>
                <w:szCs w:val="21"/>
                <w:lang w:bidi="ar"/>
              </w:rPr>
            </w:pPr>
            <w:r>
              <w:rPr>
                <w:rFonts w:hint="eastAsia" w:ascii="宋体" w:hAnsi="宋体" w:cs="宋体"/>
                <w:kern w:val="0"/>
                <w:szCs w:val="21"/>
                <w:lang w:bidi="ar"/>
              </w:rPr>
              <w:t>（2）连续获得4-5年的，得0.2分；</w:t>
            </w:r>
          </w:p>
          <w:p>
            <w:pPr>
              <w:spacing w:line="360" w:lineRule="auto"/>
              <w:rPr>
                <w:rFonts w:ascii="宋体" w:hAnsi="宋体" w:cs="宋体"/>
                <w:kern w:val="0"/>
                <w:szCs w:val="21"/>
                <w:lang w:bidi="ar"/>
              </w:rPr>
            </w:pPr>
            <w:r>
              <w:rPr>
                <w:rFonts w:hint="eastAsia" w:ascii="宋体" w:hAnsi="宋体" w:cs="宋体"/>
                <w:kern w:val="0"/>
                <w:szCs w:val="21"/>
                <w:lang w:bidi="ar"/>
              </w:rPr>
              <w:t>（3）连续获得1-3年的，得0.1分。</w:t>
            </w:r>
          </w:p>
          <w:p>
            <w:pPr>
              <w:spacing w:line="360" w:lineRule="auto"/>
              <w:rPr>
                <w:rFonts w:ascii="宋体" w:hAnsi="宋体" w:cs="宋体"/>
                <w:kern w:val="0"/>
                <w:szCs w:val="21"/>
                <w:lang w:bidi="ar"/>
              </w:rPr>
            </w:pPr>
            <w:r>
              <w:rPr>
                <w:rFonts w:hint="eastAsia" w:ascii="宋体" w:hAnsi="宋体" w:cs="宋体"/>
                <w:kern w:val="0"/>
                <w:szCs w:val="21"/>
                <w:lang w:bidi="ar"/>
              </w:rPr>
              <w:t>其他情况不得分。</w:t>
            </w:r>
          </w:p>
        </w:tc>
      </w:tr>
      <w:tr>
        <w:tblPrEx>
          <w:tblCellMar>
            <w:top w:w="0" w:type="dxa"/>
            <w:left w:w="108" w:type="dxa"/>
            <w:bottom w:w="0" w:type="dxa"/>
            <w:right w:w="108" w:type="dxa"/>
          </w:tblCellMar>
        </w:tblPrEx>
        <w:trPr>
          <w:cantSplit/>
          <w:trHeight w:val="856" w:hRule="exac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工程研发能力</w:t>
            </w:r>
          </w:p>
        </w:tc>
        <w:tc>
          <w:tcPr>
            <w:tcW w:w="7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ascii="宋体" w:hAnsi="宋体" w:cs="宋体"/>
                <w:kern w:val="0"/>
                <w:szCs w:val="21"/>
              </w:rPr>
              <w:t>0.8</w:t>
            </w:r>
          </w:p>
        </w:tc>
        <w:tc>
          <w:tcPr>
            <w:tcW w:w="11454" w:type="dxa"/>
            <w:tcBorders>
              <w:top w:val="single" w:color="auto" w:sz="4" w:space="0"/>
              <w:left w:val="single" w:color="auto" w:sz="4" w:space="0"/>
              <w:bottom w:val="single" w:color="auto" w:sz="4" w:space="0"/>
              <w:right w:val="single" w:color="auto" w:sz="4" w:space="0"/>
            </w:tcBorders>
            <w:vAlign w:val="center"/>
          </w:tcPr>
          <w:p>
            <w:pPr>
              <w:pStyle w:val="6"/>
              <w:spacing w:line="360" w:lineRule="auto"/>
            </w:pPr>
            <w:r>
              <w:rPr>
                <w:rFonts w:hint="eastAsia" w:ascii="宋体" w:hAnsi="宋体" w:cs="宋体"/>
                <w:smallCaps/>
                <w:szCs w:val="21"/>
                <w:lang w:bidi="ar"/>
              </w:rPr>
              <w:t>投标人自2019年1月1日至投标截止时间取得建筑工程相关发明专利（生效）的，每个得</w:t>
            </w:r>
            <w:r>
              <w:rPr>
                <w:rFonts w:ascii="宋体" w:hAnsi="宋体" w:cs="宋体"/>
                <w:smallCaps/>
                <w:szCs w:val="21"/>
                <w:lang w:bidi="ar"/>
              </w:rPr>
              <w:t>0.1</w:t>
            </w:r>
            <w:r>
              <w:rPr>
                <w:rFonts w:hint="eastAsia" w:ascii="宋体" w:hAnsi="宋体" w:cs="宋体"/>
                <w:smallCaps/>
                <w:szCs w:val="21"/>
                <w:lang w:bidi="ar"/>
              </w:rPr>
              <w:t>分，本项最高得</w:t>
            </w:r>
            <w:r>
              <w:rPr>
                <w:rFonts w:ascii="宋体" w:hAnsi="宋体" w:cs="宋体"/>
                <w:smallCaps/>
                <w:szCs w:val="21"/>
                <w:lang w:bidi="ar"/>
              </w:rPr>
              <w:t>0.8</w:t>
            </w:r>
            <w:r>
              <w:rPr>
                <w:rFonts w:hint="eastAsia" w:ascii="宋体" w:hAnsi="宋体" w:cs="宋体"/>
                <w:smallCaps/>
                <w:szCs w:val="21"/>
                <w:lang w:bidi="ar"/>
              </w:rPr>
              <w:t>分。</w:t>
            </w:r>
          </w:p>
        </w:tc>
      </w:tr>
      <w:tr>
        <w:tblPrEx>
          <w:tblCellMar>
            <w:top w:w="0" w:type="dxa"/>
            <w:left w:w="108" w:type="dxa"/>
            <w:bottom w:w="0" w:type="dxa"/>
            <w:right w:w="108" w:type="dxa"/>
          </w:tblCellMar>
        </w:tblPrEx>
        <w:trPr>
          <w:cantSplit/>
          <w:trHeight w:val="836" w:hRule="exac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Cs w:val="21"/>
              </w:rPr>
            </w:pPr>
          </w:p>
        </w:tc>
        <w:tc>
          <w:tcPr>
            <w:tcW w:w="1303"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kern w:val="0"/>
                <w:szCs w:val="21"/>
              </w:rPr>
            </w:pPr>
            <w:r>
              <w:rPr>
                <w:rFonts w:ascii="宋体" w:hAnsi="宋体" w:cs="宋体"/>
                <w:kern w:val="0"/>
                <w:szCs w:val="21"/>
              </w:rPr>
              <w:t>1.0</w:t>
            </w:r>
          </w:p>
        </w:tc>
        <w:tc>
          <w:tcPr>
            <w:tcW w:w="11454"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ascii="宋体" w:hAnsi="宋体" w:cs="宋体"/>
                <w:szCs w:val="21"/>
              </w:rPr>
              <w:t>自2019年1月1日至投标截止时间参与编制过建筑工程相关的国家或行业标准,</w:t>
            </w:r>
            <w:r>
              <w:rPr>
                <w:rFonts w:ascii="宋体" w:hAnsi="宋体" w:cs="宋体"/>
                <w:szCs w:val="21"/>
              </w:rPr>
              <w:t>得1</w:t>
            </w:r>
            <w:r>
              <w:rPr>
                <w:rFonts w:hint="eastAsia" w:ascii="宋体" w:hAnsi="宋体" w:cs="宋体"/>
                <w:szCs w:val="21"/>
              </w:rPr>
              <w:t>分。</w:t>
            </w:r>
            <w:r>
              <w:rPr>
                <w:rFonts w:ascii="宋体" w:hAnsi="宋体" w:cs="宋体"/>
                <w:szCs w:val="21"/>
              </w:rPr>
              <w:t>本</w:t>
            </w:r>
            <w:r>
              <w:rPr>
                <w:rFonts w:hint="eastAsia" w:ascii="宋体" w:hAnsi="宋体" w:cs="宋体"/>
                <w:szCs w:val="21"/>
              </w:rPr>
              <w:t>小</w:t>
            </w:r>
            <w:r>
              <w:rPr>
                <w:rFonts w:ascii="宋体" w:hAnsi="宋体" w:cs="宋体"/>
                <w:szCs w:val="21"/>
              </w:rPr>
              <w:t>项</w:t>
            </w:r>
            <w:r>
              <w:rPr>
                <w:rFonts w:hint="eastAsia" w:ascii="宋体" w:hAnsi="宋体" w:cs="宋体"/>
                <w:szCs w:val="21"/>
              </w:rPr>
              <w:t>最</w:t>
            </w:r>
            <w:r>
              <w:rPr>
                <w:rFonts w:ascii="宋体" w:hAnsi="宋体" w:cs="宋体"/>
                <w:szCs w:val="21"/>
              </w:rPr>
              <w:t xml:space="preserve">高得1 </w:t>
            </w:r>
            <w:r>
              <w:rPr>
                <w:rFonts w:hint="eastAsia" w:ascii="宋体" w:hAnsi="宋体" w:cs="宋体"/>
                <w:szCs w:val="21"/>
              </w:rPr>
              <w:t>分</w:t>
            </w:r>
            <w:r>
              <w:rPr>
                <w:rFonts w:ascii="宋体" w:hAnsi="宋体" w:cs="宋体"/>
                <w:szCs w:val="21"/>
              </w:rPr>
              <w:t>。</w:t>
            </w:r>
          </w:p>
        </w:tc>
      </w:tr>
    </w:tbl>
    <w:p/>
    <w:p>
      <w:pPr>
        <w:pStyle w:val="2"/>
      </w:pPr>
    </w:p>
    <w:p>
      <w:pPr>
        <w:numPr>
          <w:ilvl w:val="0"/>
          <w:numId w:val="3"/>
        </w:numPr>
        <w:rPr>
          <w:rFonts w:ascii="Times New Roman" w:hAnsi="Times New Roman"/>
          <w:b/>
          <w:bCs/>
        </w:rPr>
      </w:pPr>
      <w:r>
        <w:rPr>
          <w:rFonts w:hint="eastAsia" w:ascii="Times New Roman" w:hAnsi="Times New Roman"/>
          <w:b/>
          <w:bCs/>
        </w:rPr>
        <w:t>项目管理机构能力：</w:t>
      </w:r>
    </w:p>
    <w:p>
      <w:pPr>
        <w:numPr>
          <w:ilvl w:val="0"/>
          <w:numId w:val="4"/>
        </w:numPr>
        <w:rPr>
          <w:rFonts w:ascii="Times New Roman" w:hAnsi="Times New Roman"/>
        </w:rPr>
      </w:pPr>
      <w:r>
        <w:rPr>
          <w:rFonts w:hint="eastAsia" w:ascii="Times New Roman" w:hAnsi="Times New Roman"/>
        </w:rPr>
        <w:t>投标人须提交人员职称证书、注册证、毕业证书等相关证明文件扫描件，工作经验年限从毕业证书的发证时间（大学专科</w:t>
      </w:r>
      <w:r>
        <w:rPr>
          <w:rFonts w:ascii="Times New Roman" w:hAnsi="Times New Roman"/>
        </w:rPr>
        <w:t>(或以上)学历）起计。</w:t>
      </w:r>
    </w:p>
    <w:p>
      <w:pPr>
        <w:numPr>
          <w:ilvl w:val="0"/>
          <w:numId w:val="4"/>
        </w:numPr>
        <w:rPr>
          <w:rFonts w:ascii="Times New Roman" w:hAnsi="Times New Roman"/>
        </w:rPr>
      </w:pPr>
      <w:r>
        <w:rPr>
          <w:rFonts w:ascii="Times New Roman" w:hAnsi="Times New Roman"/>
        </w:rPr>
        <w:t>投标人应同时提供上述人员近一个月（2023年</w:t>
      </w:r>
      <w:r>
        <w:rPr>
          <w:rFonts w:hint="eastAsia" w:ascii="Times New Roman" w:hAnsi="Times New Roman"/>
        </w:rPr>
        <w:t>6月）在投标人单位（</w:t>
      </w:r>
      <w:r>
        <w:rPr>
          <w:rFonts w:hint="eastAsia" w:ascii="Times New Roman" w:hAnsi="Times New Roman"/>
          <w:szCs w:val="21"/>
        </w:rPr>
        <w:t>不含投标人的子公司</w:t>
      </w:r>
      <w:r>
        <w:rPr>
          <w:rFonts w:hint="eastAsia" w:ascii="Times New Roman" w:hAnsi="Times New Roman"/>
        </w:rPr>
        <w:t>）参保的社保缴纳记录证明文件。不符合条件或无提交相关资料的不计分。</w:t>
      </w:r>
    </w:p>
    <w:p>
      <w:pPr>
        <w:rPr>
          <w:rFonts w:ascii="Times New Roman" w:hAnsi="Times New Roman"/>
          <w:b/>
          <w:bCs/>
        </w:rPr>
      </w:pPr>
      <w:r>
        <w:rPr>
          <w:rFonts w:hint="eastAsia" w:ascii="Times New Roman" w:hAnsi="Times New Roman"/>
        </w:rPr>
        <w:t>（</w:t>
      </w:r>
      <w:r>
        <w:rPr>
          <w:rFonts w:ascii="Times New Roman" w:hAnsi="Times New Roman"/>
        </w:rPr>
        <w:t>3）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Times New Roman" w:hAnsi="Times New Roman"/>
          <w:b/>
          <w:bCs/>
        </w:rPr>
        <w:t>项目管理机构人员不得兼任。</w:t>
      </w:r>
    </w:p>
    <w:p>
      <w:pPr>
        <w:rPr>
          <w:rFonts w:ascii="宋体" w:hAnsi="宋体" w:cs="宋体"/>
          <w:bCs/>
          <w:color w:val="000000"/>
          <w:kern w:val="0"/>
          <w:szCs w:val="21"/>
        </w:rPr>
      </w:pPr>
      <w:r>
        <w:rPr>
          <w:rFonts w:hint="eastAsia" w:ascii="宋体" w:hAnsi="宋体" w:cs="宋体"/>
          <w:b/>
          <w:bCs/>
          <w:szCs w:val="21"/>
        </w:rPr>
        <w:t>2、工程业绩</w:t>
      </w:r>
      <w:r>
        <w:rPr>
          <w:rFonts w:hint="eastAsia" w:ascii="宋体" w:hAnsi="宋体" w:cs="宋体"/>
          <w:szCs w:val="21"/>
        </w:rPr>
        <w:t>：</w:t>
      </w:r>
      <w:r>
        <w:rPr>
          <w:rFonts w:hint="eastAsia" w:hAnsi="宋体"/>
          <w:szCs w:val="21"/>
        </w:rPr>
        <w:t>业绩取自广州市住建行业信用管理平台。⑵中标金额以中标通知书为准，中标通知书上没有金额或免招标的，以施工合同为准，完成时间以竣工验收报告为准。投标人须提供类似工程业绩的项目名称及业绩在广州市住建行业信用管理平台中项目编号。不提供项目名称及项目编号的业绩不予评审。若投标人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库内业绩上传件为依据。（不符合上述要求的不计分）</w:t>
      </w:r>
      <w:r>
        <w:rPr>
          <w:rFonts w:hint="eastAsia" w:ascii="宋体" w:hAnsi="宋体" w:cs="宋体"/>
          <w:bCs/>
          <w:color w:val="000000"/>
          <w:kern w:val="0"/>
          <w:szCs w:val="21"/>
        </w:rPr>
        <w:t>。</w:t>
      </w:r>
    </w:p>
    <w:p>
      <w:pPr>
        <w:pStyle w:val="6"/>
        <w:rPr>
          <w:rFonts w:ascii="宋体" w:hAnsi="宋体" w:cs="宋体"/>
          <w:bCs/>
          <w:color w:val="333333"/>
          <w:szCs w:val="21"/>
        </w:rPr>
      </w:pPr>
      <w:r>
        <w:rPr>
          <w:rFonts w:hint="eastAsia" w:ascii="宋体" w:hAnsi="宋体" w:cs="宋体"/>
          <w:b/>
          <w:bCs/>
          <w:szCs w:val="21"/>
        </w:rPr>
        <w:t>3、企业获奖</w:t>
      </w:r>
      <w:r>
        <w:rPr>
          <w:rFonts w:hint="eastAsia" w:ascii="宋体" w:hAnsi="宋体" w:cs="宋体"/>
          <w:kern w:val="0"/>
          <w:szCs w:val="21"/>
        </w:rPr>
        <w:t>：</w:t>
      </w:r>
      <w:r>
        <w:rPr>
          <w:rFonts w:hint="eastAsia" w:ascii="宋体" w:hAnsi="宋体" w:cs="宋体"/>
          <w:bCs/>
          <w:color w:val="333333"/>
          <w:szCs w:val="21"/>
        </w:rPr>
        <w:t>①获奖情况取自广州市住建行业信用管理平台。②获奖时间以获奖证书的发证时间为准。③国家级工程质量奖指的是中国建设工程鲁班奖、国家优质工程金质奖、国家优质工程奖、中国土木工程詹天佑奖；省或市级工程质量奖是</w:t>
      </w:r>
      <w:r>
        <w:rPr>
          <w:rFonts w:hint="eastAsia" w:ascii="宋体" w:hAnsi="宋体" w:cs="宋体"/>
          <w:b/>
          <w:color w:val="333333"/>
          <w:szCs w:val="21"/>
          <w:lang w:bidi="ar"/>
        </w:rPr>
        <w:t>指由省、市级建设行政主管部门或行业协会颁发的工程质量类奖项</w:t>
      </w:r>
      <w:r>
        <w:rPr>
          <w:rFonts w:hint="eastAsia" w:ascii="宋体" w:hAnsi="宋体" w:cs="宋体"/>
          <w:b/>
          <w:color w:val="333333"/>
          <w:szCs w:val="21"/>
        </w:rPr>
        <w:t>；</w:t>
      </w:r>
      <w:r>
        <w:rPr>
          <w:rFonts w:hint="eastAsia" w:ascii="宋体" w:hAnsi="宋体" w:cs="宋体"/>
          <w:b/>
          <w:color w:val="333333"/>
          <w:szCs w:val="21"/>
          <w:lang w:bidi="ar"/>
        </w:rPr>
        <w:t>其它如安全、新技术应用、QC类奖项不参与计分。</w:t>
      </w:r>
      <w:r>
        <w:rPr>
          <w:rFonts w:hint="eastAsia" w:ascii="宋体" w:hAnsi="宋体" w:cs="宋体"/>
          <w:bCs/>
          <w:color w:val="333333"/>
          <w:szCs w:val="21"/>
        </w:rPr>
        <w:t>同一项目只按最高奖项计算一次得分，不得重复计算；只计算房屋建筑工程获奖情况，其他非房建工程项目，如路桥、铁路、水利、电力、化工、冶金、市政等获奖不参与计分。④投标人只须提交获奖业绩的项目名称、获奖业绩在广州市住建行业信用管理平台中项目编号及在广州市住建行业信用管理平台网页信息页面截图</w:t>
      </w:r>
      <w:r>
        <w:rPr>
          <w:rFonts w:hint="eastAsia" w:ascii="宋体" w:hAnsi="宋体" w:cs="宋体"/>
          <w:b/>
          <w:color w:val="333333"/>
          <w:szCs w:val="21"/>
        </w:rPr>
        <w:t>（</w:t>
      </w:r>
      <w:r>
        <w:rPr>
          <w:rFonts w:hint="eastAsia" w:ascii="宋体" w:hAnsi="宋体" w:cs="宋体"/>
          <w:b/>
          <w:color w:val="333333"/>
          <w:szCs w:val="21"/>
          <w:lang w:bidi="ar"/>
        </w:rPr>
        <w:t>网页信息截图须为能清晰显示带有“住建行业信用管理平台”名称，并至少包含“项目基本信息”、“奖项信息”等信息的页面）</w:t>
      </w:r>
      <w:r>
        <w:rPr>
          <w:rFonts w:hint="eastAsia" w:ascii="宋体" w:hAnsi="宋体" w:cs="宋体"/>
          <w:bCs/>
          <w:color w:val="333333"/>
          <w:szCs w:val="21"/>
        </w:rPr>
        <w:t>并加盖投标人电子印章，不符合条件或无提交上述资料的均不得分。⑤若投标人提供的项目名称与项目编号不一致：项目名称和项目编号在库内分别对应不同获奖业绩的，以项目名称对应的获奖业绩为准。项目名称存在对应获奖业绩的，项目编号在库内不存在对应获奖业绩，以项目名称对应的获奖业绩为准；项目名称在库内不存在对应获奖业绩，项目编号存在对应获奖业绩的，以项目编号对应的获奖业绩为准。评标委员会对获奖业绩的评审以投标截止时间在</w:t>
      </w:r>
      <w:r>
        <w:rPr>
          <w:rFonts w:hint="eastAsia" w:ascii="宋体" w:hAnsi="宋体" w:cs="宋体"/>
          <w:b/>
          <w:color w:val="333333"/>
          <w:szCs w:val="21"/>
        </w:rPr>
        <w:t>平台内</w:t>
      </w:r>
      <w:r>
        <w:rPr>
          <w:rFonts w:hint="eastAsia" w:ascii="宋体" w:hAnsi="宋体" w:cs="宋体"/>
          <w:bCs/>
          <w:color w:val="333333"/>
          <w:szCs w:val="21"/>
        </w:rPr>
        <w:t>获奖业绩上传件为依据。</w:t>
      </w:r>
    </w:p>
    <w:p>
      <w:pPr>
        <w:spacing w:line="360" w:lineRule="auto"/>
        <w:rPr>
          <w:rFonts w:ascii="宋体" w:hAnsi="宋体" w:cs="宋体"/>
          <w:szCs w:val="21"/>
        </w:rPr>
      </w:pPr>
      <w:r>
        <w:rPr>
          <w:rFonts w:hint="eastAsia" w:ascii="宋体" w:hAnsi="宋体" w:cs="宋体"/>
          <w:b/>
          <w:bCs/>
          <w:szCs w:val="21"/>
        </w:rPr>
        <w:t>4、第三方评价</w:t>
      </w:r>
      <w:r>
        <w:rPr>
          <w:rFonts w:hint="eastAsia" w:ascii="宋体" w:hAnsi="宋体" w:cs="宋体"/>
          <w:szCs w:val="21"/>
        </w:rPr>
        <w:t>：</w:t>
      </w:r>
    </w:p>
    <w:p>
      <w:pPr>
        <w:numPr>
          <w:ilvl w:val="255"/>
          <w:numId w:val="0"/>
        </w:numPr>
        <w:spacing w:line="360" w:lineRule="auto"/>
        <w:rPr>
          <w:rFonts w:ascii="宋体" w:hAnsi="宋体"/>
          <w:szCs w:val="21"/>
        </w:rPr>
      </w:pPr>
      <w:r>
        <w:rPr>
          <w:rFonts w:hint="eastAsia" w:ascii="宋体" w:hAnsi="宋体"/>
          <w:szCs w:val="21"/>
        </w:rPr>
        <w:t>①、证书需由同一国家级行业协会颁发认定为连续，最高等级信用以颁发单位相关证明为准，须提供企业信用等级证书扫描件及官网公示文件页面，须提供该协会在“全国社会组织信用信息公示平台（试运行）”登记备案的网页查询截图，证明颁发证书的协会在中国社会组织网上有登记备案。如评价为三年一评的，每次评价年度间隔不超三个年度方可计算连续次数，以此类推，否则该项不得分</w:t>
      </w:r>
    </w:p>
    <w:p>
      <w:pPr>
        <w:numPr>
          <w:ilvl w:val="255"/>
          <w:numId w:val="0"/>
        </w:numPr>
        <w:spacing w:line="360" w:lineRule="auto"/>
        <w:rPr>
          <w:rFonts w:ascii="宋体" w:hAnsi="宋体" w:cs="宋体"/>
          <w:szCs w:val="21"/>
        </w:rPr>
      </w:pPr>
      <w:r>
        <w:rPr>
          <w:rFonts w:hint="eastAsia" w:ascii="宋体" w:hAnsi="宋体"/>
          <w:szCs w:val="21"/>
        </w:rPr>
        <w:t>②、“纳税信用A级”称号只计算投标人自身（不含投标人的分公司、子公司和分支机构）；投标人须提交省级或以上税务总局查询网页信</w:t>
      </w:r>
      <w:r>
        <w:rPr>
          <w:rFonts w:hint="eastAsia" w:ascii="宋体" w:hAnsi="宋体" w:cs="宋体"/>
          <w:szCs w:val="21"/>
        </w:rPr>
        <w:t>息截图，时间以评价年度为准。</w:t>
      </w:r>
    </w:p>
    <w:p>
      <w:pPr>
        <w:numPr>
          <w:ilvl w:val="255"/>
          <w:numId w:val="0"/>
        </w:numPr>
        <w:shd w:val="clear" w:color="auto" w:fill="FFFFFF"/>
        <w:spacing w:line="360" w:lineRule="auto"/>
        <w:rPr>
          <w:rFonts w:ascii="宋体" w:hAnsi="宋体" w:cs="宋体"/>
          <w:b/>
          <w:bCs/>
          <w:szCs w:val="21"/>
        </w:rPr>
      </w:pPr>
      <w:r>
        <w:rPr>
          <w:rFonts w:hint="eastAsia" w:ascii="宋体" w:hAnsi="宋体" w:cs="宋体"/>
          <w:b/>
          <w:bCs/>
          <w:szCs w:val="21"/>
        </w:rPr>
        <w:t>5、工程研发能力：</w:t>
      </w:r>
    </w:p>
    <w:p>
      <w:pPr>
        <w:numPr>
          <w:ilvl w:val="255"/>
          <w:numId w:val="0"/>
        </w:numPr>
        <w:shd w:val="clear" w:color="auto" w:fill="FFFFFF"/>
        <w:spacing w:line="360" w:lineRule="auto"/>
        <w:rPr>
          <w:rFonts w:ascii="宋体" w:hAnsi="宋体" w:cs="宋体"/>
          <w:szCs w:val="21"/>
          <w:highlight w:val="none"/>
          <w:lang w:bidi="ar"/>
        </w:rPr>
      </w:pPr>
      <w:r>
        <w:rPr>
          <w:rFonts w:hint="eastAsia" w:ascii="宋体" w:hAnsi="宋体" w:cs="宋体"/>
          <w:b/>
          <w:bCs/>
          <w:szCs w:val="21"/>
        </w:rPr>
        <w:t>①、</w:t>
      </w:r>
      <w:r>
        <w:rPr>
          <w:rFonts w:hint="eastAsia" w:ascii="宋体" w:hAnsi="宋体" w:cs="宋体"/>
          <w:szCs w:val="21"/>
          <w:lang w:bidi="ar"/>
        </w:rPr>
        <w:t>须提供中华人民共和国国家知识产权局专利查询截图，不符合条件或未提交上述</w:t>
      </w:r>
      <w:r>
        <w:rPr>
          <w:rFonts w:hint="eastAsia" w:ascii="宋体" w:hAnsi="宋体" w:cs="宋体"/>
          <w:szCs w:val="21"/>
          <w:highlight w:val="none"/>
          <w:lang w:bidi="ar"/>
        </w:rPr>
        <w:t>证明材料的不得分；</w:t>
      </w:r>
    </w:p>
    <w:p>
      <w:pPr>
        <w:numPr>
          <w:ilvl w:val="255"/>
          <w:numId w:val="0"/>
        </w:numPr>
        <w:shd w:val="clear" w:color="auto" w:fill="FFFFFF"/>
        <w:spacing w:line="360" w:lineRule="auto"/>
        <w:rPr>
          <w:rFonts w:ascii="宋体" w:hAnsi="宋体" w:cs="宋体"/>
          <w:spacing w:val="-2"/>
          <w:szCs w:val="21"/>
          <w:highlight w:val="none"/>
        </w:rPr>
      </w:pPr>
      <w:r>
        <w:rPr>
          <w:rFonts w:hint="eastAsia" w:ascii="宋体" w:hAnsi="宋体" w:cs="宋体"/>
          <w:b/>
          <w:bCs/>
          <w:szCs w:val="21"/>
          <w:highlight w:val="none"/>
        </w:rPr>
        <w:t>②、</w:t>
      </w:r>
      <w:r>
        <w:rPr>
          <w:rFonts w:hint="eastAsia" w:ascii="宋体" w:hAnsi="宋体" w:cs="宋体"/>
          <w:spacing w:val="-2"/>
          <w:szCs w:val="21"/>
          <w:highlight w:val="none"/>
        </w:rPr>
        <w:t>须提交作为主编或参编单位编制过建筑相关的国家行业标准扫描件（封面及正文相关内容/关键内容）及网上查询截图</w:t>
      </w:r>
      <w:r>
        <w:rPr>
          <w:rFonts w:hint="eastAsia" w:cs="宋体"/>
          <w:spacing w:val="-2"/>
          <w:szCs w:val="21"/>
          <w:highlight w:val="none"/>
        </w:rPr>
        <w:t>（是指“</w:t>
      </w:r>
      <w:r>
        <w:rPr>
          <w:rFonts w:hint="eastAsia" w:ascii="宋体" w:hAnsi="宋体" w:cs="宋体"/>
          <w:spacing w:val="-2"/>
          <w:szCs w:val="21"/>
          <w:highlight w:val="none"/>
        </w:rPr>
        <w:t>国家标准全文公开系统或全国标准信息公共服务平台或批准该标准的国家相关部门网站”网页截图</w:t>
      </w:r>
      <w:r>
        <w:rPr>
          <w:rFonts w:hint="eastAsia" w:cs="宋体"/>
          <w:spacing w:val="-2"/>
          <w:szCs w:val="21"/>
          <w:highlight w:val="none"/>
        </w:rPr>
        <w:t>）</w:t>
      </w:r>
      <w:r>
        <w:rPr>
          <w:rFonts w:hint="eastAsia" w:ascii="宋体" w:hAnsi="宋体" w:cs="宋体"/>
          <w:spacing w:val="-2"/>
          <w:szCs w:val="21"/>
          <w:highlight w:val="none"/>
        </w:rPr>
        <w:t>；编制时间以发布日期为准；所编制的国家、行业标准及网上查询截图须显示有该投标人名称；</w:t>
      </w:r>
      <w:r>
        <w:rPr>
          <w:rFonts w:hint="eastAsia" w:ascii="宋体" w:hAnsi="宋体"/>
          <w:szCs w:val="21"/>
          <w:highlight w:val="none"/>
        </w:rPr>
        <w:t>不符合条件或未提交上述证明材料</w:t>
      </w:r>
      <w:r>
        <w:rPr>
          <w:rFonts w:hint="eastAsia" w:ascii="宋体" w:hAnsi="宋体" w:cs="宋体"/>
          <w:spacing w:val="-2"/>
          <w:szCs w:val="21"/>
          <w:highlight w:val="none"/>
        </w:rPr>
        <w:t>的不得分。</w:t>
      </w:r>
    </w:p>
    <w:p>
      <w:pPr>
        <w:numPr>
          <w:ilvl w:val="255"/>
          <w:numId w:val="0"/>
        </w:numPr>
        <w:shd w:val="clear" w:color="auto" w:fill="FFFFFF"/>
        <w:spacing w:line="360" w:lineRule="auto"/>
        <w:rPr>
          <w:rFonts w:ascii="宋体" w:hAnsi="宋体" w:cs="宋体"/>
          <w:spacing w:val="-2"/>
          <w:szCs w:val="21"/>
          <w:highlight w:val="none"/>
        </w:rPr>
      </w:pPr>
    </w:p>
    <w:p>
      <w:pPr>
        <w:pStyle w:val="8"/>
        <w:ind w:firstLine="0"/>
      </w:pPr>
      <w:r>
        <w:rPr>
          <w:rFonts w:hint="eastAsia" w:ascii="宋体" w:hAnsi="宋体" w:cs="宋体"/>
          <w:b/>
          <w:bCs/>
          <w:szCs w:val="21"/>
        </w:rPr>
        <w:t>6、所有评委总分汇总后的算术平均值为投标人的最终得分。分数出现小数点，保留小数点后二位小数，第三位小数四舍五入。</w:t>
      </w:r>
    </w:p>
    <w:p>
      <w:pPr>
        <w:spacing w:line="360" w:lineRule="auto"/>
        <w:rPr>
          <w:rFonts w:ascii="宋体" w:hAnsi="宋体" w:cs="宋体"/>
          <w:b/>
          <w:bCs/>
          <w:szCs w:val="21"/>
        </w:rPr>
      </w:pPr>
    </w:p>
    <w:p>
      <w:pPr>
        <w:rPr>
          <w:szCs w:val="21"/>
        </w:rPr>
      </w:pPr>
      <w:r>
        <w:rPr>
          <w:rFonts w:hint="eastAsia"/>
          <w:szCs w:val="21"/>
        </w:rPr>
        <w:br w:type="page"/>
      </w:r>
    </w:p>
    <w:p>
      <w:pPr>
        <w:outlineLvl w:val="3"/>
        <w:rPr>
          <w:szCs w:val="21"/>
        </w:rPr>
      </w:pPr>
      <w:r>
        <w:rPr>
          <w:rFonts w:hint="eastAsia"/>
          <w:szCs w:val="21"/>
        </w:rPr>
        <w:t>附表五（适用于加权平均法）：经济标评分表</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szCs w:val="21"/>
        </w:rPr>
      </w:pPr>
      <w:r>
        <w:rPr>
          <w:rFonts w:hint="eastAsia"/>
          <w:szCs w:val="21"/>
        </w:rPr>
        <w:t>评委签名：</w:t>
      </w:r>
    </w:p>
    <w:p>
      <w:pPr>
        <w:rPr>
          <w:szCs w:val="21"/>
        </w:rPr>
      </w:pPr>
    </w:p>
    <w:p>
      <w:pPr>
        <w:rPr>
          <w:szCs w:val="21"/>
        </w:rPr>
      </w:pPr>
      <w:r>
        <w:rPr>
          <w:rFonts w:hint="eastAsia"/>
          <w:szCs w:val="21"/>
        </w:rPr>
        <w:br w:type="page"/>
      </w:r>
    </w:p>
    <w:p>
      <w:pPr>
        <w:outlineLvl w:val="3"/>
        <w:rPr>
          <w:b/>
          <w:szCs w:val="21"/>
        </w:rPr>
      </w:pPr>
      <w:r>
        <w:rPr>
          <w:rFonts w:hint="eastAsia"/>
          <w:szCs w:val="21"/>
        </w:rPr>
        <w:t>附表六：算术复核表</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6"/>
        <w:tblW w:w="14282" w:type="dxa"/>
        <w:tblInd w:w="0" w:type="dxa"/>
        <w:tblLayout w:type="fixed"/>
        <w:tblCellMar>
          <w:top w:w="0" w:type="dxa"/>
          <w:left w:w="108" w:type="dxa"/>
          <w:bottom w:w="0" w:type="dxa"/>
          <w:right w:w="108" w:type="dxa"/>
        </w:tblCellMar>
      </w:tblPr>
      <w:tblGrid>
        <w:gridCol w:w="645"/>
        <w:gridCol w:w="4150"/>
        <w:gridCol w:w="1602"/>
        <w:gridCol w:w="1575"/>
        <w:gridCol w:w="1904"/>
        <w:gridCol w:w="1470"/>
        <w:gridCol w:w="2936"/>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编号</w:t>
            </w:r>
          </w:p>
        </w:tc>
        <w:tc>
          <w:tcPr>
            <w:tcW w:w="4150"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修正前投标</w:t>
            </w:r>
          </w:p>
          <w:p>
            <w:pPr>
              <w:jc w:val="center"/>
              <w:rPr>
                <w:rFonts w:ascii="宋体" w:hAnsi="宋体"/>
                <w:b/>
                <w:bCs/>
                <w:kern w:val="0"/>
                <w:szCs w:val="21"/>
              </w:rPr>
            </w:pPr>
            <w:r>
              <w:rPr>
                <w:rFonts w:hint="eastAsia" w:ascii="宋体" w:hAnsi="宋体"/>
                <w:b/>
                <w:bCs/>
                <w:kern w:val="0"/>
                <w:szCs w:val="21"/>
              </w:rPr>
              <w:t>报价</w:t>
            </w:r>
            <w:r>
              <w:rPr>
                <w:rFonts w:ascii="宋体" w:hAnsi="宋体"/>
                <w:b/>
                <w:bCs/>
                <w:kern w:val="0"/>
                <w:szCs w:val="21"/>
              </w:rPr>
              <w:t>A</w:t>
            </w:r>
          </w:p>
        </w:tc>
        <w:tc>
          <w:tcPr>
            <w:tcW w:w="1575"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修正后投标</w:t>
            </w:r>
          </w:p>
          <w:p>
            <w:pPr>
              <w:jc w:val="center"/>
              <w:rPr>
                <w:rFonts w:ascii="宋体" w:hAnsi="宋体"/>
                <w:b/>
                <w:bCs/>
                <w:kern w:val="0"/>
                <w:szCs w:val="21"/>
              </w:rPr>
            </w:pPr>
            <w:r>
              <w:rPr>
                <w:rFonts w:hint="eastAsia" w:ascii="宋体" w:hAnsi="宋体"/>
                <w:b/>
                <w:bCs/>
                <w:kern w:val="0"/>
                <w:szCs w:val="21"/>
              </w:rPr>
              <w:t>报价</w:t>
            </w:r>
            <w:r>
              <w:rPr>
                <w:rFonts w:ascii="宋体" w:hAnsi="宋体"/>
                <w:b/>
                <w:bCs/>
                <w:kern w:val="0"/>
                <w:szCs w:val="21"/>
              </w:rPr>
              <w:t>B</w:t>
            </w:r>
          </w:p>
        </w:tc>
        <w:tc>
          <w:tcPr>
            <w:tcW w:w="1904"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修正率</w:t>
            </w:r>
            <w:r>
              <w:rPr>
                <w:rFonts w:ascii="宋体" w:hAnsi="宋体"/>
                <w:b/>
                <w:bCs/>
                <w:kern w:val="0"/>
                <w:szCs w:val="21"/>
              </w:rPr>
              <w:br w:type="textWrapping"/>
            </w:r>
            <w:r>
              <w:rPr>
                <w:rFonts w:ascii="宋体" w:hAnsi="宋体"/>
                <w:b/>
                <w:bCs/>
                <w:kern w:val="0"/>
                <w:szCs w:val="21"/>
              </w:rPr>
              <w:t>r=|A-B|/A*100%</w:t>
            </w:r>
          </w:p>
        </w:tc>
        <w:tc>
          <w:tcPr>
            <w:tcW w:w="1470"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经评审的最终投标报价</w:t>
            </w: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当</w:t>
            </w:r>
            <w:r>
              <w:rPr>
                <w:rFonts w:ascii="宋体" w:hAnsi="宋体"/>
                <w:b/>
                <w:bCs/>
                <w:kern w:val="0"/>
                <w:szCs w:val="21"/>
              </w:rPr>
              <w:t>B&gt;A</w:t>
            </w:r>
            <w:r>
              <w:rPr>
                <w:rFonts w:hint="eastAsia" w:ascii="宋体" w:hAnsi="宋体"/>
                <w:b/>
                <w:bCs/>
                <w:kern w:val="0"/>
                <w:szCs w:val="21"/>
              </w:rPr>
              <w:t>时，修正后报价与原报价的差额；当</w:t>
            </w:r>
            <w:r>
              <w:rPr>
                <w:rFonts w:ascii="宋体" w:hAnsi="宋体"/>
                <w:b/>
                <w:bCs/>
                <w:kern w:val="0"/>
                <w:szCs w:val="21"/>
              </w:rPr>
              <w:t>B</w:t>
            </w:r>
            <w:r>
              <w:rPr>
                <w:rFonts w:hint="eastAsia" w:ascii="宋体" w:hAnsi="宋体"/>
                <w:b/>
                <w:bCs/>
                <w:kern w:val="0"/>
                <w:szCs w:val="21"/>
              </w:rPr>
              <w:t>≤</w:t>
            </w:r>
            <w:r>
              <w:rPr>
                <w:rFonts w:ascii="宋体" w:hAnsi="宋体"/>
                <w:b/>
                <w:bCs/>
                <w:kern w:val="0"/>
                <w:szCs w:val="21"/>
              </w:rPr>
              <w:t>A</w:t>
            </w:r>
            <w:r>
              <w:rPr>
                <w:rFonts w:hint="eastAsia" w:ascii="宋体" w:hAnsi="宋体"/>
                <w:b/>
                <w:bCs/>
                <w:kern w:val="0"/>
                <w:szCs w:val="21"/>
              </w:rPr>
              <w:t>时</w:t>
            </w:r>
            <w:r>
              <w:rPr>
                <w:rFonts w:ascii="宋体" w:hAnsi="宋体"/>
                <w:b/>
                <w:bCs/>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r2bl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pPr>
    </w:p>
    <w:p>
      <w:pPr>
        <w:pStyle w:val="3"/>
        <w:sectPr>
          <w:pgSz w:w="16838" w:h="11906" w:orient="landscape"/>
          <w:pgMar w:top="1417" w:right="1417" w:bottom="1417" w:left="1417" w:header="851" w:footer="680" w:gutter="0"/>
          <w:cols w:space="720" w:num="1"/>
          <w:docGrid w:type="lines" w:linePitch="312" w:charSpace="0"/>
        </w:sectPr>
      </w:pPr>
      <w:bookmarkStart w:id="30" w:name="_Toc2272566"/>
    </w:p>
    <w:p>
      <w:pPr>
        <w:pStyle w:val="3"/>
      </w:pPr>
      <w:bookmarkStart w:id="31" w:name="_Toc27321"/>
      <w:r>
        <w:rPr>
          <w:rFonts w:hint="eastAsia"/>
        </w:rPr>
        <w:t>第三章  合同条款</w:t>
      </w:r>
      <w:bookmarkEnd w:id="30"/>
      <w:bookmarkEnd w:id="31"/>
    </w:p>
    <w:p>
      <w:pPr>
        <w:jc w:val="center"/>
        <w:rPr>
          <w:rFonts w:ascii="宋体"/>
          <w:b/>
          <w:sz w:val="24"/>
          <w:szCs w:val="24"/>
        </w:rPr>
      </w:pPr>
      <w:r>
        <w:rPr>
          <w:rFonts w:hint="eastAsia" w:ascii="宋体" w:hAnsi="宋体"/>
          <w:sz w:val="24"/>
          <w:szCs w:val="24"/>
        </w:rPr>
        <w:t>另册</w:t>
      </w:r>
    </w:p>
    <w:p>
      <w:pPr>
        <w:rPr>
          <w:sz w:val="24"/>
          <w:szCs w:val="24"/>
        </w:rPr>
      </w:pPr>
    </w:p>
    <w:p>
      <w:pPr>
        <w:pStyle w:val="5"/>
        <w:spacing w:line="360" w:lineRule="auto"/>
        <w:ind w:firstLine="0"/>
        <w:rPr>
          <w:sz w:val="24"/>
          <w:szCs w:val="24"/>
        </w:rPr>
      </w:pPr>
    </w:p>
    <w:p>
      <w:pPr>
        <w:pStyle w:val="2"/>
        <w:spacing w:line="360" w:lineRule="auto"/>
        <w:rPr>
          <w:sz w:val="24"/>
          <w:szCs w:val="24"/>
        </w:rPr>
      </w:pPr>
    </w:p>
    <w:p>
      <w:pPr>
        <w:pStyle w:val="2"/>
        <w:spacing w:line="360" w:lineRule="auto"/>
        <w:jc w:val="center"/>
        <w:rPr>
          <w:sz w:val="24"/>
          <w:szCs w:val="24"/>
        </w:rPr>
      </w:pPr>
      <w:r>
        <w:rPr>
          <w:sz w:val="24"/>
          <w:szCs w:val="24"/>
        </w:rPr>
        <w:br w:type="page"/>
      </w:r>
    </w:p>
    <w:p>
      <w:pPr>
        <w:pStyle w:val="3"/>
      </w:pPr>
      <w:bookmarkStart w:id="32" w:name="_Toc13758"/>
      <w:bookmarkStart w:id="33" w:name="_Toc2272567"/>
      <w:r>
        <w:rPr>
          <w:rFonts w:hint="eastAsia"/>
        </w:rPr>
        <w:t>第四章  投标文件格式</w:t>
      </w:r>
      <w:bookmarkEnd w:id="32"/>
      <w:bookmarkEnd w:id="33"/>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工程名称</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4"/>
                <w:szCs w:val="24"/>
                <w:lang w:val="zh-CN"/>
              </w:rPr>
            </w:pPr>
            <w:r>
              <w:rPr>
                <w:rFonts w:hint="eastAsia" w:ascii="宋体" w:hAnsi="宋体" w:eastAsia="宋体" w:cs="宋体"/>
                <w:b/>
                <w:i w:val="0"/>
                <w:iCs w:val="0"/>
                <w:caps w:val="0"/>
                <w:spacing w:val="0"/>
                <w:sz w:val="24"/>
                <w:szCs w:val="24"/>
                <w:shd w:val="clear"/>
                <w:lang w:val="zh-CN"/>
              </w:rPr>
              <w:t>法定代表人证明书及授权委托书</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bCs/>
                <w:sz w:val="24"/>
                <w:szCs w:val="24"/>
                <w:lang w:val="zh-CN"/>
              </w:rPr>
              <w:t>人工费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sz w:val="24"/>
                <w:szCs w:val="24"/>
                <w:lang w:val="zh-CN"/>
              </w:rPr>
              <w:t>绿色施工安全防护措施费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工期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bl>
    <w:p>
      <w:pPr>
        <w:tabs>
          <w:tab w:val="left" w:pos="720"/>
        </w:tabs>
        <w:snapToGrid w:val="0"/>
        <w:spacing w:line="360" w:lineRule="auto"/>
        <w:rPr>
          <w:sz w:val="24"/>
          <w:szCs w:val="24"/>
        </w:rPr>
      </w:pPr>
    </w:p>
    <w:p>
      <w:pPr>
        <w:rPr>
          <w:szCs w:val="21"/>
        </w:rPr>
      </w:pPr>
      <w:r>
        <w:rPr>
          <w:rFonts w:hint="eastAsia"/>
          <w:szCs w:val="21"/>
        </w:rPr>
        <w:br w:type="page"/>
      </w:r>
    </w:p>
    <w:p>
      <w:pPr>
        <w:autoSpaceDE w:val="0"/>
        <w:autoSpaceDN w:val="0"/>
        <w:adjustRightInd w:val="0"/>
        <w:rPr>
          <w:szCs w:val="21"/>
        </w:rPr>
      </w:pP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firstLine="367" w:firstLineChars="175"/>
        <w:jc w:val="left"/>
        <w:rPr>
          <w:strike/>
          <w:sz w:val="24"/>
          <w:szCs w:val="24"/>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firstLineChars="175"/>
        <w:rPr>
          <w:sz w:val="24"/>
          <w:szCs w:val="24"/>
        </w:rPr>
      </w:pPr>
    </w:p>
    <w:p>
      <w:pPr>
        <w:rPr>
          <w:szCs w:val="21"/>
        </w:rPr>
      </w:pPr>
      <w:r>
        <w:rPr>
          <w:rFonts w:hint="eastAsia"/>
          <w:szCs w:val="21"/>
        </w:rPr>
        <w:t>附件三</w:t>
      </w:r>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firstLine="540" w:firstLineChars="225"/>
        <w:rPr>
          <w:rFonts w:ascii="宋体" w:hAnsi="宋体"/>
          <w:sz w:val="24"/>
          <w:szCs w:val="24"/>
        </w:rPr>
      </w:pPr>
      <w:r>
        <w:rPr>
          <w:rFonts w:hint="eastAsia" w:ascii="宋体" w:hAnsi="宋体"/>
          <w:sz w:val="24"/>
          <w:szCs w:val="24"/>
        </w:rPr>
        <w:t>如由于未遵守上述承诺内容之一导致无法进行澄清的，我公司认可和接受评标委员会作出的评审结论。</w:t>
      </w:r>
    </w:p>
    <w:p>
      <w:pPr>
        <w:pStyle w:val="5"/>
        <w:spacing w:after="0" w:line="360" w:lineRule="auto"/>
        <w:ind w:firstLine="360" w:firstLineChars="150"/>
        <w:rPr>
          <w:rFonts w:ascii="宋体" w:hAnsi="宋体"/>
          <w:sz w:val="24"/>
          <w:szCs w:val="24"/>
        </w:rPr>
      </w:pP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pStyle w:val="5"/>
        <w:spacing w:after="0" w:line="360" w:lineRule="auto"/>
        <w:ind w:firstLine="480" w:firstLineChars="200"/>
        <w:rPr>
          <w:rFonts w:ascii="宋体" w:hAnsi="宋体"/>
          <w:sz w:val="24"/>
          <w:szCs w:val="24"/>
        </w:rPr>
      </w:pPr>
    </w:p>
    <w:p>
      <w:pPr>
        <w:spacing w:line="360" w:lineRule="auto"/>
        <w:ind w:right="90" w:firstLine="3360" w:firstLineChars="1400"/>
        <w:rPr>
          <w:rFonts w:ascii="宋体" w:hAnsi="宋体"/>
          <w:sz w:val="24"/>
          <w:szCs w:val="24"/>
          <w:u w:val="single"/>
        </w:rPr>
      </w:pPr>
      <w:r>
        <w:rPr>
          <w:rFonts w:hint="eastAsia" w:ascii="宋体" w:hAnsi="宋体"/>
          <w:sz w:val="24"/>
          <w:szCs w:val="24"/>
        </w:rPr>
        <w:t>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W w:w="9454" w:type="dxa"/>
        <w:tblInd w:w="0" w:type="dxa"/>
        <w:tblLayout w:type="fixed"/>
        <w:tblCellMar>
          <w:top w:w="0" w:type="dxa"/>
          <w:left w:w="108" w:type="dxa"/>
          <w:bottom w:w="0" w:type="dxa"/>
          <w:right w:w="108" w:type="dxa"/>
        </w:tblCellMar>
      </w:tblPr>
      <w:tblGrid>
        <w:gridCol w:w="9454"/>
      </w:tblGrid>
      <w:tr>
        <w:tblPrEx>
          <w:tblCellMar>
            <w:top w:w="0" w:type="dxa"/>
            <w:left w:w="108" w:type="dxa"/>
            <w:bottom w:w="0" w:type="dxa"/>
            <w:right w:w="108" w:type="dxa"/>
          </w:tblCellMar>
        </w:tblPrEx>
        <w:trPr>
          <w:trHeight w:val="1802" w:hRule="atLeast"/>
        </w:trPr>
        <w:tc>
          <w:tcPr>
            <w:tcW w:w="9454" w:type="dxa"/>
          </w:tcPr>
          <w:p>
            <w:pPr>
              <w:pStyle w:val="5"/>
              <w:spacing w:after="0" w:line="360" w:lineRule="auto"/>
              <w:ind w:firstLine="0"/>
              <w:rPr>
                <w:rFonts w:ascii="宋体" w:hAnsi="宋体"/>
                <w:sz w:val="24"/>
                <w:szCs w:val="24"/>
              </w:rPr>
            </w:pPr>
            <w:r>
              <w:rPr>
                <w:rFonts w:hint="eastAsia" w:ascii="宋体" w:hAnsi="宋体"/>
                <w:sz w:val="24"/>
                <w:szCs w:val="24"/>
              </w:rPr>
              <w:t xml:space="preserve">投标文件加密打包的电脑     自有    □      外包    </w:t>
            </w:r>
            <w:r>
              <w:rPr>
                <w:rFonts w:hint="eastAsia" w:ascii="宋体" w:hAnsi="宋体"/>
                <w:sz w:val="24"/>
                <w:szCs w:val="24"/>
              </w:rPr>
              <w:sym w:font="Wingdings" w:char="00A8"/>
            </w:r>
            <w:r>
              <w:rPr>
                <w:rFonts w:hint="eastAsia" w:ascii="宋体" w:hAnsi="宋体"/>
                <w:sz w:val="24"/>
                <w:szCs w:val="24"/>
              </w:rPr>
              <w:t xml:space="preserve">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rPr>
          <w:rFonts w:ascii="仿宋_GB2312" w:hAnsi="楷体" w:eastAsia="仿宋_GB2312"/>
          <w:szCs w:val="21"/>
        </w:rPr>
      </w:pPr>
      <w:r>
        <w:rPr>
          <w:rFonts w:ascii="仿宋_GB2312" w:hAnsi="楷体" w:eastAsia="仿宋_GB2312"/>
          <w:szCs w:val="21"/>
        </w:rPr>
        <w:br w:type="page"/>
      </w:r>
    </w:p>
    <w:p>
      <w:pPr>
        <w:rPr>
          <w:szCs w:val="21"/>
        </w:rPr>
      </w:pPr>
      <w:r>
        <w:rPr>
          <w:rFonts w:hint="eastAsia"/>
          <w:szCs w:val="21"/>
        </w:rPr>
        <w:t>附件四</w:t>
      </w:r>
    </w:p>
    <w:p>
      <w:pPr>
        <w:autoSpaceDE w:val="0"/>
        <w:autoSpaceDN w:val="0"/>
        <w:adjustRightInd w:val="0"/>
        <w:jc w:val="center"/>
        <w:rPr>
          <w:rFonts w:ascii="宋体" w:hAnsi="宋体" w:cs="宋体"/>
          <w:b/>
          <w:szCs w:val="21"/>
        </w:rPr>
      </w:pPr>
    </w:p>
    <w:p>
      <w:pPr>
        <w:autoSpaceDE w:val="0"/>
        <w:autoSpaceDN w:val="0"/>
        <w:adjustRightInd w:val="0"/>
        <w:jc w:val="center"/>
        <w:rPr>
          <w:rFonts w:ascii="宋体" w:hAnsi="宋体" w:cs="宋体"/>
          <w:b/>
          <w:szCs w:val="21"/>
        </w:rPr>
      </w:pPr>
      <w:r>
        <w:rPr>
          <w:rFonts w:hint="eastAsia" w:ascii="宋体" w:hAnsi="宋体" w:cs="宋体"/>
          <w:b/>
          <w:szCs w:val="21"/>
        </w:rPr>
        <w:t>资格审查文件</w:t>
      </w:r>
    </w:p>
    <w:p>
      <w:pPr>
        <w:pStyle w:val="6"/>
        <w:rPr>
          <w:rFonts w:ascii="宋体" w:hAnsi="宋体" w:cs="宋体"/>
          <w:szCs w:val="21"/>
        </w:rPr>
      </w:pPr>
      <w:r>
        <w:rPr>
          <w:rFonts w:hint="eastAsia" w:ascii="宋体" w:hAnsi="宋体" w:cs="宋体"/>
          <w:snapToGrid w:val="0"/>
          <w:spacing w:val="4"/>
          <w:szCs w:val="21"/>
        </w:rPr>
        <w:t>注：按投标须知修改表11.2.2条款及《资格审查表》要求提交，格式自拟。</w:t>
      </w:r>
    </w:p>
    <w:p>
      <w:pPr>
        <w:rPr>
          <w:szCs w:val="21"/>
        </w:rPr>
      </w:pPr>
      <w:r>
        <w:rPr>
          <w:rFonts w:hint="eastAsia"/>
          <w:szCs w:val="21"/>
        </w:rPr>
        <w:br w:type="page"/>
      </w:r>
    </w:p>
    <w:p>
      <w:pPr>
        <w:rPr>
          <w:szCs w:val="21"/>
        </w:rPr>
      </w:pPr>
      <w:r>
        <w:rPr>
          <w:rFonts w:hint="eastAsia"/>
          <w:szCs w:val="21"/>
        </w:rPr>
        <w:t>附件五</w:t>
      </w:r>
    </w:p>
    <w:p>
      <w:pPr>
        <w:tabs>
          <w:tab w:val="left" w:pos="720"/>
        </w:tabs>
        <w:snapToGrid w:val="0"/>
        <w:spacing w:line="360" w:lineRule="auto"/>
        <w:rPr>
          <w:rFonts w:ascii="宋体" w:hAnsi="宋体" w:cs="宋体"/>
          <w:sz w:val="24"/>
          <w:szCs w:val="24"/>
          <w:highlight w:val="none"/>
        </w:rPr>
      </w:pPr>
    </w:p>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highlight w:val="none"/>
        </w:rPr>
        <w:t>20</w:t>
      </w:r>
      <w:r>
        <w:rPr>
          <w:rFonts w:ascii="宋体" w:hAnsi="宋体" w:cs="宋体"/>
          <w:sz w:val="24"/>
          <w:szCs w:val="24"/>
          <w:highlight w:val="none"/>
        </w:rPr>
        <w:t>19</w:t>
      </w:r>
      <w:r>
        <w:rPr>
          <w:rFonts w:hint="eastAsia" w:ascii="宋体" w:hAnsi="宋体" w:cs="宋体"/>
          <w:sz w:val="24"/>
          <w:szCs w:val="24"/>
          <w:highlight w:val="none"/>
        </w:rPr>
        <w:t>年1月1</w:t>
      </w:r>
      <w:r>
        <w:rPr>
          <w:rFonts w:hint="eastAsia" w:ascii="宋体" w:hAnsi="宋体" w:cs="宋体"/>
          <w:sz w:val="24"/>
          <w:szCs w:val="24"/>
        </w:rPr>
        <w:t>日至今完成过质量合格的类似业绩一览表</w:t>
      </w:r>
    </w:p>
    <w:p>
      <w:pPr>
        <w:pStyle w:val="123"/>
      </w:pPr>
    </w:p>
    <w:tbl>
      <w:tblPr>
        <w:tblStyle w:val="36"/>
        <w:tblW w:w="7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160"/>
        <w:gridCol w:w="1545"/>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3"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序号</w:t>
            </w:r>
          </w:p>
        </w:tc>
        <w:tc>
          <w:tcPr>
            <w:tcW w:w="2160"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项目编号</w:t>
            </w:r>
          </w:p>
        </w:tc>
        <w:tc>
          <w:tcPr>
            <w:tcW w:w="1545"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项目名称</w:t>
            </w:r>
          </w:p>
        </w:tc>
        <w:tc>
          <w:tcPr>
            <w:tcW w:w="2775" w:type="dxa"/>
            <w:vAlign w:val="center"/>
          </w:tcPr>
          <w:p>
            <w:pPr>
              <w:tabs>
                <w:tab w:val="left" w:pos="720"/>
              </w:tabs>
              <w:snapToGrid w:val="0"/>
              <w:spacing w:line="360" w:lineRule="auto"/>
              <w:jc w:val="center"/>
              <w:rPr>
                <w:rFonts w:ascii="宋体" w:hAnsi="宋体" w:cs="宋体"/>
                <w:sz w:val="24"/>
                <w:szCs w:val="24"/>
              </w:rPr>
            </w:pPr>
            <w:r>
              <w:rPr>
                <w:rFonts w:hint="eastAsia" w:ascii="宋体" w:hAnsi="宋体" w:cs="宋体"/>
                <w:sz w:val="24"/>
                <w:szCs w:val="24"/>
              </w:rPr>
              <w:t>合同总价（万元）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23" w:type="dxa"/>
          </w:tcPr>
          <w:p>
            <w:pPr>
              <w:tabs>
                <w:tab w:val="left" w:pos="720"/>
              </w:tabs>
              <w:snapToGrid w:val="0"/>
              <w:spacing w:line="360" w:lineRule="auto"/>
              <w:rPr>
                <w:rFonts w:ascii="宋体" w:hAnsi="宋体" w:cs="宋体"/>
                <w:sz w:val="24"/>
                <w:szCs w:val="24"/>
              </w:rPr>
            </w:pPr>
          </w:p>
        </w:tc>
        <w:tc>
          <w:tcPr>
            <w:tcW w:w="2160" w:type="dxa"/>
          </w:tcPr>
          <w:p>
            <w:pPr>
              <w:tabs>
                <w:tab w:val="left" w:pos="720"/>
              </w:tabs>
              <w:snapToGrid w:val="0"/>
              <w:spacing w:line="360" w:lineRule="auto"/>
              <w:rPr>
                <w:rFonts w:ascii="宋体" w:hAnsi="宋体" w:cs="宋体"/>
                <w:sz w:val="24"/>
                <w:szCs w:val="24"/>
              </w:rPr>
            </w:pPr>
          </w:p>
        </w:tc>
        <w:tc>
          <w:tcPr>
            <w:tcW w:w="1545" w:type="dxa"/>
          </w:tcPr>
          <w:p>
            <w:pPr>
              <w:tabs>
                <w:tab w:val="left" w:pos="720"/>
              </w:tabs>
              <w:snapToGrid w:val="0"/>
              <w:spacing w:line="360" w:lineRule="auto"/>
              <w:rPr>
                <w:rFonts w:ascii="宋体" w:hAnsi="宋体" w:cs="宋体"/>
                <w:sz w:val="24"/>
                <w:szCs w:val="24"/>
              </w:rPr>
            </w:pPr>
          </w:p>
        </w:tc>
        <w:tc>
          <w:tcPr>
            <w:tcW w:w="2775" w:type="dxa"/>
          </w:tcPr>
          <w:p>
            <w:pPr>
              <w:tabs>
                <w:tab w:val="left" w:pos="720"/>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23" w:type="dxa"/>
          </w:tcPr>
          <w:p>
            <w:pPr>
              <w:tabs>
                <w:tab w:val="left" w:pos="720"/>
              </w:tabs>
              <w:snapToGrid w:val="0"/>
              <w:spacing w:line="360" w:lineRule="auto"/>
              <w:rPr>
                <w:rFonts w:ascii="宋体" w:hAnsi="宋体" w:cs="宋体"/>
                <w:sz w:val="24"/>
                <w:szCs w:val="24"/>
              </w:rPr>
            </w:pPr>
          </w:p>
        </w:tc>
        <w:tc>
          <w:tcPr>
            <w:tcW w:w="2160" w:type="dxa"/>
          </w:tcPr>
          <w:p>
            <w:pPr>
              <w:tabs>
                <w:tab w:val="left" w:pos="720"/>
              </w:tabs>
              <w:snapToGrid w:val="0"/>
              <w:spacing w:line="360" w:lineRule="auto"/>
              <w:rPr>
                <w:rFonts w:ascii="宋体" w:hAnsi="宋体" w:cs="宋体"/>
                <w:sz w:val="24"/>
                <w:szCs w:val="24"/>
              </w:rPr>
            </w:pPr>
          </w:p>
        </w:tc>
        <w:tc>
          <w:tcPr>
            <w:tcW w:w="1545" w:type="dxa"/>
          </w:tcPr>
          <w:p>
            <w:pPr>
              <w:tabs>
                <w:tab w:val="left" w:pos="720"/>
              </w:tabs>
              <w:snapToGrid w:val="0"/>
              <w:spacing w:line="360" w:lineRule="auto"/>
              <w:rPr>
                <w:rFonts w:ascii="宋体" w:hAnsi="宋体" w:cs="宋体"/>
                <w:sz w:val="24"/>
                <w:szCs w:val="24"/>
              </w:rPr>
            </w:pPr>
          </w:p>
        </w:tc>
        <w:tc>
          <w:tcPr>
            <w:tcW w:w="2775" w:type="dxa"/>
          </w:tcPr>
          <w:p>
            <w:pPr>
              <w:tabs>
                <w:tab w:val="left" w:pos="720"/>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dxa"/>
          </w:tcPr>
          <w:p>
            <w:pPr>
              <w:tabs>
                <w:tab w:val="left" w:pos="720"/>
              </w:tabs>
              <w:snapToGrid w:val="0"/>
              <w:spacing w:line="360" w:lineRule="auto"/>
              <w:rPr>
                <w:rFonts w:ascii="宋体" w:hAnsi="宋体" w:cs="宋体"/>
                <w:sz w:val="24"/>
                <w:szCs w:val="24"/>
              </w:rPr>
            </w:pPr>
          </w:p>
        </w:tc>
        <w:tc>
          <w:tcPr>
            <w:tcW w:w="2160" w:type="dxa"/>
          </w:tcPr>
          <w:p>
            <w:pPr>
              <w:tabs>
                <w:tab w:val="left" w:pos="720"/>
              </w:tabs>
              <w:snapToGrid w:val="0"/>
              <w:spacing w:line="360" w:lineRule="auto"/>
              <w:rPr>
                <w:rFonts w:ascii="宋体" w:hAnsi="宋体" w:cs="宋体"/>
                <w:sz w:val="24"/>
                <w:szCs w:val="24"/>
              </w:rPr>
            </w:pPr>
          </w:p>
        </w:tc>
        <w:tc>
          <w:tcPr>
            <w:tcW w:w="1545" w:type="dxa"/>
          </w:tcPr>
          <w:p>
            <w:pPr>
              <w:tabs>
                <w:tab w:val="left" w:pos="720"/>
              </w:tabs>
              <w:snapToGrid w:val="0"/>
              <w:spacing w:line="360" w:lineRule="auto"/>
              <w:rPr>
                <w:rFonts w:ascii="宋体" w:hAnsi="宋体" w:cs="宋体"/>
                <w:sz w:val="24"/>
                <w:szCs w:val="24"/>
              </w:rPr>
            </w:pPr>
          </w:p>
        </w:tc>
        <w:tc>
          <w:tcPr>
            <w:tcW w:w="2775" w:type="dxa"/>
          </w:tcPr>
          <w:p>
            <w:pPr>
              <w:tabs>
                <w:tab w:val="left" w:pos="720"/>
              </w:tabs>
              <w:snapToGrid w:val="0"/>
              <w:spacing w:line="360" w:lineRule="auto"/>
              <w:rPr>
                <w:rFonts w:ascii="宋体" w:hAnsi="宋体" w:cs="宋体"/>
                <w:sz w:val="24"/>
                <w:szCs w:val="24"/>
              </w:rPr>
            </w:pPr>
          </w:p>
        </w:tc>
      </w:tr>
    </w:tbl>
    <w:p>
      <w:pPr>
        <w:rPr>
          <w:szCs w:val="21"/>
        </w:rPr>
      </w:pPr>
    </w:p>
    <w:p>
      <w:pPr>
        <w:rPr>
          <w:szCs w:val="21"/>
        </w:rPr>
      </w:pPr>
    </w:p>
    <w:p>
      <w:pPr>
        <w:rPr>
          <w:szCs w:val="21"/>
        </w:rPr>
      </w:pPr>
      <w:r>
        <w:rPr>
          <w:rFonts w:hint="eastAsia"/>
          <w:szCs w:val="21"/>
        </w:rPr>
        <w:t>附件六</w:t>
      </w:r>
    </w:p>
    <w:p>
      <w:pPr>
        <w:tabs>
          <w:tab w:val="left" w:pos="720"/>
        </w:tabs>
        <w:snapToGrid w:val="0"/>
        <w:spacing w:line="360" w:lineRule="auto"/>
        <w:jc w:val="center"/>
        <w:rPr>
          <w:b/>
          <w:sz w:val="32"/>
          <w:szCs w:val="32"/>
        </w:rPr>
      </w:pPr>
    </w:p>
    <w:p>
      <w:pPr>
        <w:tabs>
          <w:tab w:val="left" w:pos="720"/>
        </w:tabs>
        <w:snapToGrid w:val="0"/>
        <w:spacing w:line="360" w:lineRule="auto"/>
        <w:jc w:val="center"/>
        <w:rPr>
          <w:b/>
          <w:sz w:val="32"/>
          <w:szCs w:val="32"/>
        </w:rPr>
      </w:pPr>
      <w:r>
        <w:rPr>
          <w:rFonts w:hint="eastAsia"/>
          <w:b/>
          <w:sz w:val="32"/>
          <w:szCs w:val="32"/>
        </w:rPr>
        <w:t>工程研发能力</w:t>
      </w:r>
    </w:p>
    <w:tbl>
      <w:tblPr>
        <w:tblStyle w:val="36"/>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608"/>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0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szCs w:val="21"/>
              </w:rPr>
              <w:t>序号</w:t>
            </w:r>
          </w:p>
        </w:tc>
        <w:tc>
          <w:tcPr>
            <w:tcW w:w="260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hAnsi="宋体" w:cs="宋体"/>
              </w:rPr>
              <w:t>级别</w:t>
            </w:r>
          </w:p>
        </w:tc>
        <w:tc>
          <w:tcPr>
            <w:tcW w:w="46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0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60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46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0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60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46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0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60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46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0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60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46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0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60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46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bl>
    <w:p>
      <w:pPr>
        <w:rPr>
          <w:rFonts w:ascii="宋体" w:hAnsi="宋体" w:cs="宋体"/>
          <w:b/>
          <w:sz w:val="24"/>
          <w:szCs w:val="24"/>
        </w:rPr>
      </w:pPr>
      <w:r>
        <w:rPr>
          <w:rFonts w:hint="eastAsia" w:ascii="宋体" w:hAnsi="宋体" w:cs="宋体"/>
          <w:b/>
          <w:sz w:val="24"/>
          <w:szCs w:val="24"/>
        </w:rPr>
        <w:br w:type="page"/>
      </w:r>
    </w:p>
    <w:p>
      <w:pPr>
        <w:autoSpaceDE w:val="0"/>
        <w:autoSpaceDN w:val="0"/>
        <w:adjustRightInd w:val="0"/>
        <w:rPr>
          <w:szCs w:val="21"/>
        </w:rPr>
      </w:pPr>
      <w:r>
        <w:rPr>
          <w:rFonts w:hint="eastAsia"/>
          <w:szCs w:val="21"/>
        </w:rPr>
        <w:t>附件七</w:t>
      </w:r>
    </w:p>
    <w:p>
      <w:pPr>
        <w:jc w:val="center"/>
        <w:rPr>
          <w:rFonts w:ascii="宋体" w:hAnsi="宋体" w:cs="宋体"/>
          <w:b/>
          <w:sz w:val="24"/>
          <w:szCs w:val="20"/>
        </w:rPr>
      </w:pPr>
      <w:r>
        <w:rPr>
          <w:rFonts w:hint="eastAsia" w:ascii="宋体" w:hAnsi="宋体" w:cs="宋体"/>
          <w:b/>
          <w:sz w:val="24"/>
          <w:szCs w:val="20"/>
        </w:rPr>
        <w:t>危险性较大的分部分项工程清单及</w:t>
      </w:r>
    </w:p>
    <w:p>
      <w:pPr>
        <w:jc w:val="center"/>
        <w:rPr>
          <w:rFonts w:ascii="宋体" w:hAnsi="宋体" w:cs="宋体"/>
          <w:b/>
          <w:sz w:val="24"/>
          <w:szCs w:val="20"/>
        </w:rPr>
      </w:pPr>
      <w:r>
        <w:rPr>
          <w:rFonts w:hint="eastAsia" w:ascii="宋体" w:hAnsi="宋体" w:cs="宋体"/>
          <w:b/>
          <w:sz w:val="24"/>
          <w:szCs w:val="20"/>
        </w:rPr>
        <w:t>超过一定规模的危险性较大的分部分项工程清单</w:t>
      </w:r>
    </w:p>
    <w:p>
      <w:pPr>
        <w:pStyle w:val="8"/>
      </w:pP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招标人根据设计文件的要求及37号文的规定列出“危险性较大的分部分项工程清单及超过一定规模的危险性较大的分部分项工程清单”中与本招标项目相关的清单项，具体详第5点“打√”标识。</w:t>
      </w:r>
    </w:p>
    <w:p>
      <w:pPr>
        <w:numPr>
          <w:ilvl w:val="0"/>
          <w:numId w:val="6"/>
        </w:numPr>
        <w:autoSpaceDE w:val="0"/>
        <w:autoSpaceDN w:val="0"/>
        <w:adjustRightInd w:val="0"/>
        <w:jc w:val="left"/>
        <w:rPr>
          <w:rFonts w:ascii="宋体" w:hAnsi="宋体" w:cs="宋体"/>
          <w:szCs w:val="21"/>
        </w:rPr>
      </w:pPr>
      <w:r>
        <w:rPr>
          <w:rFonts w:hint="eastAsia" w:ascii="宋体" w:hAnsi="宋体" w:cs="宋体"/>
          <w:szCs w:val="21"/>
        </w:rPr>
        <w:t>投标单位同意建设单位在清单中标识的该项请在对应项打“√”标识。</w:t>
      </w:r>
    </w:p>
    <w:p>
      <w:pPr>
        <w:numPr>
          <w:ilvl w:val="0"/>
          <w:numId w:val="6"/>
        </w:numPr>
        <w:autoSpaceDE w:val="0"/>
        <w:autoSpaceDN w:val="0"/>
        <w:adjustRightInd w:val="0"/>
        <w:jc w:val="left"/>
        <w:rPr>
          <w:rFonts w:ascii="宋体" w:hAnsi="宋体" w:cs="宋体"/>
          <w:szCs w:val="21"/>
        </w:rPr>
      </w:pPr>
      <w:r>
        <w:rPr>
          <w:rFonts w:hint="eastAsia" w:ascii="宋体" w:hAnsi="宋体" w:cs="宋体"/>
          <w:szCs w:val="21"/>
        </w:rPr>
        <w:t>投标单位对清单中认为需要补充的该项请在对应项打“√”标识。</w:t>
      </w:r>
    </w:p>
    <w:p>
      <w:pPr>
        <w:numPr>
          <w:ilvl w:val="0"/>
          <w:numId w:val="6"/>
        </w:numPr>
        <w:autoSpaceDE w:val="0"/>
        <w:autoSpaceDN w:val="0"/>
        <w:adjustRightInd w:val="0"/>
        <w:jc w:val="left"/>
        <w:rPr>
          <w:rFonts w:ascii="宋体" w:hAnsi="宋体" w:cs="宋体"/>
          <w:szCs w:val="21"/>
        </w:rPr>
      </w:pPr>
      <w:r>
        <w:rPr>
          <w:rFonts w:hint="eastAsia" w:ascii="宋体" w:hAnsi="宋体" w:cs="宋体"/>
          <w:szCs w:val="21"/>
        </w:rPr>
        <w:t>投标单位不同意建设单位在清单中标识的该项请在对应项打“×”标识，并在备注栏填上相关说明。</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投标单位应当在投标时根据招标人提供的下述第5点清单，在施工组织中编制专项施工方案。</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5"/>
        </w:numPr>
        <w:autoSpaceDE w:val="0"/>
        <w:autoSpaceDN w:val="0"/>
        <w:adjustRightInd w:val="0"/>
        <w:jc w:val="left"/>
        <w:rPr>
          <w:rFonts w:ascii="宋体" w:hAnsi="宋体" w:cs="宋体"/>
          <w:szCs w:val="21"/>
        </w:rPr>
      </w:pPr>
      <w:r>
        <w:rPr>
          <w:rFonts w:hint="eastAsia" w:ascii="宋体" w:hAnsi="宋体" w:cs="宋体"/>
          <w:szCs w:val="21"/>
        </w:rPr>
        <w:t>危险性较大的分部分项工程清单及超过一定规模的危险性较大的分部分项工程清单：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8"/>
        <w:gridCol w:w="1529"/>
        <w:gridCol w:w="13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8" w:type="dxa"/>
            <w:noWrap/>
            <w:vAlign w:val="center"/>
          </w:tcPr>
          <w:p>
            <w:pPr>
              <w:jc w:val="center"/>
              <w:rPr>
                <w:rFonts w:ascii="宋体" w:hAnsi="宋体" w:cs="宋体"/>
                <w:b/>
                <w:szCs w:val="21"/>
              </w:rPr>
            </w:pPr>
            <w:r>
              <w:rPr>
                <w:rFonts w:hint="eastAsia" w:ascii="宋体" w:hAnsi="宋体" w:cs="宋体"/>
                <w:b/>
                <w:szCs w:val="21"/>
              </w:rPr>
              <w:t>一、危险性较大的分部分项工程清单</w:t>
            </w:r>
          </w:p>
        </w:tc>
        <w:tc>
          <w:tcPr>
            <w:tcW w:w="1529" w:type="dxa"/>
            <w:noWrap/>
            <w:vAlign w:val="center"/>
          </w:tcPr>
          <w:p>
            <w:pPr>
              <w:jc w:val="center"/>
              <w:rPr>
                <w:rFonts w:ascii="宋体" w:hAnsi="宋体" w:cs="宋体"/>
                <w:szCs w:val="21"/>
              </w:rPr>
            </w:pPr>
            <w:r>
              <w:rPr>
                <w:rFonts w:hint="eastAsia" w:ascii="宋体" w:hAnsi="宋体" w:cs="宋体"/>
                <w:szCs w:val="21"/>
              </w:rPr>
              <w:t>建设单位</w:t>
            </w:r>
          </w:p>
        </w:tc>
        <w:tc>
          <w:tcPr>
            <w:tcW w:w="1375" w:type="dxa"/>
            <w:noWrap/>
            <w:vAlign w:val="center"/>
          </w:tcPr>
          <w:p>
            <w:pPr>
              <w:jc w:val="center"/>
              <w:rPr>
                <w:rFonts w:ascii="宋体" w:hAnsi="宋体" w:cs="宋体"/>
                <w:szCs w:val="21"/>
              </w:rPr>
            </w:pPr>
            <w:r>
              <w:rPr>
                <w:rFonts w:hint="eastAsia" w:ascii="宋体" w:hAnsi="宋体" w:cs="宋体"/>
                <w:szCs w:val="21"/>
              </w:rPr>
              <w:t>投标单位</w:t>
            </w:r>
          </w:p>
        </w:tc>
        <w:tc>
          <w:tcPr>
            <w:tcW w:w="871" w:type="dxa"/>
            <w:noWrap/>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一、基坑支护</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（一）开挖深度超过3m（含3m）的基坑（槽）的土方开挖、支护、降水工程。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二、模板工程及支撑体系</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（一）各类工具式模板工程：包括滑模、爬模、飞模、隧道模等工程。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widowControl/>
              <w:spacing w:line="360" w:lineRule="atLeast"/>
              <w:jc w:val="left"/>
              <w:rPr>
                <w:rFonts w:ascii="宋体" w:hAnsi="宋体" w:cs="宋体"/>
                <w:szCs w:val="21"/>
              </w:rPr>
            </w:pPr>
            <w:r>
              <w:rPr>
                <w:rFonts w:hint="eastAsia" w:ascii="宋体" w:hAnsi="宋体" w:cs="宋体"/>
                <w:szCs w:val="21"/>
              </w:rPr>
              <w:t>（三）承重支撑体系：用于钢结构安装等满堂支撑体系。</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widowControl/>
              <w:spacing w:line="360" w:lineRule="atLeast"/>
              <w:jc w:val="left"/>
              <w:rPr>
                <w:rFonts w:ascii="宋体" w:hAnsi="宋体" w:cs="宋体"/>
                <w:szCs w:val="21"/>
              </w:rPr>
            </w:pPr>
            <w:r>
              <w:rPr>
                <w:rFonts w:hint="eastAsia" w:ascii="宋体" w:hAnsi="宋体" w:cs="宋体"/>
                <w:szCs w:val="21"/>
              </w:rPr>
              <w:t>　三、起重吊装及起重机械安装拆卸工程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widowControl/>
              <w:spacing w:line="360" w:lineRule="atLeast"/>
              <w:jc w:val="left"/>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（二）采用起重机械进行安装的工程。（塔吊、人货梯、钢结构、钢骨混凝土工程）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（三）起重机械安装和拆卸工程。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（二）附着式升降脚手架工程。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（三）悬挑式脚手架工程。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（四）高处作业吊篮（外墙装饰）。</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（五）卸料平台、操作平台工程。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（六）异型脚手架工程。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可能影响行人、交通、电力设施、通讯设施或其它建、构筑物安全的拆除工程。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　六、暗挖工程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采用矿山法、盾构法、顶管法施工的隧道、洞室工程。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七、其它</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（一）建筑幕墙安装工程。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（二）钢结构、网架和索膜结构安装工程。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（三）人工挖孔桩工程。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（四）水下作业工程。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（五）装配式建筑混凝土预制构件安装工程。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vAlign w:val="center"/>
          </w:tcPr>
          <w:p>
            <w:pPr>
              <w:widowControl/>
              <w:spacing w:line="360" w:lineRule="atLeast"/>
              <w:rPr>
                <w:rFonts w:ascii="宋体" w:hAnsi="宋体" w:cs="宋体"/>
                <w:b/>
                <w:szCs w:val="21"/>
              </w:rPr>
            </w:pPr>
            <w:r>
              <w:rPr>
                <w:rFonts w:hint="eastAsia" w:ascii="宋体" w:hAnsi="宋体" w:cs="宋体"/>
                <w:b/>
                <w:bCs/>
                <w:szCs w:val="21"/>
              </w:rPr>
              <w:t>二、超过一定规模的危险性较大的分部分项工程清单</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一、深基坑工程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开挖深度超过5m（含5m）的基坑（槽）的土方开挖、支护、降水工程，且临近地铁基坑施工。</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二、模板工程及支撑体系</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（一）各类工具式模板工程：包括滑模、爬模、飞模、隧道模等工程。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　三、起重吊装及起重机械安装拆卸工程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（一）搭设高度50m及以上的落地式钢管脚手架工程。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（三）分段架体搭设高度20m及以上的悬挑式脚手架工程。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六、暗挖工程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采用矿山法、盾构法、顶管法施工的隧道、洞室工程。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七、其它</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（一）施工高度50m及以上的建筑幕墙安装工程。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（三）开挖深度16m及以上的人工挖孔桩工程。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（四）水下作业工程。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（五）重量1000kN及以上的大型结构整体顶升、平移、转体等施工工艺。</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bl>
    <w:p>
      <w:pPr>
        <w:autoSpaceDE w:val="0"/>
        <w:autoSpaceDN w:val="0"/>
        <w:adjustRightInd w:val="0"/>
        <w:ind w:firstLine="420"/>
        <w:jc w:val="left"/>
        <w:rPr>
          <w:rFonts w:ascii="宋体" w:hAnsi="宋体" w:cs="宋体"/>
          <w:szCs w:val="21"/>
        </w:rPr>
      </w:pP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投标人名称：    （盖章）</w:t>
      </w: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法定代表人或其授权代理人(签名或盖章)：</w:t>
      </w:r>
    </w:p>
    <w:p>
      <w:r>
        <w:rPr>
          <w:rFonts w:hint="eastAsia" w:ascii="宋体" w:hAnsi="宋体" w:cs="宋体"/>
          <w:sz w:val="22"/>
        </w:rPr>
        <w:t xml:space="preserve">                                            日   期：    年    月    日</w:t>
      </w:r>
    </w:p>
    <w:p/>
    <w:p>
      <w:pPr>
        <w:autoSpaceDE w:val="0"/>
        <w:autoSpaceDN w:val="0"/>
        <w:adjustRightInd w:val="0"/>
        <w:rPr>
          <w:szCs w:val="21"/>
        </w:rPr>
      </w:pPr>
      <w:r>
        <w:rPr>
          <w:rFonts w:hint="eastAsia"/>
          <w:szCs w:val="21"/>
        </w:rPr>
        <w:t>格式八</w:t>
      </w:r>
    </w:p>
    <w:p>
      <w:pPr>
        <w:pStyle w:val="35"/>
        <w:ind w:left="0" w:leftChars="0" w:firstLine="0" w:firstLineChars="0"/>
        <w:jc w:val="center"/>
        <w:rPr>
          <w:rFonts w:ascii="宋体" w:hAnsi="宋体"/>
          <w:sz w:val="28"/>
          <w:szCs w:val="28"/>
        </w:rPr>
      </w:pPr>
      <w:r>
        <w:rPr>
          <w:rFonts w:hint="eastAsia" w:ascii="宋体" w:hAnsi="宋体"/>
          <w:b/>
          <w:bCs/>
          <w:sz w:val="28"/>
          <w:szCs w:val="28"/>
        </w:rPr>
        <w:t>主要材料品牌选用表</w:t>
      </w:r>
    </w:p>
    <w:tbl>
      <w:tblPr>
        <w:tblStyle w:val="36"/>
        <w:tblW w:w="54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88"/>
        <w:gridCol w:w="2794"/>
        <w:gridCol w:w="2801"/>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02"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序号</w:t>
            </w:r>
          </w:p>
        </w:tc>
        <w:tc>
          <w:tcPr>
            <w:tcW w:w="858"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设备和材料名称、规格、型号</w:t>
            </w:r>
          </w:p>
        </w:tc>
        <w:tc>
          <w:tcPr>
            <w:tcW w:w="1510"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特殊要求</w:t>
            </w:r>
          </w:p>
        </w:tc>
        <w:tc>
          <w:tcPr>
            <w:tcW w:w="1514"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推荐厂家</w:t>
            </w:r>
          </w:p>
          <w:p>
            <w:pPr>
              <w:adjustRightInd w:val="0"/>
              <w:snapToGrid w:val="0"/>
              <w:spacing w:line="440" w:lineRule="exact"/>
              <w:jc w:val="center"/>
              <w:rPr>
                <w:rFonts w:ascii="宋体" w:hAnsi="宋体" w:cs="宋体"/>
                <w:b/>
                <w:bCs/>
                <w:szCs w:val="20"/>
              </w:rPr>
            </w:pPr>
            <w:r>
              <w:rPr>
                <w:rFonts w:hint="eastAsia" w:ascii="宋体" w:hAnsi="宋体" w:cs="宋体"/>
                <w:b/>
                <w:bCs/>
                <w:szCs w:val="20"/>
              </w:rPr>
              <w:t>或品牌</w:t>
            </w:r>
          </w:p>
        </w:tc>
        <w:tc>
          <w:tcPr>
            <w:tcW w:w="713"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供应商选用厂家或品牌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1</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现浇型全塑自结纹跑道面层</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满足Ⅱ类场地要求，使用寿命达15年，各参数执行国家标准GB36246-2018、GB/T14833-2020、GB/T22517.6-2020，满足设计和工程量清单要求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ascii="宋体" w:hAnsi="宋体" w:cs="宋体"/>
                <w:sz w:val="24"/>
              </w:rPr>
              <w:t>广州市绣林康体设备</w:t>
            </w:r>
            <w:r>
              <w:rPr>
                <w:rFonts w:hint="eastAsia" w:ascii="宋体" w:hAnsi="宋体" w:cs="宋体"/>
                <w:sz w:val="24"/>
              </w:rPr>
              <w:t>有</w:t>
            </w:r>
            <w:r>
              <w:rPr>
                <w:rFonts w:ascii="宋体" w:hAnsi="宋体" w:cs="宋体"/>
                <w:sz w:val="24"/>
              </w:rPr>
              <w:t>限公司、广州杰锐体育设施有限公司、广州大洋元亨化工有限公司</w:t>
            </w:r>
            <w:r>
              <w:rPr>
                <w:rFonts w:hint="eastAsia" w:ascii="宋体" w:hAnsi="宋体" w:cs="宋体"/>
                <w:sz w:val="24"/>
              </w:rPr>
              <w:t>、</w:t>
            </w:r>
            <w:r>
              <w:rPr>
                <w:rFonts w:ascii="宋体" w:hAnsi="宋体" w:cs="宋体"/>
                <w:sz w:val="24"/>
              </w:rPr>
              <w:t>广州同欣体育股份有限公司</w:t>
            </w:r>
            <w:r>
              <w:rPr>
                <w:rFonts w:hint="eastAsia" w:ascii="宋体" w:hAnsi="宋体" w:cs="宋体"/>
                <w:sz w:val="24"/>
              </w:rPr>
              <w:t>、广州信源体育产业有限公司、广东柏胜新材料股份有限公司、广东万合新材料科技有限公司</w:t>
            </w:r>
          </w:p>
        </w:tc>
        <w:tc>
          <w:tcPr>
            <w:tcW w:w="713" w:type="pct"/>
            <w:vAlign w:val="center"/>
          </w:tcPr>
          <w:p>
            <w:pPr>
              <w:adjustRightInd w:val="0"/>
              <w:snapToGrid w:val="0"/>
              <w:spacing w:line="440" w:lineRule="exact"/>
              <w:ind w:firstLine="480" w:firstLineChars="20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2</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沥青混凝土</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广州市市政工程维修处有限公司、禹智环保科技（深圳）有限公司、广州市岗坳沥青市政工程有限公司、广东建普建筑工程有限公司</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3</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乳胶漆</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立邦（时时丽和纯态之家系列除外）、SKK、大师</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4</w:t>
            </w:r>
          </w:p>
        </w:tc>
        <w:tc>
          <w:tcPr>
            <w:tcW w:w="858" w:type="pct"/>
            <w:vAlign w:val="center"/>
          </w:tcPr>
          <w:p>
            <w:pPr>
              <w:adjustRightInd w:val="0"/>
              <w:snapToGrid w:val="0"/>
              <w:spacing w:line="440" w:lineRule="exact"/>
              <w:jc w:val="center"/>
              <w:rPr>
                <w:rFonts w:ascii="宋体" w:hAnsi="宋体" w:cs="宋体"/>
                <w:sz w:val="24"/>
              </w:rPr>
            </w:pPr>
            <w:r>
              <w:rPr>
                <w:rFonts w:ascii="宋体" w:hAnsi="宋体" w:cs="宋体"/>
                <w:sz w:val="24"/>
              </w:rPr>
              <w:t>无机涂料</w:t>
            </w:r>
            <w:r>
              <w:rPr>
                <w:rFonts w:hint="eastAsia" w:ascii="宋体" w:hAnsi="宋体" w:cs="宋体"/>
                <w:sz w:val="24"/>
              </w:rPr>
              <w:t>、有机涂料</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立邦（时时丽和纯态之家系列除外）、SKK、大师、</w:t>
            </w:r>
            <w:r>
              <w:rPr>
                <w:rFonts w:hint="eastAsia" w:ascii="宋体" w:hAnsi="宋体" w:cs="宋体"/>
                <w:sz w:val="24"/>
                <w:szCs w:val="24"/>
              </w:rPr>
              <w:t>多乐士</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5</w:t>
            </w:r>
          </w:p>
        </w:tc>
        <w:tc>
          <w:tcPr>
            <w:tcW w:w="858" w:type="pct"/>
            <w:vAlign w:val="center"/>
          </w:tcPr>
          <w:p>
            <w:pPr>
              <w:pStyle w:val="32"/>
              <w:spacing w:before="0" w:beforeAutospacing="0" w:after="0" w:afterAutospacing="0"/>
              <w:rPr>
                <w:rFonts w:cs="宋体"/>
                <w:kern w:val="2"/>
              </w:rPr>
            </w:pPr>
            <w:r>
              <w:rPr>
                <w:rFonts w:cs="宋体"/>
                <w:kern w:val="2"/>
              </w:rPr>
              <w:t>丙烯酸涂料</w:t>
            </w:r>
          </w:p>
          <w:p>
            <w:pPr>
              <w:adjustRightInd w:val="0"/>
              <w:snapToGrid w:val="0"/>
              <w:spacing w:line="440" w:lineRule="exact"/>
              <w:jc w:val="center"/>
              <w:rPr>
                <w:rFonts w:ascii="宋体" w:hAnsi="宋体" w:cs="宋体"/>
                <w:sz w:val="24"/>
              </w:rPr>
            </w:pP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科顺防水科技股分有限公司“科顺”牌、广东东方雨虹防水工程有限公司、广州大禹九鼎新材料有限公司</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6</w:t>
            </w:r>
          </w:p>
        </w:tc>
        <w:tc>
          <w:tcPr>
            <w:tcW w:w="858" w:type="pct"/>
            <w:vAlign w:val="center"/>
          </w:tcPr>
          <w:p>
            <w:pPr>
              <w:widowControl/>
              <w:spacing w:line="500" w:lineRule="exact"/>
              <w:jc w:val="center"/>
              <w:rPr>
                <w:rFonts w:ascii="宋体" w:hAnsi="宋体" w:cs="宋体"/>
                <w:sz w:val="24"/>
              </w:rPr>
            </w:pPr>
            <w:r>
              <w:rPr>
                <w:rFonts w:hint="eastAsia" w:ascii="宋体" w:hAnsi="宋体" w:cs="宋体"/>
                <w:sz w:val="24"/>
              </w:rPr>
              <w:t>瓷砖</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广东东鹏、马可波罗、蒙娜丽莎、冠珠</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7</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配电箱箱体及内元器件</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施耐德、西门子、松下</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8</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灯具</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三雄极光、欧普照明、雷士照明、飞利浦</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9</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塑料线槽、线管</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广东联塑科技实业有限公司、广东深联实业有限公司、广东德塑科技集团有限公司、广东雄塑科技实业有限公司</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10</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插座、开关</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施耐德、西门子、松下</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bl>
    <w:p>
      <w:pPr>
        <w:pStyle w:val="122"/>
        <w:jc w:val="center"/>
        <w:rPr>
          <w:rFonts w:asciiTheme="minorEastAsia" w:hAnsiTheme="minorEastAsia" w:eastAsiaTheme="minorEastAsia"/>
          <w:sz w:val="18"/>
          <w:szCs w:val="20"/>
        </w:rPr>
      </w:pPr>
    </w:p>
    <w:p>
      <w:pPr>
        <w:widowControl/>
        <w:adjustRightInd w:val="0"/>
        <w:snapToGrid w:val="0"/>
        <w:spacing w:line="440" w:lineRule="exact"/>
        <w:rPr>
          <w:rFonts w:ascii="宋体" w:hAnsi="宋体" w:cs="宋体"/>
          <w:sz w:val="24"/>
        </w:rPr>
      </w:pPr>
      <w:r>
        <w:rPr>
          <w:rFonts w:hint="eastAsia" w:ascii="宋体" w:hAnsi="宋体" w:cs="宋体"/>
          <w:sz w:val="24"/>
        </w:rPr>
        <w:t>注：</w:t>
      </w:r>
    </w:p>
    <w:p>
      <w:pPr>
        <w:widowControl/>
        <w:adjustRightInd w:val="0"/>
        <w:snapToGrid w:val="0"/>
        <w:spacing w:line="440" w:lineRule="exact"/>
        <w:ind w:firstLine="480" w:firstLineChars="200"/>
        <w:rPr>
          <w:rFonts w:ascii="宋体" w:hAnsi="宋体" w:cs="宋体"/>
          <w:sz w:val="24"/>
        </w:rPr>
      </w:pPr>
      <w:r>
        <w:rPr>
          <w:rFonts w:hint="eastAsia" w:ascii="宋体" w:hAnsi="宋体" w:cs="宋体"/>
          <w:sz w:val="24"/>
        </w:rPr>
        <w:t>1、若投标人在投标文件中未有明确选用或填报使用哪个品牌的，招标人有权在项目实施期间随机选用表格中任一参考品牌、型号材料作为实际供应材料，且中标价格不予变化。</w:t>
      </w:r>
    </w:p>
    <w:p>
      <w:pPr>
        <w:widowControl/>
        <w:adjustRightInd w:val="0"/>
        <w:snapToGrid w:val="0"/>
        <w:spacing w:line="440" w:lineRule="exact"/>
        <w:ind w:firstLine="480" w:firstLineChars="200"/>
        <w:rPr>
          <w:rFonts w:ascii="宋体" w:hAnsi="宋体" w:cs="宋体"/>
          <w:sz w:val="24"/>
        </w:rPr>
      </w:pPr>
      <w:r>
        <w:rPr>
          <w:rFonts w:hint="eastAsia" w:ascii="宋体" w:hAnsi="宋体" w:cs="宋体"/>
          <w:sz w:val="24"/>
        </w:rPr>
        <w:t>2、上述品牌的规格及型号，具体参照工程量清单及施工图纸。</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b/>
          <w:bCs/>
          <w:sz w:val="24"/>
        </w:rPr>
        <w:t>上述品牌的规格及型号如市场因供货原因不能满足，则招标人有权在项目实施期间随机选用表格中任一参考品牌且选择比原投标报价更高端产品（以产品生产日期为界定，为2023年5月后上市新产品），且中标价格不予变化。</w:t>
      </w:r>
    </w:p>
    <w:p>
      <w:pPr>
        <w:spacing w:line="360" w:lineRule="auto"/>
        <w:ind w:firstLine="2640" w:firstLineChars="1200"/>
        <w:jc w:val="right"/>
        <w:rPr>
          <w:rFonts w:ascii="宋体" w:hAnsi="宋体" w:cs="宋体"/>
          <w:sz w:val="22"/>
          <w:szCs w:val="24"/>
        </w:rPr>
      </w:pP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投标人名称：    （盖章）</w:t>
      </w: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法定代表人或其授权代理人(签名或盖章)：</w:t>
      </w:r>
    </w:p>
    <w:p>
      <w:r>
        <w:rPr>
          <w:rFonts w:hint="eastAsia" w:ascii="宋体" w:hAnsi="宋体" w:cs="宋体"/>
          <w:sz w:val="22"/>
        </w:rPr>
        <w:t xml:space="preserve">                                            日   期：    年    月    日</w:t>
      </w:r>
    </w:p>
    <w:p>
      <w:pPr>
        <w:autoSpaceDE w:val="0"/>
        <w:autoSpaceDN w:val="0"/>
        <w:adjustRightInd w:val="0"/>
        <w:rPr>
          <w:szCs w:val="21"/>
        </w:rPr>
      </w:pPr>
    </w:p>
    <w:p>
      <w:pPr>
        <w:autoSpaceDE w:val="0"/>
        <w:autoSpaceDN w:val="0"/>
        <w:adjustRightInd w:val="0"/>
        <w:rPr>
          <w:szCs w:val="21"/>
        </w:rPr>
      </w:pPr>
      <w:r>
        <w:rPr>
          <w:rFonts w:hint="eastAsia"/>
          <w:szCs w:val="21"/>
        </w:rPr>
        <w:br w:type="page"/>
      </w:r>
    </w:p>
    <w:p>
      <w:pPr>
        <w:autoSpaceDE w:val="0"/>
        <w:autoSpaceDN w:val="0"/>
        <w:adjustRightInd w:val="0"/>
        <w:rPr>
          <w:szCs w:val="21"/>
        </w:rPr>
      </w:pPr>
      <w:r>
        <w:rPr>
          <w:rFonts w:hint="eastAsia"/>
          <w:szCs w:val="21"/>
        </w:rPr>
        <w:t>格式九</w:t>
      </w:r>
    </w:p>
    <w:p>
      <w:pPr>
        <w:pStyle w:val="35"/>
        <w:spacing w:line="440" w:lineRule="exact"/>
        <w:ind w:left="0" w:leftChars="0" w:firstLine="0" w:firstLineChars="0"/>
        <w:jc w:val="center"/>
        <w:rPr>
          <w:rFonts w:ascii="宋体" w:hAnsi="宋体"/>
          <w:b/>
          <w:bCs/>
          <w:sz w:val="28"/>
          <w:szCs w:val="28"/>
        </w:rPr>
      </w:pPr>
      <w:r>
        <w:rPr>
          <w:rFonts w:hint="eastAsia" w:ascii="宋体" w:hAnsi="宋体"/>
          <w:b/>
          <w:bCs/>
          <w:sz w:val="28"/>
          <w:szCs w:val="28"/>
        </w:rPr>
        <w:t>材料质量要求</w:t>
      </w:r>
    </w:p>
    <w:p>
      <w:pPr>
        <w:adjustRightInd w:val="0"/>
        <w:snapToGrid w:val="0"/>
        <w:spacing w:line="44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、现浇型全塑自结纹跑道面层成品中有害物质限量及气味要求技术指标</w:t>
      </w:r>
    </w:p>
    <w:tbl>
      <w:tblPr>
        <w:tblStyle w:val="36"/>
        <w:tblW w:w="9710" w:type="dxa"/>
        <w:jc w:val="center"/>
        <w:tblLayout w:type="fixed"/>
        <w:tblCellMar>
          <w:top w:w="0" w:type="dxa"/>
          <w:left w:w="108" w:type="dxa"/>
          <w:bottom w:w="0" w:type="dxa"/>
          <w:right w:w="108" w:type="dxa"/>
        </w:tblCellMar>
      </w:tblPr>
      <w:tblGrid>
        <w:gridCol w:w="1249"/>
        <w:gridCol w:w="5670"/>
        <w:gridCol w:w="1095"/>
        <w:gridCol w:w="1696"/>
      </w:tblGrid>
      <w:tr>
        <w:tblPrEx>
          <w:tblCellMar>
            <w:top w:w="0" w:type="dxa"/>
            <w:left w:w="108" w:type="dxa"/>
            <w:bottom w:w="0" w:type="dxa"/>
            <w:right w:w="108" w:type="dxa"/>
          </w:tblCellMar>
        </w:tblPrEx>
        <w:trPr>
          <w:trHeight w:val="20" w:hRule="atLeast"/>
          <w:tblHeader/>
          <w:jc w:val="center"/>
        </w:trPr>
        <w:tc>
          <w:tcPr>
            <w:tcW w:w="6919"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项目</w:t>
            </w:r>
          </w:p>
        </w:tc>
        <w:tc>
          <w:tcPr>
            <w:tcW w:w="1095"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要求</w:t>
            </w:r>
          </w:p>
        </w:tc>
        <w:tc>
          <w:tcPr>
            <w:tcW w:w="16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是否满足</w:t>
            </w:r>
          </w:p>
        </w:tc>
      </w:tr>
      <w:tr>
        <w:tblPrEx>
          <w:tblCellMar>
            <w:top w:w="0" w:type="dxa"/>
            <w:left w:w="108" w:type="dxa"/>
            <w:bottom w:w="0" w:type="dxa"/>
            <w:right w:w="108" w:type="dxa"/>
          </w:tblCellMar>
        </w:tblPrEx>
        <w:trPr>
          <w:trHeight w:val="20" w:hRule="atLeast"/>
          <w:jc w:val="center"/>
        </w:trPr>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有害物质含量</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3种邻苯二甲酸之类化合物（DBP、BBP、DEHP）总和a/(g/kg)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3种邻苯二甲酸酯类化合物（DNOP、DINP、DIDP）总和a/(g/kg)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18种多环芳烃总和b/(mg/kg)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≤50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≤20C</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苯并【a】芘/(mg/kg)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355"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短链氯化石蜡（C10-C13）/(g/kg)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≤1.5</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4,4’-二氨基-3,3’-二氯二苯甲烷（MOCA）/(g/kg)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游离甲苯二异氰酸酯（TDI）和游离六亚甲基二异氰酸酯（HDI）总和/(g/kg)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≤0.2</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游离二苯基甲烷二异氰酸酯（MDI）/(g/kg)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可溶性铅/(mg/kg)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≤50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可溶性镉/(mg/kg)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可溶性铬/(mg/kg)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可溶性汞/(mg/kg)</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≤2</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有害物质释放量</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总挥发性有机化合物（TVOC）/【mg/(㎡·h)】</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≤5.0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甲醛/【mg/(㎡·h)】</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≤0.4</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苯/【mg/(㎡·h)】</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≤0.1</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甲苯、二甲苯和乙苯总和/【mg/(㎡·h)】</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二硫化碳/【mg/(㎡·h)】</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≤7.0</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气味</w:t>
            </w:r>
          </w:p>
        </w:tc>
        <w:tc>
          <w:tcPr>
            <w:tcW w:w="56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气味等级/级</w:t>
            </w:r>
          </w:p>
        </w:tc>
        <w:tc>
          <w:tcPr>
            <w:tcW w:w="10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w:t>
            </w:r>
          </w:p>
        </w:tc>
        <w:tc>
          <w:tcPr>
            <w:tcW w:w="1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bl>
    <w:p>
      <w:pPr>
        <w:adjustRightInd w:val="0"/>
        <w:snapToGrid w:val="0"/>
        <w:spacing w:line="44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、现浇型全塑自结纹跑道面层的物理机械性能技术指标</w:t>
      </w:r>
    </w:p>
    <w:tbl>
      <w:tblPr>
        <w:tblStyle w:val="36"/>
        <w:tblW w:w="10016" w:type="dxa"/>
        <w:jc w:val="center"/>
        <w:tblLayout w:type="fixed"/>
        <w:tblCellMar>
          <w:top w:w="0" w:type="dxa"/>
          <w:left w:w="108" w:type="dxa"/>
          <w:bottom w:w="0" w:type="dxa"/>
          <w:right w:w="108" w:type="dxa"/>
        </w:tblCellMar>
      </w:tblPr>
      <w:tblGrid>
        <w:gridCol w:w="4286"/>
        <w:gridCol w:w="2786"/>
        <w:gridCol w:w="2944"/>
      </w:tblGrid>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项目</w:t>
            </w:r>
          </w:p>
        </w:tc>
        <w:tc>
          <w:tcPr>
            <w:tcW w:w="278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要求</w:t>
            </w:r>
          </w:p>
        </w:tc>
        <w:tc>
          <w:tcPr>
            <w:tcW w:w="294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应答是否满足</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冲击吸收/%  田径场地</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35～50</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垂直变形/mm</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0.6～0.18</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抗滑值（20℃）/BPN  田径场地</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≥47（湿测）</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拉伸强度/MPa（非渗水型面层）</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≥0.7</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拉断伸长率/%</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≥90</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阻燃性能/级</w:t>
            </w:r>
          </w:p>
        </w:tc>
        <w:tc>
          <w:tcPr>
            <w:tcW w:w="27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Ⅰ</w:t>
            </w:r>
          </w:p>
        </w:tc>
        <w:tc>
          <w:tcPr>
            <w:tcW w:w="29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r>
    </w:tbl>
    <w:p>
      <w:pPr>
        <w:pStyle w:val="122"/>
        <w:jc w:val="center"/>
        <w:rPr>
          <w:rFonts w:asciiTheme="minorEastAsia" w:hAnsiTheme="minorEastAsia" w:eastAsiaTheme="minorEastAsia"/>
          <w:sz w:val="18"/>
          <w:szCs w:val="20"/>
        </w:rPr>
      </w:pPr>
    </w:p>
    <w:p>
      <w:pPr>
        <w:spacing w:line="360" w:lineRule="auto"/>
        <w:jc w:val="right"/>
        <w:rPr>
          <w:rFonts w:ascii="宋体" w:hAnsi="宋体" w:cs="宋体"/>
          <w:sz w:val="22"/>
          <w:szCs w:val="24"/>
        </w:rPr>
      </w:pPr>
    </w:p>
    <w:p>
      <w:pPr>
        <w:spacing w:line="360" w:lineRule="auto"/>
        <w:jc w:val="right"/>
        <w:rPr>
          <w:rFonts w:ascii="宋体" w:hAnsi="宋体" w:cs="宋体"/>
          <w:sz w:val="22"/>
          <w:szCs w:val="24"/>
        </w:rPr>
      </w:pPr>
      <w:r>
        <w:rPr>
          <w:rFonts w:hint="eastAsia" w:ascii="宋体" w:hAnsi="宋体" w:cs="宋体"/>
          <w:sz w:val="22"/>
          <w:szCs w:val="24"/>
        </w:rPr>
        <w:t>投标人名称：    （盖章）</w:t>
      </w: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法定代表人或其授权代理人(签名或盖章)：</w:t>
      </w:r>
    </w:p>
    <w:p>
      <w:r>
        <w:rPr>
          <w:rFonts w:hint="eastAsia" w:ascii="宋体" w:hAnsi="宋体" w:cs="宋体"/>
          <w:sz w:val="22"/>
        </w:rPr>
        <w:t xml:space="preserve">                                            日   期：    年    月    日</w:t>
      </w:r>
    </w:p>
    <w:p>
      <w:pPr>
        <w:autoSpaceDE w:val="0"/>
        <w:autoSpaceDN w:val="0"/>
        <w:adjustRightInd w:val="0"/>
        <w:rPr>
          <w:szCs w:val="21"/>
        </w:rPr>
      </w:pPr>
    </w:p>
    <w:p>
      <w:pPr>
        <w:autoSpaceDE w:val="0"/>
        <w:autoSpaceDN w:val="0"/>
        <w:adjustRightInd w:val="0"/>
        <w:rPr>
          <w:szCs w:val="21"/>
        </w:rPr>
      </w:pPr>
      <w:r>
        <w:rPr>
          <w:rFonts w:hint="eastAsia"/>
          <w:szCs w:val="21"/>
        </w:rPr>
        <w:br w:type="page"/>
      </w:r>
    </w:p>
    <w:p>
      <w:pPr>
        <w:autoSpaceDE w:val="0"/>
        <w:autoSpaceDN w:val="0"/>
        <w:adjustRightInd w:val="0"/>
        <w:rPr>
          <w:szCs w:val="21"/>
        </w:rPr>
      </w:pPr>
      <w:r>
        <w:rPr>
          <w:rFonts w:hint="eastAsia"/>
          <w:szCs w:val="21"/>
        </w:rPr>
        <w:t>格式十</w:t>
      </w:r>
    </w:p>
    <w:p>
      <w:pPr>
        <w:pStyle w:val="122"/>
        <w:jc w:val="center"/>
        <w:rPr>
          <w:rFonts w:asciiTheme="minorEastAsia" w:hAnsiTheme="minorEastAsia" w:eastAsiaTheme="minorEastAsia"/>
          <w:sz w:val="18"/>
          <w:szCs w:val="20"/>
        </w:rPr>
      </w:pPr>
      <w:r>
        <w:rPr>
          <w:rStyle w:val="117"/>
          <w:rFonts w:hint="eastAsia" w:asciiTheme="minorEastAsia" w:hAnsiTheme="minorEastAsia" w:eastAsiaTheme="minorEastAsia"/>
          <w:kern w:val="0"/>
          <w:sz w:val="28"/>
          <w:szCs w:val="28"/>
        </w:rPr>
        <w:t>其他投标人认为须提供的资料</w:t>
      </w:r>
    </w:p>
    <w:p>
      <w:pPr>
        <w:jc w:val="center"/>
        <w:outlineLvl w:val="0"/>
        <w:rPr>
          <w:rFonts w:ascii="Arial" w:hAnsi="Arial"/>
          <w:b/>
          <w:kern w:val="44"/>
          <w:sz w:val="28"/>
          <w:szCs w:val="28"/>
        </w:rPr>
      </w:pPr>
      <w:r>
        <w:rPr>
          <w:sz w:val="24"/>
          <w:szCs w:val="24"/>
        </w:rPr>
        <w:br w:type="page"/>
      </w:r>
      <w:bookmarkStart w:id="34" w:name="_Toc5952"/>
      <w:bookmarkStart w:id="35" w:name="_Toc100259104"/>
      <w:r>
        <w:rPr>
          <w:rFonts w:hint="eastAsia" w:ascii="Arial" w:hAnsi="Arial"/>
          <w:b/>
          <w:kern w:val="44"/>
          <w:sz w:val="28"/>
          <w:szCs w:val="28"/>
        </w:rPr>
        <w:t>第五章  技术条件（工程建设标准）</w:t>
      </w:r>
      <w:bookmarkEnd w:id="34"/>
      <w:bookmarkEnd w:id="35"/>
    </w:p>
    <w:p>
      <w:pPr>
        <w:pStyle w:val="2"/>
      </w:pPr>
    </w:p>
    <w:p>
      <w:pPr>
        <w:ind w:firstLine="480" w:firstLineChars="200"/>
        <w:rPr>
          <w:rFonts w:ascii="宋体" w:hAnsi="宋体"/>
          <w:b/>
          <w:bCs/>
          <w:sz w:val="28"/>
          <w:szCs w:val="28"/>
        </w:rPr>
      </w:pPr>
      <w:r>
        <w:rPr>
          <w:rFonts w:hint="eastAsia" w:ascii="宋体" w:hAnsi="宋体"/>
          <w:sz w:val="24"/>
          <w:szCs w:val="24"/>
        </w:rPr>
        <w:t>以中华人民共和国现行技术和验收规范、图纸中规定的其它技术和验收标准、遵照招标人相关规定要求为准。</w:t>
      </w:r>
      <w:bookmarkStart w:id="36" w:name="_Toc2272569"/>
    </w:p>
    <w:p>
      <w:pPr>
        <w:pStyle w:val="35"/>
        <w:ind w:left="0" w:leftChars="0" w:firstLine="0" w:firstLineChars="0"/>
        <w:rPr>
          <w:rFonts w:ascii="宋体" w:hAnsi="宋体"/>
          <w:sz w:val="28"/>
          <w:szCs w:val="28"/>
        </w:rPr>
      </w:pPr>
      <w:r>
        <w:rPr>
          <w:rFonts w:hint="eastAsia" w:ascii="宋体" w:hAnsi="宋体"/>
          <w:b/>
          <w:bCs/>
          <w:sz w:val="28"/>
          <w:szCs w:val="28"/>
        </w:rPr>
        <w:t>一、主要材料品牌选用表</w:t>
      </w:r>
    </w:p>
    <w:tbl>
      <w:tblPr>
        <w:tblStyle w:val="36"/>
        <w:tblW w:w="54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88"/>
        <w:gridCol w:w="2794"/>
        <w:gridCol w:w="2801"/>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02"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序号</w:t>
            </w:r>
          </w:p>
        </w:tc>
        <w:tc>
          <w:tcPr>
            <w:tcW w:w="858"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设备和材料名称、规格、型号</w:t>
            </w:r>
          </w:p>
        </w:tc>
        <w:tc>
          <w:tcPr>
            <w:tcW w:w="1510"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特殊要求</w:t>
            </w:r>
          </w:p>
        </w:tc>
        <w:tc>
          <w:tcPr>
            <w:tcW w:w="1514"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推荐厂家</w:t>
            </w:r>
          </w:p>
          <w:p>
            <w:pPr>
              <w:adjustRightInd w:val="0"/>
              <w:snapToGrid w:val="0"/>
              <w:spacing w:line="440" w:lineRule="exact"/>
              <w:jc w:val="center"/>
              <w:rPr>
                <w:rFonts w:ascii="宋体" w:hAnsi="宋体" w:cs="宋体"/>
                <w:b/>
                <w:bCs/>
                <w:szCs w:val="20"/>
              </w:rPr>
            </w:pPr>
            <w:r>
              <w:rPr>
                <w:rFonts w:hint="eastAsia" w:ascii="宋体" w:hAnsi="宋体" w:cs="宋体"/>
                <w:b/>
                <w:bCs/>
                <w:szCs w:val="20"/>
              </w:rPr>
              <w:t>或品牌</w:t>
            </w:r>
          </w:p>
        </w:tc>
        <w:tc>
          <w:tcPr>
            <w:tcW w:w="713" w:type="pct"/>
            <w:vAlign w:val="center"/>
          </w:tcPr>
          <w:p>
            <w:pPr>
              <w:adjustRightInd w:val="0"/>
              <w:snapToGrid w:val="0"/>
              <w:spacing w:line="440" w:lineRule="exact"/>
              <w:jc w:val="center"/>
              <w:rPr>
                <w:rFonts w:ascii="宋体" w:hAnsi="宋体" w:cs="宋体"/>
                <w:b/>
                <w:bCs/>
                <w:szCs w:val="20"/>
              </w:rPr>
            </w:pPr>
            <w:r>
              <w:rPr>
                <w:rFonts w:hint="eastAsia" w:ascii="宋体" w:hAnsi="宋体" w:cs="宋体"/>
                <w:b/>
                <w:bCs/>
                <w:szCs w:val="20"/>
              </w:rPr>
              <w:t>供应商选用厂家或品牌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1</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现浇型全塑自结纹跑道面层</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满足Ⅱ类场地要求，使用寿命达15年，各参数执行国家标准GB36246-2018、GB/T14833-2020、GB/T22517.6-2020，满足设计和工程量清单要求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ascii="宋体" w:hAnsi="宋体" w:cs="宋体"/>
                <w:sz w:val="24"/>
              </w:rPr>
              <w:t>广州市绣林康体设备</w:t>
            </w:r>
            <w:r>
              <w:rPr>
                <w:rFonts w:hint="eastAsia" w:ascii="宋体" w:hAnsi="宋体" w:cs="宋体"/>
                <w:sz w:val="24"/>
              </w:rPr>
              <w:t>有</w:t>
            </w:r>
            <w:r>
              <w:rPr>
                <w:rFonts w:ascii="宋体" w:hAnsi="宋体" w:cs="宋体"/>
                <w:sz w:val="24"/>
              </w:rPr>
              <w:t>限公司、广州杰锐体育设施有限公司、广州大洋元亨化工有限公司</w:t>
            </w:r>
            <w:r>
              <w:rPr>
                <w:rFonts w:hint="eastAsia" w:ascii="宋体" w:hAnsi="宋体" w:cs="宋体"/>
                <w:sz w:val="24"/>
              </w:rPr>
              <w:t>、</w:t>
            </w:r>
            <w:r>
              <w:rPr>
                <w:rFonts w:ascii="宋体" w:hAnsi="宋体" w:cs="宋体"/>
                <w:sz w:val="24"/>
              </w:rPr>
              <w:t>广州同欣体育股份有限公司</w:t>
            </w:r>
            <w:r>
              <w:rPr>
                <w:rFonts w:hint="eastAsia" w:ascii="宋体" w:hAnsi="宋体" w:cs="宋体"/>
                <w:sz w:val="24"/>
              </w:rPr>
              <w:t>、广州信源体育产业有限公司、广东柏胜新材料股份有限公司、广东万合新材料科技有限公司</w:t>
            </w:r>
          </w:p>
        </w:tc>
        <w:tc>
          <w:tcPr>
            <w:tcW w:w="713" w:type="pct"/>
            <w:vAlign w:val="center"/>
          </w:tcPr>
          <w:p>
            <w:pPr>
              <w:adjustRightInd w:val="0"/>
              <w:snapToGrid w:val="0"/>
              <w:spacing w:line="440" w:lineRule="exact"/>
              <w:ind w:firstLine="480" w:firstLineChars="20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2</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沥青混凝土</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广州市市政工程维修处有限公司、禹智环保科技（深圳）有限公司、广州市岗坳沥青市政工程有限公司、广东建普建筑工程有限公司</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3</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乳胶漆</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立邦（时时丽和纯态之家系列除外）、SKK、大师</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4</w:t>
            </w:r>
          </w:p>
        </w:tc>
        <w:tc>
          <w:tcPr>
            <w:tcW w:w="858" w:type="pct"/>
            <w:vAlign w:val="center"/>
          </w:tcPr>
          <w:p>
            <w:pPr>
              <w:adjustRightInd w:val="0"/>
              <w:snapToGrid w:val="0"/>
              <w:spacing w:line="440" w:lineRule="exact"/>
              <w:jc w:val="center"/>
              <w:rPr>
                <w:rFonts w:ascii="宋体" w:hAnsi="宋体" w:cs="宋体"/>
                <w:sz w:val="24"/>
              </w:rPr>
            </w:pPr>
            <w:r>
              <w:rPr>
                <w:rFonts w:ascii="宋体" w:hAnsi="宋体" w:cs="宋体"/>
                <w:sz w:val="24"/>
              </w:rPr>
              <w:t>无机涂料</w:t>
            </w:r>
            <w:r>
              <w:rPr>
                <w:rFonts w:hint="eastAsia" w:ascii="宋体" w:hAnsi="宋体" w:cs="宋体"/>
                <w:sz w:val="24"/>
              </w:rPr>
              <w:t>、有机涂料</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立邦（时时丽和纯态之家系列除外）、SKK、大师、</w:t>
            </w:r>
            <w:r>
              <w:rPr>
                <w:rFonts w:hint="eastAsia" w:ascii="宋体" w:hAnsi="宋体" w:cs="宋体"/>
                <w:sz w:val="24"/>
                <w:szCs w:val="24"/>
              </w:rPr>
              <w:t>多乐士</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5</w:t>
            </w:r>
          </w:p>
        </w:tc>
        <w:tc>
          <w:tcPr>
            <w:tcW w:w="858" w:type="pct"/>
            <w:vAlign w:val="center"/>
          </w:tcPr>
          <w:p>
            <w:pPr>
              <w:pStyle w:val="32"/>
              <w:spacing w:before="0" w:beforeAutospacing="0" w:after="0" w:afterAutospacing="0"/>
              <w:rPr>
                <w:rFonts w:cs="宋体"/>
                <w:kern w:val="2"/>
              </w:rPr>
            </w:pPr>
            <w:r>
              <w:rPr>
                <w:rFonts w:cs="宋体"/>
                <w:kern w:val="2"/>
              </w:rPr>
              <w:t>丙烯酸涂料</w:t>
            </w:r>
          </w:p>
          <w:p>
            <w:pPr>
              <w:adjustRightInd w:val="0"/>
              <w:snapToGrid w:val="0"/>
              <w:spacing w:line="440" w:lineRule="exact"/>
              <w:jc w:val="center"/>
              <w:rPr>
                <w:rFonts w:ascii="宋体" w:hAnsi="宋体" w:cs="宋体"/>
                <w:sz w:val="24"/>
              </w:rPr>
            </w:pP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科顺防水科技股分有限公司“科顺”牌、广东东方雨虹防水工程有限公司、广州大禹九鼎新材料有限公司</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6</w:t>
            </w:r>
          </w:p>
        </w:tc>
        <w:tc>
          <w:tcPr>
            <w:tcW w:w="858" w:type="pct"/>
            <w:vAlign w:val="center"/>
          </w:tcPr>
          <w:p>
            <w:pPr>
              <w:widowControl/>
              <w:spacing w:line="500" w:lineRule="exact"/>
              <w:jc w:val="center"/>
              <w:rPr>
                <w:rFonts w:ascii="宋体" w:hAnsi="宋体" w:cs="宋体"/>
                <w:sz w:val="24"/>
              </w:rPr>
            </w:pPr>
            <w:r>
              <w:rPr>
                <w:rFonts w:hint="eastAsia" w:ascii="宋体" w:hAnsi="宋体" w:cs="宋体"/>
                <w:sz w:val="24"/>
              </w:rPr>
              <w:t>瓷砖</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广东东鹏、马可波罗、蒙娜丽莎、冠珠</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7</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配电箱箱体及内元器件</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施耐德、西门子、松下</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8</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灯具</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三雄极光、欧普照明、雷士照明、飞利浦</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9</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塑料线槽、线管</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广东联塑科技实业有限公司、广东深联实业有限公司、广东德塑科技集团有限公司、广东雄塑科技实业有限公司</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02"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10</w:t>
            </w:r>
          </w:p>
        </w:tc>
        <w:tc>
          <w:tcPr>
            <w:tcW w:w="858"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插座、开关</w:t>
            </w:r>
          </w:p>
        </w:tc>
        <w:tc>
          <w:tcPr>
            <w:tcW w:w="1510"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满足图纸设计和工程量清单要求</w:t>
            </w:r>
          </w:p>
        </w:tc>
        <w:tc>
          <w:tcPr>
            <w:tcW w:w="1514" w:type="pct"/>
            <w:vAlign w:val="center"/>
          </w:tcPr>
          <w:p>
            <w:pPr>
              <w:adjustRightInd w:val="0"/>
              <w:snapToGrid w:val="0"/>
              <w:spacing w:line="440" w:lineRule="exact"/>
              <w:jc w:val="center"/>
              <w:rPr>
                <w:rFonts w:ascii="宋体" w:hAnsi="宋体" w:cs="宋体"/>
                <w:sz w:val="24"/>
              </w:rPr>
            </w:pPr>
            <w:r>
              <w:rPr>
                <w:rFonts w:hint="eastAsia" w:ascii="宋体" w:hAnsi="宋体" w:cs="宋体"/>
                <w:sz w:val="24"/>
              </w:rPr>
              <w:t>施耐德、西门子、松下</w:t>
            </w:r>
          </w:p>
        </w:tc>
        <w:tc>
          <w:tcPr>
            <w:tcW w:w="713" w:type="pct"/>
            <w:vAlign w:val="center"/>
          </w:tcPr>
          <w:p>
            <w:pPr>
              <w:widowControl/>
              <w:adjustRightInd w:val="0"/>
              <w:snapToGrid w:val="0"/>
              <w:spacing w:line="440" w:lineRule="exact"/>
              <w:ind w:firstLine="480" w:firstLineChars="200"/>
              <w:jc w:val="center"/>
              <w:textAlignment w:val="center"/>
              <w:rPr>
                <w:rFonts w:ascii="宋体" w:hAnsi="宋体" w:cs="宋体"/>
                <w:sz w:val="24"/>
              </w:rPr>
            </w:pPr>
          </w:p>
        </w:tc>
      </w:tr>
    </w:tbl>
    <w:p>
      <w:pPr>
        <w:widowControl/>
        <w:adjustRightInd w:val="0"/>
        <w:snapToGrid w:val="0"/>
        <w:spacing w:line="440" w:lineRule="exact"/>
        <w:rPr>
          <w:rFonts w:ascii="宋体" w:hAnsi="宋体" w:cs="宋体"/>
          <w:sz w:val="24"/>
        </w:rPr>
      </w:pPr>
      <w:r>
        <w:rPr>
          <w:rFonts w:hint="eastAsia" w:ascii="宋体" w:hAnsi="宋体" w:cs="宋体"/>
          <w:sz w:val="24"/>
        </w:rPr>
        <w:t>注：</w:t>
      </w:r>
    </w:p>
    <w:p>
      <w:pPr>
        <w:widowControl/>
        <w:adjustRightInd w:val="0"/>
        <w:snapToGrid w:val="0"/>
        <w:spacing w:line="440" w:lineRule="exact"/>
        <w:ind w:firstLine="480" w:firstLineChars="200"/>
        <w:rPr>
          <w:rFonts w:ascii="宋体" w:hAnsi="宋体" w:cs="宋体"/>
          <w:sz w:val="24"/>
        </w:rPr>
      </w:pPr>
      <w:r>
        <w:rPr>
          <w:rFonts w:hint="eastAsia" w:ascii="宋体" w:hAnsi="宋体" w:cs="宋体"/>
          <w:sz w:val="24"/>
        </w:rPr>
        <w:t>1、若投标人在投标文件中未有明确选用或填报使用哪个品牌的，招标人有权在项目实施期间随机选用表格中任一参考品牌、型号材料作为实际供应材料，且中标价格不予变化。</w:t>
      </w:r>
    </w:p>
    <w:p>
      <w:pPr>
        <w:widowControl/>
        <w:adjustRightInd w:val="0"/>
        <w:snapToGrid w:val="0"/>
        <w:spacing w:line="440" w:lineRule="exact"/>
        <w:ind w:firstLine="480" w:firstLineChars="200"/>
        <w:rPr>
          <w:rFonts w:ascii="宋体" w:hAnsi="宋体" w:cs="宋体"/>
          <w:sz w:val="24"/>
        </w:rPr>
      </w:pPr>
      <w:r>
        <w:rPr>
          <w:rFonts w:hint="eastAsia" w:ascii="宋体" w:hAnsi="宋体" w:cs="宋体"/>
          <w:sz w:val="24"/>
        </w:rPr>
        <w:t>2、上述品牌的规格及型号，具体参照工程量清单及施工图纸。</w:t>
      </w:r>
    </w:p>
    <w:p>
      <w:pPr>
        <w:adjustRightInd w:val="0"/>
        <w:snapToGrid w:val="0"/>
        <w:spacing w:line="44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b/>
          <w:bCs/>
          <w:sz w:val="24"/>
        </w:rPr>
        <w:t>上述品牌的规格及型号如市场因供货原因不能满足，则招标人有权在项目实施期间随机选用表格中任一参考品牌且选择比原投标报价更高端产品（以产品生产日期为界定，为2023年5月后上市新产品），且中标价格不予变化。</w:t>
      </w:r>
    </w:p>
    <w:p>
      <w:pPr>
        <w:widowControl/>
        <w:jc w:val="left"/>
        <w:rPr>
          <w:rFonts w:ascii="宋体" w:hAnsi="宋体"/>
          <w:sz w:val="24"/>
          <w:szCs w:val="24"/>
        </w:rPr>
      </w:pPr>
      <w:r>
        <w:rPr>
          <w:rFonts w:ascii="宋体" w:hAnsi="宋体"/>
          <w:sz w:val="24"/>
        </w:rPr>
        <w:br w:type="page"/>
      </w:r>
    </w:p>
    <w:p>
      <w:pPr>
        <w:pStyle w:val="35"/>
        <w:spacing w:line="440" w:lineRule="exact"/>
        <w:ind w:left="0" w:leftChars="0" w:firstLine="0" w:firstLineChars="0"/>
        <w:rPr>
          <w:rFonts w:ascii="宋体" w:hAnsi="宋体"/>
          <w:b/>
          <w:bCs/>
          <w:sz w:val="28"/>
          <w:szCs w:val="28"/>
        </w:rPr>
      </w:pPr>
      <w:r>
        <w:rPr>
          <w:rFonts w:hint="eastAsia" w:ascii="宋体" w:hAnsi="宋体"/>
          <w:b/>
          <w:bCs/>
          <w:sz w:val="28"/>
          <w:szCs w:val="28"/>
        </w:rPr>
        <w:t>二、材料质量要求</w:t>
      </w:r>
    </w:p>
    <w:p>
      <w:pPr>
        <w:adjustRightInd w:val="0"/>
        <w:snapToGrid w:val="0"/>
        <w:spacing w:line="44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、现浇型全塑自结纹跑道面层成品中有害物质限量及气味要求技术指标</w:t>
      </w:r>
    </w:p>
    <w:tbl>
      <w:tblPr>
        <w:tblStyle w:val="36"/>
        <w:tblW w:w="8526" w:type="dxa"/>
        <w:jc w:val="center"/>
        <w:tblLayout w:type="fixed"/>
        <w:tblCellMar>
          <w:top w:w="0" w:type="dxa"/>
          <w:left w:w="108" w:type="dxa"/>
          <w:bottom w:w="0" w:type="dxa"/>
          <w:right w:w="108" w:type="dxa"/>
        </w:tblCellMar>
      </w:tblPr>
      <w:tblGrid>
        <w:gridCol w:w="1663"/>
        <w:gridCol w:w="5679"/>
        <w:gridCol w:w="1184"/>
      </w:tblGrid>
      <w:tr>
        <w:tblPrEx>
          <w:tblCellMar>
            <w:top w:w="0" w:type="dxa"/>
            <w:left w:w="108" w:type="dxa"/>
            <w:bottom w:w="0" w:type="dxa"/>
            <w:right w:w="108" w:type="dxa"/>
          </w:tblCellMar>
        </w:tblPrEx>
        <w:trPr>
          <w:trHeight w:val="20" w:hRule="atLeast"/>
          <w:tblHeader/>
          <w:jc w:val="center"/>
        </w:trPr>
        <w:tc>
          <w:tcPr>
            <w:tcW w:w="7342" w:type="dxa"/>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项目</w:t>
            </w:r>
          </w:p>
        </w:tc>
        <w:tc>
          <w:tcPr>
            <w:tcW w:w="118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要求</w:t>
            </w:r>
          </w:p>
        </w:tc>
      </w:tr>
      <w:tr>
        <w:tblPrEx>
          <w:tblCellMar>
            <w:top w:w="0" w:type="dxa"/>
            <w:left w:w="108" w:type="dxa"/>
            <w:bottom w:w="0" w:type="dxa"/>
            <w:right w:w="108" w:type="dxa"/>
          </w:tblCellMar>
        </w:tblPrEx>
        <w:trPr>
          <w:trHeight w:val="20" w:hRule="atLeast"/>
          <w:jc w:val="center"/>
        </w:trPr>
        <w:tc>
          <w:tcPr>
            <w:tcW w:w="166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有害物质含量</w:t>
            </w: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3种邻苯二甲酸之类化合物（DBP、BBP、DEHP）总和a/(g/kg)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3种邻苯二甲酸酯类化合物（DNOP、DINP、DIDP）总和a/(g/kg)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18种多环芳烃总和b/(mg/kg)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≤50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≤20C</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苯并【a】芘/(mg/kg)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355"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短链氯化石蜡（C10-C13）/(g/kg)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≤1.5</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4,4’-二氨基-3,3’-二氯二苯甲烷（MOCA）/(g/kg)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游离甲苯二异氰酸酯（TDI）和游离六亚甲基二异氰酸酯（HDI）总和/(g/kg)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≤0.2</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游离二苯基甲烷二异氰酸酯（MDI）/(g/kg)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可溶性铅/(mg/kg)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≤50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可溶性镉/(mg/kg)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可溶性铬/(mg/kg)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可溶性汞/(mg/kg)</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≤2</w:t>
            </w:r>
          </w:p>
        </w:tc>
      </w:tr>
      <w:tr>
        <w:tblPrEx>
          <w:tblCellMar>
            <w:top w:w="0" w:type="dxa"/>
            <w:left w:w="108" w:type="dxa"/>
            <w:bottom w:w="0" w:type="dxa"/>
            <w:right w:w="108" w:type="dxa"/>
          </w:tblCellMar>
        </w:tblPrEx>
        <w:trPr>
          <w:trHeight w:val="20" w:hRule="atLeast"/>
          <w:jc w:val="center"/>
        </w:trPr>
        <w:tc>
          <w:tcPr>
            <w:tcW w:w="166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有害物质释放量</w:t>
            </w: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总挥发性有机化合物（TVOC）/【mg/(㎡·h)】</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≤5.0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甲醛/【mg/(㎡·h)】</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≤0.4</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苯/【mg/(㎡·h)】</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≤0.1</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甲苯、二甲苯和乙苯总和/【mg/(㎡·h)】</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trHeight w:val="20" w:hRule="atLeast"/>
          <w:jc w:val="center"/>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二硫化碳/【mg/(㎡·h)】</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≤7.0</w:t>
            </w:r>
          </w:p>
        </w:tc>
      </w:tr>
      <w:tr>
        <w:tblPrEx>
          <w:tblCellMar>
            <w:top w:w="0" w:type="dxa"/>
            <w:left w:w="108" w:type="dxa"/>
            <w:bottom w:w="0" w:type="dxa"/>
            <w:right w:w="108" w:type="dxa"/>
          </w:tblCellMar>
        </w:tblPrEx>
        <w:trPr>
          <w:trHeight w:val="20" w:hRule="atLeast"/>
          <w:jc w:val="center"/>
        </w:trPr>
        <w:tc>
          <w:tcPr>
            <w:tcW w:w="1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4"/>
              </w:rPr>
            </w:pPr>
            <w:r>
              <w:rPr>
                <w:rFonts w:hint="eastAsia" w:ascii="宋体" w:hAnsi="宋体" w:cs="宋体"/>
                <w:sz w:val="24"/>
              </w:rPr>
              <w:t>气味</w:t>
            </w:r>
          </w:p>
        </w:tc>
        <w:tc>
          <w:tcPr>
            <w:tcW w:w="5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气味等级/级</w:t>
            </w:r>
          </w:p>
        </w:tc>
        <w:tc>
          <w:tcPr>
            <w:tcW w:w="11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w:t>
            </w:r>
          </w:p>
        </w:tc>
      </w:tr>
    </w:tbl>
    <w:p>
      <w:pPr>
        <w:adjustRightInd w:val="0"/>
        <w:snapToGrid w:val="0"/>
        <w:spacing w:line="44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、现浇型全塑自结纹跑道面层的物理机械性能技术指标</w:t>
      </w:r>
    </w:p>
    <w:tbl>
      <w:tblPr>
        <w:tblStyle w:val="36"/>
        <w:tblW w:w="8526" w:type="dxa"/>
        <w:jc w:val="center"/>
        <w:tblLayout w:type="fixed"/>
        <w:tblCellMar>
          <w:top w:w="0" w:type="dxa"/>
          <w:left w:w="108" w:type="dxa"/>
          <w:bottom w:w="0" w:type="dxa"/>
          <w:right w:w="108" w:type="dxa"/>
        </w:tblCellMar>
      </w:tblPr>
      <w:tblGrid>
        <w:gridCol w:w="4286"/>
        <w:gridCol w:w="4240"/>
      </w:tblGrid>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项目</w:t>
            </w:r>
          </w:p>
        </w:tc>
        <w:tc>
          <w:tcPr>
            <w:tcW w:w="424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adjustRightInd w:val="0"/>
              <w:snapToGrid w:val="0"/>
              <w:spacing w:line="440" w:lineRule="exact"/>
              <w:jc w:val="center"/>
              <w:rPr>
                <w:rFonts w:ascii="宋体" w:hAnsi="宋体" w:cs="宋体"/>
                <w:sz w:val="24"/>
              </w:rPr>
            </w:pPr>
            <w:r>
              <w:rPr>
                <w:rFonts w:hint="eastAsia" w:ascii="宋体" w:hAnsi="宋体" w:cs="宋体"/>
                <w:sz w:val="24"/>
              </w:rPr>
              <w:t>要求</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冲击吸收/%  田径场地</w:t>
            </w:r>
          </w:p>
        </w:tc>
        <w:tc>
          <w:tcPr>
            <w:tcW w:w="4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35～50</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垂直变形/mm</w:t>
            </w:r>
          </w:p>
        </w:tc>
        <w:tc>
          <w:tcPr>
            <w:tcW w:w="4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0.6～0.18</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抗滑值（20℃）/BPN  田径场地</w:t>
            </w:r>
          </w:p>
        </w:tc>
        <w:tc>
          <w:tcPr>
            <w:tcW w:w="4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≥47（湿测）</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拉伸强度/MPa（非渗水型面层）</w:t>
            </w:r>
          </w:p>
        </w:tc>
        <w:tc>
          <w:tcPr>
            <w:tcW w:w="4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≥0.7</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拉断伸长率/%</w:t>
            </w:r>
          </w:p>
        </w:tc>
        <w:tc>
          <w:tcPr>
            <w:tcW w:w="4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≥90</w:t>
            </w:r>
          </w:p>
        </w:tc>
      </w:tr>
      <w:tr>
        <w:tblPrEx>
          <w:tblCellMar>
            <w:top w:w="0" w:type="dxa"/>
            <w:left w:w="108" w:type="dxa"/>
            <w:bottom w:w="0" w:type="dxa"/>
            <w:right w:w="108" w:type="dxa"/>
          </w:tblCellMar>
        </w:tblPrEx>
        <w:trPr>
          <w:trHeight w:val="20" w:hRule="atLeast"/>
          <w:jc w:val="center"/>
        </w:trPr>
        <w:tc>
          <w:tcPr>
            <w:tcW w:w="42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阻燃性能/级</w:t>
            </w:r>
          </w:p>
        </w:tc>
        <w:tc>
          <w:tcPr>
            <w:tcW w:w="42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宋体" w:hAnsi="宋体" w:cs="宋体"/>
                <w:sz w:val="24"/>
              </w:rPr>
            </w:pPr>
            <w:r>
              <w:rPr>
                <w:rFonts w:hint="eastAsia" w:ascii="宋体" w:hAnsi="宋体" w:cs="宋体"/>
                <w:sz w:val="24"/>
              </w:rPr>
              <w:t>Ⅰ</w:t>
            </w:r>
          </w:p>
        </w:tc>
      </w:tr>
    </w:tbl>
    <w:p>
      <w:pPr>
        <w:pStyle w:val="35"/>
        <w:ind w:left="420" w:firstLine="480"/>
        <w:rPr>
          <w:rFonts w:ascii="宋体" w:hAnsi="宋体"/>
          <w:sz w:val="24"/>
        </w:rPr>
      </w:pPr>
    </w:p>
    <w:p>
      <w:pPr>
        <w:pStyle w:val="35"/>
        <w:ind w:left="420" w:firstLine="480"/>
        <w:rPr>
          <w:rFonts w:ascii="宋体" w:hAnsi="宋体"/>
          <w:sz w:val="24"/>
        </w:rPr>
      </w:pPr>
    </w:p>
    <w:p>
      <w:r>
        <w:rPr>
          <w:rFonts w:hint="eastAsia"/>
        </w:rPr>
        <w:br w:type="page"/>
      </w:r>
    </w:p>
    <w:p>
      <w:pPr>
        <w:pStyle w:val="3"/>
      </w:pPr>
      <w:bookmarkStart w:id="37" w:name="_Toc26744"/>
      <w: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15pt;margin-top:-62pt;height:5pt;width:5pt;visibility:hidden;z-index:251659264;v-text-anchor:middle;mso-width-relative:page;mso-height-relative:page;" fillcolor="#4F81BD" filled="t" stroked="t" coordsize="21600,21600" o:gfxdata="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HNbTKzYAAAADwEAAA8AAAAAAAAAAQAgAAAAIgAAAGRycy9kb3du&#10;cmV2LnhtbFBLAQIUABQAAAAIAIdO4kAwEo7VqwQAALcHAAAOAAAAAAAAAAEAIAAAACcBAABkcnMv&#10;ZTJvRG9jLnhtbFBLBQYAAAAABgAGAFkBAABECAAAAAA=&#10;">
                <v:fill on="t" focussize="0,0"/>
                <v:stroke weight="2pt" color="#264264" joinstyle="round"/>
                <v:imagedata o:title=""/>
                <o:lock v:ext="edit" aspectratio="f"/>
              </v:rect>
            </w:pict>
          </mc:Fallback>
        </mc:AlternateContent>
      </w:r>
      <w:r>
        <w:rPr>
          <w:rFonts w:hint="eastAsia"/>
        </w:rPr>
        <w:t>第六章  图纸及勘察资料</w:t>
      </w:r>
      <w:bookmarkEnd w:id="36"/>
      <w:bookmarkEnd w:id="37"/>
    </w:p>
    <w:p>
      <w:pPr>
        <w:pStyle w:val="35"/>
        <w:ind w:left="420" w:firstLine="480"/>
        <w:jc w:val="center"/>
        <w:rPr>
          <w:rFonts w:ascii="宋体" w:hAnsi="宋体"/>
          <w:sz w:val="24"/>
        </w:rPr>
      </w:pPr>
      <w:r>
        <w:rPr>
          <w:rFonts w:hint="eastAsia" w:ascii="宋体" w:hAnsi="宋体"/>
          <w:sz w:val="24"/>
        </w:rPr>
        <w:t>另册。</w:t>
      </w: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
      </w:pPr>
      <w:bookmarkStart w:id="38" w:name="_Toc6982"/>
      <w:bookmarkStart w:id="39" w:name="_Toc2272571"/>
      <w:r>
        <w:rPr>
          <w:rFonts w:hint="eastAsia"/>
        </w:rPr>
        <w:t>第七章  工程量清单</w:t>
      </w:r>
      <w:bookmarkEnd w:id="38"/>
    </w:p>
    <w:p>
      <w:pPr>
        <w:pStyle w:val="35"/>
        <w:ind w:left="420" w:firstLine="480"/>
        <w:jc w:val="center"/>
        <w:rPr>
          <w:rFonts w:ascii="宋体" w:hAnsi="宋体"/>
          <w:sz w:val="24"/>
        </w:rPr>
      </w:pPr>
      <w:r>
        <w:rPr>
          <w:rFonts w:hint="eastAsia" w:ascii="宋体" w:hAnsi="宋体"/>
          <w:sz w:val="24"/>
        </w:rPr>
        <w:t>另册。</w:t>
      </w: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5"/>
        <w:ind w:left="420" w:firstLine="480"/>
        <w:rPr>
          <w:rFonts w:ascii="宋体" w:hAnsi="宋体"/>
          <w:sz w:val="24"/>
        </w:rPr>
      </w:pPr>
    </w:p>
    <w:p>
      <w:pPr>
        <w:pStyle w:val="3"/>
        <w:rPr>
          <w:rFonts w:ascii="宋体"/>
        </w:rPr>
      </w:pPr>
      <w:bookmarkStart w:id="40" w:name="_Toc14443"/>
      <w:r>
        <w:rPr>
          <w:rFonts w:hint="eastAsia"/>
        </w:rPr>
        <w:t>第八章  最高投标限价</w:t>
      </w:r>
      <w:bookmarkEnd w:id="39"/>
      <w:r>
        <w:rPr>
          <w:rFonts w:hint="eastAsia" w:ascii="宋体" w:hAnsi="宋体"/>
          <w:sz w:val="24"/>
          <w:szCs w:val="24"/>
        </w:rPr>
        <w:t>（另册）</w:t>
      </w:r>
      <w:bookmarkEnd w:id="40"/>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cs="宋体"/>
          <w:kern w:val="0"/>
          <w:sz w:val="24"/>
          <w:szCs w:val="24"/>
          <w:u w:val="single"/>
        </w:rPr>
        <w:t>详</w:t>
      </w:r>
      <w:r>
        <w:rPr>
          <w:rFonts w:ascii="宋体" w:hAnsi="宋体" w:cs="宋体"/>
          <w:kern w:val="0"/>
          <w:sz w:val="24"/>
          <w:szCs w:val="24"/>
          <w:u w:val="single"/>
        </w:rPr>
        <w:t>见本项目《</w:t>
      </w:r>
      <w:r>
        <w:rPr>
          <w:rFonts w:hint="eastAsia" w:ascii="宋体" w:hAnsi="宋体" w:cs="宋体"/>
          <w:kern w:val="0"/>
          <w:sz w:val="24"/>
          <w:szCs w:val="24"/>
          <w:u w:val="single"/>
        </w:rPr>
        <w:t>最高投标限价</w:t>
      </w:r>
      <w:r>
        <w:rPr>
          <w:rFonts w:ascii="宋体" w:hAnsi="宋体" w:cs="宋体"/>
          <w:kern w:val="0"/>
          <w:sz w:val="24"/>
          <w:szCs w:val="24"/>
          <w:u w:val="single"/>
        </w:rPr>
        <w:t>公布函》</w:t>
      </w:r>
      <w:r>
        <w:rPr>
          <w:rFonts w:hint="eastAsia" w:ascii="宋体" w:hAnsi="宋体" w:cs="宋体"/>
          <w:kern w:val="0"/>
          <w:sz w:val="24"/>
          <w:szCs w:val="24"/>
          <w:u w:val="single"/>
        </w:rPr>
        <w:t>。</w:t>
      </w:r>
    </w:p>
    <w:p>
      <w:pPr>
        <w:pStyle w:val="35"/>
        <w:ind w:left="420" w:firstLine="600"/>
        <w:rPr>
          <w:sz w:val="30"/>
          <w:szCs w:val="30"/>
        </w:rPr>
      </w:pPr>
    </w:p>
    <w:p>
      <w:pPr>
        <w:pStyle w:val="35"/>
        <w:ind w:left="420" w:firstLine="600"/>
        <w:rPr>
          <w:sz w:val="30"/>
          <w:szCs w:val="30"/>
        </w:rPr>
      </w:pPr>
    </w:p>
    <w:p>
      <w:pPr>
        <w:pStyle w:val="2"/>
      </w:pPr>
    </w:p>
    <w:sectPr>
      <w:headerReference r:id="rId7" w:type="default"/>
      <w:footerReference r:id="rId8" w:type="default"/>
      <w:pgSz w:w="11906" w:h="16838"/>
      <w:pgMar w:top="1440" w:right="1803" w:bottom="1440" w:left="1803"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Style w:val="4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5"/>
                            <w:ind w:firstLine="392"/>
                            <w:jc w:val="right"/>
                          </w:pPr>
                          <w:r>
                            <w:rPr>
                              <w:rStyle w:val="41"/>
                            </w:rPr>
                            <w:fldChar w:fldCharType="begin"/>
                          </w:r>
                          <w:r>
                            <w:rPr>
                              <w:rStyle w:val="41"/>
                            </w:rPr>
                            <w:instrText xml:space="preserve">PAGE  </w:instrText>
                          </w:r>
                          <w:r>
                            <w:rPr>
                              <w:rStyle w:val="41"/>
                            </w:rPr>
                            <w:fldChar w:fldCharType="separate"/>
                          </w:r>
                          <w:r>
                            <w:rPr>
                              <w:rStyle w:val="41"/>
                            </w:rPr>
                            <w:t>44</w:t>
                          </w:r>
                          <w:r>
                            <w:rPr>
                              <w:rStyle w:val="41"/>
                            </w:rPr>
                            <w:fldChar w:fldCharType="end"/>
                          </w:r>
                        </w:p>
                      </w:txbxContent>
                    </wps:txbx>
                    <wps:bodyPr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&#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wb4ZMNUBAAC2AwAADgAAAAAAAAABACAAAAAf&#10;AQAAZHJzL2Uyb0RvYy54bWxQSwUGAAAAAAYABgBZAQAAZgUAAAAA&#10;">
              <v:fill on="f" focussize="0,0"/>
              <v:stroke on="f"/>
              <v:imagedata o:title=""/>
              <o:lock v:ext="edit" aspectratio="f"/>
              <v:textbox inset="0mm,0mm,0mm,0mm" style="mso-fit-shape-to-text:t;">
                <w:txbxContent>
                  <w:p>
                    <w:pPr>
                      <w:pStyle w:val="25"/>
                      <w:ind w:firstLine="392"/>
                      <w:jc w:val="right"/>
                    </w:pPr>
                    <w:r>
                      <w:rPr>
                        <w:rStyle w:val="41"/>
                      </w:rPr>
                      <w:fldChar w:fldCharType="begin"/>
                    </w:r>
                    <w:r>
                      <w:rPr>
                        <w:rStyle w:val="41"/>
                      </w:rPr>
                      <w:instrText xml:space="preserve">PAGE  </w:instrText>
                    </w:r>
                    <w:r>
                      <w:rPr>
                        <w:rStyle w:val="41"/>
                      </w:rPr>
                      <w:fldChar w:fldCharType="separate"/>
                    </w:r>
                    <w:r>
                      <w:rPr>
                        <w:rStyle w:val="41"/>
                      </w:rPr>
                      <w:t>44</w:t>
                    </w:r>
                    <w:r>
                      <w:rPr>
                        <w:rStyle w:val="4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53</w:t>
                          </w:r>
                          <w:r>
                            <w:rPr>
                              <w:rStyle w:val="41"/>
                            </w:rPr>
                            <w:fldChar w:fldCharType="end"/>
                          </w:r>
                        </w:p>
                        <w:p>
                          <w:pPr>
                            <w:pStyle w:val="25"/>
                            <w:ind w:left="-4410" w:leftChars="-2100" w:right="-4439" w:rightChars="-2114"/>
                            <w:rPr>
                              <w:rStyle w:val="41"/>
                            </w:rPr>
                          </w:pPr>
                        </w:p>
                      </w:txbxContent>
                    </wps:txbx>
                    <wps:bodyPr wrap="none" lIns="0" tIns="0" rIns="0" bIns="0" anchor="t" anchorCtr="0" upright="1">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LXyjMNIBAACzAwAADgAAAAAAAAABACAAAAAfAQAA&#10;ZHJzL2Uyb0RvYy54bWxQSwUGAAAAAAYABgBZAQAAYwUAAAAA&#10;">
              <v:fill on="f" focussize="0,0"/>
              <v:stroke on="f"/>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53</w:t>
                    </w:r>
                    <w:r>
                      <w:rPr>
                        <w:rStyle w:val="41"/>
                      </w:rPr>
                      <w:fldChar w:fldCharType="end"/>
                    </w:r>
                  </w:p>
                  <w:p>
                    <w:pPr>
                      <w:pStyle w:val="25"/>
                      <w:ind w:left="-4410" w:leftChars="-2100" w:right="-4439" w:rightChars="-2114"/>
                      <w:rPr>
                        <w:rStyle w:val="41"/>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61</w:t>
                          </w:r>
                          <w:r>
                            <w:rPr>
                              <w:rStyle w:val="41"/>
                            </w:rPr>
                            <w:fldChar w:fldCharType="end"/>
                          </w:r>
                        </w:p>
                        <w:p>
                          <w:pPr>
                            <w:pStyle w:val="25"/>
                            <w:ind w:left="-4410" w:leftChars="-2100" w:right="-4439" w:rightChars="-2114"/>
                            <w:rPr>
                              <w:rStyle w:val="41"/>
                            </w:rPr>
                          </w:pPr>
                        </w:p>
                      </w:txbxContent>
                    </wps:txbx>
                    <wps:bodyPr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&#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pf2k9tUBAAC2AwAADgAAAAAAAAABACAAAAAf&#10;AQAAZHJzL2Uyb0RvYy54bWxQSwUGAAAAAAYABgBZAQAAZgUAAAAA&#10;">
              <v:fill on="f" focussize="0,0"/>
              <v:stroke on="f"/>
              <v:imagedata o:title=""/>
              <o:lock v:ext="edit" aspectratio="f"/>
              <v:textbox inset="0mm,0mm,0mm,0mm" style="mso-fit-shape-to-text:t;">
                <w:txbxContent>
                  <w:p>
                    <w:pPr>
                      <w:pStyle w:val="25"/>
                      <w:jc w:val="center"/>
                      <w:rPr>
                        <w:rStyle w:val="41"/>
                      </w:rPr>
                    </w:pPr>
                    <w:r>
                      <w:rPr>
                        <w:rStyle w:val="41"/>
                      </w:rPr>
                      <w:fldChar w:fldCharType="begin"/>
                    </w:r>
                    <w:r>
                      <w:rPr>
                        <w:rStyle w:val="41"/>
                      </w:rPr>
                      <w:instrText xml:space="preserve">PAGE  </w:instrText>
                    </w:r>
                    <w:r>
                      <w:rPr>
                        <w:rStyle w:val="41"/>
                      </w:rPr>
                      <w:fldChar w:fldCharType="separate"/>
                    </w:r>
                    <w:r>
                      <w:rPr>
                        <w:rStyle w:val="41"/>
                      </w:rPr>
                      <w:t>61</w:t>
                    </w:r>
                    <w:r>
                      <w:rPr>
                        <w:rStyle w:val="41"/>
                      </w:rPr>
                      <w:fldChar w:fldCharType="end"/>
                    </w:r>
                  </w:p>
                  <w:p>
                    <w:pPr>
                      <w:pStyle w:val="25"/>
                      <w:ind w:left="-4410" w:leftChars="-2100" w:right="-4439" w:rightChars="-2114"/>
                      <w:rPr>
                        <w:rStyle w:val="41"/>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none" w:color="auto" w:sz="0" w:space="1"/>
        <w:left w:val="none" w:color="auto" w:sz="0" w:space="4"/>
        <w:bottom w:val="none" w:color="auto" w:sz="0" w:space="1"/>
        <w:right w:val="none" w:color="auto" w:sz="0" w:space="4"/>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EBF95"/>
    <w:multiLevelType w:val="singleLevel"/>
    <w:tmpl w:val="DE4EBF9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53208E"/>
    <w:multiLevelType w:val="multilevel"/>
    <w:tmpl w:val="0053208E"/>
    <w:lvl w:ilvl="0" w:tentative="0">
      <w:start w:val="1"/>
      <w:numFmt w:val="chineseCountingThousand"/>
      <w:pStyle w:val="5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22607BF1"/>
    <w:multiLevelType w:val="multilevel"/>
    <w:tmpl w:val="22607BF1"/>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3803822F"/>
    <w:multiLevelType w:val="singleLevel"/>
    <w:tmpl w:val="3803822F"/>
    <w:lvl w:ilvl="0" w:tentative="0">
      <w:start w:val="1"/>
      <w:numFmt w:val="decimal"/>
      <w:suff w:val="nothing"/>
      <w:lvlText w:val="%1、"/>
      <w:lvlJc w:val="left"/>
    </w:lvl>
  </w:abstractNum>
  <w:abstractNum w:abstractNumId="5">
    <w:nsid w:val="66830454"/>
    <w:multiLevelType w:val="multilevel"/>
    <w:tmpl w:val="6683045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zOWEyMjM0NTQ3MzU5NGJkMzY5NGM0NjY5NjA5MjYifQ=="/>
  </w:docVars>
  <w:rsids>
    <w:rsidRoot w:val="00815DF8"/>
    <w:rsid w:val="00032604"/>
    <w:rsid w:val="00090B80"/>
    <w:rsid w:val="00093B5E"/>
    <w:rsid w:val="000D017B"/>
    <w:rsid w:val="000D663B"/>
    <w:rsid w:val="000E743B"/>
    <w:rsid w:val="00112395"/>
    <w:rsid w:val="0011577E"/>
    <w:rsid w:val="00117E08"/>
    <w:rsid w:val="00121915"/>
    <w:rsid w:val="0012230E"/>
    <w:rsid w:val="0019286B"/>
    <w:rsid w:val="001B11E2"/>
    <w:rsid w:val="002120BB"/>
    <w:rsid w:val="00233977"/>
    <w:rsid w:val="00251922"/>
    <w:rsid w:val="00262184"/>
    <w:rsid w:val="002657E4"/>
    <w:rsid w:val="00287163"/>
    <w:rsid w:val="002B270E"/>
    <w:rsid w:val="002F2BF8"/>
    <w:rsid w:val="00304B50"/>
    <w:rsid w:val="00342C9D"/>
    <w:rsid w:val="00365442"/>
    <w:rsid w:val="003701C5"/>
    <w:rsid w:val="00394845"/>
    <w:rsid w:val="003F23E0"/>
    <w:rsid w:val="00420AA2"/>
    <w:rsid w:val="004A2C46"/>
    <w:rsid w:val="004A7E17"/>
    <w:rsid w:val="004B2BCF"/>
    <w:rsid w:val="004C2D8B"/>
    <w:rsid w:val="005254F4"/>
    <w:rsid w:val="005321C7"/>
    <w:rsid w:val="00555052"/>
    <w:rsid w:val="005947B9"/>
    <w:rsid w:val="005C5F90"/>
    <w:rsid w:val="005D718E"/>
    <w:rsid w:val="00620B67"/>
    <w:rsid w:val="00621515"/>
    <w:rsid w:val="006B0419"/>
    <w:rsid w:val="00701853"/>
    <w:rsid w:val="007254EB"/>
    <w:rsid w:val="00750608"/>
    <w:rsid w:val="0077115B"/>
    <w:rsid w:val="00802C75"/>
    <w:rsid w:val="00815DF8"/>
    <w:rsid w:val="00823352"/>
    <w:rsid w:val="008351E0"/>
    <w:rsid w:val="008827D3"/>
    <w:rsid w:val="008B393E"/>
    <w:rsid w:val="00922203"/>
    <w:rsid w:val="00922583"/>
    <w:rsid w:val="009966CF"/>
    <w:rsid w:val="009B35F5"/>
    <w:rsid w:val="009D4E31"/>
    <w:rsid w:val="009D7C30"/>
    <w:rsid w:val="00A36487"/>
    <w:rsid w:val="00A73B6D"/>
    <w:rsid w:val="00AA36FC"/>
    <w:rsid w:val="00AB751C"/>
    <w:rsid w:val="00AF2C34"/>
    <w:rsid w:val="00AF402C"/>
    <w:rsid w:val="00AF5C72"/>
    <w:rsid w:val="00B17657"/>
    <w:rsid w:val="00B35C23"/>
    <w:rsid w:val="00B36995"/>
    <w:rsid w:val="00BE65E4"/>
    <w:rsid w:val="00C3671B"/>
    <w:rsid w:val="00C47A24"/>
    <w:rsid w:val="00C635EA"/>
    <w:rsid w:val="00C72903"/>
    <w:rsid w:val="00C7315E"/>
    <w:rsid w:val="00CC10A3"/>
    <w:rsid w:val="00D3007C"/>
    <w:rsid w:val="00D353D8"/>
    <w:rsid w:val="00D46D16"/>
    <w:rsid w:val="00D71637"/>
    <w:rsid w:val="00D733BA"/>
    <w:rsid w:val="00D93256"/>
    <w:rsid w:val="00DB5F94"/>
    <w:rsid w:val="00E22F41"/>
    <w:rsid w:val="00E355C2"/>
    <w:rsid w:val="00E375A4"/>
    <w:rsid w:val="00EE610C"/>
    <w:rsid w:val="00F440CD"/>
    <w:rsid w:val="00F4478A"/>
    <w:rsid w:val="00FB0D5C"/>
    <w:rsid w:val="00FE61A4"/>
    <w:rsid w:val="01211D5D"/>
    <w:rsid w:val="04352637"/>
    <w:rsid w:val="0550738F"/>
    <w:rsid w:val="058A1D66"/>
    <w:rsid w:val="065737FA"/>
    <w:rsid w:val="0668216A"/>
    <w:rsid w:val="066C6FCD"/>
    <w:rsid w:val="079051B7"/>
    <w:rsid w:val="08822875"/>
    <w:rsid w:val="0A157486"/>
    <w:rsid w:val="0A5926E3"/>
    <w:rsid w:val="0AFF7745"/>
    <w:rsid w:val="0BE62A2F"/>
    <w:rsid w:val="0E9C279A"/>
    <w:rsid w:val="0EC408A1"/>
    <w:rsid w:val="10E75871"/>
    <w:rsid w:val="11211EFD"/>
    <w:rsid w:val="11751D03"/>
    <w:rsid w:val="12C66CAB"/>
    <w:rsid w:val="16541D04"/>
    <w:rsid w:val="165F72FD"/>
    <w:rsid w:val="17212AC5"/>
    <w:rsid w:val="193726FE"/>
    <w:rsid w:val="1A5A6752"/>
    <w:rsid w:val="1AB32A73"/>
    <w:rsid w:val="1BFC740E"/>
    <w:rsid w:val="1D784BCD"/>
    <w:rsid w:val="1D8A0255"/>
    <w:rsid w:val="2040430C"/>
    <w:rsid w:val="241500D3"/>
    <w:rsid w:val="256348FE"/>
    <w:rsid w:val="26876F7C"/>
    <w:rsid w:val="26A936A7"/>
    <w:rsid w:val="2744079A"/>
    <w:rsid w:val="275E5342"/>
    <w:rsid w:val="3069553F"/>
    <w:rsid w:val="307F1EDD"/>
    <w:rsid w:val="328024AF"/>
    <w:rsid w:val="3376157A"/>
    <w:rsid w:val="38B94941"/>
    <w:rsid w:val="38EA6FCF"/>
    <w:rsid w:val="393B6679"/>
    <w:rsid w:val="3A582F7D"/>
    <w:rsid w:val="3D7A1121"/>
    <w:rsid w:val="3F9777FE"/>
    <w:rsid w:val="3FA467A3"/>
    <w:rsid w:val="41562AF9"/>
    <w:rsid w:val="41C537DA"/>
    <w:rsid w:val="423B584A"/>
    <w:rsid w:val="43D67D0D"/>
    <w:rsid w:val="44917C69"/>
    <w:rsid w:val="45DB35CC"/>
    <w:rsid w:val="476D2C13"/>
    <w:rsid w:val="47E10C42"/>
    <w:rsid w:val="48377CAA"/>
    <w:rsid w:val="49F44856"/>
    <w:rsid w:val="4AC82401"/>
    <w:rsid w:val="4BF13C38"/>
    <w:rsid w:val="4C043EC5"/>
    <w:rsid w:val="4DB841F3"/>
    <w:rsid w:val="4E0730E1"/>
    <w:rsid w:val="4E531842"/>
    <w:rsid w:val="4EFF70CF"/>
    <w:rsid w:val="4FBB6A71"/>
    <w:rsid w:val="514F2B6A"/>
    <w:rsid w:val="53855DED"/>
    <w:rsid w:val="539810EC"/>
    <w:rsid w:val="57C9612B"/>
    <w:rsid w:val="59A92040"/>
    <w:rsid w:val="59C2766B"/>
    <w:rsid w:val="5E835C04"/>
    <w:rsid w:val="5FD309DE"/>
    <w:rsid w:val="610C68D8"/>
    <w:rsid w:val="627B096C"/>
    <w:rsid w:val="63416A5B"/>
    <w:rsid w:val="647C2100"/>
    <w:rsid w:val="651A53E4"/>
    <w:rsid w:val="65277B07"/>
    <w:rsid w:val="682D1817"/>
    <w:rsid w:val="69C66C5A"/>
    <w:rsid w:val="6A502C67"/>
    <w:rsid w:val="6C135F43"/>
    <w:rsid w:val="6C3167E1"/>
    <w:rsid w:val="6E8B30C2"/>
    <w:rsid w:val="6F002E86"/>
    <w:rsid w:val="71492738"/>
    <w:rsid w:val="72D80D10"/>
    <w:rsid w:val="75BE7250"/>
    <w:rsid w:val="77EA3F98"/>
    <w:rsid w:val="77FC00B0"/>
    <w:rsid w:val="784B46B6"/>
    <w:rsid w:val="788D1300"/>
    <w:rsid w:val="78B266C3"/>
    <w:rsid w:val="79AB62C8"/>
    <w:rsid w:val="7A9852CC"/>
    <w:rsid w:val="7D1C7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18"/>
    <w:qFormat/>
    <w:uiPriority w:val="0"/>
    <w:pPr>
      <w:keepNext/>
      <w:keepLines/>
      <w:spacing w:after="120" w:line="360" w:lineRule="auto"/>
      <w:outlineLvl w:val="0"/>
    </w:pPr>
    <w:rPr>
      <w:kern w:val="44"/>
      <w:sz w:val="28"/>
      <w:szCs w:val="28"/>
    </w:rPr>
  </w:style>
  <w:style w:type="paragraph" w:styleId="7">
    <w:name w:val="heading 2"/>
    <w:basedOn w:val="1"/>
    <w:next w:val="8"/>
    <w:link w:val="7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0"/>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1"/>
    <w:next w:val="1"/>
    <w:link w:val="77"/>
    <w:qFormat/>
    <w:uiPriority w:val="0"/>
    <w:pPr>
      <w:keepNext/>
      <w:keepLines/>
      <w:numPr>
        <w:ilvl w:val="3"/>
        <w:numId w:val="1"/>
      </w:numPr>
      <w:spacing w:beforeLines="50" w:afterLines="50" w:line="360" w:lineRule="auto"/>
      <w:outlineLvl w:val="3"/>
    </w:pPr>
    <w:rPr>
      <w:rFonts w:ascii="Arial" w:hAnsi="Arial"/>
      <w:color w:val="000000"/>
      <w:szCs w:val="21"/>
    </w:rPr>
  </w:style>
  <w:style w:type="paragraph" w:styleId="11">
    <w:name w:val="heading 5"/>
    <w:basedOn w:val="10"/>
    <w:next w:val="8"/>
    <w:link w:val="78"/>
    <w:qFormat/>
    <w:uiPriority w:val="0"/>
    <w:pPr>
      <w:numPr>
        <w:ilvl w:val="4"/>
        <w:numId w:val="0"/>
      </w:numPr>
      <w:spacing w:line="240" w:lineRule="exact"/>
      <w:outlineLvl w:val="4"/>
    </w:pPr>
  </w:style>
  <w:style w:type="paragraph" w:styleId="12">
    <w:name w:val="heading 6"/>
    <w:basedOn w:val="1"/>
    <w:next w:val="1"/>
    <w:link w:val="79"/>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0"/>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8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8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96"/>
    <w:qFormat/>
    <w:uiPriority w:val="0"/>
    <w:rPr>
      <w:rFonts w:ascii="宋体" w:hAnsi="Courier New"/>
      <w:szCs w:val="20"/>
    </w:rPr>
  </w:style>
  <w:style w:type="paragraph" w:styleId="4">
    <w:name w:val="Title"/>
    <w:basedOn w:val="1"/>
    <w:link w:val="84"/>
    <w:qFormat/>
    <w:uiPriority w:val="0"/>
    <w:pPr>
      <w:spacing w:before="120" w:after="60"/>
      <w:jc w:val="center"/>
    </w:pPr>
    <w:rPr>
      <w:rFonts w:ascii="Arial" w:hAnsi="Arial"/>
      <w:b/>
      <w:sz w:val="44"/>
      <w:szCs w:val="20"/>
    </w:rPr>
  </w:style>
  <w:style w:type="paragraph" w:styleId="5">
    <w:name w:val="Body Text First Indent"/>
    <w:basedOn w:val="6"/>
    <w:link w:val="88"/>
    <w:qFormat/>
    <w:uiPriority w:val="0"/>
    <w:pPr>
      <w:ind w:firstLine="420"/>
    </w:pPr>
  </w:style>
  <w:style w:type="paragraph" w:styleId="6">
    <w:name w:val="Body Text"/>
    <w:basedOn w:val="1"/>
    <w:next w:val="1"/>
    <w:link w:val="86"/>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6">
    <w:name w:val="Document Map"/>
    <w:basedOn w:val="1"/>
    <w:link w:val="94"/>
    <w:qFormat/>
    <w:uiPriority w:val="0"/>
    <w:pPr>
      <w:shd w:val="clear" w:color="auto" w:fill="000080"/>
    </w:pPr>
    <w:rPr>
      <w:rFonts w:ascii="Times New Roman" w:hAnsi="Times New Roman"/>
      <w:szCs w:val="20"/>
    </w:rPr>
  </w:style>
  <w:style w:type="paragraph" w:styleId="17">
    <w:name w:val="annotation text"/>
    <w:basedOn w:val="1"/>
    <w:link w:val="108"/>
    <w:qFormat/>
    <w:uiPriority w:val="99"/>
    <w:pPr>
      <w:spacing w:line="360" w:lineRule="auto"/>
      <w:ind w:firstLine="523" w:firstLineChars="218"/>
      <w:jc w:val="left"/>
    </w:pPr>
    <w:rPr>
      <w:rFonts w:ascii="宋体" w:hAnsi="宋体"/>
      <w:sz w:val="24"/>
      <w:szCs w:val="24"/>
    </w:rPr>
  </w:style>
  <w:style w:type="paragraph" w:styleId="18">
    <w:name w:val="Body Text Indent"/>
    <w:basedOn w:val="1"/>
    <w:next w:val="19"/>
    <w:link w:val="92"/>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90"/>
    <w:qFormat/>
    <w:uiPriority w:val="0"/>
    <w:rPr>
      <w:rFonts w:ascii="Times New Roman" w:hAnsi="Times New Roman"/>
      <w:szCs w:val="20"/>
    </w:rPr>
  </w:style>
  <w:style w:type="paragraph" w:styleId="22">
    <w:name w:val="Body Text Indent 2"/>
    <w:basedOn w:val="1"/>
    <w:link w:val="98"/>
    <w:qFormat/>
    <w:uiPriority w:val="0"/>
    <w:pPr>
      <w:spacing w:line="400" w:lineRule="exact"/>
      <w:ind w:left="425"/>
    </w:pPr>
    <w:rPr>
      <w:rFonts w:ascii="Times New Roman" w:hAnsi="Times New Roman"/>
      <w:color w:val="000000"/>
      <w:sz w:val="24"/>
      <w:szCs w:val="20"/>
    </w:rPr>
  </w:style>
  <w:style w:type="paragraph" w:styleId="23">
    <w:name w:val="endnote text"/>
    <w:basedOn w:val="1"/>
    <w:link w:val="104"/>
    <w:qFormat/>
    <w:uiPriority w:val="0"/>
    <w:pPr>
      <w:snapToGrid w:val="0"/>
      <w:jc w:val="left"/>
    </w:pPr>
    <w:rPr>
      <w:rFonts w:ascii="Times New Roman" w:hAnsi="Times New Roman"/>
      <w:szCs w:val="20"/>
    </w:rPr>
  </w:style>
  <w:style w:type="paragraph" w:styleId="24">
    <w:name w:val="Balloon Text"/>
    <w:basedOn w:val="1"/>
    <w:link w:val="106"/>
    <w:qFormat/>
    <w:uiPriority w:val="0"/>
    <w:rPr>
      <w:rFonts w:ascii="Times New Roman" w:hAnsi="Times New Roman"/>
      <w:sz w:val="18"/>
      <w:szCs w:val="18"/>
    </w:rPr>
  </w:style>
  <w:style w:type="paragraph" w:styleId="25">
    <w:name w:val="footer"/>
    <w:basedOn w:val="1"/>
    <w:link w:val="74"/>
    <w:qFormat/>
    <w:uiPriority w:val="0"/>
    <w:pPr>
      <w:tabs>
        <w:tab w:val="center" w:pos="4153"/>
        <w:tab w:val="right" w:pos="8306"/>
      </w:tabs>
      <w:snapToGrid w:val="0"/>
      <w:jc w:val="left"/>
    </w:pPr>
    <w:rPr>
      <w:sz w:val="18"/>
      <w:szCs w:val="18"/>
    </w:rPr>
  </w:style>
  <w:style w:type="paragraph" w:styleId="26">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100"/>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102"/>
    <w:qFormat/>
    <w:uiPriority w:val="0"/>
    <w:rPr>
      <w:rFonts w:ascii="宋体" w:hAnsi="宋体"/>
      <w:szCs w:val="24"/>
      <w:u w:val="single"/>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12"/>
    <w:qFormat/>
    <w:uiPriority w:val="0"/>
    <w:rPr>
      <w:b/>
      <w:bCs/>
    </w:rPr>
  </w:style>
  <w:style w:type="paragraph" w:styleId="35">
    <w:name w:val="Body Text First Indent 2"/>
    <w:basedOn w:val="18"/>
    <w:qFormat/>
    <w:uiPriority w:val="0"/>
    <w:pPr>
      <w:spacing w:after="120"/>
      <w:ind w:left="200" w:leftChars="200" w:firstLine="200" w:firstLineChars="200"/>
    </w:pPr>
    <w:rPr>
      <w:rFonts w:ascii="Calibri" w:hAnsi="Calibri"/>
      <w:sz w:val="21"/>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qFormat/>
    <w:uiPriority w:val="99"/>
    <w:rPr>
      <w:color w:val="954F72"/>
      <w:u w:val="single"/>
    </w:rPr>
  </w:style>
  <w:style w:type="character" w:styleId="43">
    <w:name w:val="Hyperlink"/>
    <w:basedOn w:val="38"/>
    <w:qFormat/>
    <w:uiPriority w:val="99"/>
    <w:rPr>
      <w:color w:val="0000FF"/>
      <w:u w:val="single"/>
    </w:rPr>
  </w:style>
  <w:style w:type="character" w:styleId="44">
    <w:name w:val="annotation reference"/>
    <w:qFormat/>
    <w:uiPriority w:val="99"/>
    <w:rPr>
      <w:sz w:val="21"/>
      <w:szCs w:val="21"/>
    </w:rPr>
  </w:style>
  <w:style w:type="character" w:styleId="45">
    <w:name w:val="footnote reference"/>
    <w:qFormat/>
    <w:uiPriority w:val="0"/>
    <w:rPr>
      <w:vertAlign w:val="superscript"/>
    </w:rPr>
  </w:style>
  <w:style w:type="paragraph" w:customStyle="1" w:styleId="46">
    <w:name w:val="PlainText"/>
    <w:basedOn w:val="1"/>
    <w:qFormat/>
    <w:uiPriority w:val="0"/>
    <w:rPr>
      <w:rFonts w:ascii="宋体" w:hAnsi="Courier New"/>
      <w:kern w:val="0"/>
      <w:sz w:val="20"/>
      <w:szCs w:val="20"/>
    </w:rPr>
  </w:style>
  <w:style w:type="paragraph" w:customStyle="1" w:styleId="4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8">
    <w:name w:val="_Style 69"/>
    <w:qFormat/>
    <w:uiPriority w:val="0"/>
    <w:rPr>
      <w:rFonts w:ascii="等线" w:hAnsi="等线" w:eastAsia="等线" w:cs="Times New Roman"/>
      <w:lang w:val="en-US" w:eastAsia="zh-CN" w:bidi="ar-SA"/>
    </w:rPr>
  </w:style>
  <w:style w:type="paragraph" w:customStyle="1" w:styleId="49">
    <w:name w:val="表头"/>
    <w:basedOn w:val="1"/>
    <w:qFormat/>
    <w:uiPriority w:val="0"/>
    <w:pPr>
      <w:spacing w:line="360" w:lineRule="auto"/>
      <w:jc w:val="center"/>
    </w:pPr>
    <w:rPr>
      <w:rFonts w:ascii="黑体" w:hAnsi="Times New Roman" w:eastAsia="黑体"/>
      <w:kern w:val="0"/>
      <w:sz w:val="24"/>
      <w:szCs w:val="20"/>
    </w:rPr>
  </w:style>
  <w:style w:type="paragraph" w:customStyle="1" w:styleId="50">
    <w:name w:val="Char"/>
    <w:basedOn w:val="1"/>
    <w:qFormat/>
    <w:uiPriority w:val="0"/>
    <w:rPr>
      <w:rFonts w:ascii="Tahoma" w:hAnsi="Tahoma"/>
      <w:sz w:val="24"/>
      <w:szCs w:val="20"/>
    </w:rPr>
  </w:style>
  <w:style w:type="paragraph" w:customStyle="1" w:styleId="51">
    <w:name w:val="Char1"/>
    <w:basedOn w:val="1"/>
    <w:qFormat/>
    <w:uiPriority w:val="0"/>
    <w:pPr>
      <w:numPr>
        <w:ilvl w:val="0"/>
        <w:numId w:val="1"/>
      </w:numPr>
    </w:pPr>
    <w:rPr>
      <w:rFonts w:ascii="Times New Roman" w:hAnsi="Times New Roman"/>
      <w:sz w:val="24"/>
      <w:szCs w:val="24"/>
    </w:rPr>
  </w:style>
  <w:style w:type="paragraph" w:customStyle="1" w:styleId="52">
    <w:name w:val="公文抬头"/>
    <w:basedOn w:val="8"/>
    <w:qFormat/>
    <w:uiPriority w:val="0"/>
    <w:pPr>
      <w:ind w:firstLine="0"/>
    </w:pPr>
    <w:rPr>
      <w:rFonts w:ascii="仿宋_GB2312" w:eastAsia="仿宋_GB2312"/>
      <w:sz w:val="30"/>
      <w:szCs w:val="24"/>
    </w:rPr>
  </w:style>
  <w:style w:type="paragraph" w:customStyle="1" w:styleId="53">
    <w:name w:val="Char Char Char1 Char"/>
    <w:basedOn w:val="16"/>
    <w:qFormat/>
    <w:uiPriority w:val="0"/>
    <w:rPr>
      <w:rFonts w:ascii="Tahoma" w:hAnsi="Tahoma"/>
      <w:sz w:val="24"/>
      <w:szCs w:val="24"/>
    </w:rPr>
  </w:style>
  <w:style w:type="paragraph" w:customStyle="1" w:styleId="5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5">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56">
    <w:name w:val="发文落款"/>
    <w:basedOn w:val="54"/>
    <w:qFormat/>
    <w:uiPriority w:val="0"/>
    <w:pPr>
      <w:ind w:left="4094" w:right="607" w:firstLine="0"/>
      <w:jc w:val="center"/>
    </w:pPr>
  </w:style>
  <w:style w:type="paragraph" w:customStyle="1" w:styleId="57">
    <w:name w:val="Char Char Char Char"/>
    <w:basedOn w:val="1"/>
    <w:qFormat/>
    <w:uiPriority w:val="0"/>
    <w:rPr>
      <w:rFonts w:ascii="Times New Roman" w:hAnsi="Times New Roman"/>
      <w:sz w:val="30"/>
      <w:szCs w:val="24"/>
    </w:rPr>
  </w:style>
  <w:style w:type="paragraph" w:customStyle="1" w:styleId="58">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59">
    <w:name w:val="列表段落1"/>
    <w:basedOn w:val="1"/>
    <w:qFormat/>
    <w:uiPriority w:val="34"/>
    <w:pPr>
      <w:ind w:firstLine="420" w:firstLineChars="200"/>
    </w:pPr>
    <w:rPr>
      <w:rFonts w:ascii="Times New Roman" w:hAnsi="Times New Roman"/>
      <w:szCs w:val="20"/>
    </w:rPr>
  </w:style>
  <w:style w:type="paragraph" w:customStyle="1" w:styleId="60">
    <w:name w:val="修订1"/>
    <w:qFormat/>
    <w:uiPriority w:val="99"/>
    <w:rPr>
      <w:rFonts w:ascii="Times New Roman" w:hAnsi="Times New Roman" w:eastAsia="宋体" w:cs="Times New Roman"/>
      <w:kern w:val="2"/>
      <w:sz w:val="21"/>
      <w:lang w:val="en-US" w:eastAsia="zh-CN" w:bidi="ar-SA"/>
    </w:rPr>
  </w:style>
  <w:style w:type="character" w:customStyle="1" w:styleId="61">
    <w:name w:val="标题 1 字符"/>
    <w:qFormat/>
    <w:uiPriority w:val="9"/>
    <w:rPr>
      <w:rFonts w:ascii="Calibri" w:hAnsi="Calibri" w:eastAsia="宋体" w:cs="Times New Roman"/>
      <w:b/>
      <w:bCs/>
      <w:kern w:val="44"/>
      <w:sz w:val="44"/>
      <w:szCs w:val="44"/>
    </w:rPr>
  </w:style>
  <w:style w:type="character" w:customStyle="1" w:styleId="62">
    <w:name w:val="标题 2 字符"/>
    <w:qFormat/>
    <w:uiPriority w:val="9"/>
    <w:rPr>
      <w:rFonts w:ascii="等线 Light" w:hAnsi="等线 Light" w:eastAsia="等线 Light" w:cs="Times New Roman"/>
      <w:b/>
      <w:bCs/>
      <w:sz w:val="32"/>
      <w:szCs w:val="32"/>
    </w:rPr>
  </w:style>
  <w:style w:type="character" w:customStyle="1" w:styleId="63">
    <w:name w:val="标题 3 字符"/>
    <w:qFormat/>
    <w:uiPriority w:val="9"/>
    <w:rPr>
      <w:rFonts w:ascii="Calibri" w:hAnsi="Calibri" w:eastAsia="宋体" w:cs="Times New Roman"/>
      <w:b/>
      <w:bCs/>
      <w:sz w:val="32"/>
      <w:szCs w:val="32"/>
    </w:rPr>
  </w:style>
  <w:style w:type="character" w:customStyle="1" w:styleId="64">
    <w:name w:val="标题 4 字符"/>
    <w:qFormat/>
    <w:uiPriority w:val="9"/>
    <w:rPr>
      <w:rFonts w:ascii="等线 Light" w:hAnsi="等线 Light" w:eastAsia="等线 Light" w:cs="Times New Roman"/>
      <w:b/>
      <w:bCs/>
      <w:sz w:val="28"/>
      <w:szCs w:val="28"/>
    </w:rPr>
  </w:style>
  <w:style w:type="character" w:customStyle="1" w:styleId="65">
    <w:name w:val="标题 5 字符"/>
    <w:qFormat/>
    <w:uiPriority w:val="9"/>
    <w:rPr>
      <w:rFonts w:ascii="Calibri" w:hAnsi="Calibri" w:eastAsia="宋体" w:cs="Times New Roman"/>
      <w:b/>
      <w:bCs/>
      <w:sz w:val="28"/>
      <w:szCs w:val="28"/>
    </w:rPr>
  </w:style>
  <w:style w:type="character" w:customStyle="1" w:styleId="66">
    <w:name w:val="标题 6 字符"/>
    <w:qFormat/>
    <w:uiPriority w:val="9"/>
    <w:rPr>
      <w:rFonts w:ascii="等线 Light" w:hAnsi="等线 Light" w:eastAsia="等线 Light" w:cs="Times New Roman"/>
      <w:b/>
      <w:bCs/>
      <w:sz w:val="24"/>
      <w:szCs w:val="24"/>
    </w:rPr>
  </w:style>
  <w:style w:type="character" w:customStyle="1" w:styleId="67">
    <w:name w:val="标题 7 字符"/>
    <w:qFormat/>
    <w:uiPriority w:val="9"/>
    <w:rPr>
      <w:rFonts w:ascii="Calibri" w:hAnsi="Calibri" w:eastAsia="宋体" w:cs="Times New Roman"/>
      <w:b/>
      <w:bCs/>
      <w:sz w:val="24"/>
      <w:szCs w:val="24"/>
    </w:rPr>
  </w:style>
  <w:style w:type="character" w:customStyle="1" w:styleId="68">
    <w:name w:val="标题 8 字符"/>
    <w:qFormat/>
    <w:uiPriority w:val="9"/>
    <w:rPr>
      <w:rFonts w:ascii="等线 Light" w:hAnsi="等线 Light" w:eastAsia="等线 Light" w:cs="Times New Roman"/>
      <w:sz w:val="24"/>
      <w:szCs w:val="24"/>
    </w:rPr>
  </w:style>
  <w:style w:type="character" w:customStyle="1" w:styleId="69">
    <w:name w:val="标题 9 字符"/>
    <w:qFormat/>
    <w:uiPriority w:val="9"/>
    <w:rPr>
      <w:rFonts w:ascii="等线 Light" w:hAnsi="等线 Light" w:eastAsia="等线 Light" w:cs="Times New Roman"/>
      <w:szCs w:val="21"/>
    </w:rPr>
  </w:style>
  <w:style w:type="character" w:customStyle="1" w:styleId="70">
    <w:name w:val="标题 3 字符1"/>
    <w:link w:val="9"/>
    <w:qFormat/>
    <w:uiPriority w:val="0"/>
    <w:rPr>
      <w:rFonts w:ascii="宋体" w:hAnsi="宋体" w:eastAsia="宋体" w:cs="宋体"/>
      <w:kern w:val="0"/>
      <w:sz w:val="27"/>
      <w:szCs w:val="27"/>
    </w:rPr>
  </w:style>
  <w:style w:type="character" w:customStyle="1" w:styleId="71">
    <w:name w:val="页眉 字符"/>
    <w:qFormat/>
    <w:uiPriority w:val="99"/>
    <w:rPr>
      <w:rFonts w:ascii="Calibri" w:hAnsi="Calibri" w:eastAsia="宋体" w:cs="Times New Roman"/>
      <w:sz w:val="18"/>
      <w:szCs w:val="18"/>
    </w:rPr>
  </w:style>
  <w:style w:type="character" w:customStyle="1" w:styleId="72">
    <w:name w:val="页眉 字符1"/>
    <w:link w:val="26"/>
    <w:qFormat/>
    <w:uiPriority w:val="0"/>
    <w:rPr>
      <w:rFonts w:ascii="Calibri" w:hAnsi="Calibri" w:eastAsia="宋体" w:cs="Times New Roman"/>
      <w:sz w:val="18"/>
      <w:szCs w:val="18"/>
    </w:rPr>
  </w:style>
  <w:style w:type="character" w:customStyle="1" w:styleId="73">
    <w:name w:val="页脚 字符"/>
    <w:qFormat/>
    <w:uiPriority w:val="99"/>
    <w:rPr>
      <w:rFonts w:ascii="Calibri" w:hAnsi="Calibri" w:eastAsia="宋体" w:cs="Times New Roman"/>
      <w:sz w:val="18"/>
      <w:szCs w:val="18"/>
    </w:rPr>
  </w:style>
  <w:style w:type="character" w:customStyle="1" w:styleId="74">
    <w:name w:val="页脚 字符1"/>
    <w:link w:val="25"/>
    <w:qFormat/>
    <w:uiPriority w:val="0"/>
    <w:rPr>
      <w:rFonts w:ascii="Calibri" w:hAnsi="Calibri" w:eastAsia="宋体" w:cs="Times New Roman"/>
      <w:sz w:val="18"/>
      <w:szCs w:val="18"/>
    </w:rPr>
  </w:style>
  <w:style w:type="character" w:customStyle="1" w:styleId="75">
    <w:name w:val="标题 1 字符1"/>
    <w:qFormat/>
    <w:uiPriority w:val="0"/>
    <w:rPr>
      <w:rFonts w:ascii="Arial" w:hAnsi="Arial" w:eastAsia="宋体"/>
      <w:b/>
      <w:kern w:val="44"/>
      <w:sz w:val="28"/>
      <w:szCs w:val="28"/>
    </w:rPr>
  </w:style>
  <w:style w:type="character" w:customStyle="1" w:styleId="76">
    <w:name w:val="标题 2 字符1"/>
    <w:link w:val="7"/>
    <w:qFormat/>
    <w:uiPriority w:val="0"/>
    <w:rPr>
      <w:rFonts w:ascii="Arial" w:hAnsi="Arial" w:eastAsia="宋体" w:cs="Times New Roman"/>
      <w:b/>
      <w:color w:val="000000"/>
      <w:sz w:val="24"/>
      <w:szCs w:val="24"/>
    </w:rPr>
  </w:style>
  <w:style w:type="character" w:customStyle="1" w:styleId="77">
    <w:name w:val="标题 4 字符1"/>
    <w:link w:val="10"/>
    <w:qFormat/>
    <w:uiPriority w:val="0"/>
    <w:rPr>
      <w:rFonts w:ascii="Arial" w:hAnsi="Arial" w:eastAsia="宋体" w:cs="Times New Roman"/>
      <w:color w:val="000000"/>
      <w:szCs w:val="21"/>
    </w:rPr>
  </w:style>
  <w:style w:type="character" w:customStyle="1" w:styleId="78">
    <w:name w:val="标题 5 字符1"/>
    <w:link w:val="11"/>
    <w:qFormat/>
    <w:uiPriority w:val="0"/>
    <w:rPr>
      <w:rFonts w:ascii="Arial" w:hAnsi="Arial" w:eastAsia="宋体" w:cs="Times New Roman"/>
      <w:color w:val="000000"/>
      <w:szCs w:val="21"/>
    </w:rPr>
  </w:style>
  <w:style w:type="character" w:customStyle="1" w:styleId="79">
    <w:name w:val="标题 6 字符1"/>
    <w:link w:val="12"/>
    <w:qFormat/>
    <w:uiPriority w:val="0"/>
    <w:rPr>
      <w:rFonts w:ascii="Arial" w:hAnsi="Arial" w:eastAsia="黑体" w:cs="Times New Roman"/>
      <w:b/>
      <w:bCs/>
      <w:sz w:val="24"/>
      <w:szCs w:val="24"/>
    </w:rPr>
  </w:style>
  <w:style w:type="character" w:customStyle="1" w:styleId="80">
    <w:name w:val="标题 7 字符1"/>
    <w:link w:val="13"/>
    <w:qFormat/>
    <w:uiPriority w:val="0"/>
    <w:rPr>
      <w:rFonts w:ascii="Times New Roman" w:hAnsi="Times New Roman" w:eastAsia="宋体" w:cs="Times New Roman"/>
      <w:b/>
      <w:sz w:val="24"/>
      <w:szCs w:val="20"/>
    </w:rPr>
  </w:style>
  <w:style w:type="character" w:customStyle="1" w:styleId="81">
    <w:name w:val="标题 8 字符1"/>
    <w:link w:val="14"/>
    <w:qFormat/>
    <w:uiPriority w:val="0"/>
    <w:rPr>
      <w:rFonts w:ascii="Arial" w:hAnsi="Arial" w:eastAsia="黑体" w:cs="Times New Roman"/>
      <w:sz w:val="24"/>
      <w:szCs w:val="20"/>
    </w:rPr>
  </w:style>
  <w:style w:type="character" w:customStyle="1" w:styleId="82">
    <w:name w:val="标题 9 字符1"/>
    <w:link w:val="15"/>
    <w:qFormat/>
    <w:uiPriority w:val="0"/>
    <w:rPr>
      <w:rFonts w:ascii="Arial" w:hAnsi="Arial" w:eastAsia="黑体" w:cs="Times New Roman"/>
      <w:szCs w:val="20"/>
    </w:rPr>
  </w:style>
  <w:style w:type="character" w:customStyle="1" w:styleId="83">
    <w:name w:val="标题 字符"/>
    <w:qFormat/>
    <w:uiPriority w:val="10"/>
    <w:rPr>
      <w:rFonts w:ascii="等线 Light" w:hAnsi="等线 Light" w:eastAsia="等线 Light" w:cs="Times New Roman"/>
      <w:b/>
      <w:bCs/>
      <w:sz w:val="32"/>
      <w:szCs w:val="32"/>
    </w:rPr>
  </w:style>
  <w:style w:type="character" w:customStyle="1" w:styleId="84">
    <w:name w:val="标题 字符1"/>
    <w:link w:val="4"/>
    <w:qFormat/>
    <w:uiPriority w:val="0"/>
    <w:rPr>
      <w:rFonts w:ascii="Arial" w:hAnsi="Arial" w:eastAsia="宋体" w:cs="Times New Roman"/>
      <w:b/>
      <w:sz w:val="44"/>
      <w:szCs w:val="20"/>
    </w:rPr>
  </w:style>
  <w:style w:type="character" w:customStyle="1" w:styleId="85">
    <w:name w:val="正文文本 字符"/>
    <w:qFormat/>
    <w:uiPriority w:val="99"/>
    <w:rPr>
      <w:rFonts w:ascii="Calibri" w:hAnsi="Calibri" w:eastAsia="宋体" w:cs="Times New Roman"/>
    </w:rPr>
  </w:style>
  <w:style w:type="character" w:customStyle="1" w:styleId="86">
    <w:name w:val="正文文本 字符1"/>
    <w:link w:val="6"/>
    <w:qFormat/>
    <w:uiPriority w:val="0"/>
    <w:rPr>
      <w:rFonts w:ascii="Times New Roman" w:hAnsi="Times New Roman" w:eastAsia="宋体" w:cs="Times New Roman"/>
      <w:szCs w:val="20"/>
    </w:rPr>
  </w:style>
  <w:style w:type="character" w:customStyle="1" w:styleId="87">
    <w:name w:val="正文首行缩进 字符"/>
    <w:basedOn w:val="85"/>
    <w:qFormat/>
    <w:uiPriority w:val="99"/>
    <w:rPr>
      <w:rFonts w:ascii="Calibri" w:hAnsi="Calibri" w:eastAsia="宋体" w:cs="Times New Roman"/>
    </w:rPr>
  </w:style>
  <w:style w:type="character" w:customStyle="1" w:styleId="88">
    <w:name w:val="正文文本首行缩进 字符"/>
    <w:link w:val="5"/>
    <w:qFormat/>
    <w:uiPriority w:val="0"/>
  </w:style>
  <w:style w:type="character" w:customStyle="1" w:styleId="89">
    <w:name w:val="日期 字符"/>
    <w:qFormat/>
    <w:uiPriority w:val="99"/>
    <w:rPr>
      <w:rFonts w:ascii="Calibri" w:hAnsi="Calibri" w:eastAsia="宋体" w:cs="Times New Roman"/>
    </w:rPr>
  </w:style>
  <w:style w:type="character" w:customStyle="1" w:styleId="90">
    <w:name w:val="日期 字符1"/>
    <w:link w:val="21"/>
    <w:qFormat/>
    <w:uiPriority w:val="0"/>
    <w:rPr>
      <w:rFonts w:ascii="Times New Roman" w:hAnsi="Times New Roman" w:eastAsia="宋体" w:cs="Times New Roman"/>
      <w:szCs w:val="20"/>
    </w:rPr>
  </w:style>
  <w:style w:type="character" w:customStyle="1" w:styleId="91">
    <w:name w:val="正文文本缩进 字符"/>
    <w:qFormat/>
    <w:uiPriority w:val="99"/>
    <w:rPr>
      <w:rFonts w:ascii="Calibri" w:hAnsi="Calibri" w:eastAsia="宋体" w:cs="Times New Roman"/>
    </w:rPr>
  </w:style>
  <w:style w:type="character" w:customStyle="1" w:styleId="92">
    <w:name w:val="正文文本缩进 字符1"/>
    <w:link w:val="18"/>
    <w:qFormat/>
    <w:uiPriority w:val="0"/>
    <w:rPr>
      <w:rFonts w:ascii="Times New Roman" w:hAnsi="Times New Roman" w:eastAsia="宋体" w:cs="Times New Roman"/>
      <w:sz w:val="28"/>
      <w:szCs w:val="20"/>
    </w:rPr>
  </w:style>
  <w:style w:type="character" w:customStyle="1" w:styleId="93">
    <w:name w:val="文档结构图 字符"/>
    <w:qFormat/>
    <w:uiPriority w:val="99"/>
    <w:rPr>
      <w:rFonts w:ascii="Microsoft YaHei UI" w:hAnsi="Calibri" w:eastAsia="Microsoft YaHei UI" w:cs="Times New Roman"/>
      <w:sz w:val="18"/>
      <w:szCs w:val="18"/>
    </w:rPr>
  </w:style>
  <w:style w:type="character" w:customStyle="1" w:styleId="94">
    <w:name w:val="文档结构图 字符1"/>
    <w:link w:val="16"/>
    <w:qFormat/>
    <w:uiPriority w:val="0"/>
    <w:rPr>
      <w:rFonts w:ascii="Times New Roman" w:hAnsi="Times New Roman" w:eastAsia="宋体" w:cs="Times New Roman"/>
      <w:szCs w:val="20"/>
      <w:shd w:val="clear" w:color="auto" w:fill="000080"/>
    </w:rPr>
  </w:style>
  <w:style w:type="character" w:customStyle="1" w:styleId="95">
    <w:name w:val="纯文本 字符"/>
    <w:qFormat/>
    <w:uiPriority w:val="99"/>
    <w:rPr>
      <w:rFonts w:ascii="等线" w:hAnsi="Courier New" w:cs="Courier New"/>
    </w:rPr>
  </w:style>
  <w:style w:type="character" w:customStyle="1" w:styleId="96">
    <w:name w:val="纯文本 字符1"/>
    <w:link w:val="2"/>
    <w:qFormat/>
    <w:uiPriority w:val="0"/>
    <w:rPr>
      <w:rFonts w:ascii="宋体" w:hAnsi="Courier New" w:eastAsia="宋体" w:cs="Times New Roman"/>
      <w:szCs w:val="20"/>
    </w:rPr>
  </w:style>
  <w:style w:type="character" w:customStyle="1" w:styleId="97">
    <w:name w:val="正文文本缩进 2 字符"/>
    <w:qFormat/>
    <w:uiPriority w:val="99"/>
    <w:rPr>
      <w:rFonts w:ascii="Calibri" w:hAnsi="Calibri" w:eastAsia="宋体" w:cs="Times New Roman"/>
    </w:rPr>
  </w:style>
  <w:style w:type="character" w:customStyle="1" w:styleId="98">
    <w:name w:val="正文文本缩进 2 字符1"/>
    <w:link w:val="22"/>
    <w:qFormat/>
    <w:uiPriority w:val="0"/>
    <w:rPr>
      <w:rFonts w:ascii="Times New Roman" w:hAnsi="Times New Roman" w:eastAsia="宋体" w:cs="Times New Roman"/>
      <w:color w:val="000000"/>
      <w:sz w:val="24"/>
      <w:szCs w:val="20"/>
    </w:rPr>
  </w:style>
  <w:style w:type="character" w:customStyle="1" w:styleId="99">
    <w:name w:val="正文文本缩进 3 字符"/>
    <w:qFormat/>
    <w:uiPriority w:val="99"/>
    <w:rPr>
      <w:rFonts w:ascii="Calibri" w:hAnsi="Calibri" w:eastAsia="宋体" w:cs="Times New Roman"/>
      <w:sz w:val="16"/>
      <w:szCs w:val="16"/>
    </w:rPr>
  </w:style>
  <w:style w:type="character" w:customStyle="1" w:styleId="100">
    <w:name w:val="正文文本缩进 3 字符1"/>
    <w:link w:val="29"/>
    <w:qFormat/>
    <w:uiPriority w:val="0"/>
    <w:rPr>
      <w:rFonts w:ascii="Times New Roman" w:hAnsi="Times New Roman" w:eastAsia="宋体" w:cs="Times New Roman"/>
      <w:color w:val="000000"/>
      <w:sz w:val="24"/>
      <w:szCs w:val="20"/>
    </w:rPr>
  </w:style>
  <w:style w:type="character" w:customStyle="1" w:styleId="101">
    <w:name w:val="正文文本 2 字符"/>
    <w:qFormat/>
    <w:uiPriority w:val="99"/>
    <w:rPr>
      <w:rFonts w:ascii="Calibri" w:hAnsi="Calibri" w:eastAsia="宋体" w:cs="Times New Roman"/>
    </w:rPr>
  </w:style>
  <w:style w:type="character" w:customStyle="1" w:styleId="102">
    <w:name w:val="正文文本 2 字符1"/>
    <w:link w:val="31"/>
    <w:qFormat/>
    <w:uiPriority w:val="0"/>
    <w:rPr>
      <w:rFonts w:ascii="宋体" w:hAnsi="宋体" w:eastAsia="宋体" w:cs="Times New Roman"/>
      <w:szCs w:val="24"/>
      <w:u w:val="single"/>
    </w:rPr>
  </w:style>
  <w:style w:type="character" w:customStyle="1" w:styleId="103">
    <w:name w:val="尾注文本 字符"/>
    <w:qFormat/>
    <w:uiPriority w:val="99"/>
    <w:rPr>
      <w:rFonts w:ascii="Calibri" w:hAnsi="Calibri" w:eastAsia="宋体" w:cs="Times New Roman"/>
    </w:rPr>
  </w:style>
  <w:style w:type="character" w:customStyle="1" w:styleId="104">
    <w:name w:val="尾注文本 字符1"/>
    <w:link w:val="23"/>
    <w:qFormat/>
    <w:uiPriority w:val="0"/>
    <w:rPr>
      <w:rFonts w:ascii="Times New Roman" w:hAnsi="Times New Roman" w:eastAsia="宋体" w:cs="Times New Roman"/>
      <w:szCs w:val="20"/>
    </w:rPr>
  </w:style>
  <w:style w:type="character" w:customStyle="1" w:styleId="105">
    <w:name w:val="批注框文本 字符"/>
    <w:qFormat/>
    <w:uiPriority w:val="99"/>
    <w:rPr>
      <w:rFonts w:ascii="Calibri" w:hAnsi="Calibri" w:eastAsia="宋体" w:cs="Times New Roman"/>
      <w:sz w:val="18"/>
      <w:szCs w:val="18"/>
    </w:rPr>
  </w:style>
  <w:style w:type="character" w:customStyle="1" w:styleId="106">
    <w:name w:val="批注框文本 字符1"/>
    <w:link w:val="24"/>
    <w:qFormat/>
    <w:uiPriority w:val="0"/>
    <w:rPr>
      <w:rFonts w:ascii="Times New Roman" w:hAnsi="Times New Roman" w:eastAsia="宋体" w:cs="Times New Roman"/>
      <w:sz w:val="18"/>
      <w:szCs w:val="18"/>
    </w:rPr>
  </w:style>
  <w:style w:type="character" w:customStyle="1" w:styleId="107">
    <w:name w:val="批注文字 字符"/>
    <w:qFormat/>
    <w:uiPriority w:val="99"/>
    <w:rPr>
      <w:rFonts w:ascii="Calibri" w:hAnsi="Calibri" w:eastAsia="宋体" w:cs="Times New Roman"/>
    </w:rPr>
  </w:style>
  <w:style w:type="character" w:customStyle="1" w:styleId="108">
    <w:name w:val="批注文字 字符1"/>
    <w:link w:val="17"/>
    <w:qFormat/>
    <w:uiPriority w:val="0"/>
    <w:rPr>
      <w:rFonts w:ascii="宋体" w:hAnsi="宋体" w:eastAsia="宋体" w:cs="Times New Roman"/>
      <w:sz w:val="24"/>
      <w:szCs w:val="24"/>
    </w:rPr>
  </w:style>
  <w:style w:type="character" w:customStyle="1" w:styleId="109">
    <w:name w:val="脚注文本 字符"/>
    <w:qFormat/>
    <w:uiPriority w:val="99"/>
    <w:rPr>
      <w:rFonts w:ascii="Calibri" w:hAnsi="Calibri" w:eastAsia="宋体" w:cs="Times New Roman"/>
      <w:sz w:val="18"/>
      <w:szCs w:val="18"/>
    </w:rPr>
  </w:style>
  <w:style w:type="character" w:customStyle="1" w:styleId="110">
    <w:name w:val="脚注文本 字符1"/>
    <w:link w:val="28"/>
    <w:qFormat/>
    <w:uiPriority w:val="0"/>
    <w:rPr>
      <w:rFonts w:ascii="宋体" w:hAnsi="宋体" w:eastAsia="宋体" w:cs="Times New Roman"/>
      <w:sz w:val="18"/>
      <w:szCs w:val="18"/>
    </w:rPr>
  </w:style>
  <w:style w:type="character" w:customStyle="1" w:styleId="111">
    <w:name w:val="批注主题 字符"/>
    <w:qFormat/>
    <w:uiPriority w:val="99"/>
    <w:rPr>
      <w:rFonts w:ascii="Calibri" w:hAnsi="Calibri" w:eastAsia="宋体" w:cs="Times New Roman"/>
      <w:b/>
      <w:bCs/>
    </w:rPr>
  </w:style>
  <w:style w:type="character" w:customStyle="1" w:styleId="112">
    <w:name w:val="批注主题 字符1"/>
    <w:link w:val="34"/>
    <w:qFormat/>
    <w:uiPriority w:val="0"/>
    <w:rPr>
      <w:rFonts w:ascii="宋体" w:hAnsi="宋体" w:eastAsia="宋体" w:cs="Times New Roman"/>
      <w:b/>
      <w:bCs/>
      <w:sz w:val="24"/>
      <w:szCs w:val="24"/>
    </w:rPr>
  </w:style>
  <w:style w:type="character" w:customStyle="1" w:styleId="113">
    <w:name w:val="16"/>
    <w:qFormat/>
    <w:uiPriority w:val="0"/>
    <w:rPr>
      <w:rFonts w:hint="eastAsia" w:ascii="仿宋" w:hAnsi="仿宋" w:eastAsia="仿宋" w:cs="仿宋"/>
      <w:color w:val="000000"/>
      <w:sz w:val="28"/>
      <w:szCs w:val="28"/>
    </w:rPr>
  </w:style>
  <w:style w:type="character" w:customStyle="1" w:styleId="114">
    <w:name w:val="15"/>
    <w:qFormat/>
    <w:uiPriority w:val="0"/>
    <w:rPr>
      <w:rFonts w:hint="eastAsia" w:ascii="仿宋" w:hAnsi="仿宋" w:eastAsia="仿宋" w:cs="仿宋"/>
      <w:b/>
      <w:color w:val="000000"/>
      <w:sz w:val="28"/>
      <w:szCs w:val="28"/>
    </w:rPr>
  </w:style>
  <w:style w:type="paragraph" w:customStyle="1" w:styleId="115">
    <w:name w:val="修订2"/>
    <w:hidden/>
    <w:semiHidden/>
    <w:qFormat/>
    <w:uiPriority w:val="99"/>
    <w:rPr>
      <w:rFonts w:ascii="Calibri" w:hAnsi="Calibri" w:eastAsia="宋体" w:cs="Times New Roman"/>
      <w:kern w:val="2"/>
      <w:sz w:val="21"/>
      <w:szCs w:val="22"/>
      <w:lang w:val="en-US" w:eastAsia="zh-CN" w:bidi="ar-SA"/>
    </w:rPr>
  </w:style>
  <w:style w:type="paragraph" w:customStyle="1" w:styleId="116">
    <w:name w:val="修订3"/>
    <w:hidden/>
    <w:semiHidden/>
    <w:qFormat/>
    <w:uiPriority w:val="99"/>
    <w:rPr>
      <w:rFonts w:ascii="Calibri" w:hAnsi="Calibri" w:eastAsia="宋体" w:cs="Times New Roman"/>
      <w:kern w:val="2"/>
      <w:sz w:val="21"/>
      <w:szCs w:val="22"/>
      <w:lang w:val="en-US" w:eastAsia="zh-CN" w:bidi="ar-SA"/>
    </w:rPr>
  </w:style>
  <w:style w:type="character" w:customStyle="1" w:styleId="117">
    <w:name w:val="NormalCharacter"/>
    <w:qFormat/>
    <w:uiPriority w:val="0"/>
  </w:style>
  <w:style w:type="character" w:customStyle="1" w:styleId="118">
    <w:name w:val="标题 1 字符2"/>
    <w:link w:val="3"/>
    <w:qFormat/>
    <w:uiPriority w:val="0"/>
    <w:rPr>
      <w:rFonts w:ascii="Arial" w:hAnsi="Arial" w:eastAsia="宋体"/>
      <w:b/>
      <w:kern w:val="44"/>
      <w:sz w:val="28"/>
      <w:szCs w:val="28"/>
    </w:rPr>
  </w:style>
  <w:style w:type="character" w:customStyle="1" w:styleId="119">
    <w:name w:val="font51"/>
    <w:basedOn w:val="38"/>
    <w:qFormat/>
    <w:uiPriority w:val="0"/>
    <w:rPr>
      <w:rFonts w:hint="default" w:ascii="Times New Roman" w:hAnsi="Times New Roman" w:cs="Times New Roman"/>
      <w:color w:val="000000"/>
      <w:sz w:val="24"/>
      <w:szCs w:val="24"/>
      <w:u w:val="none"/>
    </w:rPr>
  </w:style>
  <w:style w:type="character" w:customStyle="1" w:styleId="120">
    <w:name w:val="font61"/>
    <w:basedOn w:val="38"/>
    <w:qFormat/>
    <w:uiPriority w:val="0"/>
    <w:rPr>
      <w:rFonts w:hint="eastAsia" w:ascii="宋体" w:hAnsi="宋体" w:eastAsia="宋体" w:cs="宋体"/>
      <w:color w:val="000000"/>
      <w:sz w:val="24"/>
      <w:szCs w:val="24"/>
      <w:u w:val="none"/>
    </w:rPr>
  </w:style>
  <w:style w:type="paragraph" w:customStyle="1" w:styleId="121">
    <w:name w:val="Other|1"/>
    <w:basedOn w:val="1"/>
    <w:qFormat/>
    <w:uiPriority w:val="0"/>
    <w:pPr>
      <w:spacing w:line="228" w:lineRule="exact"/>
    </w:pPr>
    <w:rPr>
      <w:rFonts w:ascii="宋体" w:hAnsi="宋体" w:cs="宋体"/>
      <w:sz w:val="17"/>
      <w:szCs w:val="17"/>
      <w:lang w:val="zh-TW" w:eastAsia="zh-TW" w:bidi="zh-TW"/>
    </w:rPr>
  </w:style>
  <w:style w:type="paragraph" w:customStyle="1" w:styleId="12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BodyText"/>
    <w:basedOn w:val="1"/>
    <w:qFormat/>
    <w:uiPriority w:val="0"/>
    <w:pPr>
      <w:spacing w:after="120"/>
    </w:pPr>
    <w:rPr>
      <w:kern w:val="0"/>
      <w:sz w:val="20"/>
      <w:szCs w:val="20"/>
    </w:rPr>
  </w:style>
  <w:style w:type="paragraph" w:customStyle="1" w:styleId="124">
    <w:name w:val="修订4"/>
    <w:hidden/>
    <w:unhideWhenUsed/>
    <w:qFormat/>
    <w:uiPriority w:val="99"/>
    <w:rPr>
      <w:rFonts w:ascii="Calibri" w:hAnsi="Calibri" w:eastAsia="宋体" w:cs="Times New Roman"/>
      <w:kern w:val="2"/>
      <w:sz w:val="21"/>
      <w:szCs w:val="22"/>
      <w:lang w:val="en-US" w:eastAsia="zh-CN" w:bidi="ar-SA"/>
    </w:rPr>
  </w:style>
  <w:style w:type="paragraph" w:styleId="125">
    <w:name w:val="List Paragraph"/>
    <w:basedOn w:val="1"/>
    <w:unhideWhenUsed/>
    <w:qFormat/>
    <w:uiPriority w:val="99"/>
    <w:pPr>
      <w:ind w:firstLine="420" w:firstLineChars="200"/>
    </w:pPr>
  </w:style>
  <w:style w:type="paragraph" w:customStyle="1" w:styleId="126">
    <w:name w:val="修订5"/>
    <w:hidden/>
    <w:unhideWhenUsed/>
    <w:qFormat/>
    <w:uiPriority w:val="99"/>
    <w:rPr>
      <w:rFonts w:ascii="Calibri" w:hAnsi="Calibri" w:eastAsia="宋体" w:cs="Times New Roman"/>
      <w:kern w:val="2"/>
      <w:sz w:val="21"/>
      <w:szCs w:val="22"/>
      <w:lang w:val="en-US" w:eastAsia="zh-CN" w:bidi="ar-SA"/>
    </w:rPr>
  </w:style>
  <w:style w:type="paragraph" w:customStyle="1" w:styleId="127">
    <w:name w:val="修订6"/>
    <w:hidden/>
    <w:unhideWhenUsed/>
    <w:qFormat/>
    <w:uiPriority w:val="99"/>
    <w:rPr>
      <w:rFonts w:ascii="Calibri" w:hAnsi="Calibri" w:eastAsia="宋体" w:cs="Times New Roman"/>
      <w:kern w:val="2"/>
      <w:sz w:val="21"/>
      <w:szCs w:val="22"/>
      <w:lang w:val="en-US" w:eastAsia="zh-CN" w:bidi="ar-SA"/>
    </w:rPr>
  </w:style>
  <w:style w:type="paragraph" w:customStyle="1" w:styleId="128">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1D822-3710-46E5-B689-AF80AA28AEC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39966</Words>
  <Characters>42465</Characters>
  <Lines>336</Lines>
  <Paragraphs>94</Paragraphs>
  <TotalTime>278</TotalTime>
  <ScaleCrop>false</ScaleCrop>
  <LinksUpToDate>false</LinksUpToDate>
  <CharactersWithSpaces>45078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2023-07-14T03:06:00Z</dcterms:created>
  <dc:creator>zyys</dc:creator>
  <cp:lastModifiedBy>刘涛</cp:lastModifiedBy>
  <cp:lastPrinted>2022-12-01T06:38:00Z</cp:lastPrinted>
  <dcterms:modified xsi:type="dcterms:W3CDTF">2023-07-18T08:40:55Z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ECE15A2CEDFC4F4592DA432B70C97B15_13</vt:lpwstr>
  </property>
</Properties>
</file>