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hint="eastAsia" w:ascii="Times New Roman" w:eastAsia="宋体"/>
          <w:color w:val="auto"/>
          <w:sz w:val="20"/>
          <w:highlight w:val="none"/>
          <w:lang w:eastAsia="zh-CN"/>
        </w:rPr>
      </w:pPr>
      <w:r>
        <w:rPr>
          <w:rFonts w:hint="eastAsia" w:ascii="Times New Roman" w:eastAsia="宋体"/>
          <w:color w:val="auto"/>
          <w:sz w:val="20"/>
          <w:highlight w:val="none"/>
          <w:lang w:eastAsia="zh-CN"/>
        </w:rPr>
        <w:drawing>
          <wp:inline distT="0" distB="0" distL="114300" distR="114300">
            <wp:extent cx="6297930" cy="8906510"/>
            <wp:effectExtent l="0" t="0" r="7620" b="8890"/>
            <wp:docPr id="12" name="图片 12" descr="招标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招标文件封面_00"/>
                    <pic:cNvPicPr>
                      <a:picLocks noChangeAspect="1"/>
                    </pic:cNvPicPr>
                  </pic:nvPicPr>
                  <pic:blipFill>
                    <a:blip r:embed="rId22"/>
                    <a:stretch>
                      <a:fillRect/>
                    </a:stretch>
                  </pic:blipFill>
                  <pic:spPr>
                    <a:xfrm>
                      <a:off x="0" y="0"/>
                      <a:ext cx="6297930" cy="8906510"/>
                    </a:xfrm>
                    <a:prstGeom prst="rect">
                      <a:avLst/>
                    </a:prstGeom>
                  </pic:spPr>
                </pic:pic>
              </a:graphicData>
            </a:graphic>
          </wp:inline>
        </w:drawing>
      </w:r>
    </w:p>
    <w:p>
      <w:pPr>
        <w:rPr>
          <w:color w:val="auto"/>
          <w:highlight w:val="none"/>
        </w:rPr>
      </w:pPr>
    </w:p>
    <w:p>
      <w:pPr>
        <w:pStyle w:val="13"/>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imes New Roman"/>
          <w:color w:val="auto"/>
          <w:sz w:val="20"/>
          <w:highlight w:val="none"/>
        </w:rPr>
      </w:pPr>
    </w:p>
    <w:p>
      <w:pPr>
        <w:pStyle w:val="13"/>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imes New Roman"/>
          <w:color w:val="auto"/>
          <w:sz w:val="20"/>
          <w:highlight w:val="none"/>
        </w:rPr>
      </w:pPr>
    </w:p>
    <w:p>
      <w:pPr>
        <w:pStyle w:val="13"/>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imes New Roman"/>
          <w:color w:val="auto"/>
          <w:sz w:val="20"/>
          <w:highlight w:val="none"/>
        </w:rPr>
      </w:pPr>
    </w:p>
    <w:p>
      <w:pPr>
        <w:pStyle w:val="13"/>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imes New Roman"/>
          <w:color w:val="auto"/>
          <w:sz w:val="20"/>
          <w:highlight w:val="none"/>
        </w:rPr>
      </w:pPr>
    </w:p>
    <w:p>
      <w:pPr>
        <w:pStyle w:val="13"/>
        <w:keepNext w:val="0"/>
        <w:keepLines w:val="0"/>
        <w:pageBreakBefore w:val="0"/>
        <w:widowControl w:val="0"/>
        <w:kinsoku/>
        <w:wordWrap/>
        <w:overflowPunct/>
        <w:topLinePunct w:val="0"/>
        <w:autoSpaceDE w:val="0"/>
        <w:autoSpaceDN w:val="0"/>
        <w:bidi w:val="0"/>
        <w:adjustRightInd/>
        <w:snapToGrid/>
        <w:spacing w:before="9" w:line="360" w:lineRule="auto"/>
        <w:ind w:left="0"/>
        <w:textAlignment w:val="auto"/>
        <w:rPr>
          <w:rFonts w:ascii="Times New Roman"/>
          <w:color w:val="auto"/>
          <w:sz w:val="16"/>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color w:val="auto"/>
          <w:sz w:val="20"/>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color w:val="auto"/>
          <w:sz w:val="20"/>
          <w:highlight w:val="none"/>
        </w:rPr>
      </w:pPr>
    </w:p>
    <w:sdt>
      <w:sdtPr>
        <w:rPr>
          <w:rFonts w:ascii="宋体" w:hAnsi="宋体" w:eastAsia="宋体" w:cs="宋体"/>
          <w:color w:val="auto"/>
          <w:sz w:val="21"/>
          <w:szCs w:val="22"/>
          <w:highlight w:val="none"/>
          <w:lang w:val="zh-CN" w:eastAsia="zh-CN" w:bidi="zh-CN"/>
        </w:rPr>
        <w:id w:val="147460983"/>
        <w15:color w:val="DBDBDB"/>
        <w:docPartObj>
          <w:docPartGallery w:val="Table of Contents"/>
          <w:docPartUnique/>
        </w:docPartObj>
      </w:sdtPr>
      <w:sdtEndPr>
        <w:rPr>
          <w:rFonts w:hint="eastAsia" w:ascii="宋体" w:hAnsi="宋体" w:eastAsia="宋体" w:cs="宋体"/>
          <w:color w:val="auto"/>
          <w:sz w:val="24"/>
          <w:szCs w:val="24"/>
          <w:highlight w:val="none"/>
          <w:lang w:val="zh-CN" w:eastAsia="zh-CN" w:bidi="zh-CN"/>
        </w:rPr>
      </w:sdtEndPr>
      <w:sdtContent>
        <w:p>
          <w:pPr>
            <w:keepNext w:val="0"/>
            <w:keepLines w:val="0"/>
            <w:pageBreakBefore w:val="0"/>
            <w:kinsoku/>
            <w:wordWrap/>
            <w:overflowPunct/>
            <w:topLinePunct w:val="0"/>
            <w:bidi w:val="0"/>
            <w:adjustRightInd/>
            <w:snapToGrid/>
            <w:spacing w:before="0" w:beforeLines="0" w:after="0" w:afterLines="0" w:line="46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b/>
              <w:bCs/>
              <w:color w:val="auto"/>
              <w:sz w:val="28"/>
              <w:szCs w:val="28"/>
              <w:highlight w:val="none"/>
              <w:u w:val="single"/>
              <w:lang w:eastAsia="zh-CN"/>
            </w:rPr>
            <w:t>目录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p>
        <w:p>
          <w:pPr>
            <w:pStyle w:val="32"/>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一、投标须知前附表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二、投标须知修改表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三、投标须知通用条款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_Toc32481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（一</w:t>
          </w:r>
          <w:r>
            <w:rPr>
              <w:rFonts w:hint="eastAsia" w:ascii="宋体" w:hAnsi="宋体" w:eastAsia="宋体" w:cs="宋体"/>
              <w:bCs/>
              <w:color w:val="auto"/>
              <w:spacing w:val="-3"/>
              <w:sz w:val="24"/>
              <w:szCs w:val="24"/>
              <w:highlight w:val="none"/>
            </w:rPr>
            <w:t>）</w:t>
          </w:r>
          <w:r>
            <w:rPr>
              <w:rFonts w:hint="eastAsia" w:ascii="宋体" w:hAnsi="宋体" w:eastAsia="宋体" w:cs="宋体"/>
              <w:bCs/>
              <w:color w:val="auto"/>
              <w:spacing w:val="-2"/>
              <w:sz w:val="24"/>
              <w:szCs w:val="24"/>
              <w:highlight w:val="none"/>
            </w:rPr>
            <w:t>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_Toc27534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（二）招标文件</w:t>
          </w:r>
          <w:bookmarkStart w:id="44" w:name="_GoBack"/>
          <w:bookmarkEnd w:id="44"/>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（四）投标文件的提交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4"/>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（五）开标、评标、定标及合同签定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rPr>
            <w:t xml:space="preserve">第二章  </w:t>
          </w:r>
          <w:r>
            <w:rPr>
              <w:rFonts w:hint="eastAsia" w:ascii="宋体" w:hAnsi="宋体" w:eastAsia="宋体" w:cs="宋体"/>
              <w:bCs/>
              <w:color w:val="auto"/>
              <w:sz w:val="24"/>
              <w:szCs w:val="24"/>
              <w:highlight w:val="none"/>
            </w:rPr>
            <w:t>开标、评标及</w:t>
          </w:r>
          <w:r>
            <w:rPr>
              <w:rFonts w:hint="eastAsia" w:ascii="宋体" w:hAnsi="宋体" w:eastAsia="宋体" w:cs="宋体"/>
              <w:color w:val="auto"/>
              <w:sz w:val="24"/>
              <w:szCs w:val="24"/>
              <w:highlight w:val="none"/>
            </w:rPr>
            <w:t>定标办法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_Toc8808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_Toc27949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一、开标、评标及定标办法修改</w:t>
          </w:r>
          <w:r>
            <w:rPr>
              <w:rFonts w:hint="eastAsia" w:ascii="宋体" w:hAnsi="宋体" w:eastAsia="宋体" w:cs="宋体"/>
              <w:color w:val="auto"/>
              <w:spacing w:val="-17"/>
              <w:sz w:val="24"/>
              <w:szCs w:val="24"/>
              <w:highlight w:val="none"/>
            </w:rPr>
            <w:t>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_Toc27949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keepNext w:val="0"/>
            <w:keepLines w:val="0"/>
            <w:pageBreakBefore w:val="0"/>
            <w:tabs>
              <w:tab w:val="right" w:leader="dot" w:pos="9927"/>
            </w:tabs>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_Toc24319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二、开标、评标及定标办法通用条款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_Toc24319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keepNext w:val="0"/>
            <w:keepLines w:val="0"/>
            <w:pageBreakBefore w:val="0"/>
            <w:tabs>
              <w:tab w:val="right" w:leader="dot" w:pos="9927"/>
            </w:tabs>
            <w:kinsoku/>
            <w:wordWrap/>
            <w:overflowPunct/>
            <w:topLinePunct w:val="0"/>
            <w:bidi w:val="0"/>
            <w:adjustRightInd/>
            <w:snapToGrid/>
            <w:spacing w:line="4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bidi="zh-CN"/>
            </w:rPr>
            <w:t>第三章  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keepNext w:val="0"/>
            <w:keepLines w:val="0"/>
            <w:pageBreakBefore w:val="0"/>
            <w:tabs>
              <w:tab w:val="right" w:leader="dot" w:pos="9927"/>
            </w:tabs>
            <w:kinsoku/>
            <w:wordWrap/>
            <w:overflowPunct/>
            <w:topLinePunct w:val="0"/>
            <w:bidi w:val="0"/>
            <w:adjustRightInd/>
            <w:snapToGrid/>
            <w:spacing w:line="4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lang w:val="en-US" w:eastAsia="zh-CN" w:bidi="zh-CN"/>
            </w:rPr>
            <w:t>第四章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_Toc27310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keepNext w:val="0"/>
            <w:keepLines w:val="0"/>
            <w:pageBreakBefore w:val="0"/>
            <w:tabs>
              <w:tab w:val="right" w:leader="dot" w:pos="9927"/>
            </w:tabs>
            <w:kinsoku/>
            <w:wordWrap/>
            <w:overflowPunct/>
            <w:topLinePunct w:val="0"/>
            <w:bidi w:val="0"/>
            <w:adjustRightInd/>
            <w:snapToGrid/>
            <w:spacing w:line="4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技术条件（工程建设标准）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keepNext w:val="0"/>
            <w:keepLines w:val="0"/>
            <w:pageBreakBefore w:val="0"/>
            <w:tabs>
              <w:tab w:val="right" w:leader="dot" w:pos="9927"/>
            </w:tabs>
            <w:kinsoku/>
            <w:wordWrap/>
            <w:overflowPunct/>
            <w:topLinePunct w:val="0"/>
            <w:bidi w:val="0"/>
            <w:adjustRightInd/>
            <w:snapToGrid/>
            <w:spacing w:line="4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图纸及勘察资料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keepNext w:val="0"/>
            <w:keepLines w:val="0"/>
            <w:pageBreakBefore w:val="0"/>
            <w:tabs>
              <w:tab w:val="right" w:leader="dot" w:pos="9927"/>
            </w:tabs>
            <w:kinsoku/>
            <w:wordWrap/>
            <w:overflowPunct/>
            <w:topLinePunct w:val="0"/>
            <w:bidi w:val="0"/>
            <w:adjustRightInd/>
            <w:snapToGrid/>
            <w:spacing w:line="4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_Toc16707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工程量清单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_Toc16707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3"/>
            <w:keepNext w:val="0"/>
            <w:keepLines w:val="0"/>
            <w:pageBreakBefore w:val="0"/>
            <w:tabs>
              <w:tab w:val="right" w:leader="dot" w:pos="9927"/>
            </w:tabs>
            <w:kinsoku/>
            <w:wordWrap/>
            <w:overflowPunct/>
            <w:topLinePunct w:val="0"/>
            <w:bidi w:val="0"/>
            <w:adjustRightInd/>
            <w:snapToGrid/>
            <w:spacing w:line="46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_Toc19246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最高投标限价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_Toc19246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keepNext w:val="0"/>
            <w:keepLines w:val="0"/>
            <w:pageBreakBefore w:val="0"/>
            <w:kinsoku/>
            <w:wordWrap/>
            <w:overflowPunct/>
            <w:topLinePunct w:val="0"/>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bidi w:val="0"/>
        <w:adjustRightInd/>
        <w:spacing w:after="0" w:line="360" w:lineRule="auto"/>
        <w:jc w:val="right"/>
        <w:textAlignment w:val="auto"/>
        <w:rPr>
          <w:color w:val="auto"/>
          <w:highlight w:val="none"/>
        </w:rPr>
        <w:sectPr>
          <w:headerReference r:id="rId5" w:type="default"/>
          <w:footerReference r:id="rId6" w:type="default"/>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tabs>
          <w:tab w:val="left" w:pos="1125"/>
        </w:tabs>
        <w:kinsoku/>
        <w:wordWrap/>
        <w:overflowPunct/>
        <w:topLinePunct w:val="0"/>
        <w:autoSpaceDE w:val="0"/>
        <w:autoSpaceDN w:val="0"/>
        <w:bidi w:val="0"/>
        <w:adjustRightInd/>
        <w:snapToGrid/>
        <w:spacing w:before="0" w:beforeLines="50" w:after="0" w:afterLines="50" w:line="360" w:lineRule="auto"/>
        <w:ind w:left="0" w:right="0"/>
        <w:jc w:val="center"/>
        <w:textAlignment w:val="auto"/>
        <w:outlineLvl w:val="0"/>
        <w:rPr>
          <w:rFonts w:hint="eastAsia" w:ascii="宋体" w:hAnsi="宋体" w:eastAsia="宋体" w:cs="宋体"/>
          <w:b/>
          <w:bCs/>
          <w:color w:val="auto"/>
          <w:sz w:val="32"/>
          <w:szCs w:val="32"/>
          <w:highlight w:val="none"/>
        </w:rPr>
      </w:pPr>
      <w:bookmarkStart w:id="0" w:name="_bookmark0"/>
      <w:bookmarkEnd w:id="0"/>
      <w:bookmarkStart w:id="1" w:name="_Toc1028"/>
      <w:r>
        <w:rPr>
          <w:rFonts w:hint="eastAsia" w:ascii="宋体" w:hAnsi="宋体" w:eastAsia="宋体" w:cs="宋体"/>
          <w:b/>
          <w:bCs/>
          <w:color w:val="auto"/>
          <w:sz w:val="32"/>
          <w:szCs w:val="32"/>
          <w:highlight w:val="none"/>
        </w:rPr>
        <w:t>第一章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投标须知</w:t>
      </w:r>
      <w:bookmarkEnd w:id="1"/>
    </w:p>
    <w:p>
      <w:pPr>
        <w:pStyle w:val="13"/>
        <w:keepNext w:val="0"/>
        <w:keepLines w:val="0"/>
        <w:pageBreakBefore w:val="0"/>
        <w:widowControl w:val="0"/>
        <w:kinsoku/>
        <w:wordWrap/>
        <w:overflowPunct/>
        <w:topLinePunct w:val="0"/>
        <w:bidi w:val="0"/>
        <w:adjustRightInd/>
        <w:spacing w:before="9" w:line="360" w:lineRule="auto"/>
        <w:ind w:left="0"/>
        <w:textAlignment w:val="auto"/>
        <w:rPr>
          <w:b/>
          <w:color w:val="auto"/>
          <w:sz w:val="28"/>
          <w:highlight w:val="none"/>
        </w:r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outlineLvl w:val="1"/>
        <w:rPr>
          <w:color w:val="auto"/>
          <w:sz w:val="28"/>
          <w:szCs w:val="28"/>
          <w:highlight w:val="none"/>
        </w:rPr>
      </w:pPr>
      <w:bookmarkStart w:id="2" w:name="_Toc11440"/>
      <w:r>
        <w:rPr>
          <w:color w:val="auto"/>
          <w:sz w:val="28"/>
          <w:szCs w:val="28"/>
          <w:highlight w:val="none"/>
        </w:rPr>
        <w:t>一、投标须知前附表</w:t>
      </w:r>
      <w:bookmarkEnd w:id="2"/>
    </w:p>
    <w:p>
      <w:pPr>
        <w:pStyle w:val="13"/>
        <w:keepNext w:val="0"/>
        <w:keepLines w:val="0"/>
        <w:pageBreakBefore w:val="0"/>
        <w:widowControl w:val="0"/>
        <w:kinsoku/>
        <w:wordWrap/>
        <w:overflowPunct/>
        <w:topLinePunct w:val="0"/>
        <w:bidi w:val="0"/>
        <w:adjustRightInd/>
        <w:spacing w:before="9" w:line="360" w:lineRule="auto"/>
        <w:ind w:left="0"/>
        <w:textAlignment w:val="auto"/>
        <w:rPr>
          <w:b/>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b/>
          <w:color w:val="auto"/>
          <w:sz w:val="24"/>
          <w:szCs w:val="24"/>
          <w:highlight w:val="none"/>
        </w:rPr>
      </w:pPr>
      <w:r>
        <w:rPr>
          <w:b/>
          <w:color w:val="auto"/>
          <w:spacing w:val="-4"/>
          <w:sz w:val="24"/>
          <w:szCs w:val="24"/>
          <w:highlight w:val="none"/>
        </w:rPr>
        <w:t>声明：本投标须知前附表使用</w:t>
      </w:r>
      <w:r>
        <w:rPr>
          <w:b/>
          <w:color w:val="auto"/>
          <w:sz w:val="24"/>
          <w:szCs w:val="24"/>
          <w:highlight w:val="none"/>
        </w:rPr>
        <w:t>GZZB2018-3</w:t>
      </w:r>
      <w:r>
        <w:rPr>
          <w:b/>
          <w:color w:val="auto"/>
          <w:spacing w:val="-9"/>
          <w:sz w:val="24"/>
          <w:szCs w:val="24"/>
          <w:highlight w:val="none"/>
        </w:rPr>
        <w:t>招标文件范本，与范本不同之处均以下划线标明，所有标明下划线部分属于本表的组成部分，同其他部分具有同样的效力。对范本</w:t>
      </w:r>
      <w:r>
        <w:rPr>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page">
                  <wp:posOffset>900430</wp:posOffset>
                </wp:positionH>
                <wp:positionV relativeFrom="paragraph">
                  <wp:posOffset>544195</wp:posOffset>
                </wp:positionV>
                <wp:extent cx="18415" cy="20320"/>
                <wp:effectExtent l="0" t="0" r="12065" b="2540"/>
                <wp:wrapNone/>
                <wp:docPr id="8" name="任意多边形 2"/>
                <wp:cNvGraphicFramePr/>
                <a:graphic xmlns:a="http://schemas.openxmlformats.org/drawingml/2006/main">
                  <a:graphicData uri="http://schemas.microsoft.com/office/word/2010/wordprocessingShape">
                    <wps:wsp>
                      <wps:cNvSpPr/>
                      <wps:spPr>
                        <a:xfrm>
                          <a:off x="0" y="0"/>
                          <a:ext cx="18415" cy="20320"/>
                        </a:xfrm>
                        <a:custGeom>
                          <a:avLst/>
                          <a:gdLst/>
                          <a:ahLst/>
                          <a:cxnLst/>
                          <a:pathLst>
                            <a:path w="29" h="32">
                              <a:moveTo>
                                <a:pt x="29" y="0"/>
                              </a:moveTo>
                              <a:lnTo>
                                <a:pt x="0" y="0"/>
                              </a:lnTo>
                              <a:lnTo>
                                <a:pt x="0" y="9"/>
                              </a:lnTo>
                              <a:lnTo>
                                <a:pt x="0" y="31"/>
                              </a:lnTo>
                              <a:lnTo>
                                <a:pt x="9" y="31"/>
                              </a:lnTo>
                              <a:lnTo>
                                <a:pt x="9" y="9"/>
                              </a:lnTo>
                              <a:lnTo>
                                <a:pt x="29" y="9"/>
                              </a:lnTo>
                              <a:lnTo>
                                <a:pt x="29" y="0"/>
                              </a:lnTo>
                            </a:path>
                          </a:pathLst>
                        </a:custGeom>
                        <a:solidFill>
                          <a:srgbClr val="000000"/>
                        </a:solidFill>
                        <a:ln>
                          <a:noFill/>
                        </a:ln>
                      </wps:spPr>
                      <wps:bodyPr upright="1"/>
                    </wps:wsp>
                  </a:graphicData>
                </a:graphic>
              </wp:anchor>
            </w:drawing>
          </mc:Choice>
          <mc:Fallback>
            <w:pict>
              <v:shape id="任意多边形 2" o:spid="_x0000_s1026" o:spt="100" style="position:absolute;left:0pt;margin-left:70.9pt;margin-top:42.85pt;height:1.6pt;width:1.45pt;mso-position-horizontal-relative:page;z-index:251669504;mso-width-relative:page;mso-height-relative:page;" fillcolor="#000000" filled="t" stroked="f" coordsize="29,32" o:gfxdata="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jg2wzYAAAACQEAAA8A&#10;AAAAAAAAAQAgAAAAIgAAAGRycy9kb3ducmV2LnhtbFBLAQIUABQAAAAIAIdO4kCETTvTFwIAANcE&#10;AAAOAAAAAAAAAAEAIAAAACcBAABkcnMvZTJvRG9jLnhtbFBLBQYAAAAABgAGAFkBAACwBQAAAAA=&#10;" path="m29,0l0,0,0,9,0,31,9,31,9,9,29,9,29,0e">
                <v:fill on="t" focussize="0,0"/>
                <v:stroke on="f"/>
                <v:imagedata o:title=""/>
                <o:lock v:ext="edit" aspectratio="f"/>
              </v:shape>
            </w:pict>
          </mc:Fallback>
        </mc:AlternateContent>
      </w:r>
      <w:r>
        <w:rPr>
          <w:b/>
          <w:color w:val="auto"/>
          <w:sz w:val="24"/>
          <w:szCs w:val="24"/>
          <w:highlight w:val="none"/>
        </w:rPr>
        <w:t>《投标须知通用条款》和《开标、评标和定标办法通用条款》可选择部分的选择使用，均已在本表中注明，通用条款可选择部分中未被本投标须知前附表选择的部分无效。</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066"/>
        <w:gridCol w:w="1003"/>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578"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rPr>
              <w:t>项目</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rPr>
              <w:t>条款号</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rPr>
              <w:t>内容</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1</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1</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定义</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w w:val="100"/>
                <w:sz w:val="21"/>
                <w:szCs w:val="21"/>
                <w:highlight w:val="none"/>
                <w:u w:val="single"/>
                <w:lang w:val="en-US" w:eastAsia="zh-CN" w:bidi="zh-CN"/>
              </w:rPr>
            </w:pPr>
            <w:r>
              <w:rPr>
                <w:rFonts w:hint="eastAsia" w:ascii="宋体" w:hAnsi="宋体" w:eastAsia="宋体" w:cs="宋体"/>
                <w:color w:val="auto"/>
                <w:spacing w:val="-1"/>
                <w:w w:val="100"/>
                <w:sz w:val="21"/>
                <w:szCs w:val="21"/>
                <w:highlight w:val="none"/>
                <w:lang w:val="zh-CN" w:eastAsia="zh-CN" w:bidi="zh-CN"/>
              </w:rPr>
              <w:t>招标人</w:t>
            </w:r>
            <w:r>
              <w:rPr>
                <w:rFonts w:hint="eastAsia" w:ascii="宋体" w:hAnsi="宋体" w:eastAsia="宋体" w:cs="宋体"/>
                <w:color w:val="auto"/>
                <w:w w:val="100"/>
                <w:sz w:val="21"/>
                <w:szCs w:val="21"/>
                <w:highlight w:val="none"/>
                <w:lang w:val="zh-CN" w:eastAsia="zh-CN" w:bidi="zh-CN"/>
              </w:rPr>
              <w:t>（</w:t>
            </w:r>
            <w:r>
              <w:rPr>
                <w:rFonts w:hint="eastAsia" w:ascii="宋体" w:hAnsi="宋体" w:eastAsia="宋体" w:cs="宋体"/>
                <w:color w:val="auto"/>
                <w:spacing w:val="-3"/>
                <w:w w:val="100"/>
                <w:sz w:val="21"/>
                <w:szCs w:val="21"/>
                <w:highlight w:val="none"/>
                <w:lang w:val="zh-CN" w:eastAsia="zh-CN" w:bidi="zh-CN"/>
              </w:rPr>
              <w:t>即发包人</w:t>
            </w:r>
            <w:r>
              <w:rPr>
                <w:rFonts w:hint="eastAsia" w:ascii="宋体" w:hAnsi="宋体" w:eastAsia="宋体" w:cs="宋体"/>
                <w:color w:val="auto"/>
                <w:spacing w:val="-108"/>
                <w:w w:val="100"/>
                <w:sz w:val="21"/>
                <w:szCs w:val="21"/>
                <w:highlight w:val="none"/>
                <w:lang w:val="zh-CN" w:eastAsia="zh-CN" w:bidi="zh-CN"/>
              </w:rPr>
              <w:t>）</w:t>
            </w:r>
            <w:r>
              <w:rPr>
                <w:rFonts w:hint="eastAsia" w:ascii="宋体" w:hAnsi="宋体" w:eastAsia="宋体" w:cs="宋体"/>
                <w:color w:val="auto"/>
                <w:w w:val="100"/>
                <w:sz w:val="21"/>
                <w:szCs w:val="21"/>
                <w:highlight w:val="none"/>
                <w:lang w:val="zh-CN" w:eastAsia="zh-CN" w:bidi="zh-CN"/>
              </w:rPr>
              <w:t>：</w:t>
            </w:r>
            <w:r>
              <w:rPr>
                <w:rFonts w:hint="eastAsia" w:ascii="宋体" w:hAnsi="宋体" w:eastAsia="宋体" w:cs="宋体"/>
                <w:color w:val="auto"/>
                <w:w w:val="100"/>
                <w:sz w:val="21"/>
                <w:szCs w:val="21"/>
                <w:highlight w:val="none"/>
                <w:u w:val="single"/>
                <w:lang w:val="en-US" w:eastAsia="zh-CN" w:bidi="zh-CN"/>
              </w:rPr>
              <w:t>广州市荔湾区市政园林绿化管理中心</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spacing w:val="-3"/>
                <w:sz w:val="21"/>
                <w:szCs w:val="21"/>
                <w:highlight w:val="none"/>
                <w:lang w:val="zh-CN" w:eastAsia="zh-CN" w:bidi="zh-CN"/>
              </w:rPr>
            </w:pPr>
            <w:r>
              <w:rPr>
                <w:rFonts w:hint="eastAsia" w:ascii="宋体" w:hAnsi="宋体" w:eastAsia="宋体" w:cs="宋体"/>
                <w:color w:val="auto"/>
                <w:spacing w:val="-3"/>
                <w:sz w:val="21"/>
                <w:szCs w:val="21"/>
                <w:highlight w:val="none"/>
                <w:lang w:val="zh-CN" w:eastAsia="zh-CN" w:bidi="zh-CN"/>
              </w:rPr>
              <w:t>项目建设管理单位：</w:t>
            </w:r>
            <w:r>
              <w:rPr>
                <w:rFonts w:hint="eastAsia" w:cs="宋体"/>
                <w:color w:val="auto"/>
                <w:w w:val="100"/>
                <w:sz w:val="21"/>
                <w:szCs w:val="21"/>
                <w:highlight w:val="none"/>
                <w:u w:val="single"/>
                <w:lang w:val="en-US" w:eastAsia="zh-CN" w:bidi="zh-CN"/>
              </w:rPr>
              <w:t>广州市荔湾区市政园林绿化管理中心</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w w:val="100"/>
                <w:sz w:val="21"/>
                <w:szCs w:val="21"/>
                <w:highlight w:val="none"/>
                <w:u w:val="single"/>
                <w:lang w:val="en-US" w:eastAsia="zh-CN" w:bidi="zh-CN"/>
              </w:rPr>
            </w:pPr>
            <w:r>
              <w:rPr>
                <w:rFonts w:hint="eastAsia" w:ascii="宋体" w:hAnsi="宋体" w:eastAsia="宋体" w:cs="宋体"/>
                <w:color w:val="auto"/>
                <w:spacing w:val="-2"/>
                <w:sz w:val="21"/>
                <w:szCs w:val="21"/>
                <w:highlight w:val="none"/>
                <w:lang w:val="zh-CN" w:eastAsia="zh-CN" w:bidi="zh-CN"/>
              </w:rPr>
              <w:t>招标代理：</w:t>
            </w:r>
            <w:r>
              <w:rPr>
                <w:rFonts w:hint="eastAsia" w:ascii="宋体" w:hAnsi="宋体" w:eastAsia="宋体" w:cs="宋体"/>
                <w:color w:val="auto"/>
                <w:w w:val="100"/>
                <w:sz w:val="21"/>
                <w:szCs w:val="21"/>
                <w:highlight w:val="none"/>
                <w:u w:val="single"/>
                <w:lang w:val="en-US" w:eastAsia="zh-CN" w:bidi="zh-CN"/>
              </w:rPr>
              <w:t>广东冠诚工程管理有限公司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spacing w:val="-2"/>
                <w:sz w:val="21"/>
                <w:szCs w:val="21"/>
                <w:highlight w:val="none"/>
                <w:lang w:val="zh-CN" w:eastAsia="zh-CN" w:bidi="zh-CN"/>
              </w:rPr>
            </w:pPr>
            <w:r>
              <w:rPr>
                <w:rFonts w:hint="eastAsia" w:ascii="宋体" w:hAnsi="宋体" w:eastAsia="宋体" w:cs="宋体"/>
                <w:color w:val="auto"/>
                <w:spacing w:val="-2"/>
                <w:sz w:val="21"/>
                <w:szCs w:val="21"/>
                <w:highlight w:val="none"/>
                <w:lang w:val="zh-CN" w:eastAsia="zh-CN" w:bidi="zh-CN"/>
              </w:rPr>
              <w:t>设计单位：</w:t>
            </w:r>
            <w:r>
              <w:rPr>
                <w:rFonts w:hint="eastAsia" w:ascii="宋体" w:hAnsi="宋体" w:eastAsia="宋体" w:cs="宋体"/>
                <w:color w:val="auto"/>
                <w:spacing w:val="-2"/>
                <w:sz w:val="21"/>
                <w:szCs w:val="21"/>
                <w:highlight w:val="none"/>
                <w:u w:val="single"/>
                <w:lang w:val="zh-CN" w:eastAsia="zh-CN" w:bidi="zh-CN"/>
              </w:rPr>
              <w:t>中都工程设计有限公司</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pacing w:val="-2"/>
                <w:sz w:val="21"/>
                <w:szCs w:val="21"/>
                <w:highlight w:val="none"/>
                <w:lang w:val="zh-CN" w:eastAsia="zh-CN" w:bidi="zh-CN"/>
              </w:rPr>
              <w:t>监理单位：</w:t>
            </w:r>
            <w:r>
              <w:rPr>
                <w:rFonts w:hint="eastAsia" w:ascii="宋体" w:hAnsi="宋体" w:eastAsia="宋体" w:cs="宋体"/>
                <w:color w:val="auto"/>
                <w:w w:val="100"/>
                <w:sz w:val="21"/>
                <w:szCs w:val="21"/>
                <w:highlight w:val="none"/>
                <w:u w:val="single"/>
                <w:lang w:val="en-US" w:eastAsia="zh-CN" w:bidi="zh-CN"/>
              </w:rPr>
              <w:t xml:space="preserve">      /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检测机构：</w:t>
            </w:r>
            <w:r>
              <w:rPr>
                <w:rFonts w:hint="eastAsia" w:ascii="宋体" w:hAnsi="宋体" w:eastAsia="宋体" w:cs="宋体"/>
                <w:color w:val="auto"/>
                <w:sz w:val="21"/>
                <w:szCs w:val="21"/>
                <w:highlight w:val="none"/>
                <w:u w:val="single"/>
                <w:lang w:val="en-US" w:eastAsia="zh-CN" w:bidi="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2</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2.2</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工程名称</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default" w:ascii="宋体" w:hAnsi="宋体" w:eastAsia="宋体" w:cs="宋体"/>
                <w:b w:val="0"/>
                <w:bCs/>
                <w:color w:val="auto"/>
                <w:sz w:val="21"/>
                <w:szCs w:val="21"/>
                <w:highlight w:val="none"/>
                <w:vertAlign w:val="baseline"/>
                <w:lang w:val="en-US" w:eastAsia="zh-CN"/>
              </w:rPr>
            </w:pPr>
            <w:r>
              <w:rPr>
                <w:rFonts w:hint="eastAsia" w:cs="宋体"/>
                <w:b w:val="0"/>
                <w:bCs/>
                <w:color w:val="auto"/>
                <w:sz w:val="21"/>
                <w:szCs w:val="21"/>
                <w:highlight w:val="none"/>
                <w:u w:val="single"/>
                <w:vertAlign w:val="baseline"/>
                <w:lang w:eastAsia="zh-CN"/>
              </w:rPr>
              <w:t>荔湾区城市车行桥梁护栏升级改造工程施工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3</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2.2</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建设地点</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u w:val="single"/>
                <w:vertAlign w:val="baseline"/>
                <w:lang w:eastAsia="zh-CN"/>
              </w:rPr>
              <w:t>广州市荔湾区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4</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2.2</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建设规模</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u w:val="single"/>
                <w:vertAlign w:val="baseline"/>
                <w:lang w:eastAsia="zh-CN"/>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5</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2.2</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承包方式</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u w:val="single"/>
                <w:vertAlign w:val="baseline"/>
                <w:lang w:eastAsia="zh-CN"/>
              </w:rPr>
              <w:t>由承包人按照合同约定范围和图纸内容实行工程施工总承包，包括但不限于包工、包料、包工期、包质量、包安全、包文明施工、包劳保、包验收、包保修。综合单价包干、项目措施费（除施工围蔽费用外）包干，施工围蔽费用综合单价包干，工程量按实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6</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2.2</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质量标准</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工程质量验收以国家或行业的质量验收标准为依据，达到规定的合格等级标准，要求满足设计要求及符合《工程施工质量验收规范》、《建筑工程施工质量验收统一标准》（GB50300-2013）、《市政道路工程质量检验评定标准》（CJJ1-2008）、《市政桥梁工程质量检验评定标准》（CJJ2-90）、《市政排水管渠工程质量检验评定标准》（CJJ3-90））《城市绿化工程施工及验收规范》（CJJ/T82-99）、《城市绿化工程施工及验收规范》（DB440100/T114-2007）及相应配套的各专业验收规范等标准，并达到合格（或以上）标准。（如有新规范标准按新的执行）</w:t>
            </w:r>
            <w:r>
              <w:rPr>
                <w:rFonts w:hint="eastAsia" w:ascii="宋体" w:hAnsi="宋体" w:eastAsia="宋体" w:cs="宋体"/>
                <w:b w:val="0"/>
                <w:bCs/>
                <w:color w:val="auto"/>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7</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2.2</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招标范围</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u w:val="single"/>
                <w:vertAlign w:val="baseline"/>
                <w:lang w:eastAsia="zh-CN"/>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8</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2.2</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工期要求</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u w:val="single"/>
                <w:lang w:val="en-US" w:eastAsia="zh-CN" w:bidi="zh-CN"/>
              </w:rPr>
              <w:t>2023</w:t>
            </w:r>
            <w:r>
              <w:rPr>
                <w:rFonts w:hint="eastAsia" w:ascii="宋体" w:hAnsi="宋体" w:eastAsia="宋体" w:cs="宋体"/>
                <w:color w:val="auto"/>
                <w:sz w:val="21"/>
                <w:szCs w:val="21"/>
                <w:highlight w:val="none"/>
                <w:lang w:val="zh-CN" w:eastAsia="zh-CN" w:bidi="zh-CN"/>
              </w:rPr>
              <w:t>年</w:t>
            </w:r>
            <w:r>
              <w:rPr>
                <w:rFonts w:hint="eastAsia" w:cs="宋体"/>
                <w:color w:val="auto"/>
                <w:sz w:val="21"/>
                <w:szCs w:val="21"/>
                <w:highlight w:val="none"/>
                <w:u w:val="single"/>
                <w:lang w:val="en-US" w:eastAsia="zh-CN" w:bidi="zh-CN"/>
              </w:rPr>
              <w:t>8</w:t>
            </w:r>
            <w:r>
              <w:rPr>
                <w:rFonts w:hint="eastAsia" w:ascii="宋体" w:hAnsi="宋体" w:eastAsia="宋体" w:cs="宋体"/>
                <w:color w:val="auto"/>
                <w:spacing w:val="-3"/>
                <w:sz w:val="21"/>
                <w:szCs w:val="21"/>
                <w:highlight w:val="none"/>
                <w:lang w:val="zh-CN" w:eastAsia="zh-CN" w:bidi="zh-CN"/>
              </w:rPr>
              <w:t>月</w:t>
            </w:r>
            <w:r>
              <w:rPr>
                <w:rFonts w:hint="eastAsia" w:cs="宋体"/>
                <w:color w:val="auto"/>
                <w:sz w:val="21"/>
                <w:szCs w:val="21"/>
                <w:highlight w:val="none"/>
                <w:u w:val="single"/>
                <w:lang w:val="en-US" w:eastAsia="zh-CN" w:bidi="zh-CN"/>
              </w:rPr>
              <w:t>15</w:t>
            </w:r>
            <w:r>
              <w:rPr>
                <w:rFonts w:hint="eastAsia" w:ascii="宋体" w:hAnsi="宋体" w:eastAsia="宋体" w:cs="宋体"/>
                <w:color w:val="auto"/>
                <w:spacing w:val="-3"/>
                <w:sz w:val="21"/>
                <w:szCs w:val="21"/>
                <w:highlight w:val="none"/>
                <w:lang w:val="zh-CN" w:eastAsia="zh-CN" w:bidi="zh-CN"/>
              </w:rPr>
              <w:t>日计划开工，施工总期：</w:t>
            </w:r>
            <w:r>
              <w:rPr>
                <w:rFonts w:hint="eastAsia" w:cs="宋体"/>
                <w:color w:val="auto"/>
                <w:spacing w:val="-3"/>
                <w:sz w:val="21"/>
                <w:szCs w:val="21"/>
                <w:highlight w:val="none"/>
                <w:lang w:val="en-US" w:eastAsia="zh-CN" w:bidi="zh-CN"/>
              </w:rPr>
              <w:t>9</w:t>
            </w:r>
            <w:r>
              <w:rPr>
                <w:rFonts w:hint="eastAsia" w:cs="宋体"/>
                <w:color w:val="auto"/>
                <w:sz w:val="21"/>
                <w:szCs w:val="21"/>
                <w:highlight w:val="none"/>
                <w:u w:val="single"/>
                <w:lang w:val="en-US" w:eastAsia="zh-CN" w:bidi="zh-CN"/>
              </w:rPr>
              <w:t>0</w:t>
            </w:r>
            <w:r>
              <w:rPr>
                <w:rFonts w:hint="eastAsia" w:ascii="宋体" w:hAnsi="宋体" w:eastAsia="宋体" w:cs="宋体"/>
                <w:color w:val="auto"/>
                <w:spacing w:val="-2"/>
                <w:sz w:val="21"/>
                <w:szCs w:val="21"/>
                <w:highlight w:val="none"/>
                <w:lang w:val="zh-CN" w:eastAsia="zh-CN" w:bidi="zh-CN"/>
              </w:rPr>
              <w:t>日历天，</w:t>
            </w:r>
            <w:r>
              <w:rPr>
                <w:rFonts w:hint="eastAsia" w:ascii="宋体" w:hAnsi="宋体" w:eastAsia="宋体" w:cs="宋体"/>
                <w:color w:val="auto"/>
                <w:spacing w:val="-2"/>
                <w:sz w:val="21"/>
                <w:szCs w:val="21"/>
                <w:highlight w:val="none"/>
                <w:u w:val="single"/>
                <w:lang w:val="zh-CN" w:eastAsia="zh-CN" w:bidi="zh-CN"/>
              </w:rPr>
              <w:t>开工日期以开工令为准</w:t>
            </w:r>
            <w:r>
              <w:rPr>
                <w:rFonts w:hint="eastAsia" w:ascii="宋体" w:hAnsi="宋体" w:eastAsia="宋体" w:cs="宋体"/>
                <w:color w:val="auto"/>
                <w:spacing w:val="-2"/>
                <w:sz w:val="21"/>
                <w:szCs w:val="21"/>
                <w:highlight w:val="none"/>
                <w:lang w:val="zh-CN"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9</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3.1</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资金来源</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cs="宋体"/>
                <w:b w:val="0"/>
                <w:bCs/>
                <w:color w:val="auto"/>
                <w:sz w:val="21"/>
                <w:szCs w:val="21"/>
                <w:highlight w:val="none"/>
                <w:u w:val="single"/>
                <w:vertAlign w:val="baseline"/>
                <w:lang w:val="en-US" w:eastAsia="zh-CN"/>
              </w:rPr>
              <w:t>区</w:t>
            </w:r>
            <w:r>
              <w:rPr>
                <w:rFonts w:hint="eastAsia" w:ascii="宋体" w:hAnsi="宋体" w:eastAsia="宋体" w:cs="宋体"/>
                <w:b w:val="0"/>
                <w:bCs/>
                <w:color w:val="auto"/>
                <w:sz w:val="21"/>
                <w:szCs w:val="21"/>
                <w:highlight w:val="none"/>
                <w:u w:val="single"/>
                <w:vertAlign w:val="baseli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10</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4.1</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投标人资质等级及项目负责人等级要求</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11</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资格审查方式</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12</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13.1</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报价以及单价和</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总价计算方式</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工程量清单计价。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13</w:t>
            </w:r>
          </w:p>
        </w:tc>
        <w:tc>
          <w:tcPr>
            <w:tcW w:w="106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15.1</w:t>
            </w:r>
          </w:p>
        </w:tc>
        <w:tc>
          <w:tcPr>
            <w:tcW w:w="1003"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lang w:val="zh-CN" w:eastAsia="zh-CN" w:bidi="zh-CN"/>
              </w:rPr>
              <w:t>投标有效期</w:t>
            </w:r>
          </w:p>
        </w:tc>
        <w:tc>
          <w:tcPr>
            <w:tcW w:w="7496"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u w:val="single"/>
                <w:lang w:val="en-US" w:eastAsia="zh-CN" w:bidi="zh-CN"/>
              </w:rPr>
              <w:t>90</w:t>
            </w:r>
            <w:r>
              <w:rPr>
                <w:rFonts w:hint="eastAsia" w:ascii="宋体" w:hAnsi="宋体" w:eastAsia="宋体" w:cs="宋体"/>
                <w:color w:val="auto"/>
                <w:sz w:val="21"/>
                <w:szCs w:val="21"/>
                <w:highlight w:val="none"/>
                <w:lang w:val="zh-CN" w:eastAsia="zh-CN" w:bidi="zh-CN"/>
              </w:rPr>
              <w:t>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14</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16.1</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投标保证金</w:t>
            </w:r>
          </w:p>
        </w:tc>
        <w:tc>
          <w:tcPr>
            <w:tcW w:w="7496" w:type="dxa"/>
            <w:vAlign w:val="center"/>
          </w:tcPr>
          <w:p>
            <w:pPr>
              <w:pStyle w:val="27"/>
              <w:keepNext w:val="0"/>
              <w:keepLines w:val="0"/>
              <w:pageBreakBefore w:val="0"/>
              <w:widowControl w:val="0"/>
              <w:tabs>
                <w:tab w:val="left" w:pos="1157"/>
                <w:tab w:val="left" w:pos="4309"/>
              </w:tabs>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万</w:t>
            </w:r>
            <w:r>
              <w:rPr>
                <w:rFonts w:hint="eastAsia" w:ascii="宋体" w:hAnsi="宋体" w:eastAsia="宋体" w:cs="宋体"/>
                <w:color w:val="auto"/>
                <w:spacing w:val="-3"/>
                <w:sz w:val="21"/>
                <w:szCs w:val="21"/>
                <w:highlight w:val="none"/>
              </w:rPr>
              <w:t>元</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民</w:t>
            </w:r>
            <w:r>
              <w:rPr>
                <w:rFonts w:hint="eastAsia" w:ascii="宋体" w:hAnsi="宋体" w:eastAsia="宋体" w:cs="宋体"/>
                <w:color w:val="auto"/>
                <w:sz w:val="21"/>
                <w:szCs w:val="21"/>
                <w:highlight w:val="none"/>
              </w:rPr>
              <w:t>币</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缴</w:t>
            </w:r>
            <w:r>
              <w:rPr>
                <w:rFonts w:hint="eastAsia" w:ascii="宋体" w:hAnsi="宋体" w:eastAsia="宋体" w:cs="宋体"/>
                <w:color w:val="auto"/>
                <w:spacing w:val="-3"/>
                <w:sz w:val="21"/>
                <w:szCs w:val="21"/>
                <w:highlight w:val="none"/>
              </w:rPr>
              <w:t>纳</w:t>
            </w:r>
            <w:r>
              <w:rPr>
                <w:rFonts w:hint="eastAsia" w:ascii="宋体" w:hAnsi="宋体" w:eastAsia="宋体" w:cs="宋体"/>
                <w:color w:val="auto"/>
                <w:sz w:val="21"/>
                <w:szCs w:val="21"/>
                <w:highlight w:val="none"/>
              </w:rPr>
              <w:t>时间</w:t>
            </w:r>
            <w:r>
              <w:rPr>
                <w:rFonts w:hint="eastAsia" w:ascii="宋体" w:hAnsi="宋体" w:eastAsia="宋体" w:cs="宋体"/>
                <w:color w:val="auto"/>
                <w:spacing w:val="-3"/>
                <w:sz w:val="21"/>
                <w:szCs w:val="21"/>
                <w:highlight w:val="none"/>
              </w:rPr>
              <w:t>在</w:t>
            </w:r>
            <w:r>
              <w:rPr>
                <w:rFonts w:hint="eastAsia" w:ascii="宋体" w:hAnsi="宋体" w:eastAsia="宋体" w:cs="宋体"/>
                <w:color w:val="auto"/>
                <w:spacing w:val="-3"/>
                <w:sz w:val="21"/>
                <w:szCs w:val="21"/>
                <w:highlight w:val="none"/>
                <w:u w:val="single"/>
                <w:lang w:val="en-US" w:eastAsia="zh-CN"/>
              </w:rPr>
              <w:t>投标截止时间</w:t>
            </w:r>
            <w:r>
              <w:rPr>
                <w:rFonts w:hint="eastAsia" w:ascii="宋体" w:hAnsi="宋体" w:eastAsia="宋体" w:cs="宋体"/>
                <w:color w:val="auto"/>
                <w:sz w:val="21"/>
                <w:szCs w:val="21"/>
                <w:highlight w:val="none"/>
              </w:rPr>
              <w:t>之</w:t>
            </w:r>
            <w:r>
              <w:rPr>
                <w:rFonts w:hint="eastAsia" w:ascii="宋体" w:hAnsi="宋体" w:eastAsia="宋体" w:cs="宋体"/>
                <w:color w:val="auto"/>
                <w:spacing w:val="-3"/>
                <w:sz w:val="21"/>
                <w:szCs w:val="21"/>
                <w:highlight w:val="none"/>
              </w:rPr>
              <w:t>前</w:t>
            </w:r>
            <w:r>
              <w:rPr>
                <w:rFonts w:hint="eastAsia" w:ascii="宋体" w:hAnsi="宋体" w:eastAsia="宋体" w:cs="宋体"/>
                <w:color w:val="auto"/>
                <w:sz w:val="21"/>
                <w:szCs w:val="21"/>
                <w:highlight w:val="none"/>
              </w:rPr>
              <w:t>。</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w:t>
            </w: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7"/>
                <w:sz w:val="21"/>
                <w:szCs w:val="21"/>
                <w:highlight w:val="none"/>
              </w:rPr>
              <w:t>、投标保证金不得超过招标项目估算价的</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2"/>
                <w:sz w:val="21"/>
                <w:szCs w:val="21"/>
                <w:highlight w:val="none"/>
              </w:rPr>
              <w:t>，投标</w:t>
            </w:r>
            <w:r>
              <w:rPr>
                <w:rFonts w:hint="eastAsia" w:ascii="宋体" w:hAnsi="宋体" w:eastAsia="宋体" w:cs="宋体"/>
                <w:color w:val="auto"/>
                <w:spacing w:val="-5"/>
                <w:sz w:val="21"/>
                <w:szCs w:val="21"/>
                <w:highlight w:val="none"/>
              </w:rPr>
              <w:t>保证金有效期应当与投标文件有效期一致。根据《房屋建筑和</w:t>
            </w:r>
            <w:r>
              <w:rPr>
                <w:rFonts w:hint="eastAsia" w:ascii="宋体" w:hAnsi="宋体" w:eastAsia="宋体" w:cs="宋体"/>
                <w:color w:val="auto"/>
                <w:spacing w:val="-4"/>
                <w:sz w:val="21"/>
                <w:szCs w:val="21"/>
                <w:highlight w:val="none"/>
              </w:rPr>
              <w:t>市政基础设施工程施工招标投标管理办法</w:t>
            </w:r>
            <w:r>
              <w:rPr>
                <w:rFonts w:hint="eastAsia" w:ascii="宋体" w:hAnsi="宋体" w:eastAsia="宋体" w:cs="宋体"/>
                <w:color w:val="auto"/>
                <w:spacing w:val="-212"/>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4"/>
                <w:sz w:val="21"/>
                <w:szCs w:val="21"/>
                <w:highlight w:val="none"/>
              </w:rPr>
              <w:t>建设部令第</w:t>
            </w:r>
            <w:r>
              <w:rPr>
                <w:rFonts w:hint="eastAsia" w:ascii="宋体" w:hAnsi="宋体" w:eastAsia="宋体" w:cs="宋体"/>
                <w:color w:val="auto"/>
                <w:sz w:val="21"/>
                <w:szCs w:val="21"/>
                <w:highlight w:val="none"/>
              </w:rPr>
              <w:t>89</w:t>
            </w:r>
            <w:r>
              <w:rPr>
                <w:rFonts w:hint="eastAsia" w:ascii="宋体" w:hAnsi="宋体" w:eastAsia="宋体" w:cs="宋体"/>
                <w:color w:val="auto"/>
                <w:spacing w:val="-3"/>
                <w:sz w:val="21"/>
                <w:szCs w:val="21"/>
                <w:highlight w:val="none"/>
              </w:rPr>
              <w:t>号）</w:t>
            </w:r>
            <w:r>
              <w:rPr>
                <w:rFonts w:hint="eastAsia" w:ascii="宋体" w:hAnsi="宋体" w:eastAsia="宋体" w:cs="宋体"/>
                <w:color w:val="auto"/>
                <w:sz w:val="21"/>
                <w:szCs w:val="21"/>
                <w:highlight w:val="none"/>
              </w:rPr>
              <w:t>第二十六条的规定，投标保证金最高不得超过50万元。</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13"/>
                <w:sz w:val="21"/>
                <w:szCs w:val="21"/>
                <w:highlight w:val="none"/>
              </w:rPr>
              <w:t>、鼓励招标人对简单小额项目不要求提供投标担保，对中</w:t>
            </w:r>
            <w:r>
              <w:rPr>
                <w:rFonts w:hint="eastAsia" w:ascii="宋体" w:hAnsi="宋体" w:eastAsia="宋体" w:cs="宋体"/>
                <w:color w:val="auto"/>
                <w:spacing w:val="-6"/>
                <w:sz w:val="21"/>
                <w:szCs w:val="21"/>
                <w:highlight w:val="none"/>
              </w:rPr>
              <w:t>小企业投标人免除投标担保。</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pacing w:val="-14"/>
                <w:sz w:val="21"/>
                <w:szCs w:val="21"/>
                <w:highlight w:val="none"/>
              </w:rPr>
              <w:t>、招标人在免收投标保证金的同时，应约定免交投标保证</w:t>
            </w:r>
            <w:r>
              <w:rPr>
                <w:rFonts w:hint="eastAsia" w:ascii="宋体" w:hAnsi="宋体" w:eastAsia="宋体" w:cs="宋体"/>
                <w:color w:val="auto"/>
                <w:sz w:val="21"/>
                <w:szCs w:val="21"/>
                <w:highlight w:val="none"/>
              </w:rPr>
              <w:t>金的投标人存在16.4条款所列情形的后续处理措施。</w:t>
            </w:r>
          </w:p>
          <w:p>
            <w:pPr>
              <w:pStyle w:val="12"/>
              <w:topLinePunct/>
              <w:spacing w:after="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投标保证金可采用现金、支票、投标保函、投标保证保险的形式，须在递交投标文件截止时间前完成缴纳。</w:t>
            </w:r>
          </w:p>
          <w:p>
            <w:pPr>
              <w:pStyle w:val="12"/>
              <w:topLinePunct/>
              <w:spacing w:after="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12"/>
              <w:topLinePunct/>
              <w:spacing w:after="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收款单位：广州交易集团有限公司</w:t>
            </w:r>
          </w:p>
          <w:p>
            <w:pPr>
              <w:pStyle w:val="12"/>
              <w:topLinePunct/>
              <w:spacing w:after="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开户银行：中国建设银行广州天润路支行</w:t>
            </w:r>
          </w:p>
          <w:p>
            <w:pPr>
              <w:pStyle w:val="12"/>
              <w:topLinePunct/>
              <w:spacing w:after="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银行账号：44001583404059333333</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u w:val="single"/>
                <w:lang w:eastAsia="zh-CN"/>
              </w:rPr>
            </w:pP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CN"/>
              </w:rPr>
              <w:t xml:space="preserve">依法必须招标的工程项目如采用非电子形式的投标保函或投标保证保险或专业工程担保公司担保的形式递交提交投标保证金的，在开标前不强制要求投标人提交纸质原件，由中标候选人在中标候选人公示前提交并在网上公示，投标人应在投标文件中提交投标保函或投标保证保险扫描件并加盖投标人电子印章。 </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u w:val="single"/>
                <w:lang w:eastAsia="zh-CN"/>
              </w:rPr>
              <w:t>（</w:t>
            </w:r>
            <w:r>
              <w:rPr>
                <w:rFonts w:hint="eastAsia" w:cs="宋体"/>
                <w:color w:val="auto"/>
                <w:sz w:val="21"/>
                <w:szCs w:val="21"/>
                <w:highlight w:val="none"/>
                <w:u w:val="single"/>
                <w:lang w:val="en-US" w:eastAsia="zh-CN"/>
              </w:rPr>
              <w:t>3</w:t>
            </w:r>
            <w:r>
              <w:rPr>
                <w:rFonts w:hint="eastAsia"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CN"/>
              </w:rPr>
              <w:t xml:space="preserve">如采用电子保函形式提交的，具体操作要求详见广州公共资源交易中心有关指引，递交事宜请自行咨询交易中心；到账情况以开标时广州公共资源交易中心数据库查询信息为准。注：采用联合体投标的，投标保证金由联合体主办方递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15</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5</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踏勘现场</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u w:val="single"/>
                <w:vertAlign w:val="baseline"/>
                <w:lang w:eastAsia="zh-CN"/>
              </w:rPr>
              <w:t>不统一组织，由投标人自行踏勘。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16</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8</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投标答疑</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疑问提交时间：</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日</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时前；</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形式：投标人的疑问通过</w:t>
            </w:r>
            <w:r>
              <w:rPr>
                <w:rFonts w:hint="eastAsia" w:ascii="宋体" w:hAnsi="宋体" w:eastAsia="宋体" w:cs="宋体"/>
                <w:color w:val="auto"/>
                <w:sz w:val="21"/>
                <w:szCs w:val="21"/>
                <w:highlight w:val="none"/>
                <w:u w:val="single"/>
                <w:lang w:eastAsia="zh-CN"/>
              </w:rPr>
              <w:t>广州公共资源交易中心（网址：http://www.gzggzy.cn）</w:t>
            </w:r>
            <w:r>
              <w:rPr>
                <w:rFonts w:hint="eastAsia" w:ascii="宋体" w:hAnsi="宋体" w:eastAsia="宋体" w:cs="宋体"/>
                <w:color w:val="auto"/>
                <w:sz w:val="21"/>
                <w:szCs w:val="21"/>
                <w:highlight w:val="none"/>
              </w:rPr>
              <w:t>交易平台提交。</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cs="宋体"/>
                <w:color w:val="auto"/>
                <w:szCs w:val="21"/>
                <w:highlight w:val="none"/>
              </w:rPr>
              <w:t>网上答疑的操作指南为：登陆广州公共资源交易中心网站→进入交易业务/建设工程 “网上答疑”专区→通过项目编号或名称找到所需的项目→在上述的答疑时间内点击“提问”→登录系统进入到提问区域→无记名或匿名提出问题以及查看所有的问题。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17</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20.1</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投标截止时间</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日</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2"/>
                <w:sz w:val="21"/>
                <w:szCs w:val="21"/>
                <w:highlight w:val="none"/>
              </w:rPr>
              <w:t>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北京时间</w:t>
            </w:r>
            <w:r>
              <w:rPr>
                <w:rFonts w:hint="eastAsia" w:ascii="宋体" w:hAnsi="宋体" w:eastAsia="宋体" w:cs="宋体"/>
                <w:color w:val="auto"/>
                <w:spacing w:val="-108"/>
                <w:sz w:val="21"/>
                <w:szCs w:val="21"/>
                <w:highlight w:val="none"/>
              </w:rPr>
              <w:t>）</w:t>
            </w:r>
            <w:r>
              <w:rPr>
                <w:rFonts w:hint="eastAsia" w:ascii="宋体" w:hAnsi="宋体" w:eastAsia="宋体" w:cs="宋体"/>
                <w:color w:val="auto"/>
                <w:spacing w:val="-3"/>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18</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20.1</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开标开始时间和地点</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（技术标和经济标同时开标）</w:t>
            </w:r>
          </w:p>
          <w:p>
            <w:pPr>
              <w:pStyle w:val="27"/>
              <w:keepNext w:val="0"/>
              <w:keepLines w:val="0"/>
              <w:pageBreakBefore w:val="0"/>
              <w:widowControl w:val="0"/>
              <w:numPr>
                <w:ilvl w:val="0"/>
                <w:numId w:val="1"/>
              </w:numPr>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b/>
                <w:bCs/>
                <w:color w:val="auto"/>
                <w:w w:val="100"/>
                <w:sz w:val="21"/>
                <w:szCs w:val="21"/>
                <w:highlight w:val="none"/>
              </w:rPr>
            </w:pPr>
            <w:r>
              <w:rPr>
                <w:rFonts w:hint="eastAsia" w:ascii="宋体" w:hAnsi="宋体" w:eastAsia="宋体" w:cs="宋体"/>
                <w:color w:val="auto"/>
                <w:spacing w:val="-5"/>
                <w:sz w:val="21"/>
                <w:szCs w:val="21"/>
                <w:highlight w:val="none"/>
              </w:rPr>
              <w:t>开标开始时间：</w:t>
            </w:r>
            <w:r>
              <w:rPr>
                <w:rFonts w:hint="eastAsia" w:ascii="宋体" w:hAnsi="宋体" w:eastAsia="宋体" w:cs="宋体"/>
                <w:color w:val="auto"/>
                <w:sz w:val="21"/>
                <w:szCs w:val="21"/>
                <w:highlight w:val="none"/>
              </w:rPr>
              <w:t>年月日时</w:t>
            </w:r>
            <w:r>
              <w:rPr>
                <w:rFonts w:hint="eastAsia" w:ascii="宋体" w:hAnsi="宋体" w:eastAsia="宋体" w:cs="宋体"/>
                <w:color w:val="auto"/>
                <w:spacing w:val="-13"/>
                <w:sz w:val="21"/>
                <w:szCs w:val="21"/>
                <w:highlight w:val="none"/>
              </w:rPr>
              <w:t>分</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与投标截</w:t>
            </w:r>
            <w:r>
              <w:rPr>
                <w:rFonts w:hint="eastAsia" w:ascii="宋体" w:hAnsi="宋体" w:eastAsia="宋体" w:cs="宋体"/>
                <w:color w:val="auto"/>
                <w:spacing w:val="-2"/>
                <w:w w:val="100"/>
                <w:sz w:val="21"/>
                <w:szCs w:val="21"/>
                <w:highlight w:val="none"/>
              </w:rPr>
              <w:t>止时间为同一时间</w:t>
            </w:r>
            <w:r>
              <w:rPr>
                <w:rFonts w:hint="eastAsia" w:ascii="宋体" w:hAnsi="宋体" w:eastAsia="宋体" w:cs="宋体"/>
                <w:color w:val="auto"/>
                <w:spacing w:val="-108"/>
                <w:w w:val="100"/>
                <w:sz w:val="21"/>
                <w:szCs w:val="21"/>
                <w:highlight w:val="none"/>
              </w:rPr>
              <w:t>）</w:t>
            </w:r>
            <w:r>
              <w:rPr>
                <w:rFonts w:hint="eastAsia" w:ascii="宋体" w:hAnsi="宋体" w:eastAsia="宋体" w:cs="宋体"/>
                <w:color w:val="auto"/>
                <w:spacing w:val="-3"/>
                <w:w w:val="100"/>
                <w:sz w:val="21"/>
                <w:szCs w:val="21"/>
                <w:highlight w:val="none"/>
              </w:rPr>
              <w:t>，地点：</w:t>
            </w:r>
            <w:r>
              <w:rPr>
                <w:rFonts w:hint="eastAsia" w:ascii="宋体" w:hAnsi="宋体" w:eastAsia="宋体" w:cs="宋体"/>
                <w:b/>
                <w:bCs/>
                <w:color w:val="auto"/>
                <w:w w:val="100"/>
                <w:sz w:val="21"/>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广州公共资源交易中心网站(http:/ www.gzggzy.cn)服务指南栏目</w:t>
            </w:r>
            <w:r>
              <w:rPr>
                <w:rFonts w:hint="eastAsia" w:ascii="宋体" w:hAnsi="宋体" w:eastAsia="宋体" w:cs="宋体"/>
                <w:b/>
                <w:bCs/>
                <w:color w:val="auto"/>
                <w:w w:val="100"/>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left"/>
              <w:textAlignment w:val="auto"/>
              <w:rPr>
                <w:rFonts w:hint="eastAsia" w:ascii="宋体" w:hAnsi="宋体" w:eastAsia="宋体" w:cs="宋体"/>
                <w:b/>
                <w:bCs/>
                <w:color w:val="auto"/>
                <w:w w:val="100"/>
                <w:sz w:val="21"/>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3"/>
                <w:sz w:val="21"/>
                <w:szCs w:val="21"/>
                <w:highlight w:val="none"/>
              </w:rPr>
              <w:t>2</w:t>
            </w:r>
            <w:r>
              <w:rPr>
                <w:rFonts w:hint="eastAsia" w:ascii="宋体" w:hAnsi="宋体" w:eastAsia="宋体" w:cs="宋体"/>
                <w:color w:val="auto"/>
                <w:spacing w:val="-11"/>
                <w:sz w:val="21"/>
                <w:szCs w:val="21"/>
                <w:highlight w:val="none"/>
              </w:rPr>
              <w:t>、递交投标文件备用光盘时间：</w:t>
            </w:r>
            <w:r>
              <w:rPr>
                <w:rFonts w:hint="eastAsia" w:cs="宋体"/>
                <w:color w:val="auto"/>
                <w:spacing w:val="-11"/>
                <w:sz w:val="21"/>
                <w:szCs w:val="21"/>
                <w:highlight w:val="none"/>
                <w:lang w:val="en-US" w:eastAsia="zh-CN"/>
              </w:rPr>
              <w:t>2023</w:t>
            </w:r>
            <w:r>
              <w:rPr>
                <w:rFonts w:hint="eastAsia" w:ascii="宋体" w:hAnsi="宋体" w:eastAsia="宋体" w:cs="宋体"/>
                <w:color w:val="auto"/>
                <w:sz w:val="21"/>
                <w:szCs w:val="21"/>
                <w:highlight w:val="none"/>
              </w:rPr>
              <w:t>年</w:t>
            </w:r>
            <w:r>
              <w:rPr>
                <w:rFonts w:hint="eastAsia" w:ascii="宋体" w:hAnsi="宋体" w:eastAsia="宋体" w:cs="宋体"/>
                <w:color w:val="auto"/>
                <w:spacing w:val="-3"/>
                <w:sz w:val="21"/>
                <w:szCs w:val="21"/>
                <w:highlight w:val="none"/>
              </w:rPr>
              <w:t>月</w:t>
            </w:r>
            <w:r>
              <w:rPr>
                <w:rFonts w:hint="eastAsia" w:ascii="宋体" w:hAnsi="宋体" w:eastAsia="宋体" w:cs="宋体"/>
                <w:color w:val="auto"/>
                <w:sz w:val="21"/>
                <w:szCs w:val="21"/>
                <w:highlight w:val="none"/>
              </w:rPr>
              <w:t>日时</w:t>
            </w:r>
            <w:r>
              <w:rPr>
                <w:rFonts w:hint="eastAsia" w:ascii="宋体" w:hAnsi="宋体" w:eastAsia="宋体" w:cs="宋体"/>
                <w:color w:val="auto"/>
                <w:spacing w:val="-3"/>
                <w:sz w:val="21"/>
                <w:szCs w:val="21"/>
                <w:highlight w:val="none"/>
              </w:rPr>
              <w:t>分至</w:t>
            </w:r>
            <w:r>
              <w:rPr>
                <w:rFonts w:hint="eastAsia" w:cs="宋体"/>
                <w:color w:val="auto"/>
                <w:spacing w:val="-3"/>
                <w:sz w:val="21"/>
                <w:szCs w:val="21"/>
                <w:highlight w:val="none"/>
                <w:lang w:val="en-US" w:eastAsia="zh-CN"/>
              </w:rPr>
              <w:t>2023</w:t>
            </w:r>
            <w:r>
              <w:rPr>
                <w:rFonts w:hint="eastAsia" w:ascii="宋体" w:hAnsi="宋体" w:eastAsia="宋体" w:cs="宋体"/>
                <w:color w:val="auto"/>
                <w:spacing w:val="-3"/>
                <w:sz w:val="21"/>
                <w:szCs w:val="21"/>
                <w:highlight w:val="none"/>
              </w:rPr>
              <w:t>年月</w:t>
            </w:r>
            <w:r>
              <w:rPr>
                <w:rFonts w:hint="eastAsia" w:ascii="宋体" w:hAnsi="宋体" w:eastAsia="宋体" w:cs="宋体"/>
                <w:color w:val="auto"/>
                <w:sz w:val="21"/>
                <w:szCs w:val="21"/>
                <w:highlight w:val="none"/>
              </w:rPr>
              <w:t>日时</w:t>
            </w:r>
            <w:r>
              <w:rPr>
                <w:rFonts w:hint="eastAsia" w:ascii="宋体" w:hAnsi="宋体" w:eastAsia="宋体" w:cs="宋体"/>
                <w:color w:val="auto"/>
                <w:spacing w:val="-3"/>
                <w:sz w:val="21"/>
                <w:szCs w:val="21"/>
                <w:highlight w:val="none"/>
              </w:rPr>
              <w:t>分；递交地</w:t>
            </w:r>
            <w:r>
              <w:rPr>
                <w:rFonts w:hint="eastAsia" w:ascii="宋体" w:hAnsi="宋体" w:eastAsia="宋体" w:cs="宋体"/>
                <w:color w:val="auto"/>
                <w:spacing w:val="-9"/>
                <w:sz w:val="21"/>
                <w:szCs w:val="21"/>
                <w:highlight w:val="none"/>
              </w:rPr>
              <w:t>点：</w:t>
            </w:r>
            <w:r>
              <w:rPr>
                <w:rFonts w:hint="eastAsia" w:ascii="宋体" w:hAnsi="宋体" w:eastAsia="宋体" w:cs="宋体"/>
                <w:color w:val="auto"/>
                <w:spacing w:val="-8"/>
                <w:sz w:val="21"/>
                <w:szCs w:val="21"/>
                <w:highlight w:val="none"/>
              </w:rPr>
              <w:t>。(建议安排在投标文件截止时间前</w:t>
            </w:r>
            <w:r>
              <w:rPr>
                <w:rFonts w:hint="eastAsia" w:ascii="宋体" w:hAnsi="宋体" w:eastAsia="宋体" w:cs="宋体"/>
                <w:color w:val="auto"/>
                <w:sz w:val="21"/>
                <w:szCs w:val="21"/>
                <w:highlight w:val="none"/>
              </w:rPr>
              <w:t>15</w:t>
            </w:r>
            <w:r>
              <w:rPr>
                <w:rFonts w:hint="eastAsia" w:ascii="宋体" w:hAnsi="宋体" w:eastAsia="宋体" w:cs="宋体"/>
                <w:color w:val="auto"/>
                <w:spacing w:val="-11"/>
                <w:sz w:val="21"/>
                <w:szCs w:val="21"/>
                <w:highlight w:val="none"/>
              </w:rPr>
              <w:t>分钟至投标</w:t>
            </w:r>
            <w:r>
              <w:rPr>
                <w:rFonts w:hint="eastAsia" w:ascii="宋体" w:hAnsi="宋体" w:eastAsia="宋体" w:cs="宋体"/>
                <w:color w:val="auto"/>
                <w:spacing w:val="-6"/>
                <w:sz w:val="21"/>
                <w:szCs w:val="21"/>
                <w:highlight w:val="none"/>
              </w:rPr>
              <w:t>文件截止时间</w:t>
            </w:r>
            <w:r>
              <w:rPr>
                <w:rFonts w:hint="eastAsia" w:ascii="宋体" w:hAnsi="宋体" w:eastAsia="宋体" w:cs="宋体"/>
                <w:color w:val="auto"/>
                <w:spacing w:val="-3"/>
                <w:sz w:val="21"/>
                <w:szCs w:val="21"/>
                <w:highlight w:val="none"/>
              </w:rPr>
              <w:t>）</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上述时间及地点是否有改变，请密切留意补充公告和招标答疑纪要的相关信息。</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lang w:eastAsia="zh-CN"/>
              </w:rPr>
              <w:t>具体时间地点详见广州公共资源交易中心网（网址：http://www.gzggzy.cn）。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19</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26</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开标评标办法</w:t>
            </w:r>
          </w:p>
        </w:tc>
        <w:tc>
          <w:tcPr>
            <w:tcW w:w="7496" w:type="dxa"/>
            <w:vAlign w:val="center"/>
          </w:tcPr>
          <w:p>
            <w:pPr>
              <w:pStyle w:val="27"/>
              <w:spacing w:after="0"/>
              <w:ind w:left="0" w:firstLine="0"/>
              <w:jc w:val="both"/>
              <w:rPr>
                <w:rFonts w:hint="eastAsia" w:ascii="宋体" w:hAnsi="宋体" w:cs="宋体"/>
                <w:color w:val="auto"/>
                <w:spacing w:val="-2"/>
                <w:kern w:val="2"/>
                <w:sz w:val="21"/>
                <w:szCs w:val="21"/>
                <w:highlight w:val="none"/>
                <w:u w:val="single"/>
              </w:rPr>
            </w:pPr>
            <w:r>
              <w:rPr>
                <w:rFonts w:hint="eastAsia" w:ascii="宋体" w:hAnsi="宋体" w:eastAsia="宋体" w:cs="宋体"/>
                <w:color w:val="auto"/>
                <w:spacing w:val="-3"/>
                <w:sz w:val="21"/>
                <w:szCs w:val="21"/>
                <w:highlight w:val="none"/>
              </w:rPr>
              <w:t>方式一：选取方法</w:t>
            </w:r>
            <w:r>
              <w:rPr>
                <w:rFonts w:hint="eastAsia" w:ascii="宋体" w:hAnsi="宋体" w:eastAsia="宋体" w:cs="宋体"/>
                <w:color w:val="auto"/>
                <w:spacing w:val="-3"/>
                <w:sz w:val="21"/>
                <w:szCs w:val="21"/>
                <w:highlight w:val="none"/>
                <w:u w:val="single"/>
                <w:lang w:val="en-US" w:eastAsia="zh-CN"/>
              </w:rPr>
              <w:t xml:space="preserve"> 七  </w:t>
            </w:r>
            <w:r>
              <w:rPr>
                <w:rFonts w:hint="eastAsia" w:ascii="宋体" w:hAnsi="宋体" w:cs="宋体"/>
                <w:color w:val="auto"/>
                <w:spacing w:val="-2"/>
                <w:kern w:val="2"/>
                <w:sz w:val="21"/>
                <w:szCs w:val="21"/>
                <w:highlight w:val="none"/>
                <w:u w:val="single"/>
              </w:rPr>
              <w:t>（适合综合评分法四，技术标与经济标同时开启）</w:t>
            </w:r>
          </w:p>
          <w:p>
            <w:pPr>
              <w:pStyle w:val="27"/>
              <w:spacing w:after="0"/>
              <w:ind w:left="0" w:firstLine="0"/>
              <w:jc w:val="both"/>
              <w:rPr>
                <w:rFonts w:hint="eastAsia" w:ascii="宋体" w:hAnsi="宋体" w:cs="宋体"/>
                <w:color w:val="auto"/>
                <w:spacing w:val="-2"/>
                <w:kern w:val="2"/>
                <w:sz w:val="21"/>
                <w:szCs w:val="21"/>
                <w:highlight w:val="none"/>
                <w:u w:val="single"/>
              </w:rPr>
            </w:pPr>
            <w:r>
              <w:rPr>
                <w:rFonts w:hint="eastAsia" w:ascii="宋体" w:hAnsi="宋体" w:cs="宋体"/>
                <w:color w:val="auto"/>
                <w:spacing w:val="-2"/>
                <w:kern w:val="2"/>
                <w:sz w:val="21"/>
                <w:szCs w:val="21"/>
                <w:highlight w:val="none"/>
                <w:u w:val="single"/>
              </w:rPr>
              <w:t>投标人总得分=技术得分（满分20分）＋经济得分(满分100分)×经济得分权重（80%）。</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cs="宋体"/>
                <w:color w:val="auto"/>
                <w:spacing w:val="-2"/>
                <w:kern w:val="2"/>
                <w:sz w:val="21"/>
                <w:szCs w:val="21"/>
                <w:highlight w:val="none"/>
                <w:u w:val="single"/>
              </w:rPr>
              <w:t>总得分相同的投标文件，以技术分较高的排前；总得分及技术分均相同的，以经济分较高的排前；总得分、技术分及经济分均相同的，以报价较低的排前；如仍存在相同情况，则对具有相同情况的投标人，由评标委员会采用记名投票方式，以得票多的排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20</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29.1</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履约担保</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方式一：中标人提供的履约保证金为中标价款的10%。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21</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最高投标限价</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本项目最高投标限价为人民币</w:t>
            </w:r>
            <w:r>
              <w:rPr>
                <w:rFonts w:hint="eastAsia" w:cs="宋体"/>
                <w:color w:val="auto"/>
                <w:sz w:val="21"/>
                <w:szCs w:val="21"/>
                <w:highlight w:val="none"/>
                <w:u w:val="single"/>
                <w:lang w:val="en-US" w:eastAsia="zh-CN"/>
              </w:rPr>
              <w:t>13533839.25</w:t>
            </w:r>
            <w:r>
              <w:rPr>
                <w:rFonts w:hint="eastAsia" w:ascii="宋体" w:hAnsi="宋体" w:eastAsia="宋体" w:cs="宋体"/>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22</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非竞争费用</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pacing w:val="6"/>
                <w:sz w:val="21"/>
                <w:szCs w:val="21"/>
                <w:highlight w:val="none"/>
              </w:rPr>
              <w:t>本项目绿色施工安全防护措施费为</w:t>
            </w:r>
            <w:r>
              <w:rPr>
                <w:rFonts w:hint="eastAsia" w:cs="宋体"/>
                <w:color w:val="auto"/>
                <w:sz w:val="21"/>
                <w:szCs w:val="21"/>
                <w:highlight w:val="none"/>
                <w:u w:val="single"/>
                <w:lang w:val="en-US" w:eastAsia="zh-CN"/>
              </w:rPr>
              <w:t>1139153.59</w:t>
            </w:r>
            <w:r>
              <w:rPr>
                <w:rFonts w:hint="eastAsia" w:ascii="宋体" w:hAnsi="宋体" w:eastAsia="宋体" w:cs="宋体"/>
                <w:color w:val="auto"/>
                <w:spacing w:val="8"/>
                <w:sz w:val="21"/>
                <w:szCs w:val="21"/>
                <w:highlight w:val="none"/>
              </w:rPr>
              <w:t>元，暂列金额为</w:t>
            </w:r>
            <w:r>
              <w:rPr>
                <w:rFonts w:hint="eastAsia" w:cs="宋体"/>
                <w:color w:val="auto"/>
                <w:sz w:val="21"/>
                <w:szCs w:val="21"/>
                <w:highlight w:val="none"/>
                <w:u w:val="single"/>
                <w:lang w:val="en-US" w:eastAsia="zh-CN"/>
              </w:rPr>
              <w:t>945604.09</w:t>
            </w:r>
            <w:r>
              <w:rPr>
                <w:rFonts w:hint="eastAsia" w:ascii="宋体" w:hAnsi="宋体" w:eastAsia="宋体" w:cs="宋体"/>
                <w:color w:val="auto"/>
                <w:spacing w:val="-2"/>
                <w:sz w:val="21"/>
                <w:szCs w:val="21"/>
                <w:highlight w:val="none"/>
              </w:rPr>
              <w:t>元，暂估价为</w:t>
            </w:r>
            <w:r>
              <w:rPr>
                <w:rFonts w:hint="eastAsia" w:cs="宋体"/>
                <w:color w:val="auto"/>
                <w:sz w:val="21"/>
                <w:szCs w:val="21"/>
                <w:highlight w:val="none"/>
                <w:u w:val="single"/>
                <w:lang w:val="en-US" w:eastAsia="zh-CN"/>
              </w:rPr>
              <w:t>0.00</w:t>
            </w:r>
            <w:r>
              <w:rPr>
                <w:rFonts w:hint="eastAsia" w:ascii="宋体" w:hAnsi="宋体" w:eastAsia="宋体" w:cs="宋体"/>
                <w:color w:val="auto"/>
                <w:spacing w:val="-54"/>
                <w:sz w:val="21"/>
                <w:szCs w:val="21"/>
                <w:highlight w:val="none"/>
              </w:rPr>
              <w:t>元。</w:t>
            </w:r>
            <w:r>
              <w:rPr>
                <w:rFonts w:hint="eastAsia" w:ascii="宋体" w:hAnsi="宋体" w:eastAsia="宋体" w:cs="宋体"/>
                <w:color w:val="auto"/>
                <w:spacing w:val="-3"/>
                <w:sz w:val="21"/>
                <w:szCs w:val="21"/>
                <w:highlight w:val="none"/>
              </w:rPr>
              <w:t>（未按招标文件规定的金额填写的，由评标委员会按照招标文件规定的金额进行修正）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23</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保修期</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按照《建设工程质量管理条例》规定。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24</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strike w:val="0"/>
                <w:color w:val="auto"/>
                <w:sz w:val="21"/>
                <w:szCs w:val="21"/>
                <w:highlight w:val="none"/>
              </w:rPr>
              <w:t>计算评标参考价的等分点值</w:t>
            </w:r>
          </w:p>
        </w:tc>
        <w:tc>
          <w:tcPr>
            <w:tcW w:w="7496"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vertAlign w:val="baseline"/>
                <w:lang w:eastAsia="zh-CN"/>
              </w:rPr>
              <w:t>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25</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strike w:val="0"/>
                <w:color w:val="auto"/>
                <w:sz w:val="21"/>
                <w:szCs w:val="21"/>
                <w:highlight w:val="none"/>
              </w:rPr>
              <w:t>进入第二阶段评审的家数</w:t>
            </w:r>
          </w:p>
        </w:tc>
        <w:tc>
          <w:tcPr>
            <w:tcW w:w="7496"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cs="宋体"/>
                <w:color w:val="auto"/>
                <w:szCs w:val="21"/>
                <w:highlight w:val="none"/>
                <w:u w:val="single"/>
              </w:rPr>
              <w:t>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26</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工程成本警戒价</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工程成本警戒价为</w:t>
            </w:r>
            <w:r>
              <w:rPr>
                <w:rFonts w:hint="eastAsia" w:cs="宋体"/>
                <w:color w:val="auto"/>
                <w:sz w:val="21"/>
                <w:szCs w:val="21"/>
                <w:highlight w:val="none"/>
                <w:u w:val="single"/>
                <w:lang w:val="en-US" w:eastAsia="zh-CN"/>
              </w:rPr>
              <w:t>12180455.33</w:t>
            </w:r>
            <w:r>
              <w:rPr>
                <w:rFonts w:hint="eastAsia" w:ascii="宋体" w:hAnsi="宋体" w:eastAsia="宋体" w:cs="宋体"/>
                <w:color w:val="auto"/>
                <w:spacing w:val="-3"/>
                <w:sz w:val="21"/>
                <w:szCs w:val="21"/>
                <w:highlight w:val="none"/>
              </w:rPr>
              <w:t>元</w:t>
            </w:r>
            <w:r>
              <w:rPr>
                <w:rFonts w:hint="eastAsia" w:ascii="宋体" w:hAnsi="宋体" w:eastAsia="宋体" w:cs="宋体"/>
                <w:color w:val="auto"/>
                <w:spacing w:val="-3"/>
                <w:sz w:val="21"/>
                <w:szCs w:val="21"/>
                <w:highlight w:val="none"/>
                <w:u w:val="single"/>
              </w:rPr>
              <w:t>（招标控制价的90%）</w:t>
            </w:r>
            <w:r>
              <w:rPr>
                <w:rFonts w:hint="eastAsia" w:ascii="宋体" w:hAnsi="宋体" w:eastAsia="宋体" w:cs="宋体"/>
                <w:color w:val="auto"/>
                <w:spacing w:val="-3"/>
                <w:sz w:val="21"/>
                <w:szCs w:val="21"/>
                <w:highlight w:val="none"/>
              </w:rPr>
              <w:t>。对低于该警戒价的投标报价，</w:t>
            </w:r>
            <w:r>
              <w:rPr>
                <w:rFonts w:hint="eastAsia" w:ascii="宋体" w:hAnsi="宋体" w:eastAsia="宋体" w:cs="宋体"/>
                <w:color w:val="auto"/>
                <w:spacing w:val="-6"/>
                <w:sz w:val="21"/>
                <w:szCs w:val="21"/>
                <w:highlight w:val="none"/>
              </w:rPr>
              <w:t>投标人必须提供详细的施工组织设计、单价、措施性费用、单</w:t>
            </w:r>
            <w:r>
              <w:rPr>
                <w:rFonts w:hint="eastAsia" w:ascii="宋体" w:hAnsi="宋体" w:eastAsia="宋体" w:cs="宋体"/>
                <w:color w:val="auto"/>
                <w:spacing w:val="-7"/>
                <w:sz w:val="21"/>
                <w:szCs w:val="21"/>
                <w:highlight w:val="none"/>
              </w:rPr>
              <w:t>价分析表、主要材料价格表、投标人成本分析供评标委员会评</w:t>
            </w:r>
            <w:r>
              <w:rPr>
                <w:rFonts w:hint="eastAsia" w:ascii="宋体" w:hAnsi="宋体" w:eastAsia="宋体" w:cs="宋体"/>
                <w:color w:val="auto"/>
                <w:spacing w:val="-6"/>
                <w:sz w:val="21"/>
                <w:szCs w:val="21"/>
                <w:highlight w:val="none"/>
              </w:rPr>
              <w:t>审，由评标委员会判定其是否低于企业自身成本。在评标过程</w:t>
            </w:r>
            <w:r>
              <w:rPr>
                <w:rFonts w:hint="eastAsia" w:ascii="宋体" w:hAnsi="宋体" w:eastAsia="宋体" w:cs="宋体"/>
                <w:color w:val="auto"/>
                <w:spacing w:val="-8"/>
                <w:sz w:val="21"/>
                <w:szCs w:val="21"/>
                <w:highlight w:val="none"/>
              </w:rPr>
              <w:t>中，评标委员会发现投标人的报价明显低于其他投标报价或者低于成本警戒价，使得其投标报价可能低于其个别成本的，应</w:t>
            </w:r>
            <w:r>
              <w:rPr>
                <w:rFonts w:hint="eastAsia" w:ascii="宋体" w:hAnsi="宋体" w:eastAsia="宋体" w:cs="宋体"/>
                <w:color w:val="auto"/>
                <w:spacing w:val="-7"/>
                <w:sz w:val="21"/>
                <w:szCs w:val="21"/>
                <w:highlight w:val="none"/>
              </w:rPr>
              <w:t>当要求该投标人作出书面说明并提供相关证明材料。投标人不能合理说明或者不能提供相关证明材料的，由评标委员会认定</w:t>
            </w:r>
            <w:r>
              <w:rPr>
                <w:rFonts w:hint="eastAsia" w:ascii="宋体" w:hAnsi="宋体" w:eastAsia="宋体" w:cs="宋体"/>
                <w:color w:val="auto"/>
                <w:spacing w:val="-5"/>
                <w:sz w:val="21"/>
                <w:szCs w:val="21"/>
                <w:highlight w:val="none"/>
              </w:rPr>
              <w:t>该投标人以低于成本报价竞标，应当否决其投标。</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注：为充分体现招标人意愿及落实项目招标人负责制，警戒价由招标人决定。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27</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ind w:left="0" w:leftChars="0" w:right="0" w:rightChars="0"/>
              <w:rPr>
                <w:rFonts w:hint="eastAsia" w:ascii="宋体" w:hAnsi="宋体" w:eastAsia="宋体" w:cs="宋体"/>
                <w:b w:val="0"/>
                <w:bCs/>
                <w:strike w:val="0"/>
                <w:color w:val="auto"/>
                <w:sz w:val="21"/>
                <w:szCs w:val="21"/>
                <w:highlight w:val="none"/>
                <w:vertAlign w:val="baseline"/>
                <w:lang w:eastAsia="zh-CN"/>
              </w:rPr>
            </w:pPr>
            <w:r>
              <w:rPr>
                <w:rFonts w:hint="eastAsia" w:ascii="宋体" w:hAnsi="宋体" w:eastAsia="宋体" w:cs="宋体"/>
                <w:strike w:val="0"/>
                <w:color w:val="auto"/>
                <w:sz w:val="21"/>
                <w:szCs w:val="21"/>
                <w:highlight w:val="none"/>
              </w:rPr>
              <w:t>第一阶段各分值的权重</w:t>
            </w:r>
          </w:p>
        </w:tc>
        <w:tc>
          <w:tcPr>
            <w:tcW w:w="7496"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cs="宋体"/>
                <w:color w:val="auto"/>
                <w:szCs w:val="21"/>
                <w:highlight w:val="none"/>
                <w:u w:val="single"/>
              </w:rPr>
              <w:t>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28</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strike w:val="0"/>
                <w:color w:val="auto"/>
                <w:sz w:val="21"/>
                <w:szCs w:val="21"/>
                <w:highlight w:val="none"/>
                <w:vertAlign w:val="baseline"/>
                <w:lang w:eastAsia="zh-CN"/>
              </w:rPr>
            </w:pPr>
            <w:r>
              <w:rPr>
                <w:rFonts w:hint="eastAsia" w:ascii="宋体" w:hAnsi="宋体" w:eastAsia="宋体" w:cs="宋体"/>
                <w:strike w:val="0"/>
                <w:color w:val="auto"/>
                <w:sz w:val="21"/>
                <w:szCs w:val="21"/>
                <w:highlight w:val="none"/>
              </w:rPr>
              <w:t>评标委员会人数</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29</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ind w:left="0" w:leftChars="0" w:right="0" w:rightChars="0"/>
              <w:rPr>
                <w:rFonts w:hint="eastAsia" w:ascii="宋体" w:hAnsi="宋体" w:eastAsia="宋体" w:cs="宋体"/>
                <w:b w:val="0"/>
                <w:bCs/>
                <w:strike w:val="0"/>
                <w:color w:val="auto"/>
                <w:sz w:val="21"/>
                <w:szCs w:val="21"/>
                <w:highlight w:val="none"/>
                <w:vertAlign w:val="baseline"/>
                <w:lang w:eastAsia="zh-CN"/>
              </w:rPr>
            </w:pPr>
            <w:r>
              <w:rPr>
                <w:rFonts w:hint="eastAsia" w:ascii="宋体" w:hAnsi="宋体" w:eastAsia="宋体" w:cs="宋体"/>
                <w:strike w:val="0"/>
                <w:color w:val="auto"/>
                <w:sz w:val="21"/>
                <w:szCs w:val="21"/>
                <w:highlight w:val="none"/>
              </w:rPr>
              <w:t>企业综合诚信评价分数</w:t>
            </w:r>
          </w:p>
        </w:tc>
        <w:tc>
          <w:tcPr>
            <w:tcW w:w="7496" w:type="dxa"/>
            <w:vAlign w:val="center"/>
          </w:tcPr>
          <w:p>
            <w:pPr>
              <w:pStyle w:val="14"/>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cs="宋体"/>
                <w:color w:val="auto"/>
                <w:szCs w:val="21"/>
                <w:highlight w:val="none"/>
                <w:u w:val="single"/>
              </w:rPr>
              <w:t>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30</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ind w:right="0" w:rightChars="0"/>
              <w:rPr>
                <w:rFonts w:hint="eastAsia" w:ascii="宋体" w:hAnsi="宋体" w:eastAsia="宋体" w:cs="宋体"/>
                <w:b w:val="0"/>
                <w:bCs/>
                <w:strike w:val="0"/>
                <w:color w:val="auto"/>
                <w:sz w:val="21"/>
                <w:szCs w:val="21"/>
                <w:highlight w:val="none"/>
                <w:vertAlign w:val="baseline"/>
                <w:lang w:eastAsia="zh-CN"/>
              </w:rPr>
            </w:pPr>
            <w:r>
              <w:rPr>
                <w:rFonts w:hint="eastAsia" w:ascii="宋体" w:hAnsi="宋体" w:eastAsia="宋体" w:cs="宋体"/>
                <w:strike w:val="0"/>
                <w:color w:val="auto"/>
                <w:sz w:val="21"/>
                <w:szCs w:val="21"/>
                <w:highlight w:val="none"/>
              </w:rPr>
              <w:t>第二阶段投标人名次的排序方法（适用于办法一、办法二）</w:t>
            </w:r>
          </w:p>
        </w:tc>
        <w:tc>
          <w:tcPr>
            <w:tcW w:w="7496"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cs="宋体"/>
                <w:color w:val="auto"/>
                <w:szCs w:val="21"/>
                <w:highlight w:val="none"/>
                <w:u w:val="single"/>
              </w:rPr>
              <w:t>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31</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ind w:left="0" w:leftChars="0" w:right="0" w:rightChars="0"/>
              <w:rPr>
                <w:rFonts w:hint="eastAsia" w:ascii="宋体" w:hAnsi="宋体" w:eastAsia="宋体" w:cs="宋体"/>
                <w:b w:val="0"/>
                <w:bCs/>
                <w:strike w:val="0"/>
                <w:color w:val="auto"/>
                <w:sz w:val="21"/>
                <w:szCs w:val="21"/>
                <w:highlight w:val="none"/>
                <w:vertAlign w:val="baseline"/>
                <w:lang w:eastAsia="zh-CN"/>
              </w:rPr>
            </w:pPr>
            <w:r>
              <w:rPr>
                <w:rFonts w:hint="eastAsia" w:ascii="宋体" w:hAnsi="宋体" w:eastAsia="宋体" w:cs="宋体"/>
                <w:strike w:val="0"/>
                <w:color w:val="auto"/>
                <w:sz w:val="21"/>
                <w:szCs w:val="21"/>
                <w:highlight w:val="none"/>
              </w:rPr>
              <w:t>经济分相同情况下的排序方法（适用于办法三、办法四）</w:t>
            </w:r>
          </w:p>
        </w:tc>
        <w:tc>
          <w:tcPr>
            <w:tcW w:w="7496"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cs="宋体"/>
                <w:color w:val="auto"/>
                <w:szCs w:val="21"/>
                <w:highlight w:val="none"/>
                <w:u w:val="single"/>
              </w:rPr>
              <w:t>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32</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strike w:val="0"/>
                <w:color w:val="auto"/>
                <w:sz w:val="21"/>
                <w:szCs w:val="21"/>
                <w:highlight w:val="none"/>
              </w:rPr>
              <w:t>第二阶段投标人名次的排序方法（适用于办法五、办法六）</w:t>
            </w:r>
          </w:p>
        </w:tc>
        <w:tc>
          <w:tcPr>
            <w:tcW w:w="7496" w:type="dxa"/>
            <w:vAlign w:val="center"/>
          </w:tcPr>
          <w:p>
            <w:pPr>
              <w:ind w:left="0" w:leftChars="0" w:right="0" w:rightChars="0"/>
              <w:rPr>
                <w:rFonts w:hint="eastAsia" w:ascii="宋体" w:hAnsi="宋体" w:eastAsia="宋体" w:cs="宋体"/>
                <w:b w:val="0"/>
                <w:bCs/>
                <w:color w:val="auto"/>
                <w:sz w:val="21"/>
                <w:szCs w:val="21"/>
                <w:highlight w:val="none"/>
                <w:vertAlign w:val="baseline"/>
                <w:lang w:eastAsia="zh-CN"/>
              </w:rPr>
            </w:pPr>
            <w:r>
              <w:rPr>
                <w:rFonts w:hint="eastAsia" w:ascii="宋体" w:hAnsi="宋体" w:cs="宋体"/>
                <w:color w:val="auto"/>
                <w:szCs w:val="21"/>
                <w:highlight w:val="none"/>
                <w:u w:val="single"/>
              </w:rPr>
              <w:t>本条不适用。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33</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13.4、13.5.2</w:t>
            </w: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合同价款的调整办法</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b w:val="0"/>
                <w:bCs/>
                <w:color w:val="auto"/>
                <w:sz w:val="21"/>
                <w:szCs w:val="21"/>
                <w:highlight w:val="none"/>
                <w:u w:val="single"/>
                <w:vertAlign w:val="baseline"/>
                <w:lang w:eastAsia="zh-CN"/>
              </w:rPr>
              <w:t>按合同条款相关约定调整。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34</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建设工程质量检测</w:t>
            </w:r>
            <w:r>
              <w:rPr>
                <w:rFonts w:hint="eastAsia" w:cs="宋体"/>
                <w:color w:val="auto"/>
                <w:sz w:val="21"/>
                <w:szCs w:val="21"/>
                <w:highlight w:val="none"/>
                <w:u w:val="none"/>
                <w:lang w:eastAsia="zh-CN"/>
              </w:rPr>
              <w:t>单位</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pacing w:val="0"/>
                <w:sz w:val="22"/>
                <w:szCs w:val="21"/>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35</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分包</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不允许；</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允许：分包内容要要求：</w:t>
            </w:r>
            <w:r>
              <w:rPr>
                <w:rFonts w:hint="eastAsia" w:ascii="宋体" w:hAnsi="宋体" w:eastAsia="宋体" w:cs="宋体"/>
                <w:color w:val="auto"/>
                <w:sz w:val="21"/>
                <w:szCs w:val="21"/>
                <w:highlight w:val="none"/>
                <w:u w:val="single"/>
                <w:lang w:val="zh-CN"/>
              </w:rPr>
              <w:t>中标人按照合同约定或者经招标人同意，可以将中标项目的部分非主体、非关键性工作分包给具有相应资质的单位完成。</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840" w:firstLineChars="4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分包金额要求：</w:t>
            </w:r>
            <w:r>
              <w:rPr>
                <w:rFonts w:hint="eastAsia" w:ascii="宋体" w:hAnsi="宋体" w:eastAsia="宋体" w:cs="宋体"/>
                <w:color w:val="auto"/>
                <w:sz w:val="21"/>
                <w:szCs w:val="21"/>
                <w:highlight w:val="none"/>
                <w:u w:val="single"/>
              </w:rPr>
              <w:t>根据实际情况确定</w:t>
            </w:r>
            <w:r>
              <w:rPr>
                <w:rFonts w:hint="eastAsia" w:ascii="宋体" w:hAnsi="宋体" w:eastAsia="宋体" w:cs="宋体"/>
                <w:color w:val="auto"/>
                <w:sz w:val="21"/>
                <w:szCs w:val="21"/>
                <w:highlight w:val="none"/>
                <w:u w:val="single"/>
                <w:lang w:eastAsia="zh-CN"/>
              </w:rPr>
              <w:t>。</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816" w:firstLineChars="400"/>
              <w:jc w:val="both"/>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pacing w:val="-3"/>
                <w:sz w:val="21"/>
                <w:szCs w:val="21"/>
                <w:highlight w:val="none"/>
              </w:rPr>
              <w:t>对分包人的资质要求：</w:t>
            </w:r>
            <w:r>
              <w:rPr>
                <w:rFonts w:hint="eastAsia" w:ascii="宋体" w:hAnsi="宋体" w:eastAsia="宋体" w:cs="宋体"/>
                <w:color w:val="auto"/>
                <w:spacing w:val="-3"/>
                <w:sz w:val="21"/>
                <w:szCs w:val="21"/>
                <w:highlight w:val="none"/>
                <w:u w:val="single"/>
              </w:rPr>
              <w:t>接受分包的单位应当具备相应的资质条件，并不得再次分包</w:t>
            </w:r>
            <w:r>
              <w:rPr>
                <w:rFonts w:hint="eastAsia" w:ascii="宋体" w:hAnsi="宋体" w:eastAsia="宋体" w:cs="宋体"/>
                <w:color w:val="auto"/>
                <w:spacing w:val="-3"/>
                <w:sz w:val="21"/>
                <w:szCs w:val="21"/>
                <w:highlight w:val="none"/>
                <w:u w:val="single"/>
                <w:lang w:eastAsia="zh-CN"/>
              </w:rPr>
              <w:t>。</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816" w:firstLineChars="400"/>
              <w:jc w:val="both"/>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color w:val="auto"/>
                <w:spacing w:val="-3"/>
                <w:sz w:val="21"/>
                <w:szCs w:val="21"/>
                <w:highlight w:val="none"/>
              </w:rPr>
              <w:t>对分包人的其他要求：</w:t>
            </w:r>
            <w:r>
              <w:rPr>
                <w:rFonts w:hint="eastAsia" w:ascii="宋体" w:hAnsi="宋体" w:eastAsia="宋体" w:cs="宋体"/>
                <w:color w:val="auto"/>
                <w:spacing w:val="-3"/>
                <w:sz w:val="21"/>
                <w:szCs w:val="21"/>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36</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电子招标投标解密失败及突发情况的补救</w:t>
            </w:r>
          </w:p>
        </w:tc>
        <w:tc>
          <w:tcPr>
            <w:tcW w:w="749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pacing w:val="-7"/>
                <w:sz w:val="21"/>
                <w:szCs w:val="21"/>
                <w:highlight w:val="none"/>
              </w:rPr>
              <w:t>、按照交易平台关于全流程电子化项目的相关指南进行操作。详见：</w:t>
            </w:r>
            <w:r>
              <w:rPr>
                <w:rFonts w:hint="eastAsia" w:ascii="宋体" w:hAnsi="宋体" w:eastAsia="宋体" w:cs="宋体"/>
                <w:color w:val="auto"/>
                <w:sz w:val="21"/>
                <w:szCs w:val="21"/>
                <w:highlight w:val="none"/>
                <w:u w:val="single"/>
              </w:rPr>
              <w:t xml:space="preserve"> 【房建市政】新数字交易平台操作指引（适用于工程总承包类项目等）房屋建筑和市政基础设施工程全流程电子化项目专章（</w:t>
            </w:r>
            <w:r>
              <w:rPr>
                <w:rFonts w:hint="eastAsia" w:cs="宋体"/>
                <w:color w:val="auto"/>
                <w:sz w:val="21"/>
                <w:szCs w:val="21"/>
                <w:highlight w:val="none"/>
                <w:u w:val="single"/>
                <w:lang w:eastAsia="zh-CN"/>
              </w:rPr>
              <w:t>http://www.gzggzy.cn/fwznbszyjsgc/928327.jhtml</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3"/>
                <w:sz w:val="21"/>
                <w:szCs w:val="21"/>
                <w:highlight w:val="none"/>
              </w:rPr>
              <w:t>。</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pacing w:val="-3"/>
                <w:sz w:val="21"/>
                <w:szCs w:val="21"/>
                <w:highlight w:val="none"/>
              </w:rPr>
              <w:t>、提交投标文件光盘备用</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投标人可制作非加密的电子投标文件</w:t>
            </w:r>
            <w:r>
              <w:rPr>
                <w:rFonts w:hint="eastAsia" w:ascii="宋体" w:hAnsi="宋体" w:eastAsia="宋体" w:cs="宋体"/>
                <w:color w:val="auto"/>
                <w:sz w:val="21"/>
                <w:szCs w:val="21"/>
                <w:highlight w:val="none"/>
              </w:rPr>
              <w:t>（PDF</w:t>
            </w:r>
            <w:r>
              <w:rPr>
                <w:rFonts w:hint="eastAsia" w:ascii="宋体" w:hAnsi="宋体" w:eastAsia="宋体" w:cs="宋体"/>
                <w:color w:val="auto"/>
                <w:spacing w:val="-15"/>
                <w:sz w:val="21"/>
                <w:szCs w:val="21"/>
                <w:highlight w:val="none"/>
              </w:rPr>
              <w:t>格式</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9"/>
                <w:sz w:val="21"/>
                <w:szCs w:val="21"/>
                <w:highlight w:val="none"/>
              </w:rPr>
              <w:t>刻入光盘</w:t>
            </w:r>
            <w:r>
              <w:rPr>
                <w:rFonts w:hint="eastAsia" w:ascii="宋体" w:hAnsi="宋体" w:eastAsia="宋体" w:cs="宋体"/>
                <w:color w:val="auto"/>
                <w:sz w:val="21"/>
                <w:szCs w:val="21"/>
                <w:highlight w:val="none"/>
              </w:rPr>
              <w:t>（1</w:t>
            </w:r>
            <w:r>
              <w:rPr>
                <w:rFonts w:hint="eastAsia" w:ascii="宋体" w:hAnsi="宋体" w:eastAsia="宋体" w:cs="宋体"/>
                <w:color w:val="auto"/>
                <w:w w:val="100"/>
                <w:sz w:val="21"/>
                <w:szCs w:val="21"/>
                <w:highlight w:val="none"/>
              </w:rPr>
              <w:t>份</w:t>
            </w:r>
            <w:r>
              <w:rPr>
                <w:rFonts w:hint="eastAsia" w:ascii="宋体" w:hAnsi="宋体" w:eastAsia="宋体" w:cs="宋体"/>
                <w:color w:val="auto"/>
                <w:spacing w:val="-106"/>
                <w:w w:val="100"/>
                <w:sz w:val="21"/>
                <w:szCs w:val="21"/>
                <w:highlight w:val="none"/>
              </w:rPr>
              <w:t>）</w:t>
            </w:r>
            <w:r>
              <w:rPr>
                <w:rFonts w:hint="eastAsia" w:ascii="宋体" w:hAnsi="宋体" w:eastAsia="宋体" w:cs="宋体"/>
                <w:color w:val="auto"/>
                <w:spacing w:val="-3"/>
                <w:w w:val="100"/>
                <w:sz w:val="21"/>
                <w:szCs w:val="21"/>
                <w:highlight w:val="none"/>
              </w:rPr>
              <w:t>，在投标须知前附表第</w:t>
            </w:r>
            <w:r>
              <w:rPr>
                <w:rFonts w:hint="eastAsia" w:ascii="宋体" w:hAnsi="宋体" w:eastAsia="宋体" w:cs="宋体"/>
                <w:color w:val="auto"/>
                <w:w w:val="100"/>
                <w:sz w:val="21"/>
                <w:szCs w:val="21"/>
                <w:highlight w:val="none"/>
              </w:rPr>
              <w:t>18</w:t>
            </w:r>
            <w:r>
              <w:rPr>
                <w:rFonts w:hint="eastAsia" w:ascii="宋体" w:hAnsi="宋体" w:eastAsia="宋体" w:cs="宋体"/>
                <w:color w:val="auto"/>
                <w:spacing w:val="-3"/>
                <w:w w:val="100"/>
                <w:sz w:val="21"/>
                <w:szCs w:val="21"/>
                <w:highlight w:val="none"/>
              </w:rPr>
              <w:t>项规定的时间、地点提交备用。</w:t>
            </w:r>
            <w:r>
              <w:rPr>
                <w:rFonts w:hint="eastAsia" w:ascii="宋体" w:hAnsi="宋体" w:eastAsia="宋体" w:cs="宋体"/>
                <w:color w:val="auto"/>
                <w:spacing w:val="-5"/>
                <w:sz w:val="21"/>
                <w:szCs w:val="21"/>
                <w:highlight w:val="none"/>
              </w:rPr>
              <w:t>刻录好的投标文件光盘密封在密封袋中，并在封口处加盖投标</w:t>
            </w:r>
            <w:r>
              <w:rPr>
                <w:rFonts w:hint="eastAsia" w:ascii="宋体" w:hAnsi="宋体" w:eastAsia="宋体" w:cs="宋体"/>
                <w:color w:val="auto"/>
                <w:spacing w:val="-7"/>
                <w:sz w:val="21"/>
                <w:szCs w:val="21"/>
                <w:highlight w:val="none"/>
              </w:rPr>
              <w:t>人单位公章。密封袋上应写明项目名称和招标人名称。递交的</w:t>
            </w:r>
            <w:r>
              <w:rPr>
                <w:rFonts w:hint="eastAsia" w:ascii="宋体" w:hAnsi="宋体" w:eastAsia="宋体" w:cs="宋体"/>
                <w:color w:val="auto"/>
                <w:spacing w:val="-8"/>
                <w:sz w:val="21"/>
                <w:szCs w:val="21"/>
                <w:highlight w:val="none"/>
              </w:rPr>
              <w:t>光盘不得加密。光盘无法读取或导入的，则视为未提交备用投</w:t>
            </w:r>
            <w:r>
              <w:rPr>
                <w:rFonts w:hint="eastAsia" w:ascii="宋体" w:hAnsi="宋体" w:eastAsia="宋体" w:cs="宋体"/>
                <w:color w:val="auto"/>
                <w:spacing w:val="-9"/>
                <w:sz w:val="21"/>
                <w:szCs w:val="21"/>
                <w:highlight w:val="none"/>
              </w:rPr>
              <w:t>标文件光盘。如果投标人没有按规定通过交易平台网上递交电</w:t>
            </w:r>
            <w:r>
              <w:rPr>
                <w:rFonts w:hint="eastAsia" w:ascii="宋体" w:hAnsi="宋体" w:eastAsia="宋体" w:cs="宋体"/>
                <w:color w:val="auto"/>
                <w:spacing w:val="-8"/>
                <w:sz w:val="21"/>
                <w:szCs w:val="21"/>
                <w:highlight w:val="none"/>
              </w:rPr>
              <w:t>子投标文件的，不再读取提交的光盘。投标人也可不提交备用</w:t>
            </w:r>
            <w:r>
              <w:rPr>
                <w:rFonts w:hint="eastAsia" w:ascii="宋体" w:hAnsi="宋体" w:eastAsia="宋体" w:cs="宋体"/>
                <w:color w:val="auto"/>
                <w:spacing w:val="-7"/>
                <w:sz w:val="21"/>
                <w:szCs w:val="21"/>
                <w:highlight w:val="none"/>
              </w:rPr>
              <w:t>光盘。</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3、补救方案</w:t>
            </w:r>
          </w:p>
          <w:p>
            <w:pPr>
              <w:pStyle w:val="27"/>
              <w:keepNext w:val="0"/>
              <w:keepLines w:val="0"/>
              <w:pageBreakBefore w:val="0"/>
              <w:widowControl w:val="0"/>
              <w:numPr>
                <w:ilvl w:val="0"/>
                <w:numId w:val="2"/>
              </w:numPr>
              <w:tabs>
                <w:tab w:val="left" w:pos="636"/>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投标文件解密失败的补救方案：</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w:t>
            </w:r>
            <w:r>
              <w:rPr>
                <w:rFonts w:hint="eastAsia" w:ascii="宋体" w:hAnsi="宋体" w:eastAsia="宋体" w:cs="宋体"/>
                <w:color w:val="auto"/>
                <w:spacing w:val="-4"/>
                <w:sz w:val="21"/>
                <w:szCs w:val="21"/>
                <w:highlight w:val="none"/>
              </w:rPr>
              <w:t>未递交电子光盘的，视为撤回投标文件。</w:t>
            </w:r>
          </w:p>
          <w:p>
            <w:pPr>
              <w:pStyle w:val="27"/>
              <w:keepNext w:val="0"/>
              <w:keepLines w:val="0"/>
              <w:pageBreakBefore w:val="0"/>
              <w:widowControl w:val="0"/>
              <w:numPr>
                <w:ilvl w:val="0"/>
                <w:numId w:val="2"/>
              </w:numPr>
              <w:tabs>
                <w:tab w:val="left" w:pos="636"/>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评标时突发情况的补救方案</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若遇不可抗力发生</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6"/>
                <w:sz w:val="21"/>
                <w:szCs w:val="21"/>
                <w:highlight w:val="none"/>
              </w:rPr>
              <w:t>指网络瘫痪、服务器损坏、交易系统故障</w:t>
            </w:r>
            <w:r>
              <w:rPr>
                <w:rFonts w:hint="eastAsia" w:ascii="宋体" w:hAnsi="宋体" w:eastAsia="宋体" w:cs="宋体"/>
                <w:color w:val="auto"/>
                <w:w w:val="100"/>
                <w:sz w:val="21"/>
                <w:szCs w:val="21"/>
                <w:highlight w:val="none"/>
              </w:rPr>
              <w:t>短期无法恢复等因素</w:t>
            </w:r>
            <w:r>
              <w:rPr>
                <w:rFonts w:hint="eastAsia" w:ascii="宋体" w:hAnsi="宋体" w:eastAsia="宋体" w:cs="宋体"/>
                <w:color w:val="auto"/>
                <w:spacing w:val="-104"/>
                <w:w w:val="100"/>
                <w:sz w:val="21"/>
                <w:szCs w:val="21"/>
                <w:highlight w:val="none"/>
              </w:rPr>
              <w:t>）</w:t>
            </w:r>
            <w:r>
              <w:rPr>
                <w:rFonts w:hint="eastAsia" w:ascii="宋体" w:hAnsi="宋体" w:eastAsia="宋体" w:cs="宋体"/>
                <w:color w:val="auto"/>
                <w:w w:val="100"/>
                <w:sz w:val="21"/>
                <w:szCs w:val="21"/>
                <w:highlight w:val="none"/>
              </w:rPr>
              <w:t>，由评标委员会开启投标人递交的全部</w:t>
            </w:r>
            <w:r>
              <w:rPr>
                <w:rFonts w:hint="eastAsia" w:ascii="宋体" w:hAnsi="宋体" w:eastAsia="宋体" w:cs="宋体"/>
                <w:color w:val="auto"/>
                <w:spacing w:val="-3"/>
                <w:sz w:val="21"/>
                <w:szCs w:val="21"/>
                <w:highlight w:val="none"/>
              </w:rPr>
              <w:t>投标文件光盘，并按光盘内容进行评审。</w:t>
            </w:r>
          </w:p>
          <w:p>
            <w:pPr>
              <w:pStyle w:val="27"/>
              <w:keepNext w:val="0"/>
              <w:keepLines w:val="0"/>
              <w:pageBreakBefore w:val="0"/>
              <w:widowControl w:val="0"/>
              <w:numPr>
                <w:ilvl w:val="0"/>
                <w:numId w:val="2"/>
              </w:numPr>
              <w:tabs>
                <w:tab w:val="left" w:pos="636"/>
              </w:tabs>
              <w:kinsoku/>
              <w:wordWrap/>
              <w:overflowPunct/>
              <w:topLinePunct w:val="0"/>
              <w:autoSpaceDE w:val="0"/>
              <w:autoSpaceDN w:val="0"/>
              <w:bidi w:val="0"/>
              <w:adjustRightInd/>
              <w:snapToGrid/>
              <w:spacing w:before="0" w:after="0" w:line="240" w:lineRule="auto"/>
              <w:ind w:left="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除发生上述情况外，开标评标均以投标人通过交易平台网</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both"/>
              <w:textAlignment w:val="auto"/>
              <w:rPr>
                <w:rFonts w:hint="eastAsia" w:ascii="宋体" w:hAnsi="宋体" w:eastAsia="宋体" w:cs="宋体"/>
                <w:b w:val="0"/>
                <w:bCs/>
                <w:color w:val="auto"/>
                <w:sz w:val="21"/>
                <w:szCs w:val="21"/>
                <w:highlight w:val="none"/>
                <w:vertAlign w:val="baseline"/>
                <w:lang w:eastAsia="zh-CN"/>
              </w:rPr>
            </w:pPr>
            <w:r>
              <w:rPr>
                <w:rFonts w:hint="eastAsia" w:ascii="宋体" w:hAnsi="宋体" w:eastAsia="宋体" w:cs="宋体"/>
                <w:color w:val="auto"/>
                <w:sz w:val="21"/>
                <w:szCs w:val="21"/>
                <w:highlight w:val="none"/>
              </w:rPr>
              <w:t>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u w:val="single"/>
                <w:vertAlign w:val="baseline"/>
                <w:lang w:val="en-US" w:eastAsia="zh-CN"/>
              </w:rPr>
              <w:t>37</w:t>
            </w:r>
          </w:p>
        </w:tc>
        <w:tc>
          <w:tcPr>
            <w:tcW w:w="10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jc w:val="center"/>
              <w:textAlignment w:val="auto"/>
              <w:rPr>
                <w:rFonts w:hint="eastAsia" w:ascii="宋体" w:hAnsi="宋体" w:eastAsia="宋体" w:cs="宋体"/>
                <w:b w:val="0"/>
                <w:bCs/>
                <w:color w:val="auto"/>
                <w:sz w:val="21"/>
                <w:szCs w:val="21"/>
                <w:highlight w:val="none"/>
                <w:vertAlign w:val="baseline"/>
                <w:lang w:eastAsia="zh-CN"/>
              </w:rPr>
            </w:pPr>
          </w:p>
        </w:tc>
        <w:tc>
          <w:tcPr>
            <w:tcW w:w="1003" w:type="dxa"/>
            <w:vAlign w:val="center"/>
          </w:tcPr>
          <w:p>
            <w:pPr>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工人工资分账管理</w:t>
            </w:r>
          </w:p>
        </w:tc>
        <w:tc>
          <w:tcPr>
            <w:tcW w:w="7496" w:type="dxa"/>
            <w:vAlign w:val="center"/>
          </w:tcPr>
          <w:p>
            <w:pPr>
              <w:ind w:left="0" w:leftChars="0" w:right="0" w:rightChars="0"/>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本项目按照《住房城乡建设部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实行工人工资分账管理。</w:t>
            </w:r>
          </w:p>
        </w:tc>
      </w:tr>
    </w:tbl>
    <w:p>
      <w:pPr>
        <w:pStyle w:val="13"/>
        <w:keepNext w:val="0"/>
        <w:keepLines w:val="0"/>
        <w:pageBreakBefore w:val="0"/>
        <w:widowControl w:val="0"/>
        <w:kinsoku/>
        <w:wordWrap/>
        <w:overflowPunct/>
        <w:topLinePunct w:val="0"/>
        <w:bidi w:val="0"/>
        <w:adjustRightInd/>
        <w:spacing w:before="8" w:line="360" w:lineRule="auto"/>
        <w:ind w:left="0"/>
        <w:textAlignment w:val="auto"/>
        <w:rPr>
          <w:b/>
          <w:color w:val="auto"/>
          <w:sz w:val="8"/>
          <w:highlight w:val="none"/>
        </w:rPr>
      </w:pPr>
    </w:p>
    <w:p>
      <w:pPr>
        <w:keepNext w:val="0"/>
        <w:keepLines w:val="0"/>
        <w:pageBreakBefore w:val="0"/>
        <w:widowControl w:val="0"/>
        <w:kinsoku/>
        <w:wordWrap/>
        <w:overflowPunct/>
        <w:topLinePunct w:val="0"/>
        <w:bidi w:val="0"/>
        <w:adjustRightInd/>
        <w:spacing w:after="0" w:line="360" w:lineRule="auto"/>
        <w:textAlignment w:val="auto"/>
        <w:rPr>
          <w:strike/>
          <w:dstrike w:val="0"/>
          <w:color w:val="auto"/>
          <w:highlight w:val="none"/>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outlineLvl w:val="1"/>
        <w:rPr>
          <w:color w:val="auto"/>
          <w:sz w:val="28"/>
          <w:szCs w:val="28"/>
          <w:highlight w:val="none"/>
        </w:rPr>
      </w:pPr>
      <w:bookmarkStart w:id="3" w:name="_Toc2099"/>
      <w:r>
        <w:rPr>
          <w:color w:val="auto"/>
          <w:sz w:val="28"/>
          <w:szCs w:val="28"/>
          <w:highlight w:val="none"/>
        </w:rPr>
        <w:t>二、投标须知修改表</w:t>
      </w:r>
      <w:bookmarkEnd w:id="3"/>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200"/>
        <w:jc w:val="both"/>
        <w:textAlignment w:val="auto"/>
        <w:rPr>
          <w:rFonts w:hint="eastAsia" w:ascii="宋体" w:hAnsi="宋体" w:eastAsia="宋体" w:cs="宋体"/>
          <w:b/>
          <w:color w:val="auto"/>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b/>
          <w:color w:val="auto"/>
          <w:sz w:val="21"/>
          <w:highlight w:val="none"/>
        </w:rPr>
      </w:pPr>
      <w:r>
        <w:rPr>
          <w:rFonts w:hint="eastAsia" w:ascii="宋体" w:hAnsi="宋体" w:eastAsia="宋体" w:cs="宋体"/>
          <w:b/>
          <w:color w:val="auto"/>
          <w:spacing w:val="-8"/>
          <w:sz w:val="21"/>
          <w:szCs w:val="21"/>
          <w:highlight w:val="none"/>
        </w:rPr>
        <w:t>声明：本投标须知使用</w:t>
      </w:r>
      <w:r>
        <w:rPr>
          <w:rFonts w:hint="eastAsia" w:ascii="宋体" w:hAnsi="宋体" w:eastAsia="宋体" w:cs="宋体"/>
          <w:b/>
          <w:color w:val="auto"/>
          <w:sz w:val="21"/>
          <w:szCs w:val="21"/>
          <w:highlight w:val="none"/>
        </w:rPr>
        <w:t>GZZB2018-3</w:t>
      </w:r>
      <w:r>
        <w:rPr>
          <w:rFonts w:hint="eastAsia" w:ascii="宋体" w:hAnsi="宋体" w:eastAsia="宋体" w:cs="宋体"/>
          <w:b/>
          <w:color w:val="auto"/>
          <w:spacing w:val="-4"/>
          <w:sz w:val="21"/>
          <w:szCs w:val="21"/>
          <w:highlight w:val="none"/>
        </w:rPr>
        <w:t>招标文件范本的投标须知通用条款，与该通用条款不同之处，均在本表中列明，并以现文为准，原文不再有效。本招标文件中不再转录投标须知通用条款，</w:t>
      </w:r>
      <w:r>
        <w:rPr>
          <w:rFonts w:hint="eastAsia" w:ascii="宋体" w:hAnsi="宋体" w:eastAsia="宋体" w:cs="宋体"/>
          <w:b/>
          <w:color w:val="auto"/>
          <w:spacing w:val="-3"/>
          <w:sz w:val="21"/>
          <w:szCs w:val="21"/>
          <w:highlight w:val="none"/>
        </w:rPr>
        <w:t>请投标人自行到广州市住房和城乡建设局网站</w:t>
      </w:r>
      <w:r>
        <w:rPr>
          <w:rFonts w:hint="eastAsia" w:ascii="宋体" w:hAnsi="宋体" w:eastAsia="宋体" w:cs="宋体"/>
          <w:b/>
          <w:color w:val="auto"/>
          <w:sz w:val="21"/>
          <w:szCs w:val="21"/>
          <w:highlight w:val="none"/>
        </w:rPr>
        <w:t>（</w:t>
      </w:r>
      <w:r>
        <w:rPr>
          <w:rFonts w:hint="eastAsia" w:ascii="宋体" w:hAnsi="宋体" w:eastAsia="宋体" w:cs="宋体"/>
          <w:b/>
          <w:color w:val="auto"/>
          <w:spacing w:val="-2"/>
          <w:sz w:val="21"/>
          <w:szCs w:val="21"/>
          <w:highlight w:val="none"/>
        </w:rPr>
        <w:t>网址：http://zfcj.gz.gov.cn/</w:t>
      </w:r>
      <w:r>
        <w:rPr>
          <w:rFonts w:hint="eastAsia" w:ascii="宋体" w:hAnsi="宋体" w:eastAsia="宋体" w:cs="宋体"/>
          <w:b/>
          <w:color w:val="auto"/>
          <w:sz w:val="21"/>
          <w:szCs w:val="21"/>
          <w:highlight w:val="none"/>
        </w:rPr>
        <w:t>）下载查阅。</w:t>
      </w:r>
    </w:p>
    <w:p>
      <w:pPr>
        <w:pStyle w:val="13"/>
        <w:keepNext w:val="0"/>
        <w:keepLines w:val="0"/>
        <w:pageBreakBefore w:val="0"/>
        <w:widowControl w:val="0"/>
        <w:kinsoku/>
        <w:wordWrap/>
        <w:overflowPunct/>
        <w:topLinePunct w:val="0"/>
        <w:bidi w:val="0"/>
        <w:adjustRightInd/>
        <w:spacing w:before="7" w:line="360" w:lineRule="auto"/>
        <w:ind w:left="0"/>
        <w:textAlignment w:val="auto"/>
        <w:rPr>
          <w:b/>
          <w:color w:val="auto"/>
          <w:sz w:val="15"/>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outlineLvl w:val="2"/>
        <w:rPr>
          <w:rFonts w:hint="eastAsia" w:ascii="宋体" w:hAnsi="宋体" w:eastAsia="宋体" w:cs="宋体"/>
          <w:b/>
          <w:color w:val="auto"/>
          <w:spacing w:val="-8"/>
          <w:sz w:val="21"/>
          <w:szCs w:val="21"/>
          <w:highlight w:val="none"/>
          <w:lang w:eastAsia="zh-CN"/>
        </w:rPr>
      </w:pPr>
      <w:bookmarkStart w:id="4" w:name="_Toc14725"/>
      <w:r>
        <w:rPr>
          <w:rFonts w:hint="eastAsia" w:ascii="宋体" w:hAnsi="宋体" w:eastAsia="宋体" w:cs="宋体"/>
          <w:b/>
          <w:color w:val="auto"/>
          <w:spacing w:val="-8"/>
          <w:sz w:val="21"/>
          <w:szCs w:val="21"/>
          <w:highlight w:val="none"/>
        </w:rPr>
        <w:t>条款号：</w:t>
      </w:r>
      <w:r>
        <w:rPr>
          <w:rFonts w:hint="eastAsia" w:cs="宋体"/>
          <w:b/>
          <w:color w:val="auto"/>
          <w:spacing w:val="-8"/>
          <w:sz w:val="21"/>
          <w:szCs w:val="21"/>
          <w:highlight w:val="none"/>
          <w:lang w:val="en-US" w:eastAsia="zh-CN"/>
        </w:rPr>
        <w:t xml:space="preserve">5.1        </w:t>
      </w:r>
      <w:r>
        <w:rPr>
          <w:rFonts w:hint="eastAsia" w:ascii="宋体" w:hAnsi="宋体" w:eastAsia="宋体" w:cs="宋体"/>
          <w:b/>
          <w:color w:val="auto"/>
          <w:spacing w:val="-8"/>
          <w:sz w:val="21"/>
          <w:szCs w:val="21"/>
          <w:highlight w:val="none"/>
        </w:rPr>
        <w:t>修改类型：</w:t>
      </w:r>
      <w:r>
        <w:rPr>
          <w:rFonts w:hint="eastAsia" w:cs="宋体"/>
          <w:b/>
          <w:color w:val="auto"/>
          <w:spacing w:val="-8"/>
          <w:sz w:val="21"/>
          <w:szCs w:val="21"/>
          <w:highlight w:val="none"/>
          <w:lang w:eastAsia="zh-CN"/>
        </w:rPr>
        <w:t>修改</w:t>
      </w:r>
      <w:bookmarkEnd w:id="4"/>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lang w:eastAsia="zh-CN"/>
        </w:rPr>
      </w:pPr>
      <w:r>
        <w:rPr>
          <w:rFonts w:hint="eastAsia" w:cs="宋体"/>
          <w:b/>
          <w:color w:val="auto"/>
          <w:spacing w:val="-8"/>
          <w:sz w:val="21"/>
          <w:szCs w:val="21"/>
          <w:highlight w:val="none"/>
          <w:lang w:eastAsia="zh-CN"/>
        </w:rPr>
        <w:t>原文：</w:t>
      </w:r>
      <w:r>
        <w:rPr>
          <w:rFonts w:hint="eastAsia" w:ascii="宋体" w:hAnsi="宋体" w:eastAsia="宋体" w:cs="宋体"/>
          <w:b w:val="0"/>
          <w:bCs/>
          <w:color w:val="auto"/>
          <w:spacing w:val="-8"/>
          <w:sz w:val="21"/>
          <w:szCs w:val="21"/>
          <w:highlight w:val="none"/>
        </w:rPr>
        <w:t>5.1 投标人应按本投标须知前附表第15项所述时间和要求对工程现场及周围环境进行踏勘，投标人应充分重视和仔细地进行这种考察，以便投标人</w:t>
      </w:r>
      <w:r>
        <w:rPr>
          <w:rFonts w:hint="eastAsia" w:cs="宋体"/>
          <w:b w:val="0"/>
          <w:bCs/>
          <w:color w:val="auto"/>
          <w:spacing w:val="-8"/>
          <w:sz w:val="21"/>
          <w:szCs w:val="21"/>
          <w:highlight w:val="none"/>
          <w:lang w:val="en-US" w:eastAsia="zh-CN"/>
        </w:rPr>
        <w:t>0</w:t>
      </w:r>
      <w:r>
        <w:rPr>
          <w:rFonts w:hint="eastAsia" w:ascii="宋体" w:hAnsi="宋体" w:eastAsia="宋体" w:cs="宋体"/>
          <w:b w:val="0"/>
          <w:bCs/>
          <w:color w:val="auto"/>
          <w:spacing w:val="-8"/>
          <w:sz w:val="21"/>
          <w:szCs w:val="21"/>
          <w:highlight w:val="none"/>
        </w:rPr>
        <w:t>获取那些须投标人自己负责的有关编制投标文件和签署合同所涉及现场所有的资料。一旦中标，这种考察即被认为其结果已在中标文件中得到充分反映。考察现场的费用由投标人自己承担。</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val="0"/>
          <w:bCs/>
          <w:color w:val="auto"/>
          <w:spacing w:val="-8"/>
          <w:sz w:val="21"/>
          <w:szCs w:val="21"/>
          <w:highlight w:val="none"/>
        </w:rPr>
      </w:pPr>
      <w:r>
        <w:rPr>
          <w:rFonts w:hint="eastAsia" w:ascii="宋体" w:hAnsi="宋体" w:eastAsia="宋体" w:cs="宋体"/>
          <w:b/>
          <w:color w:val="auto"/>
          <w:spacing w:val="-8"/>
          <w:sz w:val="21"/>
          <w:szCs w:val="21"/>
          <w:highlight w:val="none"/>
        </w:rPr>
        <w:t>现文：</w:t>
      </w:r>
      <w:r>
        <w:rPr>
          <w:rFonts w:hint="eastAsia" w:ascii="宋体" w:hAnsi="宋体" w:eastAsia="宋体" w:cs="宋体"/>
          <w:b w:val="0"/>
          <w:bCs/>
          <w:color w:val="auto"/>
          <w:spacing w:val="-8"/>
          <w:sz w:val="21"/>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b w:val="0"/>
          <w:bCs/>
          <w:color w:val="auto"/>
          <w:spacing w:val="-8"/>
          <w:sz w:val="21"/>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eastAsia="宋体" w:cs="宋体"/>
          <w:b w:val="0"/>
          <w:bCs/>
          <w:color w:val="auto"/>
          <w:spacing w:val="-8"/>
          <w:sz w:val="21"/>
          <w:szCs w:val="21"/>
          <w:highlight w:val="none"/>
        </w:rPr>
        <w:t>一旦中标，这种考察即被认为其结果已在中标文件中得到充分反映。考察现场的费用由投标人自己承担。</w:t>
      </w:r>
    </w:p>
    <w:p>
      <w:pPr>
        <w:pStyle w:val="13"/>
        <w:keepNext w:val="0"/>
        <w:keepLines w:val="0"/>
        <w:pageBreakBefore w:val="0"/>
        <w:widowControl w:val="0"/>
        <w:kinsoku/>
        <w:wordWrap/>
        <w:overflowPunct/>
        <w:topLinePunct w:val="0"/>
        <w:autoSpaceDE w:val="0"/>
        <w:autoSpaceDN w:val="0"/>
        <w:bidi w:val="0"/>
        <w:adjustRightInd/>
        <w:snapToGrid/>
        <w:spacing w:line="240" w:lineRule="atLeast"/>
        <w:ind w:left="397"/>
        <w:textAlignment w:val="auto"/>
        <w:rPr>
          <w:rFonts w:hint="eastAsia"/>
          <w:color w:val="auto"/>
          <w:highlight w:val="none"/>
        </w:rPr>
      </w:pPr>
      <w:r>
        <w:rPr>
          <w:rFonts w:hint="eastAsia" w:ascii="宋体" w:hAnsi="宋体" w:eastAsia="宋体" w:cs="宋体"/>
          <w:b/>
          <w:color w:val="auto"/>
          <w:spacing w:val="-8"/>
          <w:sz w:val="21"/>
          <w:szCs w:val="21"/>
          <w:highlight w:val="none"/>
        </w:rPr>
        <mc:AlternateContent>
          <mc:Choice Requires="wps">
            <w:drawing>
              <wp:anchor distT="0" distB="0" distL="114300" distR="114300" simplePos="0" relativeHeight="251672576" behindDoc="1" locked="0" layoutInCell="1" allowOverlap="1">
                <wp:simplePos x="0" y="0"/>
                <wp:positionH relativeFrom="page">
                  <wp:posOffset>882650</wp:posOffset>
                </wp:positionH>
                <wp:positionV relativeFrom="paragraph">
                  <wp:posOffset>34290</wp:posOffset>
                </wp:positionV>
                <wp:extent cx="5749925" cy="0"/>
                <wp:effectExtent l="0" t="0" r="0" b="0"/>
                <wp:wrapNone/>
                <wp:docPr id="33" name="直线 6"/>
                <wp:cNvGraphicFramePr/>
                <a:graphic xmlns:a="http://schemas.openxmlformats.org/drawingml/2006/main">
                  <a:graphicData uri="http://schemas.microsoft.com/office/word/2010/wordprocessingShape">
                    <wps:wsp>
                      <wps:cNvCnPr/>
                      <wps:spPr>
                        <a:xfrm>
                          <a:off x="0" y="0"/>
                          <a:ext cx="574992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69.5pt;margin-top:2.7pt;height:0pt;width:452.75pt;mso-position-horizontal-relative:page;z-index:-251643904;mso-width-relative:page;mso-height-relative:page;" filled="f" stroked="t" coordsize="21600,21600" o:gfxdata="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NnKLV&#10;AAAACAEAAA8AAAAAAAAAAQAgAAAAIgAAAGRycy9kb3ducmV2LnhtbFBLAQIUABQAAAAIAIdO4kBP&#10;Buxo6gEAANwDAAAOAAAAAAAAAAEAIAAAACQBAABkcnMvZTJvRG9jLnhtbFBLBQYAAAAABgAGAFkB&#10;AACABQAAAAA=&#10;">
                <v:fill on="f" focussize="0,0"/>
                <v:stroke weight="0.72pt" color="#000000" joinstyle="round"/>
                <v:imagedata o:title=""/>
                <o:lock v:ext="edit" aspectratio="f"/>
              </v:line>
            </w:pict>
          </mc:Fallback>
        </mc:AlternateContent>
      </w:r>
    </w:p>
    <w:p>
      <w:pPr>
        <w:spacing w:line="360" w:lineRule="auto"/>
        <w:ind w:firstLine="495"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7.1            修改类型：修改</w:t>
      </w:r>
    </w:p>
    <w:p>
      <w:pPr>
        <w:spacing w:line="360" w:lineRule="auto"/>
        <w:ind w:firstLine="44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bCs/>
          <w:color w:val="auto"/>
          <w:szCs w:val="21"/>
          <w:highlight w:val="none"/>
        </w:rPr>
        <w:t>7.1</w:t>
      </w:r>
      <w:r>
        <w:rPr>
          <w:rFonts w:hint="eastAsia" w:ascii="宋体" w:hAnsi="宋体" w:eastAsia="宋体" w:cs="宋体"/>
          <w:color w:val="auto"/>
          <w:szCs w:val="21"/>
          <w:highlight w:val="none"/>
        </w:rPr>
        <w:t>本招标文件包括下列文件，以及所有按本须知第8条发出的招标答疑会会议纪要和按本须知第9条发出的澄清或修改：</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第一章  </w:t>
      </w:r>
      <w:r>
        <w:rPr>
          <w:rFonts w:hint="eastAsia" w:ascii="宋体" w:hAnsi="宋体" w:eastAsia="宋体" w:cs="宋体"/>
          <w:color w:val="auto"/>
          <w:sz w:val="21"/>
          <w:szCs w:val="21"/>
          <w:highlight w:val="none"/>
        </w:rPr>
        <w:t>投标须知</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第二章  </w:t>
      </w:r>
      <w:r>
        <w:rPr>
          <w:rFonts w:hint="eastAsia" w:ascii="宋体" w:hAnsi="宋体" w:eastAsia="宋体" w:cs="宋体"/>
          <w:color w:val="auto"/>
          <w:sz w:val="21"/>
          <w:szCs w:val="21"/>
          <w:highlight w:val="none"/>
        </w:rPr>
        <w:t>开标、评标及定标办法</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pPr>
        <w:pStyle w:val="19"/>
        <w:spacing w:after="0"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第四章  </w:t>
      </w:r>
      <w:r>
        <w:rPr>
          <w:rFonts w:hint="eastAsia" w:ascii="宋体" w:hAnsi="宋体" w:eastAsia="宋体" w:cs="宋体"/>
          <w:color w:val="auto"/>
          <w:sz w:val="21"/>
          <w:szCs w:val="21"/>
          <w:highlight w:val="none"/>
        </w:rPr>
        <w:t>投标文件格式</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第五章  </w:t>
      </w:r>
      <w:r>
        <w:rPr>
          <w:rFonts w:hint="eastAsia" w:ascii="宋体" w:hAnsi="宋体" w:eastAsia="宋体" w:cs="宋体"/>
          <w:color w:val="auto"/>
          <w:sz w:val="21"/>
          <w:szCs w:val="21"/>
          <w:highlight w:val="none"/>
        </w:rPr>
        <w:t>技术条件（工程建设标准）（另册）</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第六章  </w:t>
      </w:r>
      <w:r>
        <w:rPr>
          <w:rFonts w:hint="eastAsia" w:ascii="宋体" w:hAnsi="宋体" w:eastAsia="宋体" w:cs="宋体"/>
          <w:color w:val="auto"/>
          <w:sz w:val="21"/>
          <w:szCs w:val="21"/>
          <w:highlight w:val="none"/>
        </w:rPr>
        <w:t>图纸及勘察资料（另册）</w:t>
      </w:r>
    </w:p>
    <w:p>
      <w:pPr>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招标工程量清单（另册）</w:t>
      </w:r>
    </w:p>
    <w:p>
      <w:pPr>
        <w:spacing w:line="360" w:lineRule="auto"/>
        <w:ind w:firstLine="44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第八章  最高投标限价</w:t>
      </w:r>
    </w:p>
    <w:p>
      <w:pPr>
        <w:spacing w:line="360" w:lineRule="auto"/>
        <w:ind w:firstLine="44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注：招标人应在技术条件（工程建设标准）中明确施工现场建筑垃圾源头减量的具体要求和建筑垃圾综合利用产品的使用要求。</w:t>
      </w:r>
    </w:p>
    <w:p>
      <w:pPr>
        <w:spacing w:line="360" w:lineRule="auto"/>
        <w:ind w:firstLine="44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
          <w:bCs/>
          <w:color w:val="auto"/>
          <w:szCs w:val="21"/>
          <w:highlight w:val="none"/>
        </w:rPr>
        <w:t>7.1</w:t>
      </w:r>
      <w:r>
        <w:rPr>
          <w:rFonts w:hint="eastAsia" w:ascii="宋体" w:hAnsi="宋体" w:eastAsia="宋体" w:cs="宋体"/>
          <w:color w:val="auto"/>
          <w:szCs w:val="21"/>
          <w:highlight w:val="none"/>
        </w:rPr>
        <w:t>本招标文件包括下列文件，以及所有按本须知第8条发出的招标答疑会会议纪要和按本须知第9条发出的澄清或修改：</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第一章  </w:t>
      </w:r>
      <w:r>
        <w:rPr>
          <w:rFonts w:hint="eastAsia" w:ascii="宋体" w:hAnsi="宋体" w:eastAsia="宋体" w:cs="宋体"/>
          <w:color w:val="auto"/>
          <w:sz w:val="21"/>
          <w:szCs w:val="21"/>
          <w:highlight w:val="none"/>
        </w:rPr>
        <w:t>投标须知</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第二章  </w:t>
      </w:r>
      <w:r>
        <w:rPr>
          <w:rFonts w:hint="eastAsia" w:ascii="宋体" w:hAnsi="宋体" w:eastAsia="宋体" w:cs="宋体"/>
          <w:color w:val="auto"/>
          <w:sz w:val="21"/>
          <w:szCs w:val="21"/>
          <w:highlight w:val="none"/>
        </w:rPr>
        <w:t>开标、评标及定标办法</w:t>
      </w:r>
    </w:p>
    <w:p>
      <w:pPr>
        <w:pStyle w:val="19"/>
        <w:spacing w:after="0" w:line="360" w:lineRule="auto"/>
        <w:ind w:left="-2"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第三章  合同条款 （另册）</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第四章  </w:t>
      </w:r>
      <w:r>
        <w:rPr>
          <w:rFonts w:hint="eastAsia" w:ascii="宋体" w:hAnsi="宋体" w:eastAsia="宋体" w:cs="宋体"/>
          <w:color w:val="auto"/>
          <w:sz w:val="21"/>
          <w:szCs w:val="21"/>
          <w:highlight w:val="none"/>
        </w:rPr>
        <w:t>投标文件格式</w:t>
      </w:r>
    </w:p>
    <w:p>
      <w:pPr>
        <w:pStyle w:val="19"/>
        <w:spacing w:after="0" w:line="360" w:lineRule="auto"/>
        <w:ind w:left="-2"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u w:val="single"/>
        </w:rPr>
        <w:t xml:space="preserve">第五章  </w:t>
      </w:r>
      <w:r>
        <w:rPr>
          <w:rFonts w:hint="eastAsia" w:ascii="宋体" w:hAnsi="宋体" w:eastAsia="宋体" w:cs="宋体"/>
          <w:color w:val="auto"/>
          <w:sz w:val="21"/>
          <w:szCs w:val="21"/>
          <w:highlight w:val="none"/>
          <w:u w:val="single"/>
        </w:rPr>
        <w:t>技术条件（工程建设标准）</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第六章  </w:t>
      </w:r>
      <w:r>
        <w:rPr>
          <w:rFonts w:hint="eastAsia" w:ascii="宋体" w:hAnsi="宋体" w:eastAsia="宋体" w:cs="宋体"/>
          <w:color w:val="auto"/>
          <w:sz w:val="21"/>
          <w:szCs w:val="21"/>
          <w:highlight w:val="none"/>
        </w:rPr>
        <w:t>图纸及勘察资料（另册）</w:t>
      </w:r>
    </w:p>
    <w:p>
      <w:pPr>
        <w:pStyle w:val="19"/>
        <w:spacing w:after="0" w:line="360" w:lineRule="auto"/>
        <w:ind w:left="-2"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第七章  </w:t>
      </w:r>
      <w:r>
        <w:rPr>
          <w:rFonts w:hint="eastAsia" w:ascii="宋体" w:hAnsi="宋体" w:eastAsia="宋体" w:cs="宋体"/>
          <w:color w:val="auto"/>
          <w:sz w:val="21"/>
          <w:szCs w:val="21"/>
          <w:highlight w:val="none"/>
        </w:rPr>
        <w:t xml:space="preserve">工程量清单（另册） </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最高投标限价</w:t>
      </w:r>
    </w:p>
    <w:p>
      <w:pPr>
        <w:pBdr>
          <w:bottom w:val="single" w:color="auto" w:sz="6" w:space="1"/>
        </w:pBd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注：招标人应在技术条件（工程建设标准）中明确施工现场建筑垃圾源头减量的具体要求和建筑垃圾综合利用产品的使用要求。</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条款号：</w:t>
      </w:r>
      <w:r>
        <w:rPr>
          <w:rFonts w:hint="eastAsia" w:cs="宋体"/>
          <w:b w:val="0"/>
          <w:bCs/>
          <w:color w:val="auto"/>
          <w:spacing w:val="-8"/>
          <w:sz w:val="21"/>
          <w:szCs w:val="21"/>
          <w:highlight w:val="none"/>
          <w:lang w:val="en-US" w:eastAsia="zh-CN"/>
        </w:rPr>
        <w:t>8.1</w:t>
      </w:r>
      <w:r>
        <w:rPr>
          <w:rFonts w:hint="eastAsia" w:cs="宋体"/>
          <w:b/>
          <w:color w:val="auto"/>
          <w:spacing w:val="-8"/>
          <w:sz w:val="21"/>
          <w:szCs w:val="21"/>
          <w:highlight w:val="none"/>
          <w:lang w:val="en-US" w:eastAsia="zh-CN"/>
        </w:rPr>
        <w:t xml:space="preserve"> </w:t>
      </w:r>
      <w:r>
        <w:rPr>
          <w:rFonts w:hint="eastAsia" w:ascii="宋体" w:hAnsi="宋体" w:eastAsia="宋体" w:cs="宋体"/>
          <w:b/>
          <w:color w:val="auto"/>
          <w:spacing w:val="-8"/>
          <w:sz w:val="21"/>
          <w:szCs w:val="21"/>
          <w:highlight w:val="none"/>
        </w:rPr>
        <w:t>修改类型：修改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原文：</w:t>
      </w:r>
      <w:r>
        <w:rPr>
          <w:rFonts w:hint="eastAsia" w:ascii="宋体" w:hAnsi="宋体" w:eastAsia="宋体" w:cs="宋体"/>
          <w:b w:val="0"/>
          <w:bCs/>
          <w:color w:val="auto"/>
          <w:spacing w:val="-8"/>
          <w:sz w:val="21"/>
          <w:szCs w:val="21"/>
          <w:highlight w:val="none"/>
        </w:rPr>
        <w:t>8.1 投标人若对招标文件（包括招标图纸）中有疑问，可以书面形式通过        交易平台提交给招标人或招标代理人，提交形式见本须知前附表第16项。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现文：</w:t>
      </w:r>
      <w:r>
        <w:rPr>
          <w:rFonts w:hint="eastAsia" w:cs="宋体"/>
          <w:b w:val="0"/>
          <w:bCs/>
          <w:color w:val="auto"/>
          <w:spacing w:val="-8"/>
          <w:sz w:val="21"/>
          <w:szCs w:val="21"/>
          <w:highlight w:val="none"/>
          <w:lang w:val="en-US" w:eastAsia="zh-CN"/>
        </w:rPr>
        <w:t xml:space="preserve">8.1 </w:t>
      </w:r>
      <w:r>
        <w:rPr>
          <w:rFonts w:hint="eastAsia" w:ascii="宋体" w:hAnsi="宋体" w:eastAsia="宋体" w:cs="宋体"/>
          <w:b w:val="0"/>
          <w:bCs/>
          <w:color w:val="auto"/>
          <w:spacing w:val="-8"/>
          <w:sz w:val="21"/>
          <w:szCs w:val="21"/>
          <w:highlight w:val="none"/>
          <w:u w:val="single"/>
        </w:rPr>
        <w:t>投标人若对招标文件（包括招标图纸、清单、招标控制价）中有疑问，可在投标须知前附表16项规定的时间内以网上答疑通过广州公共资源交易中心交易平台凭密码进入提问区域将问题提交给招标人或招标代理人，提交问题时一律不得署名。网上答疑的操作指南为：登陆广州公共资源交易中心网站→进入交易业务/建设工程 “网上答疑”专区→通过项目编号或名称找到所需的项目→在上述的答疑时间内点击“提问”→登录系统进入到提问区域→无记名或匿名提出问题以及查看所有的问题。</w:t>
      </w:r>
    </w:p>
    <w:p>
      <w:pPr>
        <w:keepNext w:val="0"/>
        <w:keepLines w:val="0"/>
        <w:pageBreakBefore w:val="0"/>
        <w:widowControl w:val="0"/>
        <w:kinsoku/>
        <w:wordWrap/>
        <w:overflowPunct/>
        <w:topLinePunct w:val="0"/>
        <w:autoSpaceDE w:val="0"/>
        <w:autoSpaceDN w:val="0"/>
        <w:bidi w:val="0"/>
        <w:adjustRightInd/>
        <w:snapToGrid/>
        <w:spacing w:before="0" w:line="240" w:lineRule="atLeast"/>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mc:AlternateContent>
          <mc:Choice Requires="wps">
            <w:drawing>
              <wp:anchor distT="0" distB="0" distL="114300" distR="114300" simplePos="0" relativeHeight="251660288" behindDoc="1" locked="0" layoutInCell="1" allowOverlap="1">
                <wp:simplePos x="0" y="0"/>
                <wp:positionH relativeFrom="page">
                  <wp:posOffset>882650</wp:posOffset>
                </wp:positionH>
                <wp:positionV relativeFrom="paragraph">
                  <wp:posOffset>131445</wp:posOffset>
                </wp:positionV>
                <wp:extent cx="5796280" cy="0"/>
                <wp:effectExtent l="0" t="0" r="0" b="0"/>
                <wp:wrapNone/>
                <wp:docPr id="6" name="直线 6"/>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69.5pt;margin-top:10.35pt;height:0pt;width:456.4pt;mso-position-horizontal-relative:page;z-index:-251656192;mso-width-relative:page;mso-height-relative:page;" filled="f" stroked="t" coordsize="21600,21600" o:gfxdata="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9XKWdUA&#10;AAAKAQAADwAAAAAAAAABACAAAAAiAAAAZHJzL2Rvd25yZXYueG1sUEsBAhQAFAAAAAgAh07iQEPD&#10;f+zpAQAA2wMAAA4AAAAAAAAAAQAgAAAAJAEAAGRycy9lMm9Eb2MueG1sUEsFBgAAAAAGAAYAWQEA&#10;AH8FAAAAAA==&#10;">
                <v:fill on="f" focussize="0,0"/>
                <v:stroke weight="0.72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条款号：</w:t>
      </w:r>
      <w:r>
        <w:rPr>
          <w:rFonts w:hint="eastAsia" w:ascii="宋体" w:hAnsi="宋体" w:eastAsia="宋体" w:cs="宋体"/>
          <w:b w:val="0"/>
          <w:bCs/>
          <w:color w:val="auto"/>
          <w:spacing w:val="-8"/>
          <w:sz w:val="21"/>
          <w:szCs w:val="21"/>
          <w:highlight w:val="none"/>
          <w:lang w:val="en-US" w:eastAsia="zh-CN"/>
        </w:rPr>
        <w:t xml:space="preserve">8.2   </w:t>
      </w:r>
      <w:r>
        <w:rPr>
          <w:rFonts w:hint="eastAsia" w:ascii="宋体" w:hAnsi="宋体" w:eastAsia="宋体" w:cs="宋体"/>
          <w:b/>
          <w:color w:val="auto"/>
          <w:spacing w:val="-8"/>
          <w:sz w:val="21"/>
          <w:szCs w:val="21"/>
          <w:highlight w:val="none"/>
        </w:rPr>
        <w:t>修改类型：修改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原文：</w:t>
      </w:r>
      <w:r>
        <w:rPr>
          <w:rFonts w:hint="eastAsia" w:ascii="宋体" w:hAnsi="宋体" w:eastAsia="宋体" w:cs="宋体"/>
          <w:b w:val="0"/>
          <w:bCs/>
          <w:color w:val="auto"/>
          <w:spacing w:val="-8"/>
          <w:sz w:val="21"/>
          <w:szCs w:val="21"/>
          <w:highlight w:val="none"/>
          <w:lang w:val="en-US" w:eastAsia="zh-CN"/>
        </w:rPr>
        <w:t>8.2招标答疑会会议纪要将在提交投标文件截止时间15日前在</w:t>
      </w:r>
      <w:r>
        <w:rPr>
          <w:rFonts w:hint="eastAsia" w:ascii="宋体" w:hAnsi="宋体" w:eastAsia="宋体" w:cs="宋体"/>
          <w:b w:val="0"/>
          <w:bCs/>
          <w:color w:val="auto"/>
          <w:spacing w:val="-8"/>
          <w:sz w:val="21"/>
          <w:szCs w:val="21"/>
          <w:highlight w:val="none"/>
          <w:u w:val="single"/>
          <w:lang w:val="en-US" w:eastAsia="zh-CN"/>
        </w:rPr>
        <w:t xml:space="preserve">        </w:t>
      </w:r>
      <w:r>
        <w:rPr>
          <w:rFonts w:hint="eastAsia" w:ascii="宋体" w:hAnsi="宋体" w:eastAsia="宋体" w:cs="宋体"/>
          <w:b w:val="0"/>
          <w:bCs/>
          <w:color w:val="auto"/>
          <w:spacing w:val="-8"/>
          <w:sz w:val="21"/>
          <w:szCs w:val="21"/>
          <w:highlight w:val="none"/>
          <w:lang w:val="en-US" w:eastAsia="zh-CN"/>
        </w:rPr>
        <w:t>交易平台“项目答疑纪要”专区公开发布。答疑纪要一经在</w:t>
      </w:r>
      <w:r>
        <w:rPr>
          <w:rFonts w:hint="eastAsia" w:ascii="宋体" w:hAnsi="宋体" w:eastAsia="宋体" w:cs="宋体"/>
          <w:b w:val="0"/>
          <w:bCs/>
          <w:color w:val="auto"/>
          <w:spacing w:val="-8"/>
          <w:sz w:val="21"/>
          <w:szCs w:val="21"/>
          <w:highlight w:val="none"/>
          <w:u w:val="single"/>
          <w:lang w:val="en-US" w:eastAsia="zh-CN"/>
        </w:rPr>
        <w:t xml:space="preserve">        </w:t>
      </w:r>
      <w:r>
        <w:rPr>
          <w:rFonts w:hint="eastAsia" w:ascii="宋体" w:hAnsi="宋体" w:eastAsia="宋体" w:cs="宋体"/>
          <w:b w:val="0"/>
          <w:bCs/>
          <w:color w:val="auto"/>
          <w:spacing w:val="-8"/>
          <w:sz w:val="21"/>
          <w:szCs w:val="21"/>
          <w:highlight w:val="none"/>
          <w:lang w:val="en-US" w:eastAsia="zh-CN"/>
        </w:rPr>
        <w:t>交易平台发布，视作已发放给所有投标人。</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现文：</w:t>
      </w:r>
      <w:r>
        <w:rPr>
          <w:rFonts w:hint="eastAsia" w:ascii="宋体" w:hAnsi="宋体" w:eastAsia="宋体" w:cs="宋体"/>
          <w:b w:val="0"/>
          <w:bCs/>
          <w:color w:val="auto"/>
          <w:spacing w:val="-8"/>
          <w:sz w:val="21"/>
          <w:szCs w:val="21"/>
          <w:highlight w:val="none"/>
        </w:rPr>
        <w:t>8.2招标答疑会会议纪要将在提交投标文件截止时间15日前在</w:t>
      </w:r>
      <w:r>
        <w:rPr>
          <w:rFonts w:hint="eastAsia" w:ascii="宋体" w:hAnsi="宋体" w:eastAsia="宋体" w:cs="宋体"/>
          <w:b w:val="0"/>
          <w:bCs/>
          <w:color w:val="auto"/>
          <w:spacing w:val="-8"/>
          <w:sz w:val="21"/>
          <w:szCs w:val="21"/>
          <w:highlight w:val="none"/>
          <w:u w:val="single"/>
        </w:rPr>
        <w:t>广州公共资源交易中心</w:t>
      </w:r>
      <w:r>
        <w:rPr>
          <w:rFonts w:hint="eastAsia" w:ascii="宋体" w:hAnsi="宋体" w:eastAsia="宋体" w:cs="宋体"/>
          <w:b w:val="0"/>
          <w:bCs/>
          <w:color w:val="auto"/>
          <w:spacing w:val="-8"/>
          <w:sz w:val="21"/>
          <w:szCs w:val="21"/>
          <w:highlight w:val="none"/>
        </w:rPr>
        <w:t>交易平台“项目答疑纪要”专区公开发布。答疑纪要一经在</w:t>
      </w:r>
      <w:r>
        <w:rPr>
          <w:rFonts w:hint="eastAsia" w:ascii="宋体" w:hAnsi="宋体" w:eastAsia="宋体" w:cs="宋体"/>
          <w:b w:val="0"/>
          <w:bCs/>
          <w:color w:val="auto"/>
          <w:spacing w:val="-8"/>
          <w:sz w:val="21"/>
          <w:szCs w:val="21"/>
          <w:highlight w:val="none"/>
          <w:u w:val="single"/>
        </w:rPr>
        <w:t>广州公共资源交易中心</w:t>
      </w:r>
      <w:r>
        <w:rPr>
          <w:rFonts w:hint="eastAsia" w:ascii="宋体" w:hAnsi="宋体" w:eastAsia="宋体" w:cs="宋体"/>
          <w:b w:val="0"/>
          <w:bCs/>
          <w:color w:val="auto"/>
          <w:spacing w:val="-8"/>
          <w:sz w:val="21"/>
          <w:szCs w:val="21"/>
          <w:highlight w:val="none"/>
        </w:rPr>
        <w:t>交易平台发布，视作已发放给所有投标人。</w:t>
      </w:r>
    </w:p>
    <w:p>
      <w:pPr>
        <w:keepNext w:val="0"/>
        <w:keepLines w:val="0"/>
        <w:pageBreakBefore w:val="0"/>
        <w:widowControl w:val="0"/>
        <w:kinsoku/>
        <w:wordWrap/>
        <w:overflowPunct/>
        <w:topLinePunct w:val="0"/>
        <w:autoSpaceDE w:val="0"/>
        <w:autoSpaceDN w:val="0"/>
        <w:bidi w:val="0"/>
        <w:adjustRightInd/>
        <w:snapToGrid/>
        <w:spacing w:before="0" w:line="240" w:lineRule="atLeast"/>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mc:AlternateContent>
          <mc:Choice Requires="wps">
            <w:drawing>
              <wp:anchor distT="0" distB="0" distL="114300" distR="114300" simplePos="0" relativeHeight="251673600" behindDoc="1" locked="0" layoutInCell="1" allowOverlap="1">
                <wp:simplePos x="0" y="0"/>
                <wp:positionH relativeFrom="page">
                  <wp:posOffset>882650</wp:posOffset>
                </wp:positionH>
                <wp:positionV relativeFrom="paragraph">
                  <wp:posOffset>131445</wp:posOffset>
                </wp:positionV>
                <wp:extent cx="5796280" cy="0"/>
                <wp:effectExtent l="0" t="0" r="0" b="0"/>
                <wp:wrapNone/>
                <wp:docPr id="34" name="直线 6"/>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69.5pt;margin-top:10.35pt;height:0pt;width:456.4pt;mso-position-horizontal-relative:page;z-index:-251642880;mso-width-relative:page;mso-height-relative:page;" filled="f" stroked="t" coordsize="21600,21600" o:gfxdata="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vVylnV&#10;AAAACgEAAA8AAAAAAAAAAQAgAAAAIgAAAGRycy9kb3ducmV2LnhtbFBLAQIUABQAAAAIAIdO4kAK&#10;0p5r6gEAANwDAAAOAAAAAAAAAAEAIAAAACQBAABkcnMvZTJvRG9jLnhtbFBLBQYAAAAABgAGAFkB&#10;AACABQAAAAA=&#10;">
                <v:fill on="f" focussize="0,0"/>
                <v:stroke weight="0.72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条款号：</w:t>
      </w:r>
      <w:r>
        <w:rPr>
          <w:rFonts w:hint="eastAsia" w:ascii="宋体" w:hAnsi="宋体" w:eastAsia="宋体" w:cs="宋体"/>
          <w:b w:val="0"/>
          <w:bCs/>
          <w:color w:val="auto"/>
          <w:spacing w:val="-8"/>
          <w:sz w:val="21"/>
          <w:szCs w:val="21"/>
          <w:highlight w:val="none"/>
          <w:lang w:val="en-US" w:eastAsia="zh-CN"/>
        </w:rPr>
        <w:t xml:space="preserve">8.3   </w:t>
      </w:r>
      <w:r>
        <w:rPr>
          <w:rFonts w:hint="eastAsia" w:ascii="宋体" w:hAnsi="宋体" w:eastAsia="宋体" w:cs="宋体"/>
          <w:b/>
          <w:color w:val="auto"/>
          <w:spacing w:val="-8"/>
          <w:sz w:val="21"/>
          <w:szCs w:val="21"/>
          <w:highlight w:val="none"/>
        </w:rPr>
        <w:t>修改类型：修改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原文：</w:t>
      </w:r>
      <w:r>
        <w:rPr>
          <w:rFonts w:hint="eastAsia" w:ascii="宋体" w:hAnsi="宋体" w:eastAsia="宋体" w:cs="宋体"/>
          <w:b w:val="0"/>
          <w:bCs/>
          <w:color w:val="auto"/>
          <w:spacing w:val="-8"/>
          <w:sz w:val="21"/>
          <w:szCs w:val="21"/>
          <w:highlight w:val="none"/>
          <w:lang w:val="en-US" w:eastAsia="zh-CN"/>
        </w:rPr>
        <w:t>8.3</w:t>
      </w:r>
      <w:r>
        <w:rPr>
          <w:rFonts w:hint="eastAsia" w:ascii="宋体" w:hAnsi="宋体" w:eastAsia="宋体" w:cs="宋体"/>
          <w:color w:val="auto"/>
          <w:sz w:val="21"/>
          <w:szCs w:val="21"/>
          <w:highlight w:val="none"/>
        </w:rPr>
        <w:t>答疑会会议纪要为招标文件的一部分</w:t>
      </w:r>
      <w:r>
        <w:rPr>
          <w:rFonts w:hint="eastAsia" w:ascii="宋体" w:hAnsi="宋体" w:eastAsia="宋体" w:cs="宋体"/>
          <w:b w:val="0"/>
          <w:bCs/>
          <w:color w:val="auto"/>
          <w:spacing w:val="-8"/>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现文：</w:t>
      </w:r>
      <w:r>
        <w:rPr>
          <w:rFonts w:hint="eastAsia" w:ascii="宋体" w:hAnsi="宋体" w:eastAsia="宋体" w:cs="宋体"/>
          <w:color w:val="auto"/>
          <w:sz w:val="21"/>
          <w:szCs w:val="21"/>
          <w:highlight w:val="none"/>
          <w:u w:val="none"/>
        </w:rPr>
        <w:t>8.3</w:t>
      </w:r>
      <w:r>
        <w:rPr>
          <w:rFonts w:hint="eastAsia" w:ascii="宋体" w:hAnsi="宋体" w:eastAsia="宋体" w:cs="宋体"/>
          <w:color w:val="auto"/>
          <w:sz w:val="21"/>
          <w:szCs w:val="21"/>
          <w:highlight w:val="none"/>
          <w:u w:val="single"/>
        </w:rPr>
        <w:t>答疑纪要为招标文件的一部分</w:t>
      </w:r>
      <w:r>
        <w:rPr>
          <w:rFonts w:hint="eastAsia" w:ascii="宋体" w:hAnsi="宋体" w:eastAsia="宋体" w:cs="宋体"/>
          <w:b w:val="0"/>
          <w:bCs/>
          <w:color w:val="auto"/>
          <w:spacing w:val="-8"/>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before="0" w:line="240" w:lineRule="atLeast"/>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mc:AlternateContent>
          <mc:Choice Requires="wps">
            <w:drawing>
              <wp:anchor distT="0" distB="0" distL="114300" distR="114300" simplePos="0" relativeHeight="251674624" behindDoc="1" locked="0" layoutInCell="1" allowOverlap="1">
                <wp:simplePos x="0" y="0"/>
                <wp:positionH relativeFrom="page">
                  <wp:posOffset>882650</wp:posOffset>
                </wp:positionH>
                <wp:positionV relativeFrom="paragraph">
                  <wp:posOffset>131445</wp:posOffset>
                </wp:positionV>
                <wp:extent cx="5796280" cy="0"/>
                <wp:effectExtent l="0" t="0" r="0" b="0"/>
                <wp:wrapNone/>
                <wp:docPr id="35" name="直线 6"/>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69.5pt;margin-top:10.35pt;height:0pt;width:456.4pt;mso-position-horizontal-relative:page;z-index:-251641856;mso-width-relative:page;mso-height-relative:page;" filled="f" stroked="t" coordsize="21600,21600" o:gfxdata="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vVylnV&#10;AAAACgEAAA8AAAAAAAAAAQAgAAAAIgAAAGRycy9kb3ducmV2LnhtbFBLAQIUABQAAAAIAIdO4kB9&#10;StER6gEAANwDAAAOAAAAAAAAAAEAIAAAACQBAABkcnMvZTJvRG9jLnhtbFBLBQYAAAAABgAGAFkB&#10;AACABQAAAAA=&#10;">
                <v:fill on="f" focussize="0,0"/>
                <v:stroke weight="0.72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条款号：</w:t>
      </w:r>
      <w:r>
        <w:rPr>
          <w:rFonts w:hint="eastAsia" w:ascii="宋体" w:hAnsi="宋体" w:eastAsia="宋体" w:cs="宋体"/>
          <w:b w:val="0"/>
          <w:bCs/>
          <w:color w:val="auto"/>
          <w:spacing w:val="-8"/>
          <w:sz w:val="21"/>
          <w:szCs w:val="21"/>
          <w:highlight w:val="none"/>
          <w:lang w:val="en-US" w:eastAsia="zh-CN"/>
        </w:rPr>
        <w:t xml:space="preserve">8.4   </w:t>
      </w:r>
      <w:r>
        <w:rPr>
          <w:rFonts w:hint="eastAsia" w:ascii="宋体" w:hAnsi="宋体" w:eastAsia="宋体" w:cs="宋体"/>
          <w:b/>
          <w:color w:val="auto"/>
          <w:spacing w:val="-8"/>
          <w:sz w:val="21"/>
          <w:szCs w:val="21"/>
          <w:highlight w:val="none"/>
        </w:rPr>
        <w:t>修改类型：修改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原文：</w:t>
      </w:r>
      <w:r>
        <w:rPr>
          <w:rFonts w:hint="eastAsia" w:ascii="宋体" w:hAnsi="宋体" w:eastAsia="宋体" w:cs="宋体"/>
          <w:b w:val="0"/>
          <w:bCs/>
          <w:color w:val="auto"/>
          <w:spacing w:val="-8"/>
          <w:sz w:val="21"/>
          <w:szCs w:val="21"/>
          <w:highlight w:val="none"/>
        </w:rPr>
        <w:t>8.4若招标答疑会会议纪要与招标文件有矛盾，以答疑会议纪要最后发出的书面形式的文件为准</w:t>
      </w:r>
      <w:r>
        <w:rPr>
          <w:rFonts w:hint="eastAsia" w:ascii="宋体" w:hAnsi="宋体" w:eastAsia="宋体" w:cs="宋体"/>
          <w:b w:val="0"/>
          <w:bCs/>
          <w:color w:val="auto"/>
          <w:spacing w:val="-8"/>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现文：</w:t>
      </w:r>
      <w:r>
        <w:rPr>
          <w:rFonts w:hint="eastAsia" w:ascii="宋体" w:hAnsi="宋体" w:eastAsia="宋体" w:cs="宋体"/>
          <w:color w:val="auto"/>
          <w:sz w:val="21"/>
          <w:szCs w:val="21"/>
          <w:highlight w:val="none"/>
          <w:u w:val="none"/>
        </w:rPr>
        <w:t>8.</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single"/>
        </w:rPr>
        <w:t>若招标答疑纪要与招标文件有矛盾时，以广州公共资源交易中心网站最后发布的答疑纪要为准</w:t>
      </w:r>
      <w:r>
        <w:rPr>
          <w:rFonts w:hint="eastAsia" w:ascii="宋体" w:hAnsi="宋体" w:eastAsia="宋体" w:cs="宋体"/>
          <w:b w:val="0"/>
          <w:bCs/>
          <w:color w:val="auto"/>
          <w:spacing w:val="-8"/>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before="0" w:line="240" w:lineRule="atLeast"/>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mc:AlternateContent>
          <mc:Choice Requires="wps">
            <w:drawing>
              <wp:anchor distT="0" distB="0" distL="114300" distR="114300" simplePos="0" relativeHeight="251675648" behindDoc="1" locked="0" layoutInCell="1" allowOverlap="1">
                <wp:simplePos x="0" y="0"/>
                <wp:positionH relativeFrom="page">
                  <wp:posOffset>882650</wp:posOffset>
                </wp:positionH>
                <wp:positionV relativeFrom="paragraph">
                  <wp:posOffset>131445</wp:posOffset>
                </wp:positionV>
                <wp:extent cx="5796280" cy="0"/>
                <wp:effectExtent l="0" t="0" r="0" b="0"/>
                <wp:wrapNone/>
                <wp:docPr id="36" name="直线 6"/>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69.5pt;margin-top:10.35pt;height:0pt;width:456.4pt;mso-position-horizontal-relative:page;z-index:-251640832;mso-width-relative:page;mso-height-relative:page;" filled="f" stroked="t" coordsize="21600,21600" o:gfxdata="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vVylnV&#10;AAAACgEAAA8AAAAAAAAAAQAgAAAAIgAAAGRycy9kb3ducmV2LnhtbFBLAQIUABQAAAAIAIdO4kDk&#10;4gGf6gEAANwDAAAOAAAAAAAAAAEAIAAAACQBAABkcnMvZTJvRG9jLnhtbFBLBQYAAAAABgAGAFkB&#10;AACABQAAAAA=&#10;">
                <v:fill on="f" focussize="0,0"/>
                <v:stroke weight="0.72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条款号：</w:t>
      </w:r>
      <w:r>
        <w:rPr>
          <w:rFonts w:hint="eastAsia" w:ascii="宋体" w:hAnsi="宋体" w:eastAsia="宋体" w:cs="宋体"/>
          <w:b w:val="0"/>
          <w:bCs/>
          <w:color w:val="auto"/>
          <w:spacing w:val="-8"/>
          <w:sz w:val="21"/>
          <w:szCs w:val="21"/>
          <w:highlight w:val="none"/>
          <w:lang w:val="en-US" w:eastAsia="zh-CN"/>
        </w:rPr>
        <w:t xml:space="preserve">9.2  </w:t>
      </w:r>
      <w:r>
        <w:rPr>
          <w:rFonts w:hint="eastAsia" w:ascii="宋体" w:hAnsi="宋体" w:eastAsia="宋体" w:cs="宋体"/>
          <w:b/>
          <w:color w:val="auto"/>
          <w:spacing w:val="-8"/>
          <w:sz w:val="21"/>
          <w:szCs w:val="21"/>
          <w:highlight w:val="none"/>
        </w:rPr>
        <w:t>修改类型：修改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原文：</w:t>
      </w:r>
      <w:r>
        <w:rPr>
          <w:rFonts w:hint="eastAsia" w:ascii="宋体" w:hAnsi="宋体" w:eastAsia="宋体" w:cs="宋体"/>
          <w:b w:val="0"/>
          <w:bCs/>
          <w:color w:val="auto"/>
          <w:spacing w:val="-8"/>
          <w:sz w:val="21"/>
          <w:szCs w:val="21"/>
          <w:highlight w:val="none"/>
        </w:rPr>
        <w:t>9.2招标文件的澄清或修改将在</w:t>
      </w:r>
      <w:r>
        <w:rPr>
          <w:rFonts w:hint="eastAsia" w:ascii="宋体" w:hAnsi="宋体" w:eastAsia="宋体" w:cs="宋体"/>
          <w:b w:val="0"/>
          <w:bCs/>
          <w:color w:val="auto"/>
          <w:spacing w:val="-8"/>
          <w:sz w:val="21"/>
          <w:szCs w:val="21"/>
          <w:highlight w:val="none"/>
          <w:u w:val="single"/>
        </w:rPr>
        <w:t xml:space="preserve">        </w:t>
      </w:r>
      <w:r>
        <w:rPr>
          <w:rFonts w:hint="eastAsia" w:ascii="宋体" w:hAnsi="宋体" w:eastAsia="宋体" w:cs="宋体"/>
          <w:b w:val="0"/>
          <w:bCs/>
          <w:color w:val="auto"/>
          <w:spacing w:val="-8"/>
          <w:sz w:val="21"/>
          <w:szCs w:val="21"/>
          <w:highlight w:val="none"/>
        </w:rPr>
        <w:t>交易平台“项目答疑纪要”专区公开发布。答疑纪要一经在        交易平台发布，视作已发放给所有投标人，以</w:t>
      </w:r>
      <w:r>
        <w:rPr>
          <w:rFonts w:hint="eastAsia" w:ascii="宋体" w:hAnsi="宋体" w:eastAsia="宋体" w:cs="宋体"/>
          <w:b w:val="0"/>
          <w:bCs/>
          <w:color w:val="auto"/>
          <w:spacing w:val="-8"/>
          <w:sz w:val="21"/>
          <w:szCs w:val="21"/>
          <w:highlight w:val="none"/>
          <w:u w:val="single"/>
        </w:rPr>
        <w:t xml:space="preserve">        </w:t>
      </w:r>
      <w:r>
        <w:rPr>
          <w:rFonts w:hint="eastAsia" w:ascii="宋体" w:hAnsi="宋体" w:eastAsia="宋体" w:cs="宋体"/>
          <w:b w:val="0"/>
          <w:bCs/>
          <w:color w:val="auto"/>
          <w:spacing w:val="-8"/>
          <w:sz w:val="21"/>
          <w:szCs w:val="21"/>
          <w:highlight w:val="none"/>
        </w:rPr>
        <w:t>交易平台上网发布时间作为送达时间</w:t>
      </w:r>
      <w:r>
        <w:rPr>
          <w:rFonts w:hint="eastAsia" w:ascii="宋体" w:hAnsi="宋体" w:eastAsia="宋体" w:cs="宋体"/>
          <w:b w:val="0"/>
          <w:bCs/>
          <w:color w:val="auto"/>
          <w:spacing w:val="-8"/>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现文：</w:t>
      </w:r>
      <w:r>
        <w:rPr>
          <w:rFonts w:hint="eastAsia" w:ascii="宋体" w:hAnsi="宋体" w:eastAsia="宋体" w:cs="宋体"/>
          <w:color w:val="auto"/>
          <w:sz w:val="21"/>
          <w:szCs w:val="21"/>
          <w:highlight w:val="none"/>
        </w:rPr>
        <w:t>9.2招标文件的澄清或修改将在</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rPr>
        <w:t>交易平台“项目答疑纪要”专区公开发布。答疑纪要一经在</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rPr>
        <w:t>交易平台发布，视作已发放给所有投标人，以</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rPr>
        <w:t>交易平台上网发布时间作为送达时间</w:t>
      </w:r>
      <w:r>
        <w:rPr>
          <w:rFonts w:hint="eastAsia" w:ascii="宋体" w:hAnsi="宋体" w:eastAsia="宋体" w:cs="宋体"/>
          <w:b w:val="0"/>
          <w:bCs/>
          <w:color w:val="auto"/>
          <w:spacing w:val="-8"/>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before="0" w:line="240" w:lineRule="atLeast"/>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mc:AlternateContent>
          <mc:Choice Requires="wps">
            <w:drawing>
              <wp:anchor distT="0" distB="0" distL="114300" distR="114300" simplePos="0" relativeHeight="251676672" behindDoc="1" locked="0" layoutInCell="1" allowOverlap="1">
                <wp:simplePos x="0" y="0"/>
                <wp:positionH relativeFrom="page">
                  <wp:posOffset>882650</wp:posOffset>
                </wp:positionH>
                <wp:positionV relativeFrom="paragraph">
                  <wp:posOffset>131445</wp:posOffset>
                </wp:positionV>
                <wp:extent cx="5796280" cy="0"/>
                <wp:effectExtent l="0" t="0" r="0" b="0"/>
                <wp:wrapNone/>
                <wp:docPr id="37" name="直线 6"/>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69.5pt;margin-top:10.35pt;height:0pt;width:456.4pt;mso-position-horizontal-relative:page;z-index:-251639808;mso-width-relative:page;mso-height-relative:page;" filled="f" stroked="t" coordsize="21600,21600" o:gfxdata="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vVylnV&#10;AAAACgEAAA8AAAAAAAAAAQAgAAAAIgAAAGRycy9kb3ducmV2LnhtbFBLAQIUABQAAAAIAIdO4kCT&#10;ek7l6gEAANwDAAAOAAAAAAAAAAEAIAAAACQBAABkcnMvZTJvRG9jLnhtbFBLBQYAAAAABgAGAFkB&#10;AACABQAAAAA=&#10;">
                <v:fill on="f" focussize="0,0"/>
                <v:stroke weight="0.72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条款号：</w:t>
      </w:r>
      <w:r>
        <w:rPr>
          <w:rFonts w:hint="eastAsia" w:ascii="宋体" w:hAnsi="宋体" w:eastAsia="宋体" w:cs="宋体"/>
          <w:b w:val="0"/>
          <w:bCs/>
          <w:color w:val="auto"/>
          <w:spacing w:val="-8"/>
          <w:sz w:val="21"/>
          <w:szCs w:val="21"/>
          <w:highlight w:val="none"/>
          <w:lang w:val="en-US" w:eastAsia="zh-CN"/>
        </w:rPr>
        <w:t xml:space="preserve">9.4  </w:t>
      </w:r>
      <w:r>
        <w:rPr>
          <w:rFonts w:hint="eastAsia" w:ascii="宋体" w:hAnsi="宋体" w:eastAsia="宋体" w:cs="宋体"/>
          <w:b/>
          <w:color w:val="auto"/>
          <w:spacing w:val="-8"/>
          <w:sz w:val="21"/>
          <w:szCs w:val="21"/>
          <w:highlight w:val="none"/>
        </w:rPr>
        <w:t>修改类型：修改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原文：</w:t>
      </w:r>
      <w:r>
        <w:rPr>
          <w:rFonts w:hint="eastAsia" w:ascii="宋体" w:hAnsi="宋体" w:eastAsia="宋体" w:cs="宋体"/>
          <w:b w:val="0"/>
          <w:bCs/>
          <w:color w:val="auto"/>
          <w:spacing w:val="-8"/>
          <w:sz w:val="21"/>
          <w:szCs w:val="21"/>
          <w:highlight w:val="none"/>
          <w:lang w:val="en-US" w:eastAsia="zh-CN"/>
        </w:rPr>
        <w:t>9</w:t>
      </w:r>
      <w:r>
        <w:rPr>
          <w:rFonts w:hint="eastAsia" w:ascii="宋体" w:hAnsi="宋体" w:eastAsia="宋体" w:cs="宋体"/>
          <w:b w:val="0"/>
          <w:bCs/>
          <w:color w:val="auto"/>
          <w:spacing w:val="-8"/>
          <w:sz w:val="21"/>
          <w:szCs w:val="21"/>
          <w:highlight w:val="none"/>
        </w:rPr>
        <w:t>.4</w:t>
      </w:r>
      <w:r>
        <w:rPr>
          <w:rFonts w:hint="eastAsia" w:ascii="宋体" w:hAnsi="宋体" w:eastAsia="宋体" w:cs="宋体"/>
          <w:color w:val="auto"/>
          <w:sz w:val="21"/>
          <w:szCs w:val="21"/>
          <w:highlight w:val="none"/>
        </w:rPr>
        <w:t>招标文件的澄清或修改均以书面形式明确的内容为准。当招标文件的澄清、修改、补充等在同一内容的表述不一致时，以最后发出的书面形式的文件为准</w:t>
      </w:r>
      <w:r>
        <w:rPr>
          <w:rFonts w:hint="eastAsia" w:ascii="宋体" w:hAnsi="宋体" w:eastAsia="宋体" w:cs="宋体"/>
          <w:b w:val="0"/>
          <w:bCs/>
          <w:color w:val="auto"/>
          <w:spacing w:val="-8"/>
          <w:sz w:val="21"/>
          <w:szCs w:val="21"/>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现文：</w:t>
      </w: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single"/>
        </w:rPr>
        <w:t>招标文件的澄清或修改均以</w:t>
      </w:r>
      <w:r>
        <w:rPr>
          <w:rFonts w:hint="eastAsia" w:ascii="宋体" w:hAnsi="宋体" w:cs="宋体"/>
          <w:color w:val="auto"/>
          <w:sz w:val="21"/>
          <w:szCs w:val="21"/>
          <w:highlight w:val="none"/>
          <w:u w:val="single"/>
          <w:lang w:val="en-US" w:eastAsia="zh-CN"/>
        </w:rPr>
        <w:t>广州公共资源交易中心平台上答疑公布形式明确的内容</w:t>
      </w:r>
      <w:r>
        <w:rPr>
          <w:rFonts w:hint="eastAsia" w:ascii="宋体" w:hAnsi="宋体" w:eastAsia="宋体" w:cs="宋体"/>
          <w:color w:val="auto"/>
          <w:sz w:val="21"/>
          <w:szCs w:val="21"/>
          <w:highlight w:val="none"/>
          <w:u w:val="single"/>
        </w:rPr>
        <w:t>为准。当招标文件的澄清、修改、补充等在同一内容的表述不一致时，以</w:t>
      </w:r>
      <w:r>
        <w:rPr>
          <w:rFonts w:hint="eastAsia" w:ascii="宋体" w:hAnsi="宋体" w:cs="宋体"/>
          <w:color w:val="auto"/>
          <w:sz w:val="21"/>
          <w:szCs w:val="21"/>
          <w:highlight w:val="none"/>
          <w:u w:val="single"/>
          <w:lang w:val="en-US" w:eastAsia="zh-CN"/>
        </w:rPr>
        <w:t>广州公共资源交易中心网站最后发布的内容</w:t>
      </w:r>
      <w:r>
        <w:rPr>
          <w:rFonts w:hint="eastAsia" w:ascii="宋体" w:hAnsi="宋体" w:eastAsia="宋体" w:cs="宋体"/>
          <w:color w:val="auto"/>
          <w:sz w:val="21"/>
          <w:szCs w:val="21"/>
          <w:highlight w:val="none"/>
          <w:u w:val="single"/>
        </w:rPr>
        <w:t>为准</w:t>
      </w:r>
      <w:r>
        <w:rPr>
          <w:rFonts w:hint="eastAsia" w:ascii="宋体" w:hAnsi="宋体" w:eastAsia="宋体" w:cs="宋体"/>
          <w:b w:val="0"/>
          <w:bCs/>
          <w:color w:val="auto"/>
          <w:spacing w:val="-8"/>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before="0" w:line="240" w:lineRule="atLeast"/>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mc:AlternateContent>
          <mc:Choice Requires="wps">
            <w:drawing>
              <wp:anchor distT="0" distB="0" distL="114300" distR="114300" simplePos="0" relativeHeight="251677696" behindDoc="1" locked="0" layoutInCell="1" allowOverlap="1">
                <wp:simplePos x="0" y="0"/>
                <wp:positionH relativeFrom="page">
                  <wp:posOffset>882650</wp:posOffset>
                </wp:positionH>
                <wp:positionV relativeFrom="paragraph">
                  <wp:posOffset>131445</wp:posOffset>
                </wp:positionV>
                <wp:extent cx="5796280" cy="0"/>
                <wp:effectExtent l="0" t="0" r="0" b="0"/>
                <wp:wrapNone/>
                <wp:docPr id="38" name="直线 6"/>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69.5pt;margin-top:10.35pt;height:0pt;width:456.4pt;mso-position-horizontal-relative:page;z-index:-251638784;mso-width-relative:page;mso-height-relative:page;" filled="f" stroked="t" coordsize="21600,21600" o:gfxdata="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vVylnV&#10;AAAACgEAAA8AAAAAAAAAAQAgAAAAIgAAAGRycy9kb3ducmV2LnhtbFBLAQIUABQAAAAIAIdO4kCt&#10;ek896gEAANwDAAAOAAAAAAAAAAEAIAAAACQBAABkcnMvZTJvRG9jLnhtbFBLBQYAAAAABgAGAFkB&#10;AACABQAAAAA=&#10;">
                <v:fill on="f" focussize="0,0"/>
                <v:stroke weight="0.72pt" color="#000000" joinstyle="round"/>
                <v:imagedata o:title=""/>
                <o:lock v:ext="edit" aspectratio="f"/>
              </v:line>
            </w:pict>
          </mc:Fallback>
        </mc:AlternateConten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11.2</w:t>
      </w:r>
      <w:r>
        <w:rPr>
          <w:rFonts w:hint="eastAsia" w:cs="宋体"/>
          <w:b/>
          <w:color w:val="auto"/>
          <w:sz w:val="21"/>
          <w:szCs w:val="21"/>
          <w:highlight w:val="none"/>
          <w:lang w:eastAsia="zh-CN"/>
        </w:rPr>
        <w:t>、</w:t>
      </w:r>
      <w:r>
        <w:rPr>
          <w:rFonts w:hint="eastAsia" w:cs="宋体"/>
          <w:b/>
          <w:color w:val="auto"/>
          <w:sz w:val="21"/>
          <w:szCs w:val="21"/>
          <w:highlight w:val="none"/>
          <w:lang w:val="en-US" w:eastAsia="zh-CN"/>
        </w:rPr>
        <w:t>11.3</w:t>
      </w:r>
      <w:r>
        <w:rPr>
          <w:rFonts w:hint="eastAsia" w:ascii="宋体" w:hAnsi="宋体" w:eastAsia="宋体" w:cs="宋体"/>
          <w:b/>
          <w:color w:val="auto"/>
          <w:sz w:val="21"/>
          <w:szCs w:val="21"/>
          <w:highlight w:val="none"/>
        </w:rPr>
        <w:t xml:space="preserve">            修改类型：修改</w:t>
      </w:r>
    </w:p>
    <w:p>
      <w:pPr>
        <w:keepNext w:val="0"/>
        <w:keepLines w:val="0"/>
        <w:pageBreakBefore w:val="0"/>
        <w:widowControl w:val="0"/>
        <w:tabs>
          <w:tab w:val="left" w:pos="1125"/>
        </w:tabs>
        <w:kinsoku/>
        <w:wordWrap/>
        <w:overflowPunct/>
        <w:autoSpaceDE w:val="0"/>
        <w:autoSpaceDN w:val="0"/>
        <w:bidi w:val="0"/>
        <w:spacing w:line="360" w:lineRule="auto"/>
        <w:ind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11.2 投标文件技术标部分主要包括下列内容:</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11.2.1 技术投标文件(按招标文件的要求填写)；</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11.2.2 资格审查文件：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（1）投标人声明；</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（2）法定代表人证明书、法定代表人签字或盖章的本投标文件授权委托证明书；</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（3）企业营业执照（取自平台内上传件）；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（4）企业资质证书（取自平台内上传件）；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（5）建筑施工企业安全生产许可证（取自平台内上传件）；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（6）项目负责人（按网上投标登记时选择拟投标的项目负责人）</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（7）专职安全员（按网上投标登记时选择拟投标的专职安全员）</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（8）拟委托技术负责人的相关证书、资料（具体要求由招标人明确）</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（9）拟委派项目负责人的建造师注册证书（取自平台内上传件）；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（10）项目负责人安全生产考核合格证明或在有效期内的安全考核合格证书（B类）或建筑施工企业项目负责人安全生产考核合格证书（取自平台内上传件）；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（11）专职安全员须具有在有效期内的安全考核合格证书（C类）或建筑施工企业专职安全生产管理人员安全生产考核合格证书（取自平台内上传件）；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（12）用于资格审查的业绩（设置业绩要求时选择此项，投标人须提供类似工程业绩的项目名称及项目编号，具体格式由招标人自定）；</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（13）资格审查前，投标人须在广州市住房和城乡建设局建立企业信用档案，拟担任本工程项目负责人、专职安全员须是本企业信用档案中的在册人员。</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11.2.3 项目管理机构配备。</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（1）投标人应列出该项目工程的施工组织机构构成和画出机构框架图及其负责人；</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（2）投标人应详细列出该施工组织机构中主要成员的名单、简历资料、职务职称和在本项目中拟担任的职务等资料，并附上有关证明材料扫描件；</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（3）其他辅助说明资料。</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11.2.4 投标人在广州市可使用适合本工程的机械设备（附：机械设备为自有或租赁</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的说明；及承诺机械设备如属于租赁的，其租赁是不属于重复租赁）。</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11.2.5 施工组织设计或施工方案。</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11.2.6 按照招标文件要求填写的《参与编制技术标投标文件人员名单》。</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 经济部分投标文件主要包括下列内容：</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11.3.1 经济投标文件(按招标文件的要求填写)。</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（1）投标总价封面、扉页；</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（2）总说明；</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（3）工程项目投标报价汇总表；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（4）单项工程投标报价汇总表；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（5）单位工程投标报价汇总表；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（6）分部分项工程清单与计价表；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（7）单价措施项目清单与计价表；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（8）总价措施项目清单与计价表；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（9）综合单价分析表；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（10）其他项目清单与计价汇总表；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（11）暂列金额明细表；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（12）材料（工程设备）暂估价明细表；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（13）专业工程暂估价明细表；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（14）计日工表；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（15）总承包服务计价表；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（16）规费和税金项目计价表；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（17）人工、主要材料和设备一览表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11.3.3 按照招标文件要求填写的《参与编制经济标投标文件人员名单》。</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11.3.4 若投标人的投标报价低于工程成本警戒价的，投标人还须提供详细的施工组织设计、单价、措施性费用、单价分析表、主要材料价格表、投标人成本分析供评标委员会评审。</w:t>
      </w:r>
    </w:p>
    <w:p>
      <w:pPr>
        <w:keepNext w:val="0"/>
        <w:keepLines w:val="0"/>
        <w:pageBreakBefore w:val="0"/>
        <w:widowControl w:val="0"/>
        <w:kinsoku/>
        <w:wordWrap/>
        <w:overflowPunct/>
        <w:autoSpaceDE w:val="0"/>
        <w:autoSpaceDN w:val="0"/>
        <w:bidi w:val="0"/>
        <w:spacing w:line="360" w:lineRule="auto"/>
        <w:ind w:firstLine="422"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11.2投标文件技术标部分</w:t>
      </w:r>
      <w:r>
        <w:rPr>
          <w:rFonts w:hint="eastAsia" w:cs="宋体"/>
          <w:bCs/>
          <w:color w:val="auto"/>
          <w:sz w:val="21"/>
          <w:szCs w:val="21"/>
          <w:highlight w:val="none"/>
          <w:u w:val="single"/>
          <w:lang w:eastAsia="zh-CN"/>
        </w:rPr>
        <w:t>（含资格审查文件）</w:t>
      </w:r>
      <w:r>
        <w:rPr>
          <w:rFonts w:hint="eastAsia" w:ascii="宋体" w:hAnsi="宋体" w:eastAsia="宋体" w:cs="宋体"/>
          <w:bCs/>
          <w:color w:val="auto"/>
          <w:sz w:val="21"/>
          <w:szCs w:val="21"/>
          <w:highlight w:val="none"/>
        </w:rPr>
        <w:t>主要包括下列内容:</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rPr>
        <w:t xml:space="preserve"> 资格审查文件：</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（1）投标人声明</w:t>
      </w:r>
      <w:r>
        <w:rPr>
          <w:rFonts w:hint="eastAsia" w:cs="宋体"/>
          <w:bCs/>
          <w:color w:val="auto"/>
          <w:sz w:val="21"/>
          <w:szCs w:val="21"/>
          <w:highlight w:val="none"/>
          <w:u w:val="single"/>
          <w:lang w:eastAsia="zh-CN"/>
        </w:rPr>
        <w:t>（按招标公告附件一的格式及内容提交）</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（2）法定代表人证明书、法定代表人签字或盖章的本投标文件授权委托证明书；</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（3）企业营业执照</w:t>
      </w:r>
      <w:r>
        <w:rPr>
          <w:rFonts w:hint="eastAsia" w:cs="宋体"/>
          <w:bCs/>
          <w:color w:val="auto"/>
          <w:sz w:val="21"/>
          <w:szCs w:val="21"/>
          <w:highlight w:val="none"/>
          <w:u w:val="single"/>
          <w:lang w:eastAsia="zh-CN"/>
        </w:rPr>
        <w:t>扫描件</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（4）企业资质证书</w:t>
      </w:r>
      <w:r>
        <w:rPr>
          <w:rFonts w:hint="eastAsia" w:cs="宋体"/>
          <w:bCs/>
          <w:color w:val="auto"/>
          <w:sz w:val="21"/>
          <w:szCs w:val="21"/>
          <w:highlight w:val="none"/>
          <w:u w:val="single"/>
          <w:lang w:eastAsia="zh-CN"/>
        </w:rPr>
        <w:t>扫描件</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（5）建筑施工企业安全生产许可证</w:t>
      </w:r>
      <w:r>
        <w:rPr>
          <w:rFonts w:hint="eastAsia" w:cs="宋体"/>
          <w:bCs/>
          <w:color w:val="auto"/>
          <w:sz w:val="21"/>
          <w:szCs w:val="21"/>
          <w:highlight w:val="none"/>
          <w:u w:val="single"/>
          <w:lang w:eastAsia="zh-CN"/>
        </w:rPr>
        <w:t>扫描件</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（6）项目负责人（按网上投标登记时选择拟投标的项目负责人）</w:t>
      </w:r>
      <w:r>
        <w:rPr>
          <w:rFonts w:hint="eastAsia" w:cs="宋体"/>
          <w:bCs/>
          <w:color w:val="auto"/>
          <w:sz w:val="21"/>
          <w:szCs w:val="21"/>
          <w:highlight w:val="none"/>
          <w:u w:val="single"/>
          <w:lang w:eastAsia="zh-CN"/>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（7）专职安全员（按网上投标登记时选择拟投标的专职安全员）</w:t>
      </w:r>
      <w:r>
        <w:rPr>
          <w:rFonts w:hint="eastAsia" w:cs="宋体"/>
          <w:bCs/>
          <w:color w:val="auto"/>
          <w:sz w:val="21"/>
          <w:szCs w:val="21"/>
          <w:highlight w:val="none"/>
          <w:u w:val="single"/>
          <w:lang w:eastAsia="zh-CN"/>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（8）拟委托技术负责人的相关证书、资料</w:t>
      </w:r>
      <w:r>
        <w:rPr>
          <w:rFonts w:hint="eastAsia" w:cs="宋体"/>
          <w:bCs/>
          <w:color w:val="auto"/>
          <w:sz w:val="21"/>
          <w:szCs w:val="21"/>
          <w:highlight w:val="none"/>
          <w:u w:val="single"/>
          <w:lang w:eastAsia="zh-CN"/>
        </w:rPr>
        <w:t>扫描件；</w:t>
      </w:r>
    </w:p>
    <w:p>
      <w:pPr>
        <w:keepNext w:val="0"/>
        <w:keepLines w:val="0"/>
        <w:pageBreakBefore w:val="0"/>
        <w:widowControl w:val="0"/>
        <w:kinsoku/>
        <w:wordWrap/>
        <w:overflowPunct/>
        <w:autoSpaceDE w:val="0"/>
        <w:autoSpaceDN w:val="0"/>
        <w:bidi w:val="0"/>
        <w:spacing w:line="360" w:lineRule="auto"/>
        <w:ind w:firstLine="420" w:firstLineChars="200"/>
        <w:textAlignment w:val="auto"/>
        <w:outlineLvl w:val="2"/>
        <w:rPr>
          <w:rFonts w:hint="eastAsia" w:ascii="宋体" w:hAnsi="宋体" w:eastAsia="宋体" w:cs="宋体"/>
          <w:bCs/>
          <w:color w:val="auto"/>
          <w:sz w:val="21"/>
          <w:szCs w:val="21"/>
          <w:highlight w:val="none"/>
        </w:rPr>
      </w:pPr>
      <w:bookmarkStart w:id="5" w:name="_Toc4970"/>
      <w:r>
        <w:rPr>
          <w:rFonts w:hint="eastAsia" w:ascii="宋体" w:hAnsi="宋体" w:eastAsia="宋体" w:cs="宋体"/>
          <w:bCs/>
          <w:color w:val="auto"/>
          <w:sz w:val="21"/>
          <w:szCs w:val="21"/>
          <w:highlight w:val="none"/>
        </w:rPr>
        <w:t>（9）拟委派项目负责人的建造师注册证书</w:t>
      </w:r>
      <w:r>
        <w:rPr>
          <w:rFonts w:hint="eastAsia" w:cs="宋体"/>
          <w:bCs/>
          <w:color w:val="auto"/>
          <w:sz w:val="21"/>
          <w:szCs w:val="21"/>
          <w:highlight w:val="none"/>
          <w:u w:val="single"/>
          <w:lang w:eastAsia="zh-CN"/>
        </w:rPr>
        <w:t>扫描件</w:t>
      </w:r>
      <w:r>
        <w:rPr>
          <w:rFonts w:hint="eastAsia" w:ascii="宋体" w:hAnsi="宋体" w:eastAsia="宋体" w:cs="宋体"/>
          <w:bCs/>
          <w:color w:val="auto"/>
          <w:sz w:val="21"/>
          <w:szCs w:val="21"/>
          <w:highlight w:val="none"/>
        </w:rPr>
        <w:t>；</w:t>
      </w:r>
      <w:bookmarkEnd w:id="5"/>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（10）项目负责人安全生产考核合格证明或在有效期内的安全考核合格证书（B类）或建筑施工企业项目负责人安全生产考核合格证书</w:t>
      </w:r>
      <w:r>
        <w:rPr>
          <w:rFonts w:hint="eastAsia" w:cs="宋体"/>
          <w:bCs/>
          <w:color w:val="auto"/>
          <w:sz w:val="21"/>
          <w:szCs w:val="21"/>
          <w:highlight w:val="none"/>
          <w:u w:val="single"/>
          <w:lang w:eastAsia="zh-CN"/>
        </w:rPr>
        <w:t>扫描件</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（11）专职安全员须具有在有效期内的安全考核合格证书（C类）或建筑施工企业专职安全生产管理人员安全生产考核合格证书或建筑施工企业专职安全生产管理人员安全生产考核合格证书（C3类）</w:t>
      </w:r>
      <w:r>
        <w:rPr>
          <w:rFonts w:hint="eastAsia" w:cs="宋体"/>
          <w:bCs/>
          <w:color w:val="auto"/>
          <w:sz w:val="21"/>
          <w:szCs w:val="21"/>
          <w:highlight w:val="none"/>
          <w:u w:val="single"/>
          <w:lang w:eastAsia="zh-CN"/>
        </w:rPr>
        <w:t>扫描件</w:t>
      </w:r>
      <w:r>
        <w:rPr>
          <w:rFonts w:hint="eastAsia" w:cs="宋体"/>
          <w:bCs/>
          <w:color w:val="auto"/>
          <w:sz w:val="21"/>
          <w:szCs w:val="21"/>
          <w:highlight w:val="none"/>
          <w:lang w:eastAsia="zh-CN"/>
        </w:rPr>
        <w:t>，</w:t>
      </w:r>
      <w:r>
        <w:rPr>
          <w:rFonts w:hint="eastAsia" w:cs="宋体"/>
          <w:b/>
          <w:bCs w:val="0"/>
          <w:color w:val="auto"/>
          <w:sz w:val="21"/>
          <w:szCs w:val="21"/>
          <w:highlight w:val="none"/>
          <w:u w:val="single"/>
          <w:lang w:eastAsia="zh-CN"/>
        </w:rPr>
        <w:t>项目负责人和安全员不为同一人</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（1</w:t>
      </w:r>
      <w:r>
        <w:rPr>
          <w:rFonts w:hint="eastAsia"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rPr>
        <w:t>资格审查前，投标人须在广州市住房和城乡建设局建立企业信用档案，拟担任本工程项目负责人、专职安全员须是本企业信用档案中的在册人员。</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（1</w:t>
      </w:r>
      <w:r>
        <w:rPr>
          <w:rFonts w:hint="eastAsia"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w:t>
      </w:r>
      <w:r>
        <w:rPr>
          <w:rFonts w:hint="eastAsia" w:cs="宋体"/>
          <w:bCs/>
          <w:color w:val="auto"/>
          <w:sz w:val="21"/>
          <w:szCs w:val="21"/>
          <w:highlight w:val="none"/>
          <w:u w:val="single"/>
          <w:lang w:eastAsia="zh-CN"/>
        </w:rPr>
        <w:t>关于联合体投标：</w:t>
      </w:r>
      <w:r>
        <w:rPr>
          <w:rFonts w:hint="eastAsia" w:cs="宋体"/>
          <w:b/>
          <w:bCs w:val="0"/>
          <w:color w:val="auto"/>
          <w:sz w:val="21"/>
          <w:szCs w:val="21"/>
          <w:highlight w:val="none"/>
          <w:u w:val="single"/>
          <w:lang w:eastAsia="zh-CN"/>
        </w:rPr>
        <w:t>本项目不接受联合体投标</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u w:val="single"/>
        </w:rPr>
        <w:t>（1</w:t>
      </w:r>
      <w:r>
        <w:rPr>
          <w:rFonts w:hint="eastAsia"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w:t>
      </w:r>
      <w:r>
        <w:rPr>
          <w:rFonts w:hint="eastAsia" w:cs="宋体"/>
          <w:bCs/>
          <w:color w:val="auto"/>
          <w:sz w:val="21"/>
          <w:szCs w:val="21"/>
          <w:highlight w:val="none"/>
          <w:lang w:eastAsia="zh-CN"/>
        </w:rPr>
        <w:t>投标人认为应提供的其他资料</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11.2.3项目管理机构配备。</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（1）投标人应列出该项目工程的施工组织机构构成和画出机构框架图及其负责人；</w:t>
      </w:r>
    </w:p>
    <w:p>
      <w:pPr>
        <w:keepNext w:val="0"/>
        <w:keepLines w:val="0"/>
        <w:pageBreakBefore w:val="0"/>
        <w:widowControl w:val="0"/>
        <w:kinsoku/>
        <w:wordWrap/>
        <w:overflowPunct/>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（2）投标人应详细列出该施工组织机构中主要成员的名单、简历资料、职务职称和在本项目中拟担任的职务等资料，并附上有关证明材料扫描件；</w:t>
      </w:r>
    </w:p>
    <w:p>
      <w:pPr>
        <w:keepNext w:val="0"/>
        <w:keepLines w:val="0"/>
        <w:pageBreakBefore w:val="0"/>
        <w:widowControl w:val="0"/>
        <w:kinsoku/>
        <w:wordWrap/>
        <w:overflowPunct/>
        <w:autoSpaceDE w:val="0"/>
        <w:autoSpaceDN w:val="0"/>
        <w:bidi w:val="0"/>
        <w:spacing w:line="360" w:lineRule="auto"/>
        <w:ind w:firstLine="420" w:firstLineChars="200"/>
        <w:textAlignment w:val="auto"/>
        <w:outlineLvl w:val="2"/>
        <w:rPr>
          <w:rFonts w:hint="eastAsia" w:ascii="宋体" w:hAnsi="宋体" w:eastAsia="宋体" w:cs="宋体"/>
          <w:color w:val="auto"/>
          <w:sz w:val="21"/>
          <w:szCs w:val="21"/>
          <w:highlight w:val="none"/>
        </w:rPr>
      </w:pPr>
      <w:bookmarkStart w:id="6" w:name="_Toc32324"/>
      <w:r>
        <w:rPr>
          <w:rFonts w:hint="eastAsia" w:ascii="宋体" w:hAnsi="宋体" w:eastAsia="宋体" w:cs="宋体"/>
          <w:color w:val="auto"/>
          <w:sz w:val="21"/>
          <w:szCs w:val="21"/>
          <w:highlight w:val="none"/>
        </w:rPr>
        <w:t>（3）其他辅助说明资料。</w:t>
      </w:r>
      <w:bookmarkEnd w:id="6"/>
    </w:p>
    <w:p>
      <w:pPr>
        <w:pStyle w:val="30"/>
        <w:keepNext w:val="0"/>
        <w:keepLines w:val="0"/>
        <w:pageBreakBefore w:val="0"/>
        <w:widowControl w:val="0"/>
        <w:kinsoku/>
        <w:wordWrap/>
        <w:overflowPunct/>
        <w:topLinePunct/>
        <w:autoSpaceDE w:val="0"/>
        <w:autoSpaceDN w:val="0"/>
        <w:bidi w:val="0"/>
        <w:adjustRightInd w:val="0"/>
        <w:snapToGrid w:val="0"/>
        <w:spacing w:before="0" w:beforeLines="0" w:after="0" w:afterLines="0"/>
        <w:ind w:firstLine="436" w:firstLineChars="200"/>
        <w:textAlignment w:val="auto"/>
        <w:rPr>
          <w:rFonts w:hint="eastAsia" w:ascii="宋体" w:hAnsi="宋体" w:eastAsia="宋体" w:cs="宋体"/>
          <w:b w:val="0"/>
          <w:color w:val="auto"/>
          <w:kern w:val="2"/>
          <w:sz w:val="21"/>
          <w:szCs w:val="21"/>
          <w:highlight w:val="none"/>
          <w:u w:val="single"/>
          <w:lang w:val="en-US" w:eastAsia="zh-CN" w:bidi="ar-SA"/>
        </w:rPr>
      </w:pPr>
      <w:bookmarkStart w:id="7" w:name="_Toc3954"/>
      <w:r>
        <w:rPr>
          <w:rFonts w:hint="eastAsia" w:ascii="宋体" w:hAnsi="宋体" w:eastAsia="宋体" w:cs="宋体"/>
          <w:b w:val="0"/>
          <w:color w:val="auto"/>
          <w:kern w:val="2"/>
          <w:sz w:val="21"/>
          <w:szCs w:val="21"/>
          <w:highlight w:val="none"/>
          <w:u w:val="single"/>
          <w:lang w:val="en-US" w:eastAsia="zh-CN" w:bidi="ar-SA"/>
        </w:rPr>
        <w:t>11.2.4</w:t>
      </w:r>
      <w:r>
        <w:rPr>
          <w:rFonts w:hint="eastAsia" w:ascii="宋体" w:hAnsi="宋体" w:eastAsia="宋体" w:cs="宋体"/>
          <w:b w:val="0"/>
          <w:color w:val="auto"/>
          <w:kern w:val="2"/>
          <w:sz w:val="21"/>
          <w:szCs w:val="21"/>
          <w:highlight w:val="none"/>
          <w:lang w:val="en-US" w:eastAsia="zh-CN" w:bidi="ar-SA"/>
        </w:rPr>
        <w:t>施工组织设计或施工方案</w:t>
      </w:r>
      <w:r>
        <w:rPr>
          <w:rFonts w:hint="eastAsia" w:ascii="宋体" w:hAnsi="宋体" w:eastAsia="宋体" w:cs="宋体"/>
          <w:b w:val="0"/>
          <w:color w:val="auto"/>
          <w:kern w:val="2"/>
          <w:sz w:val="21"/>
          <w:szCs w:val="21"/>
          <w:highlight w:val="none"/>
          <w:u w:val="single"/>
          <w:lang w:val="en-US" w:eastAsia="zh-CN" w:bidi="ar-SA"/>
        </w:rPr>
        <w:t>（按招标文件第四章的格式10《承诺书》提交）</w:t>
      </w:r>
      <w:r>
        <w:rPr>
          <w:rFonts w:hint="eastAsia" w:ascii="宋体" w:eastAsia="宋体" w:cs="宋体"/>
          <w:b w:val="0"/>
          <w:color w:val="auto"/>
          <w:kern w:val="2"/>
          <w:sz w:val="21"/>
          <w:szCs w:val="21"/>
          <w:highlight w:val="none"/>
          <w:u w:val="single"/>
          <w:lang w:val="en-US" w:eastAsia="zh-CN" w:bidi="ar-SA"/>
        </w:rPr>
        <w:t>。</w:t>
      </w:r>
      <w:bookmarkEnd w:id="7"/>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11.2.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按照</w:t>
      </w:r>
      <w:r>
        <w:rPr>
          <w:rFonts w:hint="eastAsia" w:ascii="宋体" w:hAnsi="宋体" w:eastAsia="宋体" w:cs="宋体"/>
          <w:bCs/>
          <w:color w:val="auto"/>
          <w:sz w:val="21"/>
          <w:szCs w:val="21"/>
          <w:highlight w:val="none"/>
        </w:rPr>
        <w:t>招标文件要求</w:t>
      </w:r>
      <w:r>
        <w:rPr>
          <w:rFonts w:hint="eastAsia" w:ascii="宋体" w:hAnsi="宋体" w:eastAsia="宋体" w:cs="宋体"/>
          <w:color w:val="auto"/>
          <w:sz w:val="21"/>
          <w:szCs w:val="21"/>
          <w:highlight w:val="none"/>
        </w:rPr>
        <w:t>填写的《参与编制技术标投标文件人员名单》</w:t>
      </w:r>
      <w:r>
        <w:rPr>
          <w:rFonts w:hint="eastAsia" w:cs="宋体"/>
          <w:color w:val="auto"/>
          <w:sz w:val="21"/>
          <w:szCs w:val="21"/>
          <w:highlight w:val="none"/>
          <w:lang w:eastAsia="zh-CN"/>
        </w:rPr>
        <w:t>（</w:t>
      </w:r>
      <w:r>
        <w:rPr>
          <w:rFonts w:hint="eastAsia" w:cs="宋体"/>
          <w:color w:val="auto"/>
          <w:sz w:val="21"/>
          <w:szCs w:val="21"/>
          <w:highlight w:val="none"/>
          <w:u w:val="single"/>
          <w:lang w:eastAsia="zh-CN"/>
        </w:rPr>
        <w:t>格式见第四章</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11.2.6</w:t>
      </w:r>
      <w:r>
        <w:rPr>
          <w:rFonts w:hint="eastAsia" w:ascii="宋体" w:hAnsi="宋体"/>
          <w:color w:val="auto"/>
          <w:sz w:val="21"/>
          <w:szCs w:val="21"/>
          <w:highlight w:val="none"/>
          <w:u w:val="single"/>
        </w:rPr>
        <w:t>投标人认为应提供的其他资料(包括但不限于招标文件要求填写的《投标函》、《承诺书》、《工期响应承诺书》、《合同响应承诺书》（格式见第四章）</w:t>
      </w:r>
      <w:r>
        <w:rPr>
          <w:rFonts w:ascii="宋体" w:hAnsi="宋体"/>
          <w:color w:val="auto"/>
          <w:sz w:val="21"/>
          <w:szCs w:val="21"/>
          <w:highlight w:val="none"/>
          <w:u w:val="single"/>
        </w:rPr>
        <w:t>)</w:t>
      </w:r>
      <w:r>
        <w:rPr>
          <w:rFonts w:hint="eastAsia" w:ascii="宋体" w:hAnsi="宋体" w:eastAsia="宋体" w:cs="宋体"/>
          <w:color w:val="auto"/>
          <w:sz w:val="21"/>
          <w:szCs w:val="21"/>
          <w:highlight w:val="none"/>
          <w:u w:val="single"/>
        </w:rPr>
        <w:t>。</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 经济部分投标文件主要包括下列内容：</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11.3.1 </w:t>
      </w:r>
      <w:r>
        <w:rPr>
          <w:rFonts w:hint="eastAsia" w:ascii="宋体" w:hAnsi="宋体" w:eastAsia="宋体" w:cs="宋体"/>
          <w:b w:val="0"/>
          <w:bCs/>
          <w:color w:val="auto"/>
          <w:sz w:val="21"/>
          <w:szCs w:val="21"/>
          <w:highlight w:val="none"/>
          <w:u w:val="single"/>
        </w:rPr>
        <w:t>广州建设工程施工招标投标书（格式见第四章）</w:t>
      </w:r>
      <w:r>
        <w:rPr>
          <w:rFonts w:hint="eastAsia" w:ascii="宋体" w:hAnsi="宋体" w:eastAsia="宋体" w:cs="宋体"/>
          <w:b w:val="0"/>
          <w:bCs/>
          <w:color w:val="auto"/>
          <w:sz w:val="21"/>
          <w:szCs w:val="21"/>
          <w:highlight w:val="none"/>
        </w:rPr>
        <w:t>。</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（1）投标总价封面、扉页；</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（2）总说明；</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（3）工程项目投标报价汇总表；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（4）单项工程投标报价汇总表；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（5）单位工程投标报价汇总表；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（6）分部分项工程清单与计价表；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（7）单价措施项目清单与计价表；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（8）总价措施项目清单与计价表；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（9）综合单价分析表；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（10）其他项目清单与计价汇总表；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（11）暂列金额明细表；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（12）材料（工程设备）暂估价明细表；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（13）专业工程暂估价明细表；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（14）计日工表；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（15）总承包服务计价表；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（16）规费和税金项目计价表；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（17）人工、主要材料和设备一览表</w:t>
      </w:r>
    </w:p>
    <w:p>
      <w:pPr>
        <w:keepNext w:val="0"/>
        <w:keepLines w:val="0"/>
        <w:pageBreakBefore w:val="0"/>
        <w:widowControl w:val="0"/>
        <w:tabs>
          <w:tab w:val="left" w:pos="1125"/>
        </w:tabs>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11.3.3 按照招标文件要求填写的《参与编制经济标投标文件人员名单》。</w:t>
      </w:r>
    </w:p>
    <w:p>
      <w:pPr>
        <w:keepNext w:val="0"/>
        <w:keepLines w:val="0"/>
        <w:pageBreakBefore w:val="0"/>
        <w:widowControl w:val="0"/>
        <w:pBdr>
          <w:bottom w:val="single" w:color="auto" w:sz="6" w:space="1"/>
        </w:pBdr>
        <w:kinsoku/>
        <w:wordWrap/>
        <w:overflowPunct/>
        <w:autoSpaceDE w:val="0"/>
        <w:autoSpaceDN w:val="0"/>
        <w:bidi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11.3.4 </w:t>
      </w:r>
      <w:r>
        <w:rPr>
          <w:rFonts w:hint="eastAsia" w:ascii="宋体" w:hAnsi="宋体"/>
          <w:color w:val="auto"/>
          <w:szCs w:val="21"/>
          <w:highlight w:val="none"/>
          <w:u w:val="single"/>
        </w:rPr>
        <w:t>其它辅助说明资料（包括但不限于招标文件要求填写的《对投标文件编制的承诺》（格式见第四章））</w:t>
      </w:r>
    </w:p>
    <w:p>
      <w:pPr>
        <w:keepNext w:val="0"/>
        <w:keepLines w:val="0"/>
        <w:pageBreakBefore w:val="0"/>
        <w:widowControl w:val="0"/>
        <w:pBdr>
          <w:bottom w:val="single" w:color="auto" w:sz="6" w:space="1"/>
        </w:pBdr>
        <w:kinsoku/>
        <w:wordWrap/>
        <w:overflowPunct/>
        <w:autoSpaceDE w:val="0"/>
        <w:autoSpaceDN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cs="宋体"/>
          <w:b w:val="0"/>
          <w:bCs/>
          <w:color w:val="auto"/>
          <w:sz w:val="21"/>
          <w:szCs w:val="21"/>
          <w:highlight w:val="none"/>
          <w:u w:val="single"/>
          <w:lang w:val="en-US" w:eastAsia="zh-CN"/>
        </w:rPr>
        <w:t>11.3.5</w:t>
      </w:r>
      <w:r>
        <w:rPr>
          <w:rFonts w:hint="eastAsia" w:ascii="宋体" w:hAnsi="宋体" w:eastAsia="宋体" w:cs="宋体"/>
          <w:b w:val="0"/>
          <w:bCs/>
          <w:color w:val="auto"/>
          <w:sz w:val="21"/>
          <w:szCs w:val="21"/>
          <w:highlight w:val="none"/>
        </w:rPr>
        <w:t>若投标人的投标报价低于工程成本警戒价的，投标人还须提供详细的施工组织设计、单价、措施性费用、单价分析表、主要材料价格表、投标人成本分析供评标委员会评审。</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12.2</w:t>
      </w:r>
      <w:r>
        <w:rPr>
          <w:rFonts w:hint="eastAsia" w:ascii="宋体" w:hAnsi="宋体" w:eastAsia="宋体" w:cs="宋体"/>
          <w:b/>
          <w:color w:val="auto"/>
          <w:sz w:val="21"/>
          <w:szCs w:val="21"/>
          <w:highlight w:val="none"/>
        </w:rPr>
        <w:t xml:space="preserve">             修改类型：修改</w:t>
      </w:r>
    </w:p>
    <w:p>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12.2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12.2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eastAsia="宋体" w:cs="宋体"/>
          <w:color w:val="auto"/>
          <w:sz w:val="21"/>
          <w:szCs w:val="21"/>
          <w:highlight w:val="none"/>
          <w:u w:val="single"/>
        </w:rPr>
        <w:t>广州公共资源交易中心网站</w:t>
      </w:r>
      <w:r>
        <w:rPr>
          <w:rFonts w:hint="eastAsia" w:ascii="宋体" w:hAnsi="宋体" w:eastAsia="宋体" w:cs="宋体"/>
          <w:bCs/>
          <w:color w:val="auto"/>
          <w:kern w:val="0"/>
          <w:sz w:val="21"/>
          <w:szCs w:val="21"/>
          <w:highlight w:val="none"/>
          <w:u w:val="single"/>
        </w:rPr>
        <w:t>。</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12.3</w:t>
      </w:r>
      <w:r>
        <w:rPr>
          <w:rFonts w:hint="eastAsia" w:ascii="宋体" w:hAnsi="宋体" w:eastAsia="宋体" w:cs="宋体"/>
          <w:b/>
          <w:color w:val="auto"/>
          <w:sz w:val="21"/>
          <w:szCs w:val="21"/>
          <w:highlight w:val="none"/>
        </w:rPr>
        <w:t xml:space="preserve">             修改类型：修改</w:t>
      </w:r>
    </w:p>
    <w:p>
      <w:pPr>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12.3</w:t>
      </w:r>
      <w:r>
        <w:rPr>
          <w:rFonts w:hint="eastAsia" w:ascii="宋体" w:hAnsi="宋体" w:eastAsia="宋体" w:cs="宋体"/>
          <w:bCs/>
          <w:color w:val="auto"/>
          <w:sz w:val="21"/>
          <w:szCs w:val="21"/>
          <w:highlight w:val="none"/>
        </w:rPr>
        <w:t>投标文件应按</w:t>
      </w:r>
      <w:r>
        <w:rPr>
          <w:rFonts w:hint="eastAsia" w:ascii="宋体" w:hAnsi="宋体" w:eastAsia="宋体" w:cs="宋体"/>
          <w:color w:val="auto"/>
          <w:sz w:val="21"/>
          <w:szCs w:val="21"/>
          <w:highlight w:val="none"/>
        </w:rPr>
        <w:t>照交易平台关于全流程电子化项目的相关指南进行编制，详见：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cs="宋体"/>
          <w:b w:val="0"/>
          <w:bCs/>
          <w:color w:val="auto"/>
          <w:sz w:val="21"/>
          <w:szCs w:val="21"/>
          <w:highlight w:val="none"/>
          <w:lang w:val="en-US" w:eastAsia="zh-CN"/>
        </w:rPr>
        <w:t>12.3</w:t>
      </w:r>
      <w:r>
        <w:rPr>
          <w:rFonts w:hint="eastAsia" w:ascii="宋体" w:hAnsi="宋体" w:eastAsia="宋体" w:cs="宋体"/>
          <w:bCs/>
          <w:color w:val="auto"/>
          <w:sz w:val="21"/>
          <w:szCs w:val="21"/>
          <w:highlight w:val="none"/>
        </w:rPr>
        <w:t>投标文件应按照交易平台关于全流程电子化项目的相关指南进行编制，详见：</w:t>
      </w:r>
      <w:r>
        <w:rPr>
          <w:rFonts w:hint="eastAsia" w:ascii="宋体" w:hAnsi="宋体" w:eastAsia="宋体" w:cs="宋体"/>
          <w:color w:val="auto"/>
          <w:sz w:val="21"/>
          <w:szCs w:val="21"/>
          <w:highlight w:val="none"/>
          <w:u w:val="single"/>
        </w:rPr>
        <w:t>【房建市政】新数字交易平台操作指引（适用于工程总承包类项目等）房屋建筑和市政基础设施工程全流程电子化项目专章（</w:t>
      </w:r>
      <w:r>
        <w:rPr>
          <w:rFonts w:hint="eastAsia" w:cs="宋体"/>
          <w:color w:val="auto"/>
          <w:sz w:val="21"/>
          <w:szCs w:val="21"/>
          <w:highlight w:val="none"/>
          <w:u w:val="single"/>
          <w:lang w:eastAsia="zh-CN"/>
        </w:rPr>
        <w:t>http://www.gzggzy.cn/fwznbszyjsgc/928327.jhtml</w:t>
      </w:r>
      <w:r>
        <w:rPr>
          <w:rFonts w:hint="eastAsia" w:ascii="宋体" w:hAnsi="宋体" w:eastAsia="宋体" w:cs="宋体"/>
          <w:color w:val="auto"/>
          <w:sz w:val="21"/>
          <w:szCs w:val="21"/>
          <w:highlight w:val="none"/>
          <w:u w:val="single"/>
        </w:rPr>
        <w:t>）</w:t>
      </w:r>
    </w:p>
    <w:p>
      <w:pPr>
        <w:spacing w:line="360" w:lineRule="auto"/>
        <w:ind w:firstLine="472" w:firstLineChars="224"/>
        <w:rPr>
          <w:rFonts w:ascii="宋体" w:hAnsi="宋体" w:cs="宋体"/>
          <w:b/>
          <w:color w:val="auto"/>
          <w:sz w:val="21"/>
          <w:szCs w:val="21"/>
          <w:highlight w:val="none"/>
        </w:rPr>
      </w:pPr>
      <w:r>
        <w:rPr>
          <w:rFonts w:hint="eastAsia" w:ascii="宋体" w:hAnsi="宋体" w:cs="宋体"/>
          <w:b/>
          <w:color w:val="auto"/>
          <w:sz w:val="21"/>
          <w:szCs w:val="21"/>
          <w:highlight w:val="none"/>
        </w:rPr>
        <w:t>条款号：</w:t>
      </w:r>
      <w:r>
        <w:rPr>
          <w:rFonts w:ascii="宋体" w:hAnsi="宋体" w:cs="宋体"/>
          <w:b/>
          <w:color w:val="auto"/>
          <w:sz w:val="21"/>
          <w:szCs w:val="21"/>
          <w:highlight w:val="none"/>
        </w:rPr>
        <w:t xml:space="preserve">13.1              </w:t>
      </w:r>
      <w:r>
        <w:rPr>
          <w:rFonts w:hint="eastAsia" w:ascii="宋体" w:hAnsi="宋体" w:cs="宋体"/>
          <w:b/>
          <w:color w:val="auto"/>
          <w:sz w:val="21"/>
          <w:szCs w:val="21"/>
          <w:highlight w:val="none"/>
        </w:rPr>
        <w:t>修改类型：修改</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360" w:lineRule="auto"/>
        <w:ind w:firstLine="422" w:firstLineChars="200"/>
        <w:textAlignment w:val="auto"/>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ascii="宋体" w:hAnsi="宋体" w:cs="宋体"/>
          <w:color w:val="auto"/>
          <w:sz w:val="21"/>
          <w:szCs w:val="21"/>
          <w:highlight w:val="none"/>
        </w:rPr>
        <w:t xml:space="preserve">13.1 </w:t>
      </w:r>
      <w:r>
        <w:rPr>
          <w:rFonts w:hint="eastAsia" w:ascii="宋体" w:hAnsi="宋体" w:cs="宋体"/>
          <w:color w:val="auto"/>
          <w:sz w:val="21"/>
          <w:szCs w:val="21"/>
          <w:highlight w:val="none"/>
        </w:rPr>
        <w:t>本工程的投标报价采用投标须知前附表第</w:t>
      </w:r>
      <w:r>
        <w:rPr>
          <w:rFonts w:ascii="宋体" w:hAnsi="宋体" w:cs="宋体"/>
          <w:color w:val="auto"/>
          <w:sz w:val="21"/>
          <w:szCs w:val="21"/>
          <w:highlight w:val="none"/>
        </w:rPr>
        <w:t>12项所规定的方式。投标报价（含单价及总价）精确到“分”。</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360" w:lineRule="auto"/>
        <w:ind w:firstLine="422" w:firstLineChars="200"/>
        <w:textAlignment w:val="auto"/>
        <w:rPr>
          <w:rFonts w:ascii="宋体" w:hAnsi="宋体" w:cs="宋体"/>
          <w:color w:val="auto"/>
          <w:sz w:val="21"/>
          <w:szCs w:val="21"/>
          <w:highlight w:val="none"/>
        </w:rPr>
      </w:pPr>
      <w:r>
        <w:rPr>
          <w:rFonts w:hint="eastAsia" w:ascii="宋体" w:hAnsi="宋体" w:cs="宋体"/>
          <w:b/>
          <w:color w:val="auto"/>
          <w:sz w:val="21"/>
          <w:szCs w:val="21"/>
          <w:highlight w:val="none"/>
        </w:rPr>
        <w:t>现文：1</w:t>
      </w:r>
      <w:r>
        <w:rPr>
          <w:rFonts w:ascii="宋体" w:hAnsi="宋体" w:cs="宋体"/>
          <w:b/>
          <w:color w:val="auto"/>
          <w:sz w:val="21"/>
          <w:szCs w:val="21"/>
          <w:highlight w:val="none"/>
        </w:rPr>
        <w:t>3.1</w:t>
      </w:r>
      <w:r>
        <w:rPr>
          <w:rFonts w:hint="eastAsia" w:ascii="宋体" w:hAnsi="宋体" w:cs="宋体"/>
          <w:color w:val="auto"/>
          <w:sz w:val="21"/>
          <w:szCs w:val="21"/>
          <w:highlight w:val="none"/>
        </w:rPr>
        <w:t>本工程的投标报价采用投标须知前附表第</w:t>
      </w:r>
      <w:r>
        <w:rPr>
          <w:rFonts w:ascii="宋体" w:hAnsi="宋体" w:cs="宋体"/>
          <w:color w:val="auto"/>
          <w:sz w:val="21"/>
          <w:szCs w:val="21"/>
          <w:highlight w:val="none"/>
        </w:rPr>
        <w:t>12项所规定的方式。</w:t>
      </w:r>
      <w:r>
        <w:rPr>
          <w:rFonts w:hint="eastAsia" w:ascii="宋体" w:hAnsi="宋体" w:cs="宋体"/>
          <w:color w:val="auto"/>
          <w:sz w:val="21"/>
          <w:szCs w:val="21"/>
          <w:highlight w:val="none"/>
          <w:u w:val="single"/>
        </w:rPr>
        <w:t>投标文件中的投标报价大写金额和小写金额不一致的，以大写金额为准，</w:t>
      </w:r>
      <w:r>
        <w:rPr>
          <w:rFonts w:hint="eastAsia" w:ascii="宋体" w:hAnsi="宋体" w:cs="宋体"/>
          <w:color w:val="auto"/>
          <w:sz w:val="21"/>
          <w:szCs w:val="21"/>
          <w:highlight w:val="none"/>
        </w:rPr>
        <w:t>投标报价（含单价及总价）精确到“分”。</w:t>
      </w:r>
    </w:p>
    <w:p>
      <w:pPr>
        <w:spacing w:line="360" w:lineRule="auto"/>
        <w:ind w:firstLine="472" w:firstLineChars="224"/>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13.5 </w:t>
      </w:r>
      <w:r>
        <w:rPr>
          <w:rFonts w:hint="eastAsia" w:ascii="宋体" w:hAnsi="宋体" w:eastAsia="宋体" w:cs="宋体"/>
          <w:b/>
          <w:color w:val="auto"/>
          <w:sz w:val="21"/>
          <w:szCs w:val="21"/>
          <w:highlight w:val="none"/>
        </w:rPr>
        <w:t xml:space="preserve">      修改类型：</w:t>
      </w:r>
      <w:r>
        <w:rPr>
          <w:rFonts w:hint="eastAsia" w:cs="宋体"/>
          <w:b/>
          <w:color w:val="auto"/>
          <w:sz w:val="21"/>
          <w:szCs w:val="21"/>
          <w:highlight w:val="none"/>
          <w:lang w:eastAsia="zh-CN"/>
        </w:rPr>
        <w:t>修改</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原文：</w:t>
      </w:r>
      <w:r>
        <w:rPr>
          <w:rFonts w:hint="eastAsia" w:cs="宋体"/>
          <w:b w:val="0"/>
          <w:bCs/>
          <w:color w:val="auto"/>
          <w:sz w:val="21"/>
          <w:szCs w:val="21"/>
          <w:highlight w:val="none"/>
          <w:lang w:val="en-US" w:eastAsia="zh-CN"/>
        </w:rPr>
        <w:t>13.5</w:t>
      </w:r>
      <w:r>
        <w:rPr>
          <w:rFonts w:hint="eastAsia" w:ascii="宋体" w:hAnsi="宋体" w:eastAsia="宋体" w:cs="宋体"/>
          <w:b w:val="0"/>
          <w:bCs/>
          <w:color w:val="auto"/>
          <w:sz w:val="21"/>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13.5.1 中标的投标文件工程量清单中已有相同项目的适用综合单价，则沿用；</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13.5.2 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13.5.4 如相关定额没有相应子目的，其计价方式由招标人在本招标文件第三章中另行规定。未规定的，中标后双方协商约定。</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2" w:firstLineChars="200"/>
        <w:textAlignment w:val="auto"/>
        <w:rPr>
          <w:rFonts w:hint="eastAsia" w:ascii="宋体" w:hAnsi="宋体" w:eastAsia="宋体" w:cs="宋体"/>
          <w:b w:val="0"/>
          <w:bCs/>
          <w:color w:val="auto"/>
          <w:sz w:val="21"/>
          <w:szCs w:val="21"/>
          <w:highlight w:val="none"/>
        </w:rPr>
      </w:pPr>
      <w:r>
        <w:rPr>
          <w:rFonts w:hint="eastAsia" w:ascii="宋体" w:hAnsi="宋体" w:cs="宋体"/>
          <w:b/>
          <w:color w:val="auto"/>
          <w:sz w:val="21"/>
          <w:szCs w:val="21"/>
          <w:highlight w:val="none"/>
        </w:rPr>
        <w:t>现文：</w:t>
      </w:r>
      <w:r>
        <w:rPr>
          <w:rFonts w:hint="eastAsia" w:cs="宋体"/>
          <w:b w:val="0"/>
          <w:bCs/>
          <w:color w:val="auto"/>
          <w:sz w:val="21"/>
          <w:szCs w:val="21"/>
          <w:highlight w:val="none"/>
          <w:lang w:val="en-US" w:eastAsia="zh-CN"/>
        </w:rPr>
        <w:t>13.5</w:t>
      </w:r>
      <w:r>
        <w:rPr>
          <w:rFonts w:hint="eastAsia" w:ascii="宋体" w:hAnsi="宋体" w:eastAsia="宋体" w:cs="宋体"/>
          <w:b w:val="0"/>
          <w:bCs/>
          <w:color w:val="auto"/>
          <w:sz w:val="21"/>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13.5.1 中标的投标文件工程量清单中已有相同项目的适用综合单价，则沿用；</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13.5.2 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r>
        <w:rPr>
          <w:rFonts w:hint="eastAsia" w:cs="宋体"/>
          <w:b w:val="0"/>
          <w:bCs/>
          <w:color w:val="auto"/>
          <w:sz w:val="21"/>
          <w:szCs w:val="21"/>
          <w:highlight w:val="none"/>
          <w:u w:val="single"/>
          <w:lang w:eastAsia="zh-CN"/>
        </w:rPr>
        <w:t>（计算式中各项均不含暂列金额）。</w:t>
      </w:r>
    </w:p>
    <w:p>
      <w:pPr>
        <w:pStyle w:val="19"/>
        <w:keepNext w:val="0"/>
        <w:keepLines w:val="0"/>
        <w:pageBreakBefore w:val="0"/>
        <w:widowControl w:val="0"/>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13.5.4 如相关定额没有相应子目的，其计价方式由招标人在本招标文件第三章中另行规定。未规定的，中标后双方协商约定。</w:t>
      </w:r>
      <w:r>
        <w:rPr>
          <w:rFonts w:hint="eastAsia" w:ascii="宋体" w:hAnsi="宋体" w:eastAsia="宋体" w:cs="宋体"/>
          <w:color w:val="auto"/>
          <w:sz w:val="21"/>
          <w:szCs w:val="21"/>
          <w:highlight w:val="none"/>
        </w:rPr>
        <w:t>。</w:t>
      </w:r>
    </w:p>
    <w:p>
      <w:pPr>
        <w:pBdr>
          <w:bottom w:val="single" w:color="auto" w:sz="6" w:space="1"/>
        </w:pBdr>
        <w:spacing w:line="360" w:lineRule="auto"/>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pacing w:val="-8"/>
          <w:sz w:val="21"/>
          <w:szCs w:val="21"/>
          <w:highlight w:val="none"/>
        </w:rPr>
        <mc:AlternateContent>
          <mc:Choice Requires="wps">
            <w:drawing>
              <wp:anchor distT="0" distB="0" distL="114300" distR="114300" simplePos="0" relativeHeight="251678720" behindDoc="1" locked="0" layoutInCell="1" allowOverlap="1">
                <wp:simplePos x="0" y="0"/>
                <wp:positionH relativeFrom="page">
                  <wp:posOffset>701040</wp:posOffset>
                </wp:positionH>
                <wp:positionV relativeFrom="paragraph">
                  <wp:posOffset>104140</wp:posOffset>
                </wp:positionV>
                <wp:extent cx="6364605" cy="0"/>
                <wp:effectExtent l="0" t="0" r="0" b="0"/>
                <wp:wrapNone/>
                <wp:docPr id="42" name="直线 6"/>
                <wp:cNvGraphicFramePr/>
                <a:graphic xmlns:a="http://schemas.openxmlformats.org/drawingml/2006/main">
                  <a:graphicData uri="http://schemas.microsoft.com/office/word/2010/wordprocessingShape">
                    <wps:wsp>
                      <wps:cNvCnPr/>
                      <wps:spPr>
                        <a:xfrm>
                          <a:off x="0" y="0"/>
                          <a:ext cx="636460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55.2pt;margin-top:8.2pt;height:0pt;width:501.15pt;mso-position-horizontal-relative:page;z-index:-251637760;mso-width-relative:page;mso-height-relative:page;" filled="f" stroked="t" coordsize="21600,21600" o:gfxdata="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49SaNUA&#10;AAAKAQAADwAAAAAAAAABACAAAAAiAAAAZHJzL2Rvd25yZXYueG1sUEsBAhQAFAAAAAgAh07iQKmp&#10;b1XpAQAA3AMAAA4AAAAAAAAAAQAgAAAAJAEAAGRycy9lMm9Eb2MueG1sUEsFBgAAAAAGAAYAWQEA&#10;AH8FAAAAAA==&#10;">
                <v:fill on="f" focussize="0,0"/>
                <v:stroke weight="0.72pt" color="#000000" joinstyle="round"/>
                <v:imagedata o:title=""/>
                <o:lock v:ext="edit" aspectratio="f"/>
              </v:line>
            </w:pict>
          </mc:Fallback>
        </mc:AlternateContent>
      </w:r>
    </w:p>
    <w:p>
      <w:pPr>
        <w:pStyle w:val="19"/>
        <w:keepNext w:val="0"/>
        <w:keepLines w:val="0"/>
        <w:pageBreakBefore w:val="0"/>
        <w:widowControl w:val="0"/>
        <w:pBdr>
          <w:bottom w:val="single" w:color="auto" w:sz="6" w:space="1"/>
        </w:pBdr>
        <w:kinsoku/>
        <w:wordWrap/>
        <w:overflowPunct/>
        <w:topLinePunct w:val="0"/>
        <w:autoSpaceDE w:val="0"/>
        <w:autoSpaceDN w:val="0"/>
        <w:bidi w:val="0"/>
        <w:adjustRightInd/>
        <w:snapToGrid/>
        <w:spacing w:after="0" w:line="360" w:lineRule="auto"/>
        <w:ind w:left="0" w:firstLine="422"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条款号：16.</w:t>
      </w:r>
      <w:r>
        <w:rPr>
          <w:rFonts w:ascii="宋体" w:hAnsi="宋体"/>
          <w:b/>
          <w:color w:val="auto"/>
          <w:sz w:val="21"/>
          <w:szCs w:val="21"/>
          <w:highlight w:val="none"/>
        </w:rPr>
        <w:t xml:space="preserve">4           </w:t>
      </w:r>
      <w:r>
        <w:rPr>
          <w:rFonts w:hint="eastAsia" w:ascii="宋体" w:hAnsi="宋体"/>
          <w:b/>
          <w:color w:val="auto"/>
          <w:sz w:val="21"/>
          <w:szCs w:val="21"/>
          <w:highlight w:val="none"/>
        </w:rPr>
        <w:t>修改类型：修改</w:t>
      </w:r>
    </w:p>
    <w:p>
      <w:pPr>
        <w:pStyle w:val="19"/>
        <w:keepNext w:val="0"/>
        <w:keepLines w:val="0"/>
        <w:pageBreakBefore w:val="0"/>
        <w:widowControl w:val="0"/>
        <w:pBdr>
          <w:bottom w:val="single" w:color="auto" w:sz="6" w:space="1"/>
        </w:pBdr>
        <w:kinsoku/>
        <w:wordWrap/>
        <w:overflowPunct/>
        <w:topLinePunct w:val="0"/>
        <w:autoSpaceDE w:val="0"/>
        <w:autoSpaceDN w:val="0"/>
        <w:bidi w:val="0"/>
        <w:adjustRightInd/>
        <w:snapToGrid/>
        <w:ind w:left="0" w:firstLine="422"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原文：</w:t>
      </w:r>
      <w:r>
        <w:rPr>
          <w:rFonts w:hint="eastAsia" w:ascii="宋体" w:hAnsi="宋体"/>
          <w:bCs/>
          <w:color w:val="auto"/>
          <w:sz w:val="21"/>
          <w:szCs w:val="21"/>
          <w:highlight w:val="none"/>
        </w:rPr>
        <w:t>16.</w:t>
      </w:r>
      <w:r>
        <w:rPr>
          <w:rFonts w:ascii="宋体" w:hAnsi="宋体"/>
          <w:bCs/>
          <w:color w:val="auto"/>
          <w:sz w:val="21"/>
          <w:szCs w:val="21"/>
          <w:highlight w:val="none"/>
        </w:rPr>
        <w:t>4</w:t>
      </w:r>
      <w:r>
        <w:rPr>
          <w:rFonts w:hint="eastAsia" w:ascii="宋体" w:hAnsi="宋体"/>
          <w:bCs/>
          <w:color w:val="auto"/>
          <w:sz w:val="21"/>
          <w:szCs w:val="21"/>
          <w:highlight w:val="none"/>
        </w:rPr>
        <w:t xml:space="preserve"> 如有下列情况之一的，招标人可以不予退还投标保证金（是否退还投标保证金由招标人在招标文件中规定）：。</w:t>
      </w:r>
    </w:p>
    <w:p>
      <w:pPr>
        <w:pStyle w:val="19"/>
        <w:keepNext w:val="0"/>
        <w:keepLines w:val="0"/>
        <w:pageBreakBefore w:val="0"/>
        <w:widowControl w:val="0"/>
        <w:pBdr>
          <w:bottom w:val="single" w:color="auto" w:sz="6" w:space="1"/>
        </w:pBdr>
        <w:kinsoku/>
        <w:wordWrap/>
        <w:overflowPunct/>
        <w:topLinePunct w:val="0"/>
        <w:autoSpaceDE w:val="0"/>
        <w:autoSpaceDN w:val="0"/>
        <w:bidi w:val="0"/>
        <w:adjustRightInd/>
        <w:snapToGrid/>
        <w:spacing w:after="0" w:line="360" w:lineRule="auto"/>
        <w:ind w:left="0" w:firstLine="422" w:firstLineChars="200"/>
        <w:textAlignment w:val="auto"/>
        <w:rPr>
          <w:rFonts w:hint="eastAsia" w:ascii="宋体" w:hAnsi="宋体"/>
          <w:bCs/>
          <w:color w:val="auto"/>
          <w:sz w:val="21"/>
          <w:szCs w:val="21"/>
          <w:highlight w:val="none"/>
        </w:rPr>
      </w:pPr>
      <w:r>
        <w:rPr>
          <w:rFonts w:hint="eastAsia" w:ascii="宋体" w:hAnsi="宋体"/>
          <w:b/>
          <w:color w:val="auto"/>
          <w:sz w:val="21"/>
          <w:szCs w:val="21"/>
          <w:highlight w:val="none"/>
        </w:rPr>
        <w:t>现文：</w:t>
      </w:r>
      <w:r>
        <w:rPr>
          <w:rFonts w:hint="eastAsia" w:ascii="宋体" w:hAnsi="宋体"/>
          <w:color w:val="auto"/>
          <w:sz w:val="21"/>
          <w:szCs w:val="21"/>
          <w:highlight w:val="none"/>
        </w:rPr>
        <w:t>16.</w:t>
      </w:r>
      <w:r>
        <w:rPr>
          <w:rFonts w:ascii="宋体" w:hAnsi="宋体"/>
          <w:color w:val="auto"/>
          <w:sz w:val="21"/>
          <w:szCs w:val="21"/>
          <w:highlight w:val="none"/>
        </w:rPr>
        <w:t>4</w:t>
      </w:r>
      <w:r>
        <w:rPr>
          <w:rFonts w:hint="eastAsia" w:ascii="宋体" w:hAnsi="宋体"/>
          <w:bCs/>
          <w:color w:val="auto"/>
          <w:sz w:val="21"/>
          <w:szCs w:val="21"/>
          <w:highlight w:val="none"/>
        </w:rPr>
        <w:t xml:space="preserve"> 如有下列情况之一的，招标人不予退还投标保证金。</w:t>
      </w:r>
    </w:p>
    <w:p>
      <w:pPr>
        <w:pBdr>
          <w:bottom w:val="single" w:color="auto" w:sz="6" w:space="1"/>
        </w:pBdr>
        <w:spacing w:line="440" w:lineRule="exact"/>
        <w:ind w:firstLine="44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16.4.1投标人在投标有效期内撤销投标文件；</w:t>
      </w:r>
    </w:p>
    <w:p>
      <w:pPr>
        <w:pBdr>
          <w:bottom w:val="single" w:color="auto" w:sz="6" w:space="1"/>
        </w:pBdr>
        <w:spacing w:line="440" w:lineRule="exact"/>
        <w:ind w:firstLine="44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16.4.2中标人未能在规定期限内按要求提交履约担保；</w:t>
      </w:r>
    </w:p>
    <w:p>
      <w:pPr>
        <w:pBdr>
          <w:bottom w:val="single" w:color="auto" w:sz="6" w:space="1"/>
        </w:pBdr>
        <w:spacing w:line="440" w:lineRule="exact"/>
        <w:ind w:firstLine="44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16.4.3中标人未能在规定期限内签署合同协议。</w:t>
      </w:r>
    </w:p>
    <w:p>
      <w:pPr>
        <w:pStyle w:val="19"/>
        <w:keepNext w:val="0"/>
        <w:keepLines w:val="0"/>
        <w:pageBreakBefore w:val="0"/>
        <w:widowControl w:val="0"/>
        <w:pBdr>
          <w:bottom w:val="single" w:color="auto" w:sz="6" w:space="1"/>
        </w:pBdr>
        <w:kinsoku/>
        <w:wordWrap/>
        <w:overflowPunct/>
        <w:topLinePunct w:val="0"/>
        <w:autoSpaceDE w:val="0"/>
        <w:autoSpaceDN w:val="0"/>
        <w:bidi w:val="0"/>
        <w:adjustRightInd/>
        <w:snapToGrid/>
        <w:spacing w:after="0" w:line="360" w:lineRule="auto"/>
        <w:ind w:left="0" w:firstLine="420" w:firstLineChars="200"/>
        <w:textAlignment w:val="auto"/>
        <w:rPr>
          <w:rFonts w:hint="eastAsia" w:ascii="宋体" w:hAnsi="宋体"/>
          <w:bCs/>
          <w:color w:val="auto"/>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条款号：16.</w:t>
      </w:r>
      <w:r>
        <w:rPr>
          <w:rFonts w:ascii="宋体" w:hAnsi="宋体"/>
          <w:b/>
          <w:color w:val="auto"/>
          <w:sz w:val="21"/>
          <w:szCs w:val="21"/>
          <w:highlight w:val="none"/>
        </w:rPr>
        <w:t xml:space="preserve">5           </w:t>
      </w:r>
      <w:r>
        <w:rPr>
          <w:rFonts w:hint="eastAsia" w:ascii="宋体" w:hAnsi="宋体"/>
          <w:b/>
          <w:color w:val="auto"/>
          <w:sz w:val="21"/>
          <w:szCs w:val="21"/>
          <w:highlight w:val="none"/>
        </w:rPr>
        <w:t>修改类型：修改</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22"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原文：</w:t>
      </w:r>
      <w:r>
        <w:rPr>
          <w:rFonts w:hint="eastAsia" w:ascii="宋体" w:hAnsi="宋体"/>
          <w:bCs/>
          <w:color w:val="auto"/>
          <w:sz w:val="21"/>
          <w:szCs w:val="21"/>
          <w:highlight w:val="none"/>
        </w:rPr>
        <w:t>16.</w:t>
      </w:r>
      <w:r>
        <w:rPr>
          <w:rFonts w:ascii="宋体" w:hAnsi="宋体"/>
          <w:bCs/>
          <w:color w:val="auto"/>
          <w:sz w:val="21"/>
          <w:szCs w:val="21"/>
          <w:highlight w:val="none"/>
        </w:rPr>
        <w:t>5</w:t>
      </w:r>
      <w:r>
        <w:rPr>
          <w:rFonts w:hint="eastAsia" w:ascii="宋体" w:hAnsi="宋体"/>
          <w:bCs/>
          <w:color w:val="auto"/>
          <w:sz w:val="21"/>
          <w:szCs w:val="21"/>
          <w:highlight w:val="none"/>
        </w:rPr>
        <w:t xml:space="preserve"> 投标人如存在下列情况之一的，将被拒绝在</w:t>
      </w:r>
      <w:bookmarkStart w:id="8" w:name="_Hlk104375023"/>
      <w:r>
        <w:rPr>
          <w:rFonts w:hint="eastAsia" w:ascii="宋体" w:hAnsi="宋体"/>
          <w:bCs/>
          <w:color w:val="auto"/>
          <w:sz w:val="21"/>
          <w:szCs w:val="21"/>
          <w:highlight w:val="none"/>
        </w:rPr>
        <w:t>一定时期</w:t>
      </w:r>
      <w:bookmarkEnd w:id="8"/>
      <w:r>
        <w:rPr>
          <w:rFonts w:hint="eastAsia" w:ascii="宋体" w:hAnsi="宋体"/>
          <w:bCs/>
          <w:color w:val="auto"/>
          <w:sz w:val="21"/>
          <w:szCs w:val="21"/>
          <w:highlight w:val="none"/>
        </w:rPr>
        <w:t>内参与招标人后续工程投标（拒绝时限需在招标文件中明确）。</w:t>
      </w:r>
    </w:p>
    <w:p>
      <w:pPr>
        <w:pStyle w:val="19"/>
        <w:keepNext w:val="0"/>
        <w:keepLines w:val="0"/>
        <w:pageBreakBefore w:val="0"/>
        <w:widowControl w:val="0"/>
        <w:pBdr>
          <w:bottom w:val="single" w:color="auto" w:sz="6" w:space="1"/>
        </w:pBdr>
        <w:kinsoku/>
        <w:wordWrap/>
        <w:overflowPunct/>
        <w:topLinePunct w:val="0"/>
        <w:autoSpaceDE w:val="0"/>
        <w:autoSpaceDN w:val="0"/>
        <w:bidi w:val="0"/>
        <w:adjustRightInd/>
        <w:snapToGrid/>
        <w:spacing w:after="0" w:line="360" w:lineRule="auto"/>
        <w:ind w:left="0" w:firstLine="422" w:firstLineChars="200"/>
        <w:textAlignment w:val="auto"/>
        <w:rPr>
          <w:rFonts w:hint="eastAsia" w:ascii="宋体" w:hAnsi="宋体"/>
          <w:bCs/>
          <w:color w:val="auto"/>
          <w:sz w:val="21"/>
          <w:szCs w:val="21"/>
          <w:highlight w:val="none"/>
        </w:rPr>
      </w:pPr>
      <w:r>
        <w:rPr>
          <w:rFonts w:hint="eastAsia" w:ascii="宋体" w:hAnsi="宋体"/>
          <w:b/>
          <w:color w:val="auto"/>
          <w:sz w:val="21"/>
          <w:szCs w:val="21"/>
          <w:highlight w:val="none"/>
        </w:rPr>
        <w:t>现文：</w:t>
      </w:r>
      <w:r>
        <w:rPr>
          <w:rFonts w:hint="eastAsia" w:ascii="宋体" w:hAnsi="宋体"/>
          <w:color w:val="auto"/>
          <w:sz w:val="21"/>
          <w:szCs w:val="21"/>
          <w:highlight w:val="none"/>
        </w:rPr>
        <w:t>16.</w:t>
      </w:r>
      <w:r>
        <w:rPr>
          <w:rFonts w:ascii="宋体" w:hAnsi="宋体"/>
          <w:color w:val="auto"/>
          <w:sz w:val="21"/>
          <w:szCs w:val="21"/>
          <w:highlight w:val="none"/>
        </w:rPr>
        <w:t>5</w:t>
      </w:r>
      <w:r>
        <w:rPr>
          <w:rFonts w:hint="eastAsia" w:ascii="宋体" w:hAnsi="宋体"/>
          <w:bCs/>
          <w:color w:val="auto"/>
          <w:sz w:val="21"/>
          <w:szCs w:val="21"/>
          <w:highlight w:val="none"/>
        </w:rPr>
        <w:t>投标人如存在下列情况之一的，将被拒绝在</w:t>
      </w:r>
      <w:r>
        <w:rPr>
          <w:rFonts w:hint="eastAsia" w:ascii="宋体" w:hAnsi="宋体"/>
          <w:bCs/>
          <w:color w:val="auto"/>
          <w:sz w:val="21"/>
          <w:szCs w:val="21"/>
          <w:highlight w:val="none"/>
          <w:u w:val="single"/>
        </w:rPr>
        <w:t>一年内</w:t>
      </w:r>
      <w:r>
        <w:rPr>
          <w:rFonts w:hint="eastAsia" w:ascii="宋体" w:hAnsi="宋体"/>
          <w:bCs/>
          <w:color w:val="auto"/>
          <w:sz w:val="21"/>
          <w:szCs w:val="21"/>
          <w:highlight w:val="none"/>
        </w:rPr>
        <w:t>参与招标人后续工程投标。</w:t>
      </w:r>
    </w:p>
    <w:p>
      <w:pPr>
        <w:spacing w:line="360" w:lineRule="auto"/>
        <w:ind w:left="440" w:leftChars="200"/>
        <w:rPr>
          <w:rFonts w:hint="eastAsia" w:ascii="宋体" w:hAnsi="宋体" w:cs="宋体"/>
          <w:b/>
          <w:color w:val="auto"/>
          <w:sz w:val="24"/>
          <w:szCs w:val="24"/>
          <w:highlight w:val="none"/>
        </w:rPr>
      </w:pPr>
    </w:p>
    <w:p>
      <w:pPr>
        <w:spacing w:line="360" w:lineRule="auto"/>
        <w:ind w:left="0" w:leftChars="0"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hAnsi="宋体" w:cs="宋体"/>
          <w:b/>
          <w:bCs w:val="0"/>
          <w:color w:val="auto"/>
          <w:kern w:val="0"/>
          <w:sz w:val="21"/>
          <w:szCs w:val="21"/>
          <w:highlight w:val="none"/>
        </w:rPr>
        <w:t>1</w:t>
      </w:r>
      <w:r>
        <w:rPr>
          <w:rFonts w:hint="eastAsia" w:ascii="宋体" w:hAnsi="宋体" w:cs="宋体"/>
          <w:b/>
          <w:bCs w:val="0"/>
          <w:color w:val="auto"/>
          <w:kern w:val="0"/>
          <w:sz w:val="21"/>
          <w:szCs w:val="21"/>
          <w:highlight w:val="none"/>
        </w:rPr>
        <w:t>6.5.3</w:t>
      </w:r>
      <w:r>
        <w:rPr>
          <w:rFonts w:hint="eastAsia" w:ascii="宋体" w:hAnsi="宋体" w:cs="宋体"/>
          <w:b/>
          <w:color w:val="auto"/>
          <w:sz w:val="21"/>
          <w:szCs w:val="21"/>
          <w:highlight w:val="none"/>
        </w:rPr>
        <w:t xml:space="preserve">                                修改类型：修改</w:t>
      </w:r>
    </w:p>
    <w:p>
      <w:pPr>
        <w:pBdr>
          <w:bottom w:val="none" w:color="auto" w:sz="0" w:space="0"/>
        </w:pBdr>
        <w:spacing w:line="360" w:lineRule="auto"/>
        <w:ind w:firstLine="422" w:firstLineChars="200"/>
        <w:rPr>
          <w:rFonts w:hint="eastAsia" w:ascii="宋体" w:hAnsi="宋体" w:cs="宋体"/>
          <w:b w:val="0"/>
          <w:bCs/>
          <w:color w:val="auto"/>
          <w:sz w:val="21"/>
          <w:szCs w:val="21"/>
          <w:highlight w:val="none"/>
        </w:rPr>
      </w:pPr>
      <w:r>
        <w:rPr>
          <w:rFonts w:hint="eastAsia" w:ascii="宋体" w:hAnsi="宋体" w:cs="宋体"/>
          <w:b/>
          <w:bCs w:val="0"/>
          <w:color w:val="auto"/>
          <w:sz w:val="21"/>
          <w:szCs w:val="21"/>
          <w:highlight w:val="none"/>
        </w:rPr>
        <w:t>原文：</w:t>
      </w:r>
      <w:r>
        <w:rPr>
          <w:rFonts w:hint="eastAsia" w:ascii="宋体" w:hAnsi="宋体" w:cs="宋体"/>
          <w:b w:val="0"/>
          <w:bCs/>
          <w:color w:val="auto"/>
          <w:sz w:val="21"/>
          <w:szCs w:val="21"/>
          <w:highlight w:val="none"/>
        </w:rPr>
        <w:t>16.5.3按招标文件要求免于提供投标保证金的投标人存在16.4条款所列情形，且未按招标人要求补交投标保证金的；</w:t>
      </w:r>
    </w:p>
    <w:p>
      <w:pPr>
        <w:pBdr>
          <w:bottom w:val="none" w:color="auto" w:sz="0" w:space="0"/>
        </w:pBdr>
        <w:spacing w:line="360" w:lineRule="auto"/>
        <w:ind w:firstLine="420" w:firstLineChars="200"/>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16.5.3按招标文件要求免于提供投标保证金的投标人存在16.4条款所列情形的。</w:t>
      </w:r>
    </w:p>
    <w:p>
      <w:pPr>
        <w:pBdr>
          <w:bottom w:val="none" w:color="auto" w:sz="0" w:space="0"/>
        </w:pBdr>
        <w:spacing w:line="360" w:lineRule="auto"/>
        <w:ind w:firstLine="420" w:firstLineChars="200"/>
        <w:rPr>
          <w:rFonts w:hint="eastAsia" w:ascii="宋体" w:hAnsi="宋体" w:cs="宋体"/>
          <w:b w:val="0"/>
          <w:bCs/>
          <w:color w:val="auto"/>
          <w:spacing w:val="0"/>
          <w:sz w:val="21"/>
          <w:szCs w:val="21"/>
          <w:highlight w:val="none"/>
        </w:rPr>
      </w:pPr>
      <w:r>
        <w:rPr>
          <w:rFonts w:hint="eastAsia" w:ascii="宋体" w:hAnsi="宋体" w:cs="宋体"/>
          <w:b w:val="0"/>
          <w:bCs/>
          <w:color w:val="auto"/>
          <w:sz w:val="21"/>
          <w:szCs w:val="21"/>
          <w:highlight w:val="none"/>
        </w:rPr>
        <w:t>注：16.5.3款由招标人二选一，需在招标文件中明确。</w:t>
      </w:r>
    </w:p>
    <w:p>
      <w:pPr>
        <w:pBdr>
          <w:bottom w:val="none" w:color="auto" w:sz="0" w:space="0"/>
        </w:pBdr>
        <w:spacing w:line="360" w:lineRule="auto"/>
        <w:ind w:firstLine="422" w:firstLineChars="200"/>
        <w:rPr>
          <w:rFonts w:hint="eastAsia" w:ascii="宋体" w:hAnsi="宋体" w:cs="宋体"/>
          <w:b w:val="0"/>
          <w:bCs/>
          <w:color w:val="auto"/>
          <w:sz w:val="21"/>
          <w:szCs w:val="21"/>
          <w:highlight w:val="none"/>
        </w:rPr>
      </w:pPr>
      <w:r>
        <w:rPr>
          <w:rFonts w:hint="eastAsia" w:ascii="宋体" w:hAnsi="宋体" w:cs="宋体"/>
          <w:b/>
          <w:bCs w:val="0"/>
          <w:color w:val="auto"/>
          <w:sz w:val="21"/>
          <w:szCs w:val="21"/>
          <w:highlight w:val="none"/>
        </w:rPr>
        <w:t>现文</w:t>
      </w:r>
      <w:r>
        <w:rPr>
          <w:rFonts w:hint="eastAsia" w:cs="宋体"/>
          <w:b/>
          <w:bCs w:val="0"/>
          <w:color w:val="auto"/>
          <w:sz w:val="21"/>
          <w:szCs w:val="21"/>
          <w:highlight w:val="none"/>
          <w:lang w:eastAsia="zh-CN"/>
        </w:rPr>
        <w:t>：</w:t>
      </w:r>
      <w:r>
        <w:rPr>
          <w:rFonts w:hint="eastAsia" w:ascii="宋体" w:hAnsi="宋体" w:cs="宋体"/>
          <w:b w:val="0"/>
          <w:bCs/>
          <w:color w:val="auto"/>
          <w:sz w:val="21"/>
          <w:szCs w:val="21"/>
          <w:highlight w:val="none"/>
        </w:rPr>
        <w:t>16.5.3按招标文件要求免于提供投标保证金的投标人存在16.4条款所列情形，且未按招标人要求补交投标保证金的。</w:t>
      </w:r>
    </w:p>
    <w:p>
      <w:pPr>
        <w:pStyle w:val="19"/>
        <w:keepNext w:val="0"/>
        <w:keepLines w:val="0"/>
        <w:pageBreakBefore w:val="0"/>
        <w:widowControl w:val="0"/>
        <w:pBdr>
          <w:bottom w:val="single" w:color="auto" w:sz="6" w:space="1"/>
        </w:pBdr>
        <w:kinsoku/>
        <w:wordWrap/>
        <w:overflowPunct/>
        <w:topLinePunct w:val="0"/>
        <w:autoSpaceDE w:val="0"/>
        <w:autoSpaceDN w:val="0"/>
        <w:bidi w:val="0"/>
        <w:adjustRightInd/>
        <w:snapToGrid/>
        <w:spacing w:after="0" w:line="360" w:lineRule="auto"/>
        <w:ind w:left="0" w:firstLine="0" w:firstLineChars="0"/>
        <w:textAlignment w:val="auto"/>
        <w:rPr>
          <w:rFonts w:hint="eastAsia" w:ascii="宋体" w:hAnsi="宋体"/>
          <w:bCs/>
          <w:color w:val="auto"/>
          <w:sz w:val="21"/>
          <w:szCs w:val="21"/>
          <w:highlight w:val="none"/>
        </w:rPr>
      </w:pP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color w:val="auto"/>
          <w:sz w:val="21"/>
          <w:szCs w:val="21"/>
          <w:highlight w:val="none"/>
        </w:rPr>
        <w:t>17.1</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Bdr>
          <w:bottom w:val="single" w:color="auto" w:sz="6" w:space="1"/>
        </w:pBdr>
        <w:spacing w:line="360" w:lineRule="auto"/>
        <w:ind w:firstLine="527" w:firstLineChars="250"/>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17.1投标人应采用单位数字证书，按招标文件要求在相应位置加盖电子印章。投标文件中需个人签字或盖章的，应加盖个人电子印章或在线下完成后扫描上传</w:t>
      </w:r>
      <w:r>
        <w:rPr>
          <w:rFonts w:hint="eastAsia" w:ascii="宋体" w:hAnsi="宋体" w:cs="宋体"/>
          <w:color w:val="auto"/>
          <w:szCs w:val="21"/>
          <w:highlight w:val="none"/>
          <w:u w:val="single"/>
        </w:rPr>
        <w:t>由广州投标文件管理软件系统生成的“工程量清单主表--工程量清单报价表”封面页和扉页</w:t>
      </w:r>
      <w:r>
        <w:rPr>
          <w:rFonts w:hint="eastAsia" w:cs="宋体"/>
          <w:color w:val="auto"/>
          <w:szCs w:val="21"/>
          <w:highlight w:val="none"/>
          <w:u w:val="single"/>
          <w:lang w:eastAsia="zh-CN"/>
        </w:rPr>
        <w:t>，</w:t>
      </w:r>
      <w:r>
        <w:rPr>
          <w:rFonts w:hint="eastAsia" w:ascii="宋体" w:hAnsi="宋体" w:cs="宋体"/>
          <w:color w:val="auto"/>
          <w:szCs w:val="21"/>
          <w:highlight w:val="none"/>
          <w:u w:val="single"/>
        </w:rPr>
        <w:t>可以仅采用单位数字证书加盖电子印章处理</w:t>
      </w:r>
      <w:r>
        <w:rPr>
          <w:rFonts w:hint="eastAsia" w:ascii="宋体" w:hAnsi="宋体" w:eastAsia="宋体" w:cs="宋体"/>
          <w:color w:val="auto"/>
          <w:sz w:val="21"/>
          <w:szCs w:val="21"/>
          <w:highlight w:val="none"/>
        </w:rPr>
        <w:t>。按照交易平台关于全流程电子化项目的相关指南进行操作。详见：</w:t>
      </w:r>
      <w:r>
        <w:rPr>
          <w:rFonts w:hint="eastAsia" w:ascii="宋体" w:hAnsi="宋体" w:eastAsia="宋体" w:cs="宋体"/>
          <w:color w:val="auto"/>
          <w:sz w:val="21"/>
          <w:szCs w:val="21"/>
          <w:highlight w:val="none"/>
          <w:u w:val="single"/>
        </w:rPr>
        <w:t xml:space="preserve">  广州公共资源交易中心网站</w:t>
      </w:r>
      <w:r>
        <w:rPr>
          <w:rFonts w:hint="eastAsia" w:ascii="宋体" w:hAnsi="宋体" w:eastAsia="宋体" w:cs="宋体"/>
          <w:bCs/>
          <w:color w:val="auto"/>
          <w:kern w:val="0"/>
          <w:sz w:val="21"/>
          <w:szCs w:val="21"/>
          <w:highlight w:val="none"/>
          <w:u w:val="single"/>
        </w:rPr>
        <w:t>。</w:t>
      </w:r>
      <w:r>
        <w:rPr>
          <w:rFonts w:hint="eastAsia" w:ascii="宋体" w:hAnsi="宋体" w:eastAsia="宋体" w:cs="宋体"/>
          <w:color w:val="auto"/>
          <w:sz w:val="21"/>
          <w:szCs w:val="21"/>
          <w:highlight w:val="none"/>
          <w:u w:val="single"/>
        </w:rPr>
        <w:t xml:space="preserve"> </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 </w:t>
      </w:r>
      <w:r>
        <w:rPr>
          <w:rFonts w:hint="eastAsia" w:ascii="宋体" w:hAnsi="宋体" w:eastAsia="宋体" w:cs="宋体"/>
          <w:bCs/>
          <w:color w:val="auto"/>
          <w:sz w:val="21"/>
          <w:szCs w:val="21"/>
          <w:highlight w:val="none"/>
        </w:rPr>
        <w:t>18.1</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18.1递交的电子投标文件（不含备用光盘）必须进行加密。按照交易平台关于</w:t>
      </w:r>
      <w:r>
        <w:rPr>
          <w:rFonts w:hint="eastAsia" w:ascii="宋体" w:hAnsi="宋体" w:eastAsia="宋体" w:cs="宋体"/>
          <w:color w:val="auto"/>
          <w:sz w:val="21"/>
          <w:szCs w:val="21"/>
          <w:highlight w:val="none"/>
        </w:rPr>
        <w:t>全流程电子化项目的相关指南进行操作。详见：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18.1递交的电子投标文件（不含备用光盘）必须进行加密。按照交易平台关于</w:t>
      </w:r>
      <w:r>
        <w:rPr>
          <w:rFonts w:hint="eastAsia" w:ascii="宋体" w:hAnsi="宋体" w:eastAsia="宋体" w:cs="宋体"/>
          <w:color w:val="auto"/>
          <w:sz w:val="21"/>
          <w:szCs w:val="21"/>
          <w:highlight w:val="none"/>
        </w:rPr>
        <w:t>全流程电子化项目的相关指南进行操作。详见：</w:t>
      </w:r>
      <w:r>
        <w:rPr>
          <w:rFonts w:hint="eastAsia" w:ascii="宋体" w:hAnsi="宋体" w:cs="宋体"/>
          <w:color w:val="auto"/>
          <w:szCs w:val="21"/>
          <w:highlight w:val="none"/>
          <w:u w:val="single"/>
        </w:rPr>
        <w:t>《房屋建筑和市政基础设施工程全流程电子化项目专章》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 </w:t>
      </w:r>
      <w:r>
        <w:rPr>
          <w:rFonts w:hint="eastAsia" w:ascii="宋体" w:hAnsi="宋体" w:eastAsia="宋体" w:cs="宋体"/>
          <w:bCs/>
          <w:color w:val="auto"/>
          <w:sz w:val="21"/>
          <w:szCs w:val="21"/>
          <w:highlight w:val="none"/>
        </w:rPr>
        <w:t xml:space="preserve">18.2 </w:t>
      </w:r>
      <w:r>
        <w:rPr>
          <w:rFonts w:hint="eastAsia" w:ascii="宋体" w:hAnsi="宋体" w:eastAsia="宋体" w:cs="宋体"/>
          <w:b/>
          <w:color w:val="auto"/>
          <w:sz w:val="21"/>
          <w:szCs w:val="21"/>
          <w:highlight w:val="none"/>
        </w:rPr>
        <w:t xml:space="preserve">            修改类型：修改</w:t>
      </w:r>
    </w:p>
    <w:p>
      <w:pPr>
        <w:spacing w:line="360" w:lineRule="auto"/>
        <w:ind w:firstLine="527" w:firstLineChars="25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18.2未按要求加密的投标文件，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w:t>
      </w:r>
      <w:r>
        <w:rPr>
          <w:rFonts w:hint="eastAsia" w:ascii="宋体" w:hAnsi="宋体" w:eastAsia="宋体" w:cs="宋体"/>
          <w:bCs/>
          <w:color w:val="auto"/>
          <w:sz w:val="21"/>
          <w:szCs w:val="21"/>
          <w:highlight w:val="none"/>
        </w:rPr>
        <w:t>将予以拒收。</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18.2未按要求加密的投标文件，</w:t>
      </w:r>
      <w:r>
        <w:rPr>
          <w:rFonts w:hint="eastAsia" w:ascii="宋体" w:hAnsi="宋体" w:eastAsia="宋体" w:cs="宋体"/>
          <w:color w:val="auto"/>
          <w:sz w:val="21"/>
          <w:szCs w:val="21"/>
          <w:highlight w:val="none"/>
          <w:u w:val="single"/>
        </w:rPr>
        <w:t>广州公共资源交易中心</w:t>
      </w:r>
      <w:r>
        <w:rPr>
          <w:rFonts w:hint="eastAsia" w:ascii="宋体" w:hAnsi="宋体" w:eastAsia="宋体" w:cs="宋体"/>
          <w:color w:val="auto"/>
          <w:sz w:val="21"/>
          <w:szCs w:val="21"/>
          <w:highlight w:val="none"/>
        </w:rPr>
        <w:t>交易平台</w:t>
      </w:r>
      <w:r>
        <w:rPr>
          <w:rFonts w:hint="eastAsia" w:ascii="宋体" w:hAnsi="宋体" w:eastAsia="宋体" w:cs="宋体"/>
          <w:bCs/>
          <w:color w:val="auto"/>
          <w:sz w:val="21"/>
          <w:szCs w:val="21"/>
          <w:highlight w:val="none"/>
        </w:rPr>
        <w:t>将予以拒收。</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 xml:space="preserve">             修改类型：修改</w:t>
      </w:r>
    </w:p>
    <w:p>
      <w:pP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19.</w:t>
      </w:r>
      <w:r>
        <w:rPr>
          <w:rFonts w:hint="eastAsia" w:ascii="宋体" w:hAnsi="宋体" w:eastAsia="宋体" w:cs="宋体"/>
          <w:bCs/>
          <w:color w:val="auto"/>
          <w:sz w:val="21"/>
          <w:szCs w:val="21"/>
          <w:highlight w:val="none"/>
        </w:rPr>
        <w:t>投标文件的递交和接收</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19.1投标人通过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交易平台递交电子投标文件。</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交易平台将予以拒收。</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19.投标文件的递交和接收</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19.1投标人通过</w:t>
      </w:r>
      <w:r>
        <w:rPr>
          <w:rFonts w:hint="eastAsia" w:ascii="宋体" w:hAnsi="宋体" w:eastAsia="宋体" w:cs="宋体"/>
          <w:color w:val="auto"/>
          <w:sz w:val="21"/>
          <w:szCs w:val="21"/>
          <w:highlight w:val="none"/>
          <w:u w:val="single"/>
        </w:rPr>
        <w:t xml:space="preserve"> 广州公共资源交易中心 </w:t>
      </w:r>
      <w:r>
        <w:rPr>
          <w:rFonts w:hint="eastAsia" w:ascii="宋体" w:hAnsi="宋体" w:eastAsia="宋体" w:cs="宋体"/>
          <w:color w:val="auto"/>
          <w:sz w:val="21"/>
          <w:szCs w:val="21"/>
          <w:highlight w:val="none"/>
        </w:rPr>
        <w:t>交易平台递交电子投标文件。</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19.2投标人完成电子</w:t>
      </w:r>
      <w:r>
        <w:rPr>
          <w:rFonts w:hint="eastAsia" w:ascii="宋体" w:hAnsi="宋体" w:eastAsia="宋体" w:cs="宋体"/>
          <w:color w:val="auto"/>
          <w:sz w:val="21"/>
          <w:szCs w:val="21"/>
          <w:highlight w:val="none"/>
        </w:rPr>
        <w:t>投标文件</w:t>
      </w:r>
      <w:r>
        <w:rPr>
          <w:rFonts w:hint="eastAsia" w:ascii="宋体" w:hAnsi="宋体" w:eastAsia="宋体" w:cs="宋体"/>
          <w:bCs/>
          <w:color w:val="auto"/>
          <w:sz w:val="21"/>
          <w:szCs w:val="21"/>
          <w:highlight w:val="none"/>
        </w:rPr>
        <w:t>上传后，</w:t>
      </w:r>
      <w:r>
        <w:rPr>
          <w:rFonts w:hint="eastAsia" w:ascii="宋体" w:hAnsi="宋体" w:eastAsia="宋体" w:cs="宋体"/>
          <w:color w:val="auto"/>
          <w:sz w:val="21"/>
          <w:szCs w:val="21"/>
          <w:highlight w:val="none"/>
          <w:u w:val="single"/>
        </w:rPr>
        <w:t xml:space="preserve">  广州公共资源交易中心</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19.3逾期送达的电子投标文件，</w:t>
      </w:r>
      <w:r>
        <w:rPr>
          <w:rFonts w:hint="eastAsia" w:ascii="宋体" w:hAnsi="宋体" w:eastAsia="宋体" w:cs="宋体"/>
          <w:color w:val="auto"/>
          <w:sz w:val="21"/>
          <w:szCs w:val="21"/>
          <w:highlight w:val="none"/>
          <w:u w:val="single"/>
        </w:rPr>
        <w:t xml:space="preserve">  广州公共资源交易中心 </w:t>
      </w:r>
      <w:r>
        <w:rPr>
          <w:rFonts w:hint="eastAsia" w:ascii="宋体" w:hAnsi="宋体" w:eastAsia="宋体" w:cs="宋体"/>
          <w:color w:val="auto"/>
          <w:sz w:val="21"/>
          <w:szCs w:val="21"/>
          <w:highlight w:val="none"/>
        </w:rPr>
        <w:t>交易平台将予以拒收。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200" w:lineRule="atLeast"/>
        <w:textAlignment w:val="auto"/>
        <w:rPr>
          <w:rFonts w:hint="eastAsia" w:ascii="宋体" w:hAnsi="宋体" w:eastAsia="宋体" w:cs="宋体"/>
          <w:color w:val="auto"/>
          <w:sz w:val="21"/>
          <w:szCs w:val="21"/>
          <w:highlight w:val="none"/>
        </w:rPr>
      </w:pPr>
    </w:p>
    <w:p>
      <w:pPr>
        <w:spacing w:line="360" w:lineRule="auto"/>
        <w:ind w:firstLine="472" w:firstLineChars="224"/>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19.5</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eastAsia="zh-CN"/>
        </w:rPr>
        <w:t>删除</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19.5如技术标和经济标先后分别开启，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交易平台将按招标文件规定的时间分别开启技术标和经济标。</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240" w:lineRule="atLeast"/>
        <w:textAlignment w:val="auto"/>
        <w:rPr>
          <w:rFonts w:hint="eastAsia" w:ascii="宋体" w:hAnsi="宋体" w:eastAsia="宋体" w:cs="宋体"/>
          <w:color w:val="auto"/>
          <w:sz w:val="21"/>
          <w:szCs w:val="21"/>
          <w:highlight w:val="none"/>
          <w:lang w:eastAsia="zh-CN"/>
        </w:rPr>
      </w:pPr>
    </w:p>
    <w:p>
      <w:pPr>
        <w:spacing w:line="360" w:lineRule="auto"/>
        <w:ind w:firstLine="472" w:firstLineChars="224"/>
        <w:outlineLvl w:val="1"/>
        <w:rPr>
          <w:rFonts w:hint="eastAsia" w:ascii="宋体" w:hAnsi="宋体" w:eastAsia="宋体" w:cs="宋体"/>
          <w:b/>
          <w:color w:val="auto"/>
          <w:sz w:val="21"/>
          <w:szCs w:val="21"/>
          <w:highlight w:val="none"/>
          <w:lang w:eastAsia="zh-CN"/>
        </w:rPr>
      </w:pPr>
      <w:bookmarkStart w:id="9" w:name="_Toc32230"/>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19.6</w:t>
      </w:r>
      <w:r>
        <w:rPr>
          <w:rFonts w:hint="eastAsia" w:ascii="宋体" w:hAnsi="宋体" w:eastAsia="宋体" w:cs="宋体"/>
          <w:b/>
          <w:color w:val="auto"/>
          <w:sz w:val="21"/>
          <w:szCs w:val="21"/>
          <w:highlight w:val="none"/>
        </w:rPr>
        <w:t xml:space="preserve">             修改类型：</w:t>
      </w:r>
      <w:r>
        <w:rPr>
          <w:rFonts w:hint="eastAsia" w:ascii="宋体" w:hAnsi="宋体" w:eastAsia="宋体" w:cs="宋体"/>
          <w:b/>
          <w:color w:val="auto"/>
          <w:sz w:val="21"/>
          <w:szCs w:val="21"/>
          <w:highlight w:val="none"/>
          <w:lang w:eastAsia="zh-CN"/>
        </w:rPr>
        <w:t>删除</w:t>
      </w:r>
      <w:bookmarkEnd w:id="9"/>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240" w:lineRule="atLeast"/>
        <w:textAlignment w:val="auto"/>
        <w:rPr>
          <w:rFonts w:hint="eastAsia" w:ascii="宋体" w:hAnsi="宋体" w:eastAsia="宋体" w:cs="宋体"/>
          <w:color w:val="auto"/>
          <w:sz w:val="21"/>
          <w:szCs w:val="21"/>
          <w:highlight w:val="none"/>
          <w:lang w:eastAsia="zh-CN"/>
        </w:rPr>
      </w:pP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20.1</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20.1投标人应在投标须知前附表第17项所述的时间前提交投标文件。</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20.1投标人应在投标须知前附表第17项所述的时间前提交投标文件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否则</w:t>
      </w:r>
      <w:r>
        <w:rPr>
          <w:rFonts w:hint="eastAsia" w:ascii="宋体" w:hAnsi="宋体" w:eastAsia="宋体" w:cs="宋体"/>
          <w:color w:val="auto"/>
          <w:sz w:val="21"/>
          <w:szCs w:val="21"/>
          <w:highlight w:val="none"/>
          <w:u w:val="single"/>
        </w:rPr>
        <w:t>广州公共资源交易中心交易平台将予以拒收。</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20.3</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20.3 到投标截止时间止，招标人收到的投标文件少于3家的，招标人将重新组织招标（当N个标段同时招标且不允许兼中时，若有效投标单位不足N+2家，则重新组织招标）。</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20.3 到投标截止时间止，招标人收到的投标文件少于3家的，招标人将重新组织招标。</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21.1</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原文：21.1 </w:t>
      </w:r>
      <w:r>
        <w:rPr>
          <w:rFonts w:hint="eastAsia" w:ascii="宋体" w:hAnsi="宋体" w:eastAsia="宋体" w:cs="宋体"/>
          <w:bCs/>
          <w:color w:val="auto"/>
          <w:sz w:val="21"/>
          <w:szCs w:val="21"/>
          <w:highlight w:val="none"/>
        </w:rPr>
        <w:t>本须知前附表第17项规定的投标截止时间后送达的电子投标文件，</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交易平台将予以拒收。</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现文：21.1 </w:t>
      </w:r>
      <w:r>
        <w:rPr>
          <w:rFonts w:hint="eastAsia" w:ascii="宋体" w:hAnsi="宋体" w:eastAsia="宋体" w:cs="宋体"/>
          <w:bCs/>
          <w:color w:val="auto"/>
          <w:sz w:val="21"/>
          <w:szCs w:val="21"/>
          <w:highlight w:val="none"/>
        </w:rPr>
        <w:t>本须知前附表第17项规定的投标截止时间后送达的电子投标文件，</w:t>
      </w:r>
      <w:r>
        <w:rPr>
          <w:rFonts w:hint="eastAsia" w:ascii="宋体" w:hAnsi="宋体" w:eastAsia="宋体" w:cs="宋体"/>
          <w:bCs/>
          <w:color w:val="auto"/>
          <w:sz w:val="21"/>
          <w:szCs w:val="21"/>
          <w:highlight w:val="none"/>
          <w:u w:val="single"/>
        </w:rPr>
        <w:t>广州公共资源交易中心</w:t>
      </w:r>
      <w:r>
        <w:rPr>
          <w:rFonts w:hint="eastAsia" w:ascii="宋体" w:hAnsi="宋体" w:eastAsia="宋体" w:cs="宋体"/>
          <w:bCs/>
          <w:color w:val="auto"/>
          <w:sz w:val="21"/>
          <w:szCs w:val="21"/>
          <w:highlight w:val="none"/>
        </w:rPr>
        <w:t>交易平台将予以拒收。</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27.1</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原文：27.1</w:t>
      </w:r>
      <w:r>
        <w:rPr>
          <w:rFonts w:hint="eastAsia" w:ascii="宋体" w:hAnsi="宋体" w:eastAsia="宋体" w:cs="宋体"/>
          <w:bCs/>
          <w:color w:val="auto"/>
          <w:sz w:val="21"/>
          <w:szCs w:val="21"/>
          <w:highlight w:val="none"/>
        </w:rPr>
        <w:t>招标人将在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现文：27.1</w:t>
      </w:r>
      <w:r>
        <w:rPr>
          <w:rFonts w:hint="eastAsia" w:ascii="宋体" w:hAnsi="宋体" w:eastAsia="宋体" w:cs="宋体"/>
          <w:b w:val="0"/>
          <w:bCs/>
          <w:color w:val="auto"/>
          <w:sz w:val="21"/>
          <w:szCs w:val="21"/>
          <w:highlight w:val="none"/>
        </w:rPr>
        <w:t>招标人将在</w:t>
      </w:r>
      <w:r>
        <w:rPr>
          <w:rFonts w:hint="eastAsia" w:ascii="宋体" w:hAnsi="宋体" w:eastAsia="宋体" w:cs="宋体"/>
          <w:b w:val="0"/>
          <w:bCs/>
          <w:color w:val="auto"/>
          <w:sz w:val="21"/>
          <w:szCs w:val="21"/>
          <w:highlight w:val="none"/>
          <w:u w:val="single"/>
        </w:rPr>
        <w:t>广州公共资源交易中心</w:t>
      </w:r>
      <w:r>
        <w:rPr>
          <w:rFonts w:hint="eastAsia" w:ascii="宋体" w:hAnsi="宋体" w:eastAsia="宋体" w:cs="宋体"/>
          <w:b w:val="0"/>
          <w:bCs/>
          <w:color w:val="auto"/>
          <w:sz w:val="21"/>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r>
        <w:rPr>
          <w:rFonts w:hint="eastAsia" w:ascii="宋体" w:hAnsi="宋体" w:eastAsia="宋体" w:cs="宋体"/>
          <w:bCs/>
          <w:color w:val="auto"/>
          <w:sz w:val="21"/>
          <w:szCs w:val="21"/>
          <w:highlight w:val="none"/>
          <w:lang w:eastAsia="zh-CN"/>
        </w:rPr>
        <w:t>。</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240" w:lineRule="atLeast"/>
        <w:textAlignment w:val="auto"/>
        <w:rPr>
          <w:rFonts w:hint="eastAsia" w:ascii="宋体" w:hAnsi="宋体" w:eastAsia="宋体" w:cs="宋体"/>
          <w:color w:val="auto"/>
          <w:sz w:val="21"/>
          <w:szCs w:val="21"/>
          <w:highlight w:val="none"/>
        </w:rPr>
      </w:pP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27.4</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原文：27.4</w:t>
      </w:r>
      <w:r>
        <w:rPr>
          <w:rFonts w:hint="eastAsia" w:ascii="宋体" w:hAnsi="宋体" w:eastAsia="宋体" w:cs="宋体"/>
          <w:bCs/>
          <w:color w:val="auto"/>
          <w:sz w:val="21"/>
          <w:szCs w:val="21"/>
          <w:highlight w:val="none"/>
        </w:rPr>
        <w:t>在产生中标候选人后，招标人将中标候选人的投标文件商务部分文件的所有内容（包括人员、业绩、奖项等资料）在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交易平台和广东省招标投标监管网公开。</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cs="宋体"/>
          <w:b/>
          <w:color w:val="auto"/>
          <w:sz w:val="21"/>
          <w:szCs w:val="21"/>
          <w:highlight w:val="none"/>
          <w:lang w:val="en-US" w:eastAsia="zh-CN"/>
        </w:rPr>
        <w:t>27.4</w:t>
      </w:r>
      <w:r>
        <w:rPr>
          <w:rFonts w:hint="eastAsia" w:ascii="宋体" w:hAnsi="宋体" w:eastAsia="宋体" w:cs="宋体"/>
          <w:b w:val="0"/>
          <w:bCs/>
          <w:color w:val="auto"/>
          <w:sz w:val="21"/>
          <w:szCs w:val="21"/>
          <w:highlight w:val="none"/>
        </w:rPr>
        <w:t>在产生中标候选人后，招标人将中标候选人的投标文件商务部分文件的所有内容（包括人员、业绩、奖项等资料）在</w:t>
      </w:r>
      <w:r>
        <w:rPr>
          <w:rFonts w:hint="eastAsia" w:ascii="宋体" w:hAnsi="宋体" w:eastAsia="宋体" w:cs="宋体"/>
          <w:b w:val="0"/>
          <w:bCs/>
          <w:color w:val="auto"/>
          <w:sz w:val="21"/>
          <w:szCs w:val="21"/>
          <w:highlight w:val="none"/>
          <w:u w:val="single"/>
        </w:rPr>
        <w:t>广州公共资源交易中心</w:t>
      </w:r>
      <w:r>
        <w:rPr>
          <w:rFonts w:hint="eastAsia" w:ascii="宋体" w:hAnsi="宋体" w:eastAsia="宋体" w:cs="宋体"/>
          <w:b w:val="0"/>
          <w:bCs/>
          <w:color w:val="auto"/>
          <w:sz w:val="21"/>
          <w:szCs w:val="21"/>
          <w:highlight w:val="none"/>
        </w:rPr>
        <w:t>交易平台和广东省招标投标监管网公开</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注：以上修改，仅限于本范本中有可供选择条款的情形。</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（以下无正文）</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outlineLvl w:val="9"/>
        <w:rPr>
          <w:color w:val="auto"/>
          <w:sz w:val="28"/>
          <w:szCs w:val="28"/>
          <w:highlight w:val="none"/>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4"/>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outlineLvl w:val="1"/>
        <w:rPr>
          <w:color w:val="auto"/>
          <w:sz w:val="28"/>
          <w:szCs w:val="28"/>
          <w:highlight w:val="none"/>
        </w:rPr>
      </w:pPr>
      <w:bookmarkStart w:id="10" w:name="_Toc18182"/>
      <w:r>
        <w:rPr>
          <w:color w:val="auto"/>
          <w:sz w:val="28"/>
          <w:szCs w:val="28"/>
          <w:highlight w:val="none"/>
        </w:rPr>
        <w:t>三、投标须知通用条款</w:t>
      </w:r>
      <w:bookmarkEnd w:id="10"/>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outlineLvl w:val="2"/>
        <w:rPr>
          <w:rFonts w:hint="eastAsia" w:eastAsia="宋体"/>
          <w:b/>
          <w:bCs/>
          <w:color w:val="auto"/>
          <w:sz w:val="28"/>
          <w:szCs w:val="28"/>
          <w:highlight w:val="none"/>
          <w:lang w:eastAsia="zh-CN"/>
        </w:rPr>
      </w:pPr>
      <w:bookmarkStart w:id="11" w:name="_Toc32481"/>
      <w:r>
        <w:rPr>
          <w:b/>
          <w:bCs/>
          <w:color w:val="auto"/>
          <w:sz w:val="28"/>
          <w:szCs w:val="28"/>
          <w:highlight w:val="none"/>
        </w:rPr>
        <w:t>（一</w:t>
      </w:r>
      <w:r>
        <w:rPr>
          <w:b/>
          <w:bCs/>
          <w:color w:val="auto"/>
          <w:spacing w:val="-3"/>
          <w:sz w:val="28"/>
          <w:szCs w:val="28"/>
          <w:highlight w:val="none"/>
        </w:rPr>
        <w:t>）</w:t>
      </w:r>
      <w:r>
        <w:rPr>
          <w:b/>
          <w:bCs/>
          <w:color w:val="auto"/>
          <w:spacing w:val="-2"/>
          <w:sz w:val="28"/>
          <w:szCs w:val="28"/>
          <w:highlight w:val="none"/>
        </w:rPr>
        <w:t>总则</w:t>
      </w:r>
      <w:bookmarkEnd w:id="11"/>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eastAsia="宋体"/>
          <w:b/>
          <w:color w:val="auto"/>
          <w:sz w:val="24"/>
          <w:highlight w:val="none"/>
          <w:lang w:eastAsia="zh-CN"/>
        </w:rPr>
      </w:pPr>
      <w:r>
        <w:rPr>
          <w:b/>
          <w:color w:val="auto"/>
          <w:sz w:val="24"/>
          <w:highlight w:val="none"/>
        </w:rPr>
        <w:t>1</w:t>
      </w:r>
      <w:r>
        <w:rPr>
          <w:rFonts w:hint="eastAsia"/>
          <w:b/>
          <w:color w:val="auto"/>
          <w:sz w:val="24"/>
          <w:highlight w:val="none"/>
          <w:lang w:val="en-US" w:eastAsia="zh-CN"/>
        </w:rPr>
        <w:t>.</w:t>
      </w:r>
      <w:r>
        <w:rPr>
          <w:b/>
          <w:color w:val="auto"/>
          <w:sz w:val="24"/>
          <w:highlight w:val="none"/>
        </w:rPr>
        <w:t>定义</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eastAsia="宋体"/>
          <w:b/>
          <w:color w:val="auto"/>
          <w:highlight w:val="none"/>
          <w:lang w:eastAsia="zh-CN"/>
        </w:rPr>
      </w:pPr>
      <w:r>
        <w:rPr>
          <w:color w:val="auto"/>
          <w:highlight w:val="none"/>
        </w:rPr>
        <w:t>本招标文件使用的下列词语具有如下规定的意义：</w:t>
      </w:r>
    </w:p>
    <w:p>
      <w:pPr>
        <w:pStyle w:val="26"/>
        <w:keepNext w:val="0"/>
        <w:keepLines w:val="0"/>
        <w:pageBreakBefore w:val="0"/>
        <w:widowControl w:val="0"/>
        <w:numPr>
          <w:ilvl w:val="0"/>
          <w:numId w:val="0"/>
        </w:numPr>
        <w:tabs>
          <w:tab w:val="left" w:pos="148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rPr>
        <w:t>“招标人”（即发包人）、“项目建设管理单位”（或称“项目代建单位”）、“招标代理”、“设计单位”、“监理单位”均已在</w:t>
      </w:r>
      <w:r>
        <w:rPr>
          <w:rFonts w:hint="eastAsia" w:ascii="宋体" w:hAnsi="宋体" w:eastAsia="宋体" w:cs="宋体"/>
          <w:b/>
          <w:bCs/>
          <w:color w:val="auto"/>
          <w:spacing w:val="0"/>
          <w:sz w:val="24"/>
          <w:highlight w:val="none"/>
        </w:rPr>
        <w:t>投标须知前附表</w:t>
      </w:r>
      <w:r>
        <w:rPr>
          <w:rFonts w:hint="eastAsia" w:ascii="宋体" w:hAnsi="宋体" w:eastAsia="宋体" w:cs="宋体"/>
          <w:color w:val="auto"/>
          <w:spacing w:val="0"/>
          <w:sz w:val="24"/>
          <w:highlight w:val="none"/>
        </w:rPr>
        <w:t>中列明。</w:t>
      </w:r>
    </w:p>
    <w:p>
      <w:pPr>
        <w:pStyle w:val="26"/>
        <w:keepNext w:val="0"/>
        <w:keepLines w:val="0"/>
        <w:pageBreakBefore w:val="0"/>
        <w:widowControl w:val="0"/>
        <w:numPr>
          <w:ilvl w:val="0"/>
          <w:numId w:val="0"/>
        </w:numPr>
        <w:tabs>
          <w:tab w:val="left" w:pos="148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rPr>
        <w:t>“投标人”指向招标人提交投标文件的当事人。</w:t>
      </w:r>
    </w:p>
    <w:p>
      <w:pPr>
        <w:pStyle w:val="26"/>
        <w:keepNext w:val="0"/>
        <w:keepLines w:val="0"/>
        <w:pageBreakBefore w:val="0"/>
        <w:widowControl w:val="0"/>
        <w:numPr>
          <w:ilvl w:val="0"/>
          <w:numId w:val="0"/>
        </w:numPr>
        <w:tabs>
          <w:tab w:val="left" w:pos="148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rPr>
        <w:t>“承包人”指其投标被招标人接受并与其签订承包合同的当事人。</w:t>
      </w:r>
    </w:p>
    <w:p>
      <w:pPr>
        <w:pStyle w:val="26"/>
        <w:keepNext w:val="0"/>
        <w:keepLines w:val="0"/>
        <w:pageBreakBefore w:val="0"/>
        <w:widowControl w:val="0"/>
        <w:numPr>
          <w:ilvl w:val="0"/>
          <w:numId w:val="0"/>
        </w:numPr>
        <w:tabs>
          <w:tab w:val="left" w:pos="148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（4）</w:t>
      </w:r>
      <w:r>
        <w:rPr>
          <w:rFonts w:hint="eastAsia" w:ascii="宋体" w:hAnsi="宋体" w:eastAsia="宋体" w:cs="宋体"/>
          <w:color w:val="auto"/>
          <w:spacing w:val="0"/>
          <w:sz w:val="24"/>
          <w:highlight w:val="none"/>
        </w:rPr>
        <w:t>“招标文件”指由招标代理发出的本文件（包括全部章节、附件）及招标答疑会会议纪要和招标文件的澄清与修改文件。</w:t>
      </w:r>
    </w:p>
    <w:p>
      <w:pPr>
        <w:pStyle w:val="26"/>
        <w:keepNext w:val="0"/>
        <w:keepLines w:val="0"/>
        <w:pageBreakBefore w:val="0"/>
        <w:widowControl w:val="0"/>
        <w:numPr>
          <w:ilvl w:val="0"/>
          <w:numId w:val="0"/>
        </w:numPr>
        <w:tabs>
          <w:tab w:val="left" w:pos="148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（5）</w:t>
      </w:r>
      <w:r>
        <w:rPr>
          <w:rFonts w:hint="eastAsia" w:ascii="宋体" w:hAnsi="宋体" w:eastAsia="宋体" w:cs="宋体"/>
          <w:color w:val="auto"/>
          <w:spacing w:val="0"/>
          <w:sz w:val="24"/>
          <w:highlight w:val="none"/>
        </w:rPr>
        <w:t>“投标文件”指投标人根据本项目招标文件向招标人提交的全部文件。</w:t>
      </w:r>
    </w:p>
    <w:p>
      <w:pPr>
        <w:pStyle w:val="26"/>
        <w:keepNext w:val="0"/>
        <w:keepLines w:val="0"/>
        <w:pageBreakBefore w:val="0"/>
        <w:widowControl w:val="0"/>
        <w:numPr>
          <w:ilvl w:val="0"/>
          <w:numId w:val="0"/>
        </w:numPr>
        <w:tabs>
          <w:tab w:val="left" w:pos="148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（6）</w:t>
      </w:r>
      <w:r>
        <w:rPr>
          <w:rFonts w:hint="eastAsia" w:ascii="宋体" w:hAnsi="宋体" w:eastAsia="宋体" w:cs="宋体"/>
          <w:color w:val="auto"/>
          <w:spacing w:val="0"/>
          <w:sz w:val="24"/>
          <w:highlight w:val="none"/>
        </w:rPr>
        <w:t>“书面形式”指打字或印刷的文件和数据电文（包括电报、电传、传真、电子数据交换和电子邮件）。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b/>
          <w:color w:val="auto"/>
          <w:sz w:val="24"/>
          <w:highlight w:val="none"/>
          <w:lang w:eastAsia="zh-CN"/>
        </w:rPr>
      </w:pPr>
      <w:r>
        <w:rPr>
          <w:b/>
          <w:color w:val="auto"/>
          <w:sz w:val="24"/>
          <w:highlight w:val="none"/>
        </w:rPr>
        <w:t>2</w:t>
      </w:r>
      <w:r>
        <w:rPr>
          <w:rFonts w:hint="eastAsia"/>
          <w:b/>
          <w:color w:val="auto"/>
          <w:sz w:val="24"/>
          <w:highlight w:val="none"/>
          <w:lang w:val="en-US" w:eastAsia="zh-CN"/>
        </w:rPr>
        <w:t>.</w:t>
      </w:r>
      <w:r>
        <w:rPr>
          <w:b/>
          <w:color w:val="auto"/>
          <w:sz w:val="24"/>
          <w:highlight w:val="none"/>
        </w:rPr>
        <w:t>招标说明</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color w:val="auto"/>
          <w:highlight w:val="none"/>
        </w:rPr>
      </w:pPr>
      <w:r>
        <w:rPr>
          <w:rFonts w:hint="eastAsia"/>
          <w:color w:val="auto"/>
          <w:highlight w:val="none"/>
          <w:lang w:val="en-US" w:eastAsia="zh-CN"/>
        </w:rPr>
        <w:t xml:space="preserve">2.1 </w:t>
      </w:r>
      <w:r>
        <w:rPr>
          <w:color w:val="auto"/>
          <w:highlight w:val="none"/>
        </w:rPr>
        <w:t>本招标工程项目按照《中华人民共和国招标投标法》等有关法律、行政法规、规章和规范性文件，通过招标方式选定承包人。</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color w:val="auto"/>
          <w:highlight w:val="none"/>
        </w:rPr>
      </w:pPr>
      <w:r>
        <w:rPr>
          <w:rFonts w:hint="eastAsia"/>
          <w:color w:val="auto"/>
          <w:highlight w:val="none"/>
          <w:lang w:val="en-US" w:eastAsia="zh-CN"/>
        </w:rPr>
        <w:t xml:space="preserve">2.2 </w:t>
      </w:r>
      <w:r>
        <w:rPr>
          <w:color w:val="auto"/>
          <w:highlight w:val="none"/>
        </w:rPr>
        <w:t>工程名称、建设地点、建设规模、承包方式、质量标准、招标范围、工期要求等均在</w:t>
      </w:r>
      <w:r>
        <w:rPr>
          <w:b/>
          <w:bCs/>
          <w:color w:val="auto"/>
          <w:highlight w:val="none"/>
        </w:rPr>
        <w:t>投标须知前附表</w:t>
      </w:r>
      <w:r>
        <w:rPr>
          <w:color w:val="auto"/>
          <w:highlight w:val="none"/>
        </w:rPr>
        <w:t>中列明。</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color w:val="auto"/>
          <w:highlight w:val="none"/>
        </w:rPr>
      </w:pPr>
      <w:r>
        <w:rPr>
          <w:rFonts w:hint="eastAsia"/>
          <w:color w:val="auto"/>
          <w:highlight w:val="none"/>
          <w:lang w:val="en-US" w:eastAsia="zh-CN"/>
        </w:rPr>
        <w:t xml:space="preserve">2.3 </w:t>
      </w:r>
      <w:r>
        <w:rPr>
          <w:color w:val="auto"/>
          <w:highlight w:val="none"/>
        </w:rPr>
        <w:t>设计说明：详见招标图纸。</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color w:val="auto"/>
          <w:highlight w:val="none"/>
        </w:rPr>
      </w:pPr>
      <w:r>
        <w:rPr>
          <w:rFonts w:hint="eastAsia"/>
          <w:color w:val="auto"/>
          <w:highlight w:val="none"/>
          <w:lang w:val="en-US" w:eastAsia="zh-CN"/>
        </w:rPr>
        <w:t xml:space="preserve">2.4 </w:t>
      </w:r>
      <w:r>
        <w:rPr>
          <w:color w:val="auto"/>
          <w:highlight w:val="none"/>
        </w:rPr>
        <w:t>工程施工特点：详见招标图纸。</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b/>
          <w:color w:val="auto"/>
          <w:sz w:val="24"/>
          <w:highlight w:val="none"/>
        </w:rPr>
      </w:pPr>
      <w:r>
        <w:rPr>
          <w:b/>
          <w:color w:val="auto"/>
          <w:sz w:val="24"/>
          <w:highlight w:val="none"/>
          <w:lang w:val="zh-CN" w:eastAsia="zh-CN"/>
        </w:rPr>
        <w:t>3．资金来源</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default"/>
          <w:color w:val="auto"/>
          <w:highlight w:val="none"/>
          <w:lang w:val="en-US" w:eastAsia="zh-CN"/>
        </w:rPr>
      </w:pPr>
      <w:r>
        <w:rPr>
          <w:rFonts w:hint="eastAsia"/>
          <w:color w:val="auto"/>
          <w:highlight w:val="none"/>
          <w:lang w:val="en-US" w:eastAsia="zh-CN"/>
        </w:rPr>
        <w:t>3.1 本招标工程项目资金来源见</w:t>
      </w:r>
      <w:r>
        <w:rPr>
          <w:rFonts w:hint="eastAsia"/>
          <w:b/>
          <w:bCs/>
          <w:color w:val="auto"/>
          <w:highlight w:val="none"/>
          <w:lang w:val="en-US" w:eastAsia="zh-CN"/>
        </w:rPr>
        <w:t>投标须知前附表</w:t>
      </w:r>
      <w:r>
        <w:rPr>
          <w:rFonts w:hint="eastAsia"/>
          <w:color w:val="auto"/>
          <w:highlight w:val="none"/>
          <w:lang w:val="en-US" w:eastAsia="zh-CN"/>
        </w:rPr>
        <w:t>第9项。</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b/>
          <w:color w:val="auto"/>
          <w:sz w:val="24"/>
          <w:highlight w:val="none"/>
          <w:lang w:val="zh-CN" w:eastAsia="zh-CN"/>
        </w:rPr>
      </w:pPr>
      <w:r>
        <w:rPr>
          <w:b/>
          <w:color w:val="auto"/>
          <w:sz w:val="24"/>
          <w:highlight w:val="none"/>
          <w:lang w:val="zh-CN" w:eastAsia="zh-CN"/>
        </w:rPr>
        <w:t>4．合格投标人的条件</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color w:val="auto"/>
          <w:highlight w:val="none"/>
          <w:lang w:val="en-US" w:eastAsia="zh-CN"/>
        </w:rPr>
      </w:pPr>
      <w:r>
        <w:rPr>
          <w:rFonts w:hint="eastAsia"/>
          <w:color w:val="auto"/>
          <w:highlight w:val="none"/>
          <w:lang w:val="en-US" w:eastAsia="zh-CN"/>
        </w:rPr>
        <w:t>4.1 详见本项目招标公告。</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b/>
          <w:color w:val="auto"/>
          <w:sz w:val="24"/>
          <w:highlight w:val="none"/>
          <w:lang w:val="zh-CN" w:eastAsia="zh-CN"/>
        </w:rPr>
      </w:pPr>
      <w:r>
        <w:rPr>
          <w:b/>
          <w:color w:val="auto"/>
          <w:sz w:val="24"/>
          <w:highlight w:val="none"/>
          <w:lang w:val="zh-CN" w:eastAsia="zh-CN"/>
        </w:rPr>
        <w:t>5．踏勘现场</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color w:val="auto"/>
          <w:highlight w:val="none"/>
          <w:lang w:val="en-US" w:eastAsia="zh-CN"/>
        </w:rPr>
      </w:pPr>
      <w:r>
        <w:rPr>
          <w:rFonts w:hint="eastAsia"/>
          <w:color w:val="auto"/>
          <w:highlight w:val="none"/>
          <w:lang w:val="en-US" w:eastAsia="zh-CN"/>
        </w:rPr>
        <w:t>5.1 投标人应按本</w:t>
      </w:r>
      <w:r>
        <w:rPr>
          <w:rFonts w:hint="eastAsia"/>
          <w:b/>
          <w:bCs/>
          <w:color w:val="auto"/>
          <w:highlight w:val="none"/>
          <w:lang w:val="en-US" w:eastAsia="zh-CN"/>
        </w:rPr>
        <w:t>投标须知前附表</w:t>
      </w:r>
      <w:r>
        <w:rPr>
          <w:rFonts w:hint="eastAsia"/>
          <w:color w:val="auto"/>
          <w:highlight w:val="none"/>
          <w:lang w:val="en-US" w:eastAsia="zh-CN"/>
        </w:rPr>
        <w:t>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color w:val="auto"/>
          <w:highlight w:val="none"/>
          <w:lang w:val="en-US" w:eastAsia="zh-CN"/>
        </w:rPr>
      </w:pPr>
      <w:r>
        <w:rPr>
          <w:rFonts w:hint="eastAsia"/>
          <w:color w:val="auto"/>
          <w:highlight w:val="none"/>
          <w:lang w:val="en-US" w:eastAsia="zh-CN"/>
        </w:rPr>
        <w:t>5.2 招标人向投标人提供的有关现场的数据和资料，是招标人现有的能被投标人利用的资料，招标人对投标人做出的任何推论、理解和结论均不负责任。</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color w:val="auto"/>
          <w:highlight w:val="none"/>
          <w:lang w:val="en-US" w:eastAsia="zh-CN"/>
        </w:rPr>
      </w:pPr>
      <w:r>
        <w:rPr>
          <w:rFonts w:hint="eastAsia"/>
          <w:color w:val="auto"/>
          <w:highlight w:val="none"/>
          <w:lang w:val="en-US" w:eastAsia="zh-CN"/>
        </w:rPr>
        <w:t>5.3 经招标人允许，投标人可为踏勘目的进入招标人的项目现场。在考察过程中，投标人及其代表必须承担那些进入现场后，由于他们的行为所造成的人身伤害（不管是否致命）、财产损失或损坏，以及其他任何原因造成的损失、损坏或费用，投标人不得因此使招标人承担有关的责任和蒙受损失。</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b/>
          <w:color w:val="auto"/>
          <w:sz w:val="24"/>
          <w:highlight w:val="none"/>
          <w:lang w:val="zh-CN" w:eastAsia="zh-CN"/>
        </w:rPr>
      </w:pPr>
      <w:r>
        <w:rPr>
          <w:rFonts w:hint="eastAsia"/>
          <w:b/>
          <w:color w:val="auto"/>
          <w:sz w:val="24"/>
          <w:highlight w:val="none"/>
          <w:lang w:val="en-US" w:eastAsia="zh-CN"/>
        </w:rPr>
        <w:t>6.</w:t>
      </w:r>
      <w:r>
        <w:rPr>
          <w:b/>
          <w:color w:val="auto"/>
          <w:sz w:val="24"/>
          <w:highlight w:val="none"/>
          <w:lang w:val="zh-CN" w:eastAsia="zh-CN"/>
        </w:rPr>
        <w:t>投标费用</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color w:val="auto"/>
          <w:highlight w:val="none"/>
          <w:lang w:val="en-US" w:eastAsia="zh-CN"/>
        </w:rPr>
      </w:pPr>
      <w:r>
        <w:rPr>
          <w:rFonts w:hint="eastAsia"/>
          <w:color w:val="auto"/>
          <w:highlight w:val="none"/>
          <w:lang w:val="en-US" w:eastAsia="zh-CN"/>
        </w:rPr>
        <w:t>6.1 不论投标结果如何，投标人应承担自身因投标文件编制、递交及其他参加本招标活动所涉及的一切费用，招标人对上述费用不负任何责任。</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outlineLvl w:val="2"/>
        <w:rPr>
          <w:rFonts w:hint="eastAsia"/>
          <w:b/>
          <w:bCs/>
          <w:color w:val="auto"/>
          <w:sz w:val="28"/>
          <w:szCs w:val="28"/>
          <w:highlight w:val="none"/>
          <w:lang w:eastAsia="zh-CN"/>
        </w:rPr>
      </w:pPr>
      <w:bookmarkStart w:id="12" w:name="_Toc27534"/>
      <w:r>
        <w:rPr>
          <w:b/>
          <w:bCs/>
          <w:color w:val="auto"/>
          <w:sz w:val="28"/>
          <w:szCs w:val="28"/>
          <w:highlight w:val="none"/>
        </w:rPr>
        <w:t>（二）招标文件</w:t>
      </w:r>
      <w:bookmarkEnd w:id="12"/>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b/>
          <w:color w:val="auto"/>
          <w:sz w:val="24"/>
          <w:highlight w:val="none"/>
          <w:lang w:val="en-US" w:eastAsia="zh-CN"/>
        </w:rPr>
      </w:pPr>
      <w:r>
        <w:rPr>
          <w:rFonts w:hint="eastAsia"/>
          <w:b/>
          <w:color w:val="auto"/>
          <w:sz w:val="24"/>
          <w:highlight w:val="none"/>
          <w:lang w:val="en-US" w:eastAsia="zh-CN"/>
        </w:rPr>
        <w:t>7.招标文件的组成</w:t>
      </w:r>
    </w:p>
    <w:p>
      <w:pPr>
        <w:pStyle w:val="26"/>
        <w:keepNext w:val="0"/>
        <w:keepLines w:val="0"/>
        <w:pageBreakBefore w:val="0"/>
        <w:widowControl w:val="0"/>
        <w:numPr>
          <w:ilvl w:val="0"/>
          <w:numId w:val="0"/>
        </w:numPr>
        <w:tabs>
          <w:tab w:val="left" w:pos="1302"/>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 xml:space="preserve">7.1 </w:t>
      </w:r>
      <w:r>
        <w:rPr>
          <w:rFonts w:hint="eastAsia" w:ascii="宋体" w:hAnsi="宋体" w:eastAsia="宋体" w:cs="宋体"/>
          <w:color w:val="auto"/>
          <w:sz w:val="24"/>
          <w:szCs w:val="24"/>
          <w:highlight w:val="none"/>
          <w:lang w:val="en-US" w:eastAsia="zh-CN" w:bidi="zh-CN"/>
        </w:rPr>
        <w:t>本招标文件包括下列文件，以及所有按本须知第8条发出的招标答疑会会议纪要和按本须知第9条发出的澄清或修改：</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第一章</w:t>
      </w:r>
      <w:r>
        <w:rPr>
          <w:rFonts w:hint="eastAsia"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投标须知</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第二章</w:t>
      </w:r>
      <w:r>
        <w:rPr>
          <w:rFonts w:hint="eastAsia"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开标、评标及定标办法</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第三章</w:t>
      </w:r>
      <w:r>
        <w:rPr>
          <w:rFonts w:hint="eastAsia"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合同条款</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第四章</w:t>
      </w:r>
      <w:r>
        <w:rPr>
          <w:rFonts w:hint="eastAsia"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投标文件格式</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第五章</w:t>
      </w:r>
      <w:r>
        <w:rPr>
          <w:rFonts w:hint="eastAsia"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技术条件（工程建设标准）（另册）</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第六章</w:t>
      </w:r>
      <w:r>
        <w:rPr>
          <w:rFonts w:hint="eastAsia"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图纸及勘察资料（另册）</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第七章</w:t>
      </w:r>
      <w:r>
        <w:rPr>
          <w:rFonts w:hint="eastAsia"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招标工程量清单（另册）</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第八章  最高投标限价</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注：招标人应在技术条件（工程建设标准）中明确施工现场建筑垃圾源头减量的具体要求和建筑垃圾综合利用产品的使用要求。</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 xml:space="preserve">7.2 </w:t>
      </w:r>
      <w:r>
        <w:rPr>
          <w:rFonts w:hint="eastAsia" w:ascii="宋体" w:hAnsi="宋体" w:eastAsia="宋体" w:cs="宋体"/>
          <w:color w:val="auto"/>
          <w:sz w:val="24"/>
          <w:szCs w:val="24"/>
          <w:highlight w:val="none"/>
          <w:lang w:val="en-US" w:eastAsia="zh-CN" w:bidi="zh-CN"/>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 xml:space="preserve">7.3 </w:t>
      </w:r>
      <w:r>
        <w:rPr>
          <w:rFonts w:hint="eastAsia" w:ascii="宋体" w:hAnsi="宋体" w:eastAsia="宋体" w:cs="宋体"/>
          <w:color w:val="auto"/>
          <w:sz w:val="24"/>
          <w:szCs w:val="24"/>
          <w:highlight w:val="none"/>
          <w:lang w:val="en-US" w:eastAsia="zh-CN" w:bidi="zh-CN"/>
        </w:rPr>
        <w:t>投标人一旦中标，招标文件的内容对招标人和中标人双方均有约束力。</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jc w:val="both"/>
        <w:textAlignment w:val="auto"/>
        <w:rPr>
          <w:rFonts w:hint="eastAsia"/>
          <w:b/>
          <w:color w:val="auto"/>
          <w:sz w:val="24"/>
          <w:highlight w:val="none"/>
          <w:lang w:val="en-US" w:eastAsia="zh-CN"/>
        </w:rPr>
      </w:pPr>
      <w:r>
        <w:rPr>
          <w:rFonts w:hint="eastAsia"/>
          <w:b/>
          <w:color w:val="auto"/>
          <w:sz w:val="24"/>
          <w:highlight w:val="none"/>
          <w:lang w:val="en-US" w:eastAsia="zh-CN"/>
        </w:rPr>
        <w:t>8.招标答疑</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8.1 投标人若对招标文件（包括招标图纸）中有疑问，可以书面形式通过</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交易平台提交给招标人或招标代理人，提交形式见</w:t>
      </w:r>
      <w:r>
        <w:rPr>
          <w:rFonts w:hint="eastAsia" w:cs="宋体"/>
          <w:b/>
          <w:bCs/>
          <w:color w:val="auto"/>
          <w:sz w:val="24"/>
          <w:szCs w:val="24"/>
          <w:highlight w:val="none"/>
          <w:lang w:val="en-US" w:eastAsia="zh-CN" w:bidi="zh-CN"/>
        </w:rPr>
        <w:t>本须知前附表</w:t>
      </w:r>
      <w:r>
        <w:rPr>
          <w:rFonts w:hint="eastAsia" w:cs="宋体"/>
          <w:color w:val="auto"/>
          <w:sz w:val="24"/>
          <w:szCs w:val="24"/>
          <w:highlight w:val="none"/>
          <w:lang w:val="en-US" w:eastAsia="zh-CN" w:bidi="zh-CN"/>
        </w:rPr>
        <w:t>第16项。</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8.2 招标答疑会会议纪要将在提交投标文件截止时间15日前在</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交易平台“项目答疑纪要”专区公开发布。答疑纪要一经在</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交易平台发布，视作已发放给所有投标人。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8.3 答疑会会议纪要为招标文件的一部分。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8.4 若招标答疑会会议纪要与招标文件有矛盾，以答疑会议纪要最后发出的书面形式的文件为准。</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b/>
          <w:color w:val="auto"/>
          <w:sz w:val="24"/>
          <w:highlight w:val="none"/>
          <w:lang w:val="en-US" w:eastAsia="zh-CN"/>
        </w:rPr>
      </w:pPr>
      <w:r>
        <w:rPr>
          <w:rFonts w:hint="eastAsia"/>
          <w:b/>
          <w:color w:val="auto"/>
          <w:sz w:val="24"/>
          <w:highlight w:val="none"/>
          <w:lang w:val="en-US" w:eastAsia="zh-CN"/>
        </w:rPr>
        <w:t>9.招标文件的澄清与修改</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9.1 招标文件发出后，在提交投标文件截止时间15日前，招标人可对招标文件进行必要的澄清或修改。</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9.2 招标文件的澄清或修改将在</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交易平台“项目答疑纪要”专区公开发布。答疑纪要一经在</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交易平台发布，视作已发放给所有投标人，以</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交易平台上网发布时间作为送达时间。</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9.3 招标文件的修改内容为招标文件的组成部分。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9.4 招标文件的澄清或修改均以书面形式明确的内容为准。当招标文件的澄清、修改、补充等在同一内容的表述不一致时，以最后发出的书面形式的文件为准。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9.5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outlineLvl w:val="2"/>
        <w:rPr>
          <w:rFonts w:hint="eastAsia"/>
          <w:b/>
          <w:bCs/>
          <w:color w:val="auto"/>
          <w:sz w:val="28"/>
          <w:szCs w:val="28"/>
          <w:highlight w:val="none"/>
          <w:lang w:eastAsia="zh-CN"/>
        </w:rPr>
      </w:pPr>
      <w:bookmarkStart w:id="13" w:name="_Toc16120"/>
      <w:r>
        <w:rPr>
          <w:b/>
          <w:bCs/>
          <w:color w:val="auto"/>
          <w:sz w:val="28"/>
          <w:szCs w:val="28"/>
          <w:highlight w:val="none"/>
        </w:rPr>
        <w:t>（三）投标文件的编制</w:t>
      </w:r>
      <w:bookmarkEnd w:id="13"/>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10.投标文件的语言及度量衡单位</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10.2 投标文件和与投标有关的所有文件均应使用中文。</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除工程规范另有规定外，投标文件使用的度量衡单位，均采用中华人民共和国法定计量单位。</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11.投标文件的组成</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11.1 投标文件由技术部分（含资格审查文件）和经济部分两部分投标文件组成。</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11.2 投标文件技术标部分主要包括下列内容:</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11.2.1 技术投标文件(按招标文件的要求填写)；</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11.2.2 资格审查文件：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（1）投标人声明；</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（2）法定代表人证明书、法定代表人签字或盖章的本投标文件授权委托证明书；</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（3）企业营业执照（取自平台内上传件）；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（4）企业资质证书（取自平台内上传件）；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（5）建筑施工企业安全生产许可证（取自平台内上传件）；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（6）项目负责人（按网上投标登记时选择拟投标的项目负责人）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（7）专职安全员（按网上投标登记时选择拟投标的专职安全员）</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（8）拟委托技术负责人的相关证书、资料（具体要求由招标人明确）</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（9）拟委派项目负责人的建造师注册证书（取自平台内上传件）；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（10）项目负责人安全生产考核合格证明或在有效期内的安全考核合格证书（B类）或建筑施工企业项目负责人安全生产考核合格证书（取自平台内上传件）；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（11）专职安全员须具有在有效期内的安全考核合格证书（C类）或建筑施工企业专职安全生产管理人员安全生产考核合格证书（取自平台内上传件）；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（12）用于资格审查的业绩（设置业绩要求时选择此项，投标人须提供类似工程业绩的项目名称及项目编号，具体格式由招标人自定）；</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（13）资格审查前，投标人须在广州市住房和城乡建设局建立企业信用档案，拟担任本工程项目负责人、专职安全员须是本企业信用档案中的在册人员。</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（14）列明主办单位的联合体工作协议（采用联合体投标时需递交，投标人拟任本工程项目负责人应为联合体主办方信用档案中的在册人员，联合体工作协议应明确约定各方拟承担的工作和责任）；</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11.2.3 项目管理机构配备。</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（1）投标人应列出该项目工程的施工组织机构构成和画出机构框架图及其负责人；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（2）投标人应详细列出该施工组织机构中主要成员的名单、简历资料、职务职称和在本项目中拟担任的职务等资料，并附上有关证明材料扫描件；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（3）其他辅助说明资料。</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cs="宋体"/>
          <w:color w:val="auto"/>
          <w:sz w:val="24"/>
          <w:szCs w:val="24"/>
          <w:highlight w:val="none"/>
          <w:lang w:val="en-US" w:eastAsia="zh-CN" w:bidi="zh-CN"/>
        </w:rPr>
        <w:t>11.2.4 投标人在广州市可使用适合本工程的机械设备（附：机械设备为自有或租赁</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right="0" w:rightChars="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的说明；及承诺机械设备如属于租赁的，其租赁是不属于重复租赁）。</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11.2.5 施工组织设计或施工方案。（投标人在编制施工组织设计或施工方案时应按照招标人提出的施工现场建筑垃圾源头减量的具体要求以及建筑垃圾综合利用产品的使用要求提供相应措施。）</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11.2.6 按照招标文件要求填写的《参与编制技术标投标文件人员名单》。</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11.3 经济部分投标文件主要包括下列内容：</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11.3.1 经济投标文件(按招标文件的要求填写)。</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（1）投标总价封面、扉页；</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default" w:cs="宋体"/>
          <w:color w:val="auto"/>
          <w:sz w:val="24"/>
          <w:szCs w:val="24"/>
          <w:highlight w:val="none"/>
          <w:lang w:val="en-US" w:eastAsia="zh-CN" w:bidi="zh-CN"/>
        </w:rPr>
      </w:pPr>
      <w:r>
        <w:rPr>
          <w:rFonts w:hint="eastAsia" w:cs="宋体"/>
          <w:color w:val="auto"/>
          <w:sz w:val="24"/>
          <w:szCs w:val="24"/>
          <w:highlight w:val="none"/>
          <w:lang w:val="en-US" w:eastAsia="zh-CN" w:bidi="zh-CN"/>
        </w:rPr>
        <w:t>（2）总说明；</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（3）工程项目投标报价汇总表；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（4）单项工程投标报价汇总表；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（5）单位工程投标报价汇总表；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（6）分部分项工程清单与计价表；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（7）单价措施项目清单与计价表；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（8）总价措施项目清单与计价表；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（9）综合单价分析表；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（10）其他项目清单与计价汇总表；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（11）暂列金额明细表；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（12）材料（工程设备）暂估价明细表；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（13）专业工程暂估价明细表；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（14）计日工表；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（15）总承包服务计价表；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（16）规费和税金项目计价表；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（17）人工、主要材料和设备一览表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11.3.3 按照招标文件要求填写的《参与编制经济标投标文件人员名单》。</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11.3.4 若投标人的投标报价低于工程成本警戒价的，投标人还须提供详细的施工组织设计、单价、措施性费用、单价分析表、主要材料价格表、投标人成本分析供评标委员会评审。</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12.投标文件格式</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12.1 投标文件包括本须知第11条中规定的内容，投标人提交的投标文件应当使用招标文件所提供的投标文件全部格式（表格可以按同样格式扩展）。</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12.2 投标文件全部采用电子文档，投标文件</w:t>
      </w:r>
      <w:r>
        <w:rPr>
          <w:rFonts w:hint="eastAsia" w:cs="宋体"/>
          <w:b/>
          <w:bCs/>
          <w:color w:val="auto"/>
          <w:sz w:val="24"/>
          <w:szCs w:val="24"/>
          <w:highlight w:val="none"/>
          <w:lang w:val="en-US" w:eastAsia="zh-CN" w:bidi="zh-CN"/>
        </w:rPr>
        <w:t>所附证书证件均为原件扫描件</w:t>
      </w:r>
      <w:r>
        <w:rPr>
          <w:rFonts w:hint="eastAsia" w:cs="宋体"/>
          <w:color w:val="auto"/>
          <w:sz w:val="24"/>
          <w:szCs w:val="24"/>
          <w:highlight w:val="none"/>
          <w:lang w:val="en-US" w:eastAsia="zh-CN" w:bidi="zh-CN"/>
        </w:rPr>
        <w:t>，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12.3 投标文件应按照交易平台关于全流程电子化项目的相关指南进行编制，详见：</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color w:val="auto"/>
          <w:sz w:val="24"/>
          <w:highlight w:val="none"/>
        </w:rPr>
      </w:pPr>
      <w:r>
        <w:rPr>
          <w:rFonts w:hint="eastAsia" w:cs="宋体"/>
          <w:color w:val="auto"/>
          <w:sz w:val="24"/>
          <w:szCs w:val="24"/>
          <w:highlight w:val="none"/>
          <w:lang w:val="en-US" w:eastAsia="zh-CN" w:bidi="zh-CN"/>
        </w:rPr>
        <w:t>如不按上述要求编制引起系统无法检索、读取相关信息的，其后果由投标人承担</w:t>
      </w:r>
      <w:r>
        <w:rPr>
          <w:color w:val="auto"/>
          <w:sz w:val="24"/>
          <w:highlight w:val="none"/>
        </w:rPr>
        <w:t>。</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eastAsia="宋体"/>
          <w:b/>
          <w:color w:val="auto"/>
          <w:sz w:val="24"/>
          <w:highlight w:val="none"/>
          <w:lang w:eastAsia="zh-CN"/>
        </w:rPr>
      </w:pPr>
      <w:r>
        <w:rPr>
          <w:b/>
          <w:color w:val="auto"/>
          <w:sz w:val="24"/>
          <w:highlight w:val="none"/>
        </w:rPr>
        <w:t>13．投标报价及造价承包和变更结算方式</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13.1 本工程的投标报价采用</w:t>
      </w:r>
      <w:r>
        <w:rPr>
          <w:rFonts w:hint="eastAsia" w:cs="宋体"/>
          <w:b/>
          <w:bCs/>
          <w:color w:val="auto"/>
          <w:sz w:val="24"/>
          <w:szCs w:val="24"/>
          <w:highlight w:val="none"/>
          <w:lang w:val="en-US" w:eastAsia="zh-CN" w:bidi="zh-CN"/>
        </w:rPr>
        <w:t>投标须知前附表</w:t>
      </w:r>
      <w:r>
        <w:rPr>
          <w:rFonts w:hint="eastAsia" w:cs="宋体"/>
          <w:color w:val="auto"/>
          <w:sz w:val="24"/>
          <w:szCs w:val="24"/>
          <w:highlight w:val="none"/>
          <w:lang w:val="en-US" w:eastAsia="zh-CN" w:bidi="zh-CN"/>
        </w:rPr>
        <w:t>第12项所规定的方式。投标报价（含单价及总价）精确到“分”。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13.2 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13.3 投标人的投标报价，应是按照</w:t>
      </w:r>
      <w:r>
        <w:rPr>
          <w:rFonts w:hint="eastAsia" w:cs="宋体"/>
          <w:b/>
          <w:bCs/>
          <w:color w:val="auto"/>
          <w:sz w:val="24"/>
          <w:szCs w:val="24"/>
          <w:highlight w:val="none"/>
          <w:lang w:val="en-US" w:eastAsia="zh-CN" w:bidi="zh-CN"/>
        </w:rPr>
        <w:t>投标须知前附表</w:t>
      </w:r>
      <w:r>
        <w:rPr>
          <w:rFonts w:hint="eastAsia" w:cs="宋体"/>
          <w:color w:val="auto"/>
          <w:sz w:val="24"/>
          <w:szCs w:val="24"/>
          <w:highlight w:val="none"/>
          <w:lang w:val="en-US" w:eastAsia="zh-CN" w:bidi="zh-CN"/>
        </w:rPr>
        <w:t>第8项的工期要求，在</w:t>
      </w:r>
      <w:r>
        <w:rPr>
          <w:rFonts w:hint="eastAsia" w:cs="宋体"/>
          <w:b/>
          <w:bCs/>
          <w:color w:val="auto"/>
          <w:sz w:val="24"/>
          <w:szCs w:val="24"/>
          <w:highlight w:val="none"/>
          <w:lang w:val="en-US" w:eastAsia="zh-CN" w:bidi="zh-CN"/>
        </w:rPr>
        <w:t>投标须知前附表</w:t>
      </w:r>
      <w:r>
        <w:rPr>
          <w:rFonts w:hint="eastAsia" w:cs="宋体"/>
          <w:color w:val="auto"/>
          <w:sz w:val="24"/>
          <w:szCs w:val="24"/>
          <w:highlight w:val="none"/>
          <w:lang w:val="en-US" w:eastAsia="zh-CN" w:bidi="zh-CN"/>
        </w:rPr>
        <w:t>第3项的建设地点，完成</w:t>
      </w:r>
      <w:r>
        <w:rPr>
          <w:rFonts w:hint="eastAsia" w:cs="宋体"/>
          <w:b/>
          <w:bCs/>
          <w:color w:val="auto"/>
          <w:sz w:val="24"/>
          <w:szCs w:val="24"/>
          <w:highlight w:val="none"/>
          <w:lang w:val="en-US" w:eastAsia="zh-CN" w:bidi="zh-CN"/>
        </w:rPr>
        <w:t>投标须知前附表</w:t>
      </w:r>
      <w:r>
        <w:rPr>
          <w:rFonts w:hint="eastAsia" w:cs="宋体"/>
          <w:color w:val="auto"/>
          <w:sz w:val="24"/>
          <w:szCs w:val="24"/>
          <w:highlight w:val="none"/>
          <w:lang w:val="en-US" w:eastAsia="zh-CN" w:bidi="zh-CN"/>
        </w:rPr>
        <w:t>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13.4 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13.5 工程项目实施期间和结算时，招标文件工程量清单中漏列而由监理单位和招标人现场签证确认的工程项目、原设计没有而由招标人批准设计变更产生的工程项目，视为新增项目，按以下顺序确定价格：</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13.5.1 中标的投标文件工程量清单中已有相同项目的适用综合单价，则沿用；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13.5.2 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13.5.4 如相关定额没有相应子目的，其计价方式由招标人在本招标文件第三章中另行规定。未规定的，中标后双方协商约定。</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13.6 暂列金额、暂估价</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13.6.1 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暂估价是指招标人在工程量清单中提供的用于支付必然发生但暂时不能确定价格的材料的单价以及专业工程的金额。</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13.6.2 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13.6.3 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13.6.4 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13.6.5 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13.7 投标人可先到工地踏勘以充分了解工地位置、情况、道路、储存空间、装卸限制及任何其他足以影响承包价的情况，任何因忽视或误解工地情况而导致的索赔或工期延长申请将不被批准。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13.8 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13.9 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zh-CN" w:eastAsia="zh-CN" w:bidi="zh-CN"/>
        </w:rPr>
      </w:pPr>
      <w:r>
        <w:rPr>
          <w:rFonts w:hint="eastAsia" w:cs="宋体"/>
          <w:b/>
          <w:bCs/>
          <w:color w:val="auto"/>
          <w:sz w:val="24"/>
          <w:szCs w:val="24"/>
          <w:highlight w:val="none"/>
          <w:lang w:val="en-US" w:eastAsia="zh-CN" w:bidi="zh-CN"/>
        </w:rPr>
        <w:t>14.</w:t>
      </w:r>
      <w:r>
        <w:rPr>
          <w:rFonts w:hint="eastAsia" w:cs="宋体"/>
          <w:b/>
          <w:bCs/>
          <w:color w:val="auto"/>
          <w:sz w:val="24"/>
          <w:szCs w:val="24"/>
          <w:highlight w:val="none"/>
          <w:lang w:val="zh-CN" w:eastAsia="zh-CN" w:bidi="zh-CN"/>
        </w:rPr>
        <w:t>投标货币</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14.1 本工程投标报价采用的币种为人民币。</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zh-CN" w:eastAsia="zh-CN" w:bidi="zh-CN"/>
        </w:rPr>
      </w:pPr>
      <w:r>
        <w:rPr>
          <w:rFonts w:hint="eastAsia" w:cs="宋体"/>
          <w:b/>
          <w:bCs/>
          <w:color w:val="auto"/>
          <w:sz w:val="24"/>
          <w:szCs w:val="24"/>
          <w:highlight w:val="none"/>
          <w:lang w:val="en-US" w:eastAsia="zh-CN" w:bidi="zh-CN"/>
        </w:rPr>
        <w:t>15.</w:t>
      </w:r>
      <w:r>
        <w:rPr>
          <w:rFonts w:hint="eastAsia" w:cs="宋体"/>
          <w:b/>
          <w:bCs/>
          <w:color w:val="auto"/>
          <w:sz w:val="24"/>
          <w:szCs w:val="24"/>
          <w:highlight w:val="none"/>
          <w:lang w:val="zh-CN" w:eastAsia="zh-CN" w:bidi="zh-CN"/>
        </w:rPr>
        <w:t>投标有效期</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zh-CN" w:eastAsia="zh-CN" w:bidi="zh-CN"/>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15.1 投标有效期见</w:t>
      </w:r>
      <w:r>
        <w:rPr>
          <w:rFonts w:hint="eastAsia" w:cs="宋体"/>
          <w:b/>
          <w:bCs/>
          <w:color w:val="auto"/>
          <w:sz w:val="24"/>
          <w:szCs w:val="24"/>
          <w:highlight w:val="none"/>
          <w:lang w:val="en-US" w:eastAsia="zh-CN" w:bidi="zh-CN"/>
        </w:rPr>
        <w:t>投标须知前附表</w:t>
      </w:r>
      <w:r>
        <w:rPr>
          <w:rFonts w:hint="eastAsia" w:cs="宋体"/>
          <w:color w:val="auto"/>
          <w:sz w:val="24"/>
          <w:szCs w:val="24"/>
          <w:highlight w:val="none"/>
          <w:lang w:val="en-US" w:eastAsia="zh-CN" w:bidi="zh-CN"/>
        </w:rPr>
        <w:t>第13项所规定的期限，在此期限内，凡符合本招标文件要求的投标文件均保持有效。</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zh-CN" w:eastAsia="zh-CN" w:bidi="zh-CN"/>
        </w:rPr>
      </w:pPr>
      <w:r>
        <w:rPr>
          <w:rFonts w:hint="eastAsia" w:cs="宋体"/>
          <w:b/>
          <w:bCs/>
          <w:color w:val="auto"/>
          <w:sz w:val="24"/>
          <w:szCs w:val="24"/>
          <w:highlight w:val="none"/>
          <w:lang w:val="en-US" w:eastAsia="zh-CN" w:bidi="zh-CN"/>
        </w:rPr>
        <w:t>16.</w:t>
      </w:r>
      <w:r>
        <w:rPr>
          <w:rFonts w:hint="eastAsia" w:cs="宋体"/>
          <w:b/>
          <w:bCs/>
          <w:color w:val="auto"/>
          <w:sz w:val="24"/>
          <w:szCs w:val="24"/>
          <w:highlight w:val="none"/>
          <w:lang w:val="zh-CN" w:eastAsia="zh-CN" w:bidi="zh-CN"/>
        </w:rPr>
        <w:t>投标保证金</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16.1 投标人应按</w:t>
      </w:r>
      <w:r>
        <w:rPr>
          <w:rFonts w:hint="eastAsia" w:cs="宋体"/>
          <w:b/>
          <w:bCs/>
          <w:color w:val="auto"/>
          <w:sz w:val="24"/>
          <w:szCs w:val="24"/>
          <w:highlight w:val="none"/>
          <w:lang w:val="en-US" w:eastAsia="zh-CN" w:bidi="zh-CN"/>
        </w:rPr>
        <w:t>投标须知前附表</w:t>
      </w:r>
      <w:r>
        <w:rPr>
          <w:rFonts w:hint="eastAsia" w:cs="宋体"/>
          <w:color w:val="auto"/>
          <w:sz w:val="24"/>
          <w:szCs w:val="24"/>
          <w:highlight w:val="none"/>
          <w:lang w:val="en-US" w:eastAsia="zh-CN" w:bidi="zh-CN"/>
        </w:rPr>
        <w:t>第14项所述金额和时间递交投标保证金。招标人应当允许投标人自主选择现金、银行保函、保证保险、专业工程担保公司担保等方式缴纳投标保证金。</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16.1.1 采用现金或者支票形式提交的，投标保证金须从投标人的银行基本账户转出。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 xml:space="preserve">16.1.2 </w:t>
      </w:r>
      <w:r>
        <w:rPr>
          <w:rFonts w:hint="eastAsia" w:cs="宋体"/>
          <w:b/>
          <w:bCs/>
          <w:color w:val="auto"/>
          <w:sz w:val="24"/>
          <w:szCs w:val="24"/>
          <w:highlight w:val="none"/>
          <w:lang w:val="en-US" w:eastAsia="zh-CN" w:bidi="zh-CN"/>
        </w:rPr>
        <w:t>依法必须招标的房屋建筑工程如采用非电子形式的银行保函、专业工程担保公司担保或保证保险提交投标保证金的，在开标前不强制要求投标人提交纸质原件，</w:t>
      </w:r>
      <w:r>
        <w:rPr>
          <w:rFonts w:hint="eastAsia" w:cs="宋体"/>
          <w:color w:val="auto"/>
          <w:sz w:val="24"/>
          <w:szCs w:val="24"/>
          <w:highlight w:val="none"/>
          <w:lang w:val="en-US" w:eastAsia="zh-CN" w:bidi="zh-CN"/>
        </w:rPr>
        <w:t>由中标候选人在中标候选人公示前提交并在网上公示，投标人应在投标文件中提交保函、担保或保证保险扫描件并加盖投标人电子印章。如投标人存在16.4条款所列情形的，应将纸质原件提交给招标人。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16.1.3 采用电子形式的保函、担保或保证保险提交投标保证金的，应在招标文件中明确电子递交途径。</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16.2 开标时投标人没有按要求提供投标保证金的，其投标文件将被否决；未按招标文件要求提交符合免予提供投标保证金相关证明材料，且未提交投标保证金的投标人，视为未按要求提供投标保证金。</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16.3 投标保证金应依据法律法规的相关规定退还。</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16.4 如有下列情况之一的，招标人可以不予退还投标保证金（是否退还投标保证金由招标人在招标文件中规定）：</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16.4.1 因投标人原因造成投标文件未解密的；</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16.4.2 投标人在投标有效期内撤销投标文件；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16.4.3 中标人未能在规定期限内按要求提交履约担保；</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16.4.4 中标人未能在规定期限内签署合同协议。</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16.5 投标人如存在下列情况之一的，将被拒绝在一定时期内参与招标人后续工程投标（拒绝时限需在招标文件中明确）：</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16.5.1 投标人存在16.4条款所列情形且投标人提交的保函、担保或保证保险无法兑付的；</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16.5.2 采用非电子形式提交投标保证金的投标人存在16.4条款所列情形，且未按招标人要求补交银行保函、专业工程担保公司担保或保证保险原件的；</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16.5.3 按招标文件要求免于提供投标保证金的投标人存在16.4条款所列情形，且未按招标人要求补交投标保证金的；</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16.5.3 按招标文件要求免于提供投标保证金的投标人存在16.4条款所列情形的。</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注：16.5.3款由招标人二选一，需在招标文件中明确。</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zh-CN" w:eastAsia="zh-CN" w:bidi="zh-CN"/>
        </w:rPr>
      </w:pPr>
      <w:r>
        <w:rPr>
          <w:rFonts w:hint="eastAsia" w:cs="宋体"/>
          <w:b/>
          <w:bCs/>
          <w:color w:val="auto"/>
          <w:sz w:val="24"/>
          <w:szCs w:val="24"/>
          <w:highlight w:val="none"/>
          <w:lang w:val="en-US" w:eastAsia="zh-CN" w:bidi="zh-CN"/>
        </w:rPr>
        <w:t>17.</w:t>
      </w:r>
      <w:r>
        <w:rPr>
          <w:rFonts w:hint="eastAsia" w:cs="宋体"/>
          <w:b/>
          <w:bCs/>
          <w:color w:val="auto"/>
          <w:sz w:val="24"/>
          <w:szCs w:val="24"/>
          <w:highlight w:val="none"/>
          <w:lang w:val="zh-CN" w:eastAsia="zh-CN" w:bidi="zh-CN"/>
        </w:rPr>
        <w:t>投标文件的签署</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17.1 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outlineLvl w:val="2"/>
        <w:rPr>
          <w:rFonts w:hint="eastAsia"/>
          <w:b/>
          <w:bCs/>
          <w:color w:val="auto"/>
          <w:sz w:val="28"/>
          <w:szCs w:val="28"/>
          <w:highlight w:val="none"/>
          <w:lang w:eastAsia="zh-CN"/>
        </w:rPr>
      </w:pPr>
      <w:bookmarkStart w:id="14" w:name="_Toc13785"/>
      <w:r>
        <w:rPr>
          <w:b/>
          <w:bCs/>
          <w:color w:val="auto"/>
          <w:sz w:val="28"/>
          <w:szCs w:val="28"/>
          <w:highlight w:val="none"/>
        </w:rPr>
        <w:t>（四）投标文件的提交</w:t>
      </w:r>
      <w:bookmarkEnd w:id="14"/>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18.投标文件的密封和标记</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18.1 递交的电子投标文件（不含备用光盘）必须进行加密。按照交易平台关于全流程电子化项目的相关指南进行操作。详见：</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18.2 未按要求加密的投标文件，</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交易平台将予以拒收。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19.投标文件的递交和接收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19.1 投标人通过</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交易平台递交电子投标文件。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19.2 投标人完成电子投标文件上传后，</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交易平台即时向投标人发出递交回执通知。递交时间以递交回执通知载明的传输完成时间为准。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19.3 逾期送达的电子投标文件，</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交易平台将予以拒收。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19.4 投标截止前，招标人拒绝接收符合条件的投标文件，投标人可向招标投标监督机构投诉。</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19.5 如技术标和经济标先后分别开启，</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交易平台将按招标文件规定的时间分别开启技术标和经济标。</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20．投标文件提交的截止时间</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20.1 投标人应在</w:t>
      </w:r>
      <w:r>
        <w:rPr>
          <w:rFonts w:hint="eastAsia" w:cs="宋体"/>
          <w:b/>
          <w:bCs/>
          <w:color w:val="auto"/>
          <w:sz w:val="24"/>
          <w:szCs w:val="24"/>
          <w:highlight w:val="none"/>
          <w:lang w:val="en-US" w:eastAsia="zh-CN" w:bidi="zh-CN"/>
        </w:rPr>
        <w:t>投标须知前附表</w:t>
      </w:r>
      <w:r>
        <w:rPr>
          <w:rFonts w:hint="eastAsia" w:cs="宋体"/>
          <w:color w:val="auto"/>
          <w:sz w:val="24"/>
          <w:szCs w:val="24"/>
          <w:highlight w:val="none"/>
          <w:lang w:val="en-US" w:eastAsia="zh-CN" w:bidi="zh-CN"/>
        </w:rPr>
        <w:t>第17项所述的时间前提交投标文件。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20.2 招标人可按本须知第9条规定以招标文件修改的方式，酌情延长提交投标文件的截止时间。在此情况下，投标人的所有权利和义务以及投标人受制约的截止时间，均以延长后新的投标截止时间为准。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20.3 到投标截止时间止，招标人收到的投标文件少于3家的，招标人将重新组织招标（</w:t>
      </w:r>
      <w:r>
        <w:rPr>
          <w:rFonts w:hint="eastAsia" w:cs="宋体"/>
          <w:b/>
          <w:bCs/>
          <w:color w:val="auto"/>
          <w:sz w:val="24"/>
          <w:szCs w:val="24"/>
          <w:highlight w:val="none"/>
          <w:lang w:val="en-US" w:eastAsia="zh-CN" w:bidi="zh-CN"/>
        </w:rPr>
        <w:t>当N个标段同时招标且不允许兼中时，若有效投标人不足N+2家，则重新组织招标</w:t>
      </w:r>
      <w:r>
        <w:rPr>
          <w:rFonts w:hint="eastAsia" w:cs="宋体"/>
          <w:color w:val="auto"/>
          <w:sz w:val="24"/>
          <w:szCs w:val="24"/>
          <w:highlight w:val="none"/>
          <w:lang w:val="en-US" w:eastAsia="zh-CN" w:bidi="zh-CN"/>
        </w:rPr>
        <w:t>）。</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21.迟交的投标文件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 xml:space="preserve">21.1 </w:t>
      </w:r>
      <w:r>
        <w:rPr>
          <w:rFonts w:hint="eastAsia" w:cs="宋体"/>
          <w:b/>
          <w:bCs/>
          <w:color w:val="auto"/>
          <w:sz w:val="24"/>
          <w:szCs w:val="24"/>
          <w:highlight w:val="none"/>
          <w:lang w:val="en-US" w:eastAsia="zh-CN" w:bidi="zh-CN"/>
        </w:rPr>
        <w:t>本须知前附表</w:t>
      </w:r>
      <w:r>
        <w:rPr>
          <w:rFonts w:hint="eastAsia" w:cs="宋体"/>
          <w:color w:val="auto"/>
          <w:sz w:val="24"/>
          <w:szCs w:val="24"/>
          <w:highlight w:val="none"/>
          <w:lang w:val="en-US" w:eastAsia="zh-CN" w:bidi="zh-CN"/>
        </w:rPr>
        <w:t>第17项规定的投标截止时间后送达的电子投标文件，</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交易平台将予以拒收。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22.投标文件的修改与撤回</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22.1 在规定的投标截止时间前，投标人可以修改或撤回已递交的投标文件，但应以书面形式通知招标人。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22.2 投标人修改或撤回已递交的投标文件，需在交易平台发出修改或撤回通知，并按要求加盖电子印章。电子招标投标交易平台收到通知后，即时向投标人发出确认回执通知。</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22.3 修改后再次递交的，按19点的规定执行。</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22.4 在投标截止时间之后，投标人不得补充、修改和更换投标文件。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outlineLvl w:val="2"/>
        <w:rPr>
          <w:rFonts w:hint="eastAsia"/>
          <w:b/>
          <w:bCs/>
          <w:color w:val="auto"/>
          <w:sz w:val="28"/>
          <w:szCs w:val="28"/>
          <w:highlight w:val="none"/>
          <w:lang w:eastAsia="zh-CN"/>
        </w:rPr>
      </w:pPr>
      <w:bookmarkStart w:id="15" w:name="_Toc1418"/>
      <w:r>
        <w:rPr>
          <w:b/>
          <w:bCs/>
          <w:color w:val="auto"/>
          <w:sz w:val="28"/>
          <w:szCs w:val="28"/>
          <w:highlight w:val="none"/>
        </w:rPr>
        <w:t>（五）开标、评标、定标及合同签定</w:t>
      </w:r>
      <w:bookmarkEnd w:id="15"/>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23.开标</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详见招标文件第二章开标、评标及定标办法。</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24．评标过程的保密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24.1 开标后，直至中标公示为止，凡属于对投标文件的审查、澄清、评价和比较有关的资料以及中标候选人的推荐情况，与评标有关的其他任何情况均严格保密。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24.2 在投标文件的评审和比较、中标候选人推荐以及授予合同的过程中，投标人向招标人和评标委员会施加不公正影响的任何行为，都将会导致其投标被拒绝。</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25．投标文件的澄清，计算错误的修正</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详见招标文件第二章开标、评标及定标办法。</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26．投标文件的评审、比较和否决</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详见招标文件第二章开标、评标及定标办法。</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27．中标通知书</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27.1 招标人将在</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 xml:space="preserve">27.2 </w:t>
      </w:r>
      <w:r>
        <w:rPr>
          <w:rFonts w:hint="eastAsia" w:cs="宋体"/>
          <w:b/>
          <w:bCs/>
          <w:color w:val="auto"/>
          <w:sz w:val="24"/>
          <w:szCs w:val="24"/>
          <w:highlight w:val="none"/>
          <w:lang w:val="en-US" w:eastAsia="zh-CN" w:bidi="zh-CN"/>
        </w:rPr>
        <w:t>招标人应当自确定中标人后，向招标投标监管机构提交招标投标情况的书面报告；经招投标监管机构备案后，方可发出中标通知书</w:t>
      </w:r>
      <w:r>
        <w:rPr>
          <w:rFonts w:hint="eastAsia" w:cs="宋体"/>
          <w:color w:val="auto"/>
          <w:sz w:val="24"/>
          <w:szCs w:val="24"/>
          <w:highlight w:val="none"/>
          <w:lang w:val="en-US" w:eastAsia="zh-CN" w:bidi="zh-CN"/>
        </w:rPr>
        <w:t>。</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27.3 中标人必须在收到中标通知书后24小时之内以书面形式回复招标人，确认收到。</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27.4 在产生中标候选人后，招标人将中标候选人的投标文件商务部分文件的所有内容（包括人员、业绩、奖项等资料）在</w:t>
      </w:r>
      <w:r>
        <w:rPr>
          <w:rFonts w:hint="eastAsia" w:cs="宋体"/>
          <w:color w:val="auto"/>
          <w:sz w:val="24"/>
          <w:szCs w:val="24"/>
          <w:highlight w:val="none"/>
          <w:u w:val="single"/>
          <w:lang w:val="en-US" w:eastAsia="zh-CN" w:bidi="zh-CN"/>
        </w:rPr>
        <w:t xml:space="preserve">             </w:t>
      </w:r>
      <w:r>
        <w:rPr>
          <w:rFonts w:hint="eastAsia" w:cs="宋体"/>
          <w:color w:val="auto"/>
          <w:sz w:val="24"/>
          <w:szCs w:val="24"/>
          <w:highlight w:val="none"/>
          <w:lang w:val="en-US" w:eastAsia="zh-CN" w:bidi="zh-CN"/>
        </w:rPr>
        <w:t>交易平台和广东省招标投标监管网公开。</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28.合同协议书的签订</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28.1 招标人与中标人将于中标通知书发出之日起30日内，按照招标文件和中标人的投标文件商定和签订合同，招标人和中标人不得再行订立背离合同实质性内容的其他协议。</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28.2 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28.3 非经招标人同意，中标人在投标过程中使用的银行名称及帐号至完成竣工结算不得变更，否则招标人有权停止工程款项的拔付及至解除合同，由此造成的一切责任由中标人承担。</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28.4 招标人支付工程款时，中标人应按规定开具发票。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29．履约担保</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29.1 在收到中标通知书后的15日内，中标人应按</w:t>
      </w:r>
      <w:r>
        <w:rPr>
          <w:rFonts w:hint="eastAsia" w:cs="宋体"/>
          <w:b/>
          <w:bCs/>
          <w:color w:val="auto"/>
          <w:sz w:val="24"/>
          <w:szCs w:val="24"/>
          <w:highlight w:val="none"/>
          <w:lang w:val="en-US" w:eastAsia="zh-CN" w:bidi="zh-CN"/>
        </w:rPr>
        <w:t>本须知前附表</w:t>
      </w:r>
      <w:r>
        <w:rPr>
          <w:rFonts w:hint="eastAsia" w:cs="宋体"/>
          <w:color w:val="auto"/>
          <w:sz w:val="24"/>
          <w:szCs w:val="24"/>
          <w:highlight w:val="none"/>
          <w:lang w:val="en-US" w:eastAsia="zh-CN" w:bidi="zh-CN"/>
        </w:rPr>
        <w:t>第20项的规定向招标人提交履约担保。</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30．合同生效</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30.1 在合同双方全权代表在合同协议书上签字，并分别加盖双方单位的公章后，合同正式生效。</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31.其它费用</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32.腐败与欺诈行为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在招标和合同实施期间，招标人要求投标人和承包人遵守最高的道德标准。</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32.1 对本条款的规定，特定义如下词汇：</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1）、“腐败行为”是指在招标或合同执行期间，通过提供、给予、接受或索要任何有价值的东西，从而影响招标人有关人员工作的行为；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32.2 如果投标人被认定在本招标的竞争中有腐败或欺诈行为，则会被取消投标资格。</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0" w:firstLineChars="200"/>
        <w:jc w:val="both"/>
        <w:textAlignment w:val="auto"/>
        <w:rPr>
          <w:rFonts w:hint="eastAsia" w:cs="宋体"/>
          <w:color w:val="auto"/>
          <w:sz w:val="24"/>
          <w:szCs w:val="24"/>
          <w:highlight w:val="none"/>
          <w:lang w:val="en-US" w:eastAsia="zh-CN" w:bidi="zh-CN"/>
        </w:rPr>
      </w:pPr>
      <w:r>
        <w:rPr>
          <w:rFonts w:hint="eastAsia" w:cs="宋体"/>
          <w:color w:val="auto"/>
          <w:sz w:val="24"/>
          <w:szCs w:val="24"/>
          <w:highlight w:val="none"/>
          <w:lang w:val="en-US" w:eastAsia="zh-CN" w:bidi="zh-CN"/>
        </w:rPr>
        <w:t>32.3 投标人如在本项目中存在串通投标、弄虚作假骗取中标、行贿情形的，中标无效，行政监督部门将对其违法行为进行政处罚。该投标人将被招标人列入黑名单并限制其参与招标人后续项目的投标。</w:t>
      </w:r>
    </w:p>
    <w:p>
      <w:pPr>
        <w:keepNext w:val="0"/>
        <w:keepLines w:val="0"/>
        <w:pageBreakBefore w:val="0"/>
        <w:widowControl w:val="0"/>
        <w:kinsoku/>
        <w:wordWrap/>
        <w:overflowPunct/>
        <w:topLinePunct w:val="0"/>
        <w:bidi w:val="0"/>
        <w:adjustRightInd/>
        <w:spacing w:after="0" w:line="360" w:lineRule="auto"/>
        <w:textAlignment w:val="auto"/>
        <w:rPr>
          <w:color w:val="auto"/>
          <w:highlight w:val="none"/>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numPr>
          <w:ilvl w:val="0"/>
          <w:numId w:val="0"/>
        </w:numPr>
        <w:tabs>
          <w:tab w:val="left" w:pos="4090"/>
        </w:tabs>
        <w:kinsoku/>
        <w:wordWrap/>
        <w:overflowPunct/>
        <w:topLinePunct w:val="0"/>
        <w:autoSpaceDE w:val="0"/>
        <w:autoSpaceDN w:val="0"/>
        <w:bidi w:val="0"/>
        <w:adjustRightInd/>
        <w:snapToGrid/>
        <w:spacing w:before="0" w:beforeLines="50" w:after="0" w:afterLines="50" w:line="360" w:lineRule="auto"/>
        <w:ind w:left="0" w:leftChars="0" w:right="0" w:rightChars="0"/>
        <w:jc w:val="center"/>
        <w:textAlignment w:val="auto"/>
        <w:outlineLvl w:val="0"/>
        <w:rPr>
          <w:b/>
          <w:color w:val="auto"/>
          <w:sz w:val="32"/>
          <w:szCs w:val="32"/>
          <w:highlight w:val="none"/>
        </w:rPr>
      </w:pPr>
      <w:bookmarkStart w:id="16" w:name="_Toc8808"/>
      <w:r>
        <w:rPr>
          <w:rFonts w:hint="eastAsia" w:cs="宋体"/>
          <w:b/>
          <w:bCs/>
          <w:color w:val="auto"/>
          <w:sz w:val="32"/>
          <w:szCs w:val="32"/>
          <w:highlight w:val="none"/>
          <w:lang w:val="en-US" w:eastAsia="zh-CN"/>
        </w:rPr>
        <w:t xml:space="preserve">第二章  </w:t>
      </w:r>
      <w:r>
        <w:rPr>
          <w:rFonts w:hint="eastAsia" w:ascii="宋体" w:hAnsi="宋体" w:eastAsia="宋体" w:cs="宋体"/>
          <w:b/>
          <w:bCs/>
          <w:color w:val="auto"/>
          <w:sz w:val="32"/>
          <w:szCs w:val="32"/>
          <w:highlight w:val="none"/>
        </w:rPr>
        <w:t>开标、评标及</w:t>
      </w:r>
      <w:r>
        <w:rPr>
          <w:b/>
          <w:color w:val="auto"/>
          <w:sz w:val="32"/>
          <w:szCs w:val="32"/>
          <w:highlight w:val="none"/>
        </w:rPr>
        <w:t>定标办法</w:t>
      </w:r>
      <w:bookmarkEnd w:id="16"/>
    </w:p>
    <w:p>
      <w:pPr>
        <w:keepNext w:val="0"/>
        <w:keepLines w:val="0"/>
        <w:pageBreakBefore w:val="0"/>
        <w:widowControl w:val="0"/>
        <w:numPr>
          <w:ilvl w:val="0"/>
          <w:numId w:val="0"/>
        </w:numPr>
        <w:tabs>
          <w:tab w:val="left" w:pos="4090"/>
        </w:tabs>
        <w:kinsoku/>
        <w:wordWrap/>
        <w:overflowPunct/>
        <w:topLinePunct w:val="0"/>
        <w:autoSpaceDE w:val="0"/>
        <w:autoSpaceDN w:val="0"/>
        <w:bidi w:val="0"/>
        <w:adjustRightInd/>
        <w:snapToGrid/>
        <w:spacing w:before="0" w:line="360" w:lineRule="auto"/>
        <w:ind w:left="0" w:leftChars="0" w:right="0" w:rightChars="0"/>
        <w:jc w:val="center"/>
        <w:textAlignment w:val="auto"/>
        <w:outlineLvl w:val="1"/>
        <w:rPr>
          <w:b/>
          <w:color w:val="auto"/>
          <w:sz w:val="28"/>
          <w:szCs w:val="28"/>
          <w:highlight w:val="none"/>
        </w:rPr>
      </w:pPr>
      <w:bookmarkStart w:id="17" w:name="_Toc27949"/>
      <w:r>
        <w:rPr>
          <w:b/>
          <w:color w:val="auto"/>
          <w:sz w:val="28"/>
          <w:szCs w:val="28"/>
          <w:highlight w:val="none"/>
        </w:rPr>
        <w:t>一、开标、评标及定标办法修改</w:t>
      </w:r>
      <w:r>
        <w:rPr>
          <w:b/>
          <w:color w:val="auto"/>
          <w:spacing w:val="-17"/>
          <w:sz w:val="28"/>
          <w:szCs w:val="28"/>
          <w:highlight w:val="none"/>
        </w:rPr>
        <w:t>表</w:t>
      </w:r>
      <w:bookmarkEnd w:id="17"/>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b/>
          <w:color w:val="auto"/>
          <w:sz w:val="21"/>
          <w:highlight w:val="none"/>
        </w:rPr>
      </w:pPr>
      <w:r>
        <w:rPr>
          <w:rFonts w:hint="eastAsia" w:ascii="宋体" w:hAnsi="宋体" w:eastAsia="宋体" w:cs="宋体"/>
          <w:b/>
          <w:color w:val="auto"/>
          <w:spacing w:val="-8"/>
          <w:sz w:val="21"/>
          <w:szCs w:val="21"/>
          <w:highlight w:val="none"/>
        </w:rPr>
        <w:t>声明：本投标须知使用</w:t>
      </w:r>
      <w:r>
        <w:rPr>
          <w:rFonts w:hint="eastAsia" w:ascii="宋体" w:hAnsi="宋体" w:eastAsia="宋体" w:cs="宋体"/>
          <w:b/>
          <w:color w:val="auto"/>
          <w:sz w:val="21"/>
          <w:szCs w:val="21"/>
          <w:highlight w:val="none"/>
        </w:rPr>
        <w:t>GZZB2018-3</w:t>
      </w:r>
      <w:r>
        <w:rPr>
          <w:rFonts w:hint="eastAsia" w:ascii="宋体" w:hAnsi="宋体" w:eastAsia="宋体" w:cs="宋体"/>
          <w:b/>
          <w:color w:val="auto"/>
          <w:spacing w:val="-4"/>
          <w:sz w:val="21"/>
          <w:szCs w:val="21"/>
          <w:highlight w:val="none"/>
        </w:rPr>
        <w:t>招标文件范本的开标、评标及定标办法通用条款，与该通用条款不同之处，均在本表中列明，并以现文为准，原文不再有效。本招标文件中不再转录投标须知通用条款，</w:t>
      </w:r>
      <w:r>
        <w:rPr>
          <w:rFonts w:hint="eastAsia" w:ascii="宋体" w:hAnsi="宋体" w:eastAsia="宋体" w:cs="宋体"/>
          <w:b/>
          <w:color w:val="auto"/>
          <w:spacing w:val="-3"/>
          <w:sz w:val="21"/>
          <w:szCs w:val="21"/>
          <w:highlight w:val="none"/>
        </w:rPr>
        <w:t>请投标人自行到广州市住房和城乡建设局网站</w:t>
      </w:r>
      <w:r>
        <w:rPr>
          <w:rFonts w:hint="eastAsia" w:ascii="宋体" w:hAnsi="宋体" w:eastAsia="宋体" w:cs="宋体"/>
          <w:b/>
          <w:color w:val="auto"/>
          <w:sz w:val="21"/>
          <w:szCs w:val="21"/>
          <w:highlight w:val="none"/>
        </w:rPr>
        <w:t>（</w:t>
      </w:r>
      <w:r>
        <w:rPr>
          <w:rFonts w:hint="eastAsia" w:ascii="宋体" w:hAnsi="宋体" w:eastAsia="宋体" w:cs="宋体"/>
          <w:b/>
          <w:color w:val="auto"/>
          <w:spacing w:val="-2"/>
          <w:sz w:val="21"/>
          <w:szCs w:val="21"/>
          <w:highlight w:val="none"/>
        </w:rPr>
        <w:t>网址：http://zfcj.gz.gov.cn/</w:t>
      </w:r>
      <w:r>
        <w:rPr>
          <w:rFonts w:hint="eastAsia" w:ascii="宋体" w:hAnsi="宋体" w:eastAsia="宋体" w:cs="宋体"/>
          <w:b/>
          <w:color w:val="auto"/>
          <w:sz w:val="21"/>
          <w:szCs w:val="21"/>
          <w:highlight w:val="none"/>
        </w:rPr>
        <w:t>）下载查阅。</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w:t>
      </w:r>
      <w:r>
        <w:rPr>
          <w:rFonts w:hint="eastAsia" w:cs="宋体"/>
          <w:b/>
          <w:color w:val="auto"/>
          <w:sz w:val="21"/>
          <w:szCs w:val="21"/>
          <w:highlight w:val="none"/>
          <w:lang w:val="en-US" w:eastAsia="zh-CN"/>
        </w:rPr>
        <w:t>4</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3</w:t>
      </w:r>
      <w:r>
        <w:rPr>
          <w:rFonts w:hint="eastAsia"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.4若递交投标文件的投标人不足3家，则重新组织招标。</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w:t>
      </w:r>
      <w:r>
        <w:rPr>
          <w:rFonts w:hint="eastAsia" w:cs="宋体"/>
          <w:b/>
          <w:color w:val="auto"/>
          <w:sz w:val="21"/>
          <w:szCs w:val="21"/>
          <w:highlight w:val="none"/>
          <w:lang w:val="en-US" w:eastAsia="zh-CN"/>
        </w:rPr>
        <w:t>4</w:t>
      </w:r>
      <w:r>
        <w:rPr>
          <w:rFonts w:hint="eastAsia" w:ascii="宋体" w:hAnsi="宋体" w:eastAsia="宋体" w:cs="宋体"/>
          <w:b/>
          <w:color w:val="auto"/>
          <w:sz w:val="21"/>
          <w:szCs w:val="21"/>
          <w:highlight w:val="none"/>
          <w:lang w:val="en-US" w:eastAsia="zh-CN"/>
        </w:rPr>
        <w:t>.5.3</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.5.3投标人代表、招标人代表、监标人、记录人等有关人员在开标记录上签字确认；若有关人员不签字的，不影响开标程序；</w:t>
      </w:r>
    </w:p>
    <w:p>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rPr>
        <w:t>.5.3投标人代表、招标人代表、监标人、记录人等有关人员在开标记录上签字确认；若有关人员不签字的，不影响开标程序；</w:t>
      </w:r>
      <w:r>
        <w:rPr>
          <w:rFonts w:hint="eastAsia" w:ascii="宋体" w:hAnsi="宋体" w:eastAsia="宋体" w:cs="宋体"/>
          <w:color w:val="auto"/>
          <w:sz w:val="21"/>
          <w:szCs w:val="21"/>
          <w:highlight w:val="none"/>
          <w:u w:val="single"/>
        </w:rPr>
        <w:t>若投标人不参加开标会的，或不签字确认的，视同该投标人认可开标结果。</w:t>
      </w:r>
    </w:p>
    <w:p>
      <w:pP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条款号：可选办法一（适合综合评分法一，技术标与经济标先后分别开启）  修改类型：删除</w:t>
      </w:r>
    </w:p>
    <w:p>
      <w:pPr>
        <w:pBdr>
          <w:bottom w:val="single" w:color="auto" w:sz="6" w:space="1"/>
        </w:pBd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原文：详见《广州市建设工程施工公开招标项目招标文件范本GZZB2018-3》</w:t>
      </w:r>
    </w:p>
    <w:p>
      <w:pP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条款号：可选办法二（适合综合评分法一，技术标与经济标同时开启）  修改类型：删除</w:t>
      </w:r>
    </w:p>
    <w:p>
      <w:pPr>
        <w:pBdr>
          <w:bottom w:val="single" w:color="auto" w:sz="6" w:space="1"/>
        </w:pBd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原文：详见《广州市建设工程施工公开招标项目招标文件范本GZZB2018-3》</w:t>
      </w:r>
    </w:p>
    <w:p>
      <w:pP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条款号：可选办法三（适合综合评分法二，技术标与经济标先后分别开启）  修改类型：删除</w:t>
      </w:r>
    </w:p>
    <w:p>
      <w:pPr>
        <w:pBdr>
          <w:bottom w:val="single" w:color="auto" w:sz="6" w:space="1"/>
        </w:pBd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原文：详见《广州市建设工程施工公开招标项目招标文件范本GZZB2018-3》</w:t>
      </w:r>
    </w:p>
    <w:p>
      <w:pP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条款号：可选办法四（适合综合评分法二，技术标与经济标同时开启）  修改类型：删除</w:t>
      </w:r>
    </w:p>
    <w:p>
      <w:pPr>
        <w:pBdr>
          <w:bottom w:val="single" w:color="auto" w:sz="6" w:space="1"/>
        </w:pBd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原文：详见《广州市建设工程施工公开招标项目招标文件范本GZZB2018-3》</w:t>
      </w:r>
    </w:p>
    <w:p>
      <w:pP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条款号：可选办法五（适合综合评分法三，技术标与经济标先后分别开启）  修改类型：删除</w:t>
      </w:r>
    </w:p>
    <w:p>
      <w:pPr>
        <w:pBdr>
          <w:bottom w:val="single" w:color="auto" w:sz="6" w:space="1"/>
        </w:pBd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原文：详见《广州市建设工程施工公开招标项目招标文件范本GZZB2018-3》</w:t>
      </w:r>
    </w:p>
    <w:p>
      <w:pP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条款号：可选办法六（适合综合评分法三，技术标与经济标同时开启）  修改类型：删除</w:t>
      </w:r>
    </w:p>
    <w:p>
      <w:pPr>
        <w:pBdr>
          <w:bottom w:val="single" w:color="auto" w:sz="6" w:space="1"/>
        </w:pBd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原文：详见《广州市建设工程施工公开招标项目招标文件范本GZZB2018-3》</w:t>
      </w:r>
    </w:p>
    <w:p>
      <w:pP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条款号：可选办法八（适合经评审的最低投标价法，技术标与经济标同时开启）  修改类型：删除</w:t>
      </w:r>
    </w:p>
    <w:p>
      <w:pPr>
        <w:pBdr>
          <w:bottom w:val="single" w:color="auto" w:sz="6" w:space="1"/>
        </w:pBdr>
        <w:spacing w:line="360" w:lineRule="auto"/>
        <w:ind w:firstLine="472" w:firstLineChars="224"/>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原文：详见《广州市建设工程施工公开招标项目招标文件范本GZZB2018-3》</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cs="宋体"/>
          <w:b/>
          <w:color w:val="auto"/>
          <w:sz w:val="21"/>
          <w:szCs w:val="21"/>
          <w:highlight w:val="none"/>
          <w:lang w:val="en-US" w:eastAsia="zh-CN"/>
        </w:rPr>
        <w:t>39</w:t>
      </w: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cs="宋体"/>
          <w:b/>
          <w:color w:val="auto"/>
          <w:sz w:val="21"/>
          <w:szCs w:val="21"/>
          <w:highlight w:val="none"/>
          <w:lang w:val="en-US" w:eastAsia="zh-CN"/>
        </w:rPr>
        <w:t>39</w:t>
      </w:r>
      <w:r>
        <w:rPr>
          <w:rFonts w:hint="eastAsia" w:ascii="宋体" w:hAnsi="宋体" w:eastAsia="宋体" w:cs="宋体"/>
          <w:b/>
          <w:color w:val="auto"/>
          <w:sz w:val="21"/>
          <w:szCs w:val="21"/>
          <w:highlight w:val="none"/>
        </w:rPr>
        <w:t>.2.1</w:t>
      </w:r>
      <w:r>
        <w:rPr>
          <w:rFonts w:hint="eastAsia" w:ascii="宋体" w:hAnsi="宋体" w:eastAsia="宋体" w:cs="宋体"/>
          <w:bCs/>
          <w:color w:val="auto"/>
          <w:sz w:val="21"/>
          <w:szCs w:val="21"/>
          <w:highlight w:val="none"/>
        </w:rPr>
        <w:t>投标截止期前，各投标人递交投标文件（包括技术标投标文件、经济标投标文件）至</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交易平台。有关投标文件提交的事项详见第一章投标须知。</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cs="宋体"/>
          <w:b/>
          <w:color w:val="auto"/>
          <w:sz w:val="21"/>
          <w:szCs w:val="21"/>
          <w:highlight w:val="none"/>
          <w:lang w:val="en-US" w:eastAsia="zh-CN"/>
        </w:rPr>
        <w:t>39</w:t>
      </w:r>
      <w:r>
        <w:rPr>
          <w:rFonts w:hint="eastAsia" w:ascii="宋体" w:hAnsi="宋体" w:eastAsia="宋体" w:cs="宋体"/>
          <w:b/>
          <w:color w:val="auto"/>
          <w:sz w:val="21"/>
          <w:szCs w:val="21"/>
          <w:highlight w:val="none"/>
        </w:rPr>
        <w:t>.2.1</w:t>
      </w:r>
      <w:r>
        <w:rPr>
          <w:rFonts w:hint="eastAsia" w:ascii="宋体" w:hAnsi="宋体" w:eastAsia="宋体" w:cs="宋体"/>
          <w:bCs/>
          <w:color w:val="auto"/>
          <w:sz w:val="21"/>
          <w:szCs w:val="21"/>
          <w:highlight w:val="none"/>
        </w:rPr>
        <w:t>投标截止期前，各投标人递交投标文件（包括技术标投标文件、经济标投标文件）至</w:t>
      </w:r>
      <w:r>
        <w:rPr>
          <w:rFonts w:hint="eastAsia" w:ascii="宋体" w:hAnsi="宋体" w:eastAsia="宋体" w:cs="宋体"/>
          <w:bCs/>
          <w:color w:val="auto"/>
          <w:sz w:val="21"/>
          <w:szCs w:val="21"/>
          <w:highlight w:val="none"/>
          <w:u w:val="single"/>
        </w:rPr>
        <w:t>广州公共资源交易中心</w:t>
      </w:r>
      <w:r>
        <w:rPr>
          <w:rFonts w:hint="eastAsia" w:ascii="宋体" w:hAnsi="宋体" w:eastAsia="宋体" w:cs="宋体"/>
          <w:bCs/>
          <w:color w:val="auto"/>
          <w:sz w:val="21"/>
          <w:szCs w:val="21"/>
          <w:highlight w:val="none"/>
        </w:rPr>
        <w:t>交易平台。有关投标文件提交的事项详见第一章投标须知。</w:t>
      </w:r>
    </w:p>
    <w:p>
      <w:pPr>
        <w:spacing w:line="360" w:lineRule="auto"/>
        <w:ind w:firstLine="495"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.2.2</w:t>
      </w:r>
      <w:r>
        <w:rPr>
          <w:rFonts w:hint="eastAsia" w:ascii="宋体" w:hAnsi="宋体" w:eastAsia="宋体" w:cs="宋体"/>
          <w:b/>
          <w:color w:val="auto"/>
          <w:szCs w:val="21"/>
          <w:highlight w:val="none"/>
        </w:rPr>
        <w:t xml:space="preserve">                      修改类型：删除</w:t>
      </w:r>
    </w:p>
    <w:p>
      <w:pPr>
        <w:pBdr>
          <w:bottom w:val="single" w:color="auto" w:sz="6" w:space="1"/>
        </w:pBdr>
        <w:spacing w:line="360" w:lineRule="auto"/>
        <w:ind w:firstLine="552" w:firstLineChars="25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原文：</w:t>
      </w: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.2.2开标前，首先由招标人随机抽取确定该工程计算评标参考价的等分点值X。</w:t>
      </w:r>
    </w:p>
    <w:p>
      <w:pPr>
        <w:spacing w:line="360" w:lineRule="auto"/>
        <w:ind w:firstLine="0" w:firstLineChars="0"/>
        <w:rPr>
          <w:rFonts w:hint="eastAsia" w:ascii="宋体" w:hAnsi="宋体" w:eastAsia="宋体" w:cs="宋体"/>
          <w:b/>
          <w:color w:val="auto"/>
          <w:szCs w:val="21"/>
          <w:highlight w:val="none"/>
        </w:rPr>
      </w:pP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             修改类型：修改</w:t>
      </w:r>
    </w:p>
    <w:p>
      <w:pPr>
        <w:pStyle w:val="19"/>
        <w:tabs>
          <w:tab w:val="left" w:pos="7380"/>
        </w:tabs>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cs="宋体"/>
          <w:color w:val="auto"/>
          <w:sz w:val="21"/>
          <w:szCs w:val="21"/>
          <w:highlight w:val="none"/>
          <w:lang w:val="en-US" w:eastAsia="zh-CN"/>
        </w:rPr>
        <w:t xml:space="preserve">40.1 </w:t>
      </w:r>
      <w:r>
        <w:rPr>
          <w:rFonts w:hint="eastAsia" w:ascii="宋体" w:hAnsi="宋体" w:eastAsia="宋体" w:cs="宋体"/>
          <w:color w:val="auto"/>
          <w:sz w:val="21"/>
          <w:szCs w:val="21"/>
          <w:highlight w:val="none"/>
        </w:rPr>
        <w:t>评标委员会的组成：方式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方式一：评标委员会为综合评标委员会，负责资格审查及评标工作。</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方式二：评标委员会由技术评审组和经济评审组组成。其中：资格审查及技术评审由技术评标组负责，经济评审由经济评审组负责。</w:t>
      </w:r>
    </w:p>
    <w:p>
      <w:pPr>
        <w:pStyle w:val="19"/>
        <w:tabs>
          <w:tab w:val="left" w:pos="7380"/>
        </w:tabs>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cs="宋体"/>
          <w:color w:val="auto"/>
          <w:sz w:val="21"/>
          <w:szCs w:val="21"/>
          <w:highlight w:val="none"/>
          <w:lang w:val="en-US" w:eastAsia="zh-CN"/>
        </w:rPr>
        <w:t>40.1</w:t>
      </w:r>
      <w:r>
        <w:rPr>
          <w:rFonts w:hint="eastAsia" w:ascii="宋体" w:hAnsi="宋体" w:eastAsia="宋体" w:cs="宋体"/>
          <w:color w:val="auto"/>
          <w:sz w:val="21"/>
          <w:szCs w:val="21"/>
          <w:highlight w:val="none"/>
        </w:rPr>
        <w:t>评标委员会的组成：方式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方式一：评标委员会为综合评标委员会，负责资格审查及评标工作。</w:t>
      </w: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1"/>
          <w:szCs w:val="21"/>
          <w:highlight w:val="none"/>
        </w:rPr>
      </w:pPr>
    </w:p>
    <w:p>
      <w:pPr>
        <w:spacing w:line="360" w:lineRule="auto"/>
        <w:ind w:firstLine="472" w:firstLineChars="224"/>
        <w:outlineLvl w:val="2"/>
        <w:rPr>
          <w:rFonts w:hint="eastAsia" w:ascii="宋体" w:hAnsi="宋体" w:eastAsia="宋体" w:cs="宋体"/>
          <w:b/>
          <w:color w:val="auto"/>
          <w:sz w:val="21"/>
          <w:szCs w:val="21"/>
          <w:highlight w:val="none"/>
        </w:rPr>
      </w:pPr>
      <w:bookmarkStart w:id="18" w:name="_Toc6443"/>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cs="宋体"/>
          <w:b/>
          <w:color w:val="auto"/>
          <w:sz w:val="21"/>
          <w:szCs w:val="21"/>
          <w:highlight w:val="none"/>
          <w:lang w:val="en-US" w:eastAsia="zh-CN"/>
        </w:rPr>
        <w:t>1</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修改类型：修改</w:t>
      </w:r>
      <w:bookmarkEnd w:id="18"/>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4</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rPr>
        <w:t>.6资格审查合格的投标人少于3名的（当N个标段同时招标且不允许兼中时，资格审查合格的投标人少于N+2名），则本项目招标失败。</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u w:val="single"/>
        </w:rPr>
        <w:t>4</w:t>
      </w:r>
      <w:r>
        <w:rPr>
          <w:rFonts w:hint="eastAsia"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rPr>
        <w:t>.6</w:t>
      </w:r>
      <w:r>
        <w:rPr>
          <w:rFonts w:hint="eastAsia" w:ascii="宋体" w:hAnsi="宋体" w:eastAsia="宋体" w:cs="宋体"/>
          <w:color w:val="auto"/>
          <w:sz w:val="21"/>
          <w:szCs w:val="21"/>
          <w:highlight w:val="none"/>
          <w:u w:val="single"/>
        </w:rPr>
        <w:t>资格审查合格的投标人少于3名的，则本项目招标失败</w:t>
      </w:r>
      <w:r>
        <w:rPr>
          <w:rFonts w:hint="eastAsia" w:ascii="宋体" w:hAnsi="宋体" w:eastAsia="宋体" w:cs="宋体"/>
          <w:color w:val="auto"/>
          <w:sz w:val="21"/>
          <w:szCs w:val="21"/>
          <w:highlight w:val="none"/>
        </w:rPr>
        <w:t>。</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cs="宋体"/>
          <w:b/>
          <w:color w:val="auto"/>
          <w:sz w:val="21"/>
          <w:szCs w:val="21"/>
          <w:highlight w:val="none"/>
          <w:lang w:val="en-US" w:eastAsia="zh-CN"/>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eastAsia="宋体" w:cs="宋体"/>
          <w:color w:val="auto"/>
          <w:sz w:val="21"/>
          <w:szCs w:val="21"/>
          <w:highlight w:val="none"/>
          <w:u w:val="single"/>
        </w:rPr>
        <w:t>若通过技术标有效性审查的投标人不足3名，则本项目招标失败。</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.1若通过技术标有效性审查的投标人中</w:t>
      </w:r>
      <w:r>
        <w:rPr>
          <w:rFonts w:hint="eastAsia" w:ascii="宋体" w:hAnsi="宋体" w:cs="宋体"/>
          <w:color w:val="auto"/>
          <w:sz w:val="21"/>
          <w:szCs w:val="21"/>
          <w:highlight w:val="none"/>
          <w:lang w:eastAsia="zh-CN"/>
        </w:rPr>
        <w:t>所</w:t>
      </w:r>
      <w:r>
        <w:rPr>
          <w:rFonts w:hint="eastAsia" w:ascii="宋体" w:hAnsi="宋体" w:eastAsia="宋体" w:cs="宋体"/>
          <w:color w:val="auto"/>
          <w:sz w:val="21"/>
          <w:szCs w:val="21"/>
          <w:highlight w:val="none"/>
        </w:rPr>
        <w:t>有投标报价均大于等于最高投标限价*D%（D的取值范围为[94,100],由招标人自主确定）的（具体金额为：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元），则本项目招标失败，由招标人依法重新招标。</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.1若通过技术标有效性审查的投标人中</w:t>
      </w:r>
      <w:r>
        <w:rPr>
          <w:rFonts w:hint="eastAsia" w:ascii="宋体" w:hAnsi="宋体" w:cs="宋体"/>
          <w:color w:val="auto"/>
          <w:sz w:val="21"/>
          <w:szCs w:val="21"/>
          <w:highlight w:val="none"/>
          <w:lang w:eastAsia="zh-CN"/>
        </w:rPr>
        <w:t>所</w:t>
      </w:r>
      <w:r>
        <w:rPr>
          <w:rFonts w:hint="eastAsia" w:ascii="宋体" w:hAnsi="宋体" w:eastAsia="宋体" w:cs="宋体"/>
          <w:color w:val="auto"/>
          <w:sz w:val="21"/>
          <w:szCs w:val="21"/>
          <w:highlight w:val="none"/>
        </w:rPr>
        <w:t>有投标报价均大于等于最高投标限价*D%（D的取值范围为[94,100],</w:t>
      </w:r>
      <w:r>
        <w:rPr>
          <w:rFonts w:hint="eastAsia" w:ascii="宋体" w:hAnsi="宋体" w:cs="宋体"/>
          <w:color w:val="auto"/>
          <w:sz w:val="21"/>
          <w:szCs w:val="21"/>
          <w:highlight w:val="none"/>
          <w:u w:val="single"/>
          <w:lang w:val="en-US" w:eastAsia="zh-CN"/>
        </w:rPr>
        <w:t>D=100</w:t>
      </w:r>
      <w:r>
        <w:rPr>
          <w:rFonts w:hint="eastAsia" w:ascii="宋体" w:hAnsi="宋体" w:eastAsia="宋体" w:cs="宋体"/>
          <w:color w:val="auto"/>
          <w:sz w:val="21"/>
          <w:szCs w:val="21"/>
          <w:highlight w:val="none"/>
        </w:rPr>
        <w:t>）的（具体金额为：</w:t>
      </w:r>
      <w:r>
        <w:rPr>
          <w:rFonts w:hint="eastAsia" w:cs="宋体"/>
          <w:color w:val="auto"/>
          <w:sz w:val="21"/>
          <w:szCs w:val="21"/>
          <w:highlight w:val="none"/>
          <w:u w:val="single"/>
          <w:lang w:val="en-US" w:eastAsia="zh-CN"/>
        </w:rPr>
        <w:t>13533839.25</w:t>
      </w:r>
      <w:r>
        <w:rPr>
          <w:rFonts w:hint="eastAsia" w:ascii="宋体" w:hAnsi="宋体" w:eastAsia="宋体" w:cs="宋体"/>
          <w:color w:val="auto"/>
          <w:sz w:val="21"/>
          <w:szCs w:val="21"/>
          <w:highlight w:val="none"/>
        </w:rPr>
        <w:t>元），则本项目招标失败，由招标人依法重新招标。</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修改类型：修改</w:t>
      </w:r>
    </w:p>
    <w:p>
      <w:pPr>
        <w:pStyle w:val="19"/>
        <w:tabs>
          <w:tab w:val="left" w:pos="7380"/>
        </w:tabs>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.2按方法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计算评标参考价：</w:t>
      </w:r>
    </w:p>
    <w:p>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方法一：加权平均法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评标参考价=Σ（投标人的投标报价*报价权重）。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其中：报价权重的计算方法为：将N名投标人按技术分由高至低进行排序，第一名投标人的权重为（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sz w:val="21"/>
          <w:szCs w:val="21"/>
          <w:highlight w:val="none"/>
        </w:rPr>
        <w:drawing>
          <wp:inline distT="0" distB="0" distL="114300" distR="114300">
            <wp:extent cx="381000" cy="447675"/>
            <wp:effectExtent l="0" t="0" r="0" b="0"/>
            <wp:docPr id="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drawing>
          <wp:inline distT="0" distB="0" distL="114300" distR="114300">
            <wp:extent cx="381000" cy="447675"/>
            <wp:effectExtent l="0" t="0" r="0" b="8890"/>
            <wp:docPr id="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2"/>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），第二名投标人的权重为（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position w:val="-23"/>
          <w:sz w:val="21"/>
          <w:szCs w:val="21"/>
          <w:highlight w:val="none"/>
        </w:rPr>
        <w:drawing>
          <wp:inline distT="0" distB="0" distL="114300" distR="114300">
            <wp:extent cx="323850" cy="400050"/>
            <wp:effectExtent l="0" t="0" r="0" b="0"/>
            <wp:docPr id="5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position w:val="-23"/>
          <w:sz w:val="21"/>
          <w:szCs w:val="21"/>
          <w:highlight w:val="none"/>
        </w:rPr>
        <w:drawing>
          <wp:inline distT="0" distB="0" distL="114300" distR="114300">
            <wp:extent cx="323850" cy="400050"/>
            <wp:effectExtent l="0" t="0" r="0" b="0"/>
            <wp:docPr id="4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），以此类推，最后一名投标人的权重为（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position w:val="-23"/>
          <w:sz w:val="21"/>
          <w:szCs w:val="21"/>
          <w:highlight w:val="none"/>
        </w:rPr>
        <w:drawing>
          <wp:inline distT="0" distB="0" distL="114300" distR="114300">
            <wp:extent cx="323850" cy="400050"/>
            <wp:effectExtent l="0" t="0" r="0" b="0"/>
            <wp:docPr id="4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5"/>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position w:val="-23"/>
          <w:sz w:val="21"/>
          <w:szCs w:val="21"/>
          <w:highlight w:val="none"/>
        </w:rPr>
        <w:drawing>
          <wp:inline distT="0" distB="0" distL="114300" distR="114300">
            <wp:extent cx="323850" cy="400050"/>
            <wp:effectExtent l="0" t="0" r="0" b="0"/>
            <wp:docPr id="4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6"/>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pPr>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方法二：区间抽取法</w:t>
      </w:r>
    </w:p>
    <w:p>
      <w:pPr>
        <w:widowControl/>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rPr>
        <w:t>评标参考价=（Q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低</w:t>
      </w:r>
      <w:r>
        <w:rPr>
          <w:rFonts w:hint="eastAsia" w:ascii="宋体" w:hAnsi="宋体" w:eastAsia="宋体" w:cs="宋体"/>
          <w:color w:val="auto"/>
          <w:kern w:val="0"/>
          <w:sz w:val="21"/>
          <w:szCs w:val="21"/>
          <w:highlight w:val="none"/>
        </w:rPr>
        <w:t>）/100*Ｘ+Q</w:t>
      </w:r>
      <w:r>
        <w:rPr>
          <w:rFonts w:hint="eastAsia" w:ascii="宋体" w:hAnsi="宋体" w:eastAsia="宋体" w:cs="宋体"/>
          <w:color w:val="auto"/>
          <w:kern w:val="0"/>
          <w:sz w:val="21"/>
          <w:szCs w:val="21"/>
          <w:highlight w:val="none"/>
          <w:vertAlign w:val="subscript"/>
        </w:rPr>
        <w:t>低</w:t>
      </w:r>
    </w:p>
    <w:p>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vertAlign w:val="subscript"/>
        </w:rPr>
        <w:t>低</w:t>
      </w:r>
      <w:r>
        <w:rPr>
          <w:rFonts w:hint="eastAsia" w:ascii="宋体" w:hAnsi="宋体" w:eastAsia="宋体" w:cs="宋体"/>
          <w:color w:val="auto"/>
          <w:sz w:val="21"/>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sz w:val="21"/>
          <w:szCs w:val="21"/>
          <w:highlight w:val="none"/>
        </w:rPr>
        <w:t>：为（最高投标限价*D%）（D的取值范围为[94,100],由招标人自定）</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X:为等分点值，从[0,100]整数中随机抽取</w:t>
      </w:r>
    </w:p>
    <w:p>
      <w:pPr>
        <w:pStyle w:val="19"/>
        <w:tabs>
          <w:tab w:val="left" w:pos="7380"/>
        </w:tabs>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.2按方法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计算评标参考价：</w:t>
      </w:r>
    </w:p>
    <w:p>
      <w:pPr>
        <w:widowControl/>
        <w:spacing w:line="360" w:lineRule="auto"/>
        <w:ind w:firstLine="422" w:firstLineChars="200"/>
        <w:rPr>
          <w:rFonts w:hint="eastAsia" w:ascii="宋体" w:hAnsi="宋体" w:eastAsia="宋体" w:cs="宋体"/>
          <w:b/>
          <w:bCs/>
          <w:strike w:val="0"/>
          <w:dstrike w:val="0"/>
          <w:color w:val="auto"/>
          <w:kern w:val="0"/>
          <w:sz w:val="21"/>
          <w:szCs w:val="21"/>
          <w:highlight w:val="none"/>
        </w:rPr>
      </w:pPr>
      <w:r>
        <w:rPr>
          <w:rFonts w:hint="eastAsia" w:ascii="宋体" w:hAnsi="宋体" w:eastAsia="宋体" w:cs="宋体"/>
          <w:b/>
          <w:bCs/>
          <w:strike w:val="0"/>
          <w:dstrike w:val="0"/>
          <w:color w:val="auto"/>
          <w:kern w:val="0"/>
          <w:sz w:val="21"/>
          <w:szCs w:val="21"/>
          <w:highlight w:val="none"/>
        </w:rPr>
        <w:t>方法一：加权平均法</w:t>
      </w:r>
    </w:p>
    <w:p>
      <w:pPr>
        <w:spacing w:line="360" w:lineRule="auto"/>
        <w:ind w:firstLine="440" w:firstLineChars="200"/>
        <w:rPr>
          <w:rFonts w:hint="eastAsia" w:ascii="宋体" w:hAnsi="宋体" w:eastAsia="宋体" w:cs="宋体"/>
          <w:strike w:val="0"/>
          <w:dstrike w:val="0"/>
          <w:color w:val="auto"/>
          <w:sz w:val="21"/>
          <w:szCs w:val="21"/>
          <w:highlight w:val="none"/>
        </w:rPr>
      </w:pPr>
      <w:r>
        <w:rPr>
          <w:rFonts w:hint="eastAsia" w:ascii="宋体" w:hAnsi="宋体" w:cs="宋体"/>
          <w:color w:val="auto"/>
          <w:szCs w:val="21"/>
          <w:highlight w:val="none"/>
          <w:u w:val="single"/>
        </w:rPr>
        <w:t>技术标得分前N名（若通过技术标有效性审查的投标人大于等于5家时，N=5；若通过技术标有效性审查的投标人小于5家时，N=通过技术标有效性审查的投标人家数）</w:t>
      </w:r>
      <w:r>
        <w:rPr>
          <w:rFonts w:hint="eastAsia" w:ascii="宋体" w:hAnsi="宋体" w:cs="宋体"/>
          <w:color w:val="auto"/>
          <w:szCs w:val="21"/>
          <w:highlight w:val="none"/>
        </w:rPr>
        <w:t>的经济报价加权平均，计算评标参考价。公式如下：</w:t>
      </w:r>
    </w:p>
    <w:p>
      <w:pPr>
        <w:spacing w:line="36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评标参考价=Σ（投标人的投标报价*报价权重）。</w:t>
      </w:r>
    </w:p>
    <w:p>
      <w:pPr>
        <w:spacing w:line="360" w:lineRule="auto"/>
        <w:ind w:firstLine="420" w:firstLineChars="200"/>
        <w:rPr>
          <w:rFonts w:hint="default" w:ascii="宋体" w:hAnsi="宋体" w:eastAsia="宋体" w:cs="宋体"/>
          <w: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其中：报价权重的计算方法为：将</w:t>
      </w:r>
      <w:r>
        <w:rPr>
          <w:rFonts w:hint="eastAsia" w:ascii="宋体" w:hAnsi="宋体" w:cs="宋体"/>
          <w:strike w:val="0"/>
          <w:dstrike w:val="0"/>
          <w:color w:val="auto"/>
          <w:sz w:val="21"/>
          <w:szCs w:val="21"/>
          <w:highlight w:val="none"/>
          <w:u w:val="single"/>
          <w:lang w:val="en-US" w:eastAsia="zh-CN"/>
        </w:rPr>
        <w:t>5</w:t>
      </w:r>
      <w:r>
        <w:rPr>
          <w:rFonts w:hint="eastAsia" w:ascii="宋体" w:hAnsi="宋体" w:eastAsia="宋体" w:cs="宋体"/>
          <w:strike w:val="0"/>
          <w:dstrike w:val="0"/>
          <w:color w:val="auto"/>
          <w:sz w:val="21"/>
          <w:szCs w:val="21"/>
          <w:highlight w:val="none"/>
        </w:rPr>
        <w:t>名投标人按技术分由高至低进行排序，第一名投标人的权重为（</w:t>
      </w:r>
      <w:r>
        <w:rPr>
          <w:rFonts w:hint="eastAsia" w:ascii="宋体" w:hAnsi="宋体" w:eastAsia="宋体" w:cs="宋体"/>
          <w:strike w:val="0"/>
          <w:dstrike w:val="0"/>
          <w:color w:val="auto"/>
          <w:sz w:val="21"/>
          <w:szCs w:val="21"/>
          <w:highlight w:val="none"/>
        </w:rPr>
        <w:fldChar w:fldCharType="begin"/>
      </w:r>
      <w:r>
        <w:rPr>
          <w:rFonts w:hint="eastAsia" w:ascii="宋体" w:hAnsi="宋体" w:eastAsia="宋体" w:cs="宋体"/>
          <w:strike w:val="0"/>
          <w:dstrike w:val="0"/>
          <w:color w:val="auto"/>
          <w:sz w:val="21"/>
          <w:szCs w:val="21"/>
          <w:highlight w:val="none"/>
        </w:rPr>
        <w:instrText xml:space="preserve"> QUOTE </w:instrText>
      </w:r>
      <w:r>
        <w:rPr>
          <w:rFonts w:hint="eastAsia" w:ascii="宋体" w:hAnsi="宋体" w:eastAsia="宋体" w:cs="宋体"/>
          <w:strike w:val="0"/>
          <w:dstrike w:val="0"/>
          <w:color w:val="auto"/>
          <w:sz w:val="21"/>
          <w:szCs w:val="21"/>
          <w:highlight w:val="none"/>
        </w:rPr>
        <w:drawing>
          <wp:inline distT="0" distB="0" distL="114300" distR="114300">
            <wp:extent cx="381000" cy="447675"/>
            <wp:effectExtent l="0" t="0" r="0" b="0"/>
            <wp:docPr id="5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7"/>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strike w:val="0"/>
          <w:dstrike w:val="0"/>
          <w:color w:val="auto"/>
          <w:sz w:val="21"/>
          <w:szCs w:val="21"/>
          <w:highlight w:val="none"/>
        </w:rPr>
        <w:fldChar w:fldCharType="separate"/>
      </w:r>
      <w:r>
        <w:rPr>
          <w:rFonts w:hint="eastAsia" w:ascii="宋体" w:hAnsi="宋体" w:eastAsia="宋体" w:cs="宋体"/>
          <w:strike w:val="0"/>
          <w:dstrike w:val="0"/>
          <w:color w:val="auto"/>
          <w:sz w:val="21"/>
          <w:szCs w:val="21"/>
          <w:highlight w:val="none"/>
        </w:rPr>
        <w:drawing>
          <wp:inline distT="0" distB="0" distL="114300" distR="114300">
            <wp:extent cx="381000" cy="447675"/>
            <wp:effectExtent l="0" t="0" r="0" b="8890"/>
            <wp:docPr id="4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8"/>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strike w:val="0"/>
          <w:dstrike w:val="0"/>
          <w:color w:val="auto"/>
          <w:sz w:val="21"/>
          <w:szCs w:val="21"/>
          <w:highlight w:val="none"/>
        </w:rPr>
        <w:fldChar w:fldCharType="end"/>
      </w:r>
      <w:r>
        <w:rPr>
          <w:rFonts w:hint="eastAsia" w:ascii="宋体" w:hAnsi="宋体" w:eastAsia="宋体" w:cs="宋体"/>
          <w:strike w:val="0"/>
          <w:dstrike w:val="0"/>
          <w:color w:val="auto"/>
          <w:sz w:val="21"/>
          <w:szCs w:val="21"/>
          <w:highlight w:val="none"/>
        </w:rPr>
        <w:t>），第二名投标人的权重为（</w:t>
      </w:r>
      <w:r>
        <w:rPr>
          <w:rFonts w:hint="eastAsia" w:ascii="宋体" w:hAnsi="宋体" w:eastAsia="宋体" w:cs="宋体"/>
          <w:strike w:val="0"/>
          <w:dstrike w:val="0"/>
          <w:color w:val="auto"/>
          <w:sz w:val="21"/>
          <w:szCs w:val="21"/>
          <w:highlight w:val="none"/>
        </w:rPr>
        <w:fldChar w:fldCharType="begin"/>
      </w:r>
      <w:r>
        <w:rPr>
          <w:rFonts w:hint="eastAsia" w:ascii="宋体" w:hAnsi="宋体" w:eastAsia="宋体" w:cs="宋体"/>
          <w:strike w:val="0"/>
          <w:dstrike w:val="0"/>
          <w:color w:val="auto"/>
          <w:sz w:val="21"/>
          <w:szCs w:val="21"/>
          <w:highlight w:val="none"/>
        </w:rPr>
        <w:instrText xml:space="preserve"> QUOTE </w:instrText>
      </w:r>
      <w:r>
        <w:rPr>
          <w:rFonts w:hint="eastAsia" w:ascii="宋体" w:hAnsi="宋体" w:eastAsia="宋体" w:cs="宋体"/>
          <w:strike w:val="0"/>
          <w:dstrike w:val="0"/>
          <w:color w:val="auto"/>
          <w:position w:val="-23"/>
          <w:sz w:val="21"/>
          <w:szCs w:val="21"/>
          <w:highlight w:val="none"/>
        </w:rPr>
        <w:drawing>
          <wp:inline distT="0" distB="0" distL="114300" distR="114300">
            <wp:extent cx="323850" cy="400050"/>
            <wp:effectExtent l="0" t="0" r="0" b="0"/>
            <wp:docPr id="5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9"/>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strike w:val="0"/>
          <w:dstrike w:val="0"/>
          <w:color w:val="auto"/>
          <w:sz w:val="21"/>
          <w:szCs w:val="21"/>
          <w:highlight w:val="none"/>
        </w:rPr>
        <w:fldChar w:fldCharType="separate"/>
      </w:r>
      <w:r>
        <w:rPr>
          <w:rFonts w:hint="eastAsia" w:ascii="宋体" w:hAnsi="宋体" w:eastAsia="宋体" w:cs="宋体"/>
          <w:strike w:val="0"/>
          <w:dstrike w:val="0"/>
          <w:color w:val="auto"/>
          <w:position w:val="-23"/>
          <w:sz w:val="21"/>
          <w:szCs w:val="21"/>
          <w:highlight w:val="none"/>
        </w:rPr>
        <w:drawing>
          <wp:inline distT="0" distB="0" distL="114300" distR="114300">
            <wp:extent cx="323850" cy="400050"/>
            <wp:effectExtent l="0" t="0" r="0" b="0"/>
            <wp:docPr id="5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0"/>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strike w:val="0"/>
          <w:dstrike w:val="0"/>
          <w:color w:val="auto"/>
          <w:sz w:val="21"/>
          <w:szCs w:val="21"/>
          <w:highlight w:val="none"/>
        </w:rPr>
        <w:fldChar w:fldCharType="end"/>
      </w:r>
      <w:r>
        <w:rPr>
          <w:rFonts w:hint="eastAsia" w:ascii="宋体" w:hAnsi="宋体" w:eastAsia="宋体" w:cs="宋体"/>
          <w:strike w:val="0"/>
          <w:dstrike w:val="0"/>
          <w:color w:val="auto"/>
          <w:sz w:val="21"/>
          <w:szCs w:val="21"/>
          <w:highlight w:val="none"/>
        </w:rPr>
        <w:t>），以此类推，最后一名投标人的权重为（</w:t>
      </w:r>
      <w:r>
        <w:rPr>
          <w:rFonts w:hint="eastAsia" w:ascii="宋体" w:hAnsi="宋体" w:eastAsia="宋体" w:cs="宋体"/>
          <w:strike w:val="0"/>
          <w:dstrike w:val="0"/>
          <w:color w:val="auto"/>
          <w:sz w:val="21"/>
          <w:szCs w:val="21"/>
          <w:highlight w:val="none"/>
        </w:rPr>
        <w:fldChar w:fldCharType="begin"/>
      </w:r>
      <w:r>
        <w:rPr>
          <w:rFonts w:hint="eastAsia" w:ascii="宋体" w:hAnsi="宋体" w:eastAsia="宋体" w:cs="宋体"/>
          <w:strike w:val="0"/>
          <w:dstrike w:val="0"/>
          <w:color w:val="auto"/>
          <w:sz w:val="21"/>
          <w:szCs w:val="21"/>
          <w:highlight w:val="none"/>
        </w:rPr>
        <w:instrText xml:space="preserve"> QUOTE </w:instrText>
      </w:r>
      <w:r>
        <w:rPr>
          <w:rFonts w:hint="eastAsia" w:ascii="宋体" w:hAnsi="宋体" w:eastAsia="宋体" w:cs="宋体"/>
          <w:strike w:val="0"/>
          <w:dstrike w:val="0"/>
          <w:color w:val="auto"/>
          <w:position w:val="-23"/>
          <w:sz w:val="21"/>
          <w:szCs w:val="21"/>
          <w:highlight w:val="none"/>
        </w:rPr>
        <w:drawing>
          <wp:inline distT="0" distB="0" distL="114300" distR="114300">
            <wp:extent cx="323850" cy="400050"/>
            <wp:effectExtent l="0" t="0" r="0" b="0"/>
            <wp:docPr id="4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1"/>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strike w:val="0"/>
          <w:dstrike w:val="0"/>
          <w:color w:val="auto"/>
          <w:sz w:val="21"/>
          <w:szCs w:val="21"/>
          <w:highlight w:val="none"/>
        </w:rPr>
        <w:fldChar w:fldCharType="separate"/>
      </w:r>
      <w:r>
        <w:rPr>
          <w:rFonts w:hint="eastAsia" w:ascii="宋体" w:hAnsi="宋体" w:eastAsia="宋体" w:cs="宋体"/>
          <w:strike w:val="0"/>
          <w:dstrike w:val="0"/>
          <w:color w:val="auto"/>
          <w:position w:val="-23"/>
          <w:sz w:val="21"/>
          <w:szCs w:val="21"/>
          <w:highlight w:val="none"/>
        </w:rPr>
        <w:drawing>
          <wp:inline distT="0" distB="0" distL="114300" distR="114300">
            <wp:extent cx="323850" cy="400050"/>
            <wp:effectExtent l="0" t="0" r="0" b="0"/>
            <wp:docPr id="4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2"/>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strike w:val="0"/>
          <w:dstrike w:val="0"/>
          <w:color w:val="auto"/>
          <w:sz w:val="21"/>
          <w:szCs w:val="21"/>
          <w:highlight w:val="none"/>
        </w:rPr>
        <w:fldChar w:fldCharType="end"/>
      </w:r>
      <w:r>
        <w:rPr>
          <w:rFonts w:hint="eastAsia" w:ascii="宋体" w:hAnsi="宋体" w:eastAsia="宋体" w:cs="宋体"/>
          <w:strike w:val="0"/>
          <w:dstrike w:val="0"/>
          <w:color w:val="auto"/>
          <w:sz w:val="21"/>
          <w:szCs w:val="21"/>
          <w:highlight w:val="none"/>
        </w:rPr>
        <w:t>）。</w:t>
      </w:r>
      <w:r>
        <w:rPr>
          <w:rFonts w:hint="eastAsia" w:ascii="宋体" w:hAnsi="宋体" w:cs="宋体"/>
          <w:strike w:val="0"/>
          <w:dstrike w:val="0"/>
          <w:color w:val="auto"/>
          <w:sz w:val="21"/>
          <w:szCs w:val="21"/>
          <w:highlight w:val="none"/>
          <w:u w:val="single"/>
          <w:lang w:eastAsia="zh-CN"/>
        </w:rPr>
        <w:t>如技术标得分前</w:t>
      </w:r>
      <w:r>
        <w:rPr>
          <w:rFonts w:hint="eastAsia" w:ascii="宋体" w:hAnsi="宋体" w:cs="宋体"/>
          <w:strike w:val="0"/>
          <w:dstrike w:val="0"/>
          <w:color w:val="auto"/>
          <w:sz w:val="21"/>
          <w:szCs w:val="21"/>
          <w:highlight w:val="none"/>
          <w:u w:val="single"/>
          <w:lang w:val="en-US" w:eastAsia="zh-CN"/>
        </w:rPr>
        <w:t>5名的投标人中有相同技术得分的，则以投标报价低的排前，技术标得分与报价均相同的投标人，由评标委员会采用投票方式，确定投标人的排序。投票方式确定排序的具体操作步骤为：由评标委员会对出现该情况的投标人进行编号，然后通过投票方式依次确定投标人的排序。</w:t>
      </w:r>
    </w:p>
    <w:p>
      <w:pPr>
        <w:pBdr>
          <w:bottom w:val="single" w:color="auto" w:sz="6" w:space="1"/>
        </w:pBdr>
        <w:spacing w:line="360" w:lineRule="auto"/>
        <w:ind w:firstLine="0" w:firstLineChars="0"/>
        <w:rPr>
          <w:rFonts w:hint="eastAsia" w:ascii="宋体" w:hAnsi="宋体" w:eastAsia="宋体" w:cs="宋体"/>
          <w:color w:val="auto"/>
          <w:sz w:val="21"/>
          <w:szCs w:val="21"/>
          <w:highlight w:val="none"/>
        </w:rPr>
      </w:pP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kern w:val="0"/>
          <w:sz w:val="21"/>
          <w:szCs w:val="21"/>
          <w:highlight w:val="none"/>
        </w:rPr>
        <w:t>4</w:t>
      </w: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kern w:val="0"/>
          <w:sz w:val="21"/>
          <w:szCs w:val="21"/>
          <w:highlight w:val="none"/>
        </w:rPr>
        <w:t>4</w:t>
      </w: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当标价等于评标参考价时得100分，标价每高于评标参考价1%，扣</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分，每低于评标参考价1%，扣</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分，扣至0分为止，得出经济分，精确到小数点后两位。</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4</w:t>
      </w:r>
      <w:r>
        <w:rPr>
          <w:rFonts w:hint="eastAsia"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.4计算通过技术标有效性审查的投标人总得分。</w:t>
      </w:r>
      <w:r>
        <w:rPr>
          <w:rFonts w:hint="eastAsia" w:ascii="宋体" w:hAnsi="宋体" w:eastAsia="宋体" w:cs="宋体"/>
          <w:color w:val="auto"/>
          <w:sz w:val="21"/>
          <w:szCs w:val="21"/>
          <w:highlight w:val="none"/>
          <w:u w:val="single"/>
        </w:rPr>
        <w:t>投标人总得分=技术得分</w:t>
      </w:r>
      <w:r>
        <w:rPr>
          <w:rFonts w:hint="eastAsia" w:ascii="宋体" w:hAnsi="宋体" w:eastAsia="宋体" w:cs="宋体"/>
          <w:color w:val="auto"/>
          <w:sz w:val="21"/>
          <w:szCs w:val="21"/>
          <w:highlight w:val="none"/>
          <w:u w:val="single"/>
          <w:lang w:eastAsia="zh-CN"/>
        </w:rPr>
        <w:t>（满分</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lang w:val="en-US" w:eastAsia="zh-CN"/>
        </w:rPr>
        <w:t>分</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＋经济得分</w:t>
      </w:r>
      <w:r>
        <w:rPr>
          <w:rFonts w:hint="eastAsia" w:ascii="宋体" w:hAnsi="宋体" w:eastAsia="宋体" w:cs="宋体"/>
          <w:color w:val="auto"/>
          <w:sz w:val="21"/>
          <w:szCs w:val="21"/>
          <w:highlight w:val="none"/>
          <w:u w:val="single"/>
          <w:lang w:eastAsia="zh-CN"/>
        </w:rPr>
        <w:t>（满分</w:t>
      </w:r>
      <w:r>
        <w:rPr>
          <w:rFonts w:hint="eastAsia" w:ascii="宋体" w:hAnsi="宋体" w:eastAsia="宋体" w:cs="宋体"/>
          <w:color w:val="auto"/>
          <w:sz w:val="21"/>
          <w:szCs w:val="21"/>
          <w:highlight w:val="none"/>
          <w:u w:val="single"/>
          <w:lang w:val="en-US" w:eastAsia="zh-CN"/>
        </w:rPr>
        <w:t>100分</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cs="宋体"/>
          <w:color w:val="auto"/>
          <w:spacing w:val="2"/>
          <w:szCs w:val="21"/>
          <w:highlight w:val="none"/>
          <w:u w:val="single"/>
        </w:rPr>
        <w:t>经济得分权重</w:t>
      </w:r>
      <w:r>
        <w:rPr>
          <w:rFonts w:hint="eastAsia" w:ascii="宋体" w:hAnsi="宋体" w:cs="宋体"/>
          <w:color w:val="auto"/>
          <w:spacing w:val="2"/>
          <w:szCs w:val="21"/>
          <w:highlight w:val="none"/>
          <w:u w:val="single"/>
          <w:lang w:eastAsia="zh-CN"/>
        </w:rPr>
        <w:t>（</w:t>
      </w:r>
      <w:r>
        <w:rPr>
          <w:rFonts w:hint="eastAsia" w:ascii="宋体" w:hAnsi="宋体" w:eastAsia="宋体" w:cs="宋体"/>
          <w:color w:val="auto"/>
          <w:sz w:val="21"/>
          <w:szCs w:val="21"/>
          <w:highlight w:val="none"/>
          <w:u w:val="single"/>
          <w:lang w:val="en-US" w:eastAsia="zh-CN"/>
        </w:rPr>
        <w:t>80%</w:t>
      </w:r>
      <w:r>
        <w:rPr>
          <w:rFonts w:hint="eastAsia" w:cs="宋体"/>
          <w:color w:val="auto"/>
          <w:sz w:val="21"/>
          <w:szCs w:val="21"/>
          <w:highlight w:val="none"/>
          <w:u w:val="singl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技术、经济得分权重按投标须知前附表的规定执行。总得分四舍五入保留两位小数。总得分相同的投标文件，以技术分较高的排前；总得分及技术分均相同的，以经济分较高的排前；总得分、技术分及经济分均相同的，以报价较低的排前；如仍存在相同情况，则对具有相同情况的投标人，由评标委员会采用记名投票方式，以得票多的排前</w:t>
      </w:r>
      <w:r>
        <w:rPr>
          <w:rFonts w:hint="eastAsia" w:ascii="宋体" w:hAnsi="宋体" w:eastAsia="宋体" w:cs="宋体"/>
          <w:color w:val="auto"/>
          <w:sz w:val="21"/>
          <w:szCs w:val="21"/>
          <w:highlight w:val="none"/>
          <w:u w:val="single"/>
        </w:rPr>
        <w:t>。</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cs="宋体"/>
          <w:b/>
          <w:color w:val="auto"/>
          <w:sz w:val="21"/>
          <w:szCs w:val="21"/>
          <w:highlight w:val="none"/>
          <w:lang w:val="en-US" w:eastAsia="zh-CN"/>
        </w:rPr>
        <w:t>47</w:t>
      </w:r>
      <w:r>
        <w:rPr>
          <w:rFonts w:hint="eastAsia" w:ascii="宋体" w:hAnsi="宋体" w:eastAsia="宋体" w:cs="宋体"/>
          <w:b/>
          <w:color w:val="auto"/>
          <w:sz w:val="21"/>
          <w:szCs w:val="21"/>
          <w:highlight w:val="none"/>
        </w:rPr>
        <w:t xml:space="preserve">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cs="宋体"/>
          <w:color w:val="auto"/>
          <w:sz w:val="21"/>
          <w:szCs w:val="21"/>
          <w:highlight w:val="none"/>
          <w:lang w:val="en-US" w:eastAsia="zh-CN"/>
        </w:rPr>
        <w:t>47</w:t>
      </w:r>
      <w:r>
        <w:rPr>
          <w:rFonts w:hint="eastAsia" w:ascii="宋体" w:hAnsi="宋体" w:eastAsia="宋体" w:cs="宋体"/>
          <w:color w:val="auto"/>
          <w:sz w:val="21"/>
          <w:szCs w:val="21"/>
          <w:highlight w:val="none"/>
        </w:rPr>
        <w:t>.若通过经济标有效性审查的投标人不足三家，应当依法重新招标。（当N个标段同时招标且不允许兼中时，若有效投标人不足N+2家，应当依法重新招标）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527" w:firstLineChars="250"/>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现文：</w:t>
      </w:r>
      <w:r>
        <w:rPr>
          <w:rFonts w:hint="eastAsia" w:cs="宋体"/>
          <w:color w:val="auto"/>
          <w:sz w:val="21"/>
          <w:szCs w:val="21"/>
          <w:highlight w:val="none"/>
          <w:u w:val="none"/>
          <w:lang w:val="en-US" w:eastAsia="zh-CN"/>
        </w:rPr>
        <w:t>47</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rPr>
        <w:t>若通过经济标有效性审查的投标人不足三家，应当依法重新招标。</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条款号：附表一《资格审查表》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详见《广州市建设工程施工公开招标项目招标文件范本GZZB2018-3》</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详见附表一《资格审查表》</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条款号：附表二《技术标有效性审查表》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详见《广州市建设工程施工公开招标项目招标文件范本GZZB2018-3》</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详见附表二《技术标有效性审查表》</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条款号：附表三《经济标有效性审查表》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详见《广州市建设工程施工公开招标项目招标文件范本GZZB2018-3》</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详见附表三《经济标有效性审查表》</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条款号：附表四《技术标详细审查评分表》             修改类型：修改</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详见《广州市建设工程施工公开招标项目招标文件范本GZZB2018-3》</w:t>
      </w:r>
    </w:p>
    <w:p>
      <w:pPr>
        <w:pBdr>
          <w:bottom w:val="single" w:color="auto" w:sz="6" w:space="1"/>
        </w:pBdr>
        <w:spacing w:line="360" w:lineRule="auto"/>
        <w:ind w:firstLine="527"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详见附表四《技术标详细审查评分表》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注：以上修改，仅限于本范本中有可供选择条款的情形。</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pPr>
      <w:r>
        <w:rPr>
          <w:rFonts w:hint="eastAsia" w:ascii="宋体" w:hAnsi="宋体" w:eastAsia="宋体" w:cs="宋体"/>
          <w:b/>
          <w:color w:val="auto"/>
          <w:spacing w:val="-8"/>
          <w:sz w:val="21"/>
          <w:szCs w:val="21"/>
          <w:highlight w:val="none"/>
        </w:rPr>
        <w:t>（以下无正文）</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0" w:firstLineChars="200"/>
        <w:jc w:val="both"/>
        <w:textAlignment w:val="auto"/>
        <w:rPr>
          <w:rFonts w:hint="eastAsia" w:ascii="宋体" w:hAnsi="宋体" w:eastAsia="宋体" w:cs="宋体"/>
          <w:b/>
          <w:color w:val="auto"/>
          <w:spacing w:val="-8"/>
          <w:sz w:val="21"/>
          <w:szCs w:val="21"/>
          <w:highlight w:val="none"/>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numPr>
          <w:ilvl w:val="0"/>
          <w:numId w:val="0"/>
        </w:numPr>
        <w:tabs>
          <w:tab w:val="left" w:pos="4090"/>
        </w:tabs>
        <w:kinsoku/>
        <w:wordWrap/>
        <w:overflowPunct/>
        <w:topLinePunct w:val="0"/>
        <w:autoSpaceDE w:val="0"/>
        <w:autoSpaceDN w:val="0"/>
        <w:bidi w:val="0"/>
        <w:adjustRightInd/>
        <w:snapToGrid/>
        <w:spacing w:before="0" w:line="360" w:lineRule="auto"/>
        <w:ind w:left="0" w:leftChars="0" w:right="0" w:rightChars="0"/>
        <w:jc w:val="center"/>
        <w:textAlignment w:val="auto"/>
        <w:outlineLvl w:val="1"/>
        <w:rPr>
          <w:b/>
          <w:color w:val="auto"/>
          <w:sz w:val="28"/>
          <w:szCs w:val="28"/>
          <w:highlight w:val="none"/>
        </w:rPr>
      </w:pPr>
      <w:bookmarkStart w:id="19" w:name="_Toc24319"/>
      <w:r>
        <w:rPr>
          <w:b/>
          <w:color w:val="auto"/>
          <w:sz w:val="28"/>
          <w:szCs w:val="28"/>
          <w:highlight w:val="none"/>
        </w:rPr>
        <w:t>二、开标、评标及定标办法通用条款</w:t>
      </w:r>
      <w:bookmarkEnd w:id="19"/>
    </w:p>
    <w:p>
      <w:pPr>
        <w:pStyle w:val="13"/>
        <w:keepNext w:val="0"/>
        <w:keepLines w:val="0"/>
        <w:pageBreakBefore w:val="0"/>
        <w:widowControl w:val="0"/>
        <w:kinsoku/>
        <w:wordWrap/>
        <w:overflowPunct/>
        <w:topLinePunct w:val="0"/>
        <w:bidi w:val="0"/>
        <w:adjustRightInd/>
        <w:spacing w:before="12" w:line="360" w:lineRule="auto"/>
        <w:ind w:left="0"/>
        <w:textAlignment w:val="auto"/>
        <w:rPr>
          <w:b/>
          <w:color w:val="auto"/>
          <w:sz w:val="16"/>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outlineLvl w:val="2"/>
        <w:rPr>
          <w:rFonts w:hint="eastAsia"/>
          <w:b/>
          <w:bCs/>
          <w:color w:val="auto"/>
          <w:sz w:val="28"/>
          <w:szCs w:val="28"/>
          <w:highlight w:val="none"/>
          <w:lang w:eastAsia="zh-CN"/>
        </w:rPr>
      </w:pPr>
      <w:bookmarkStart w:id="20" w:name="_Toc9228"/>
      <w:r>
        <w:rPr>
          <w:b/>
          <w:bCs/>
          <w:color w:val="auto"/>
          <w:sz w:val="28"/>
          <w:szCs w:val="28"/>
          <w:highlight w:val="none"/>
        </w:rPr>
        <w:t>（一）总则</w:t>
      </w:r>
      <w:bookmarkEnd w:id="20"/>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33.开标、评标及定标所依据的规则</w:t>
      </w:r>
    </w:p>
    <w:p>
      <w:pPr>
        <w:pStyle w:val="26"/>
        <w:keepNext w:val="0"/>
        <w:keepLines w:val="0"/>
        <w:pageBreakBefore w:val="0"/>
        <w:widowControl w:val="0"/>
        <w:numPr>
          <w:ilvl w:val="0"/>
          <w:numId w:val="0"/>
        </w:numPr>
        <w:tabs>
          <w:tab w:val="left" w:pos="1360"/>
        </w:tabs>
        <w:kinsoku/>
        <w:wordWrap/>
        <w:overflowPunct/>
        <w:topLinePunct w:val="0"/>
        <w:autoSpaceDE w:val="0"/>
        <w:autoSpaceDN w:val="0"/>
        <w:bidi w:val="0"/>
        <w:adjustRightInd/>
        <w:snapToGrid/>
        <w:spacing w:before="0" w:after="0" w:line="360" w:lineRule="auto"/>
        <w:ind w:leftChars="0" w:right="0" w:rightChars="0" w:firstLine="444" w:firstLineChars="200"/>
        <w:jc w:val="left"/>
        <w:textAlignment w:val="auto"/>
        <w:rPr>
          <w:color w:val="auto"/>
          <w:sz w:val="24"/>
          <w:szCs w:val="24"/>
          <w:highlight w:val="none"/>
        </w:rPr>
      </w:pPr>
      <w:r>
        <w:rPr>
          <w:rFonts w:hint="eastAsia"/>
          <w:color w:val="auto"/>
          <w:spacing w:val="-9"/>
          <w:sz w:val="24"/>
          <w:szCs w:val="24"/>
          <w:highlight w:val="none"/>
          <w:lang w:val="en-US" w:eastAsia="zh-CN"/>
        </w:rPr>
        <w:t xml:space="preserve">33.1 </w:t>
      </w:r>
      <w:r>
        <w:rPr>
          <w:color w:val="auto"/>
          <w:spacing w:val="-9"/>
          <w:sz w:val="24"/>
          <w:szCs w:val="24"/>
          <w:highlight w:val="none"/>
        </w:rPr>
        <w:t>《中华人民共和国招标投标法》；</w:t>
      </w:r>
    </w:p>
    <w:p>
      <w:pPr>
        <w:pStyle w:val="26"/>
        <w:keepNext w:val="0"/>
        <w:keepLines w:val="0"/>
        <w:pageBreakBefore w:val="0"/>
        <w:widowControl w:val="0"/>
        <w:numPr>
          <w:ilvl w:val="0"/>
          <w:numId w:val="0"/>
        </w:numPr>
        <w:tabs>
          <w:tab w:val="left" w:pos="1360"/>
        </w:tabs>
        <w:kinsoku/>
        <w:wordWrap/>
        <w:overflowPunct/>
        <w:topLinePunct w:val="0"/>
        <w:autoSpaceDE w:val="0"/>
        <w:autoSpaceDN w:val="0"/>
        <w:bidi w:val="0"/>
        <w:adjustRightInd/>
        <w:snapToGrid/>
        <w:spacing w:before="0" w:after="0" w:line="360" w:lineRule="auto"/>
        <w:ind w:leftChars="0" w:right="0" w:rightChars="0" w:firstLine="452" w:firstLineChars="200"/>
        <w:jc w:val="left"/>
        <w:textAlignment w:val="auto"/>
        <w:rPr>
          <w:color w:val="auto"/>
          <w:sz w:val="24"/>
          <w:szCs w:val="24"/>
          <w:highlight w:val="none"/>
        </w:rPr>
      </w:pPr>
      <w:r>
        <w:rPr>
          <w:rFonts w:hint="eastAsia"/>
          <w:color w:val="auto"/>
          <w:spacing w:val="-7"/>
          <w:sz w:val="24"/>
          <w:szCs w:val="24"/>
          <w:highlight w:val="none"/>
          <w:lang w:val="en-US" w:eastAsia="zh-CN"/>
        </w:rPr>
        <w:t xml:space="preserve">33.2 </w:t>
      </w:r>
      <w:r>
        <w:rPr>
          <w:color w:val="auto"/>
          <w:spacing w:val="-7"/>
          <w:sz w:val="24"/>
          <w:szCs w:val="24"/>
          <w:highlight w:val="none"/>
        </w:rPr>
        <w:t>《中华人民共和国招标投标法实施条例》；</w:t>
      </w:r>
    </w:p>
    <w:p>
      <w:pPr>
        <w:pStyle w:val="26"/>
        <w:keepNext w:val="0"/>
        <w:keepLines w:val="0"/>
        <w:pageBreakBefore w:val="0"/>
        <w:widowControl w:val="0"/>
        <w:numPr>
          <w:ilvl w:val="0"/>
          <w:numId w:val="0"/>
        </w:numPr>
        <w:tabs>
          <w:tab w:val="left" w:pos="1360"/>
        </w:tabs>
        <w:kinsoku/>
        <w:wordWrap/>
        <w:overflowPunct/>
        <w:topLinePunct w:val="0"/>
        <w:autoSpaceDE w:val="0"/>
        <w:autoSpaceDN w:val="0"/>
        <w:bidi w:val="0"/>
        <w:adjustRightInd/>
        <w:snapToGrid/>
        <w:spacing w:before="0" w:after="0" w:line="360" w:lineRule="auto"/>
        <w:ind w:leftChars="0" w:right="0" w:rightChars="0" w:firstLine="448" w:firstLineChars="200"/>
        <w:jc w:val="left"/>
        <w:textAlignment w:val="auto"/>
        <w:rPr>
          <w:color w:val="auto"/>
          <w:sz w:val="24"/>
          <w:szCs w:val="24"/>
          <w:highlight w:val="none"/>
        </w:rPr>
      </w:pPr>
      <w:r>
        <w:rPr>
          <w:rFonts w:hint="eastAsia"/>
          <w:color w:val="auto"/>
          <w:spacing w:val="-8"/>
          <w:sz w:val="24"/>
          <w:szCs w:val="24"/>
          <w:highlight w:val="none"/>
          <w:lang w:val="en-US" w:eastAsia="zh-CN"/>
        </w:rPr>
        <w:t xml:space="preserve">33.3 </w:t>
      </w:r>
      <w:r>
        <w:rPr>
          <w:color w:val="auto"/>
          <w:spacing w:val="-8"/>
          <w:sz w:val="24"/>
          <w:szCs w:val="24"/>
          <w:highlight w:val="none"/>
        </w:rPr>
        <w:t>《评标委员会和评标方法暂行规定》</w:t>
      </w:r>
      <w:r>
        <w:rPr>
          <w:color w:val="auto"/>
          <w:sz w:val="24"/>
          <w:szCs w:val="24"/>
          <w:highlight w:val="none"/>
        </w:rPr>
        <w:t>（</w:t>
      </w:r>
      <w:r>
        <w:rPr>
          <w:color w:val="auto"/>
          <w:spacing w:val="-12"/>
          <w:sz w:val="24"/>
          <w:szCs w:val="24"/>
          <w:highlight w:val="none"/>
        </w:rPr>
        <w:t>七部委第</w:t>
      </w:r>
      <w:r>
        <w:rPr>
          <w:color w:val="auto"/>
          <w:sz w:val="24"/>
          <w:szCs w:val="24"/>
          <w:highlight w:val="none"/>
        </w:rPr>
        <w:t>12</w:t>
      </w:r>
      <w:r>
        <w:rPr>
          <w:color w:val="auto"/>
          <w:spacing w:val="-20"/>
          <w:sz w:val="24"/>
          <w:szCs w:val="24"/>
          <w:highlight w:val="none"/>
        </w:rPr>
        <w:t>号令</w:t>
      </w:r>
      <w:r>
        <w:rPr>
          <w:color w:val="auto"/>
          <w:sz w:val="24"/>
          <w:szCs w:val="24"/>
          <w:highlight w:val="none"/>
        </w:rPr>
        <w:t>）</w:t>
      </w:r>
    </w:p>
    <w:p>
      <w:pPr>
        <w:pStyle w:val="26"/>
        <w:keepNext w:val="0"/>
        <w:keepLines w:val="0"/>
        <w:pageBreakBefore w:val="0"/>
        <w:widowControl w:val="0"/>
        <w:numPr>
          <w:ilvl w:val="0"/>
          <w:numId w:val="0"/>
        </w:numPr>
        <w:tabs>
          <w:tab w:val="left" w:pos="1360"/>
        </w:tabs>
        <w:kinsoku/>
        <w:wordWrap/>
        <w:overflowPunct/>
        <w:topLinePunct w:val="0"/>
        <w:autoSpaceDE w:val="0"/>
        <w:autoSpaceDN w:val="0"/>
        <w:bidi w:val="0"/>
        <w:adjustRightInd/>
        <w:snapToGrid/>
        <w:spacing w:before="0" w:after="0" w:line="360" w:lineRule="auto"/>
        <w:ind w:leftChars="0" w:right="0" w:rightChars="0" w:firstLine="448" w:firstLineChars="200"/>
        <w:jc w:val="left"/>
        <w:textAlignment w:val="auto"/>
        <w:rPr>
          <w:color w:val="auto"/>
          <w:sz w:val="24"/>
          <w:szCs w:val="24"/>
          <w:highlight w:val="none"/>
        </w:rPr>
      </w:pPr>
      <w:r>
        <w:rPr>
          <w:rFonts w:hint="eastAsia"/>
          <w:color w:val="auto"/>
          <w:spacing w:val="-8"/>
          <w:sz w:val="24"/>
          <w:szCs w:val="24"/>
          <w:highlight w:val="none"/>
          <w:lang w:val="en-US" w:eastAsia="zh-CN"/>
        </w:rPr>
        <w:t xml:space="preserve">33.4 </w:t>
      </w:r>
      <w:r>
        <w:rPr>
          <w:color w:val="auto"/>
          <w:spacing w:val="-8"/>
          <w:sz w:val="24"/>
          <w:szCs w:val="24"/>
          <w:highlight w:val="none"/>
        </w:rPr>
        <w:t>《工程建设项目施工招标投标办法》</w:t>
      </w:r>
      <w:r>
        <w:rPr>
          <w:color w:val="auto"/>
          <w:sz w:val="24"/>
          <w:szCs w:val="24"/>
          <w:highlight w:val="none"/>
        </w:rPr>
        <w:t>（</w:t>
      </w:r>
      <w:r>
        <w:rPr>
          <w:color w:val="auto"/>
          <w:spacing w:val="-15"/>
          <w:sz w:val="24"/>
          <w:szCs w:val="24"/>
          <w:highlight w:val="none"/>
        </w:rPr>
        <w:t>七部委</w:t>
      </w:r>
      <w:r>
        <w:rPr>
          <w:color w:val="auto"/>
          <w:sz w:val="24"/>
          <w:szCs w:val="24"/>
          <w:highlight w:val="none"/>
        </w:rPr>
        <w:t>2003</w:t>
      </w:r>
      <w:r>
        <w:rPr>
          <w:color w:val="auto"/>
          <w:spacing w:val="-30"/>
          <w:sz w:val="24"/>
          <w:szCs w:val="24"/>
          <w:highlight w:val="none"/>
        </w:rPr>
        <w:t>年第</w:t>
      </w:r>
      <w:r>
        <w:rPr>
          <w:color w:val="auto"/>
          <w:sz w:val="24"/>
          <w:szCs w:val="24"/>
          <w:highlight w:val="none"/>
        </w:rPr>
        <w:t>30</w:t>
      </w:r>
      <w:r>
        <w:rPr>
          <w:color w:val="auto"/>
          <w:spacing w:val="-20"/>
          <w:sz w:val="24"/>
          <w:szCs w:val="24"/>
          <w:highlight w:val="none"/>
        </w:rPr>
        <w:t>号令</w:t>
      </w:r>
      <w:r>
        <w:rPr>
          <w:color w:val="auto"/>
          <w:sz w:val="24"/>
          <w:szCs w:val="24"/>
          <w:highlight w:val="none"/>
        </w:rPr>
        <w:t>）</w:t>
      </w:r>
    </w:p>
    <w:p>
      <w:pPr>
        <w:pStyle w:val="26"/>
        <w:keepNext w:val="0"/>
        <w:keepLines w:val="0"/>
        <w:pageBreakBefore w:val="0"/>
        <w:widowControl w:val="0"/>
        <w:numPr>
          <w:ilvl w:val="0"/>
          <w:numId w:val="0"/>
        </w:numPr>
        <w:tabs>
          <w:tab w:val="left" w:pos="1360"/>
        </w:tabs>
        <w:kinsoku/>
        <w:wordWrap/>
        <w:overflowPunct/>
        <w:topLinePunct w:val="0"/>
        <w:autoSpaceDE w:val="0"/>
        <w:autoSpaceDN w:val="0"/>
        <w:bidi w:val="0"/>
        <w:adjustRightInd/>
        <w:snapToGrid/>
        <w:spacing w:before="0" w:after="0" w:line="360" w:lineRule="auto"/>
        <w:ind w:leftChars="0" w:right="0" w:rightChars="0" w:firstLine="456" w:firstLineChars="200"/>
        <w:jc w:val="left"/>
        <w:textAlignment w:val="auto"/>
        <w:rPr>
          <w:color w:val="auto"/>
          <w:sz w:val="24"/>
          <w:szCs w:val="24"/>
          <w:highlight w:val="none"/>
        </w:rPr>
      </w:pPr>
      <w:r>
        <w:rPr>
          <w:rFonts w:hint="eastAsia"/>
          <w:color w:val="auto"/>
          <w:spacing w:val="-6"/>
          <w:sz w:val="24"/>
          <w:szCs w:val="24"/>
          <w:highlight w:val="none"/>
          <w:lang w:val="en-US" w:eastAsia="zh-CN"/>
        </w:rPr>
        <w:t xml:space="preserve">33.5 </w:t>
      </w:r>
      <w:r>
        <w:rPr>
          <w:color w:val="auto"/>
          <w:spacing w:val="-6"/>
          <w:sz w:val="24"/>
          <w:szCs w:val="24"/>
          <w:highlight w:val="none"/>
        </w:rPr>
        <w:t>《广东省实施〈中华人民共和国招标投标法〉办法》；</w:t>
      </w:r>
    </w:p>
    <w:p>
      <w:pPr>
        <w:pStyle w:val="26"/>
        <w:keepNext w:val="0"/>
        <w:keepLines w:val="0"/>
        <w:pageBreakBefore w:val="0"/>
        <w:widowControl w:val="0"/>
        <w:numPr>
          <w:ilvl w:val="0"/>
          <w:numId w:val="0"/>
        </w:numPr>
        <w:tabs>
          <w:tab w:val="left" w:pos="1360"/>
        </w:tabs>
        <w:kinsoku/>
        <w:wordWrap/>
        <w:overflowPunct/>
        <w:topLinePunct w:val="0"/>
        <w:autoSpaceDE w:val="0"/>
        <w:autoSpaceDN w:val="0"/>
        <w:bidi w:val="0"/>
        <w:adjustRightInd/>
        <w:snapToGrid/>
        <w:spacing w:before="0" w:after="0" w:line="360" w:lineRule="auto"/>
        <w:ind w:leftChars="0" w:right="0" w:rightChars="0" w:firstLine="460" w:firstLineChars="200"/>
        <w:jc w:val="left"/>
        <w:textAlignment w:val="auto"/>
        <w:rPr>
          <w:color w:val="auto"/>
          <w:sz w:val="24"/>
          <w:szCs w:val="24"/>
          <w:highlight w:val="none"/>
        </w:rPr>
      </w:pPr>
      <w:r>
        <w:rPr>
          <w:rFonts w:hint="eastAsia"/>
          <w:color w:val="auto"/>
          <w:spacing w:val="-5"/>
          <w:sz w:val="24"/>
          <w:szCs w:val="24"/>
          <w:highlight w:val="none"/>
          <w:lang w:val="en-US" w:eastAsia="zh-CN"/>
        </w:rPr>
        <w:t xml:space="preserve">33.6 </w:t>
      </w:r>
      <w:r>
        <w:rPr>
          <w:color w:val="auto"/>
          <w:spacing w:val="-5"/>
          <w:sz w:val="24"/>
          <w:szCs w:val="24"/>
          <w:highlight w:val="none"/>
        </w:rPr>
        <w:t>《房屋建筑和市政基础设施工程施工招标投标管理办法》</w:t>
      </w:r>
      <w:r>
        <w:rPr>
          <w:color w:val="auto"/>
          <w:sz w:val="24"/>
          <w:szCs w:val="24"/>
          <w:highlight w:val="none"/>
        </w:rPr>
        <w:t>（</w:t>
      </w:r>
      <w:r>
        <w:rPr>
          <w:color w:val="auto"/>
          <w:spacing w:val="-4"/>
          <w:sz w:val="24"/>
          <w:szCs w:val="24"/>
          <w:highlight w:val="none"/>
        </w:rPr>
        <w:t>建设部令第</w:t>
      </w:r>
      <w:r>
        <w:rPr>
          <w:color w:val="auto"/>
          <w:sz w:val="24"/>
          <w:szCs w:val="24"/>
          <w:highlight w:val="none"/>
        </w:rPr>
        <w:t>89</w:t>
      </w:r>
      <w:r>
        <w:rPr>
          <w:color w:val="auto"/>
          <w:spacing w:val="-12"/>
          <w:sz w:val="24"/>
          <w:szCs w:val="24"/>
          <w:highlight w:val="none"/>
        </w:rPr>
        <w:t>号</w:t>
      </w:r>
      <w:r>
        <w:rPr>
          <w:color w:val="auto"/>
          <w:spacing w:val="-123"/>
          <w:sz w:val="24"/>
          <w:szCs w:val="24"/>
          <w:highlight w:val="none"/>
        </w:rPr>
        <w:t>）</w:t>
      </w:r>
    </w:p>
    <w:p>
      <w:pPr>
        <w:pStyle w:val="26"/>
        <w:keepNext w:val="0"/>
        <w:keepLines w:val="0"/>
        <w:pageBreakBefore w:val="0"/>
        <w:widowControl w:val="0"/>
        <w:numPr>
          <w:ilvl w:val="0"/>
          <w:numId w:val="0"/>
        </w:numPr>
        <w:tabs>
          <w:tab w:val="left" w:pos="1360"/>
        </w:tabs>
        <w:kinsoku/>
        <w:wordWrap/>
        <w:overflowPunct/>
        <w:topLinePunct w:val="0"/>
        <w:autoSpaceDE w:val="0"/>
        <w:autoSpaceDN w:val="0"/>
        <w:bidi w:val="0"/>
        <w:adjustRightInd/>
        <w:snapToGrid/>
        <w:spacing w:before="0" w:after="0" w:line="360" w:lineRule="auto"/>
        <w:ind w:leftChars="0" w:right="0" w:rightChars="0" w:firstLine="460" w:firstLineChars="200"/>
        <w:jc w:val="left"/>
        <w:textAlignment w:val="auto"/>
        <w:rPr>
          <w:color w:val="auto"/>
          <w:sz w:val="24"/>
          <w:szCs w:val="24"/>
          <w:highlight w:val="none"/>
        </w:rPr>
      </w:pPr>
      <w:r>
        <w:rPr>
          <w:rFonts w:hint="eastAsia"/>
          <w:color w:val="auto"/>
          <w:spacing w:val="-5"/>
          <w:sz w:val="24"/>
          <w:szCs w:val="24"/>
          <w:highlight w:val="none"/>
          <w:lang w:val="en-US" w:eastAsia="zh-CN"/>
        </w:rPr>
        <w:t xml:space="preserve">33.7 </w:t>
      </w:r>
      <w:r>
        <w:rPr>
          <w:color w:val="auto"/>
          <w:spacing w:val="-5"/>
          <w:sz w:val="24"/>
          <w:szCs w:val="24"/>
          <w:highlight w:val="none"/>
        </w:rPr>
        <w:t>《广东省加强建设工程招标投标监督管理的若干规定》</w:t>
      </w:r>
      <w:r>
        <w:rPr>
          <w:color w:val="auto"/>
          <w:sz w:val="24"/>
          <w:szCs w:val="24"/>
          <w:highlight w:val="none"/>
        </w:rPr>
        <w:t>（粤发[2004]4</w:t>
      </w:r>
      <w:r>
        <w:rPr>
          <w:color w:val="auto"/>
          <w:spacing w:val="-30"/>
          <w:sz w:val="24"/>
          <w:szCs w:val="24"/>
          <w:highlight w:val="none"/>
        </w:rPr>
        <w:t>号</w:t>
      </w:r>
      <w:r>
        <w:rPr>
          <w:color w:val="auto"/>
          <w:spacing w:val="-120"/>
          <w:sz w:val="24"/>
          <w:szCs w:val="24"/>
          <w:highlight w:val="none"/>
        </w:rPr>
        <w:t>）</w:t>
      </w:r>
      <w:r>
        <w:rPr>
          <w:color w:val="auto"/>
          <w:sz w:val="24"/>
          <w:szCs w:val="24"/>
          <w:highlight w:val="none"/>
        </w:rPr>
        <w:t>；</w:t>
      </w:r>
    </w:p>
    <w:p>
      <w:pPr>
        <w:pStyle w:val="26"/>
        <w:keepNext w:val="0"/>
        <w:keepLines w:val="0"/>
        <w:pageBreakBefore w:val="0"/>
        <w:widowControl w:val="0"/>
        <w:numPr>
          <w:ilvl w:val="0"/>
          <w:numId w:val="0"/>
        </w:numPr>
        <w:tabs>
          <w:tab w:val="left" w:pos="1360"/>
        </w:tabs>
        <w:kinsoku/>
        <w:wordWrap/>
        <w:overflowPunct/>
        <w:topLinePunct w:val="0"/>
        <w:autoSpaceDE w:val="0"/>
        <w:autoSpaceDN w:val="0"/>
        <w:bidi w:val="0"/>
        <w:adjustRightInd/>
        <w:snapToGrid/>
        <w:spacing w:before="0" w:after="0" w:line="360" w:lineRule="auto"/>
        <w:ind w:leftChars="0" w:right="0" w:rightChars="0" w:firstLine="452" w:firstLineChars="200"/>
        <w:jc w:val="left"/>
        <w:textAlignment w:val="auto"/>
        <w:rPr>
          <w:color w:val="auto"/>
          <w:sz w:val="24"/>
          <w:szCs w:val="24"/>
          <w:highlight w:val="none"/>
        </w:rPr>
      </w:pPr>
      <w:r>
        <w:rPr>
          <w:rFonts w:hint="eastAsia"/>
          <w:color w:val="auto"/>
          <w:spacing w:val="-7"/>
          <w:sz w:val="24"/>
          <w:szCs w:val="24"/>
          <w:highlight w:val="none"/>
          <w:lang w:val="en-US" w:eastAsia="zh-CN"/>
        </w:rPr>
        <w:t xml:space="preserve">33.8 </w:t>
      </w:r>
      <w:r>
        <w:rPr>
          <w:color w:val="auto"/>
          <w:spacing w:val="-7"/>
          <w:sz w:val="24"/>
          <w:szCs w:val="24"/>
          <w:highlight w:val="none"/>
        </w:rPr>
        <w:t>《广州市工程建设项目招标投标管理办法》</w:t>
      </w:r>
      <w:r>
        <w:rPr>
          <w:color w:val="auto"/>
          <w:sz w:val="24"/>
          <w:szCs w:val="24"/>
          <w:highlight w:val="none"/>
        </w:rPr>
        <w:t>（穗府办规〔2017〕5</w:t>
      </w:r>
      <w:r>
        <w:rPr>
          <w:color w:val="auto"/>
          <w:spacing w:val="-30"/>
          <w:sz w:val="24"/>
          <w:szCs w:val="24"/>
          <w:highlight w:val="none"/>
        </w:rPr>
        <w:t>号</w:t>
      </w:r>
      <w:r>
        <w:rPr>
          <w:color w:val="auto"/>
          <w:spacing w:val="-120"/>
          <w:sz w:val="24"/>
          <w:szCs w:val="24"/>
          <w:highlight w:val="none"/>
        </w:rPr>
        <w:t>）</w:t>
      </w:r>
      <w:r>
        <w:rPr>
          <w:color w:val="auto"/>
          <w:sz w:val="24"/>
          <w:szCs w:val="24"/>
          <w:highlight w:val="none"/>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color w:val="auto"/>
          <w:sz w:val="24"/>
          <w:highlight w:val="none"/>
        </w:rPr>
      </w:pPr>
      <w:r>
        <w:rPr>
          <w:rFonts w:hint="eastAsia"/>
          <w:color w:val="auto"/>
          <w:sz w:val="24"/>
          <w:szCs w:val="24"/>
          <w:highlight w:val="none"/>
          <w:lang w:val="en-US" w:eastAsia="zh-CN"/>
        </w:rPr>
        <w:t xml:space="preserve">33.9 </w:t>
      </w:r>
      <w:r>
        <w:rPr>
          <w:color w:val="auto"/>
          <w:sz w:val="24"/>
          <w:szCs w:val="24"/>
          <w:highlight w:val="none"/>
        </w:rPr>
        <w:t>本项目招标文件。</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34．开标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34.1 招标人按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第18项所规定的时间和地点公开开标，并邀请所有投标人参加。截标后，开标开始时间因故推迟的，相关评标信息仍以原定的开标开始时间的信息为准。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34.2 招标人在招标文件要求提交投标文件的截止时间前收到的投标文件，开标时都当众予以解密、公布。</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34.3 根据</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第19项，如需抽取某一种评标办法供评标时使用的，应在开标前抽取。首先对招标文件中约定的若干种评标方法进行编号，再随机抽取某一编号，该编号所对应的评标办法供评标时使用。</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34.4 若递交投标文件的投标人不足3家，则重新组织招标。（当N个标段同时招标且不允许兼中时，若有效投标人不足N+2家，则重新组织招标）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34.5 按下列程序进行开标：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34.5.1 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34.5.2 备用光盘的读取按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第36项的规定执行；</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34.5.3 投标人代表、招标人代表、监标人、记录人等有关人员在开标记录上签字确认；若有关人员不签字的，不影响开标程序；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34.5.4 开标结束。</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34.6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34.7 开标时，两个（含两个）以上的投标人加密打包投标文件电脑机器特征码一致的，不参与下一程序，并由评标委员会否决其投标。</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35.评标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35.1 评标委员会由招标人依法组建。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 评标委员会的职责及守则：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35.2.1 根据评标细则，对投标文件进行认真评审，完成评审报告；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35.2.2 向招标人报告评审意见，推荐合格的中标候选人。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35.2.3 所有参加评标人员必须遵守国家、地方政府制定的有关工程招标投标的法则、规定，遵守有关工程招标投标的保密制度；如有违反者，给予行政处分；情节严重，构成犯罪的，由司法机关依法追究其刑事责任。</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35.2.4 全体参与评标人员：</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35.2.4.1 必须遵守评标纪律、不得泄密；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35.2.4.2 必须公正、不得循私；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35.2.4.3 必须科学、不得草率；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35.2.4.4 必须客观、不得带有成见；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35.2.4.5 必须平等、不得强加于人；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35.2.4.6 必须严谨、不得随意马虎。</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35.3 评标结束后，评标委员会递交评标报告并依法推荐中标候选人。</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36.投标文件的澄清</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36.1 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36.3 评标委员会或评标委员会专业评审组成员均应当阅读投标人的澄清，但应独立参考澄清对投标文件进行评审。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36.4 如果投标文件实质上不响应招标文件的各项要求，评标委员会将按照符合性审查标准予以拒绝，不接受投标人通过修改或撤销其不符合要求的差异或保留，使之成为具有响应性的投标。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36.5 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pStyle w:val="26"/>
        <w:keepNext w:val="0"/>
        <w:keepLines w:val="0"/>
        <w:pageBreakBefore w:val="0"/>
        <w:widowControl w:val="0"/>
        <w:numPr>
          <w:ilvl w:val="0"/>
          <w:numId w:val="0"/>
        </w:numPr>
        <w:tabs>
          <w:tab w:val="left" w:pos="1240"/>
        </w:tabs>
        <w:kinsoku/>
        <w:wordWrap/>
        <w:overflowPunct/>
        <w:topLinePunct w:val="0"/>
        <w:autoSpaceDE w:val="0"/>
        <w:autoSpaceDN w:val="0"/>
        <w:bidi w:val="0"/>
        <w:adjustRightInd/>
        <w:snapToGrid/>
        <w:spacing w:before="0" w:after="0" w:line="360" w:lineRule="auto"/>
        <w:ind w:leftChars="0" w:right="0" w:rightChars="0" w:firstLine="482" w:firstLineChars="200"/>
        <w:jc w:val="both"/>
        <w:textAlignment w:val="auto"/>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37.定标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37.1 招标人根据评标委员会递交的评标报告，最终审定中标人。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37.2 依法必须进行公开招标的项目，招标人应当确定排名第一的中标候选人为中标人。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37.3 排名第一的中标候选人放弃中标、或因不可抗力提出不能履行合同，或者招标文件规定应当提交履约担保而在规定的期限内未能提交的，招标人可以确定排名第二的中标候选人为中标人。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37.4 排名第二的中标候选人出现前款所列的情形的，招标人可以确定排名第三的中标候选人为中标人。以此类推，如所有中标候选人均出现前款所列的情形，为招标失败，招标人依法重新招标。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37.5 重新评标的，评标信息（含业绩、奖项等）仍以投标截止时投标人的信息为准。因特殊原因需要延长投标有效期，投标人拒绝延长投标有效期的，仍参与评标，但不被推荐为中标候选人。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outlineLvl w:val="2"/>
        <w:rPr>
          <w:rFonts w:hint="eastAsia"/>
          <w:b/>
          <w:bCs/>
          <w:color w:val="auto"/>
          <w:sz w:val="28"/>
          <w:szCs w:val="28"/>
          <w:highlight w:val="none"/>
          <w:lang w:eastAsia="zh-CN"/>
        </w:rPr>
      </w:pPr>
      <w:bookmarkStart w:id="21" w:name="_Toc30067"/>
      <w:r>
        <w:rPr>
          <w:b/>
          <w:bCs/>
          <w:color w:val="auto"/>
          <w:sz w:val="28"/>
          <w:szCs w:val="28"/>
          <w:highlight w:val="none"/>
        </w:rPr>
        <w:t>（二）开标评标办法程序和细则</w:t>
      </w:r>
      <w:bookmarkEnd w:id="21"/>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注：以下八种评标办法所述企业综合诚信评价分数即投标截止当日广州市工程招标代理行业协会网站上公布的企业综合诚信评价60日诚信分。</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2" w:firstLineChars="200"/>
        <w:textAlignment w:val="auto"/>
        <w:outlineLvl w:val="3"/>
        <w:rPr>
          <w:rFonts w:hint="eastAsia" w:ascii="宋体" w:hAnsi="宋体" w:eastAsia="宋体" w:cs="宋体"/>
          <w:b/>
          <w:bCs/>
          <w:color w:val="auto"/>
          <w:sz w:val="24"/>
          <w:szCs w:val="24"/>
          <w:highlight w:val="none"/>
          <w:lang w:val="en-US" w:eastAsia="zh-CN" w:bidi="zh-CN"/>
        </w:rPr>
      </w:pPr>
      <w:bookmarkStart w:id="22" w:name="可选办法一（适合综合评分法一，技术标与经济标先后分别开启）"/>
      <w:r>
        <w:rPr>
          <w:rFonts w:hint="eastAsia" w:ascii="宋体" w:hAnsi="宋体" w:eastAsia="宋体" w:cs="宋体"/>
          <w:b/>
          <w:bCs/>
          <w:color w:val="auto"/>
          <w:sz w:val="24"/>
          <w:szCs w:val="24"/>
          <w:highlight w:val="none"/>
          <w:lang w:val="en-US" w:eastAsia="zh-CN" w:bidi="zh-CN"/>
        </w:rPr>
        <w:t>可选办法一（适合综合评分法一，技术标与经济标先后分别开启）</w:t>
      </w:r>
      <w:bookmarkEnd w:id="22"/>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ascii="宋体" w:hAnsi="宋体" w:eastAsia="宋体" w:cs="宋体"/>
          <w:color w:val="auto"/>
          <w:sz w:val="24"/>
          <w:szCs w:val="24"/>
          <w:highlight w:val="none"/>
          <w:lang w:val="en-US" w:eastAsia="zh-CN" w:bidi="zh-CN"/>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38.开标和评标程序：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 投标人递交技术标、经济标投标文件；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38.2 技术标投标文件公开开标；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38.3 由评标委员会对所有已公开开标的投标人进行资格审查；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38.4 技术标投标文件有效性审查；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38.5 技术标详细审查评分；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38.6 计算第一阶段得分，并按照总分从高到低排列先后次序，编写第一阶段评审报告；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38.7 对通过技术标有效性审查的经济标投标文件公开开标；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38.8 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38.9 将进入第二阶段评审的投标人进行排序；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38.10 按排序对经济标投标文件进行有效性审查（含投标报价算术校核），直至评出所有中标候选人；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38.11 评标委员会编写评标报告，向招标人推荐中标候选人名单。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39.开标细则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39.1 开标由招标人主持；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 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39.2.1 投标截止期前，各投标人递交投标文件（包括技术标投标文件、经济标投标文件）至</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交易平台。有关投标文件提交的事项详见第一章投标须知。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39.2.2 先开技术标；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39.2.3 对通过技术标有效性审查的投标人开启其经济标投标文件；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 按34.5.1的规定完成解密后，公布下列内容，并予以记录，记录提交评标委员会评审：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39.3.1 技术标开标时，公布：a、投标人名称；b、投标文件密封情况；c、法定代表人证明及授权委托；d、投标保证金；e、项目经理（负责人）名称等主要内容以及开标记录表中的其他必要内容；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39.3.2 经济标开标前，首先公布技术标通过有效性审查的投标人，招标人依次开启通过技术标有效性审查的投标人的经济标。开标时，公布：a、投标人名称；b、投标文件密封情况；c、投标报价等主要内容以及开标记录表中的其他必要内容。投标报价以数字和文字两种方式表述的，应公布文字表述的投标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39.4 招标人对开标过程进行记录，并存档备查，投标人在开标记录上签字。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39.5 招标人将上述符合要求的投标文件，送至评标委员会进行评审。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40.评标细则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40.1评标委员会的组成：方式</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方式一：评标委员会为综合评标委员会，负责评标工作。</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方式二：评标委员会由技术评审组和经济评审组组成。其中：资格审查、技术评审由技术评标组负责，经济评审由经济评审组负责。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 投标人资格审查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40.2.2 汇总资格审查情况，编写资格审查报告。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40.2.3 资格审查不合格的投标文件不参加下一阶段的评标，不参与评标参考价的计算。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40.2.4 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40.2.5 资审合格后，投标人的资格发生变化而不满足投标人合格条件，在发出中标通知书前，资格问题仍未解决的，招标人将取消其中标资格。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40.2.6 资格审查合格的投标人少于3名的（当N个标段同时招标且不允许兼中时，资格审查合格的投标人少于N+2名），则本项目招标失败。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 第一阶段评审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40.3.1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40.3.2 通过技术标有效性审查的投标人均进入第二阶段，评标委员会编写第一阶段评审报告。（适用于通过技术标有效性审查的投标人家数小于等于</w:t>
      </w:r>
      <w:r>
        <w:rPr>
          <w:rFonts w:hint="eastAsia"/>
          <w:b/>
          <w:bCs/>
          <w:color w:val="auto"/>
          <w:sz w:val="24"/>
          <w:szCs w:val="24"/>
          <w:highlight w:val="none"/>
          <w:lang w:val="en-US" w:eastAsia="zh-CN"/>
        </w:rPr>
        <w:t>前附表</w:t>
      </w:r>
      <w:r>
        <w:rPr>
          <w:rFonts w:hint="eastAsia"/>
          <w:color w:val="auto"/>
          <w:sz w:val="24"/>
          <w:szCs w:val="24"/>
          <w:highlight w:val="none"/>
          <w:lang w:val="en-US" w:eastAsia="zh-CN"/>
        </w:rPr>
        <w:t>第25项的规定进入第二阶段评审家数的）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40.3.3 技术标详细审查评分：评标委员会按照本办法附表四《技术标详细审查评分表》对通过技术标有效性审查的投标文件技术标进行详细审查，评出技术分。（适用于通过技术标有效性审查的投标人家数大于</w:t>
      </w:r>
      <w:r>
        <w:rPr>
          <w:rFonts w:hint="eastAsia"/>
          <w:b/>
          <w:bCs/>
          <w:color w:val="auto"/>
          <w:sz w:val="24"/>
          <w:szCs w:val="24"/>
          <w:highlight w:val="none"/>
          <w:lang w:val="en-US" w:eastAsia="zh-CN"/>
        </w:rPr>
        <w:t>前附表</w:t>
      </w:r>
      <w:r>
        <w:rPr>
          <w:rFonts w:hint="eastAsia"/>
          <w:color w:val="auto"/>
          <w:sz w:val="24"/>
          <w:szCs w:val="24"/>
          <w:highlight w:val="none"/>
          <w:lang w:val="en-US" w:eastAsia="zh-CN"/>
        </w:rPr>
        <w:t>第25项的规定进入第二阶段评审家数的）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40.3.4 评标委员会按照“第一阶段得分=技术分（满分为100分）×技术分权重+综合诚信评价分数×综合诚信评价得分权重”的公式及</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27项的规定，计算各投标人第一阶段得分(按四舍五入的原则保留两位小数)，并按照得分从高到低排列先后次序，若投标人得分相同的，则名次并列，占用名次。编写第一阶段评审报告。（适用于进行了技术标评分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40.3.5 招标人应在《</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》中明确选择使用施工企业总排名或相应的施工专业承包排名计分。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 第二阶段评审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40.4.1 开启经济标后，按照</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第25项规定，确定进入第二阶段评审的投标人，若在进入第二阶段的最后名次发生并列的，则所有并列的投标人均进入第二阶段。</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40.4.2 若进入第二阶段投标人中所有投标报价均大于等于最高投标限价*D%（D的取值范围为[94，100]，由招标人自主确定）的（具体金额为：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元），则本项目招标失败，由招标人依法重新招标。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 将第二阶段投标人按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第30项规定的方法进行排序。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40.4.4 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 经济标的算术校核。评标委员会对进行经济标有效性审查的投标文件投标报价按照就低不就高的原则进行算术校核，具体标准如下：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40.4.5.1 如果数字表示的金额和用文字表示的金额不一致时，应以文字表示的金额为准；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40.4.5.2 经算术复核的投标人报价与其投标报价不一致时，按就低不就高原则确定其最终报价；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40.4.5.3 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40.4.5.4 当合价、金额累加错误时，按就低不就高原则，如果累加修正值小于原累加值，则按累加修正值；如果累加修正值大于原累加值，则按原累加值；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40.4.5.5 如果投标人的有关规费、暂列金额、暂估价、绿色施工安全防护措施费等未按招标文件规定的金额填写的，由评标委员会按照招标文件规定的金额进行修正；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40.5.5.7 按就低不就高原则，当修正后报价小于原报价，总价按修正后报价；当修正后报价大于原报价，总价按原报价，并在签订合同时载明在结算价中扣除修正报价与原报价的差额；</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40.4.5.8 按上述修正错误的原则及方法调整或修正投标文件的投标报价，调整后的投标报价对投标人起约束作用。如果投标人不接受修正后的报价，则取消其投标资格，并且其投标保证金也将不予退还。以上修正不影响按步骤40.3.3确定的投标人第二阶段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 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40.6 评标委员会应在通过投标文件经济标有效性审查的投标人中，按步骤40.4确定的投标人第二阶段排序，推荐前3名依次为第一中标候选人至第三中标候选人，并编制评标报告。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40.7 若通过经济标有效性审查的投标人不足三家，应当依法重新招标。（当N个标段同时招标且不允许兼中时，若有效投标人不足N+2家，应当依法重新招标）。</w:t>
      </w:r>
    </w:p>
    <w:p>
      <w:pPr>
        <w:keepNext w:val="0"/>
        <w:keepLines w:val="0"/>
        <w:pageBreakBefore w:val="0"/>
        <w:widowControl w:val="0"/>
        <w:kinsoku/>
        <w:wordWrap/>
        <w:overflowPunct/>
        <w:topLinePunct w:val="0"/>
        <w:bidi w:val="0"/>
        <w:adjustRightInd/>
        <w:spacing w:after="0" w:line="360" w:lineRule="auto"/>
        <w:jc w:val="both"/>
        <w:textAlignment w:val="auto"/>
        <w:rPr>
          <w:color w:val="auto"/>
          <w:sz w:val="24"/>
          <w:highlight w:val="none"/>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outlineLvl w:val="3"/>
        <w:rPr>
          <w:rFonts w:hint="eastAsia" w:ascii="宋体" w:hAnsi="宋体" w:eastAsia="宋体" w:cs="宋体"/>
          <w:color w:val="auto"/>
          <w:sz w:val="24"/>
          <w:szCs w:val="24"/>
          <w:highlight w:val="none"/>
          <w:lang w:val="en-US" w:eastAsia="zh-CN" w:bidi="zh-CN"/>
        </w:rPr>
      </w:pPr>
      <w:bookmarkStart w:id="23" w:name="_可选办法二（适合综合评分法一，技术标与经济标同时开启）"/>
      <w:r>
        <w:rPr>
          <w:rFonts w:hint="eastAsia" w:ascii="宋体" w:hAnsi="宋体" w:eastAsia="宋体" w:cs="宋体"/>
          <w:color w:val="auto"/>
          <w:sz w:val="24"/>
          <w:szCs w:val="24"/>
          <w:highlight w:val="none"/>
          <w:lang w:val="en-US" w:eastAsia="zh-CN" w:bidi="zh-CN"/>
        </w:rPr>
        <w:t>可选办法二（适合综合评分法一，技术标与经济标同时开启）</w:t>
      </w:r>
    </w:p>
    <w:bookmarkEnd w:id="23"/>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38.开标和评标程序：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 投标人递交技术标、经济标投标文件；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38.2 技术标与经济标投标文件同时公开开标；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38.3 由评标委员会对所有已公开开标的投标人进行资格审查；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38.4 技术标投标文件有效性审查；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38.5 技术标详细审查评分；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38.6 计算第一阶段得分，并按照总分从高到低排列先后次序，编写第一阶段评审报告；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38.7 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38.8 将进入第二阶段评审的投标人进行排序；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38.9 按排序对经济标投标文件进行有效性审查（含投标报价算术校核），直至评出所有中标候选人；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38.10 评标委员会编写评标报告，向招标人推荐中标候选人名单。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39.开标细则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39.1 开标由招标人主持；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 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39.2.1 投标截止期前，各投标人递交投标文件（包括技术标投标文件、经济标投标文件）至</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交易平台。有关投标文件提交的事项详见第一章投标须知。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39.2.2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 按34.5.1的规定完成解密后，公布下列内容，并予以记录，记录提交评标委员会评审：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39.3.1 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39.4 招标人对开标过程进行记录，并存档备查，投标人在开标记录上签字。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39.5 招标人将上述符合要求的投标文件，送至评标委员会进行评审。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40.评标细则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40.1 评标委员会的组成：方式</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方式一：评标委员会为综合评标委员会，负责评标工作。</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方式二：评标委员会由技术评审组和经济评审组组成。其中：资格审查、技术评审由技术评标组负责，经济评审由经济评审组负责。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 投标人资格审查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40.2.2 汇总资格审查情况，编写资格审查报告。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40.2.3 资格审查不合格的投标文件不参加下一阶段的评标，不参与评标参考价的计算。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40.2.4 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40.2.5 资审合格后，投标人的资格发生变化而不满足投标人合格条件，在发出中标通知书前，资格问题仍未解决的，招标人将取消其中标资格。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40.2.6 资格审查合格的投标人少于3名的（当N个标段同时招标且不允许兼中时，资格审查合格的投标人少于N+2名），则本项目招标失败。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 第一阶段评审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40.3.1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40.3.2 通过技术标有效性审查的投标人均进入第二阶段，评标委员会编写第一阶段评审报告。（适用于通过技术标有效性审查的投标人家数小于等于</w:t>
      </w:r>
      <w:r>
        <w:rPr>
          <w:rFonts w:hint="eastAsia"/>
          <w:b/>
          <w:bCs/>
          <w:color w:val="auto"/>
          <w:sz w:val="24"/>
          <w:szCs w:val="24"/>
          <w:highlight w:val="none"/>
          <w:lang w:val="en-US" w:eastAsia="zh-CN"/>
        </w:rPr>
        <w:t>前附表</w:t>
      </w:r>
      <w:r>
        <w:rPr>
          <w:rFonts w:hint="eastAsia"/>
          <w:color w:val="auto"/>
          <w:sz w:val="24"/>
          <w:szCs w:val="24"/>
          <w:highlight w:val="none"/>
          <w:lang w:val="en-US" w:eastAsia="zh-CN"/>
        </w:rPr>
        <w:t>第25项的规定进入第二阶段评审家数的）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40.3.3 技术标详细审查评分：评标委员会按照本办法附表四《技术标详细审查评分表》对通过技术标有效性审查的投标文件技术标进行详细审查，评出技术分。（适用于通过技术标有效性审查的投标人家数大于</w:t>
      </w:r>
      <w:r>
        <w:rPr>
          <w:rFonts w:hint="eastAsia"/>
          <w:b/>
          <w:bCs/>
          <w:color w:val="auto"/>
          <w:sz w:val="24"/>
          <w:szCs w:val="24"/>
          <w:highlight w:val="none"/>
          <w:lang w:val="en-US" w:eastAsia="zh-CN"/>
        </w:rPr>
        <w:t>前附表</w:t>
      </w:r>
      <w:r>
        <w:rPr>
          <w:rFonts w:hint="eastAsia"/>
          <w:color w:val="auto"/>
          <w:sz w:val="24"/>
          <w:szCs w:val="24"/>
          <w:highlight w:val="none"/>
          <w:lang w:val="en-US" w:eastAsia="zh-CN"/>
        </w:rPr>
        <w:t>第25项的规定进入第二阶段评审家数的）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40.3.4 评标委员会按照“第一阶段得分=技术分（满分为100分）×技术分权重+综合诚信评价分数×综合诚信评价得分权重”的公式及</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27项的规定，计算各投标人第一阶段得分(按四舍五入的原则保留两位小数)，并按照得分从高到低排列先后次序，若投标人得分相同的，则名次并列，占用名次。编写第一阶段评审报告。（适用于进行了技术标评分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40.3.5 招标人应在《</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》中明确选择使用施工企业总排名或相应的施工专业承包排名计分。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 第二阶段评审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40.4.1 按照</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第25项规定，确定进入第二阶段评审的投标人，若在进入第二阶段的最后名次发生并列的，则所有并列的投标人均进入第二阶段。</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40.4.2 若进入第二阶段投标人中所有投标报价均大于等于最高投标限价*D%（D的取值范围为[94，100]，由招标人自主确定）的（具体金额为：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元），则本项目招标失败，由招标人依法重新招标。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 并将第二阶段投标人按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第30项规定的方法进行排序。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40.4.4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 经济标的算术校核。评标委员会对进行经济标有效性审查的投标文件投标报价按照就低不就高的原则进行算术校核，具体标准如下：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40.4.5.1 如果数字表示的金额和用文字表示的金额不一致时，应以文字表示的金额为准；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40.4.5.2 经算术复核的投标人报价与其投标报价不一致时，按就低不就高原则确定其最终报价；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40.4.5.3 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40.4.5.4 当合价、金额累加错误时，按就低不就高原则，如果累加修正值小于原累加值，则按累加修正值；如果累加修正值大于原累加值，则按原累加值；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40.4.5.5 如果投标人的有关规费、暂列金额、暂估价、绿色施工安全防护措施费等未按招标文件规定的金额填写的，由评标委员会按照招标文件规定的金额进行修正；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40.4.5.7 按就低不就高原则，当修正后报价小于原报价，总价按修正后报价；当修正后报价大于原报价，总价按原报价，并在签订合同时载明在结算价中扣除修正报价与原报价的差额。</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40.4.5.8 按上述修正错误的原则及方法调整或修正投标文件的投标报价，调整后的投标报价对投标人起约束作用。如果投标人不接受修正后的报价，则取消其投标资格，并且其投标保证金也将不予退还。以上修正不影响按步骤40.3.3确定的投标人第二阶段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 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40.6 评标委员会应在通过投标文件经济标有效性审查的投标人中，按步骤40.4确定的投标人第二阶段排序，推荐前3名依次为第一中标候选人至第三中标候选人，并编制评标报告。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40.7 若通过经济标有效性审查的投标人不足三家，应当依法重新招标。（当N个标段同时招标且不允许兼中时，若有效投标人不足N+2家，应当依法重新招标）</w:t>
      </w:r>
    </w:p>
    <w:p>
      <w:pPr>
        <w:pStyle w:val="13"/>
        <w:keepNext w:val="0"/>
        <w:keepLines w:val="0"/>
        <w:pageBreakBefore w:val="0"/>
        <w:widowControl w:val="0"/>
        <w:kinsoku/>
        <w:wordWrap/>
        <w:overflowPunct/>
        <w:topLinePunct w:val="0"/>
        <w:bidi w:val="0"/>
        <w:adjustRightInd/>
        <w:spacing w:before="8" w:line="360" w:lineRule="auto"/>
        <w:ind w:left="0"/>
        <w:textAlignment w:val="auto"/>
        <w:rPr>
          <w:color w:val="auto"/>
          <w:sz w:val="26"/>
          <w:highlight w:val="none"/>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outlineLvl w:val="3"/>
        <w:rPr>
          <w:rFonts w:hint="eastAsia" w:ascii="宋体" w:hAnsi="宋体" w:eastAsia="宋体" w:cs="宋体"/>
          <w:color w:val="auto"/>
          <w:sz w:val="24"/>
          <w:szCs w:val="24"/>
          <w:highlight w:val="none"/>
          <w:lang w:val="en-US" w:eastAsia="zh-CN" w:bidi="zh-CN"/>
        </w:rPr>
      </w:pPr>
      <w:bookmarkStart w:id="24" w:name="_可选办法三（适合综合评分法二，技术标与经济标先后分别开启）"/>
      <w:r>
        <w:rPr>
          <w:rFonts w:hint="eastAsia" w:ascii="宋体" w:hAnsi="宋体" w:eastAsia="宋体" w:cs="宋体"/>
          <w:color w:val="auto"/>
          <w:sz w:val="24"/>
          <w:szCs w:val="24"/>
          <w:highlight w:val="none"/>
          <w:lang w:val="en-US" w:eastAsia="zh-CN" w:bidi="zh-CN"/>
        </w:rPr>
        <w:t>可选办法三（适合综合评分法二，技术标与经济标先后分别开启）</w:t>
      </w:r>
    </w:p>
    <w:bookmarkEnd w:id="24"/>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38.开标和评标程序：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 投标人递交技术标、经济标投标文件；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38.2 技术标投标文件公开开标；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38.3 由评标委员会对所有已公开开标的投标人进行资格审查；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38.4 技术标投标文件有效性审查；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38.5 技术标详细审查评分；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38.6 计算第一阶段得分，并按照总分从高到低排列先后次序，编写第一阶段评审报告；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38.7 对通过技术标有效性审查的经济标投标文件公开开标；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38.8 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38.9 将进入第二阶段评审的投标人进行排序；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38.10 按排序对经济标投标文件进行有效性审查（含投标报价算术校核），直至评出所有中标候选人；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38.11 评标委员会编写评标报告，向招标人推荐中标候选人名单。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39.开标细则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39.1 开标由招标人主持；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 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240" w:leftChars="109" w:right="0" w:rightChars="0" w:firstLine="240" w:firstLineChars="1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39.2.1 投标截止期前，各投标人递交投标文件（包括技术标投标文件、经济标投标文件）至</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交易平台。有关投标文件提交的事项详见第一章投标须知。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39.2.2 先开技术标；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39.2.3 对通过技术标有效性审查的投标人开启其经济标投标文件；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 按34.5.1的规定完成解密后，公布下列内容，并予以记录，记录提交评标委员会评审：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39.3.1 技术标开标时，公布：a、投标人名称；b、投标文件密封情况；c、法定代表人证明及授权委托；d、投标保证金；e、项目经理（负责人）名称等主要内容以及开标记录表中的其他必要内容。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39.3.2 经济标开标前，首先公布技术标通过有效性审查的投标人，招标人依次开启通过技术标有效性审查的投标人的经济标。开标时，公布：a、投标人名称；b、投标文件密封情况；c、投标报价等主要内容以及开标记录表中的其他必要内容。投标报价以数字和文字两种方式表述的，应公布文字表述的投标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39.4 招标人对开标过程进行记录，并存档备查，投标人在开标记录上签字。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39.5 招标人将上述符合要求的投标文件，送至评标委员会进行评审。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40.评标细则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40.1 评标委员会的组成：方式</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方式一：评标委员会为综合评标委员会，负责评标工作。</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方式二：评标委员会由技术评审组和经济评审组组成。其中：资格审查、技术评审由技术评标组负责，经济评审由经济评审组负责。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 投标人资格审查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40.2.2 汇总资格审查情况，编写资格审查报告。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40.2.3 资格审查不合格的投标文件不参加下一阶段的评标，不参与评标参考价的计算。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40.2.4 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40.2.5 </w:t>
      </w:r>
      <w:r>
        <w:rPr>
          <w:rFonts w:hint="eastAsia"/>
          <w:color w:val="auto"/>
          <w:sz w:val="24"/>
          <w:szCs w:val="24"/>
          <w:highlight w:val="none"/>
          <w:lang w:val="en-US" w:eastAsia="zh-CN"/>
        </w:rPr>
        <w:t>资审合格后，投标人的资格发生变化而不满足投标人合格条件，在发出中标通知书前，资格问题仍未解决的，招标人将取消其中标资格。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40.2.6 资格审查合格的投标人少于3名的（当N个标段同时招标且不允许兼中时，资格审查合格的投标人少于N+2名），则本项目招标失败。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 第一阶段评审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40.3.1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40.3.2 通过技术标有效性审查的投标人均进入第二阶段，评标委员会编写第一阶段评审报告。（适用于通过技术标有效性审查的投标人家数小于等于</w:t>
      </w:r>
      <w:r>
        <w:rPr>
          <w:rFonts w:hint="eastAsia"/>
          <w:b/>
          <w:bCs/>
          <w:color w:val="auto"/>
          <w:sz w:val="24"/>
          <w:szCs w:val="24"/>
          <w:highlight w:val="none"/>
          <w:lang w:val="en-US" w:eastAsia="zh-CN"/>
        </w:rPr>
        <w:t>前附表</w:t>
      </w:r>
      <w:r>
        <w:rPr>
          <w:rFonts w:hint="eastAsia"/>
          <w:color w:val="auto"/>
          <w:sz w:val="24"/>
          <w:szCs w:val="24"/>
          <w:highlight w:val="none"/>
          <w:lang w:val="en-US" w:eastAsia="zh-CN"/>
        </w:rPr>
        <w:t>第25项的规定进入第二阶段评审家数的）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40.3.3 技术标详细审查评分：评标委员会按照本办法附表四《技术标详细审查评分表》对通过技术标有效性审查的投标文件技术标进行详细审查，评出技术分。（适用于通过技术标有效性审查的投标人家数大于</w:t>
      </w:r>
      <w:r>
        <w:rPr>
          <w:rFonts w:hint="eastAsia"/>
          <w:b/>
          <w:bCs/>
          <w:color w:val="auto"/>
          <w:sz w:val="24"/>
          <w:szCs w:val="24"/>
          <w:highlight w:val="none"/>
          <w:lang w:val="en-US" w:eastAsia="zh-CN"/>
        </w:rPr>
        <w:t>前附表</w:t>
      </w:r>
      <w:r>
        <w:rPr>
          <w:rFonts w:hint="eastAsia"/>
          <w:color w:val="auto"/>
          <w:sz w:val="24"/>
          <w:szCs w:val="24"/>
          <w:highlight w:val="none"/>
          <w:lang w:val="en-US" w:eastAsia="zh-CN"/>
        </w:rPr>
        <w:t>第25项的规定进入第二阶段评审家数的）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40.3.4 评标委员会按照“第一阶段得分=技术分（满分为100分）×技术分权重+综合诚信评价分数×综合诚信评价得分权重”的公式及</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27项的规定，计算各投标人第一阶段得分(按四舍五入的原则保留两位小数)，并按照得分从高到低排列先后次序，若投标人得分相同的，则名次并列，占用名次。编写第一阶段评审报告。（适用于进行了技术标评分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40.3.5 招标人应在《</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》中明确选择使用施工企业总排名或相应的施工专业承包排名计分。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 第二阶段评审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40.4.1 开启经济标后，按照</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第25项规定，确定进入第二阶段评审的投标人。若在进入第二阶段的最后名次发生并列的，则所有并列的投标人均进入第二阶段。</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40.4.2 若进入第二阶段投标人中所有投标报价均大于等于最高投标限价*D%（D的取值范围为[94，100]，由招标人自主确定）的（具体金额为：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元），则本项目招标失败，由招标人依法重新招标。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 投标文件经济标的评分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40.4.3.1 按方法</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计算评标参考价：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方法一：加权平均法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技术标或技术标加诚信得分或第一阶段入围得分（具体由招标人自定）前N名（N≥5，具体由招标人自定）的经济报价加权平均，计算评标参考价。公式如下：评标参考价=Σ（投标人的投标报价*报价权重）。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drawing>
          <wp:anchor distT="0" distB="0" distL="0" distR="0" simplePos="0" relativeHeight="251662336" behindDoc="1" locked="0" layoutInCell="1" allowOverlap="1">
            <wp:simplePos x="0" y="0"/>
            <wp:positionH relativeFrom="page">
              <wp:posOffset>4421505</wp:posOffset>
            </wp:positionH>
            <wp:positionV relativeFrom="paragraph">
              <wp:posOffset>469900</wp:posOffset>
            </wp:positionV>
            <wp:extent cx="323850" cy="3714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6" cstate="print"/>
                    <a:stretch>
                      <a:fillRect/>
                    </a:stretch>
                  </pic:blipFill>
                  <pic:spPr>
                    <a:xfrm>
                      <a:off x="0" y="0"/>
                      <a:ext cx="323850" cy="371475"/>
                    </a:xfrm>
                    <a:prstGeom prst="rect">
                      <a:avLst/>
                    </a:prstGeom>
                  </pic:spPr>
                </pic:pic>
              </a:graphicData>
            </a:graphic>
          </wp:anchor>
        </w:drawing>
      </w:r>
      <w:r>
        <w:rPr>
          <w:rFonts w:hint="eastAsia"/>
          <w:color w:val="auto"/>
          <w:sz w:val="24"/>
          <w:szCs w:val="24"/>
          <w:highlight w:val="none"/>
          <w:lang w:val="en-US" w:eastAsia="zh-CN"/>
        </w:rPr>
        <w:t>其中：报价权重的计算方法为：将N名投标人按技术分由高至低进行排序，第一名投标人的权重为</w:t>
      </w:r>
      <w:r>
        <w:rPr>
          <w:color w:val="auto"/>
          <w:spacing w:val="1"/>
          <w:sz w:val="24"/>
          <w:szCs w:val="24"/>
          <w:highlight w:val="none"/>
        </w:rPr>
        <w:t>（</w:t>
      </w:r>
      <w:r>
        <w:rPr>
          <w:color w:val="auto"/>
          <w:spacing w:val="1"/>
          <w:sz w:val="24"/>
          <w:szCs w:val="24"/>
          <w:highlight w:val="none"/>
        </w:rPr>
        <w:drawing>
          <wp:inline distT="0" distB="0" distL="0" distR="0">
            <wp:extent cx="361950" cy="4286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27" cstate="print"/>
                    <a:stretch>
                      <a:fillRect/>
                    </a:stretch>
                  </pic:blipFill>
                  <pic:spPr>
                    <a:xfrm>
                      <a:off x="0" y="0"/>
                      <a:ext cx="361950" cy="428625"/>
                    </a:xfrm>
                    <a:prstGeom prst="rect">
                      <a:avLst/>
                    </a:prstGeom>
                  </pic:spPr>
                </pic:pic>
              </a:graphicData>
            </a:graphic>
          </wp:inline>
        </w:drawing>
      </w:r>
      <w:r>
        <w:rPr>
          <w:color w:val="auto"/>
          <w:spacing w:val="-120"/>
          <w:sz w:val="24"/>
          <w:szCs w:val="24"/>
          <w:highlight w:val="none"/>
        </w:rPr>
        <w:t>）</w:t>
      </w:r>
      <w:r>
        <w:rPr>
          <w:color w:val="auto"/>
          <w:spacing w:val="2"/>
          <w:sz w:val="24"/>
          <w:szCs w:val="24"/>
          <w:highlight w:val="none"/>
        </w:rPr>
        <w:t>，</w:t>
      </w:r>
      <w:r>
        <w:rPr>
          <w:rFonts w:hint="eastAsia"/>
          <w:color w:val="auto"/>
          <w:sz w:val="24"/>
          <w:szCs w:val="24"/>
          <w:highlight w:val="none"/>
          <w:lang w:val="en-US" w:eastAsia="zh-CN"/>
        </w:rPr>
        <w:t>第二名投标人的权重为</w:t>
      </w:r>
      <w:r>
        <w:rPr>
          <w:color w:val="auto"/>
          <w:sz w:val="24"/>
          <w:szCs w:val="24"/>
          <w:highlight w:val="none"/>
        </w:rPr>
        <w:t>（</w:t>
      </w:r>
      <w:r>
        <w:rPr>
          <w:rFonts w:hint="eastAsia"/>
          <w:color w:val="auto"/>
          <w:sz w:val="24"/>
          <w:szCs w:val="24"/>
          <w:highlight w:val="none"/>
          <w:lang w:val="en-US" w:eastAsia="zh-CN"/>
        </w:rPr>
        <w:t xml:space="preserve">             ），以此类推，最后一名投标人的权重为（</w:t>
      </w:r>
      <w:r>
        <w:rPr>
          <w:rFonts w:hint="eastAsia"/>
          <w:color w:val="auto"/>
          <w:sz w:val="24"/>
          <w:szCs w:val="24"/>
          <w:highlight w:val="none"/>
          <w:lang w:val="en-US" w:eastAsia="zh-CN"/>
        </w:rPr>
        <w:drawing>
          <wp:inline distT="0" distB="0" distL="0" distR="0">
            <wp:extent cx="323850" cy="3619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28" cstate="print"/>
                    <a:stretch>
                      <a:fillRect/>
                    </a:stretch>
                  </pic:blipFill>
                  <pic:spPr>
                    <a:xfrm>
                      <a:off x="0" y="0"/>
                      <a:ext cx="323850" cy="361950"/>
                    </a:xfrm>
                    <a:prstGeom prst="rect">
                      <a:avLst/>
                    </a:prstGeom>
                  </pic:spPr>
                </pic:pic>
              </a:graphicData>
            </a:graphic>
          </wp:inline>
        </w:drawing>
      </w:r>
      <w:r>
        <w:rPr>
          <w:rFonts w:hint="eastAsia"/>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firstLine="482" w:firstLineChars="200"/>
        <w:textAlignment w:val="auto"/>
        <w:outlineLvl w:val="9"/>
        <w:rPr>
          <w:rFonts w:hint="eastAsia" w:eastAsia="宋体"/>
          <w:b/>
          <w:bCs/>
          <w:color w:val="auto"/>
          <w:sz w:val="24"/>
          <w:szCs w:val="24"/>
          <w:highlight w:val="none"/>
          <w:lang w:eastAsia="zh-CN"/>
        </w:rPr>
      </w:pPr>
      <w:r>
        <w:rPr>
          <w:b/>
          <w:bCs/>
          <w:color w:val="auto"/>
          <w:sz w:val="24"/>
          <w:szCs w:val="24"/>
          <w:highlight w:val="none"/>
        </w:rPr>
        <w:t>方法二：区间抽取法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评标参考价=（Q高-Q低）/100*Ｘ+Q低</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Q低：为达到或超过技术标及格分数线的投标人最低报价与工程成本警示价两者中的较高值；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Q高：为（最高投标限价*D%）（D的取值范围为[94，100]，由招标人自定）</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X:为等分点值，在开标前从[0，100]整数中随机抽取</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40.4.3.2 当标价等于评标参考价时得100分，标价每高于评标参考价1%，扣1.5分，每低于评标参考价1%，扣1分，扣至0分为止，得出经济分，精确到小数点后两位。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40.4.3.3 评标委员会按照各投标人的经济分从高到低排列先后次序。经济分相同的投标文件，按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第31项的规定确定排序。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40.4.4 评委发现投标文件中含义不明确、对同类问题表述不一致、有明显文字和计算错误、投标报价可能低于成本影响履约的，应当要求投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 经济标的算术校核。评标委员会对进行经济标有效性审查的投标文件投标报价按照就低不就高的原则进行算术校核，具体标准如下：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40.4.5.1 如果数字表示的金额和用文字表示的金额不一致时，应以文字表示的金额为准；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40.4.5.2 经算术复核的投标人报价与其投标报价不一致时，按就低不就高原则确定其最终报价；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40.4.5.3 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40.4.5.4 当合价、金额累加错误时，按就低不就高原则，如果累加修正值小于原累加值，则按累加修正值；如果累加修正值大于原累加值，则按原累加值；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40.4.5.5 如果投标人的有关规费、暂列金额、暂估价、绿色施工安全防护措施费等未按招标文件规定的金额填写的，由评标委员会按照招标文件规定的金额进行修正；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40.4.5.7 按就低不就高原则，当修正后报价小于原报价，总价按修正后报价；当修正后报价大于原报价，总价按原报价，并在签订合同时载明在结算价中扣除修正报价与原报价的差额。</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40.4.5.8 按上述修正错误的原则及方法调整或修正投标文件的投标报价，调整后的投标报价对投标人起约束作用。如果投标人不接受修正后的报价，则取消其投标资格，并且其投标保证金也将不予退还。</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 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40.6 评标委员会应在通过投标文件经济标有效性审查的投标人中，按步骤40.4确定的投标人第二阶段排序，推荐前3名依次为第一中标候选人至第三中标候选人，并编制评标报告。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40.7 若通过经济标有效性审查的投标人不足三家，应当依法重新招标。（当N个标段同时招标且不允许兼中时，若有效投标人不足N+2家，应当依法重新招标）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outlineLvl w:val="3"/>
        <w:rPr>
          <w:rFonts w:hint="eastAsia" w:ascii="宋体" w:hAnsi="宋体" w:eastAsia="宋体" w:cs="宋体"/>
          <w:color w:val="auto"/>
          <w:sz w:val="24"/>
          <w:szCs w:val="24"/>
          <w:highlight w:val="none"/>
          <w:lang w:val="en-US" w:eastAsia="zh-CN" w:bidi="zh-CN"/>
        </w:rPr>
      </w:pPr>
      <w:bookmarkStart w:id="25" w:name="_可选办法四（适合综合评分法二，技术标与经济标同时开启）"/>
      <w:r>
        <w:rPr>
          <w:rFonts w:hint="eastAsia" w:ascii="宋体" w:hAnsi="宋体" w:eastAsia="宋体" w:cs="宋体"/>
          <w:color w:val="auto"/>
          <w:sz w:val="24"/>
          <w:szCs w:val="24"/>
          <w:highlight w:val="none"/>
          <w:lang w:val="en-US" w:eastAsia="zh-CN" w:bidi="zh-CN"/>
        </w:rPr>
        <w:t>可选办法四（适合综合评分法二，技术标与经济标同时开启）</w:t>
      </w:r>
    </w:p>
    <w:bookmarkEnd w:id="25"/>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38.开标和评标程序：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 投标人递交技术标、经济标投标文件；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38.2 技术标与经济标投标文件同时公开开标；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38.3 由评标委员会对所有已公开开标的投标人进行资格审查；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38.4 技术标投标文件有效性审查；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38.5 技术标详细审查评分；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38.6 计算第一阶段得分，并按照总分从高到低排列先后次序，编写第一阶段评审报告；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38.7 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38.8 将进入第二阶段评审的投标人进行排序；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38.9 按排序对经济标投标文件进行有效性审查（含投标报价算术校核），直至评出所有中标候选人；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38.10 评标委员会编写评标报告，向招标人推荐中标候选人名单。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39.开标细则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39.1 开标由招标人主持；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 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39.2.1 投标截止期前，各投标人递交投标文件（包括技术标投标文件、经济标投标文件）至</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交易平台。有关投标文件提交的事项详见第一章投标须知。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39.2.2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 按34.5.1的规定完成解密后，公布下列内容，并予以记录，记录提交评标委员会评审：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39.3.1 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39.4 招标人对开标过程进行记录，并存档备查，投标人在开标记录上签字。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39.5 招标人将上述符合要求的投标文件，送至评标委员会进行评审。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41.评标细则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41.1 评标委员会的组成：方式</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方式一：评标委员会为综合评标委员会，负责评标工作。</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方式二：评标委员会由技术评审组和经济评审组组成。其中：资格审查、技术评审由技术评标组负责，经济评审由经济评审组负责。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 投标人资格审查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40.2.2 汇总资格审查情况，编写资格审查报告。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40.2.3 资格审查不合格的投标文件不参加下一阶段的评标，不参与评标参考价的计算。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40.2.4 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40.2.5 资审合格后，投标人的资格发生变化而不满足投标人合格条件，在发出中标通知书前，资格问题仍未解决的，招标人将取消其中标资格。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40.2.6 资格审查合格的投标人少于3名的（当N个标段同时招标且不允许兼中时，资格审查合格的投标人少于N+2名），则本项目招标失败。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 第一阶段评审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40.3.1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40.3.2 通过技术标有效性审查的投标人均进入第二阶段，评标委员会编写第一阶段评审报告。（适用于通过技术标有效性审查的投标人家数小于等于</w:t>
      </w:r>
      <w:r>
        <w:rPr>
          <w:rFonts w:hint="eastAsia"/>
          <w:b/>
          <w:bCs/>
          <w:color w:val="auto"/>
          <w:sz w:val="24"/>
          <w:szCs w:val="24"/>
          <w:highlight w:val="none"/>
          <w:lang w:val="en-US" w:eastAsia="zh-CN"/>
        </w:rPr>
        <w:t>前附表</w:t>
      </w:r>
      <w:r>
        <w:rPr>
          <w:rFonts w:hint="eastAsia"/>
          <w:color w:val="auto"/>
          <w:sz w:val="24"/>
          <w:szCs w:val="24"/>
          <w:highlight w:val="none"/>
          <w:lang w:val="en-US" w:eastAsia="zh-CN"/>
        </w:rPr>
        <w:t>第25项的规定进入第二阶段评审家数的）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40.3.3 技术标详细审查评分：评标委员会按照本办法附表四《技术标详细审查评分表》对通过技术标有效性审查的投标文件技术标进行详细审查，评出技术分。（适用于通过技术标有效性审查的投标人家数大于</w:t>
      </w:r>
      <w:r>
        <w:rPr>
          <w:rFonts w:hint="eastAsia"/>
          <w:b/>
          <w:bCs/>
          <w:color w:val="auto"/>
          <w:sz w:val="24"/>
          <w:szCs w:val="24"/>
          <w:highlight w:val="none"/>
          <w:lang w:val="en-US" w:eastAsia="zh-CN"/>
        </w:rPr>
        <w:t>前附表</w:t>
      </w:r>
      <w:r>
        <w:rPr>
          <w:rFonts w:hint="eastAsia"/>
          <w:color w:val="auto"/>
          <w:sz w:val="24"/>
          <w:szCs w:val="24"/>
          <w:highlight w:val="none"/>
          <w:lang w:val="en-US" w:eastAsia="zh-CN"/>
        </w:rPr>
        <w:t>第25项的规定进入第二阶段评审家数的）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40.3.4 评标委员会按照“第一阶段得分=技术分（满分为100分）×技术分权重+综合诚信评价分数×综合诚信评价得分权重”的公式及</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27项的规定，计算各投标人第一阶段得分(按四舍五入的原则保留两位小数)，并按照得分从高到低排列先后次序，若投标人得分相同的，则名次并列，占用名次。编写第一阶段评审报告。（适用于进行了技术标评分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40.3.5 招标人应在《</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》中明确选择使用施工企业总排名或相应的施工专业承包排名计分。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 第二阶段评审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40.4.1 按照</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第25项规定，确定进入第二阶段评审的投标人。若在进入第二阶段的最后名次发生并列的，则所有并列的投标人均进入第二阶段。</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40.4.2 若进入第二阶段投标人中所有投标报价均大于等于最高投标限价*D%（D的取值范围为[94，100]，由招标人自主确定）的（具体金额为：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元），则本项目招标失败，由招标人依法重新招标。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 投标文件经济标的评分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color w:val="auto"/>
          <w:sz w:val="24"/>
          <w:highlight w:val="none"/>
        </w:rPr>
      </w:pPr>
      <w:r>
        <w:rPr>
          <w:rFonts w:hint="eastAsia"/>
          <w:color w:val="auto"/>
          <w:sz w:val="24"/>
          <w:szCs w:val="24"/>
          <w:highlight w:val="none"/>
          <w:lang w:val="en-US" w:eastAsia="zh-CN"/>
        </w:rPr>
        <w:t>40.4.3.1 按方法</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计算评标参考</w:t>
      </w:r>
      <w:r>
        <w:rPr>
          <w:color w:val="auto"/>
          <w:sz w:val="24"/>
          <w:highlight w:val="none"/>
        </w:rPr>
        <w:t>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b/>
          <w:color w:val="auto"/>
          <w:sz w:val="24"/>
          <w:highlight w:val="none"/>
        </w:rPr>
      </w:pPr>
      <w:r>
        <w:rPr>
          <w:b/>
          <w:color w:val="auto"/>
          <w:sz w:val="24"/>
          <w:highlight w:val="none"/>
        </w:rPr>
        <w:t>方法一：加权平均法</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eastAsia="宋体"/>
          <w:color w:val="auto"/>
          <w:highlight w:val="none"/>
          <w:lang w:eastAsia="zh-CN"/>
        </w:rPr>
      </w:pPr>
      <w:r>
        <w:rPr>
          <w:color w:val="auto"/>
          <w:highlight w:val="none"/>
        </w:rPr>
        <w:t>技术标或技术标加诚信得分或第一阶段入围得分（具体由招标人自定）前N名（N≥5，具体由招标人自定）的经济报价加权平均，计算评标参考价。公式如下：评标参考价=Σ（投标人的投标报价*报价权重</w:t>
      </w:r>
      <w:r>
        <w:rPr>
          <w:color w:val="auto"/>
          <w:spacing w:val="-120"/>
          <w:highlight w:val="none"/>
        </w:rPr>
        <w:t>）</w:t>
      </w:r>
      <w:r>
        <w:rPr>
          <w:color w:val="auto"/>
          <w:highlight w:val="none"/>
        </w:rPr>
        <w:t>。</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eastAsia="宋体"/>
          <w:color w:val="auto"/>
          <w:highlight w:val="none"/>
          <w:lang w:eastAsia="zh-CN"/>
        </w:rPr>
      </w:pPr>
      <w:r>
        <w:rPr>
          <w:color w:val="auto"/>
          <w:highlight w:val="none"/>
        </w:rPr>
        <w:drawing>
          <wp:anchor distT="0" distB="0" distL="0" distR="0" simplePos="0" relativeHeight="251663360" behindDoc="1" locked="0" layoutInCell="1" allowOverlap="1">
            <wp:simplePos x="0" y="0"/>
            <wp:positionH relativeFrom="page">
              <wp:posOffset>4421505</wp:posOffset>
            </wp:positionH>
            <wp:positionV relativeFrom="paragraph">
              <wp:posOffset>469900</wp:posOffset>
            </wp:positionV>
            <wp:extent cx="323850" cy="3714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pic:cNvPicPr>
                  </pic:nvPicPr>
                  <pic:blipFill>
                    <a:blip r:embed="rId26" cstate="print"/>
                    <a:stretch>
                      <a:fillRect/>
                    </a:stretch>
                  </pic:blipFill>
                  <pic:spPr>
                    <a:xfrm>
                      <a:off x="0" y="0"/>
                      <a:ext cx="323850" cy="371475"/>
                    </a:xfrm>
                    <a:prstGeom prst="rect">
                      <a:avLst/>
                    </a:prstGeom>
                  </pic:spPr>
                </pic:pic>
              </a:graphicData>
            </a:graphic>
          </wp:anchor>
        </w:drawing>
      </w:r>
      <w:r>
        <w:rPr>
          <w:color w:val="auto"/>
          <w:spacing w:val="-9"/>
          <w:highlight w:val="none"/>
        </w:rPr>
        <w:t>其中：报价权重的计算方法为：将</w:t>
      </w:r>
      <w:r>
        <w:rPr>
          <w:color w:val="auto"/>
          <w:highlight w:val="none"/>
        </w:rPr>
        <w:t>N</w:t>
      </w:r>
      <w:r>
        <w:rPr>
          <w:color w:val="auto"/>
          <w:spacing w:val="-10"/>
          <w:highlight w:val="none"/>
        </w:rPr>
        <w:t>名投标人按技术分由高至低进行排序，第一名</w:t>
      </w:r>
      <w:r>
        <w:rPr>
          <w:color w:val="auto"/>
          <w:highlight w:val="none"/>
        </w:rPr>
        <w:t>投标</w:t>
      </w:r>
      <w:r>
        <w:rPr>
          <w:color w:val="auto"/>
          <w:spacing w:val="2"/>
          <w:highlight w:val="none"/>
        </w:rPr>
        <w:t>人</w:t>
      </w:r>
      <w:r>
        <w:rPr>
          <w:color w:val="auto"/>
          <w:highlight w:val="none"/>
        </w:rPr>
        <w:t>的</w:t>
      </w:r>
      <w:r>
        <w:rPr>
          <w:color w:val="auto"/>
          <w:spacing w:val="2"/>
          <w:highlight w:val="none"/>
        </w:rPr>
        <w:t>权</w:t>
      </w:r>
      <w:r>
        <w:rPr>
          <w:color w:val="auto"/>
          <w:highlight w:val="none"/>
        </w:rPr>
        <w:t>重</w:t>
      </w:r>
      <w:r>
        <w:rPr>
          <w:color w:val="auto"/>
          <w:spacing w:val="2"/>
          <w:highlight w:val="none"/>
        </w:rPr>
        <w:t>为</w:t>
      </w:r>
      <w:r>
        <w:rPr>
          <w:color w:val="auto"/>
          <w:spacing w:val="1"/>
          <w:highlight w:val="none"/>
        </w:rPr>
        <w:t>（</w:t>
      </w:r>
      <w:r>
        <w:rPr>
          <w:color w:val="auto"/>
          <w:spacing w:val="1"/>
          <w:highlight w:val="none"/>
        </w:rPr>
        <w:drawing>
          <wp:inline distT="0" distB="0" distL="0" distR="0">
            <wp:extent cx="361950" cy="42862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a:picLocks noChangeAspect="1"/>
                    </pic:cNvPicPr>
                  </pic:nvPicPr>
                  <pic:blipFill>
                    <a:blip r:embed="rId27" cstate="print"/>
                    <a:stretch>
                      <a:fillRect/>
                    </a:stretch>
                  </pic:blipFill>
                  <pic:spPr>
                    <a:xfrm>
                      <a:off x="0" y="0"/>
                      <a:ext cx="361950" cy="428625"/>
                    </a:xfrm>
                    <a:prstGeom prst="rect">
                      <a:avLst/>
                    </a:prstGeom>
                  </pic:spPr>
                </pic:pic>
              </a:graphicData>
            </a:graphic>
          </wp:inline>
        </w:drawing>
      </w:r>
      <w:r>
        <w:rPr>
          <w:color w:val="auto"/>
          <w:spacing w:val="-120"/>
          <w:highlight w:val="none"/>
        </w:rPr>
        <w:t>）</w:t>
      </w:r>
      <w:r>
        <w:rPr>
          <w:color w:val="auto"/>
          <w:spacing w:val="2"/>
          <w:highlight w:val="none"/>
        </w:rPr>
        <w:t>，</w:t>
      </w:r>
      <w:r>
        <w:rPr>
          <w:color w:val="auto"/>
          <w:highlight w:val="none"/>
        </w:rPr>
        <w:t>第二</w:t>
      </w:r>
      <w:r>
        <w:rPr>
          <w:color w:val="auto"/>
          <w:spacing w:val="2"/>
          <w:highlight w:val="none"/>
        </w:rPr>
        <w:t>名</w:t>
      </w:r>
      <w:r>
        <w:rPr>
          <w:color w:val="auto"/>
          <w:highlight w:val="none"/>
        </w:rPr>
        <w:t>投</w:t>
      </w:r>
      <w:r>
        <w:rPr>
          <w:color w:val="auto"/>
          <w:spacing w:val="2"/>
          <w:highlight w:val="none"/>
        </w:rPr>
        <w:t>标</w:t>
      </w:r>
      <w:r>
        <w:rPr>
          <w:color w:val="auto"/>
          <w:highlight w:val="none"/>
        </w:rPr>
        <w:t>人</w:t>
      </w:r>
      <w:r>
        <w:rPr>
          <w:color w:val="auto"/>
          <w:spacing w:val="2"/>
          <w:highlight w:val="none"/>
        </w:rPr>
        <w:t>的</w:t>
      </w:r>
      <w:r>
        <w:rPr>
          <w:color w:val="auto"/>
          <w:highlight w:val="none"/>
        </w:rPr>
        <w:t>权</w:t>
      </w:r>
      <w:r>
        <w:rPr>
          <w:color w:val="auto"/>
          <w:spacing w:val="2"/>
          <w:highlight w:val="none"/>
        </w:rPr>
        <w:t>重为</w:t>
      </w:r>
      <w:r>
        <w:rPr>
          <w:color w:val="auto"/>
          <w:highlight w:val="none"/>
        </w:rPr>
        <w:t>（</w:t>
      </w:r>
      <w:r>
        <w:rPr>
          <w:rFonts w:hint="eastAsia"/>
          <w:color w:val="auto"/>
          <w:highlight w:val="none"/>
          <w:lang w:val="en-US" w:eastAsia="zh-CN"/>
        </w:rPr>
        <w:t xml:space="preserve">                     </w:t>
      </w:r>
      <w:r>
        <w:rPr>
          <w:color w:val="auto"/>
          <w:spacing w:val="-118"/>
          <w:highlight w:val="none"/>
        </w:rPr>
        <w:t>）</w:t>
      </w:r>
      <w:r>
        <w:rPr>
          <w:color w:val="auto"/>
          <w:highlight w:val="none"/>
        </w:rPr>
        <w:t>，</w:t>
      </w:r>
      <w:r>
        <w:rPr>
          <w:color w:val="auto"/>
          <w:spacing w:val="2"/>
          <w:highlight w:val="none"/>
        </w:rPr>
        <w:t>以</w:t>
      </w:r>
      <w:r>
        <w:rPr>
          <w:color w:val="auto"/>
          <w:highlight w:val="none"/>
        </w:rPr>
        <w:t>此</w:t>
      </w:r>
      <w:r>
        <w:rPr>
          <w:color w:val="auto"/>
          <w:spacing w:val="2"/>
          <w:highlight w:val="none"/>
        </w:rPr>
        <w:t>类</w:t>
      </w:r>
      <w:r>
        <w:rPr>
          <w:color w:val="auto"/>
          <w:highlight w:val="none"/>
        </w:rPr>
        <w:t>推</w:t>
      </w:r>
      <w:r>
        <w:rPr>
          <w:color w:val="auto"/>
          <w:spacing w:val="2"/>
          <w:highlight w:val="none"/>
        </w:rPr>
        <w:t>，</w:t>
      </w:r>
      <w:r>
        <w:rPr>
          <w:color w:val="auto"/>
          <w:highlight w:val="none"/>
        </w:rPr>
        <w:t>最</w:t>
      </w:r>
      <w:r>
        <w:rPr>
          <w:color w:val="auto"/>
          <w:spacing w:val="2"/>
          <w:highlight w:val="none"/>
        </w:rPr>
        <w:t>后</w:t>
      </w:r>
      <w:r>
        <w:rPr>
          <w:color w:val="auto"/>
          <w:highlight w:val="none"/>
        </w:rPr>
        <w:t>一名投标</w:t>
      </w:r>
      <w:r>
        <w:rPr>
          <w:color w:val="auto"/>
          <w:spacing w:val="-1"/>
          <w:highlight w:val="none"/>
        </w:rPr>
        <w:t>人</w:t>
      </w:r>
      <w:r>
        <w:rPr>
          <w:color w:val="auto"/>
          <w:highlight w:val="none"/>
        </w:rPr>
        <w:t>的权重为（</w:t>
      </w:r>
      <w:r>
        <w:rPr>
          <w:color w:val="auto"/>
          <w:spacing w:val="-1"/>
          <w:position w:val="-22"/>
          <w:highlight w:val="none"/>
        </w:rPr>
        <w:drawing>
          <wp:inline distT="0" distB="0" distL="0" distR="0">
            <wp:extent cx="323850" cy="36195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a:picLocks noChangeAspect="1"/>
                    </pic:cNvPicPr>
                  </pic:nvPicPr>
                  <pic:blipFill>
                    <a:blip r:embed="rId28" cstate="print"/>
                    <a:stretch>
                      <a:fillRect/>
                    </a:stretch>
                  </pic:blipFill>
                  <pic:spPr>
                    <a:xfrm>
                      <a:off x="0" y="0"/>
                      <a:ext cx="323850" cy="361950"/>
                    </a:xfrm>
                    <a:prstGeom prst="rect">
                      <a:avLst/>
                    </a:prstGeom>
                  </pic:spPr>
                </pic:pic>
              </a:graphicData>
            </a:graphic>
          </wp:inline>
        </w:drawing>
      </w:r>
      <w:r>
        <w:rPr>
          <w:color w:val="auto"/>
          <w:spacing w:val="-120"/>
          <w:highlight w:val="none"/>
        </w:rPr>
        <w:t>）</w:t>
      </w:r>
      <w:r>
        <w:rPr>
          <w:color w:val="auto"/>
          <w:highlight w:val="none"/>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color w:val="auto"/>
          <w:sz w:val="24"/>
          <w:highlight w:val="none"/>
          <w:lang w:eastAsia="zh-CN"/>
        </w:rPr>
      </w:pPr>
      <w:r>
        <w:rPr>
          <w:b/>
          <w:color w:val="auto"/>
          <w:sz w:val="24"/>
          <w:highlight w:val="none"/>
        </w:rPr>
        <w:t>方法二：区间抽取法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评标参考价=（Q高-Q低）/100*Ｘ+Q低</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Q低：为达到或超过技术标及格分数线的投标人最低报价与工程成本警示价两者中的较高值；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Q高：为（最高投标限价*D%）（D的取值范围为[94，100]，由招标人自定）</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X:为等分点值，在开标前从[0，100]整数中随机抽取</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40.4.3.2 当标价等于评标参考价时得100分，标价每高于评标参考价1%，扣1.5分，每低于评标参考价1%，扣1分，扣至0分为止，得出经济分，精确到小数点后两位。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40.4.3.3 评标委员会按照各投标人的经济分从高到低排列先后次序。经济分相同的投标文件，按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第31项的规定确定排序。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40.4.4 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 经济标的算术校核。评标委员会对进行经济标有效性审查的投标文件投标报价按照就低不就高的原则进行算术校核，具体标准如下：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40.4.5.1 如果数字表示的金额和用文字表示的金额不一致时，应以文字表示的金额为准；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40.4.5.2 经算术复核的投标人报价与其投标报价不一致时，按就低不就高原则确定其最终报价；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40.4.5.3 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40.4.5.4 当合价、金额累加错误时，按就低不就高原则，如果累加修正值小于原累加值，则按累加修正值；如果累加修正值大于原累加值，则按原累加值；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40.4.5.5 如果投标人的有关规费、暂列金额、暂估价、绿色施工安全防护措施费等未按招标文件规定的金额填写的，由评标委员会按照招标文件规定的金额进行修正；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40.4.5.7 按就低不就高原则，当修正后报价小于原报价，总价按修正后报价；当修正后报价大于原报价，总价按原报价，并在签订合同时载明在结算价中扣除修正报价与原报价的差额。</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40.4.5.8 按上述修正错误的原则及方法调整或修正投标文件的投标报价，调整后的投标报价对投标人起约束作用。如果投标人不接受修正后的报价，则取消其投标资格，并且其投标保证金也将不予退还。</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 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40.6 评标委员会应在通过投标文件经济标有效性审查的投标人中，按步骤40.4确定的投标人第二阶段排序，推荐前3名依次为第一中标候选人至第三中标候选人，并编制评标报告。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40.7 若通过经济标有效性审查的投标人不足三家，应当依法重新招标。（当N个标段同时招标且不允许兼中时，若有效投标人不足N+2家，应当依法重新招标）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outlineLvl w:val="3"/>
        <w:rPr>
          <w:rFonts w:hint="eastAsia" w:ascii="宋体" w:hAnsi="宋体" w:eastAsia="宋体" w:cs="宋体"/>
          <w:color w:val="auto"/>
          <w:sz w:val="24"/>
          <w:szCs w:val="24"/>
          <w:highlight w:val="none"/>
          <w:lang w:val="en-US" w:eastAsia="zh-CN" w:bidi="zh-CN"/>
        </w:rPr>
      </w:pPr>
      <w:bookmarkStart w:id="26" w:name="_可选办法五（适合综合评分法三，技术标与经济标先后分别开启）"/>
      <w:r>
        <w:rPr>
          <w:rFonts w:hint="eastAsia" w:ascii="宋体" w:hAnsi="宋体" w:eastAsia="宋体" w:cs="宋体"/>
          <w:color w:val="auto"/>
          <w:sz w:val="24"/>
          <w:szCs w:val="24"/>
          <w:highlight w:val="none"/>
          <w:lang w:val="en-US" w:eastAsia="zh-CN" w:bidi="zh-CN"/>
        </w:rPr>
        <w:t>可选办法五（适合综合评分法三，技术标与经济标先后分别开启）</w:t>
      </w:r>
    </w:p>
    <w:bookmarkEnd w:id="26"/>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38.开标和评标程序：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 投标人递交技术标、经济标投标文件；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38.2 技术标投标文件公开开标；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38.3 由评标委员会对所有已公开开标的投标人进行资格审查；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38.4 技术标投标文件有效性审查；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38.5 技术标详细审查评分；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38.6 计算第一阶段得分，并按照总分从高到低排列先后次序，编写第一阶段评审报告；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38.7 对通过技术标有效性审查的经济标投标文件公开开标；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38.8 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38.9 将进入第二阶段评审的投标人进行排序；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38.10 按排序对经济标投标文件进行有效性审查（含投标报价算术校核），直至评出所有中标候选人；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38.11 评标委员会编写评标报告，向招标人推荐中标候选人名单。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39.开标细则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39.1 开标由招标人主持；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 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39.2.1 投标截止期前，各投标人递交投标文件（包括技术标投标文件、经济标投标文件）至</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交</w:t>
      </w:r>
      <w:r>
        <w:rPr>
          <w:rFonts w:hint="eastAsia"/>
          <w:color w:val="auto"/>
          <w:sz w:val="24"/>
          <w:szCs w:val="24"/>
          <w:highlight w:val="none"/>
          <w:lang w:val="en-US" w:eastAsia="zh-CN"/>
        </w:rPr>
        <w:t>易平台。有关投标文件提交的事项详见第一章投标须知。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39.2.2 先开技术标；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39.2.3 对通过技术标有效性审查的投标人开启其经济标投标文件；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 按34.5.1的规定完成解密后，公布下列内容，并予以记录，记录提交评标委员会评审：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39.3.1 技术标开标时，公布：a、投标人名称；b、投标文件密封情况；c、法定代表人证明及授权委托；d、投标保证金；e、项目经理（负责人）名称等主要内容以及开标记录表中的其他必要内容。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39.3.2 经济标开标前，首先公布技术标通过有效性审查的投标人，招标人依次开启通过技术标有效性审查的投标人的经济标。开标时，公布：a、投标人名称；b、投标文件密封情况；c、投标报价等主要内容以及开标记录表中的其他必要内容。投标报价以数字和文字两种方式表述的，应公布文字表述的投标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39.4 招标人对开标过程进行记录，并存档备查，投标人在开标记录上签字。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39.5 招标人将上述符合要求的投标文件，送至评标委员会进行评审。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40.评标细则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40.1 评标委员会的组成：方式</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方式一：评标委员会为综合评标委员会，负责评标工作。</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方式二：评标委员会由技术评审组和经济评审组组成。其中：资格审查、技术评审由技术评标组负责，经济评审由经济评审组负责。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 投标人资格审查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40.2.2 汇总资格审查情况，编写资格审查报告。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40.2.3 资格审查不合格的投标文件不参加下一阶段的评标，不参与评标参考价的计算。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40.2.4 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40.2.5 资审合格后，投标人的资格发生变化而不满足投标人合格条件，在发出中标通知书前，资格问题仍未解决的，招标人将取消其中标资格。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40.2.6 资格审查合格的投标人少于3名的（当N个标段同时招标且不允许兼中时，资格审查合格的投标人少于N+2名），则本项目招标失败。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 第一阶段评审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40.3.1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40.3.2</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详细审查评分：评标委员会按照本办法附表</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详细审查评分表》对通过技术标有效性审查的投标文件进行详细审查，评出      得分。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40.3.3评标委员会按照“第一阶段得分=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”的公式及</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第27项的规定，计算各投标人第一阶段得分(按四舍五入的原则保留两位小数)，并按照得分从高到低排列先后次序，若投标人得分相同的，则名次并列，占用名次。编写第一阶段评审报告。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40.3.4招标人应在《</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》中明确选择使用施工企业总排名或相应的施工专业承包排名计分。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 第二阶段评审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40.4.1 开启经济标后，按照</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第25项规定，确定进入第二阶段评审的投标人。若在进入第二阶段的最后名次发生并列的，则所有并列的投标人均进入第二阶段。</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40.4.2 若进入第二阶段投标人中所有投标报价均大于等于最高投标限价*D%（D的取值范围为[94，100]，由招标人自主确定）的（具体金额为：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元），则本项目招标失败，由招标人依法重新招标。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 投标文件经济标的评分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40.4.3.1 按方法</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计算评标参考价：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方法一：加权平均法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技术标或技术标加诚信得分或第一阶段入围得分（具体由招标人自定）前N名（N≥5，具体由招标人自定）的经济报价加权平均，计算评标参考价。公式如下：评标参考价=Σ（投标人的投标报价*报价权重）。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drawing>
          <wp:anchor distT="0" distB="0" distL="0" distR="0" simplePos="0" relativeHeight="251664384" behindDoc="1" locked="0" layoutInCell="1" allowOverlap="1">
            <wp:simplePos x="0" y="0"/>
            <wp:positionH relativeFrom="page">
              <wp:posOffset>4421505</wp:posOffset>
            </wp:positionH>
            <wp:positionV relativeFrom="paragraph">
              <wp:posOffset>470535</wp:posOffset>
            </wp:positionV>
            <wp:extent cx="323850" cy="37147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pic:cNvPicPr>
                  </pic:nvPicPr>
                  <pic:blipFill>
                    <a:blip r:embed="rId26" cstate="print"/>
                    <a:stretch>
                      <a:fillRect/>
                    </a:stretch>
                  </pic:blipFill>
                  <pic:spPr>
                    <a:xfrm>
                      <a:off x="0" y="0"/>
                      <a:ext cx="323850" cy="371475"/>
                    </a:xfrm>
                    <a:prstGeom prst="rect">
                      <a:avLst/>
                    </a:prstGeom>
                  </pic:spPr>
                </pic:pic>
              </a:graphicData>
            </a:graphic>
          </wp:anchor>
        </w:drawing>
      </w:r>
      <w:r>
        <w:rPr>
          <w:rFonts w:hint="eastAsia"/>
          <w:color w:val="auto"/>
          <w:sz w:val="24"/>
          <w:szCs w:val="24"/>
          <w:highlight w:val="none"/>
          <w:lang w:val="en-US" w:eastAsia="zh-CN"/>
        </w:rPr>
        <w:t>其中：报价权重的计算方法为：将N名投标人按技术分由高至低进行排序，</w:t>
      </w:r>
      <w:r>
        <w:rPr>
          <w:color w:val="auto"/>
          <w:spacing w:val="-10"/>
          <w:sz w:val="24"/>
          <w:szCs w:val="24"/>
          <w:highlight w:val="none"/>
        </w:rPr>
        <w:t>第一名</w:t>
      </w:r>
      <w:r>
        <w:rPr>
          <w:color w:val="auto"/>
          <w:sz w:val="24"/>
          <w:szCs w:val="24"/>
          <w:highlight w:val="none"/>
        </w:rPr>
        <w:t>投标</w:t>
      </w:r>
      <w:r>
        <w:rPr>
          <w:color w:val="auto"/>
          <w:spacing w:val="2"/>
          <w:sz w:val="24"/>
          <w:szCs w:val="24"/>
          <w:highlight w:val="none"/>
        </w:rPr>
        <w:t>人</w:t>
      </w:r>
      <w:r>
        <w:rPr>
          <w:color w:val="auto"/>
          <w:sz w:val="24"/>
          <w:szCs w:val="24"/>
          <w:highlight w:val="none"/>
        </w:rPr>
        <w:t>的</w:t>
      </w:r>
      <w:r>
        <w:rPr>
          <w:color w:val="auto"/>
          <w:spacing w:val="2"/>
          <w:sz w:val="24"/>
          <w:szCs w:val="24"/>
          <w:highlight w:val="none"/>
        </w:rPr>
        <w:t>权</w:t>
      </w:r>
      <w:r>
        <w:rPr>
          <w:color w:val="auto"/>
          <w:sz w:val="24"/>
          <w:szCs w:val="24"/>
          <w:highlight w:val="none"/>
        </w:rPr>
        <w:t>重</w:t>
      </w:r>
      <w:r>
        <w:rPr>
          <w:color w:val="auto"/>
          <w:spacing w:val="2"/>
          <w:sz w:val="24"/>
          <w:szCs w:val="24"/>
          <w:highlight w:val="none"/>
        </w:rPr>
        <w:t>为</w:t>
      </w:r>
      <w:r>
        <w:rPr>
          <w:color w:val="auto"/>
          <w:spacing w:val="1"/>
          <w:sz w:val="24"/>
          <w:szCs w:val="24"/>
          <w:highlight w:val="none"/>
        </w:rPr>
        <w:t>（</w:t>
      </w:r>
      <w:r>
        <w:rPr>
          <w:color w:val="auto"/>
          <w:spacing w:val="1"/>
          <w:sz w:val="24"/>
          <w:szCs w:val="24"/>
          <w:highlight w:val="none"/>
        </w:rPr>
        <w:drawing>
          <wp:inline distT="0" distB="0" distL="0" distR="0">
            <wp:extent cx="361950" cy="42862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a:picLocks noChangeAspect="1"/>
                    </pic:cNvPicPr>
                  </pic:nvPicPr>
                  <pic:blipFill>
                    <a:blip r:embed="rId27" cstate="print"/>
                    <a:stretch>
                      <a:fillRect/>
                    </a:stretch>
                  </pic:blipFill>
                  <pic:spPr>
                    <a:xfrm>
                      <a:off x="0" y="0"/>
                      <a:ext cx="361950" cy="428625"/>
                    </a:xfrm>
                    <a:prstGeom prst="rect">
                      <a:avLst/>
                    </a:prstGeom>
                  </pic:spPr>
                </pic:pic>
              </a:graphicData>
            </a:graphic>
          </wp:inline>
        </w:drawing>
      </w:r>
      <w:r>
        <w:rPr>
          <w:color w:val="auto"/>
          <w:spacing w:val="-120"/>
          <w:sz w:val="24"/>
          <w:szCs w:val="24"/>
          <w:highlight w:val="none"/>
        </w:rPr>
        <w:t>）</w:t>
      </w:r>
      <w:r>
        <w:rPr>
          <w:color w:val="auto"/>
          <w:spacing w:val="2"/>
          <w:sz w:val="24"/>
          <w:szCs w:val="24"/>
          <w:highlight w:val="none"/>
        </w:rPr>
        <w:t>，</w:t>
      </w:r>
      <w:r>
        <w:rPr>
          <w:color w:val="auto"/>
          <w:sz w:val="24"/>
          <w:szCs w:val="24"/>
          <w:highlight w:val="none"/>
        </w:rPr>
        <w:t>第二</w:t>
      </w:r>
      <w:r>
        <w:rPr>
          <w:color w:val="auto"/>
          <w:spacing w:val="2"/>
          <w:sz w:val="24"/>
          <w:szCs w:val="24"/>
          <w:highlight w:val="none"/>
        </w:rPr>
        <w:t>名</w:t>
      </w:r>
      <w:r>
        <w:rPr>
          <w:color w:val="auto"/>
          <w:sz w:val="24"/>
          <w:szCs w:val="24"/>
          <w:highlight w:val="none"/>
        </w:rPr>
        <w:t>投</w:t>
      </w:r>
      <w:r>
        <w:rPr>
          <w:color w:val="auto"/>
          <w:spacing w:val="2"/>
          <w:sz w:val="24"/>
          <w:szCs w:val="24"/>
          <w:highlight w:val="none"/>
        </w:rPr>
        <w:t>标</w:t>
      </w:r>
      <w:r>
        <w:rPr>
          <w:color w:val="auto"/>
          <w:sz w:val="24"/>
          <w:szCs w:val="24"/>
          <w:highlight w:val="none"/>
        </w:rPr>
        <w:t>人</w:t>
      </w:r>
      <w:r>
        <w:rPr>
          <w:color w:val="auto"/>
          <w:spacing w:val="2"/>
          <w:sz w:val="24"/>
          <w:szCs w:val="24"/>
          <w:highlight w:val="none"/>
        </w:rPr>
        <w:t>的</w:t>
      </w:r>
      <w:r>
        <w:rPr>
          <w:color w:val="auto"/>
          <w:sz w:val="24"/>
          <w:szCs w:val="24"/>
          <w:highlight w:val="none"/>
        </w:rPr>
        <w:t>权</w:t>
      </w:r>
      <w:r>
        <w:rPr>
          <w:color w:val="auto"/>
          <w:spacing w:val="2"/>
          <w:sz w:val="24"/>
          <w:szCs w:val="24"/>
          <w:highlight w:val="none"/>
        </w:rPr>
        <w:t>重为</w:t>
      </w:r>
      <w:r>
        <w:rPr>
          <w:color w:val="auto"/>
          <w:sz w:val="24"/>
          <w:szCs w:val="24"/>
          <w:highlight w:val="none"/>
        </w:rPr>
        <w:t>（</w:t>
      </w:r>
      <w:r>
        <w:rPr>
          <w:rFonts w:hint="eastAsia"/>
          <w:color w:val="auto"/>
          <w:sz w:val="24"/>
          <w:szCs w:val="24"/>
          <w:highlight w:val="none"/>
          <w:lang w:val="en-US" w:eastAsia="zh-CN"/>
        </w:rPr>
        <w:t xml:space="preserve">               </w:t>
      </w:r>
      <w:r>
        <w:rPr>
          <w:color w:val="auto"/>
          <w:spacing w:val="-118"/>
          <w:sz w:val="24"/>
          <w:szCs w:val="24"/>
          <w:highlight w:val="none"/>
        </w:rPr>
        <w:t>）</w:t>
      </w:r>
      <w:r>
        <w:rPr>
          <w:color w:val="auto"/>
          <w:sz w:val="24"/>
          <w:szCs w:val="24"/>
          <w:highlight w:val="none"/>
        </w:rPr>
        <w:t>，</w:t>
      </w:r>
      <w:r>
        <w:rPr>
          <w:color w:val="auto"/>
          <w:spacing w:val="2"/>
          <w:sz w:val="24"/>
          <w:szCs w:val="24"/>
          <w:highlight w:val="none"/>
        </w:rPr>
        <w:t>以</w:t>
      </w:r>
      <w:r>
        <w:rPr>
          <w:color w:val="auto"/>
          <w:sz w:val="24"/>
          <w:szCs w:val="24"/>
          <w:highlight w:val="none"/>
        </w:rPr>
        <w:t>此</w:t>
      </w:r>
      <w:r>
        <w:rPr>
          <w:color w:val="auto"/>
          <w:spacing w:val="2"/>
          <w:sz w:val="24"/>
          <w:szCs w:val="24"/>
          <w:highlight w:val="none"/>
        </w:rPr>
        <w:t>类</w:t>
      </w:r>
      <w:r>
        <w:rPr>
          <w:color w:val="auto"/>
          <w:sz w:val="24"/>
          <w:szCs w:val="24"/>
          <w:highlight w:val="none"/>
        </w:rPr>
        <w:t>推</w:t>
      </w:r>
      <w:r>
        <w:rPr>
          <w:color w:val="auto"/>
          <w:spacing w:val="2"/>
          <w:sz w:val="24"/>
          <w:szCs w:val="24"/>
          <w:highlight w:val="none"/>
        </w:rPr>
        <w:t>，</w:t>
      </w:r>
      <w:r>
        <w:rPr>
          <w:color w:val="auto"/>
          <w:sz w:val="24"/>
          <w:szCs w:val="24"/>
          <w:highlight w:val="none"/>
        </w:rPr>
        <w:t>最</w:t>
      </w:r>
      <w:r>
        <w:rPr>
          <w:color w:val="auto"/>
          <w:spacing w:val="2"/>
          <w:sz w:val="24"/>
          <w:szCs w:val="24"/>
          <w:highlight w:val="none"/>
        </w:rPr>
        <w:t>后</w:t>
      </w:r>
      <w:r>
        <w:rPr>
          <w:color w:val="auto"/>
          <w:sz w:val="24"/>
          <w:szCs w:val="24"/>
          <w:highlight w:val="none"/>
        </w:rPr>
        <w:t>一名投标</w:t>
      </w:r>
      <w:r>
        <w:rPr>
          <w:color w:val="auto"/>
          <w:spacing w:val="-1"/>
          <w:sz w:val="24"/>
          <w:szCs w:val="24"/>
          <w:highlight w:val="none"/>
        </w:rPr>
        <w:t>人</w:t>
      </w:r>
      <w:r>
        <w:rPr>
          <w:color w:val="auto"/>
          <w:sz w:val="24"/>
          <w:szCs w:val="24"/>
          <w:highlight w:val="none"/>
        </w:rPr>
        <w:t>的权重为（</w:t>
      </w:r>
      <w:r>
        <w:rPr>
          <w:color w:val="auto"/>
          <w:spacing w:val="-1"/>
          <w:position w:val="-22"/>
          <w:sz w:val="24"/>
          <w:szCs w:val="24"/>
          <w:highlight w:val="none"/>
        </w:rPr>
        <w:drawing>
          <wp:inline distT="0" distB="0" distL="0" distR="0">
            <wp:extent cx="323850" cy="36195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png"/>
                    <pic:cNvPicPr>
                      <a:picLocks noChangeAspect="1"/>
                    </pic:cNvPicPr>
                  </pic:nvPicPr>
                  <pic:blipFill>
                    <a:blip r:embed="rId28" cstate="print"/>
                    <a:stretch>
                      <a:fillRect/>
                    </a:stretch>
                  </pic:blipFill>
                  <pic:spPr>
                    <a:xfrm>
                      <a:off x="0" y="0"/>
                      <a:ext cx="323850" cy="361950"/>
                    </a:xfrm>
                    <a:prstGeom prst="rect">
                      <a:avLst/>
                    </a:prstGeom>
                  </pic:spPr>
                </pic:pic>
              </a:graphicData>
            </a:graphic>
          </wp:inline>
        </w:drawing>
      </w:r>
      <w:r>
        <w:rPr>
          <w:color w:val="auto"/>
          <w:spacing w:val="-120"/>
          <w:sz w:val="24"/>
          <w:szCs w:val="24"/>
          <w:highlight w:val="none"/>
        </w:rPr>
        <w:t>）</w:t>
      </w:r>
      <w:r>
        <w:rPr>
          <w:color w:val="auto"/>
          <w:sz w:val="24"/>
          <w:szCs w:val="24"/>
          <w:highlight w:val="none"/>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方法二：区间抽取法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评标参考价=（Q高-Q低）/100*Ｘ+Q低</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Q低：为达到或超过技术标及格分数线的投标人最低报价与工程成本警示价两者中的较高值；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Q高：为（最高投标限价*D%）（D的取值范围为[94，100]，由招标人自定）</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X:为等分点值，在开标前从[0，100]整数中随机抽取</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40.4.3.2 当标价等于评标参考价时得100分，标价每高于评标参考价1%，扣1.5分，每低于评标参考价1%，扣1分，扣至0分为止，得出经济分，精确到小数点后两位。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40.4.3.3 评标委员会按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第32项的规定确定排序。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40.4.4 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 经济标的算术校核。评标委员会对进行经济标有效性审查的投标文件投标报价按照就低不就高的原则进行算术校核，具体标准如下：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40.4.5.1 如果数字表示的金额和用文字表示的金额不一致时，应以文字表示的金额为准；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40.4.5.2 经算术复核的投标人报价与其投标报价不一致时，按就低不就高原则确定其最终报价；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40.4.5.3 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40.4.5.4 当合价、金额累加错误时，按就低不就高原则，如果累加修正值小于原累加值，则按累加修正值；如果累加修正值大于原累加值，则按原累加值；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40.4.5.5 如果投标人的有关规费、暂列金额、暂估价、绿色施工安全防护措施费等未按招标文件规定的金额填写的，由评标委员会按照招标文件规定的金额进行修正；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40.4.5.7 按就低不就高原则，当修正后报价小于原报价，总价按修正后报价；当修正后报价大于原报价，总价按原报价，并在签订合同时载明在结算价中扣除修正报价与原报价的差额。</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40.4.5.8 按上述修正错误的原则及方法调整或修正投标文件的投标报价，调整后的投标报价对投标人起约束作用。如果投标人不接受修正后的报价，则取消其投标资格，并且其投标保证金也将不予退还。</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 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40.6 评标委员会应在通过投标文件经济标有效性审查的投标人中，按步骤40.4确定的投标人第二阶段排序，推荐前3名依次为第一中标候选人至第三中标候选人，并编制评标报告。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40.7 若通过经济标有效性审查的投标人不足三家，应当依法重新招标。（当N个标段同时招标且不允许兼中时，若有效投标人不足N+2家，应当依法重新招标）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both"/>
        <w:textAlignment w:val="auto"/>
        <w:outlineLvl w:val="3"/>
        <w:rPr>
          <w:rFonts w:hint="eastAsia" w:ascii="宋体" w:hAnsi="宋体" w:eastAsia="宋体" w:cs="宋体"/>
          <w:color w:val="auto"/>
          <w:sz w:val="24"/>
          <w:szCs w:val="24"/>
          <w:highlight w:val="none"/>
          <w:lang w:val="en-US" w:eastAsia="zh-CN" w:bidi="zh-CN"/>
        </w:rPr>
      </w:pPr>
      <w:bookmarkStart w:id="27" w:name="_可选办法六（适合综合评分法三，技术标与经济标同时开启）"/>
      <w:r>
        <w:rPr>
          <w:rFonts w:hint="eastAsia" w:ascii="宋体" w:hAnsi="宋体" w:eastAsia="宋体" w:cs="宋体"/>
          <w:color w:val="auto"/>
          <w:sz w:val="24"/>
          <w:szCs w:val="24"/>
          <w:highlight w:val="none"/>
          <w:lang w:val="en-US" w:eastAsia="zh-CN" w:bidi="zh-CN"/>
        </w:rPr>
        <w:t>可选办法六（适合综合评分法三，技术标与经济标同时开启）</w:t>
      </w:r>
    </w:p>
    <w:bookmarkEnd w:id="27"/>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38.开标和评标程序：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 投标人递交技术标、经济标投标文件；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38.2 技术标与经济标投标文件同时公开开标；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38.3 由评标委员会对所有已公开开标的投标人进行资格审查；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38.4 技术标投标文件有效性审查；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38.5 技术标详细审查评分；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38.6 计算第一阶段得分，并按照总分从高到低排列先后次序，编写第一阶段评审报告；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38.7 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38.8 将进入第二阶段评审的投标人进行排序；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38.9 按排序对经济标投标文件进行有效性审查（含投标报价算术校核），直至评出所有中标候选人；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38.10 评标委员会编写评标报告，向招标人推荐中标候选人名单。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39.开标细则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39.1 开标由招标人主持；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 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39.2.1投标截止期前，各投标人递交投标文件（包括技术标投标文件、经济标投标文件）至</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交易平台。有关投标文件提交的事项详见第一章投标须知。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39.2.2 开标时，投标人代表有权出席开标会或在线开标，也可以自主决定不参加开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 按34.5.1的规定完成解密后，公布下列内容，并予以记录，记录提交评标委员会评审：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39.3.1 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39.4 招标人对开标过程进行记录，并存档备查，投标人在开标记录上签字。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39.5 招标人将上述符合要求的投标文件，送至评标委员会进行评审。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40.评标细则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40.1 评标委员会的组成：方式</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方式一：评标委员会为综合评标委员会，负责评标工作。</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方式二：评标委员会由技术评审组和经济评审组组成。其中：资格审查、技术评审由技术评标组负责，经济评审由经济评审组负责。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 投标人资格审查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40.2.2 汇总资格审查情况，编写资格审查报告。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40.2.3 资格审查不合格的投标文件不参加下一阶段的评标，不参与评标参考价的计算。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40.2.4 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40.2.5 资审合格后，投标人的资格发生变化而不满足投标人合格条件，在发出中标通知书前，资格问题仍未解决的，招标人将取消其中标资格。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40.2.6 资格审查合格的投标人少于3名的（当N个标段同时招标且不允许兼中时，资格审查合格的投标人少于N+2名），则本项目招标失败。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 第一阶段评审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40.3.1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 xml:space="preserve">40.3.2 </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详细审查评分：评标委员会按照本办法附表</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详细审查评分表》对通过技术标有效性审查的投标文件进行详细审查，评出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得分。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40.3.4 评标委员会按照“第一阶段得分=</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的公式及</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27项的规定，计算各投标人第一阶段得分(按四舍五入的原则保留两位小数)，并按照得分从高到低排列先后次序，若投标人得分相同的，则名次并列，占用名次。编写第一阶段评审报告。（适用于进行了技术标评分的）</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40.3.5 招标人应在《</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》中明确选择使用施工企业总排名或相应的施工专业承包排名计分。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 第二阶段评审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40.4.1 按照</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第25项规定，确定进入第二阶段评审的投标人。若在进入第二阶段的最后名次发生并列的，则所有并列的投标人均进入第二阶段。</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40.4.2 若进入第二阶段投标人中所有投标报价均大于等于最高投标限价*D%（D的取值范围为[94，100]，由招标人自主确定）的（具体金额为：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元），则本项目招标失败，由招标人依法重新招标。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 投标文件经济标的评分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40.4.3.1 按方法</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计算评标参考价：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方法一：加权平均法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技术标或技术标加诚信得分或第一阶段入围得分（具体由招标人自定）前N名（N≥5，具体由招标人自定）的经济报价加权平均，计算评标参考价。公式如下：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评标参考价=Σ（投标人的投标报价*报价权重）。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drawing>
          <wp:anchor distT="0" distB="0" distL="0" distR="0" simplePos="0" relativeHeight="251665408" behindDoc="1" locked="0" layoutInCell="1" allowOverlap="1">
            <wp:simplePos x="0" y="0"/>
            <wp:positionH relativeFrom="page">
              <wp:posOffset>4421505</wp:posOffset>
            </wp:positionH>
            <wp:positionV relativeFrom="paragraph">
              <wp:posOffset>469900</wp:posOffset>
            </wp:positionV>
            <wp:extent cx="323850" cy="37147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a:picLocks noChangeAspect="1"/>
                    </pic:cNvPicPr>
                  </pic:nvPicPr>
                  <pic:blipFill>
                    <a:blip r:embed="rId26" cstate="print"/>
                    <a:stretch>
                      <a:fillRect/>
                    </a:stretch>
                  </pic:blipFill>
                  <pic:spPr>
                    <a:xfrm>
                      <a:off x="0" y="0"/>
                      <a:ext cx="323850" cy="371475"/>
                    </a:xfrm>
                    <a:prstGeom prst="rect">
                      <a:avLst/>
                    </a:prstGeom>
                  </pic:spPr>
                </pic:pic>
              </a:graphicData>
            </a:graphic>
          </wp:anchor>
        </w:drawing>
      </w:r>
      <w:r>
        <w:rPr>
          <w:rFonts w:hint="eastAsia"/>
          <w:color w:val="auto"/>
          <w:sz w:val="24"/>
          <w:szCs w:val="24"/>
          <w:highlight w:val="none"/>
          <w:lang w:val="en-US" w:eastAsia="zh-CN"/>
        </w:rPr>
        <w:t>其中：报价权重的计算方法为：将N名投标人按技术分由高至低进行排序，</w:t>
      </w:r>
      <w:r>
        <w:rPr>
          <w:color w:val="auto"/>
          <w:spacing w:val="-10"/>
          <w:sz w:val="24"/>
          <w:szCs w:val="24"/>
          <w:highlight w:val="none"/>
        </w:rPr>
        <w:t>第一名</w:t>
      </w:r>
      <w:r>
        <w:rPr>
          <w:color w:val="auto"/>
          <w:sz w:val="24"/>
          <w:szCs w:val="24"/>
          <w:highlight w:val="none"/>
        </w:rPr>
        <w:t>投标</w:t>
      </w:r>
      <w:r>
        <w:rPr>
          <w:color w:val="auto"/>
          <w:spacing w:val="2"/>
          <w:sz w:val="24"/>
          <w:szCs w:val="24"/>
          <w:highlight w:val="none"/>
        </w:rPr>
        <w:t>人</w:t>
      </w:r>
      <w:r>
        <w:rPr>
          <w:color w:val="auto"/>
          <w:sz w:val="24"/>
          <w:szCs w:val="24"/>
          <w:highlight w:val="none"/>
        </w:rPr>
        <w:t>的</w:t>
      </w:r>
      <w:r>
        <w:rPr>
          <w:color w:val="auto"/>
          <w:spacing w:val="2"/>
          <w:sz w:val="24"/>
          <w:szCs w:val="24"/>
          <w:highlight w:val="none"/>
        </w:rPr>
        <w:t>权</w:t>
      </w:r>
      <w:r>
        <w:rPr>
          <w:color w:val="auto"/>
          <w:sz w:val="24"/>
          <w:szCs w:val="24"/>
          <w:highlight w:val="none"/>
        </w:rPr>
        <w:t>重</w:t>
      </w:r>
      <w:r>
        <w:rPr>
          <w:color w:val="auto"/>
          <w:spacing w:val="2"/>
          <w:sz w:val="24"/>
          <w:szCs w:val="24"/>
          <w:highlight w:val="none"/>
        </w:rPr>
        <w:t>为</w:t>
      </w:r>
      <w:r>
        <w:rPr>
          <w:color w:val="auto"/>
          <w:spacing w:val="1"/>
          <w:sz w:val="24"/>
          <w:szCs w:val="24"/>
          <w:highlight w:val="none"/>
        </w:rPr>
        <w:t>（</w:t>
      </w:r>
      <w:r>
        <w:rPr>
          <w:color w:val="auto"/>
          <w:spacing w:val="1"/>
          <w:sz w:val="24"/>
          <w:szCs w:val="24"/>
          <w:highlight w:val="none"/>
        </w:rPr>
        <w:drawing>
          <wp:inline distT="0" distB="0" distL="0" distR="0">
            <wp:extent cx="361950" cy="428625"/>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a:picLocks noChangeAspect="1"/>
                    </pic:cNvPicPr>
                  </pic:nvPicPr>
                  <pic:blipFill>
                    <a:blip r:embed="rId27" cstate="print"/>
                    <a:stretch>
                      <a:fillRect/>
                    </a:stretch>
                  </pic:blipFill>
                  <pic:spPr>
                    <a:xfrm>
                      <a:off x="0" y="0"/>
                      <a:ext cx="361950" cy="428625"/>
                    </a:xfrm>
                    <a:prstGeom prst="rect">
                      <a:avLst/>
                    </a:prstGeom>
                  </pic:spPr>
                </pic:pic>
              </a:graphicData>
            </a:graphic>
          </wp:inline>
        </w:drawing>
      </w:r>
      <w:r>
        <w:rPr>
          <w:color w:val="auto"/>
          <w:spacing w:val="-120"/>
          <w:sz w:val="24"/>
          <w:szCs w:val="24"/>
          <w:highlight w:val="none"/>
        </w:rPr>
        <w:t>）</w:t>
      </w:r>
      <w:r>
        <w:rPr>
          <w:color w:val="auto"/>
          <w:spacing w:val="2"/>
          <w:sz w:val="24"/>
          <w:szCs w:val="24"/>
          <w:highlight w:val="none"/>
        </w:rPr>
        <w:t>，</w:t>
      </w:r>
      <w:r>
        <w:rPr>
          <w:color w:val="auto"/>
          <w:sz w:val="24"/>
          <w:szCs w:val="24"/>
          <w:highlight w:val="none"/>
        </w:rPr>
        <w:t>第二</w:t>
      </w:r>
      <w:r>
        <w:rPr>
          <w:color w:val="auto"/>
          <w:spacing w:val="2"/>
          <w:sz w:val="24"/>
          <w:szCs w:val="24"/>
          <w:highlight w:val="none"/>
        </w:rPr>
        <w:t>名</w:t>
      </w:r>
      <w:r>
        <w:rPr>
          <w:color w:val="auto"/>
          <w:sz w:val="24"/>
          <w:szCs w:val="24"/>
          <w:highlight w:val="none"/>
        </w:rPr>
        <w:t>投</w:t>
      </w:r>
      <w:r>
        <w:rPr>
          <w:color w:val="auto"/>
          <w:spacing w:val="2"/>
          <w:sz w:val="24"/>
          <w:szCs w:val="24"/>
          <w:highlight w:val="none"/>
        </w:rPr>
        <w:t>标</w:t>
      </w:r>
      <w:r>
        <w:rPr>
          <w:color w:val="auto"/>
          <w:sz w:val="24"/>
          <w:szCs w:val="24"/>
          <w:highlight w:val="none"/>
        </w:rPr>
        <w:t>人</w:t>
      </w:r>
      <w:r>
        <w:rPr>
          <w:color w:val="auto"/>
          <w:spacing w:val="2"/>
          <w:sz w:val="24"/>
          <w:szCs w:val="24"/>
          <w:highlight w:val="none"/>
        </w:rPr>
        <w:t>的</w:t>
      </w:r>
      <w:r>
        <w:rPr>
          <w:color w:val="auto"/>
          <w:sz w:val="24"/>
          <w:szCs w:val="24"/>
          <w:highlight w:val="none"/>
        </w:rPr>
        <w:t>权</w:t>
      </w:r>
      <w:r>
        <w:rPr>
          <w:color w:val="auto"/>
          <w:spacing w:val="2"/>
          <w:sz w:val="24"/>
          <w:szCs w:val="24"/>
          <w:highlight w:val="none"/>
        </w:rPr>
        <w:t>重为</w:t>
      </w:r>
      <w:r>
        <w:rPr>
          <w:color w:val="auto"/>
          <w:sz w:val="24"/>
          <w:szCs w:val="24"/>
          <w:highlight w:val="none"/>
        </w:rPr>
        <w:t>（</w:t>
      </w:r>
      <w:r>
        <w:rPr>
          <w:rFonts w:hint="eastAsia"/>
          <w:color w:val="auto"/>
          <w:sz w:val="24"/>
          <w:szCs w:val="24"/>
          <w:highlight w:val="none"/>
          <w:lang w:val="en-US" w:eastAsia="zh-CN"/>
        </w:rPr>
        <w:t xml:space="preserve">              </w:t>
      </w:r>
      <w:r>
        <w:rPr>
          <w:color w:val="auto"/>
          <w:spacing w:val="-118"/>
          <w:sz w:val="24"/>
          <w:szCs w:val="24"/>
          <w:highlight w:val="none"/>
        </w:rPr>
        <w:t>）</w:t>
      </w:r>
      <w:r>
        <w:rPr>
          <w:color w:val="auto"/>
          <w:sz w:val="24"/>
          <w:szCs w:val="24"/>
          <w:highlight w:val="none"/>
        </w:rPr>
        <w:t>，</w:t>
      </w:r>
      <w:r>
        <w:rPr>
          <w:color w:val="auto"/>
          <w:spacing w:val="2"/>
          <w:sz w:val="24"/>
          <w:szCs w:val="24"/>
          <w:highlight w:val="none"/>
        </w:rPr>
        <w:t>以</w:t>
      </w:r>
      <w:r>
        <w:rPr>
          <w:color w:val="auto"/>
          <w:sz w:val="24"/>
          <w:szCs w:val="24"/>
          <w:highlight w:val="none"/>
        </w:rPr>
        <w:t>此</w:t>
      </w:r>
      <w:r>
        <w:rPr>
          <w:color w:val="auto"/>
          <w:spacing w:val="2"/>
          <w:sz w:val="24"/>
          <w:szCs w:val="24"/>
          <w:highlight w:val="none"/>
        </w:rPr>
        <w:t>类</w:t>
      </w:r>
      <w:r>
        <w:rPr>
          <w:color w:val="auto"/>
          <w:sz w:val="24"/>
          <w:szCs w:val="24"/>
          <w:highlight w:val="none"/>
        </w:rPr>
        <w:t>推</w:t>
      </w:r>
      <w:r>
        <w:rPr>
          <w:color w:val="auto"/>
          <w:spacing w:val="2"/>
          <w:sz w:val="24"/>
          <w:szCs w:val="24"/>
          <w:highlight w:val="none"/>
        </w:rPr>
        <w:t>，</w:t>
      </w:r>
      <w:r>
        <w:rPr>
          <w:color w:val="auto"/>
          <w:sz w:val="24"/>
          <w:szCs w:val="24"/>
          <w:highlight w:val="none"/>
        </w:rPr>
        <w:t>最</w:t>
      </w:r>
      <w:r>
        <w:rPr>
          <w:color w:val="auto"/>
          <w:spacing w:val="2"/>
          <w:sz w:val="24"/>
          <w:szCs w:val="24"/>
          <w:highlight w:val="none"/>
        </w:rPr>
        <w:t>后</w:t>
      </w:r>
      <w:r>
        <w:rPr>
          <w:color w:val="auto"/>
          <w:sz w:val="24"/>
          <w:szCs w:val="24"/>
          <w:highlight w:val="none"/>
        </w:rPr>
        <w:t>一名投标</w:t>
      </w:r>
      <w:r>
        <w:rPr>
          <w:color w:val="auto"/>
          <w:spacing w:val="-1"/>
          <w:sz w:val="24"/>
          <w:szCs w:val="24"/>
          <w:highlight w:val="none"/>
        </w:rPr>
        <w:t>人</w:t>
      </w:r>
      <w:r>
        <w:rPr>
          <w:color w:val="auto"/>
          <w:sz w:val="24"/>
          <w:szCs w:val="24"/>
          <w:highlight w:val="none"/>
        </w:rPr>
        <w:t>的权重为（</w:t>
      </w:r>
      <w:r>
        <w:rPr>
          <w:color w:val="auto"/>
          <w:spacing w:val="-1"/>
          <w:position w:val="-22"/>
          <w:sz w:val="24"/>
          <w:szCs w:val="24"/>
          <w:highlight w:val="none"/>
        </w:rPr>
        <w:drawing>
          <wp:inline distT="0" distB="0" distL="0" distR="0">
            <wp:extent cx="323850" cy="361950"/>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png"/>
                    <pic:cNvPicPr>
                      <a:picLocks noChangeAspect="1"/>
                    </pic:cNvPicPr>
                  </pic:nvPicPr>
                  <pic:blipFill>
                    <a:blip r:embed="rId28" cstate="print"/>
                    <a:stretch>
                      <a:fillRect/>
                    </a:stretch>
                  </pic:blipFill>
                  <pic:spPr>
                    <a:xfrm>
                      <a:off x="0" y="0"/>
                      <a:ext cx="323850" cy="361950"/>
                    </a:xfrm>
                    <a:prstGeom prst="rect">
                      <a:avLst/>
                    </a:prstGeom>
                  </pic:spPr>
                </pic:pic>
              </a:graphicData>
            </a:graphic>
          </wp:inline>
        </w:drawing>
      </w:r>
      <w:r>
        <w:rPr>
          <w:color w:val="auto"/>
          <w:spacing w:val="-120"/>
          <w:sz w:val="24"/>
          <w:szCs w:val="24"/>
          <w:highlight w:val="none"/>
        </w:rPr>
        <w:t>）</w:t>
      </w:r>
      <w:r>
        <w:rPr>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before="0" w:line="360" w:lineRule="auto"/>
        <w:ind w:left="0" w:firstLine="482" w:firstLineChars="200"/>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方法二：区间抽取法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评标参考价=（Q高-Q低）/100*Ｘ+Q低</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Q低：为达到或超过技术标及格分数线的投标人最低报价与工程成本警示价两者中的较高值；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Q高：为（最高投标限价*D%）（D的取值范围为[94，100]，由招标人自定）</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X:为等分点值，在开标前从[0，100]整数中随机抽取</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40.4.3.2 当标价等于评标参考价时得100分，标价每高于评标参考价1%，扣1.5分，每低于评标参考价1%，扣1分，扣至0分为止，得出经济分，精确到小数点后两位。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40.4.3.3 评标委员会按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第32项的规定确定排序。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40.4.4 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 经济标的算术校核。评标委员会对进行经济标有效性审查的投标文件投标报价按照就低不就高的原则进行算术校核，具体标准如下：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40.4.5.1 如果数字表示的金额和用文字表示的金额不一致时，应以文字表示的金额为准；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40.4.5.2 经算术复核的投标人报价与其投标报价不一致时，按就低不就高原则确定其最终报价；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40.4.5.3 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40.4.5.4 当合价、金额累加错误时，按就低不就高原则，如果累加修正值小于原累加值，则按累加修正值；如果累加修正值大于原累加值，则按原累加值；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40.4.5.5 如果投标人的有关规费、暂列金额、暂估价、绿色施工安全防护措施费等未按招标文件规定的金额填写的，由评标委员会按照招标文件规定的金额进行修正；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40.4.5.7 按就低不就高原则，当修正后报价小于原报价，总价按修正后报价；当修正后报价大于原报价，总价按原报价，并在签订合同时载明在结算价中扣除修正报价与原报价的差额。</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40.4.5.8 按上述修正错误的原则及方法调整或修正投标文件的投标报价，调整后的投标报价对投标人起约束作用。如果投标人不接受修正后的报价，则取消其投标资格，并且其投标保证金也将不予退还。</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 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40.6 评标委员会应在通过投标文件经济标有效性审查的投标人中，按步骤40.4确定的投标人第二阶段排序，推荐前3名依次为第一中标候选人至第三中标候选人，并编制评标报告。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40.7 若通过经济标有效性审查的投标人不足三家，应当依法重新招标。（当N个标段同时招标且不允许兼中时，若有效投标人不足N+2家，应当依法重新招标）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outlineLvl w:val="3"/>
        <w:rPr>
          <w:rFonts w:hint="eastAsia" w:eastAsia="宋体"/>
          <w:color w:val="auto"/>
          <w:highlight w:val="none"/>
          <w:lang w:eastAsia="zh-CN"/>
        </w:rPr>
      </w:pPr>
      <w:bookmarkStart w:id="28" w:name="_可选办法七（适合综合评分法四，技术标与经济标同时开启）"/>
      <w:r>
        <w:rPr>
          <w:rFonts w:hint="eastAsia" w:ascii="宋体" w:hAnsi="宋体" w:eastAsia="宋体" w:cs="宋体"/>
          <w:b/>
          <w:bCs/>
          <w:color w:val="auto"/>
          <w:sz w:val="24"/>
          <w:szCs w:val="24"/>
          <w:highlight w:val="none"/>
          <w:lang w:val="en-US" w:eastAsia="zh-CN" w:bidi="zh-CN"/>
        </w:rPr>
        <w:t>可选办法七（适合综合评分法四，技术标与经济标同时开启）</w:t>
      </w:r>
    </w:p>
    <w:bookmarkEnd w:id="28"/>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38.开标和评标程序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 技术标（含资格审查文件）与经济标投标文件同时公开开标；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38.2 由评标委员会对所有已公开开标的投标人进行资格审查；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38.3 技术标投标文件有效性审查；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38.4 技术标详细审查评分；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38.5 经济标详细审查评分；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38.6 评标委员会按照投标人总得分由高至低排序；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38.7 经济标投标文件有效性审查；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38.8 评标委员会按排序向招标人推荐中标候选人名单，并递交资格审查报告及评标报告。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39.开标细则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39.1 开标由招标人主持；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 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39.2.1 投标截止期前，各投标人递交投标文件（包括技术标投标文件、经济标投标文件）至</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交易平台。有关投标文件提交的事项详见第一章投标须知。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39.2.2 开标前，首先由招标人随机抽取确定该工程计算评标参考价的等分点值X。</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39.2.3 开标时，投标人代表有权出席开标会或在线开标，也可以自主决定不参加开标会，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39.2.4 按34.5.1的规定完成解密后，公布下列内容，并予以记录，记录提交评标委员会评审：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39.2.4.1 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 招标人对开标过程进行记录，并存档备查，投标人在技术标开标记录上签字。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39.4 招标人将上述符合要求的投标文件，送至评标委员会进行评审。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40.资格审查及评标细则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40.1 资格审查及评标均由招标人依法组建的评标委员会负责。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 评标委员会的组成：方式</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方式一：评标委员会为综合评标委员会，负责资格审查及评标工作。</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方式二：评标委员会由技术评审组和经济评审组组成。其中：资格审查及技术评审由技术评标组负责，经济评审由经济评审组负责。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41.投标人资格审查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41.1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41.2 汇总资格审查情况，编写资格审查报告。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41.3 资格审查不合格的投标文件不参加下一阶段的评标，不参与评标参考价的计算。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41.4 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41.5 资审合格后，投标人的资格发生变化而不满足投标人合格条件，在发出中标通知书前，资格问题仍未解决的，招标人将取消其中标资格。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41.6 资格审查合格的投标人少于3名的（当N个标段同时招标且不允许兼中时，资格审查合格的投标人少于N+2名），则本项目招标失败。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42.技术标评审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42.1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42.2 技术标详细审查评分：评标委员会按照附表四《技术标详细审查评分表》的标准，对通过技术标有效性审查的投标文件技术标进行详细审查，评出技术分，得分四舍五入精确到小数点后两位。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43.经济标评审和得分汇总</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43.1 若通过技术标有效性审查的投标人中所有投标报价均大于等于最高投标限价*D%（D的取值范围为[94，100]，由招标人自主确定）的（具体金额为：</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元），则本项目招标失败，由招标人依法重新招标。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43.2 按方法计算评标参考价：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方法一：加权平均法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技术标或技术标加诚信得分（具体由招标人自定）前N名（N≥5，具体由招标人自定）的经济报价加权平均，计算评标参考价。公式如下：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评标参考价=Σ（投标人的投标报价*报价权重）。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0" w:leftChars="0" w:right="0" w:rightChars="0" w:firstLine="480" w:firstLineChars="200"/>
        <w:jc w:val="left"/>
        <w:textAlignment w:val="auto"/>
        <w:rPr>
          <w:color w:val="auto"/>
          <w:sz w:val="24"/>
          <w:szCs w:val="24"/>
          <w:highlight w:val="none"/>
        </w:rPr>
      </w:pPr>
      <w:r>
        <w:rPr>
          <w:rFonts w:hint="eastAsia"/>
          <w:color w:val="auto"/>
          <w:sz w:val="24"/>
          <w:szCs w:val="24"/>
          <w:highlight w:val="none"/>
          <w:lang w:val="en-US" w:eastAsia="zh-CN"/>
        </w:rPr>
        <w:drawing>
          <wp:anchor distT="0" distB="0" distL="0" distR="0" simplePos="0" relativeHeight="251666432" behindDoc="1" locked="0" layoutInCell="1" allowOverlap="1">
            <wp:simplePos x="0" y="0"/>
            <wp:positionH relativeFrom="page">
              <wp:posOffset>4421505</wp:posOffset>
            </wp:positionH>
            <wp:positionV relativeFrom="paragraph">
              <wp:posOffset>569595</wp:posOffset>
            </wp:positionV>
            <wp:extent cx="323850" cy="371475"/>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26" cstate="print"/>
                    <a:stretch>
                      <a:fillRect/>
                    </a:stretch>
                  </pic:blipFill>
                  <pic:spPr>
                    <a:xfrm>
                      <a:off x="0" y="0"/>
                      <a:ext cx="323850" cy="371475"/>
                    </a:xfrm>
                    <a:prstGeom prst="rect">
                      <a:avLst/>
                    </a:prstGeom>
                  </pic:spPr>
                </pic:pic>
              </a:graphicData>
            </a:graphic>
          </wp:anchor>
        </w:drawing>
      </w:r>
      <w:r>
        <w:rPr>
          <w:rFonts w:hint="eastAsia"/>
          <w:color w:val="auto"/>
          <w:sz w:val="24"/>
          <w:szCs w:val="24"/>
          <w:highlight w:val="none"/>
          <w:lang w:val="en-US" w:eastAsia="zh-CN"/>
        </w:rPr>
        <w:t>其中：报价权重的计算方法为：将N名投标人按技术分由高至低进行排序，</w:t>
      </w:r>
      <w:r>
        <w:rPr>
          <w:color w:val="auto"/>
          <w:sz w:val="24"/>
          <w:szCs w:val="24"/>
          <w:highlight w:val="none"/>
        </w:rPr>
        <w:t>第一</w:t>
      </w:r>
      <w:r>
        <w:rPr>
          <w:color w:val="auto"/>
          <w:spacing w:val="-16"/>
          <w:sz w:val="24"/>
          <w:szCs w:val="24"/>
          <w:highlight w:val="none"/>
        </w:rPr>
        <w:t>名</w:t>
      </w:r>
      <w:r>
        <w:rPr>
          <w:color w:val="auto"/>
          <w:sz w:val="24"/>
          <w:szCs w:val="24"/>
          <w:highlight w:val="none"/>
        </w:rPr>
        <w:t>投标</w:t>
      </w:r>
      <w:r>
        <w:rPr>
          <w:color w:val="auto"/>
          <w:spacing w:val="2"/>
          <w:sz w:val="24"/>
          <w:szCs w:val="24"/>
          <w:highlight w:val="none"/>
        </w:rPr>
        <w:t>人</w:t>
      </w:r>
      <w:r>
        <w:rPr>
          <w:color w:val="auto"/>
          <w:sz w:val="24"/>
          <w:szCs w:val="24"/>
          <w:highlight w:val="none"/>
        </w:rPr>
        <w:t>的</w:t>
      </w:r>
      <w:r>
        <w:rPr>
          <w:color w:val="auto"/>
          <w:spacing w:val="2"/>
          <w:sz w:val="24"/>
          <w:szCs w:val="24"/>
          <w:highlight w:val="none"/>
        </w:rPr>
        <w:t>权</w:t>
      </w:r>
      <w:r>
        <w:rPr>
          <w:color w:val="auto"/>
          <w:sz w:val="24"/>
          <w:szCs w:val="24"/>
          <w:highlight w:val="none"/>
        </w:rPr>
        <w:t>重</w:t>
      </w:r>
      <w:r>
        <w:rPr>
          <w:color w:val="auto"/>
          <w:spacing w:val="2"/>
          <w:sz w:val="24"/>
          <w:szCs w:val="24"/>
          <w:highlight w:val="none"/>
        </w:rPr>
        <w:t>为</w:t>
      </w:r>
      <w:r>
        <w:rPr>
          <w:color w:val="auto"/>
          <w:spacing w:val="1"/>
          <w:sz w:val="24"/>
          <w:szCs w:val="24"/>
          <w:highlight w:val="none"/>
        </w:rPr>
        <w:t>（</w:t>
      </w:r>
      <w:r>
        <w:rPr>
          <w:color w:val="auto"/>
          <w:spacing w:val="1"/>
          <w:sz w:val="24"/>
          <w:szCs w:val="24"/>
          <w:highlight w:val="none"/>
        </w:rPr>
        <w:drawing>
          <wp:inline distT="0" distB="0" distL="0" distR="0">
            <wp:extent cx="361950" cy="428625"/>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pic:cNvPicPr>
                      <a:picLocks noChangeAspect="1"/>
                    </pic:cNvPicPr>
                  </pic:nvPicPr>
                  <pic:blipFill>
                    <a:blip r:embed="rId27" cstate="print"/>
                    <a:stretch>
                      <a:fillRect/>
                    </a:stretch>
                  </pic:blipFill>
                  <pic:spPr>
                    <a:xfrm>
                      <a:off x="0" y="0"/>
                      <a:ext cx="361950" cy="428625"/>
                    </a:xfrm>
                    <a:prstGeom prst="rect">
                      <a:avLst/>
                    </a:prstGeom>
                  </pic:spPr>
                </pic:pic>
              </a:graphicData>
            </a:graphic>
          </wp:inline>
        </w:drawing>
      </w:r>
      <w:r>
        <w:rPr>
          <w:color w:val="auto"/>
          <w:spacing w:val="-120"/>
          <w:sz w:val="24"/>
          <w:szCs w:val="24"/>
          <w:highlight w:val="none"/>
        </w:rPr>
        <w:t>）</w:t>
      </w:r>
      <w:r>
        <w:rPr>
          <w:color w:val="auto"/>
          <w:spacing w:val="2"/>
          <w:sz w:val="24"/>
          <w:szCs w:val="24"/>
          <w:highlight w:val="none"/>
        </w:rPr>
        <w:t>，</w:t>
      </w:r>
      <w:r>
        <w:rPr>
          <w:color w:val="auto"/>
          <w:sz w:val="24"/>
          <w:szCs w:val="24"/>
          <w:highlight w:val="none"/>
        </w:rPr>
        <w:t>第二</w:t>
      </w:r>
      <w:r>
        <w:rPr>
          <w:color w:val="auto"/>
          <w:spacing w:val="2"/>
          <w:sz w:val="24"/>
          <w:szCs w:val="24"/>
          <w:highlight w:val="none"/>
        </w:rPr>
        <w:t>名</w:t>
      </w:r>
      <w:r>
        <w:rPr>
          <w:color w:val="auto"/>
          <w:sz w:val="24"/>
          <w:szCs w:val="24"/>
          <w:highlight w:val="none"/>
        </w:rPr>
        <w:t>投</w:t>
      </w:r>
      <w:r>
        <w:rPr>
          <w:color w:val="auto"/>
          <w:spacing w:val="2"/>
          <w:sz w:val="24"/>
          <w:szCs w:val="24"/>
          <w:highlight w:val="none"/>
        </w:rPr>
        <w:t>标</w:t>
      </w:r>
      <w:r>
        <w:rPr>
          <w:color w:val="auto"/>
          <w:sz w:val="24"/>
          <w:szCs w:val="24"/>
          <w:highlight w:val="none"/>
        </w:rPr>
        <w:t>人</w:t>
      </w:r>
      <w:r>
        <w:rPr>
          <w:color w:val="auto"/>
          <w:spacing w:val="2"/>
          <w:sz w:val="24"/>
          <w:szCs w:val="24"/>
          <w:highlight w:val="none"/>
        </w:rPr>
        <w:t>的</w:t>
      </w:r>
      <w:r>
        <w:rPr>
          <w:color w:val="auto"/>
          <w:sz w:val="24"/>
          <w:szCs w:val="24"/>
          <w:highlight w:val="none"/>
        </w:rPr>
        <w:t>权</w:t>
      </w:r>
      <w:r>
        <w:rPr>
          <w:color w:val="auto"/>
          <w:spacing w:val="2"/>
          <w:sz w:val="24"/>
          <w:szCs w:val="24"/>
          <w:highlight w:val="none"/>
        </w:rPr>
        <w:t>重为</w:t>
      </w:r>
      <w:r>
        <w:rPr>
          <w:color w:val="auto"/>
          <w:sz w:val="24"/>
          <w:szCs w:val="24"/>
          <w:highlight w:val="none"/>
        </w:rPr>
        <w:t>（</w:t>
      </w:r>
      <w:r>
        <w:rPr>
          <w:rFonts w:hint="eastAsia"/>
          <w:color w:val="auto"/>
          <w:sz w:val="24"/>
          <w:szCs w:val="24"/>
          <w:highlight w:val="none"/>
          <w:lang w:val="en-US" w:eastAsia="zh-CN"/>
        </w:rPr>
        <w:t xml:space="preserve">            </w:t>
      </w:r>
      <w:r>
        <w:rPr>
          <w:color w:val="auto"/>
          <w:sz w:val="24"/>
          <w:szCs w:val="24"/>
          <w:highlight w:val="none"/>
        </w:rPr>
        <w:tab/>
      </w:r>
      <w:r>
        <w:rPr>
          <w:color w:val="auto"/>
          <w:spacing w:val="-118"/>
          <w:sz w:val="24"/>
          <w:szCs w:val="24"/>
          <w:highlight w:val="none"/>
        </w:rPr>
        <w:t>）</w:t>
      </w:r>
      <w:r>
        <w:rPr>
          <w:color w:val="auto"/>
          <w:sz w:val="24"/>
          <w:szCs w:val="24"/>
          <w:highlight w:val="none"/>
        </w:rPr>
        <w:t>，</w:t>
      </w:r>
      <w:r>
        <w:rPr>
          <w:color w:val="auto"/>
          <w:spacing w:val="2"/>
          <w:sz w:val="24"/>
          <w:szCs w:val="24"/>
          <w:highlight w:val="none"/>
        </w:rPr>
        <w:t>以</w:t>
      </w:r>
      <w:r>
        <w:rPr>
          <w:color w:val="auto"/>
          <w:sz w:val="24"/>
          <w:szCs w:val="24"/>
          <w:highlight w:val="none"/>
        </w:rPr>
        <w:t>此</w:t>
      </w:r>
      <w:r>
        <w:rPr>
          <w:color w:val="auto"/>
          <w:spacing w:val="2"/>
          <w:sz w:val="24"/>
          <w:szCs w:val="24"/>
          <w:highlight w:val="none"/>
        </w:rPr>
        <w:t>类</w:t>
      </w:r>
      <w:r>
        <w:rPr>
          <w:color w:val="auto"/>
          <w:sz w:val="24"/>
          <w:szCs w:val="24"/>
          <w:highlight w:val="none"/>
        </w:rPr>
        <w:t>推</w:t>
      </w:r>
      <w:r>
        <w:rPr>
          <w:color w:val="auto"/>
          <w:spacing w:val="2"/>
          <w:sz w:val="24"/>
          <w:szCs w:val="24"/>
          <w:highlight w:val="none"/>
        </w:rPr>
        <w:t>，</w:t>
      </w:r>
      <w:r>
        <w:rPr>
          <w:color w:val="auto"/>
          <w:sz w:val="24"/>
          <w:szCs w:val="24"/>
          <w:highlight w:val="none"/>
        </w:rPr>
        <w:t>最</w:t>
      </w:r>
      <w:r>
        <w:rPr>
          <w:color w:val="auto"/>
          <w:spacing w:val="2"/>
          <w:sz w:val="24"/>
          <w:szCs w:val="24"/>
          <w:highlight w:val="none"/>
        </w:rPr>
        <w:t>后</w:t>
      </w:r>
      <w:r>
        <w:rPr>
          <w:color w:val="auto"/>
          <w:sz w:val="24"/>
          <w:szCs w:val="24"/>
          <w:highlight w:val="none"/>
        </w:rPr>
        <w:t>一名投</w:t>
      </w:r>
      <w:r>
        <w:rPr>
          <w:color w:val="auto"/>
          <w:spacing w:val="-11"/>
          <w:sz w:val="24"/>
          <w:szCs w:val="24"/>
          <w:highlight w:val="none"/>
        </w:rPr>
        <w:t>标</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jc w:val="both"/>
        <w:textAlignment w:val="auto"/>
        <w:rPr>
          <w:rFonts w:hint="eastAsia" w:eastAsia="宋体"/>
          <w:color w:val="auto"/>
          <w:sz w:val="24"/>
          <w:szCs w:val="24"/>
          <w:highlight w:val="none"/>
          <w:lang w:eastAsia="zh-CN"/>
        </w:rPr>
      </w:pPr>
      <w:r>
        <w:rPr>
          <w:color w:val="auto"/>
          <w:sz w:val="24"/>
          <w:szCs w:val="24"/>
          <w:highlight w:val="none"/>
        </w:rPr>
        <w:drawing>
          <wp:anchor distT="0" distB="0" distL="0" distR="0" simplePos="0" relativeHeight="251667456" behindDoc="1" locked="0" layoutInCell="1" allowOverlap="1">
            <wp:simplePos x="0" y="0"/>
            <wp:positionH relativeFrom="page">
              <wp:posOffset>1814195</wp:posOffset>
            </wp:positionH>
            <wp:positionV relativeFrom="paragraph">
              <wp:posOffset>-20320</wp:posOffset>
            </wp:positionV>
            <wp:extent cx="323850" cy="361950"/>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pic:cNvPicPr>
                      <a:picLocks noChangeAspect="1"/>
                    </pic:cNvPicPr>
                  </pic:nvPicPr>
                  <pic:blipFill>
                    <a:blip r:embed="rId28" cstate="print"/>
                    <a:stretch>
                      <a:fillRect/>
                    </a:stretch>
                  </pic:blipFill>
                  <pic:spPr>
                    <a:xfrm>
                      <a:off x="0" y="0"/>
                      <a:ext cx="323850" cy="361950"/>
                    </a:xfrm>
                    <a:prstGeom prst="rect">
                      <a:avLst/>
                    </a:prstGeom>
                  </pic:spPr>
                </pic:pic>
              </a:graphicData>
            </a:graphic>
          </wp:anchor>
        </w:drawing>
      </w:r>
      <w:r>
        <w:rPr>
          <w:color w:val="auto"/>
          <w:sz w:val="24"/>
          <w:szCs w:val="24"/>
          <w:highlight w:val="none"/>
        </w:rPr>
        <w:t>人的权重为（</w:t>
      </w:r>
      <w:r>
        <w:rPr>
          <w:rFonts w:hint="eastAsia"/>
          <w:color w:val="auto"/>
          <w:sz w:val="24"/>
          <w:szCs w:val="24"/>
          <w:highlight w:val="none"/>
          <w:lang w:val="en-US" w:eastAsia="zh-CN"/>
        </w:rPr>
        <w:t xml:space="preserve">   </w:t>
      </w:r>
      <w:r>
        <w:rPr>
          <w:color w:val="auto"/>
          <w:spacing w:val="-120"/>
          <w:sz w:val="24"/>
          <w:szCs w:val="24"/>
          <w:highlight w:val="none"/>
        </w:rPr>
        <w:t>）</w:t>
      </w:r>
      <w:r>
        <w:rPr>
          <w:color w:val="auto"/>
          <w:sz w:val="24"/>
          <w:szCs w:val="24"/>
          <w:highlight w:val="none"/>
        </w:rPr>
        <w:t>。</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color w:val="auto"/>
          <w:sz w:val="24"/>
          <w:szCs w:val="24"/>
          <w:highlight w:val="none"/>
        </w:rPr>
      </w:pP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方法二：区间抽取法</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评标参考价=（Q高-Q低）/100*Ｘ+Q低</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Q低：为达到或超过技术标及格分数线的投标人最低报价与工程成本警示价两者中的较高值；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Q高：为（最高投标限价*D%）（D的取值范围为[94，100]，由招标人自定）</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X:为等分点值，在开标前从[0，100]整数中随机抽取</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43.3 当标价等于评标参考价时得100分，标价每高于评标参考价1%，扣1.5分，每低于评标参考价1%，扣1分，扣至0分为止，得出经济分，精确到小数点后两位。</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43.4 计算通过技术标有效性审查的投标人总得分。投标人总得分=（技术得分×技术得分权重＋经济得分×经济得分权重）×（1-综合诚信评价分数权重）＋综合诚信评价排名得分×综合诚信评价分数权重）。技术、经济得分权重按</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的规定执行。总得分四舍五入保留两位小数。</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44.经济标的有效性审查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44.1 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 经济标的算术校核。评标委员会对进行经济标有效性审查的投标文件投标报价按照就低不就高的原则进行算术校核，具体标准如下：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44.2.1 如果数字表示的金额和用文字表示的金额不一致时，应以文字表示的金额为准；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44.2.2 经算术复核的投标人报价与其投标报价不一致时，按就低不就高原则确定其最终报价；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44.2.3 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44.2.4 当合价、金额累加错误时，按就低不就高原则，如果累加修正值小于原累加值，则按累加修正值；如果累加修正值大于原累加值，则按原累加值；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44.2.5 如果投标人的有关规费、暂列金额、暂估价、绿色施工安全防护措施费等未按招标文件规定的金额填写的，由评标委员会按照招标文件规定的金额进行修正；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44.2.7 按就低不就高原则，当修正后报价小于原报价，总价按修正后报价；当修正后报价大于原报价，总价按原报价，并在签订合同时载明在结算价中扣除修正报价与原报价的差额。</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44.2.8 按上述修正错误的原则及方法调整或修正投标文件的投标报价，调整后的投标报价对投标人起约束作用。如果投标人不接受修正后的报价，则取消其投标资格，并且其投标保证金也将不予退还。</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46.评标委员会应在通过投标文件经济标有效性审查的投标人中，按步骤43.4确定的投标人第二阶段排序，推荐前3名依次为第一中标候选人至第三中标候选人，并编制评标报告。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47.若通过经济标有效性审查的投标人不足三家，应当依法重新招标。（当N个标段同时招标且不允许兼中时，若有效投标人不足N+2家，应当依法重新招标）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before="0" w:line="360" w:lineRule="auto"/>
        <w:ind w:left="0"/>
        <w:jc w:val="left"/>
        <w:textAlignment w:val="auto"/>
        <w:outlineLvl w:val="3"/>
        <w:rPr>
          <w:rFonts w:hint="eastAsia" w:ascii="宋体" w:hAnsi="宋体" w:eastAsia="宋体" w:cs="宋体"/>
          <w:b/>
          <w:bCs/>
          <w:color w:val="auto"/>
          <w:sz w:val="24"/>
          <w:szCs w:val="24"/>
          <w:highlight w:val="none"/>
          <w:lang w:val="en-US" w:eastAsia="zh-CN" w:bidi="zh-CN"/>
        </w:rPr>
      </w:pPr>
      <w:bookmarkStart w:id="29" w:name="_可选办法八（适合经评审的最低投标价法，技术标与经济标同时开启）"/>
      <w:r>
        <w:rPr>
          <w:rFonts w:hint="eastAsia" w:ascii="宋体" w:hAnsi="宋体" w:eastAsia="宋体" w:cs="宋体"/>
          <w:b/>
          <w:bCs/>
          <w:color w:val="auto"/>
          <w:sz w:val="24"/>
          <w:szCs w:val="24"/>
          <w:highlight w:val="none"/>
          <w:lang w:val="en-US" w:eastAsia="zh-CN" w:bidi="zh-CN"/>
        </w:rPr>
        <w:t>可选办法八（适合经评审的最低投标价法，技术标与经济标同时开启）</w:t>
      </w:r>
    </w:p>
    <w:bookmarkEnd w:id="29"/>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38.开标和评标程序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38.1 投标人递交技术标、经济标投标文件；</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38.2 技术标与经济标投标文件同时公开开标；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38.3 由评标委员会对所有已公开开标的投标人进行资格审查；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38.4 技术标投标文件有效性审查；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38.5 对经济标投标报价进行算术校核；</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38.6 计算投标人总得分，并按总得分从高到低，确定经济标评审排序；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38.7 按排序对经济标投标文件进行有效性审查，直至评出所有中标候选人；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38.8 评标委员会编写经济标评审报告，向招标人推荐中标候选人。</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39.开标细则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39.1 开标由招标人主持；</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 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39.2.1 投标截止期前，各投标人递交投标文件（包括技术标投标文件、经济标投标文件）至</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交易平台。有关投标文件提交的事项详见第一章投标须知。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39.2.2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 按34.5.1的规定完成解密后，公布下列内容，并予以记录，记录提交评标委员会评审：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39.3.1 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39.4 招标人对开标过程进行记录，并存档备查，投标人在开标记录上签字。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39.5 招标人将上述符合要求的投标文件，送至评标委员会进行评审。</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40.评标细则</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40.1 评标委员会的组成：评标委员会为综合评标委员会，负责评标工作。</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 投标人资格审查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40.2.1 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40.2.2 汇总资格审查情况，编写资格审查报告。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40.2.3 资格审查不合格的投标文件不参加下一阶段的评标，不参与评标参考价的计算。</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40.2.4 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40.2.5 资审合格后，投标人的资格发生变化而不满足投标人合格条件，在发出中标通知书前，资格问题仍未解决的，招标人将取消其中标资格。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40.2.6 资格审查合格的投标人少于3名的（当N个标段同时招标且不允许兼中时，资格审查合格的投标人少于N+2名），则本项目招标失败。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40.3 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 投标文件算术校核：</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评标委员会将对通过技术标有效性审查的投标文件投标报价按照就低不就高的原则进行算术校核，具体标准如下：</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40.4.1 如果数字表示的金额和用文字表示的金额不一致时，应以文字表示的金额为准；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40.4.2 经算术复核的中标候选人报价与其投标报价不一致时，按就低不就高原则确定其最终报价；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40.4.3 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40.4.4 当合价、金额累加错误时，按就低不就高原则，如果累加修正值小于原累加值，则按累加修正值；如果累加修正值大于原累加值，则按原累加值；</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40.4.5 如果投标人的有关规费、暂列金额、暂估价、绿色施工安全防护措施费等未按招标文件规定的金额填写的，由评标委员会按照招标文件规定的金额进行修正；</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40.4.6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40.4.7 按就低不就高原则，当修正后报价小于原报价，总价按修正后报价；当修正后报价大于原报价，总价按原报价，并在签订合同时载明在结算价中扣除修正报价与原报价的差额。</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40.4.8 按上述修正错误的原则及方法调整或修正投标文件的投标报价，调整后的投标报价对投标人起约束作用。如果投标人不接受修正后的报价，则取消其投标资格，并且其投标保证金也将不予退还。</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 确定投标文件的评审次序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40.5.1 确定评标参考价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40.5.1.1 企业综合诚信评价分数前</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名（不少于100名，由招标人在招标文件中明确）且经算术校核后的最低投标报价为评标参考价。</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40.5.2 计算投标人的总得分（满分为100分）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40.5.2.1 当标价等于评标参考价时得100分，标价每高于评标参考价1%，扣1.5分；扣至0分为止，得分精确到小数点后两位。标价低于评标参考价的，得0分。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40.5.3 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40.5.4 招标人应在《</w:t>
      </w:r>
      <w:r>
        <w:rPr>
          <w:rFonts w:hint="eastAsia"/>
          <w:b/>
          <w:bCs/>
          <w:color w:val="auto"/>
          <w:sz w:val="24"/>
          <w:szCs w:val="24"/>
          <w:highlight w:val="none"/>
          <w:lang w:val="en-US" w:eastAsia="zh-CN"/>
        </w:rPr>
        <w:t>投标须知前附表</w:t>
      </w:r>
      <w:r>
        <w:rPr>
          <w:rFonts w:hint="eastAsia"/>
          <w:color w:val="auto"/>
          <w:sz w:val="24"/>
          <w:szCs w:val="24"/>
          <w:highlight w:val="none"/>
          <w:lang w:val="en-US" w:eastAsia="zh-CN"/>
        </w:rPr>
        <w:t>》中明确选择使用施工企业总排名或相应的施工专业承包排名计分。</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40.6 投标文件的有效性审查</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40.7 评标结束后，评标委员会应当在通过投标文件有效性审查的投标人中，按照原投标文件的评审次序，推荐前3名依次为第一中标候选人至第三中标候选人，并编写评标报告。</w:t>
      </w:r>
    </w:p>
    <w:p>
      <w:pPr>
        <w:pStyle w:val="26"/>
        <w:keepNext w:val="0"/>
        <w:keepLines w:val="0"/>
        <w:pageBreakBefore w:val="0"/>
        <w:widowControl w:val="0"/>
        <w:numPr>
          <w:ilvl w:val="0"/>
          <w:numId w:val="0"/>
        </w:numPr>
        <w:tabs>
          <w:tab w:val="left" w:pos="1419"/>
        </w:tabs>
        <w:kinsoku/>
        <w:wordWrap/>
        <w:overflowPunct/>
        <w:topLinePunct w:val="0"/>
        <w:autoSpaceDE w:val="0"/>
        <w:autoSpaceDN w:val="0"/>
        <w:bidi w:val="0"/>
        <w:adjustRightInd/>
        <w:snapToGrid/>
        <w:spacing w:before="0" w:after="0" w:line="360" w:lineRule="auto"/>
        <w:ind w:leftChars="0" w:right="0" w:rightChars="0"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40.8 若有效投标人不足三家，应当依法重新招标。（当N个标段同时招标且不允许兼中时，若有效投标人不足N+2家，应当依法重新招标）</w:t>
      </w:r>
    </w:p>
    <w:p>
      <w:pPr>
        <w:rPr>
          <w:color w:val="auto"/>
          <w:sz w:val="21"/>
          <w:highlight w:val="none"/>
        </w:rPr>
      </w:pPr>
      <w:r>
        <w:rPr>
          <w:color w:val="auto"/>
          <w:sz w:val="21"/>
          <w:highlight w:val="none"/>
        </w:rPr>
        <w:br w:type="page"/>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eastAsia="宋体"/>
          <w:color w:val="auto"/>
          <w:sz w:val="24"/>
          <w:szCs w:val="24"/>
          <w:highlight w:val="none"/>
          <w:lang w:eastAsia="zh-CN"/>
        </w:rPr>
      </w:pPr>
      <w:r>
        <w:rPr>
          <w:color w:val="auto"/>
          <w:sz w:val="24"/>
          <w:szCs w:val="24"/>
          <w:highlight w:val="none"/>
        </w:rPr>
        <w:t>附表一：</w:t>
      </w:r>
    </w:p>
    <w:p>
      <w:pPr>
        <w:pStyle w:val="13"/>
        <w:keepNext w:val="0"/>
        <w:keepLines w:val="0"/>
        <w:pageBreakBefore w:val="0"/>
        <w:widowControl w:val="0"/>
        <w:kinsoku/>
        <w:wordWrap/>
        <w:overflowPunct/>
        <w:topLinePunct w:val="0"/>
        <w:bidi w:val="0"/>
        <w:adjustRightInd/>
        <w:spacing w:before="12" w:line="360" w:lineRule="auto"/>
        <w:ind w:left="0"/>
        <w:textAlignment w:val="auto"/>
        <w:rPr>
          <w:color w:val="auto"/>
          <w:sz w:val="14"/>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color w:val="auto"/>
          <w:sz w:val="32"/>
          <w:highlight w:val="none"/>
        </w:rPr>
      </w:pPr>
      <w:r>
        <w:rPr>
          <w:b/>
          <w:color w:val="auto"/>
          <w:sz w:val="32"/>
          <w:highlight w:val="none"/>
        </w:rPr>
        <w:t>资格审查表</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color w:val="auto"/>
          <w:sz w:val="24"/>
          <w:szCs w:val="24"/>
          <w:highlight w:val="none"/>
        </w:rPr>
      </w:pPr>
      <w:r>
        <w:rPr>
          <w:color w:val="auto"/>
          <w:sz w:val="24"/>
          <w:szCs w:val="24"/>
          <w:highlight w:val="none"/>
        </w:rPr>
        <w:t>工程名称：</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color w:val="auto"/>
          <w:spacing w:val="-3"/>
          <w:sz w:val="24"/>
          <w:szCs w:val="24"/>
          <w:highlight w:val="none"/>
        </w:rPr>
      </w:pPr>
      <w:r>
        <w:rPr>
          <w:color w:val="auto"/>
          <w:spacing w:val="-3"/>
          <w:sz w:val="24"/>
          <w:szCs w:val="24"/>
          <w:highlight w:val="none"/>
        </w:rPr>
        <w:t>投标人名称：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3720"/>
        <w:gridCol w:w="4326"/>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22"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color w:val="auto"/>
                <w:sz w:val="21"/>
                <w:szCs w:val="21"/>
                <w:highlight w:val="none"/>
              </w:rPr>
              <w:t>序号</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color w:val="auto"/>
                <w:sz w:val="21"/>
                <w:szCs w:val="21"/>
                <w:highlight w:val="none"/>
              </w:rPr>
              <w:t>审查项目</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color w:val="auto"/>
                <w:sz w:val="21"/>
                <w:szCs w:val="21"/>
                <w:highlight w:val="none"/>
              </w:rPr>
              <w:t>须审查的资料</w:t>
            </w:r>
          </w:p>
        </w:tc>
        <w:tc>
          <w:tcPr>
            <w:tcW w:w="115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
                <w:color w:val="auto"/>
                <w:sz w:val="21"/>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投标人参加投标的意思表达清楚，投标人代表被授权有效</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投标人声明、法定代表人证明书；委托投标的还应提供法人授权委托证明书</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投标人均具有独立法人资格，按国家法律经营</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营业执照</w:t>
            </w:r>
            <w:r>
              <w:rPr>
                <w:rFonts w:hint="eastAsia" w:ascii="宋体" w:hAnsi="宋体" w:eastAsia="宋体" w:cs="宋体"/>
                <w:color w:val="auto"/>
                <w:sz w:val="21"/>
                <w:szCs w:val="21"/>
                <w:highlight w:val="none"/>
                <w:u w:val="single"/>
                <w:vertAlign w:val="baseline"/>
              </w:rPr>
              <w:t>扫描件</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投标人均持有建设行政主管部门颁发的企业资质证书及安全生产许可证；投标人资质符合公告要求</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pacing w:val="-4"/>
                <w:sz w:val="21"/>
                <w:szCs w:val="21"/>
                <w:highlight w:val="none"/>
              </w:rPr>
              <w:t>资质证书及安全生产许可证</w:t>
            </w:r>
            <w:r>
              <w:rPr>
                <w:rFonts w:hint="eastAsia" w:cs="宋体"/>
                <w:color w:val="auto"/>
                <w:spacing w:val="-4"/>
                <w:sz w:val="21"/>
                <w:szCs w:val="21"/>
                <w:highlight w:val="none"/>
                <w:u w:val="single"/>
                <w:lang w:eastAsia="zh-CN"/>
              </w:rPr>
              <w:t>扫描件</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投标人拟担任本工程项目负责人符合公告要求</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使用有效期内的注册建造师注册证书</w:t>
            </w:r>
            <w:r>
              <w:rPr>
                <w:rFonts w:hint="eastAsia" w:cs="宋体"/>
                <w:color w:val="auto"/>
                <w:sz w:val="21"/>
                <w:szCs w:val="21"/>
                <w:highlight w:val="none"/>
                <w:u w:val="single"/>
                <w:lang w:eastAsia="zh-CN"/>
              </w:rPr>
              <w:t>扫描件</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（注：打印建造师电子证书后，应在个人签名处手写本人签名再上传广州市住建行业信用平台，上传件未手写签名或与签名图像笔迹不一致的，该电子证书无效。）</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持有项目负责人安全</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考核合格证（B类）或建筑施工企业项目负责人安全生产考核合格证</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rPr>
              <w:t>项目负责人安全</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考核合格证（B</w:t>
            </w:r>
            <w:r>
              <w:rPr>
                <w:rFonts w:hint="eastAsia" w:ascii="宋体" w:hAnsi="宋体" w:eastAsia="宋体" w:cs="宋体"/>
                <w:color w:val="auto"/>
                <w:sz w:val="21"/>
                <w:szCs w:val="21"/>
                <w:highlight w:val="none"/>
                <w:lang w:val="en-US" w:eastAsia="zh-CN"/>
              </w:rPr>
              <w:t>类</w:t>
            </w:r>
            <w:r>
              <w:rPr>
                <w:rFonts w:hint="eastAsia" w:ascii="宋体" w:hAnsi="宋体" w:eastAsia="宋体" w:cs="宋体"/>
                <w:color w:val="auto"/>
                <w:sz w:val="21"/>
                <w:szCs w:val="21"/>
                <w:highlight w:val="none"/>
              </w:rPr>
              <w:t>）或建筑施工企业项目负责人安全生产考核合格证</w:t>
            </w:r>
            <w:r>
              <w:rPr>
                <w:rFonts w:hint="eastAsia" w:cs="宋体"/>
                <w:color w:val="auto"/>
                <w:sz w:val="21"/>
                <w:szCs w:val="21"/>
                <w:highlight w:val="none"/>
                <w:u w:val="single"/>
                <w:lang w:eastAsia="zh-CN"/>
              </w:rPr>
              <w:t>扫描件</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投标人拟担任本工程技术负责人符合公告要求</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rPr>
              <w:t>拟委托技术负责人的相关证书、资料</w:t>
            </w:r>
            <w:r>
              <w:rPr>
                <w:rFonts w:hint="eastAsia" w:cs="宋体"/>
                <w:color w:val="auto"/>
                <w:sz w:val="21"/>
                <w:szCs w:val="21"/>
                <w:highlight w:val="none"/>
                <w:u w:val="single"/>
                <w:lang w:eastAsia="zh-CN"/>
              </w:rPr>
              <w:t>扫描件</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3"/>
                <w:sz w:val="21"/>
                <w:szCs w:val="21"/>
                <w:highlight w:val="none"/>
              </w:rPr>
              <w:t>专职安全员须具有安全生产考核合格证（C</w:t>
            </w:r>
            <w:r>
              <w:rPr>
                <w:rFonts w:hint="eastAsia" w:cs="宋体"/>
                <w:color w:val="auto"/>
                <w:spacing w:val="-20"/>
                <w:sz w:val="21"/>
                <w:szCs w:val="21"/>
                <w:highlight w:val="none"/>
                <w:u w:val="single"/>
                <w:lang w:val="en-US" w:eastAsia="zh-CN"/>
              </w:rPr>
              <w:t>类</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4"/>
                <w:sz w:val="21"/>
                <w:szCs w:val="21"/>
                <w:highlight w:val="none"/>
              </w:rPr>
              <w:t>或建筑施工企业专职安全生</w:t>
            </w:r>
            <w:r>
              <w:rPr>
                <w:rFonts w:hint="eastAsia" w:ascii="宋体" w:hAnsi="宋体" w:eastAsia="宋体" w:cs="宋体"/>
                <w:color w:val="auto"/>
                <w:spacing w:val="-3"/>
                <w:sz w:val="21"/>
                <w:szCs w:val="21"/>
                <w:highlight w:val="none"/>
              </w:rPr>
              <w:t>产管理人员安全生产考核合格证</w:t>
            </w:r>
            <w:r>
              <w:rPr>
                <w:rFonts w:hint="eastAsia" w:cs="宋体"/>
                <w:color w:val="auto"/>
                <w:spacing w:val="-3"/>
                <w:sz w:val="21"/>
                <w:szCs w:val="21"/>
                <w:highlight w:val="none"/>
                <w:u w:val="single"/>
                <w:lang w:eastAsia="zh-CN"/>
              </w:rPr>
              <w:t>书</w:t>
            </w:r>
            <w:r>
              <w:rPr>
                <w:rFonts w:hint="eastAsia" w:ascii="宋体" w:hAnsi="宋体" w:eastAsia="宋体" w:cs="宋体"/>
                <w:bCs/>
                <w:color w:val="auto"/>
                <w:sz w:val="21"/>
                <w:szCs w:val="21"/>
                <w:highlight w:val="none"/>
                <w:u w:val="single"/>
              </w:rPr>
              <w:t>或建筑施工企业专职安全生产管理人员安全生产考核合格证书（C3类）</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专职安全员的安全生产考核合格证</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（C</w:t>
            </w:r>
            <w:r>
              <w:rPr>
                <w:rFonts w:hint="eastAsia" w:cs="宋体"/>
                <w:color w:val="auto"/>
                <w:sz w:val="21"/>
                <w:szCs w:val="21"/>
                <w:highlight w:val="none"/>
                <w:u w:val="single"/>
                <w:lang w:eastAsia="zh-CN"/>
              </w:rPr>
              <w:t>类</w:t>
            </w:r>
            <w:r>
              <w:rPr>
                <w:rFonts w:hint="eastAsia" w:ascii="宋体" w:hAnsi="宋体" w:eastAsia="宋体" w:cs="宋体"/>
                <w:color w:val="auto"/>
                <w:sz w:val="21"/>
                <w:szCs w:val="21"/>
                <w:highlight w:val="none"/>
              </w:rPr>
              <w:t>）或建筑施工企业专职安全生产管理人员安全生产考核合格证</w:t>
            </w:r>
            <w:r>
              <w:rPr>
                <w:rFonts w:hint="eastAsia" w:cs="宋体"/>
                <w:color w:val="auto"/>
                <w:sz w:val="21"/>
                <w:szCs w:val="21"/>
                <w:highlight w:val="none"/>
                <w:u w:val="single"/>
                <w:lang w:eastAsia="zh-CN"/>
              </w:rPr>
              <w:t>书</w:t>
            </w:r>
            <w:r>
              <w:rPr>
                <w:rFonts w:hint="eastAsia" w:ascii="宋体" w:hAnsi="宋体" w:eastAsia="宋体" w:cs="宋体"/>
                <w:bCs/>
                <w:color w:val="auto"/>
                <w:sz w:val="21"/>
                <w:szCs w:val="21"/>
                <w:highlight w:val="none"/>
                <w:u w:val="single"/>
              </w:rPr>
              <w:t>或建筑施工企业专职安全生产管理人员安全生产考核合格证书（C3类）</w:t>
            </w:r>
            <w:r>
              <w:rPr>
                <w:rFonts w:hint="eastAsia" w:cs="宋体"/>
                <w:bCs/>
                <w:color w:val="auto"/>
                <w:sz w:val="21"/>
                <w:szCs w:val="21"/>
                <w:highlight w:val="none"/>
                <w:u w:val="single"/>
                <w:lang w:eastAsia="zh-CN"/>
              </w:rPr>
              <w:t>扫描件</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cs="宋体"/>
                <w:color w:val="auto"/>
                <w:sz w:val="21"/>
                <w:szCs w:val="21"/>
                <w:highlight w:val="none"/>
                <w:u w:val="single"/>
                <w:vertAlign w:val="baseline"/>
                <w:lang w:val="en-US" w:eastAsia="zh-CN"/>
              </w:rPr>
              <w:t>8</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投标人提供的投标人声明符合公告要</w:t>
            </w:r>
            <w:r>
              <w:rPr>
                <w:rFonts w:hint="eastAsia" w:ascii="宋体" w:hAnsi="宋体" w:eastAsia="宋体" w:cs="宋体"/>
                <w:color w:val="auto"/>
                <w:sz w:val="21"/>
                <w:szCs w:val="21"/>
                <w:highlight w:val="none"/>
                <w:lang w:val="en-US" w:eastAsia="zh-CN"/>
              </w:rPr>
              <w:t>求</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投标人声明</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u w:val="single"/>
                <w:vertAlign w:val="baseline"/>
                <w:lang w:val="en-US" w:eastAsia="zh-CN"/>
              </w:rPr>
            </w:pPr>
            <w:r>
              <w:rPr>
                <w:rFonts w:hint="eastAsia" w:cs="宋体"/>
                <w:color w:val="auto"/>
                <w:sz w:val="21"/>
                <w:szCs w:val="21"/>
                <w:highlight w:val="none"/>
                <w:u w:val="single"/>
                <w:vertAlign w:val="baseline"/>
                <w:lang w:val="en-US" w:eastAsia="zh-CN"/>
              </w:rPr>
              <w:t>9</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投标人声明中签字的项目负责人和技术负责人与本项目拟派的项目负责人和技术负责人一致</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网上投标时选择拟投标的项目负责人、资格审查文件中拟委派的技术负责人及投标人声明</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default" w:ascii="宋体" w:hAnsi="宋体" w:eastAsia="宋体" w:cs="宋体"/>
                <w:color w:val="auto"/>
                <w:sz w:val="21"/>
                <w:szCs w:val="21"/>
                <w:highlight w:val="none"/>
                <w:u w:val="single"/>
                <w:vertAlign w:val="baseline"/>
                <w:lang w:val="en-US" w:eastAsia="zh-CN"/>
              </w:rPr>
            </w:pPr>
            <w:r>
              <w:rPr>
                <w:rFonts w:hint="eastAsia" w:cs="宋体"/>
                <w:color w:val="auto"/>
                <w:sz w:val="21"/>
                <w:szCs w:val="21"/>
                <w:highlight w:val="none"/>
                <w:u w:val="single"/>
                <w:vertAlign w:val="baseline"/>
                <w:lang w:val="en-US" w:eastAsia="zh-CN"/>
              </w:rPr>
              <w:t>10</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lang w:eastAsia="zh-CN"/>
              </w:rPr>
            </w:pPr>
            <w:r>
              <w:rPr>
                <w:rFonts w:hint="eastAsia" w:cs="宋体"/>
                <w:color w:val="auto"/>
                <w:spacing w:val="-3"/>
                <w:sz w:val="21"/>
                <w:szCs w:val="21"/>
                <w:highlight w:val="none"/>
                <w:u w:val="single"/>
                <w:lang w:eastAsia="zh-CN"/>
              </w:rPr>
              <w:t>关于联合体投标</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lang w:eastAsia="zh-CN"/>
              </w:rPr>
            </w:pPr>
            <w:r>
              <w:rPr>
                <w:rFonts w:hint="eastAsia" w:cs="宋体"/>
                <w:color w:val="auto"/>
                <w:spacing w:val="-3"/>
                <w:sz w:val="21"/>
                <w:szCs w:val="21"/>
                <w:highlight w:val="none"/>
                <w:u w:val="single"/>
                <w:lang w:eastAsia="zh-CN"/>
              </w:rPr>
              <w:t>未以联合体进行投标</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default" w:ascii="宋体" w:hAnsi="宋体" w:eastAsia="宋体" w:cs="宋体"/>
                <w:color w:val="auto"/>
                <w:sz w:val="21"/>
                <w:szCs w:val="21"/>
                <w:highlight w:val="none"/>
                <w:u w:val="single"/>
                <w:vertAlign w:val="baseline"/>
                <w:lang w:val="en-US" w:eastAsia="zh-CN"/>
              </w:rPr>
            </w:pPr>
            <w:r>
              <w:rPr>
                <w:rFonts w:hint="eastAsia" w:cs="宋体"/>
                <w:color w:val="auto"/>
                <w:sz w:val="21"/>
                <w:szCs w:val="21"/>
                <w:highlight w:val="none"/>
                <w:u w:val="single"/>
                <w:vertAlign w:val="baseline"/>
                <w:lang w:val="en-US" w:eastAsia="zh-CN"/>
              </w:rPr>
              <w:t>11</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资格审查前，投标人须在广州市住房和城乡建设局建立企业信用档案及拟担任本工程项目负责人、专职安全员须是本企业中的在册人员</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投标人在广州市住建行业信用管理平台内企业信用档案的企业和人员信息</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default" w:ascii="宋体" w:hAnsi="宋体" w:eastAsia="宋体" w:cs="宋体"/>
                <w:color w:val="auto"/>
                <w:sz w:val="21"/>
                <w:szCs w:val="21"/>
                <w:highlight w:val="none"/>
                <w:u w:val="single"/>
                <w:vertAlign w:val="baseline"/>
                <w:lang w:val="en-US" w:eastAsia="zh-CN"/>
              </w:rPr>
            </w:pPr>
            <w:r>
              <w:rPr>
                <w:rFonts w:hint="eastAsia" w:cs="宋体"/>
                <w:color w:val="auto"/>
                <w:sz w:val="21"/>
                <w:szCs w:val="21"/>
                <w:highlight w:val="none"/>
                <w:u w:val="single"/>
                <w:vertAlign w:val="baseline"/>
                <w:lang w:val="en-US" w:eastAsia="zh-CN"/>
              </w:rPr>
              <w:t>12</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pacing w:val="-3"/>
                <w:sz w:val="21"/>
                <w:szCs w:val="21"/>
                <w:highlight w:val="none"/>
              </w:rPr>
              <w:t>投标人未出现以下情形：与其它投标人的单位负责人为同一人或者存在控股、管理关系的（按投标人提供的《投标人声明》第八条内容进行评审）</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投标人声明</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default" w:ascii="宋体" w:hAnsi="宋体" w:eastAsia="宋体" w:cs="宋体"/>
                <w:color w:val="auto"/>
                <w:sz w:val="21"/>
                <w:szCs w:val="21"/>
                <w:highlight w:val="none"/>
                <w:u w:val="single"/>
                <w:vertAlign w:val="baseline"/>
                <w:lang w:val="en-US" w:eastAsia="zh-CN"/>
              </w:rPr>
            </w:pPr>
            <w:r>
              <w:rPr>
                <w:rFonts w:hint="eastAsia" w:cs="宋体"/>
                <w:color w:val="auto"/>
                <w:sz w:val="21"/>
                <w:szCs w:val="21"/>
                <w:highlight w:val="none"/>
                <w:u w:val="single"/>
                <w:vertAlign w:val="baseline"/>
                <w:lang w:val="en-US" w:eastAsia="zh-CN"/>
              </w:rPr>
              <w:t>13</w:t>
            </w:r>
          </w:p>
        </w:tc>
        <w:tc>
          <w:tcPr>
            <w:tcW w:w="372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cs="宋体"/>
                <w:color w:val="auto"/>
                <w:spacing w:val="-3"/>
                <w:sz w:val="21"/>
                <w:szCs w:val="21"/>
                <w:highlight w:val="none"/>
                <w:u w:val="single"/>
                <w:lang w:eastAsia="zh-CN"/>
              </w:rPr>
              <w:t>未被列入拖欠农民工工资失信联合惩戒对象名单</w:t>
            </w:r>
          </w:p>
        </w:tc>
        <w:tc>
          <w:tcPr>
            <w:tcW w:w="432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投标人无需提供资料，按交易系统比对的结果进行评审</w:t>
            </w:r>
          </w:p>
        </w:tc>
        <w:tc>
          <w:tcPr>
            <w:tcW w:w="1150" w:type="dxa"/>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color w:val="auto"/>
                <w:sz w:val="21"/>
                <w:szCs w:val="21"/>
                <w:highlight w:val="none"/>
                <w:vertAlign w:val="baseline"/>
              </w:rPr>
            </w:pP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color w:val="auto"/>
          <w:sz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rFonts w:hint="eastAsia" w:eastAsia="宋体"/>
          <w:color w:val="auto"/>
          <w:sz w:val="21"/>
          <w:highlight w:val="none"/>
          <w:lang w:eastAsia="zh-CN"/>
        </w:rPr>
      </w:pPr>
      <w:r>
        <w:rPr>
          <w:color w:val="auto"/>
          <w:sz w:val="21"/>
          <w:highlight w:val="none"/>
        </w:rPr>
        <w:t>备注：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rFonts w:hint="eastAsia" w:eastAsia="宋体"/>
          <w:color w:val="auto"/>
          <w:sz w:val="21"/>
          <w:highlight w:val="none"/>
          <w:lang w:eastAsia="zh-CN"/>
        </w:rPr>
      </w:pPr>
      <w:r>
        <w:rPr>
          <w:color w:val="auto"/>
          <w:w w:val="100"/>
          <w:sz w:val="21"/>
          <w:highlight w:val="none"/>
        </w:rPr>
        <w:t>1</w:t>
      </w:r>
      <w:r>
        <w:rPr>
          <w:color w:val="auto"/>
          <w:spacing w:val="-16"/>
          <w:w w:val="100"/>
          <w:sz w:val="21"/>
          <w:highlight w:val="none"/>
        </w:rPr>
        <w:t>、每一项目符合的打“○”，不符合的打“×”；</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rFonts w:hint="eastAsia" w:eastAsia="宋体"/>
          <w:color w:val="auto"/>
          <w:sz w:val="21"/>
          <w:highlight w:val="none"/>
          <w:lang w:eastAsia="zh-CN"/>
        </w:rPr>
      </w:pPr>
      <w:r>
        <w:rPr>
          <w:color w:val="auto"/>
          <w:sz w:val="21"/>
          <w:highlight w:val="none"/>
        </w:rPr>
        <w:t>2</w:t>
      </w:r>
      <w:r>
        <w:rPr>
          <w:color w:val="auto"/>
          <w:spacing w:val="-12"/>
          <w:sz w:val="21"/>
          <w:highlight w:val="none"/>
        </w:rPr>
        <w:t>、若评委意见不一致时，则按少数服从多数的原则，作出评审结论。汇总后，出现一个“×”</w:t>
      </w:r>
      <w:r>
        <w:rPr>
          <w:color w:val="auto"/>
          <w:spacing w:val="-17"/>
          <w:sz w:val="21"/>
          <w:highlight w:val="none"/>
        </w:rPr>
        <w:t>的结论为“不通过”。</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color w:val="auto"/>
          <w:sz w:val="21"/>
          <w:highlight w:val="none"/>
        </w:rPr>
        <w:sectPr>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r>
        <w:rPr>
          <w:rFonts w:hint="default"/>
          <w:b w:val="0"/>
          <w:color w:val="auto"/>
          <w:sz w:val="21"/>
          <w:highlight w:val="none"/>
        </w:rPr>
        <w:t>3.</w:t>
      </w:r>
      <w:r>
        <w:rPr>
          <w:rFonts w:ascii="宋体" w:hAnsi="宋体" w:eastAsia="宋体" w:cs="宋体"/>
          <w:b w:val="0"/>
          <w:bCs w:val="0"/>
          <w:color w:val="auto"/>
          <w:kern w:val="0"/>
          <w:sz w:val="21"/>
          <w:highlight w:val="none"/>
        </w:rPr>
        <w:t>不得将</w:t>
      </w:r>
      <w:r>
        <w:rPr>
          <w:rFonts w:hint="default" w:ascii="宋体" w:hAnsi="宋体" w:eastAsia="宋体" w:cs="宋体"/>
          <w:b w:val="0"/>
          <w:bCs w:val="0"/>
          <w:color w:val="auto"/>
          <w:kern w:val="0"/>
          <w:sz w:val="21"/>
          <w:highlight w:val="none"/>
        </w:rPr>
        <w:t>文件顺序、</w:t>
      </w:r>
      <w:r>
        <w:rPr>
          <w:rFonts w:ascii="宋体" w:hAnsi="宋体" w:eastAsia="宋体" w:cs="宋体"/>
          <w:b w:val="0"/>
          <w:bCs w:val="0"/>
          <w:color w:val="auto"/>
          <w:kern w:val="0"/>
          <w:sz w:val="21"/>
          <w:highlight w:val="none"/>
        </w:rPr>
        <w:t>明显的文字错误等列为否</w:t>
      </w:r>
      <w:r>
        <w:rPr>
          <w:rFonts w:hint="default" w:ascii="宋体" w:hAnsi="宋体" w:eastAsia="宋体" w:cs="宋体"/>
          <w:b w:val="0"/>
          <w:bCs w:val="0"/>
          <w:color w:val="auto"/>
          <w:kern w:val="0"/>
          <w:sz w:val="21"/>
          <w:highlight w:val="none"/>
        </w:rPr>
        <w:t>决</w:t>
      </w:r>
      <w:r>
        <w:rPr>
          <w:rFonts w:ascii="宋体" w:hAnsi="宋体" w:eastAsia="宋体" w:cs="宋体"/>
          <w:b w:val="0"/>
          <w:bCs w:val="0"/>
          <w:color w:val="auto"/>
          <w:kern w:val="0"/>
          <w:sz w:val="21"/>
          <w:highlight w:val="none"/>
        </w:rPr>
        <w:t>投标的</w:t>
      </w:r>
      <w:r>
        <w:rPr>
          <w:rFonts w:hint="default" w:ascii="宋体" w:hAnsi="宋体" w:eastAsia="宋体" w:cs="宋体"/>
          <w:b w:val="0"/>
          <w:bCs w:val="0"/>
          <w:color w:val="auto"/>
          <w:kern w:val="0"/>
          <w:sz w:val="21"/>
          <w:highlight w:val="none"/>
        </w:rPr>
        <w:t>情形。评委</w:t>
      </w:r>
      <w:r>
        <w:rPr>
          <w:rFonts w:ascii="宋体" w:hAnsi="宋体" w:eastAsia="宋体" w:cs="宋体"/>
          <w:b w:val="0"/>
          <w:bCs w:val="0"/>
          <w:color w:val="auto"/>
          <w:kern w:val="0"/>
          <w:sz w:val="21"/>
          <w:highlight w:val="none"/>
        </w:rPr>
        <w:t>发现</w:t>
      </w:r>
      <w:r>
        <w:rPr>
          <w:rFonts w:hint="default" w:ascii="宋体" w:hAnsi="宋体" w:eastAsia="宋体" w:cs="宋体"/>
          <w:b w:val="0"/>
          <w:bCs w:val="0"/>
          <w:color w:val="auto"/>
          <w:kern w:val="0"/>
          <w:sz w:val="21"/>
          <w:highlight w:val="none"/>
        </w:rPr>
        <w:t>资格审查文件</w:t>
      </w:r>
      <w:r>
        <w:rPr>
          <w:rFonts w:ascii="宋体" w:hAnsi="宋体" w:eastAsia="宋体" w:cs="宋体"/>
          <w:b w:val="0"/>
          <w:bCs w:val="0"/>
          <w:color w:val="auto"/>
          <w:kern w:val="0"/>
          <w:sz w:val="21"/>
          <w:highlight w:val="none"/>
        </w:rPr>
        <w:t>中</w:t>
      </w:r>
      <w:r>
        <w:rPr>
          <w:rFonts w:hint="default" w:ascii="宋体" w:hAnsi="宋体" w:eastAsia="宋体" w:cs="宋体"/>
          <w:b w:val="0"/>
          <w:bCs w:val="0"/>
          <w:color w:val="auto"/>
          <w:kern w:val="0"/>
          <w:sz w:val="21"/>
          <w:highlight w:val="none"/>
        </w:rPr>
        <w:t>含义不明确</w:t>
      </w:r>
      <w:r>
        <w:rPr>
          <w:rFonts w:ascii="宋体" w:hAnsi="宋体" w:eastAsia="宋体" w:cs="宋体"/>
          <w:b w:val="0"/>
          <w:bCs w:val="0"/>
          <w:color w:val="auto"/>
          <w:kern w:val="0"/>
          <w:sz w:val="21"/>
          <w:highlight w:val="none"/>
        </w:rPr>
        <w:t>、对同类问题表述不一致、有明显</w:t>
      </w:r>
      <w:r>
        <w:rPr>
          <w:rFonts w:hint="default" w:ascii="宋体" w:hAnsi="宋体" w:eastAsia="宋体" w:cs="宋体"/>
          <w:b w:val="0"/>
          <w:bCs w:val="0"/>
          <w:color w:val="auto"/>
          <w:kern w:val="0"/>
          <w:sz w:val="21"/>
          <w:highlight w:val="none"/>
        </w:rPr>
        <w:t>文字</w:t>
      </w:r>
      <w:r>
        <w:rPr>
          <w:rFonts w:ascii="宋体" w:hAnsi="宋体" w:eastAsia="宋体" w:cs="宋体"/>
          <w:b w:val="0"/>
          <w:bCs w:val="0"/>
          <w:color w:val="auto"/>
          <w:kern w:val="0"/>
          <w:sz w:val="21"/>
          <w:highlight w:val="none"/>
        </w:rPr>
        <w:t>和计算错误的，应当</w:t>
      </w:r>
      <w:r>
        <w:rPr>
          <w:rFonts w:hint="default" w:ascii="宋体" w:hAnsi="宋体" w:eastAsia="宋体" w:cs="宋体"/>
          <w:b w:val="0"/>
          <w:bCs w:val="0"/>
          <w:color w:val="auto"/>
          <w:kern w:val="0"/>
          <w:sz w:val="21"/>
          <w:highlight w:val="none"/>
        </w:rPr>
        <w:t>要求</w:t>
      </w:r>
      <w:r>
        <w:rPr>
          <w:rFonts w:ascii="宋体" w:hAnsi="宋体" w:eastAsia="宋体" w:cs="宋体"/>
          <w:b w:val="0"/>
          <w:bCs w:val="0"/>
          <w:color w:val="auto"/>
          <w:kern w:val="0"/>
          <w:sz w:val="21"/>
          <w:highlight w:val="none"/>
        </w:rPr>
        <w:t>投标人作必要的澄清、说明</w:t>
      </w:r>
      <w:r>
        <w:rPr>
          <w:rFonts w:hint="default" w:ascii="宋体" w:hAnsi="宋体" w:eastAsia="宋体" w:cs="宋体"/>
          <w:b w:val="0"/>
          <w:bCs w:val="0"/>
          <w:color w:val="auto"/>
          <w:kern w:val="0"/>
          <w:sz w:val="21"/>
          <w:highlight w:val="none"/>
        </w:rPr>
        <w:t>后再判定投标人是否通过资格审查</w:t>
      </w:r>
      <w:r>
        <w:rPr>
          <w:rFonts w:ascii="宋体" w:hAnsi="宋体" w:eastAsia="宋体" w:cs="宋体"/>
          <w:b w:val="0"/>
          <w:bCs w:val="0"/>
          <w:color w:val="auto"/>
          <w:kern w:val="0"/>
          <w:sz w:val="21"/>
          <w:highlight w:val="none"/>
        </w:rPr>
        <w:t>，不得直接</w:t>
      </w:r>
      <w:r>
        <w:rPr>
          <w:rFonts w:hint="default" w:ascii="宋体" w:hAnsi="宋体" w:eastAsia="宋体" w:cs="宋体"/>
          <w:b w:val="0"/>
          <w:bCs w:val="0"/>
          <w:color w:val="auto"/>
          <w:kern w:val="0"/>
          <w:sz w:val="21"/>
          <w:highlight w:val="none"/>
        </w:rPr>
        <w:t>认定其不通过资格审查。</w:t>
      </w:r>
    </w:p>
    <w:p>
      <w:pPr>
        <w:rPr>
          <w:color w:val="auto"/>
          <w:sz w:val="24"/>
          <w:szCs w:val="24"/>
          <w:highlight w:val="none"/>
        </w:rPr>
      </w:pPr>
      <w:r>
        <w:rPr>
          <w:color w:val="auto"/>
          <w:sz w:val="24"/>
          <w:szCs w:val="24"/>
          <w:highlight w:val="none"/>
        </w:rPr>
        <w:t>附表二</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color w:val="auto"/>
          <w:sz w:val="32"/>
          <w:highlight w:val="none"/>
        </w:rPr>
      </w:pPr>
      <w:r>
        <w:rPr>
          <w:b/>
          <w:color w:val="auto"/>
          <w:sz w:val="32"/>
          <w:highlight w:val="none"/>
        </w:rPr>
        <w:t>技术标有效性审查表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auto"/>
          <w:sz w:val="24"/>
          <w:szCs w:val="24"/>
          <w:highlight w:val="none"/>
        </w:rPr>
      </w:pPr>
      <w:r>
        <w:rPr>
          <w:color w:val="auto"/>
          <w:sz w:val="24"/>
          <w:szCs w:val="24"/>
          <w:highlight w:val="none"/>
        </w:rPr>
        <w:t>工程名称：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3086"/>
        <w:gridCol w:w="1265"/>
        <w:gridCol w:w="1265"/>
        <w:gridCol w:w="1265"/>
        <w:gridCol w:w="126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序号</w:t>
            </w:r>
          </w:p>
        </w:tc>
        <w:tc>
          <w:tcPr>
            <w:tcW w:w="3086" w:type="dxa"/>
            <w:tcBorders>
              <w:tl2br w:val="single" w:color="auto" w:sz="4" w:space="0"/>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righ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投标人</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评审内容</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1</w:t>
            </w:r>
          </w:p>
        </w:tc>
        <w:tc>
          <w:tcPr>
            <w:tcW w:w="308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left"/>
              <w:textAlignment w:val="auto"/>
              <w:rPr>
                <w:rFonts w:hint="eastAsia" w:ascii="宋体" w:hAnsi="宋体" w:eastAsia="宋体" w:cs="宋体"/>
                <w:color w:val="auto"/>
                <w:sz w:val="21"/>
                <w:szCs w:val="21"/>
                <w:highlight w:val="none"/>
                <w:u w:val="single"/>
                <w:vertAlign w:val="baseline"/>
              </w:rPr>
            </w:pPr>
            <w:r>
              <w:rPr>
                <w:rFonts w:hint="eastAsia" w:ascii="宋体" w:hAnsi="宋体" w:eastAsia="宋体" w:cs="宋体"/>
                <w:color w:val="auto"/>
                <w:sz w:val="21"/>
                <w:szCs w:val="21"/>
                <w:highlight w:val="none"/>
                <w:u w:val="single"/>
                <w:vertAlign w:val="baseline"/>
              </w:rPr>
              <w:t>《广州建设工程施工招标投标书》中的总工期不符合招标文件要求的；</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2</w:t>
            </w:r>
          </w:p>
        </w:tc>
        <w:tc>
          <w:tcPr>
            <w:tcW w:w="308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left"/>
              <w:textAlignment w:val="auto"/>
              <w:rPr>
                <w:rFonts w:hint="eastAsia" w:ascii="宋体" w:hAnsi="宋体" w:eastAsia="宋体" w:cs="宋体"/>
                <w:color w:val="auto"/>
                <w:sz w:val="21"/>
                <w:szCs w:val="21"/>
                <w:highlight w:val="none"/>
                <w:u w:val="single"/>
                <w:vertAlign w:val="baseline"/>
              </w:rPr>
            </w:pPr>
            <w:r>
              <w:rPr>
                <w:rFonts w:hint="eastAsia" w:ascii="宋体" w:hAnsi="宋体" w:eastAsia="宋体" w:cs="宋体"/>
                <w:color w:val="auto"/>
                <w:sz w:val="21"/>
                <w:szCs w:val="21"/>
                <w:highlight w:val="none"/>
                <w:u w:val="single"/>
                <w:vertAlign w:val="baseline"/>
              </w:rPr>
              <w:t>《广州建设工程施工招标投标书）》中的工程质量标准不符合招标文件要求的；</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cs="宋体"/>
                <w:color w:val="auto"/>
                <w:sz w:val="21"/>
                <w:szCs w:val="21"/>
                <w:highlight w:val="none"/>
                <w:u w:val="single"/>
                <w:lang w:val="en-US" w:eastAsia="zh-CN"/>
              </w:rPr>
              <w:t>3</w:t>
            </w:r>
          </w:p>
        </w:tc>
        <w:tc>
          <w:tcPr>
            <w:tcW w:w="308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投标文件中没有有效的法定代表人证明书，或由委托代理人签署</w:t>
            </w:r>
            <w:r>
              <w:rPr>
                <w:rFonts w:hint="eastAsia" w:cs="宋体"/>
                <w:color w:val="auto"/>
                <w:sz w:val="21"/>
                <w:szCs w:val="21"/>
                <w:highlight w:val="none"/>
                <w:u w:val="single"/>
                <w:lang w:val="en-US" w:eastAsia="zh-CN"/>
              </w:rPr>
              <w:t>或盖章</w:t>
            </w:r>
            <w:r>
              <w:rPr>
                <w:rFonts w:hint="eastAsia" w:ascii="宋体" w:hAnsi="宋体" w:eastAsia="宋体" w:cs="宋体"/>
                <w:color w:val="auto"/>
                <w:sz w:val="21"/>
                <w:szCs w:val="21"/>
                <w:highlight w:val="none"/>
              </w:rPr>
              <w:t>的投标文件中没有法定</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代表人授权书；</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cs="宋体"/>
                <w:color w:val="auto"/>
                <w:sz w:val="21"/>
                <w:szCs w:val="21"/>
                <w:highlight w:val="none"/>
                <w:u w:val="single"/>
                <w:lang w:val="en-US" w:eastAsia="zh-CN"/>
              </w:rPr>
              <w:t>4</w:t>
            </w:r>
          </w:p>
        </w:tc>
        <w:tc>
          <w:tcPr>
            <w:tcW w:w="308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投标文件未按规定的格式</w:t>
            </w:r>
            <w:r>
              <w:rPr>
                <w:rFonts w:hint="eastAsia" w:ascii="宋体" w:hAnsi="宋体" w:eastAsia="宋体" w:cs="宋体"/>
                <w:color w:val="auto"/>
                <w:sz w:val="21"/>
                <w:szCs w:val="21"/>
                <w:highlight w:val="none"/>
                <w:u w:val="single"/>
              </w:rPr>
              <w:t>（指招标文件第四章格式</w:t>
            </w:r>
            <w:r>
              <w:rPr>
                <w:rFonts w:hint="eastAsia"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、格式</w:t>
            </w:r>
            <w:r>
              <w:rPr>
                <w:rFonts w:hint="eastAsia"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、格式</w:t>
            </w:r>
            <w:r>
              <w:rPr>
                <w:rFonts w:hint="eastAsia"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填写，或主要内容不全，或关键字迹模糊、无法辨认的；</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cs="宋体"/>
                <w:color w:val="auto"/>
                <w:sz w:val="21"/>
                <w:szCs w:val="21"/>
                <w:highlight w:val="none"/>
                <w:u w:val="single"/>
                <w:lang w:val="en-US" w:eastAsia="zh-CN"/>
              </w:rPr>
              <w:t>5</w:t>
            </w:r>
          </w:p>
        </w:tc>
        <w:tc>
          <w:tcPr>
            <w:tcW w:w="308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5"/>
                <w:sz w:val="21"/>
                <w:szCs w:val="21"/>
                <w:highlight w:val="none"/>
              </w:rPr>
              <w:t>投标人之间存在《广东省实施&lt;中华人民共和</w:t>
            </w:r>
            <w:r>
              <w:rPr>
                <w:rFonts w:hint="eastAsia" w:ascii="宋体" w:hAnsi="宋体" w:eastAsia="宋体" w:cs="宋体"/>
                <w:color w:val="auto"/>
                <w:spacing w:val="-4"/>
                <w:sz w:val="21"/>
                <w:szCs w:val="21"/>
                <w:highlight w:val="none"/>
              </w:rPr>
              <w:t>国招标投标法&gt;》第十六条所禁止的情形的；</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cs="宋体"/>
                <w:color w:val="auto"/>
                <w:sz w:val="21"/>
                <w:szCs w:val="21"/>
                <w:highlight w:val="none"/>
                <w:u w:val="single"/>
                <w:lang w:val="en-US" w:eastAsia="zh-CN"/>
              </w:rPr>
              <w:t>6</w:t>
            </w:r>
          </w:p>
        </w:tc>
        <w:tc>
          <w:tcPr>
            <w:tcW w:w="308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无《参与编制技术标投标文件人员名单》的</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cs="宋体"/>
                <w:color w:val="auto"/>
                <w:sz w:val="21"/>
                <w:szCs w:val="21"/>
                <w:highlight w:val="none"/>
                <w:u w:val="single"/>
                <w:lang w:val="en-US" w:eastAsia="zh-CN"/>
              </w:rPr>
              <w:t>7</w:t>
            </w:r>
          </w:p>
        </w:tc>
        <w:tc>
          <w:tcPr>
            <w:tcW w:w="308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投标人未按要求提交投标保证金的</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lang w:eastAsia="zh-CN"/>
              </w:rPr>
            </w:pPr>
            <w:r>
              <w:rPr>
                <w:rFonts w:hint="eastAsia" w:cs="宋体"/>
                <w:color w:val="auto"/>
                <w:sz w:val="21"/>
                <w:szCs w:val="21"/>
                <w:highlight w:val="none"/>
                <w:u w:val="single"/>
                <w:lang w:val="en-US" w:eastAsia="zh-CN"/>
              </w:rPr>
              <w:t>8</w:t>
            </w:r>
          </w:p>
        </w:tc>
        <w:tc>
          <w:tcPr>
            <w:tcW w:w="308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投标人与</w:t>
            </w:r>
            <w:r>
              <w:rPr>
                <w:rFonts w:hint="eastAsia" w:cs="宋体"/>
                <w:color w:val="auto"/>
                <w:sz w:val="21"/>
                <w:szCs w:val="21"/>
                <w:highlight w:val="none"/>
                <w:u w:val="single"/>
                <w:lang w:val="en-US" w:eastAsia="zh-CN"/>
              </w:rPr>
              <w:t>本项目</w:t>
            </w:r>
            <w:r>
              <w:rPr>
                <w:rFonts w:hint="eastAsia" w:ascii="宋体" w:hAnsi="宋体" w:eastAsia="宋体" w:cs="宋体"/>
                <w:color w:val="auto"/>
                <w:sz w:val="21"/>
                <w:szCs w:val="21"/>
                <w:highlight w:val="none"/>
              </w:rPr>
              <w:t>其他投标人加密打包投标文件电脑机器特征码一致的(以交易平台评标系统的检索信息为准)</w:t>
            </w: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6"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bl>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6"/>
          <w:sz w:val="21"/>
          <w:highlight w:val="none"/>
        </w:rPr>
      </w:pPr>
      <w:r>
        <w:rPr>
          <w:color w:val="auto"/>
          <w:spacing w:val="-5"/>
          <w:sz w:val="21"/>
          <w:highlight w:val="none"/>
        </w:rPr>
        <w:t>注：</w:t>
      </w:r>
      <w:r>
        <w:rPr>
          <w:color w:val="auto"/>
          <w:spacing w:val="-9"/>
          <w:sz w:val="21"/>
          <w:highlight w:val="none"/>
        </w:rPr>
        <w:t>1</w:t>
      </w:r>
      <w:r>
        <w:rPr>
          <w:color w:val="auto"/>
          <w:spacing w:val="-8"/>
          <w:sz w:val="21"/>
          <w:highlight w:val="none"/>
        </w:rPr>
        <w:t>.本表使用</w:t>
      </w:r>
      <w:r>
        <w:rPr>
          <w:color w:val="auto"/>
          <w:sz w:val="21"/>
          <w:highlight w:val="none"/>
        </w:rPr>
        <w:t>GZZB2018-3</w:t>
      </w:r>
      <w:r>
        <w:rPr>
          <w:color w:val="auto"/>
          <w:spacing w:val="-12"/>
          <w:sz w:val="21"/>
          <w:highlight w:val="none"/>
        </w:rPr>
        <w:t>招标文件范本，与范本内容不同之处均以下划线标明。技术标评审中，响应性、承诺性内容不应作为评分因素，可在该表中对上述</w:t>
      </w:r>
      <w:r>
        <w:rPr>
          <w:color w:val="auto"/>
          <w:spacing w:val="-6"/>
          <w:sz w:val="21"/>
          <w:highlight w:val="none"/>
        </w:rPr>
        <w:t>内容进行符合性审查。审查标准须具备可操作性。</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20" w:firstLineChars="200"/>
        <w:jc w:val="left"/>
        <w:textAlignment w:val="auto"/>
        <w:rPr>
          <w:rFonts w:hint="eastAsia" w:eastAsia="宋体"/>
          <w:color w:val="auto"/>
          <w:sz w:val="21"/>
          <w:highlight w:val="none"/>
          <w:lang w:eastAsia="zh-CN"/>
        </w:rPr>
      </w:pPr>
      <w:r>
        <w:rPr>
          <w:color w:val="auto"/>
          <w:sz w:val="21"/>
          <w:highlight w:val="none"/>
        </w:rPr>
        <w:t>2.不得将</w:t>
      </w:r>
      <w:r>
        <w:rPr>
          <w:rFonts w:hint="eastAsia"/>
          <w:color w:val="auto"/>
          <w:sz w:val="21"/>
          <w:highlight w:val="none"/>
        </w:rPr>
        <w:t>文件顺序、</w:t>
      </w:r>
      <w:r>
        <w:rPr>
          <w:color w:val="auto"/>
          <w:sz w:val="21"/>
          <w:highlight w:val="none"/>
        </w:rPr>
        <w:t>明显的文字错误等列为否</w:t>
      </w:r>
      <w:r>
        <w:rPr>
          <w:rFonts w:hint="eastAsia"/>
          <w:color w:val="auto"/>
          <w:sz w:val="21"/>
          <w:highlight w:val="none"/>
        </w:rPr>
        <w:t>决</w:t>
      </w:r>
      <w:r>
        <w:rPr>
          <w:color w:val="auto"/>
          <w:sz w:val="21"/>
          <w:highlight w:val="none"/>
        </w:rPr>
        <w:t>投标的</w:t>
      </w:r>
      <w:r>
        <w:rPr>
          <w:rFonts w:hint="eastAsia"/>
          <w:color w:val="auto"/>
          <w:sz w:val="21"/>
          <w:highlight w:val="none"/>
        </w:rPr>
        <w:t>情形。评委</w:t>
      </w:r>
      <w:r>
        <w:rPr>
          <w:color w:val="auto"/>
          <w:sz w:val="21"/>
          <w:highlight w:val="none"/>
        </w:rPr>
        <w:t>发现投标</w:t>
      </w:r>
      <w:r>
        <w:rPr>
          <w:rFonts w:hint="eastAsia"/>
          <w:color w:val="auto"/>
          <w:sz w:val="21"/>
          <w:highlight w:val="none"/>
        </w:rPr>
        <w:t>文件</w:t>
      </w:r>
      <w:r>
        <w:rPr>
          <w:color w:val="auto"/>
          <w:sz w:val="21"/>
          <w:highlight w:val="none"/>
        </w:rPr>
        <w:t>中</w:t>
      </w:r>
      <w:r>
        <w:rPr>
          <w:rFonts w:hint="eastAsia"/>
          <w:color w:val="auto"/>
          <w:sz w:val="21"/>
          <w:highlight w:val="none"/>
        </w:rPr>
        <w:t>含义不明确</w:t>
      </w:r>
      <w:r>
        <w:rPr>
          <w:color w:val="auto"/>
          <w:sz w:val="21"/>
          <w:highlight w:val="none"/>
        </w:rPr>
        <w:t>、对同类问题表述不一致、有明显</w:t>
      </w:r>
      <w:r>
        <w:rPr>
          <w:rFonts w:hint="eastAsia"/>
          <w:color w:val="auto"/>
          <w:sz w:val="21"/>
          <w:highlight w:val="none"/>
        </w:rPr>
        <w:t>文字</w:t>
      </w:r>
      <w:r>
        <w:rPr>
          <w:color w:val="auto"/>
          <w:sz w:val="21"/>
          <w:highlight w:val="none"/>
        </w:rPr>
        <w:t>和计算错误</w:t>
      </w:r>
      <w:r>
        <w:rPr>
          <w:rFonts w:hint="eastAsia"/>
          <w:color w:val="auto"/>
          <w:sz w:val="21"/>
          <w:highlight w:val="none"/>
        </w:rPr>
        <w:t>的，</w:t>
      </w:r>
      <w:r>
        <w:rPr>
          <w:color w:val="auto"/>
          <w:sz w:val="21"/>
          <w:highlight w:val="none"/>
        </w:rPr>
        <w:t>应当</w:t>
      </w:r>
      <w:r>
        <w:rPr>
          <w:rFonts w:hint="eastAsia"/>
          <w:color w:val="auto"/>
          <w:sz w:val="21"/>
          <w:highlight w:val="none"/>
        </w:rPr>
        <w:t>要求</w:t>
      </w:r>
      <w:r>
        <w:rPr>
          <w:color w:val="auto"/>
          <w:sz w:val="21"/>
          <w:highlight w:val="none"/>
        </w:rPr>
        <w:t>投标人作必要的澄清、说明</w:t>
      </w:r>
      <w:r>
        <w:rPr>
          <w:rFonts w:hint="eastAsia"/>
          <w:color w:val="auto"/>
          <w:sz w:val="21"/>
          <w:highlight w:val="none"/>
        </w:rPr>
        <w:t>后再判定投标人是否通过有效性审查</w:t>
      </w:r>
      <w:r>
        <w:rPr>
          <w:color w:val="auto"/>
          <w:sz w:val="21"/>
          <w:highlight w:val="none"/>
        </w:rPr>
        <w:t>，不得直接否决投标</w:t>
      </w:r>
      <w:r>
        <w:rPr>
          <w:rFonts w:hint="eastAsia"/>
          <w:color w:val="auto"/>
          <w:sz w:val="21"/>
          <w:highlight w:val="none"/>
        </w:rPr>
        <w:t>，</w:t>
      </w:r>
      <w:r>
        <w:rPr>
          <w:color w:val="auto"/>
          <w:sz w:val="21"/>
          <w:highlight w:val="none"/>
        </w:rPr>
        <w:t>若出现评标委员会否决投标的，应在评标报告中载明否决投标的具体情形、原因。</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20" w:firstLineChars="200"/>
        <w:jc w:val="left"/>
        <w:textAlignment w:val="auto"/>
        <w:rPr>
          <w:rFonts w:hint="eastAsia"/>
          <w:color w:val="auto"/>
          <w:spacing w:val="-5"/>
          <w:sz w:val="21"/>
          <w:highlight w:val="none"/>
          <w:lang w:eastAsia="zh-CN"/>
        </w:rPr>
      </w:pPr>
      <w:r>
        <w:rPr>
          <w:color w:val="auto"/>
          <w:sz w:val="21"/>
          <w:highlight w:val="none"/>
        </w:rPr>
        <w:t>3</w:t>
      </w:r>
      <w:r>
        <w:rPr>
          <w:color w:val="auto"/>
          <w:spacing w:val="-5"/>
          <w:sz w:val="21"/>
          <w:highlight w:val="none"/>
        </w:rPr>
        <w:t>.凡出现以上任何一项情形，结论均为无效，否则就为有效。</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r>
        <w:rPr>
          <w:color w:val="auto"/>
          <w:spacing w:val="-5"/>
          <w:sz w:val="21"/>
          <w:highlight w:val="none"/>
        </w:rPr>
        <w:t>4.如对本表中某种情形的评审意见不一致时，以评标委员会过半数成员的意见作为评标委员会对该情形的认定结论。</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color w:val="auto"/>
          <w:spacing w:val="-5"/>
          <w:sz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color w:val="auto"/>
          <w:spacing w:val="-5"/>
          <w:sz w:val="21"/>
          <w:highlight w:val="none"/>
          <w:lang w:eastAsia="zh-CN"/>
        </w:rPr>
      </w:pPr>
      <w:r>
        <w:rPr>
          <w:color w:val="auto"/>
          <w:spacing w:val="-5"/>
          <w:sz w:val="21"/>
          <w:highlight w:val="none"/>
        </w:rPr>
        <w:t>评委签名：</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left"/>
        <w:textAlignment w:val="auto"/>
        <w:rPr>
          <w:color w:val="auto"/>
          <w:spacing w:val="-5"/>
          <w:sz w:val="21"/>
          <w:highlight w:val="none"/>
        </w:rPr>
        <w:sectPr>
          <w:headerReference r:id="rId7" w:type="default"/>
          <w:footerReference r:id="rId8" w:type="default"/>
          <w:pgSz w:w="11911" w:h="16838"/>
          <w:pgMar w:top="1417" w:right="850" w:bottom="1134" w:left="1134" w:header="850" w:footer="850" w:gutter="0"/>
          <w:pgBorders>
            <w:top w:val="none" w:sz="0" w:space="0"/>
            <w:left w:val="none" w:sz="0" w:space="0"/>
            <w:bottom w:val="none" w:sz="0" w:space="0"/>
            <w:right w:val="none" w:sz="0" w:space="0"/>
          </w:pgBorders>
          <w:pgNumType w:fmt="decimal" w:start="82"/>
          <w:cols w:space="0" w:num="1"/>
          <w:rtlGutter w:val="0"/>
          <w:docGrid w:linePitch="0" w:charSpace="0"/>
        </w:sectPr>
      </w:pPr>
    </w:p>
    <w:p>
      <w:pPr>
        <w:pStyle w:val="13"/>
        <w:keepNext w:val="0"/>
        <w:keepLines w:val="0"/>
        <w:pageBreakBefore w:val="0"/>
        <w:widowControl w:val="0"/>
        <w:kinsoku/>
        <w:wordWrap/>
        <w:overflowPunct/>
        <w:topLinePunct w:val="0"/>
        <w:bidi w:val="0"/>
        <w:adjustRightInd/>
        <w:spacing w:before="7" w:line="360" w:lineRule="auto"/>
        <w:ind w:left="0"/>
        <w:textAlignment w:val="auto"/>
        <w:rPr>
          <w:color w:val="auto"/>
          <w:sz w:val="20"/>
          <w:highlight w:val="none"/>
        </w:rPr>
      </w:pPr>
    </w:p>
    <w:p>
      <w:pPr>
        <w:rPr>
          <w:color w:val="auto"/>
          <w:sz w:val="21"/>
          <w:highlight w:val="none"/>
        </w:rPr>
      </w:pPr>
      <w:r>
        <w:rPr>
          <w:color w:val="auto"/>
          <w:sz w:val="21"/>
          <w:highlight w:val="none"/>
        </w:rPr>
        <w:br w:type="page"/>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color w:val="auto"/>
          <w:sz w:val="24"/>
          <w:szCs w:val="24"/>
          <w:highlight w:val="none"/>
        </w:rPr>
      </w:pPr>
      <w:r>
        <w:rPr>
          <w:color w:val="auto"/>
          <w:sz w:val="24"/>
          <w:szCs w:val="24"/>
          <w:highlight w:val="none"/>
        </w:rPr>
        <w:t>附表三</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color w:val="auto"/>
          <w:sz w:val="32"/>
          <w:highlight w:val="none"/>
        </w:rPr>
      </w:pPr>
      <w:r>
        <w:rPr>
          <w:b/>
          <w:color w:val="auto"/>
          <w:sz w:val="32"/>
          <w:highlight w:val="none"/>
        </w:rPr>
        <w:t>经济标有效性审查表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auto"/>
          <w:sz w:val="24"/>
          <w:szCs w:val="24"/>
          <w:highlight w:val="none"/>
        </w:rPr>
      </w:pPr>
      <w:r>
        <w:rPr>
          <w:color w:val="auto"/>
          <w:sz w:val="24"/>
          <w:szCs w:val="24"/>
          <w:highlight w:val="none"/>
        </w:rPr>
        <w:t>工程名称：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3588"/>
        <w:gridCol w:w="1020"/>
        <w:gridCol w:w="1260"/>
        <w:gridCol w:w="1185"/>
        <w:gridCol w:w="126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序号</w:t>
            </w:r>
          </w:p>
        </w:tc>
        <w:tc>
          <w:tcPr>
            <w:tcW w:w="3588" w:type="dxa"/>
            <w:tcBorders>
              <w:tl2br w:val="single" w:color="auto" w:sz="4" w:space="0"/>
            </w:tcBorders>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righ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投标人</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both"/>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rPr>
              <w:t>评审内容</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b/>
                <w:bCs/>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1</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对同一招标项目出现两个或以上的投标报价，且没有申明哪个有效；</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2</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投标报价高于最高投标限价的；</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3</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投标报价低于成本的；</w:t>
            </w:r>
            <w:r>
              <w:rPr>
                <w:rFonts w:hint="eastAsia" w:ascii="宋体" w:hAnsi="宋体" w:eastAsia="宋体" w:cs="宋体"/>
                <w:color w:val="auto"/>
                <w:sz w:val="21"/>
                <w:szCs w:val="21"/>
                <w:highlight w:val="none"/>
                <w:u w:val="single"/>
              </w:rPr>
              <w:t>投标报价低于成本的（投标人的报价明显低于其他投标报价，使得其投标报价可能低于其个别成本，又不能合理说明或者不能提供相关证明材料的，由评标委员会认定该投标人以低于成本报价竞标的）；</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4</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pacing w:val="-5"/>
                <w:sz w:val="21"/>
                <w:szCs w:val="21"/>
                <w:highlight w:val="none"/>
              </w:rPr>
              <w:t>算术复核后的投标报价与原投标报价相比存在</w:t>
            </w:r>
            <w:r>
              <w:rPr>
                <w:rFonts w:hint="eastAsia" w:ascii="宋体" w:hAnsi="宋体" w:eastAsia="宋体" w:cs="宋体"/>
                <w:color w:val="auto"/>
                <w:sz w:val="21"/>
                <w:szCs w:val="21"/>
                <w:highlight w:val="none"/>
              </w:rPr>
              <w:t>1</w:t>
            </w:r>
            <w:r>
              <w:rPr>
                <w:rFonts w:hint="eastAsia" w:ascii="宋体" w:hAnsi="宋体" w:eastAsia="宋体" w:cs="宋体"/>
                <w:color w:val="auto"/>
                <w:spacing w:val="-9"/>
                <w:sz w:val="21"/>
                <w:szCs w:val="21"/>
                <w:highlight w:val="none"/>
              </w:rPr>
              <w:t>%或以上误差的；</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5</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投标文件未按规定的格式</w:t>
            </w:r>
            <w:r>
              <w:rPr>
                <w:rFonts w:hint="eastAsia" w:cs="宋体"/>
                <w:color w:val="auto"/>
                <w:sz w:val="21"/>
                <w:szCs w:val="21"/>
                <w:highlight w:val="none"/>
                <w:u w:val="single"/>
                <w:lang w:eastAsia="zh-CN"/>
              </w:rPr>
              <w:t>（指招标文件第四章格式</w:t>
            </w:r>
            <w:r>
              <w:rPr>
                <w:rFonts w:hint="eastAsia" w:cs="宋体"/>
                <w:color w:val="auto"/>
                <w:sz w:val="21"/>
                <w:szCs w:val="21"/>
                <w:highlight w:val="none"/>
                <w:u w:val="single"/>
                <w:lang w:val="en-US" w:eastAsia="zh-CN"/>
              </w:rPr>
              <w:t>1</w:t>
            </w:r>
            <w:r>
              <w:rPr>
                <w:rFonts w:hint="eastAsia" w:cs="宋体"/>
                <w:color w:val="auto"/>
                <w:sz w:val="21"/>
                <w:szCs w:val="21"/>
                <w:highlight w:val="none"/>
                <w:u w:val="single"/>
                <w:lang w:eastAsia="zh-CN"/>
              </w:rPr>
              <w:t>）</w:t>
            </w:r>
            <w:r>
              <w:rPr>
                <w:rFonts w:hint="eastAsia" w:ascii="宋体" w:hAnsi="宋体" w:eastAsia="宋体" w:cs="宋体"/>
                <w:color w:val="auto"/>
                <w:sz w:val="21"/>
                <w:szCs w:val="21"/>
                <w:highlight w:val="none"/>
              </w:rPr>
              <w:t>填写，或主要内容不全，或关键字迹模糊、无法辨认的；</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6</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不同投标人的投标报价中分部分项工程量清单综合单价相似度达到80%及以上的(以</w:t>
            </w:r>
            <w:r>
              <w:rPr>
                <w:rFonts w:hint="eastAsia" w:cs="宋体"/>
                <w:color w:val="auto"/>
                <w:sz w:val="21"/>
                <w:szCs w:val="21"/>
                <w:highlight w:val="none"/>
                <w:u w:val="single"/>
                <w:lang w:val="en-US" w:eastAsia="zh-CN"/>
              </w:rPr>
              <w:t>广州公共资源交易中心</w:t>
            </w:r>
            <w:r>
              <w:rPr>
                <w:rFonts w:hint="eastAsia" w:ascii="宋体" w:hAnsi="宋体" w:eastAsia="宋体" w:cs="宋体"/>
                <w:color w:val="auto"/>
                <w:sz w:val="21"/>
                <w:szCs w:val="21"/>
                <w:highlight w:val="none"/>
              </w:rPr>
              <w:t>交易平台评标系统的检索信息为准)</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7</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投标人之间存在《广东省实施&lt;中华人民共和国招标投标法&gt;》第十六条所禁止的情形的；</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8</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无《参与编制经济标投标文件人员名单》的；</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9</w:t>
            </w:r>
          </w:p>
        </w:tc>
        <w:tc>
          <w:tcPr>
            <w:tcW w:w="3588" w:type="dxa"/>
            <w:vAlign w:val="top"/>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无《对投标文件编制的承诺》</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u w:val="single"/>
                <w:lang w:val="en-US" w:eastAsia="zh-CN"/>
              </w:rPr>
              <w:t>10</w:t>
            </w:r>
          </w:p>
        </w:tc>
        <w:tc>
          <w:tcPr>
            <w:tcW w:w="3588" w:type="dxa"/>
            <w:vAlign w:val="center"/>
          </w:tcPr>
          <w:p>
            <w:pPr>
              <w:ind w:left="0" w:leftChars="0" w:right="0" w:rightChars="0"/>
              <w:rPr>
                <w:rFonts w:hint="eastAsia" w:ascii="宋体" w:hAnsi="宋体" w:eastAsia="宋体" w:cs="宋体"/>
                <w:color w:val="auto"/>
                <w:sz w:val="22"/>
                <w:szCs w:val="21"/>
                <w:highlight w:val="none"/>
                <w:lang w:val="zh-CN" w:eastAsia="zh-CN" w:bidi="zh-CN"/>
              </w:rPr>
            </w:pPr>
            <w:r>
              <w:rPr>
                <w:rFonts w:hint="eastAsia" w:ascii="宋体" w:hAnsi="宋体" w:cs="宋体"/>
                <w:color w:val="auto"/>
                <w:szCs w:val="21"/>
                <w:highlight w:val="none"/>
                <w:u w:val="single"/>
              </w:rPr>
              <w:t>投标人与本项目其他投标人的投标文件工程量清单编制机器硬件信息一致的（以交易平台评标系统的检索信息为准）</w:t>
            </w:r>
          </w:p>
        </w:tc>
        <w:tc>
          <w:tcPr>
            <w:tcW w:w="102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185"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260"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c>
          <w:tcPr>
            <w:tcW w:w="1099" w:type="dxa"/>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both"/>
              <w:textAlignment w:val="auto"/>
              <w:rPr>
                <w:rFonts w:hint="eastAsia" w:ascii="宋体" w:hAnsi="宋体" w:eastAsia="宋体" w:cs="宋体"/>
                <w:color w:val="auto"/>
                <w:sz w:val="21"/>
                <w:szCs w:val="21"/>
                <w:highlight w:val="none"/>
                <w:vertAlign w:val="baseline"/>
              </w:rPr>
            </w:pPr>
          </w:p>
        </w:tc>
      </w:tr>
    </w:tbl>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firstLineChars="0"/>
        <w:jc w:val="left"/>
        <w:textAlignment w:val="auto"/>
        <w:rPr>
          <w:color w:val="auto"/>
          <w:spacing w:val="-5"/>
          <w:sz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r>
        <w:rPr>
          <w:color w:val="auto"/>
          <w:spacing w:val="-5"/>
          <w:sz w:val="21"/>
          <w:highlight w:val="none"/>
        </w:rPr>
        <w:t>注：</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r>
        <w:rPr>
          <w:color w:val="auto"/>
          <w:spacing w:val="-5"/>
          <w:sz w:val="21"/>
          <w:highlight w:val="none"/>
        </w:rPr>
        <w:t>1.本表使用GZZB2018-3招标文件范本，与范本内容不同之处均以下划线标明。</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rFonts w:hint="eastAsia"/>
          <w:color w:val="auto"/>
          <w:spacing w:val="-5"/>
          <w:sz w:val="21"/>
          <w:highlight w:val="none"/>
          <w:lang w:eastAsia="zh-CN"/>
        </w:rPr>
      </w:pPr>
      <w:r>
        <w:rPr>
          <w:color w:val="auto"/>
          <w:spacing w:val="-5"/>
          <w:sz w:val="21"/>
          <w:highlight w:val="none"/>
        </w:rPr>
        <w:t>2.凡出现以上任何一项情形，结论均为无效，否则就为有效。</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r>
        <w:rPr>
          <w:rFonts w:hint="eastAsia"/>
          <w:color w:val="auto"/>
          <w:spacing w:val="-5"/>
          <w:sz w:val="21"/>
          <w:highlight w:val="none"/>
          <w:lang w:val="en-US" w:eastAsia="zh-CN"/>
        </w:rPr>
        <w:t>3.</w:t>
      </w:r>
      <w:r>
        <w:rPr>
          <w:color w:val="auto"/>
          <w:spacing w:val="-5"/>
          <w:sz w:val="21"/>
          <w:highlight w:val="none"/>
        </w:rPr>
        <w:t>如对本表中某种情形的评审意见不一致时，以评标委员会过半数成员的意见作为评标委员会对该情形的认定结论。</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rFonts w:hint="eastAsia"/>
          <w:color w:val="auto"/>
          <w:spacing w:val="-5"/>
          <w:sz w:val="21"/>
          <w:highlight w:val="none"/>
        </w:rPr>
      </w:pPr>
      <w:r>
        <w:rPr>
          <w:rFonts w:hint="eastAsia"/>
          <w:color w:val="auto"/>
          <w:spacing w:val="-5"/>
          <w:sz w:val="21"/>
          <w:highlight w:val="none"/>
          <w:lang w:val="en-US" w:eastAsia="zh-CN"/>
        </w:rPr>
        <w:t>4.</w:t>
      </w:r>
      <w:r>
        <w:rPr>
          <w:color w:val="auto"/>
          <w:spacing w:val="-5"/>
          <w:sz w:val="21"/>
          <w:highlight w:val="none"/>
        </w:rPr>
        <w:t>不得将</w:t>
      </w:r>
      <w:r>
        <w:rPr>
          <w:rFonts w:hint="eastAsia"/>
          <w:color w:val="auto"/>
          <w:spacing w:val="-5"/>
          <w:sz w:val="21"/>
          <w:highlight w:val="none"/>
        </w:rPr>
        <w:t>文件顺序、</w:t>
      </w:r>
      <w:r>
        <w:rPr>
          <w:color w:val="auto"/>
          <w:spacing w:val="-5"/>
          <w:sz w:val="21"/>
          <w:highlight w:val="none"/>
        </w:rPr>
        <w:t>明显的文字错误等列为否</w:t>
      </w:r>
      <w:r>
        <w:rPr>
          <w:rFonts w:hint="eastAsia"/>
          <w:color w:val="auto"/>
          <w:spacing w:val="-5"/>
          <w:sz w:val="21"/>
          <w:highlight w:val="none"/>
        </w:rPr>
        <w:t>决</w:t>
      </w:r>
      <w:r>
        <w:rPr>
          <w:color w:val="auto"/>
          <w:spacing w:val="-5"/>
          <w:sz w:val="21"/>
          <w:highlight w:val="none"/>
        </w:rPr>
        <w:t>投标的</w:t>
      </w:r>
      <w:r>
        <w:rPr>
          <w:rFonts w:hint="eastAsia"/>
          <w:color w:val="auto"/>
          <w:spacing w:val="-5"/>
          <w:sz w:val="21"/>
          <w:highlight w:val="none"/>
        </w:rPr>
        <w:t>情形。评委</w:t>
      </w:r>
      <w:r>
        <w:rPr>
          <w:color w:val="auto"/>
          <w:spacing w:val="-5"/>
          <w:sz w:val="21"/>
          <w:highlight w:val="none"/>
        </w:rPr>
        <w:t>发现投标</w:t>
      </w:r>
      <w:r>
        <w:rPr>
          <w:rFonts w:hint="eastAsia"/>
          <w:color w:val="auto"/>
          <w:spacing w:val="-5"/>
          <w:sz w:val="21"/>
          <w:highlight w:val="none"/>
        </w:rPr>
        <w:t>文件</w:t>
      </w:r>
      <w:r>
        <w:rPr>
          <w:color w:val="auto"/>
          <w:spacing w:val="-5"/>
          <w:sz w:val="21"/>
          <w:highlight w:val="none"/>
        </w:rPr>
        <w:t>中</w:t>
      </w:r>
      <w:r>
        <w:rPr>
          <w:rFonts w:hint="eastAsia"/>
          <w:color w:val="auto"/>
          <w:spacing w:val="-5"/>
          <w:sz w:val="21"/>
          <w:highlight w:val="none"/>
        </w:rPr>
        <w:t>含义不明确</w:t>
      </w:r>
      <w:r>
        <w:rPr>
          <w:color w:val="auto"/>
          <w:spacing w:val="-5"/>
          <w:sz w:val="21"/>
          <w:highlight w:val="none"/>
        </w:rPr>
        <w:t>、对同类问题表述不一致、有明显</w:t>
      </w:r>
      <w:r>
        <w:rPr>
          <w:rFonts w:hint="eastAsia"/>
          <w:color w:val="auto"/>
          <w:spacing w:val="-5"/>
          <w:sz w:val="21"/>
          <w:highlight w:val="none"/>
        </w:rPr>
        <w:t>文字</w:t>
      </w:r>
      <w:r>
        <w:rPr>
          <w:color w:val="auto"/>
          <w:spacing w:val="-5"/>
          <w:sz w:val="21"/>
          <w:highlight w:val="none"/>
        </w:rPr>
        <w:t>和计算错误</w:t>
      </w:r>
      <w:r>
        <w:rPr>
          <w:rFonts w:hint="eastAsia"/>
          <w:color w:val="auto"/>
          <w:spacing w:val="-5"/>
          <w:sz w:val="21"/>
          <w:highlight w:val="none"/>
        </w:rPr>
        <w:t>、</w:t>
      </w:r>
      <w:r>
        <w:rPr>
          <w:color w:val="auto"/>
          <w:spacing w:val="-5"/>
          <w:sz w:val="21"/>
          <w:highlight w:val="none"/>
        </w:rPr>
        <w:t>投标报价可能低于成本影响履约的，应当</w:t>
      </w:r>
      <w:r>
        <w:rPr>
          <w:rFonts w:hint="eastAsia"/>
          <w:color w:val="auto"/>
          <w:spacing w:val="-5"/>
          <w:sz w:val="21"/>
          <w:highlight w:val="none"/>
        </w:rPr>
        <w:t>要求</w:t>
      </w:r>
      <w:r>
        <w:rPr>
          <w:color w:val="auto"/>
          <w:spacing w:val="-5"/>
          <w:sz w:val="21"/>
          <w:highlight w:val="none"/>
        </w:rPr>
        <w:t>投标人作必要的澄清、说明</w:t>
      </w:r>
      <w:r>
        <w:rPr>
          <w:rFonts w:hint="eastAsia"/>
          <w:color w:val="auto"/>
          <w:spacing w:val="-5"/>
          <w:sz w:val="21"/>
          <w:highlight w:val="none"/>
        </w:rPr>
        <w:t>后再判定投标人是否通过有效性审查</w:t>
      </w:r>
      <w:r>
        <w:rPr>
          <w:color w:val="auto"/>
          <w:spacing w:val="-5"/>
          <w:sz w:val="21"/>
          <w:highlight w:val="none"/>
        </w:rPr>
        <w:t>，不得直接否决投标</w:t>
      </w:r>
      <w:r>
        <w:rPr>
          <w:rFonts w:hint="eastAsia"/>
          <w:color w:val="auto"/>
          <w:spacing w:val="-5"/>
          <w:sz w:val="21"/>
          <w:highlight w:val="none"/>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color w:val="auto"/>
          <w:spacing w:val="-5"/>
          <w:sz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color w:val="auto"/>
          <w:spacing w:val="-5"/>
          <w:sz w:val="21"/>
          <w:highlight w:val="none"/>
          <w:lang w:eastAsia="zh-CN"/>
        </w:rPr>
      </w:pPr>
      <w:r>
        <w:rPr>
          <w:color w:val="auto"/>
          <w:spacing w:val="-5"/>
          <w:sz w:val="21"/>
          <w:highlight w:val="none"/>
        </w:rPr>
        <w:t>评委签名：</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left"/>
        <w:textAlignment w:val="auto"/>
        <w:rPr>
          <w:color w:val="auto"/>
          <w:spacing w:val="-5"/>
          <w:sz w:val="21"/>
          <w:highlight w:val="none"/>
        </w:rPr>
        <w:sectPr>
          <w:headerReference r:id="rId9" w:type="default"/>
          <w:footerReference r:id="rId10" w:type="default"/>
          <w:type w:val="continuous"/>
          <w:pgSz w:w="11911" w:h="16838"/>
          <w:pgMar w:top="1417" w:right="850" w:bottom="1134" w:left="1134" w:header="850" w:footer="850" w:gutter="0"/>
          <w:pgBorders>
            <w:top w:val="none" w:sz="0" w:space="0"/>
            <w:left w:val="none" w:sz="0" w:space="0"/>
            <w:bottom w:val="none" w:sz="0" w:space="0"/>
            <w:right w:val="none" w:sz="0" w:space="0"/>
          </w:pgBorders>
          <w:pgNumType w:fmt="decimal" w:start="82"/>
          <w:cols w:space="0" w:num="1"/>
          <w:rtlGutter w:val="0"/>
          <w:docGrid w:linePitch="0" w:charSpace="0"/>
        </w:sectPr>
      </w:pPr>
    </w:p>
    <w:p>
      <w:pPr>
        <w:rPr>
          <w:color w:val="auto"/>
          <w:sz w:val="24"/>
          <w:szCs w:val="24"/>
          <w:highlight w:val="none"/>
        </w:rPr>
      </w:pPr>
      <w:r>
        <w:rPr>
          <w:color w:val="auto"/>
          <w:sz w:val="24"/>
          <w:szCs w:val="24"/>
          <w:highlight w:val="none"/>
        </w:rPr>
        <w:t>附表四</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color w:val="auto"/>
          <w:sz w:val="32"/>
          <w:highlight w:val="none"/>
        </w:rPr>
      </w:pPr>
      <w:r>
        <w:rPr>
          <w:b/>
          <w:color w:val="auto"/>
          <w:sz w:val="32"/>
          <w:highlight w:val="none"/>
        </w:rPr>
        <w:t>技术标详细审查评分表</w:t>
      </w:r>
    </w:p>
    <w:tbl>
      <w:tblPr>
        <w:tblStyle w:val="20"/>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387"/>
        <w:gridCol w:w="724"/>
        <w:gridCol w:w="1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top"/>
          </w:tcPr>
          <w:p>
            <w:pPr>
              <w:widowControl/>
              <w:spacing w:before="100" w:beforeAutospacing="1" w:after="100" w:afterAutospacing="1"/>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评分项目</w:t>
            </w:r>
          </w:p>
        </w:tc>
        <w:tc>
          <w:tcPr>
            <w:tcW w:w="1387"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评分内容</w:t>
            </w: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分值</w:t>
            </w:r>
          </w:p>
        </w:tc>
        <w:tc>
          <w:tcPr>
            <w:tcW w:w="11668" w:type="dxa"/>
            <w:tcBorders>
              <w:top w:val="single" w:color="auto" w:sz="4" w:space="0"/>
              <w:left w:val="single" w:color="auto" w:sz="4" w:space="0"/>
              <w:bottom w:val="single" w:color="auto" w:sz="4" w:space="0"/>
              <w:right w:val="single" w:color="auto" w:sz="4" w:space="0"/>
            </w:tcBorders>
            <w:noWrap w:val="0"/>
            <w:vAlign w:val="top"/>
          </w:tcPr>
          <w:p>
            <w:pPr>
              <w:spacing w:before="100" w:beforeAutospacing="1" w:after="100" w:afterAutospacing="1"/>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一、企业资信（</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企业业绩</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116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完成过合同额</w:t>
            </w:r>
            <w:r>
              <w:rPr>
                <w:rFonts w:hint="eastAsia" w:cs="宋体"/>
                <w:color w:val="auto"/>
                <w:sz w:val="21"/>
                <w:szCs w:val="21"/>
                <w:highlight w:val="none"/>
                <w:lang w:val="en-US" w:eastAsia="zh-CN"/>
              </w:rPr>
              <w:t>900</w:t>
            </w:r>
            <w:r>
              <w:rPr>
                <w:rFonts w:hint="eastAsia" w:ascii="宋体" w:hAnsi="宋体" w:eastAsia="宋体" w:cs="宋体"/>
                <w:color w:val="auto"/>
                <w:sz w:val="21"/>
                <w:szCs w:val="21"/>
                <w:highlight w:val="none"/>
              </w:rPr>
              <w:t>万元或以上市政公用工程</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总承包或桥梁工程专业承包业绩的，每项得</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不满足</w:t>
            </w:r>
            <w:r>
              <w:rPr>
                <w:rFonts w:hint="eastAsia" w:ascii="宋体" w:hAnsi="宋体" w:eastAsia="宋体" w:cs="宋体"/>
                <w:color w:val="auto"/>
                <w:sz w:val="21"/>
                <w:szCs w:val="21"/>
                <w:highlight w:val="none"/>
                <w:lang w:eastAsia="zh-CN"/>
              </w:rPr>
              <w:t>上</w:t>
            </w:r>
            <w:r>
              <w:rPr>
                <w:rFonts w:hint="eastAsia" w:ascii="宋体" w:hAnsi="宋体" w:eastAsia="宋体" w:cs="宋体"/>
                <w:color w:val="auto"/>
                <w:sz w:val="21"/>
                <w:szCs w:val="21"/>
                <w:highlight w:val="none"/>
              </w:rPr>
              <w:t>述要求者，得0分</w:t>
            </w:r>
            <w:r>
              <w:rPr>
                <w:rFonts w:hint="eastAsia" w:ascii="宋体" w:hAns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41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工程奖项</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1668" w:type="dxa"/>
            <w:noWrap w:val="0"/>
            <w:vAlign w:val="center"/>
          </w:tcPr>
          <w:p>
            <w:pPr>
              <w:widowControl/>
              <w:spacing w:line="240" w:lineRule="atLeast"/>
              <w:ind w:right="154"/>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投标人自20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年1月1日至</w:t>
            </w:r>
            <w:r>
              <w:rPr>
                <w:rFonts w:hint="eastAsia" w:ascii="宋体" w:hAnsi="宋体" w:eastAsia="宋体" w:cs="宋体"/>
                <w:color w:val="auto"/>
                <w:sz w:val="21"/>
                <w:szCs w:val="21"/>
                <w:highlight w:val="none"/>
              </w:rPr>
              <w:t>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获得国家级工程</w:t>
            </w:r>
            <w:r>
              <w:rPr>
                <w:rFonts w:hint="eastAsia" w:ascii="宋体" w:hAnsi="宋体" w:eastAsia="宋体" w:cs="宋体"/>
                <w:color w:val="auto"/>
                <w:kern w:val="0"/>
                <w:sz w:val="21"/>
                <w:szCs w:val="21"/>
                <w:highlight w:val="none"/>
                <w:lang w:val="zh-CN" w:eastAsia="zh-CN"/>
              </w:rPr>
              <w:t>科学技术奖项</w:t>
            </w:r>
            <w:r>
              <w:rPr>
                <w:rFonts w:hint="eastAsia" w:ascii="宋体" w:hAnsi="宋体" w:eastAsia="宋体" w:cs="宋体"/>
                <w:color w:val="auto"/>
                <w:kern w:val="0"/>
                <w:sz w:val="21"/>
                <w:szCs w:val="21"/>
                <w:highlight w:val="none"/>
              </w:rPr>
              <w:t>的，每项得</w:t>
            </w:r>
            <w:r>
              <w:rPr>
                <w:rFonts w:hint="eastAsia" w:ascii="宋体" w:hAnsi="宋体" w:eastAsia="宋体" w:cs="宋体"/>
                <w:color w:val="auto"/>
                <w:kern w:val="0"/>
                <w:sz w:val="21"/>
                <w:szCs w:val="21"/>
                <w:highlight w:val="none"/>
                <w:lang w:val="en-US" w:eastAsia="zh-CN"/>
              </w:rPr>
              <w:t>0.9</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，本项最多得</w:t>
            </w:r>
            <w:r>
              <w:rPr>
                <w:rFonts w:hint="eastAsia" w:ascii="宋体" w:hAnsi="宋体" w:eastAsia="宋体" w:cs="宋体"/>
                <w:color w:val="auto"/>
                <w:kern w:val="0"/>
                <w:sz w:val="21"/>
                <w:szCs w:val="21"/>
                <w:highlight w:val="none"/>
                <w:lang w:val="en-US" w:eastAsia="zh-CN"/>
              </w:rPr>
              <w:t>1.8分；</w:t>
            </w:r>
          </w:p>
          <w:p>
            <w:pPr>
              <w:widowControl/>
              <w:spacing w:line="240" w:lineRule="atLeast"/>
              <w:ind w:right="154"/>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投标人自20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年1月1日至</w:t>
            </w:r>
            <w:r>
              <w:rPr>
                <w:rFonts w:hint="eastAsia" w:ascii="宋体" w:hAnsi="宋体" w:eastAsia="宋体" w:cs="宋体"/>
                <w:color w:val="auto"/>
                <w:sz w:val="21"/>
                <w:szCs w:val="21"/>
                <w:highlight w:val="none"/>
              </w:rPr>
              <w:t>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获得</w:t>
            </w:r>
            <w:r>
              <w:rPr>
                <w:rFonts w:hint="eastAsia" w:ascii="宋体" w:hAnsi="宋体" w:eastAsia="宋体" w:cs="宋体"/>
                <w:color w:val="auto"/>
                <w:kern w:val="0"/>
                <w:sz w:val="21"/>
                <w:szCs w:val="21"/>
                <w:highlight w:val="none"/>
                <w:lang w:eastAsia="zh-CN"/>
              </w:rPr>
              <w:t>省</w:t>
            </w:r>
            <w:r>
              <w:rPr>
                <w:rFonts w:hint="eastAsia" w:ascii="宋体" w:hAnsi="宋体" w:eastAsia="宋体" w:cs="宋体"/>
                <w:color w:val="auto"/>
                <w:kern w:val="0"/>
                <w:sz w:val="21"/>
                <w:szCs w:val="21"/>
                <w:highlight w:val="none"/>
              </w:rPr>
              <w:t>级工程</w:t>
            </w:r>
            <w:r>
              <w:rPr>
                <w:rFonts w:hint="eastAsia" w:ascii="宋体" w:hAnsi="宋体" w:eastAsia="宋体" w:cs="宋体"/>
                <w:color w:val="auto"/>
                <w:kern w:val="0"/>
                <w:sz w:val="21"/>
                <w:szCs w:val="21"/>
                <w:highlight w:val="none"/>
                <w:lang w:val="zh-CN" w:eastAsia="zh-CN"/>
              </w:rPr>
              <w:t>科学技术奖项</w:t>
            </w:r>
            <w:r>
              <w:rPr>
                <w:rFonts w:hint="eastAsia" w:ascii="宋体" w:hAnsi="宋体" w:eastAsia="宋体" w:cs="宋体"/>
                <w:color w:val="auto"/>
                <w:kern w:val="0"/>
                <w:sz w:val="21"/>
                <w:szCs w:val="21"/>
                <w:highlight w:val="none"/>
              </w:rPr>
              <w:t>的，每项得</w:t>
            </w:r>
            <w:r>
              <w:rPr>
                <w:rFonts w:hint="eastAsia" w:ascii="宋体" w:hAnsi="宋体" w:eastAsia="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，本项最多得</w:t>
            </w:r>
            <w:r>
              <w:rPr>
                <w:rFonts w:hint="eastAsia" w:ascii="宋体" w:hAnsi="宋体" w:eastAsia="宋体" w:cs="宋体"/>
                <w:color w:val="auto"/>
                <w:kern w:val="0"/>
                <w:sz w:val="21"/>
                <w:szCs w:val="21"/>
                <w:highlight w:val="none"/>
                <w:lang w:val="en-US" w:eastAsia="zh-CN"/>
              </w:rPr>
              <w:t>1.0分；</w:t>
            </w:r>
          </w:p>
          <w:p>
            <w:pPr>
              <w:widowControl/>
              <w:spacing w:line="240" w:lineRule="atLeast"/>
              <w:ind w:right="154"/>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投标人自20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年1月1日至</w:t>
            </w:r>
            <w:r>
              <w:rPr>
                <w:rFonts w:hint="eastAsia" w:ascii="宋体" w:hAnsi="宋体" w:eastAsia="宋体" w:cs="宋体"/>
                <w:color w:val="auto"/>
                <w:sz w:val="21"/>
                <w:szCs w:val="21"/>
                <w:highlight w:val="none"/>
              </w:rPr>
              <w:t>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获得</w:t>
            </w:r>
            <w:r>
              <w:rPr>
                <w:rFonts w:hint="eastAsia" w:ascii="宋体" w:hAnsi="宋体" w:eastAsia="宋体" w:cs="宋体"/>
                <w:color w:val="auto"/>
                <w:kern w:val="0"/>
                <w:sz w:val="21"/>
                <w:szCs w:val="21"/>
                <w:highlight w:val="none"/>
                <w:lang w:eastAsia="zh-CN"/>
              </w:rPr>
              <w:t>市</w:t>
            </w:r>
            <w:r>
              <w:rPr>
                <w:rFonts w:hint="eastAsia" w:ascii="宋体" w:hAnsi="宋体" w:eastAsia="宋体" w:cs="宋体"/>
                <w:color w:val="auto"/>
                <w:kern w:val="0"/>
                <w:sz w:val="21"/>
                <w:szCs w:val="21"/>
                <w:highlight w:val="none"/>
              </w:rPr>
              <w:t>级工程</w:t>
            </w:r>
            <w:r>
              <w:rPr>
                <w:rFonts w:hint="eastAsia" w:ascii="宋体" w:hAnsi="宋体" w:eastAsia="宋体" w:cs="宋体"/>
                <w:color w:val="auto"/>
                <w:kern w:val="0"/>
                <w:sz w:val="21"/>
                <w:szCs w:val="21"/>
                <w:highlight w:val="none"/>
                <w:lang w:val="zh-CN" w:eastAsia="zh-CN"/>
              </w:rPr>
              <w:t>科学技术奖项</w:t>
            </w:r>
            <w:r>
              <w:rPr>
                <w:rFonts w:hint="eastAsia" w:ascii="宋体" w:hAnsi="宋体" w:eastAsia="宋体" w:cs="宋体"/>
                <w:color w:val="auto"/>
                <w:kern w:val="0"/>
                <w:sz w:val="21"/>
                <w:szCs w:val="21"/>
                <w:highlight w:val="none"/>
              </w:rPr>
              <w:t>的，每项得</w:t>
            </w:r>
            <w:r>
              <w:rPr>
                <w:rFonts w:hint="eastAsia" w:ascii="宋体" w:hAnsi="宋体" w:eastAsia="宋体" w:cs="宋体"/>
                <w:color w:val="auto"/>
                <w:kern w:val="0"/>
                <w:sz w:val="21"/>
                <w:szCs w:val="21"/>
                <w:highlight w:val="none"/>
                <w:lang w:val="en-US" w:eastAsia="zh-CN"/>
              </w:rPr>
              <w:t>0.1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，本项最多得</w:t>
            </w:r>
            <w:r>
              <w:rPr>
                <w:rFonts w:hint="eastAsia" w:ascii="宋体" w:hAnsi="宋体" w:eastAsia="宋体" w:cs="宋体"/>
                <w:color w:val="auto"/>
                <w:kern w:val="0"/>
                <w:sz w:val="21"/>
                <w:szCs w:val="21"/>
                <w:highlight w:val="none"/>
                <w:lang w:val="en-US" w:eastAsia="zh-CN"/>
              </w:rPr>
              <w:t>0.2分；</w:t>
            </w:r>
          </w:p>
          <w:p>
            <w:pPr>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color w:val="auto"/>
                <w:sz w:val="21"/>
                <w:szCs w:val="21"/>
                <w:highlight w:val="none"/>
              </w:rPr>
              <w:t>其他不得分</w:t>
            </w:r>
            <w:r>
              <w:rPr>
                <w:rFonts w:hint="eastAsia" w:ascii="宋体" w:hAnsi="宋体" w:eastAsia="宋体" w:cs="宋体"/>
                <w:color w:val="auto"/>
                <w:sz w:val="21"/>
                <w:szCs w:val="21"/>
                <w:highlight w:val="none"/>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注：</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本项最高得</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val="en-US" w:eastAsia="zh-CN"/>
              </w:rPr>
              <w:t>需提供获奖证书的扫描件及获奖公示网页打印页并加盖投标人公章，且提供颁发单位已在“全国社会组织信用信息公示平台”网站（</w:t>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lang w:val="en-US" w:eastAsia="zh-CN"/>
              </w:rPr>
              <w:t>）注册登记的查询结果网页打印页，时间以颁发日期为准</w:t>
            </w:r>
            <w:r>
              <w:rPr>
                <w:rFonts w:hint="eastAsia" w:ascii="宋体" w:hAnsi="宋体" w:eastAsia="宋体" w:cs="宋体"/>
                <w:color w:val="auto"/>
                <w:sz w:val="21"/>
                <w:szCs w:val="21"/>
                <w:highlight w:val="none"/>
              </w:rPr>
              <w:t>。同时获得多个级别同类证书的</w:t>
            </w:r>
            <w:r>
              <w:rPr>
                <w:rFonts w:hint="eastAsia" w:ascii="宋体" w:hAnsi="宋体" w:eastAsia="宋体" w:cs="宋体"/>
                <w:bCs/>
                <w:color w:val="auto"/>
                <w:sz w:val="21"/>
                <w:szCs w:val="21"/>
                <w:highlight w:val="none"/>
                <w:lang w:val="zh-TW"/>
              </w:rPr>
              <w:t>按最高分级别的一个计分一次</w:t>
            </w:r>
            <w:r>
              <w:rPr>
                <w:rFonts w:hint="eastAsia" w:ascii="宋体" w:hAnsi="宋体" w:eastAsia="宋体" w:cs="宋体"/>
                <w:color w:val="auto"/>
                <w:sz w:val="21"/>
                <w:szCs w:val="21"/>
                <w:highlight w:val="none"/>
              </w:rPr>
              <w:t>。</w:t>
            </w:r>
          </w:p>
          <w:p>
            <w:pPr>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未提供上述资料或不满足要求的，本项不计分。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工程研发能力</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0.6</w:t>
            </w:r>
          </w:p>
        </w:tc>
        <w:tc>
          <w:tcPr>
            <w:tcW w:w="11668" w:type="dxa"/>
            <w:noWrap w:val="0"/>
            <w:vAlign w:val="center"/>
          </w:tcPr>
          <w:p>
            <w:pPr>
              <w:autoSpaceDN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投标人持有国家知识产权局核发的桥梁维修类专利证书的，</w:t>
            </w:r>
            <w:r>
              <w:rPr>
                <w:rFonts w:hint="eastAsia" w:cs="宋体"/>
                <w:color w:val="auto"/>
                <w:sz w:val="21"/>
                <w:szCs w:val="21"/>
                <w:highlight w:val="none"/>
                <w:lang w:val="en-US" w:eastAsia="zh-CN"/>
              </w:rPr>
              <w:t>每项</w:t>
            </w:r>
            <w:r>
              <w:rPr>
                <w:rFonts w:hint="eastAsia" w:ascii="宋体" w:hAnsi="宋体" w:eastAsia="宋体" w:cs="宋体"/>
                <w:color w:val="auto"/>
                <w:sz w:val="21"/>
                <w:szCs w:val="21"/>
                <w:highlight w:val="none"/>
                <w:lang w:val="en-US" w:eastAsia="zh-CN"/>
              </w:rPr>
              <w:t>得0.6分，</w:t>
            </w:r>
            <w:r>
              <w:rPr>
                <w:rFonts w:hint="eastAsia" w:ascii="宋体" w:hAnsi="宋体" w:eastAsia="宋体" w:cs="宋体"/>
                <w:bCs/>
                <w:color w:val="auto"/>
                <w:sz w:val="21"/>
                <w:szCs w:val="21"/>
                <w:highlight w:val="none"/>
              </w:rPr>
              <w:t>其他不得分</w:t>
            </w:r>
            <w:r>
              <w:rPr>
                <w:rFonts w:hint="eastAsia" w:cs="宋体"/>
                <w:bCs/>
                <w:color w:val="auto"/>
                <w:sz w:val="21"/>
                <w:szCs w:val="21"/>
                <w:highlight w:val="none"/>
                <w:lang w:eastAsia="zh-CN"/>
              </w:rPr>
              <w:t>，</w:t>
            </w:r>
            <w:r>
              <w:rPr>
                <w:rFonts w:hint="eastAsia" w:cs="宋体"/>
                <w:bCs/>
                <w:color w:val="auto"/>
                <w:sz w:val="21"/>
                <w:szCs w:val="21"/>
                <w:highlight w:val="none"/>
                <w:lang w:val="en-US" w:eastAsia="zh-CN"/>
              </w:rPr>
              <w:t>本项最多得0.6分</w:t>
            </w:r>
            <w:r>
              <w:rPr>
                <w:rFonts w:hint="eastAsia" w:ascii="宋体" w:hAnsi="宋体" w:eastAsia="宋体" w:cs="宋体"/>
                <w:color w:val="auto"/>
                <w:sz w:val="21"/>
                <w:szCs w:val="21"/>
                <w:highlight w:val="none"/>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注：需提供相关证明材料扫描件加盖投标人公章，且提供其在“国家知识产权</w:t>
            </w:r>
            <w:r>
              <w:rPr>
                <w:rFonts w:hint="eastAsia" w:cs="宋体"/>
                <w:color w:val="auto"/>
                <w:sz w:val="21"/>
                <w:szCs w:val="21"/>
                <w:highlight w:val="none"/>
                <w:lang w:val="en-US" w:eastAsia="zh-CN"/>
              </w:rPr>
              <w:t>局</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中国专利公告公布</w:t>
            </w:r>
            <w:r>
              <w:rPr>
                <w:rFonts w:hint="eastAsia" w:ascii="宋体" w:hAnsi="宋体" w:eastAsia="宋体" w:cs="宋体"/>
                <w:color w:val="auto"/>
                <w:sz w:val="21"/>
                <w:szCs w:val="21"/>
                <w:highlight w:val="none"/>
                <w:lang w:val="en-US" w:eastAsia="zh-CN"/>
              </w:rPr>
              <w:t>”网站（http://epub.cnipa.gov.cn/）查询结果的网页打印页，证书需在有效期内，否则该项不得分。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41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387" w:type="dxa"/>
            <w:vMerge w:val="restart"/>
            <w:tcBorders>
              <w:top w:val="single" w:color="auto" w:sz="4" w:space="0"/>
              <w:left w:val="single" w:color="auto" w:sz="4" w:space="0"/>
              <w:right w:val="single" w:color="auto" w:sz="4" w:space="0"/>
            </w:tcBorders>
            <w:noWrap w:val="0"/>
            <w:vAlign w:val="center"/>
          </w:tcPr>
          <w:p>
            <w:pPr>
              <w:widowControl/>
              <w:spacing w:line="24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第三方评价</w:t>
            </w:r>
          </w:p>
        </w:tc>
        <w:tc>
          <w:tcPr>
            <w:tcW w:w="7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w:t>
            </w:r>
          </w:p>
        </w:tc>
        <w:tc>
          <w:tcPr>
            <w:tcW w:w="11668" w:type="dxa"/>
            <w:noWrap w:val="0"/>
            <w:vAlign w:val="center"/>
          </w:tcPr>
          <w:p>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.至投标截止</w:t>
            </w:r>
            <w:r>
              <w:rPr>
                <w:rFonts w:hint="eastAsia" w:ascii="宋体" w:hAnsi="宋体" w:eastAsia="宋体" w:cs="宋体"/>
                <w:bCs/>
                <w:color w:val="auto"/>
                <w:sz w:val="21"/>
                <w:szCs w:val="21"/>
                <w:highlight w:val="none"/>
                <w:lang w:val="zh-TW"/>
              </w:rPr>
              <w:t>时间止</w:t>
            </w:r>
            <w:r>
              <w:rPr>
                <w:rFonts w:hint="eastAsia" w:ascii="宋体" w:hAnsi="宋体" w:eastAsia="宋体" w:cs="宋体"/>
                <w:color w:val="auto"/>
                <w:sz w:val="21"/>
                <w:szCs w:val="21"/>
                <w:highlight w:val="none"/>
              </w:rPr>
              <w:t>，投标人在地级市或以上行政主管部门或协会（学会）组织的劳动关系和谐企业评级中获得过：</w:t>
            </w:r>
          </w:p>
          <w:p>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（1）AAA级荣誉的，得</w:t>
            </w:r>
            <w:r>
              <w:rPr>
                <w:rFonts w:hint="eastAsia" w:ascii="宋体" w:hAnsi="宋体" w:eastAsia="宋体" w:cs="宋体"/>
                <w:color w:val="auto"/>
                <w:sz w:val="21"/>
                <w:szCs w:val="21"/>
                <w:highlight w:val="none"/>
                <w:lang w:val="en-US" w:eastAsia="zh-CN"/>
              </w:rPr>
              <w:t>0.6</w:t>
            </w:r>
            <w:r>
              <w:rPr>
                <w:rFonts w:hint="eastAsia" w:ascii="宋体" w:hAnsi="宋体" w:eastAsia="宋体" w:cs="宋体"/>
                <w:color w:val="auto"/>
                <w:sz w:val="21"/>
                <w:szCs w:val="21"/>
                <w:highlight w:val="none"/>
              </w:rPr>
              <w:t>分；</w:t>
            </w:r>
          </w:p>
          <w:p>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（2）AA级荣誉的，得</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p>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（3）A级荣誉的，得</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分；</w:t>
            </w:r>
          </w:p>
          <w:p>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其他不得分</w:t>
            </w:r>
            <w:r>
              <w:rPr>
                <w:rFonts w:hint="eastAsia" w:ascii="宋体" w:hAnsi="宋体" w:eastAsia="宋体" w:cs="宋体"/>
                <w:color w:val="auto"/>
                <w:sz w:val="21"/>
                <w:szCs w:val="21"/>
                <w:highlight w:val="none"/>
              </w:rPr>
              <w:t>。</w:t>
            </w:r>
          </w:p>
          <w:p>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须提供获奖证书的扫描件；由协会（学会）组织颁发的，还须提供颁发单位已在“全国社会组织信用信息公示平台”网站（https://xxgs.chinanpo.mca.gov.cn/gsxt/newList）注册登记的查询结果网页打印页，同时获得多个级别同类证书的</w:t>
            </w:r>
            <w:r>
              <w:rPr>
                <w:rFonts w:hint="eastAsia" w:ascii="宋体" w:hAnsi="宋体" w:eastAsia="宋体" w:cs="宋体"/>
                <w:bCs/>
                <w:color w:val="auto"/>
                <w:sz w:val="21"/>
                <w:szCs w:val="21"/>
                <w:highlight w:val="none"/>
                <w:lang w:val="zh-TW"/>
              </w:rPr>
              <w:t>按最高分级别的一个计分一次</w:t>
            </w:r>
            <w:r>
              <w:rPr>
                <w:rFonts w:hint="eastAsia" w:ascii="宋体" w:hAnsi="宋体" w:eastAsia="宋体" w:cs="宋体"/>
                <w:color w:val="auto"/>
                <w:sz w:val="21"/>
                <w:szCs w:val="21"/>
                <w:highlight w:val="none"/>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both"/>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未提供上述资料或不满足要求的，本项不计分。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413" w:type="dxa"/>
            <w:vMerge w:val="continue"/>
            <w:tcBorders>
              <w:left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both"/>
              <w:rPr>
                <w:rFonts w:eastAsia="宋体" w:cs="Times New Roman"/>
                <w:color w:val="auto"/>
                <w:highlight w:val="none"/>
              </w:rPr>
            </w:pPr>
          </w:p>
        </w:tc>
        <w:tc>
          <w:tcPr>
            <w:tcW w:w="1387" w:type="dxa"/>
            <w:vMerge w:val="continue"/>
            <w:tcBorders>
              <w:left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both"/>
              <w:rPr>
                <w:rFonts w:eastAsia="宋体" w:cs="Times New Roman"/>
                <w:color w:val="auto"/>
                <w:highlight w:val="none"/>
              </w:rPr>
            </w:pPr>
          </w:p>
        </w:tc>
        <w:tc>
          <w:tcPr>
            <w:tcW w:w="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w:t>
            </w:r>
          </w:p>
        </w:tc>
        <w:tc>
          <w:tcPr>
            <w:tcW w:w="11668" w:type="dxa"/>
            <w:noWrap w:val="0"/>
            <w:vAlign w:val="center"/>
          </w:tcPr>
          <w:p>
            <w:pPr>
              <w:snapToGrid w:val="0"/>
              <w:spacing w:line="240" w:lineRule="auto"/>
              <w:ind w:left="44" w:leftChars="20" w:right="44" w:rightChars="20" w:firstLine="0" w:firstLineChars="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TW"/>
              </w:rPr>
              <w:t>至投标截止时间止，</w:t>
            </w:r>
            <w:r>
              <w:rPr>
                <w:rFonts w:hint="eastAsia" w:ascii="宋体" w:hAnsi="宋体" w:eastAsia="宋体" w:cs="宋体"/>
                <w:color w:val="auto"/>
                <w:sz w:val="21"/>
                <w:szCs w:val="21"/>
                <w:highlight w:val="none"/>
              </w:rPr>
              <w:t>投标人</w:t>
            </w:r>
            <w:r>
              <w:rPr>
                <w:rFonts w:hint="eastAsia" w:ascii="宋体" w:hAnsi="宋体" w:eastAsia="宋体" w:cs="宋体"/>
                <w:bCs/>
                <w:color w:val="auto"/>
                <w:sz w:val="21"/>
                <w:szCs w:val="21"/>
                <w:highlight w:val="none"/>
                <w:lang w:val="zh-TW"/>
              </w:rPr>
              <w:t>连续获得税务部门颁发的纳税信用A级纳税人称号的情况（须含202</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TW"/>
              </w:rPr>
              <w:t>年度）：</w:t>
            </w:r>
          </w:p>
          <w:p>
            <w:pPr>
              <w:snapToGrid w:val="0"/>
              <w:spacing w:line="240" w:lineRule="auto"/>
              <w:ind w:left="44" w:leftChars="20" w:right="44" w:rightChars="20" w:firstLine="0" w:firstLineChars="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（1）连续</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TW"/>
              </w:rPr>
              <w:t>年或以上（含</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TW"/>
              </w:rPr>
              <w:t>年）获得税务部门颁发的纳税信用A级纳税人称号的，得</w:t>
            </w:r>
            <w:r>
              <w:rPr>
                <w:rFonts w:hint="eastAsia" w:ascii="宋体" w:hAnsi="宋体" w:eastAsia="宋体" w:cs="宋体"/>
                <w:bCs/>
                <w:color w:val="auto"/>
                <w:sz w:val="21"/>
                <w:szCs w:val="21"/>
                <w:highlight w:val="none"/>
                <w:lang w:val="en-US" w:eastAsia="zh-CN"/>
              </w:rPr>
              <w:t>0.6</w:t>
            </w:r>
            <w:r>
              <w:rPr>
                <w:rFonts w:hint="eastAsia" w:ascii="宋体" w:hAnsi="宋体" w:eastAsia="宋体" w:cs="宋体"/>
                <w:bCs/>
                <w:color w:val="auto"/>
                <w:sz w:val="21"/>
                <w:szCs w:val="21"/>
                <w:highlight w:val="none"/>
                <w:lang w:val="zh-TW"/>
              </w:rPr>
              <w:t xml:space="preserve">分； </w:t>
            </w:r>
          </w:p>
          <w:p>
            <w:pPr>
              <w:snapToGrid w:val="0"/>
              <w:spacing w:line="240" w:lineRule="auto"/>
              <w:ind w:left="44" w:leftChars="20" w:right="44" w:rightChars="20" w:firstLine="0" w:firstLineChars="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（2）连续</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TW"/>
              </w:rPr>
              <w:t>年获得税务部门颁发的纳税信用A级纳税人称号的，得</w:t>
            </w:r>
            <w:r>
              <w:rPr>
                <w:rFonts w:hint="eastAsia" w:ascii="宋体" w:hAnsi="宋体" w:eastAsia="宋体" w:cs="宋体"/>
                <w:bCs/>
                <w:color w:val="auto"/>
                <w:sz w:val="21"/>
                <w:szCs w:val="21"/>
                <w:highlight w:val="none"/>
                <w:lang w:val="en-US" w:eastAsia="zh-CN"/>
              </w:rPr>
              <w:t>0.3</w:t>
            </w:r>
            <w:r>
              <w:rPr>
                <w:rFonts w:hint="eastAsia" w:ascii="宋体" w:hAnsi="宋体" w:eastAsia="宋体" w:cs="宋体"/>
                <w:bCs/>
                <w:color w:val="auto"/>
                <w:sz w:val="21"/>
                <w:szCs w:val="21"/>
                <w:highlight w:val="none"/>
                <w:lang w:val="zh-TW"/>
              </w:rPr>
              <w:t xml:space="preserve">分； </w:t>
            </w:r>
          </w:p>
          <w:p>
            <w:pPr>
              <w:snapToGrid w:val="0"/>
              <w:spacing w:line="240" w:lineRule="auto"/>
              <w:ind w:left="44" w:leftChars="20" w:right="44" w:rightChars="20" w:firstLine="0" w:firstLineChars="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（3）连续</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zh-TW"/>
              </w:rPr>
              <w:t>年获得税务部门颁发的纳税信用A级纳税人称号的，得</w:t>
            </w:r>
            <w:r>
              <w:rPr>
                <w:rFonts w:hint="eastAsia" w:ascii="宋体" w:hAnsi="宋体" w:eastAsia="宋体" w:cs="宋体"/>
                <w:bCs/>
                <w:color w:val="auto"/>
                <w:sz w:val="21"/>
                <w:szCs w:val="21"/>
                <w:highlight w:val="none"/>
                <w:lang w:val="en-US" w:eastAsia="zh-CN"/>
              </w:rPr>
              <w:t>0.1</w:t>
            </w:r>
            <w:r>
              <w:rPr>
                <w:rFonts w:hint="eastAsia" w:ascii="宋体" w:hAnsi="宋体" w:eastAsia="宋体" w:cs="宋体"/>
                <w:bCs/>
                <w:color w:val="auto"/>
                <w:sz w:val="21"/>
                <w:szCs w:val="21"/>
                <w:highlight w:val="none"/>
                <w:lang w:val="zh-TW"/>
              </w:rPr>
              <w:t xml:space="preserve">分。 </w:t>
            </w:r>
          </w:p>
          <w:p>
            <w:pPr>
              <w:snapToGrid w:val="0"/>
              <w:spacing w:line="240" w:lineRule="auto"/>
              <w:ind w:left="44" w:leftChars="20" w:right="44" w:rightChars="20" w:firstLine="0" w:firstLineChars="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（4）其他不得分。</w:t>
            </w:r>
          </w:p>
          <w:p>
            <w:pPr>
              <w:snapToGrid w:val="0"/>
              <w:spacing w:line="240" w:lineRule="auto"/>
              <w:ind w:left="44" w:leftChars="20" w:right="44" w:rightChars="20" w:firstLine="0" w:firstLineChars="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注：1）须提供税务部门颁发的纳税信用A级证书扫描件以及在国家税务总局官网“纳税信用A级纳税人名单公布栏”（网址：http://www.chinatax.gov.cn/chinatax/n810346/c102299/index.html）查询公示网页截图，A级纳税人只计算投标人自身（不计算投标人的分公司和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zh-TW"/>
              </w:rPr>
              <w:t>2）未提供上述资料或不满足要求的，本项不计分。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413"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二、项目管理机构能力</w:t>
            </w:r>
            <w:r>
              <w:rPr>
                <w:rFonts w:hint="eastAsia" w:ascii="宋体" w:hAnsi="宋体" w:eastAsia="宋体" w:cs="宋体"/>
                <w:color w:val="auto"/>
                <w:sz w:val="21"/>
                <w:szCs w:val="21"/>
                <w:highlight w:val="none"/>
                <w:lang w:eastAsia="zh-CN"/>
              </w:rPr>
              <w:t>及机械配备要求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分）</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技术负责人</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1668" w:type="dxa"/>
            <w:noWrap w:val="0"/>
            <w:vAlign w:val="center"/>
          </w:tcPr>
          <w:p>
            <w:pPr>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技术负责人从业能力</w:t>
            </w:r>
            <w:r>
              <w:rPr>
                <w:rFonts w:hint="eastAsia" w:ascii="宋体" w:hAnsi="宋体" w:eastAsia="宋体" w:cs="宋体"/>
                <w:b/>
                <w:bCs/>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市政</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lang w:eastAsia="zh-CN"/>
              </w:rPr>
              <w:t>高</w:t>
            </w:r>
            <w:r>
              <w:rPr>
                <w:rFonts w:hint="eastAsia" w:ascii="宋体" w:hAnsi="宋体" w:eastAsia="宋体" w:cs="宋体"/>
                <w:color w:val="auto"/>
                <w:sz w:val="21"/>
                <w:szCs w:val="21"/>
                <w:highlight w:val="none"/>
              </w:rPr>
              <w:t>级工程师或以上职称</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0.5分，否则不得分；</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（2）满足第（1）项基础上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TW" w:eastAsia="zh-CN"/>
              </w:rPr>
              <w:t>具有</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0年（不含</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0年）以上工作经验的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rPr>
              <w:t>；</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满足第（2）项基础上，</w:t>
            </w:r>
            <w:r>
              <w:rPr>
                <w:rFonts w:hint="eastAsia" w:ascii="宋体" w:hAnsi="宋体" w:eastAsia="宋体" w:cs="宋体"/>
                <w:color w:val="auto"/>
                <w:sz w:val="21"/>
                <w:szCs w:val="21"/>
                <w:highlight w:val="none"/>
                <w:lang w:eastAsia="zh-CN"/>
              </w:rPr>
              <w:t>在工程项目管理中曾获得过市级或以上行政主管部门颁发的荣誉证书的，得</w:t>
            </w:r>
            <w:r>
              <w:rPr>
                <w:rFonts w:hint="eastAsia" w:ascii="宋体" w:hAnsi="宋体" w:eastAsia="宋体" w:cs="宋体"/>
                <w:color w:val="auto"/>
                <w:sz w:val="21"/>
                <w:szCs w:val="21"/>
                <w:highlight w:val="none"/>
                <w:lang w:val="en-US" w:eastAsia="zh-CN"/>
              </w:rPr>
              <w:t>1分，否则不得分；</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2分，须相应</w:t>
            </w:r>
            <w:r>
              <w:rPr>
                <w:rFonts w:hint="eastAsia" w:ascii="宋体" w:hAnsi="宋体" w:eastAsia="宋体" w:cs="宋体"/>
                <w:color w:val="auto"/>
                <w:sz w:val="21"/>
                <w:szCs w:val="21"/>
                <w:highlight w:val="none"/>
              </w:rPr>
              <w:t>提供职称证</w:t>
            </w:r>
            <w:r>
              <w:rPr>
                <w:rFonts w:hint="eastAsia" w:ascii="宋体" w:hAnsi="宋体" w:eastAsia="宋体" w:cs="宋体"/>
                <w:color w:val="auto"/>
                <w:sz w:val="21"/>
                <w:szCs w:val="21"/>
                <w:highlight w:val="none"/>
                <w:lang w:eastAsia="zh-CN"/>
              </w:rPr>
              <w:t>、荣誉证书和</w:t>
            </w:r>
            <w:r>
              <w:rPr>
                <w:rFonts w:hint="eastAsia" w:ascii="宋体" w:hAnsi="宋体" w:eastAsia="宋体" w:cs="宋体"/>
                <w:color w:val="auto"/>
                <w:sz w:val="21"/>
                <w:szCs w:val="21"/>
                <w:highlight w:val="none"/>
                <w:lang w:val="en-US" w:eastAsia="zh-CN"/>
              </w:rPr>
              <w:t>截止投标</w:t>
            </w:r>
            <w:r>
              <w:rPr>
                <w:rFonts w:hint="eastAsia" w:ascii="宋体" w:hAnsi="宋体" w:eastAsia="宋体" w:cs="宋体"/>
                <w:color w:val="auto"/>
                <w:sz w:val="21"/>
                <w:szCs w:val="21"/>
                <w:highlight w:val="none"/>
                <w:lang w:eastAsia="zh-CN"/>
              </w:rPr>
              <w:t>前</w:t>
            </w:r>
            <w:r>
              <w:rPr>
                <w:rFonts w:hint="eastAsia" w:cs="宋体"/>
                <w:color w:val="auto"/>
                <w:sz w:val="21"/>
                <w:szCs w:val="21"/>
                <w:highlight w:val="none"/>
                <w:lang w:eastAsia="zh-CN"/>
              </w:rPr>
              <w:t>一</w:t>
            </w:r>
            <w:r>
              <w:rPr>
                <w:rFonts w:hint="eastAsia" w:ascii="宋体" w:hAnsi="宋体" w:eastAsia="宋体" w:cs="宋体"/>
                <w:color w:val="auto"/>
                <w:sz w:val="21"/>
                <w:szCs w:val="21"/>
                <w:highlight w:val="none"/>
              </w:rPr>
              <w:t>个月由社保行政主管部门出具的社保证明资料</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；工作经验以个人参保证明文件的参保险种中“累计缴费年限”最长的一项年限时间为准。</w:t>
            </w:r>
          </w:p>
          <w:p>
            <w:pPr>
              <w:widowControl/>
              <w:ind w:right="154"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未提供上述资料或不满足要求的，本项不计分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41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w:t>
            </w:r>
            <w:r>
              <w:rPr>
                <w:rFonts w:hint="eastAsia" w:ascii="宋体" w:hAnsi="宋体" w:eastAsia="宋体" w:cs="宋体"/>
                <w:color w:val="auto"/>
                <w:sz w:val="21"/>
                <w:szCs w:val="21"/>
                <w:highlight w:val="none"/>
                <w:lang w:eastAsia="zh-CN"/>
              </w:rPr>
              <w:t>量</w:t>
            </w:r>
            <w:r>
              <w:rPr>
                <w:rFonts w:hint="eastAsia" w:ascii="宋体" w:hAnsi="宋体" w:eastAsia="宋体" w:cs="宋体"/>
                <w:color w:val="auto"/>
                <w:sz w:val="21"/>
                <w:szCs w:val="21"/>
                <w:highlight w:val="none"/>
              </w:rPr>
              <w:t>负责人</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1668" w:type="dxa"/>
            <w:noWrap w:val="0"/>
            <w:vAlign w:val="center"/>
          </w:tcPr>
          <w:p>
            <w:pPr>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质</w:t>
            </w:r>
            <w:r>
              <w:rPr>
                <w:rFonts w:hint="eastAsia" w:ascii="宋体" w:hAnsi="宋体" w:eastAsia="宋体" w:cs="宋体"/>
                <w:b/>
                <w:bCs/>
                <w:color w:val="auto"/>
                <w:sz w:val="21"/>
                <w:szCs w:val="21"/>
                <w:highlight w:val="none"/>
                <w:lang w:eastAsia="zh-CN"/>
              </w:rPr>
              <w:t>量</w:t>
            </w:r>
            <w:r>
              <w:rPr>
                <w:rFonts w:hint="eastAsia" w:ascii="宋体" w:hAnsi="宋体" w:eastAsia="宋体" w:cs="宋体"/>
                <w:b/>
                <w:bCs/>
                <w:color w:val="auto"/>
                <w:sz w:val="21"/>
                <w:szCs w:val="21"/>
                <w:highlight w:val="none"/>
              </w:rPr>
              <w:t>负责人从业能力</w:t>
            </w:r>
            <w:r>
              <w:rPr>
                <w:rFonts w:hint="eastAsia" w:ascii="宋体" w:hAnsi="宋体" w:eastAsia="宋体" w:cs="宋体"/>
                <w:b/>
                <w:bCs/>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eastAsia="zh-CN"/>
              </w:rPr>
              <w:t>有效的市政工程质量员职业培训合格证的，得</w:t>
            </w:r>
            <w:r>
              <w:rPr>
                <w:rFonts w:hint="eastAsia" w:ascii="宋体" w:hAnsi="宋体" w:eastAsia="宋体" w:cs="宋体"/>
                <w:color w:val="auto"/>
                <w:sz w:val="21"/>
                <w:szCs w:val="21"/>
                <w:highlight w:val="none"/>
                <w:lang w:val="en-US" w:eastAsia="zh-CN"/>
              </w:rPr>
              <w:t>0.2分，否则不得分；</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满足第（1）项基础上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w:t>
            </w:r>
            <w:r>
              <w:rPr>
                <w:rFonts w:hint="eastAsia" w:ascii="宋体" w:hAnsi="宋体" w:eastAsia="宋体" w:cs="宋体"/>
                <w:color w:val="auto"/>
                <w:sz w:val="21"/>
                <w:szCs w:val="21"/>
                <w:highlight w:val="none"/>
                <w:lang w:eastAsia="zh-CN"/>
              </w:rPr>
              <w:t>有有效的安全生产考核合格证书（</w:t>
            </w:r>
            <w:r>
              <w:rPr>
                <w:rFonts w:hint="eastAsia" w:ascii="宋体" w:hAnsi="宋体" w:eastAsia="宋体" w:cs="宋体"/>
                <w:color w:val="auto"/>
                <w:sz w:val="21"/>
                <w:szCs w:val="21"/>
                <w:highlight w:val="none"/>
                <w:lang w:val="en-US" w:eastAsia="zh-CN"/>
              </w:rPr>
              <w:t>A类</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C类</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（3）满足第（2）项基础上</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市政</w:t>
            </w:r>
            <w:r>
              <w:rPr>
                <w:rFonts w:hint="eastAsia" w:ascii="宋体" w:hAnsi="宋体" w:eastAsia="宋体" w:cs="宋体"/>
                <w:color w:val="auto"/>
                <w:sz w:val="21"/>
                <w:szCs w:val="21"/>
                <w:highlight w:val="none"/>
                <w:lang w:eastAsia="zh-CN"/>
              </w:rPr>
              <w:t>路桥专业高</w:t>
            </w:r>
            <w:r>
              <w:rPr>
                <w:rFonts w:hint="eastAsia" w:ascii="宋体" w:hAnsi="宋体" w:eastAsia="宋体" w:cs="宋体"/>
                <w:color w:val="auto"/>
                <w:sz w:val="21"/>
                <w:szCs w:val="21"/>
                <w:highlight w:val="none"/>
              </w:rPr>
              <w:t>级工程师或以上职称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rPr>
              <w:t>；</w:t>
            </w:r>
          </w:p>
          <w:p>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满足第（3）项基础上，</w:t>
            </w:r>
            <w:r>
              <w:rPr>
                <w:rFonts w:hint="eastAsia" w:ascii="宋体" w:hAnsi="宋体" w:eastAsia="宋体" w:cs="宋体"/>
                <w:color w:val="auto"/>
                <w:sz w:val="21"/>
                <w:szCs w:val="21"/>
                <w:highlight w:val="none"/>
                <w:lang w:val="zh-TW" w:eastAsia="zh-CN"/>
              </w:rPr>
              <w:t>具有</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0年（不含</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0年）以上工作经验的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lang w:eastAsia="zh-CN"/>
              </w:rPr>
              <w:t>；</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2分，须相应</w:t>
            </w:r>
            <w:r>
              <w:rPr>
                <w:rFonts w:hint="eastAsia" w:ascii="宋体" w:hAnsi="宋体" w:eastAsia="宋体" w:cs="宋体"/>
                <w:color w:val="auto"/>
                <w:sz w:val="21"/>
                <w:szCs w:val="21"/>
                <w:highlight w:val="none"/>
              </w:rPr>
              <w:t>提</w:t>
            </w:r>
            <w:r>
              <w:rPr>
                <w:rFonts w:hint="eastAsia" w:ascii="宋体" w:hAnsi="宋体" w:eastAsia="宋体" w:cs="宋体"/>
                <w:color w:val="auto"/>
                <w:sz w:val="21"/>
                <w:szCs w:val="21"/>
                <w:highlight w:val="none"/>
                <w:lang w:eastAsia="zh-CN"/>
              </w:rPr>
              <w:t>供有效的职业培训合格证、安全生产考核合格证（</w:t>
            </w:r>
            <w:r>
              <w:rPr>
                <w:rFonts w:hint="eastAsia" w:ascii="宋体" w:hAnsi="宋体" w:eastAsia="宋体" w:cs="宋体"/>
                <w:color w:val="auto"/>
                <w:sz w:val="21"/>
                <w:szCs w:val="21"/>
                <w:highlight w:val="none"/>
                <w:lang w:val="en-US" w:eastAsia="zh-CN"/>
              </w:rPr>
              <w:t>A类</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C类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职称证</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截止投标</w:t>
            </w:r>
            <w:r>
              <w:rPr>
                <w:rFonts w:hint="eastAsia" w:ascii="宋体" w:hAnsi="宋体" w:eastAsia="宋体" w:cs="宋体"/>
                <w:color w:val="auto"/>
                <w:sz w:val="21"/>
                <w:szCs w:val="21"/>
                <w:highlight w:val="none"/>
                <w:lang w:eastAsia="zh-CN"/>
              </w:rPr>
              <w:t>前</w:t>
            </w:r>
            <w:r>
              <w:rPr>
                <w:rFonts w:hint="eastAsia" w:ascii="宋体" w:hAnsi="宋体" w:eastAsia="宋体" w:cs="宋体"/>
                <w:color w:val="auto"/>
                <w:sz w:val="21"/>
                <w:szCs w:val="21"/>
                <w:highlight w:val="none"/>
              </w:rPr>
              <w:t>1个月由社保行政主管部门出具的社保证明资料</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；工作经验以个人参保证明文件的参保险种中“累计缴费年限”最长的一项年限时间为准。</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未提供上述资料或不满足要求的，本项不计分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141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安全负责人</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1668" w:type="dxa"/>
            <w:noWrap w:val="0"/>
            <w:vAlign w:val="center"/>
          </w:tcPr>
          <w:p>
            <w:pPr>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安全</w:t>
            </w:r>
            <w:r>
              <w:rPr>
                <w:rFonts w:hint="eastAsia" w:ascii="宋体" w:hAnsi="宋体" w:eastAsia="宋体" w:cs="宋体"/>
                <w:b/>
                <w:bCs/>
                <w:color w:val="auto"/>
                <w:sz w:val="21"/>
                <w:szCs w:val="21"/>
                <w:highlight w:val="none"/>
              </w:rPr>
              <w:t>负责人从业能力</w:t>
            </w:r>
            <w:r>
              <w:rPr>
                <w:rFonts w:hint="eastAsia" w:ascii="宋体" w:hAnsi="宋体" w:eastAsia="宋体" w:cs="宋体"/>
                <w:b/>
                <w:bCs/>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市政</w:t>
            </w:r>
            <w:r>
              <w:rPr>
                <w:rFonts w:hint="eastAsia" w:ascii="宋体" w:hAnsi="宋体" w:eastAsia="宋体" w:cs="宋体"/>
                <w:color w:val="auto"/>
                <w:sz w:val="21"/>
                <w:szCs w:val="21"/>
                <w:highlight w:val="none"/>
                <w:lang w:eastAsia="zh-CN"/>
              </w:rPr>
              <w:t>工程相关</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lang w:eastAsia="zh-CN"/>
              </w:rPr>
              <w:t>高</w:t>
            </w:r>
            <w:r>
              <w:rPr>
                <w:rFonts w:hint="eastAsia" w:ascii="宋体" w:hAnsi="宋体" w:eastAsia="宋体" w:cs="宋体"/>
                <w:color w:val="auto"/>
                <w:sz w:val="21"/>
                <w:szCs w:val="21"/>
                <w:highlight w:val="none"/>
              </w:rPr>
              <w:t>级工程师或以上职称</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0.5分，否则不得分；</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满足第（1）项基础上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w:t>
            </w:r>
            <w:r>
              <w:rPr>
                <w:rFonts w:hint="eastAsia" w:ascii="宋体" w:hAnsi="宋体" w:eastAsia="宋体" w:cs="宋体"/>
                <w:color w:val="auto"/>
                <w:sz w:val="21"/>
                <w:szCs w:val="21"/>
                <w:highlight w:val="none"/>
                <w:lang w:eastAsia="zh-CN"/>
              </w:rPr>
              <w:t>有有效的安全生产考核合格证书（</w:t>
            </w:r>
            <w:r>
              <w:rPr>
                <w:rFonts w:hint="eastAsia" w:ascii="宋体" w:hAnsi="宋体" w:eastAsia="宋体" w:cs="宋体"/>
                <w:color w:val="auto"/>
                <w:sz w:val="21"/>
                <w:szCs w:val="21"/>
                <w:highlight w:val="none"/>
                <w:lang w:val="en-US" w:eastAsia="zh-CN"/>
              </w:rPr>
              <w:t>A类</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C类</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满足第（2）项基础上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TW" w:eastAsia="zh-CN"/>
              </w:rPr>
              <w:t>具有</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0年（不含</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0年）以上工作经验的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rPr>
              <w:t>；</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2分，须相应</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有效的安全生产考核合格证（</w:t>
            </w:r>
            <w:r>
              <w:rPr>
                <w:rFonts w:hint="eastAsia" w:ascii="宋体" w:hAnsi="宋体" w:eastAsia="宋体" w:cs="宋体"/>
                <w:color w:val="auto"/>
                <w:sz w:val="21"/>
                <w:szCs w:val="21"/>
                <w:highlight w:val="none"/>
                <w:lang w:val="en-US" w:eastAsia="zh-CN"/>
              </w:rPr>
              <w:t>A类</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lang w:val="en-US" w:eastAsia="zh-CN"/>
              </w:rPr>
              <w:t>C类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职称证</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截止投标</w:t>
            </w:r>
            <w:r>
              <w:rPr>
                <w:rFonts w:hint="eastAsia" w:ascii="宋体" w:hAnsi="宋体" w:eastAsia="宋体" w:cs="宋体"/>
                <w:color w:val="auto"/>
                <w:sz w:val="21"/>
                <w:szCs w:val="21"/>
                <w:highlight w:val="none"/>
                <w:lang w:eastAsia="zh-CN"/>
              </w:rPr>
              <w:t>前</w:t>
            </w:r>
            <w:r>
              <w:rPr>
                <w:rFonts w:hint="eastAsia" w:cs="宋体"/>
                <w:color w:val="auto"/>
                <w:sz w:val="21"/>
                <w:szCs w:val="21"/>
                <w:highlight w:val="none"/>
                <w:lang w:eastAsia="zh-CN"/>
              </w:rPr>
              <w:t>一</w:t>
            </w:r>
            <w:r>
              <w:rPr>
                <w:rFonts w:hint="eastAsia" w:ascii="宋体" w:hAnsi="宋体" w:eastAsia="宋体" w:cs="宋体"/>
                <w:color w:val="auto"/>
                <w:sz w:val="21"/>
                <w:szCs w:val="21"/>
                <w:highlight w:val="none"/>
              </w:rPr>
              <w:t>个月由社保行政主管部门出具的社保证明资料</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；工作经验以个人参保证明文件的参保险种中“累计缴费年限”最长的一项年限时间为准。</w:t>
            </w:r>
          </w:p>
          <w:p>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未提供上述资料或不满足要求的，本项不计分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141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造价负责人</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1668" w:type="dxa"/>
            <w:noWrap w:val="0"/>
            <w:vAlign w:val="center"/>
          </w:tcPr>
          <w:p>
            <w:pPr>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造价负责人从业能力</w:t>
            </w:r>
            <w:r>
              <w:rPr>
                <w:rFonts w:hint="eastAsia" w:ascii="宋体" w:hAnsi="宋体" w:eastAsia="宋体" w:cs="宋体"/>
                <w:b/>
                <w:bCs/>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效期内的</w:t>
            </w:r>
            <w:r>
              <w:rPr>
                <w:rFonts w:hint="eastAsia" w:cs="宋体"/>
                <w:color w:val="auto"/>
                <w:sz w:val="21"/>
                <w:szCs w:val="21"/>
                <w:highlight w:val="none"/>
                <w:lang w:eastAsia="zh-CN"/>
              </w:rPr>
              <w:t>一级</w:t>
            </w:r>
            <w:r>
              <w:rPr>
                <w:rFonts w:hint="eastAsia" w:ascii="宋体" w:hAnsi="宋体" w:eastAsia="宋体" w:cs="宋体"/>
                <w:color w:val="auto"/>
                <w:sz w:val="21"/>
                <w:szCs w:val="21"/>
                <w:highlight w:val="none"/>
              </w:rPr>
              <w:t>注册造价工程师</w:t>
            </w:r>
            <w:r>
              <w:rPr>
                <w:rFonts w:hint="eastAsia" w:ascii="宋体" w:hAnsi="宋体" w:eastAsia="宋体" w:cs="宋体"/>
                <w:color w:val="auto"/>
                <w:sz w:val="21"/>
                <w:szCs w:val="21"/>
                <w:highlight w:val="none"/>
                <w:lang w:eastAsia="zh-CN"/>
              </w:rPr>
              <w:t>执业资格的，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满足第（1）项基础上</w:t>
            </w:r>
            <w:r>
              <w:rPr>
                <w:rFonts w:hint="eastAsia" w:ascii="宋体" w:hAnsi="宋体" w:eastAsia="宋体" w:cs="宋体"/>
                <w:color w:val="auto"/>
                <w:sz w:val="21"/>
                <w:szCs w:val="21"/>
                <w:highlight w:val="none"/>
                <w:lang w:eastAsia="zh-CN"/>
              </w:rPr>
              <w:t>，具有工程造价专业高</w:t>
            </w:r>
            <w:r>
              <w:rPr>
                <w:rFonts w:hint="eastAsia" w:ascii="宋体" w:hAnsi="宋体" w:eastAsia="宋体" w:cs="宋体"/>
                <w:color w:val="auto"/>
                <w:sz w:val="21"/>
                <w:szCs w:val="21"/>
                <w:highlight w:val="none"/>
              </w:rPr>
              <w:t>级工程师或以上职称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rPr>
              <w:t>；</w:t>
            </w:r>
          </w:p>
          <w:p>
            <w:pPr>
              <w:autoSpaceDN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满足第（2）项基础上，</w:t>
            </w:r>
            <w:r>
              <w:rPr>
                <w:rFonts w:hint="eastAsia" w:ascii="宋体" w:hAnsi="宋体" w:eastAsia="宋体" w:cs="宋体"/>
                <w:color w:val="auto"/>
                <w:sz w:val="21"/>
                <w:szCs w:val="21"/>
                <w:highlight w:val="none"/>
                <w:lang w:val="zh-TW" w:eastAsia="zh-CN"/>
              </w:rPr>
              <w:t>具有</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0年（不含</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0年）以上工作经验的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，否则不得分</w:t>
            </w:r>
            <w:r>
              <w:rPr>
                <w:rFonts w:hint="eastAsia" w:ascii="宋体" w:hAnsi="宋体" w:eastAsia="宋体" w:cs="宋体"/>
                <w:color w:val="auto"/>
                <w:sz w:val="21"/>
                <w:szCs w:val="21"/>
                <w:highlight w:val="none"/>
                <w:lang w:eastAsia="zh-CN"/>
              </w:rPr>
              <w:t>；</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本项最高得</w:t>
            </w:r>
            <w:r>
              <w:rPr>
                <w:rFonts w:hint="eastAsia" w:ascii="宋体" w:hAnsi="宋体" w:eastAsia="宋体" w:cs="宋体"/>
                <w:color w:val="auto"/>
                <w:sz w:val="21"/>
                <w:szCs w:val="21"/>
                <w:highlight w:val="none"/>
                <w:lang w:val="en-US" w:eastAsia="zh-CN"/>
              </w:rPr>
              <w:t>1分，须相应</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注册证、</w:t>
            </w:r>
            <w:r>
              <w:rPr>
                <w:rFonts w:hint="eastAsia" w:ascii="宋体" w:hAnsi="宋体" w:eastAsia="宋体" w:cs="宋体"/>
                <w:color w:val="auto"/>
                <w:sz w:val="21"/>
                <w:szCs w:val="21"/>
                <w:highlight w:val="none"/>
              </w:rPr>
              <w:t>职称证</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截止投标</w:t>
            </w:r>
            <w:r>
              <w:rPr>
                <w:rFonts w:hint="eastAsia" w:ascii="宋体" w:hAnsi="宋体" w:eastAsia="宋体" w:cs="宋体"/>
                <w:color w:val="auto"/>
                <w:sz w:val="21"/>
                <w:szCs w:val="21"/>
                <w:highlight w:val="none"/>
                <w:lang w:eastAsia="zh-CN"/>
              </w:rPr>
              <w:t>前</w:t>
            </w:r>
            <w:r>
              <w:rPr>
                <w:rFonts w:hint="eastAsia" w:cs="宋体"/>
                <w:color w:val="auto"/>
                <w:sz w:val="21"/>
                <w:szCs w:val="21"/>
                <w:highlight w:val="none"/>
                <w:lang w:eastAsia="zh-CN"/>
              </w:rPr>
              <w:t>一</w:t>
            </w:r>
            <w:r>
              <w:rPr>
                <w:rFonts w:hint="eastAsia" w:ascii="宋体" w:hAnsi="宋体" w:eastAsia="宋体" w:cs="宋体"/>
                <w:color w:val="auto"/>
                <w:sz w:val="21"/>
                <w:szCs w:val="21"/>
                <w:highlight w:val="none"/>
              </w:rPr>
              <w:t>个月由社保行政主管部门出具的社保证明资料</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同时提交注册造价工程师注册信息查询网站（http://zaojiasys.jianshe99.com/cecaopsys/queryAndSearch/view.do?op=</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queryUserInfoInit）查询结果网页截图</w:t>
            </w:r>
            <w:r>
              <w:rPr>
                <w:rFonts w:hint="eastAsia" w:ascii="宋体" w:hAnsi="宋体" w:eastAsia="宋体" w:cs="宋体"/>
                <w:color w:val="auto"/>
                <w:sz w:val="21"/>
                <w:szCs w:val="21"/>
                <w:highlight w:val="none"/>
                <w:lang w:eastAsia="zh-CN"/>
              </w:rPr>
              <w:t>，能</w:t>
            </w:r>
            <w:r>
              <w:rPr>
                <w:rFonts w:hint="eastAsia" w:ascii="宋体" w:hAnsi="宋体" w:eastAsia="宋体" w:cs="宋体"/>
                <w:color w:val="auto"/>
                <w:sz w:val="21"/>
                <w:szCs w:val="21"/>
                <w:highlight w:val="none"/>
              </w:rPr>
              <w:t>证明其注册</w:t>
            </w:r>
            <w:r>
              <w:rPr>
                <w:rFonts w:hint="eastAsia" w:ascii="宋体" w:hAnsi="宋体" w:eastAsia="宋体" w:cs="宋体"/>
                <w:color w:val="auto"/>
                <w:sz w:val="21"/>
                <w:szCs w:val="21"/>
                <w:highlight w:val="none"/>
                <w:lang w:eastAsia="zh-CN"/>
              </w:rPr>
              <w:t>在投标人的总公司，且状态</w:t>
            </w:r>
            <w:r>
              <w:rPr>
                <w:rFonts w:hint="eastAsia" w:ascii="宋体" w:hAnsi="宋体" w:eastAsia="宋体" w:cs="宋体"/>
                <w:color w:val="auto"/>
                <w:sz w:val="21"/>
                <w:szCs w:val="21"/>
                <w:highlight w:val="none"/>
              </w:rPr>
              <w:t>有效</w:t>
            </w:r>
            <w:r>
              <w:rPr>
                <w:rFonts w:hint="eastAsia" w:ascii="宋体" w:hAnsi="宋体" w:eastAsia="宋体" w:cs="宋体"/>
                <w:color w:val="auto"/>
                <w:sz w:val="21"/>
                <w:szCs w:val="21"/>
                <w:highlight w:val="none"/>
                <w:lang w:eastAsia="zh-CN"/>
              </w:rPr>
              <w:t>方可计分</w:t>
            </w:r>
            <w:r>
              <w:rPr>
                <w:rFonts w:hint="eastAsia" w:ascii="宋体" w:hAnsi="宋体" w:eastAsia="宋体" w:cs="宋体"/>
                <w:color w:val="auto"/>
                <w:sz w:val="21"/>
                <w:szCs w:val="21"/>
                <w:highlight w:val="none"/>
              </w:rPr>
              <w:t>；工作经验以个人参保证明文件的参保险种中“累计缴费年限”最长的一项年限时间为准。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未提供上述资料或不满足要求的，本项不计分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1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其他人员</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16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除项目负责人、技术负责人、质</w:t>
            </w:r>
            <w:r>
              <w:rPr>
                <w:rFonts w:hint="eastAsia" w:ascii="宋体" w:hAnsi="宋体" w:eastAsia="宋体" w:cs="宋体"/>
                <w:color w:val="auto"/>
                <w:sz w:val="21"/>
                <w:szCs w:val="21"/>
                <w:highlight w:val="none"/>
                <w:lang w:eastAsia="zh-CN"/>
              </w:rPr>
              <w:t>量</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安全负责人、</w:t>
            </w:r>
            <w:r>
              <w:rPr>
                <w:rFonts w:hint="eastAsia" w:ascii="宋体" w:hAnsi="宋体" w:eastAsia="宋体" w:cs="宋体"/>
                <w:color w:val="auto"/>
                <w:sz w:val="21"/>
                <w:szCs w:val="21"/>
                <w:highlight w:val="none"/>
              </w:rPr>
              <w:t>造价负责人外，拟投入本项目的</w:t>
            </w:r>
            <w:r>
              <w:rPr>
                <w:rFonts w:hint="eastAsia" w:ascii="宋体" w:hAnsi="宋体" w:eastAsia="宋体" w:cs="宋体"/>
                <w:color w:val="auto"/>
                <w:sz w:val="21"/>
                <w:szCs w:val="21"/>
                <w:highlight w:val="none"/>
                <w:lang w:eastAsia="zh-CN"/>
              </w:rPr>
              <w:t>作业</w:t>
            </w:r>
            <w:r>
              <w:rPr>
                <w:rFonts w:hint="eastAsia" w:ascii="宋体" w:hAnsi="宋体" w:eastAsia="宋体" w:cs="宋体"/>
                <w:color w:val="auto"/>
                <w:sz w:val="21"/>
                <w:szCs w:val="21"/>
                <w:highlight w:val="none"/>
              </w:rPr>
              <w:t>人员配置完善合理，其中：</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）市政道路养护工</w:t>
            </w:r>
            <w:r>
              <w:rPr>
                <w:rFonts w:hint="eastAsia" w:ascii="宋体" w:hAnsi="宋体" w:eastAsia="宋体" w:cs="宋体"/>
                <w:color w:val="auto"/>
                <w:sz w:val="21"/>
                <w:szCs w:val="21"/>
                <w:highlight w:val="none"/>
                <w:lang w:val="en-US" w:eastAsia="zh-CN"/>
              </w:rPr>
              <w:t>5名，混凝土工、油漆工、工程测量工各1名，全部具备的得0.5分；缺少一人或有一人不满足的得0.2分，缺少两人或有两人不满足的得0.1分，其他的不得分。</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（2）满足第（1）项基础上，上述</w:t>
            </w:r>
            <w:r>
              <w:rPr>
                <w:rFonts w:hint="eastAsia" w:ascii="宋体" w:hAnsi="宋体" w:eastAsia="宋体" w:cs="宋体"/>
                <w:color w:val="auto"/>
                <w:sz w:val="21"/>
                <w:szCs w:val="21"/>
                <w:highlight w:val="none"/>
                <w:lang w:eastAsia="zh-CN"/>
              </w:rPr>
              <w:t>作业</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eastAsia="zh-CN"/>
              </w:rPr>
              <w:t>全部具备工程类专业中级工程师或以上职称的得</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；其中</w:t>
            </w:r>
            <w:r>
              <w:rPr>
                <w:rFonts w:hint="eastAsia" w:ascii="宋体" w:hAnsi="宋体" w:eastAsia="宋体" w:cs="宋体"/>
                <w:color w:val="auto"/>
                <w:sz w:val="21"/>
                <w:szCs w:val="21"/>
                <w:highlight w:val="none"/>
                <w:lang w:val="en-US" w:eastAsia="zh-CN"/>
              </w:rPr>
              <w:t>一人不具备或有一人不满足的得1分，其中两人不具备或有两人不满足的得0.5分，其他的不得分。</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备注：1）本项最高得2分，上述人员须同时提供人社部（或原劳保部）颁发证书、市级或以上职业技能鉴定指导中心鉴定的对应专业资格证和职称证书扫描件，以及上述人员截止投标</w:t>
            </w:r>
            <w:r>
              <w:rPr>
                <w:rFonts w:hint="eastAsia" w:ascii="宋体" w:hAnsi="宋体" w:eastAsia="宋体" w:cs="宋体"/>
                <w:color w:val="auto"/>
                <w:sz w:val="21"/>
                <w:szCs w:val="21"/>
                <w:highlight w:val="none"/>
                <w:lang w:eastAsia="zh-CN"/>
              </w:rPr>
              <w:t>前</w:t>
            </w:r>
            <w:r>
              <w:rPr>
                <w:rFonts w:hint="eastAsia" w:ascii="宋体" w:hAnsi="宋体" w:eastAsia="宋体" w:cs="宋体"/>
                <w:color w:val="auto"/>
                <w:sz w:val="21"/>
                <w:szCs w:val="21"/>
                <w:highlight w:val="none"/>
              </w:rPr>
              <w:t>1个月由社保行政主管部门出具</w:t>
            </w:r>
            <w:r>
              <w:rPr>
                <w:rFonts w:hint="eastAsia" w:ascii="宋体" w:hAnsi="宋体" w:eastAsia="宋体" w:cs="宋体"/>
                <w:color w:val="auto"/>
                <w:sz w:val="21"/>
                <w:szCs w:val="21"/>
                <w:highlight w:val="none"/>
                <w:lang w:val="en-US" w:eastAsia="zh-CN"/>
              </w:rPr>
              <w:t>的扫描件。</w:t>
            </w:r>
          </w:p>
          <w:p>
            <w:pP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bCs/>
                <w:color w:val="auto"/>
                <w:sz w:val="21"/>
                <w:szCs w:val="21"/>
                <w:highlight w:val="none"/>
              </w:rPr>
              <w:t>未提供上述资料或不满足要求的，本项不计分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13"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sz w:val="21"/>
                <w:szCs w:val="21"/>
                <w:highlight w:val="none"/>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机械配备</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66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投标人至少配备在项目所在地可使用的工程运输</w:t>
            </w:r>
            <w:r>
              <w:rPr>
                <w:rFonts w:hint="eastAsia" w:ascii="宋体" w:hAnsi="宋体" w:eastAsia="宋体" w:cs="宋体"/>
                <w:color w:val="auto"/>
                <w:sz w:val="21"/>
                <w:szCs w:val="21"/>
                <w:highlight w:val="none"/>
                <w:lang w:eastAsia="zh-CN"/>
              </w:rPr>
              <w:t>货</w:t>
            </w:r>
            <w:r>
              <w:rPr>
                <w:rFonts w:hint="eastAsia" w:ascii="宋体" w:hAnsi="宋体" w:eastAsia="宋体" w:cs="宋体"/>
                <w:color w:val="auto"/>
                <w:sz w:val="21"/>
                <w:szCs w:val="21"/>
                <w:highlight w:val="none"/>
              </w:rPr>
              <w:t>车</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eastAsia="zh-CN"/>
              </w:rPr>
              <w:t>高空作业车</w:t>
            </w:r>
            <w:r>
              <w:rPr>
                <w:rFonts w:hint="eastAsia" w:ascii="宋体" w:hAnsi="宋体" w:eastAsia="宋体" w:cs="宋体"/>
                <w:color w:val="auto"/>
                <w:sz w:val="21"/>
                <w:szCs w:val="21"/>
                <w:highlight w:val="none"/>
                <w:lang w:val="en-US" w:eastAsia="zh-CN"/>
              </w:rPr>
              <w:t>3台、防撞缓冲车2台、多功能抑尘车1台、随车起重运输车（随车吊）1台、</w:t>
            </w:r>
            <w:r>
              <w:rPr>
                <w:rFonts w:hint="eastAsia" w:ascii="宋体" w:hAnsi="宋体" w:eastAsia="宋体" w:cs="宋体"/>
                <w:color w:val="auto"/>
                <w:sz w:val="21"/>
                <w:szCs w:val="21"/>
                <w:highlight w:val="none"/>
                <w:lang w:eastAsia="zh-CN"/>
              </w:rPr>
              <w:t>液压动力站1台，上述设备配备齐全</w:t>
            </w:r>
            <w:r>
              <w:rPr>
                <w:rFonts w:hint="eastAsia" w:cs="宋体"/>
                <w:color w:val="auto"/>
                <w:sz w:val="21"/>
                <w:szCs w:val="21"/>
                <w:highlight w:val="none"/>
                <w:lang w:val="en-US" w:eastAsia="zh-CN"/>
              </w:rPr>
              <w:t>得3分；不满足一项要求的扣0.5分，扣完为止。</w:t>
            </w:r>
          </w:p>
          <w:p>
            <w:pPr>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）上述设备中：</w:t>
            </w:r>
            <w:r>
              <w:rPr>
                <w:rFonts w:hint="eastAsia" w:ascii="宋体" w:hAnsi="宋体" w:eastAsia="宋体" w:cs="宋体"/>
                <w:color w:val="auto"/>
                <w:sz w:val="21"/>
                <w:szCs w:val="21"/>
                <w:highlight w:val="none"/>
                <w:lang w:eastAsia="zh-CN"/>
              </w:rPr>
              <w:t>全部自有的得</w:t>
            </w: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部分自有的得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全部租赁的得</w:t>
            </w:r>
            <w:r>
              <w:rPr>
                <w:rFonts w:hint="eastAsia"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分；其他不得分</w:t>
            </w:r>
            <w:r>
              <w:rPr>
                <w:rFonts w:hint="eastAsia" w:ascii="宋体" w:hAnsi="宋体" w:eastAsia="宋体" w:cs="宋体"/>
                <w:color w:val="auto"/>
                <w:sz w:val="21"/>
                <w:szCs w:val="21"/>
                <w:highlight w:val="none"/>
              </w:rPr>
              <w:t>。</w:t>
            </w:r>
          </w:p>
          <w:p>
            <w:pPr>
              <w:autoSpaceDN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自有</w:t>
            </w: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属企业</w:t>
            </w:r>
            <w:r>
              <w:rPr>
                <w:rFonts w:hint="eastAsia" w:ascii="宋体" w:hAnsi="宋体" w:eastAsia="宋体" w:cs="宋体"/>
                <w:color w:val="auto"/>
                <w:sz w:val="21"/>
                <w:szCs w:val="21"/>
                <w:highlight w:val="none"/>
                <w:lang w:eastAsia="zh-CN"/>
              </w:rPr>
              <w:t>总公司</w:t>
            </w:r>
            <w:r>
              <w:rPr>
                <w:rFonts w:hint="eastAsia" w:ascii="宋体" w:hAnsi="宋体" w:eastAsia="宋体" w:cs="宋体"/>
                <w:color w:val="auto"/>
                <w:sz w:val="21"/>
                <w:szCs w:val="21"/>
                <w:highlight w:val="none"/>
              </w:rPr>
              <w:t>名下</w:t>
            </w:r>
            <w:r>
              <w:rPr>
                <w:rFonts w:hint="eastAsia" w:ascii="宋体" w:hAnsi="宋体" w:eastAsia="宋体" w:cs="宋体"/>
                <w:color w:val="auto"/>
                <w:sz w:val="21"/>
                <w:szCs w:val="21"/>
                <w:highlight w:val="none"/>
                <w:lang w:eastAsia="zh-CN"/>
              </w:rPr>
              <w:t>，否则无效。须</w:t>
            </w:r>
            <w:r>
              <w:rPr>
                <w:rFonts w:hint="eastAsia" w:ascii="宋体" w:hAnsi="宋体" w:eastAsia="宋体" w:cs="宋体"/>
                <w:color w:val="auto"/>
                <w:sz w:val="21"/>
                <w:szCs w:val="21"/>
                <w:highlight w:val="none"/>
              </w:rPr>
              <w:t>提供机械设备发票</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作业车辆（</w:t>
            </w:r>
            <w:r>
              <w:rPr>
                <w:rFonts w:hint="eastAsia" w:ascii="宋体" w:hAnsi="宋体" w:eastAsia="宋体" w:cs="宋体"/>
                <w:color w:val="auto"/>
                <w:sz w:val="21"/>
                <w:szCs w:val="21"/>
                <w:highlight w:val="none"/>
              </w:rPr>
              <w:t>工程运输</w:t>
            </w:r>
            <w:r>
              <w:rPr>
                <w:rFonts w:hint="eastAsia" w:ascii="宋体" w:hAnsi="宋体" w:eastAsia="宋体" w:cs="宋体"/>
                <w:color w:val="auto"/>
                <w:sz w:val="21"/>
                <w:szCs w:val="21"/>
                <w:highlight w:val="none"/>
                <w:lang w:eastAsia="zh-CN"/>
              </w:rPr>
              <w:t>货</w:t>
            </w:r>
            <w:r>
              <w:rPr>
                <w:rFonts w:hint="eastAsia" w:ascii="宋体" w:hAnsi="宋体" w:eastAsia="宋体" w:cs="宋体"/>
                <w:color w:val="auto"/>
                <w:sz w:val="21"/>
                <w:szCs w:val="21"/>
                <w:highlight w:val="none"/>
              </w:rPr>
              <w:t>车、</w:t>
            </w:r>
            <w:r>
              <w:rPr>
                <w:rFonts w:hint="eastAsia" w:ascii="宋体" w:hAnsi="宋体" w:eastAsia="宋体" w:cs="宋体"/>
                <w:color w:val="auto"/>
                <w:sz w:val="21"/>
                <w:szCs w:val="21"/>
                <w:highlight w:val="none"/>
                <w:lang w:eastAsia="zh-CN"/>
              </w:rPr>
              <w:t>高空作业车</w:t>
            </w:r>
            <w:r>
              <w:rPr>
                <w:rFonts w:hint="eastAsia" w:ascii="宋体" w:hAnsi="宋体" w:eastAsia="宋体" w:cs="宋体"/>
                <w:color w:val="auto"/>
                <w:sz w:val="21"/>
                <w:szCs w:val="21"/>
                <w:highlight w:val="none"/>
                <w:lang w:val="en-US" w:eastAsia="zh-CN"/>
              </w:rPr>
              <w:t>、防撞缓冲车、多功能抑尘车、随车起重运输车（随车吊）</w:t>
            </w:r>
            <w:r>
              <w:rPr>
                <w:rFonts w:hint="eastAsia" w:ascii="宋体" w:hAnsi="宋体" w:eastAsia="宋体" w:cs="宋体"/>
                <w:color w:val="auto"/>
                <w:sz w:val="21"/>
                <w:szCs w:val="21"/>
                <w:highlight w:val="none"/>
                <w:lang w:eastAsia="zh-CN"/>
              </w:rPr>
              <w:t>）须同时提供有效的车辆行驶证及车辆登记证扫描件，</w:t>
            </w:r>
            <w:r>
              <w:rPr>
                <w:rFonts w:hint="eastAsia" w:ascii="宋体" w:hAnsi="宋体" w:eastAsia="宋体" w:cs="宋体"/>
                <w:color w:val="auto"/>
                <w:sz w:val="21"/>
                <w:szCs w:val="21"/>
                <w:highlight w:val="none"/>
                <w:lang w:val="en-US" w:eastAsia="zh-CN"/>
              </w:rPr>
              <w:t>原件备查</w:t>
            </w:r>
            <w:r>
              <w:rPr>
                <w:rFonts w:hint="eastAsia" w:ascii="宋体" w:hAnsi="宋体" w:eastAsia="宋体" w:cs="宋体"/>
                <w:color w:val="auto"/>
                <w:sz w:val="21"/>
                <w:szCs w:val="21"/>
                <w:highlight w:val="none"/>
                <w:lang w:eastAsia="zh-CN"/>
              </w:rPr>
              <w:t>，否则不得分。</w:t>
            </w:r>
          </w:p>
          <w:p>
            <w:pPr>
              <w:autoSpaceDN w:val="0"/>
              <w:snapToGrid w:val="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2）租赁设备须同时</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有效的</w:t>
            </w:r>
            <w:r>
              <w:rPr>
                <w:rFonts w:hint="eastAsia" w:ascii="宋体" w:hAnsi="宋体" w:eastAsia="宋体" w:cs="宋体"/>
                <w:color w:val="auto"/>
                <w:sz w:val="21"/>
                <w:szCs w:val="21"/>
                <w:highlight w:val="none"/>
              </w:rPr>
              <w:t>租赁合同</w:t>
            </w:r>
            <w:r>
              <w:rPr>
                <w:rFonts w:hint="eastAsia" w:ascii="宋体" w:hAnsi="宋体" w:eastAsia="宋体" w:cs="宋体"/>
                <w:color w:val="auto"/>
                <w:sz w:val="21"/>
                <w:szCs w:val="21"/>
                <w:highlight w:val="none"/>
                <w:lang w:eastAsia="zh-CN"/>
              </w:rPr>
              <w:t>（须包含上述自有</w:t>
            </w:r>
            <w:r>
              <w:rPr>
                <w:rFonts w:hint="eastAsia" w:eastAsia="宋体" w:cs="Times New Roman"/>
                <w:color w:val="auto"/>
                <w:sz w:val="21"/>
                <w:szCs w:val="21"/>
                <w:highlight w:val="none"/>
                <w:lang w:val="en-US" w:eastAsia="zh-CN"/>
              </w:rPr>
              <w:t>设备</w:t>
            </w:r>
            <w:r>
              <w:rPr>
                <w:rFonts w:hint="eastAsia" w:ascii="宋体" w:hAnsi="宋体" w:eastAsia="宋体" w:cs="宋体"/>
                <w:color w:val="auto"/>
                <w:sz w:val="21"/>
                <w:szCs w:val="21"/>
                <w:highlight w:val="none"/>
                <w:lang w:eastAsia="zh-CN"/>
              </w:rPr>
              <w:t>要求提供的相关证件）</w:t>
            </w:r>
            <w:r>
              <w:rPr>
                <w:rFonts w:hint="eastAsia" w:ascii="宋体" w:hAnsi="宋体" w:eastAsia="宋体" w:cs="宋体"/>
                <w:color w:val="auto"/>
                <w:sz w:val="21"/>
                <w:szCs w:val="21"/>
                <w:highlight w:val="none"/>
              </w:rPr>
              <w:t>和对应</w:t>
            </w:r>
            <w:r>
              <w:rPr>
                <w:rFonts w:hint="eastAsia" w:ascii="宋体" w:hAnsi="宋体" w:eastAsia="宋体" w:cs="宋体"/>
                <w:color w:val="auto"/>
                <w:sz w:val="21"/>
                <w:szCs w:val="21"/>
                <w:highlight w:val="none"/>
                <w:lang w:val="en-US" w:eastAsia="zh-CN"/>
              </w:rPr>
              <w:t>设备的</w:t>
            </w:r>
            <w:r>
              <w:rPr>
                <w:rFonts w:hint="eastAsia" w:ascii="宋体" w:hAnsi="宋体" w:eastAsia="宋体" w:cs="宋体"/>
                <w:color w:val="auto"/>
                <w:sz w:val="21"/>
                <w:szCs w:val="21"/>
                <w:highlight w:val="none"/>
              </w:rPr>
              <w:t>租赁费发票</w:t>
            </w:r>
            <w:r>
              <w:rPr>
                <w:rFonts w:hint="eastAsia" w:ascii="宋体" w:hAnsi="宋体" w:eastAsia="宋体" w:cs="宋体"/>
                <w:color w:val="auto"/>
                <w:sz w:val="21"/>
                <w:szCs w:val="21"/>
                <w:highlight w:val="none"/>
                <w:lang w:eastAsia="zh-CN"/>
              </w:rPr>
              <w:t>扫描件，</w:t>
            </w:r>
            <w:r>
              <w:rPr>
                <w:rFonts w:hint="eastAsia" w:ascii="宋体" w:hAnsi="宋体" w:eastAsia="宋体" w:cs="宋体"/>
                <w:color w:val="auto"/>
                <w:sz w:val="21"/>
                <w:szCs w:val="21"/>
                <w:highlight w:val="none"/>
              </w:rPr>
              <w:t>租赁费发票必须清晰的反映</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rPr>
              <w:t>名称；并要求出租方提供上述出租的</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rPr>
              <w:t>进项发票</w:t>
            </w:r>
            <w:r>
              <w:rPr>
                <w:rFonts w:hint="eastAsia" w:hAnsi="宋体" w:eastAsia="宋体" w:cs="宋体"/>
                <w:color w:val="auto"/>
                <w:sz w:val="21"/>
                <w:szCs w:val="21"/>
                <w:highlight w:val="none"/>
                <w:lang w:eastAsia="zh-CN"/>
              </w:rPr>
              <w:t>扫面件</w:t>
            </w:r>
            <w:r>
              <w:rPr>
                <w:rFonts w:hint="eastAsia" w:ascii="宋体" w:hAnsi="宋体" w:eastAsia="宋体" w:cs="宋体"/>
                <w:color w:val="auto"/>
                <w:sz w:val="21"/>
                <w:szCs w:val="21"/>
                <w:highlight w:val="none"/>
              </w:rPr>
              <w:t>予以证明，原件备查</w:t>
            </w:r>
            <w:r>
              <w:rPr>
                <w:rFonts w:hint="eastAsia" w:ascii="宋体" w:hAnsi="宋体" w:eastAsia="宋体" w:cs="宋体"/>
                <w:color w:val="auto"/>
                <w:sz w:val="21"/>
                <w:szCs w:val="21"/>
                <w:highlight w:val="none"/>
                <w:lang w:eastAsia="zh-CN"/>
              </w:rPr>
              <w:t>，否则不得分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1668"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r>
        <w:rPr>
          <w:color w:val="auto"/>
          <w:spacing w:val="-5"/>
          <w:sz w:val="21"/>
          <w:highlight w:val="none"/>
        </w:rPr>
        <w:t>注：</w:t>
      </w:r>
    </w:p>
    <w:p>
      <w:pPr>
        <w:keepNext w:val="0"/>
        <w:keepLines w:val="0"/>
        <w:pageBreakBefore w:val="0"/>
        <w:widowControl w:val="0"/>
        <w:kinsoku/>
        <w:wordWrap/>
        <w:overflowPunct/>
        <w:topLinePunct w:val="0"/>
        <w:autoSpaceDE w:val="0"/>
        <w:autoSpaceDN w:val="0"/>
        <w:bidi w:val="0"/>
        <w:adjustRightInd/>
        <w:snapToGrid/>
        <w:ind w:left="440" w:leftChars="200"/>
        <w:textAlignment w:val="auto"/>
        <w:rPr>
          <w:rFonts w:hint="eastAsia" w:ascii="宋体" w:hAnsi="宋体" w:cs="仿宋_GB2312"/>
          <w:color w:val="auto"/>
          <w:sz w:val="21"/>
          <w:szCs w:val="21"/>
          <w:highlight w:val="none"/>
          <w:lang w:val="en-US" w:eastAsia="zh-CN"/>
        </w:rPr>
      </w:pPr>
      <w:r>
        <w:rPr>
          <w:rFonts w:hint="eastAsia" w:ascii="宋体" w:hAnsi="宋体" w:cs="仿宋_GB2312"/>
          <w:b/>
          <w:bCs/>
          <w:color w:val="auto"/>
          <w:sz w:val="21"/>
          <w:szCs w:val="21"/>
          <w:highlight w:val="none"/>
        </w:rPr>
        <w:t>1、</w:t>
      </w:r>
      <w:r>
        <w:rPr>
          <w:rFonts w:hint="eastAsia" w:ascii="宋体" w:hAnsi="宋体" w:cs="仿宋_GB2312"/>
          <w:b/>
          <w:bCs/>
          <w:color w:val="auto"/>
          <w:sz w:val="21"/>
          <w:szCs w:val="21"/>
          <w:highlight w:val="none"/>
          <w:lang w:eastAsia="zh-CN"/>
        </w:rPr>
        <w:t>企业业绩证明文件</w:t>
      </w:r>
      <w:r>
        <w:rPr>
          <w:rFonts w:hint="eastAsia" w:ascii="宋体" w:hAnsi="宋体" w:cs="仿宋_GB2312"/>
          <w:color w:val="auto"/>
          <w:sz w:val="21"/>
          <w:szCs w:val="21"/>
          <w:highlight w:val="none"/>
        </w:rPr>
        <w:t>：</w:t>
      </w:r>
      <w:r>
        <w:rPr>
          <w:rFonts w:hint="eastAsia" w:ascii="宋体" w:hAnsi="宋体" w:eastAsia="宋体" w:cs="宋体"/>
          <w:color w:val="auto"/>
          <w:sz w:val="21"/>
          <w:szCs w:val="21"/>
          <w:highlight w:val="none"/>
          <w:lang w:val="zh-CN"/>
        </w:rPr>
        <w:t>需同时提供①中标通知书，②施工合同，③竣工验收报告或验收证明，④招标公告网页首页截图（项目招标资质</w:t>
      </w:r>
      <w:r>
        <w:rPr>
          <w:rFonts w:hint="eastAsia" w:ascii="宋体" w:hAnsi="宋体" w:cs="宋体"/>
          <w:color w:val="auto"/>
          <w:sz w:val="21"/>
          <w:szCs w:val="21"/>
          <w:highlight w:val="none"/>
          <w:lang w:val="zh-CN"/>
        </w:rPr>
        <w:t>应为</w:t>
      </w:r>
      <w:r>
        <w:rPr>
          <w:rFonts w:hint="eastAsia" w:ascii="宋体" w:hAnsi="宋体" w:eastAsia="宋体" w:cs="宋体"/>
          <w:color w:val="auto"/>
          <w:sz w:val="21"/>
          <w:szCs w:val="21"/>
          <w:highlight w:val="none"/>
        </w:rPr>
        <w:t>市政公用工程</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总承包或桥梁工程专业承包</w:t>
      </w:r>
      <w:r>
        <w:rPr>
          <w:rFonts w:hint="eastAsia" w:ascii="宋体" w:hAnsi="宋体" w:cs="宋体"/>
          <w:color w:val="auto"/>
          <w:sz w:val="21"/>
          <w:szCs w:val="21"/>
          <w:highlight w:val="none"/>
          <w:lang w:eastAsia="zh-CN"/>
        </w:rPr>
        <w:t>资质</w:t>
      </w:r>
      <w:r>
        <w:rPr>
          <w:rFonts w:hint="eastAsia" w:ascii="宋体" w:hAnsi="宋体" w:eastAsia="宋体" w:cs="宋体"/>
          <w:color w:val="auto"/>
          <w:sz w:val="21"/>
          <w:szCs w:val="21"/>
          <w:highlight w:val="none"/>
          <w:lang w:val="zh-CN"/>
        </w:rPr>
        <w:t>）及查询路径，⑤中标公示或中标候选人公示网页截图及查询路径，查询路径须为项目当地公共资源交易机构官方网站；</w:t>
      </w:r>
      <w:r>
        <w:rPr>
          <w:rFonts w:hint="eastAsia" w:ascii="宋体" w:hAnsi="宋体" w:eastAsia="宋体" w:cs="宋体"/>
          <w:color w:val="auto"/>
          <w:kern w:val="0"/>
          <w:sz w:val="21"/>
          <w:szCs w:val="21"/>
          <w:highlight w:val="none"/>
          <w:lang w:val="en-US" w:eastAsia="zh-CN" w:bidi="ar-SA"/>
        </w:rPr>
        <w:t>金额以中标通知书为准，中标通知书上没有金额，以施工合同（不含补充合同）为准</w:t>
      </w:r>
      <w:r>
        <w:rPr>
          <w:rFonts w:hint="eastAsia" w:ascii="宋体" w:hAnsi="宋体" w:eastAsia="宋体" w:cs="宋体"/>
          <w:color w:val="auto"/>
          <w:sz w:val="21"/>
          <w:szCs w:val="21"/>
          <w:highlight w:val="none"/>
          <w:lang w:val="zh-CN"/>
        </w:rPr>
        <w:t>；完成时间以竣工验收时间为准，验收文件至少具有建设单位、设计、施工和监理单位盖章；</w:t>
      </w:r>
      <w:r>
        <w:rPr>
          <w:rFonts w:hint="eastAsia" w:ascii="宋体" w:hAnsi="宋体" w:eastAsia="宋体" w:cs="宋体"/>
          <w:color w:val="auto"/>
          <w:sz w:val="21"/>
          <w:szCs w:val="21"/>
          <w:highlight w:val="none"/>
        </w:rPr>
        <w:t>属于联合体业绩的，按中标通知书金额乘以联合体双方盖章确认的协议书比例为准或施工合同（不含补充合同）的金额为准。</w:t>
      </w:r>
    </w:p>
    <w:p>
      <w:pPr>
        <w:keepNext w:val="0"/>
        <w:keepLines w:val="0"/>
        <w:pageBreakBefore w:val="0"/>
        <w:widowControl w:val="0"/>
        <w:kinsoku/>
        <w:wordWrap/>
        <w:overflowPunct/>
        <w:topLinePunct w:val="0"/>
        <w:autoSpaceDE w:val="0"/>
        <w:autoSpaceDN w:val="0"/>
        <w:bidi w:val="0"/>
        <w:adjustRightInd/>
        <w:snapToGrid/>
        <w:ind w:left="440" w:leftChars="200"/>
        <w:textAlignment w:val="auto"/>
        <w:rPr>
          <w:rFonts w:ascii="宋体" w:hAnsi="宋体" w:cs="宋体"/>
          <w:color w:val="auto"/>
          <w:sz w:val="21"/>
          <w:szCs w:val="21"/>
          <w:highlight w:val="none"/>
        </w:rPr>
      </w:pPr>
      <w:r>
        <w:rPr>
          <w:rFonts w:hint="eastAsia" w:ascii="宋体" w:hAnsi="宋体" w:cs="仿宋_GB2312"/>
          <w:b/>
          <w:bCs/>
          <w:color w:val="auto"/>
          <w:sz w:val="21"/>
          <w:szCs w:val="21"/>
          <w:highlight w:val="none"/>
          <w:lang w:val="en-US" w:eastAsia="zh-CN"/>
        </w:rPr>
        <w:t>2、</w:t>
      </w:r>
      <w:r>
        <w:rPr>
          <w:rFonts w:hint="eastAsia" w:ascii="宋体" w:hAnsi="宋体" w:cs="宋体"/>
          <w:b/>
          <w:bCs/>
          <w:color w:val="auto"/>
          <w:sz w:val="21"/>
          <w:szCs w:val="21"/>
          <w:highlight w:val="none"/>
        </w:rPr>
        <w:t>项目管理机构能力</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项目管理机构人员仅指注册在本公司人员，不含子母公司人员，如投标申请人为集团公司，则不含集团下属分公司，专指集团本部人员，同样下属公司也不得使用集团公司的人员。项目管理机构人员不能兼任，不重复计算得分。</w:t>
      </w:r>
    </w:p>
    <w:p>
      <w:pPr>
        <w:keepNext w:val="0"/>
        <w:keepLines w:val="0"/>
        <w:pageBreakBefore w:val="0"/>
        <w:widowControl w:val="0"/>
        <w:kinsoku/>
        <w:wordWrap/>
        <w:overflowPunct/>
        <w:topLinePunct w:val="0"/>
        <w:autoSpaceDE w:val="0"/>
        <w:autoSpaceDN w:val="0"/>
        <w:bidi w:val="0"/>
        <w:adjustRightInd/>
        <w:snapToGrid/>
        <w:ind w:left="440" w:left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投标人得分为各评委评分去掉最高最低分后剩下评委评分的算术平均值（若分数出现小数点时，保留小数点后二位，第三位小数四舍五入）。</w:t>
      </w:r>
    </w:p>
    <w:p>
      <w:pPr>
        <w:keepNext w:val="0"/>
        <w:keepLines w:val="0"/>
        <w:pageBreakBefore w:val="0"/>
        <w:widowControl w:val="0"/>
        <w:kinsoku/>
        <w:wordWrap/>
        <w:overflowPunct/>
        <w:topLinePunct w:val="0"/>
        <w:autoSpaceDE w:val="0"/>
        <w:autoSpaceDN w:val="0"/>
        <w:bidi w:val="0"/>
        <w:adjustRightInd/>
        <w:snapToGrid/>
        <w:spacing w:before="0" w:line="240" w:lineRule="auto"/>
        <w:ind w:left="440" w:leftChars="200" w:right="0"/>
        <w:jc w:val="left"/>
        <w:textAlignment w:val="auto"/>
        <w:rPr>
          <w:rFonts w:hint="eastAsia"/>
          <w:color w:val="auto"/>
          <w:spacing w:val="-5"/>
          <w:sz w:val="21"/>
          <w:highlight w:val="none"/>
          <w:lang w:eastAsia="zh-CN"/>
        </w:rPr>
      </w:pPr>
      <w:r>
        <w:rPr>
          <w:rFonts w:hint="eastAsia" w:cs="宋体"/>
          <w:b/>
          <w:bCs/>
          <w:color w:val="auto"/>
          <w:sz w:val="21"/>
          <w:szCs w:val="21"/>
          <w:highlight w:val="none"/>
          <w:lang w:val="en-US" w:eastAsia="zh-CN"/>
        </w:rPr>
        <w:t>4、工程奖项：</w:t>
      </w:r>
      <w:r>
        <w:rPr>
          <w:rFonts w:hint="eastAsia" w:ascii="宋体" w:hAnsi="宋体" w:cs="宋体"/>
          <w:color w:val="auto"/>
          <w:sz w:val="21"/>
          <w:szCs w:val="21"/>
          <w:highlight w:val="none"/>
          <w:lang w:val="en-US" w:eastAsia="zh-CN"/>
        </w:rPr>
        <w:t>同一工程项目</w:t>
      </w:r>
      <w:r>
        <w:rPr>
          <w:rFonts w:hint="eastAsia" w:ascii="宋体" w:hAnsi="宋体" w:cs="宋体"/>
          <w:color w:val="auto"/>
          <w:sz w:val="21"/>
          <w:szCs w:val="21"/>
          <w:highlight w:val="none"/>
        </w:rPr>
        <w:t>如为联合体投标参建不予记分；参建项目奖项不作认定，同一项目奖项，以最高的为准</w:t>
      </w:r>
      <w:r>
        <w:rPr>
          <w:color w:val="auto"/>
          <w:spacing w:val="-5"/>
          <w:sz w:val="21"/>
          <w:highlight w:val="none"/>
        </w:rPr>
        <w:t>。</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00" w:firstLineChars="200"/>
        <w:jc w:val="left"/>
        <w:textAlignment w:val="auto"/>
        <w:rPr>
          <w:color w:val="auto"/>
          <w:spacing w:val="-5"/>
          <w:sz w:val="21"/>
          <w:highlight w:val="none"/>
        </w:rPr>
      </w:pPr>
    </w:p>
    <w:p>
      <w:pPr>
        <w:ind w:left="0" w:leftChars="0" w:firstLine="0" w:firstLineChars="0"/>
        <w:rPr>
          <w:rFonts w:hint="eastAsia" w:eastAsia="宋体"/>
          <w:color w:val="auto"/>
          <w:sz w:val="21"/>
          <w:szCs w:val="21"/>
          <w:highlight w:val="none"/>
          <w:lang w:eastAsia="zh-CN"/>
        </w:rPr>
      </w:pPr>
      <w:r>
        <w:rPr>
          <w:rFonts w:hint="eastAsia" w:eastAsia="宋体" w:cs="Times New Roman"/>
          <w:color w:val="auto"/>
          <w:sz w:val="21"/>
          <w:szCs w:val="21"/>
          <w:highlight w:val="none"/>
          <w:lang w:eastAsia="zh-CN"/>
        </w:rPr>
        <w:t>评委签名：</w:t>
      </w:r>
    </w:p>
    <w:p>
      <w:pPr>
        <w:pStyle w:val="24"/>
        <w:rPr>
          <w:color w:val="auto"/>
          <w:highlight w:val="none"/>
        </w:rPr>
        <w:sectPr>
          <w:headerReference r:id="rId11" w:type="default"/>
          <w:footerReference r:id="rId12" w:type="default"/>
          <w:type w:val="continuous"/>
          <w:pgSz w:w="16838" w:h="11911" w:orient="landscape"/>
          <w:pgMar w:top="1134" w:right="1417" w:bottom="850"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color w:val="auto"/>
          <w:sz w:val="24"/>
          <w:szCs w:val="24"/>
          <w:highlight w:val="none"/>
        </w:rPr>
      </w:pPr>
      <w:r>
        <w:rPr>
          <w:color w:val="auto"/>
          <w:sz w:val="24"/>
          <w:szCs w:val="24"/>
          <w:highlight w:val="none"/>
        </w:rPr>
        <w:t>附表五（适用于加权平均法）</w:t>
      </w:r>
    </w:p>
    <w:p>
      <w:pPr>
        <w:pStyle w:val="13"/>
        <w:keepNext w:val="0"/>
        <w:keepLines w:val="0"/>
        <w:pageBreakBefore w:val="0"/>
        <w:widowControl w:val="0"/>
        <w:kinsoku/>
        <w:wordWrap/>
        <w:overflowPunct/>
        <w:topLinePunct w:val="0"/>
        <w:bidi w:val="0"/>
        <w:adjustRightInd/>
        <w:spacing w:line="360" w:lineRule="auto"/>
        <w:ind w:left="0"/>
        <w:textAlignment w:val="auto"/>
        <w:rPr>
          <w:color w:val="auto"/>
          <w:sz w:val="20"/>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color w:val="auto"/>
          <w:sz w:val="32"/>
          <w:highlight w:val="none"/>
        </w:rPr>
      </w:pPr>
      <w:r>
        <w:rPr>
          <w:b/>
          <w:color w:val="auto"/>
          <w:sz w:val="32"/>
          <w:highlight w:val="none"/>
        </w:rPr>
        <w:t>经济标评分表</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auto"/>
          <w:sz w:val="24"/>
          <w:szCs w:val="24"/>
          <w:highlight w:val="none"/>
        </w:rPr>
      </w:pPr>
      <w:r>
        <w:rPr>
          <w:color w:val="auto"/>
          <w:sz w:val="24"/>
          <w:szCs w:val="24"/>
          <w:highlight w:val="none"/>
        </w:rPr>
        <w:t>工程名称：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1466"/>
        <w:gridCol w:w="1265"/>
        <w:gridCol w:w="1265"/>
        <w:gridCol w:w="1265"/>
        <w:gridCol w:w="1265"/>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color w:val="auto"/>
                <w:sz w:val="24"/>
                <w:szCs w:val="24"/>
                <w:highlight w:val="none"/>
                <w:vertAlign w:val="baseline"/>
              </w:rPr>
            </w:pPr>
            <w:r>
              <w:rPr>
                <w:color w:val="auto"/>
                <w:sz w:val="21"/>
                <w:highlight w:val="none"/>
              </w:rPr>
              <w:t>投标人名称</w:t>
            </w:r>
          </w:p>
        </w:tc>
        <w:tc>
          <w:tcPr>
            <w:tcW w:w="14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center"/>
              <w:textAlignment w:val="auto"/>
              <w:rPr>
                <w:color w:val="auto"/>
                <w:sz w:val="21"/>
                <w:szCs w:val="21"/>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color w:val="auto"/>
                <w:sz w:val="24"/>
                <w:szCs w:val="24"/>
                <w:highlight w:val="none"/>
                <w:vertAlign w:val="baseline"/>
              </w:rPr>
            </w:pPr>
            <w:r>
              <w:rPr>
                <w:color w:val="auto"/>
                <w:sz w:val="21"/>
                <w:highlight w:val="none"/>
              </w:rPr>
              <w:t>投标报价PT（元）</w:t>
            </w:r>
          </w:p>
        </w:tc>
        <w:tc>
          <w:tcPr>
            <w:tcW w:w="14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center"/>
              <w:textAlignment w:val="auto"/>
              <w:rPr>
                <w:color w:val="auto"/>
                <w:sz w:val="21"/>
                <w:szCs w:val="21"/>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color w:val="auto"/>
                <w:sz w:val="24"/>
                <w:szCs w:val="24"/>
                <w:highlight w:val="none"/>
                <w:vertAlign w:val="baseline"/>
              </w:rPr>
            </w:pPr>
            <w:r>
              <w:rPr>
                <w:color w:val="auto"/>
                <w:sz w:val="21"/>
                <w:highlight w:val="none"/>
              </w:rPr>
              <w:t>报价权重</w:t>
            </w:r>
          </w:p>
        </w:tc>
        <w:tc>
          <w:tcPr>
            <w:tcW w:w="14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center"/>
              <w:textAlignment w:val="auto"/>
              <w:rPr>
                <w:color w:val="auto"/>
                <w:sz w:val="21"/>
                <w:szCs w:val="21"/>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color w:val="auto"/>
                <w:sz w:val="24"/>
                <w:szCs w:val="24"/>
                <w:highlight w:val="none"/>
                <w:vertAlign w:val="baseline"/>
              </w:rPr>
            </w:pPr>
            <w:r>
              <w:rPr>
                <w:color w:val="auto"/>
                <w:spacing w:val="-10"/>
                <w:sz w:val="21"/>
                <w:highlight w:val="none"/>
              </w:rPr>
              <w:t>评标参考价</w:t>
            </w:r>
            <w:r>
              <w:rPr>
                <w:color w:val="auto"/>
                <w:sz w:val="21"/>
                <w:highlight w:val="none"/>
              </w:rPr>
              <w:t>PC（元</w:t>
            </w:r>
            <w:r>
              <w:rPr>
                <w:color w:val="auto"/>
                <w:spacing w:val="-99"/>
                <w:sz w:val="21"/>
                <w:highlight w:val="none"/>
              </w:rPr>
              <w:t>）</w:t>
            </w:r>
          </w:p>
        </w:tc>
        <w:tc>
          <w:tcPr>
            <w:tcW w:w="14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center"/>
              <w:textAlignment w:val="auto"/>
              <w:rPr>
                <w:color w:val="auto"/>
                <w:sz w:val="21"/>
                <w:szCs w:val="21"/>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1" w:type="dxa"/>
            <w:vAlign w:val="center"/>
          </w:tcPr>
          <w:p>
            <w:pPr>
              <w:pStyle w:val="27"/>
              <w:keepNext w:val="0"/>
              <w:keepLines w:val="0"/>
              <w:pageBreakBefore w:val="0"/>
              <w:widowControl w:val="0"/>
              <w:kinsoku/>
              <w:wordWrap/>
              <w:overflowPunct/>
              <w:topLinePunct w:val="0"/>
              <w:bidi w:val="0"/>
              <w:adjustRightInd/>
              <w:spacing w:before="85" w:line="360" w:lineRule="auto"/>
              <w:ind w:left="110" w:right="-15"/>
              <w:textAlignment w:val="auto"/>
              <w:rPr>
                <w:color w:val="auto"/>
                <w:sz w:val="21"/>
                <w:highlight w:val="none"/>
              </w:rPr>
            </w:pPr>
            <w:r>
              <w:rPr>
                <w:color w:val="auto"/>
                <w:spacing w:val="-11"/>
                <w:w w:val="100"/>
                <w:sz w:val="21"/>
                <w:highlight w:val="none"/>
              </w:rPr>
              <w:t>偏差</w:t>
            </w:r>
            <w:r>
              <w:rPr>
                <w:color w:val="auto"/>
                <w:spacing w:val="-110"/>
                <w:w w:val="100"/>
                <w:sz w:val="21"/>
                <w:highlight w:val="none"/>
              </w:rPr>
              <w:t>（</w:t>
            </w:r>
            <w:r>
              <w:rPr>
                <w:color w:val="auto"/>
                <w:spacing w:val="-2"/>
                <w:w w:val="100"/>
                <w:sz w:val="21"/>
                <w:highlight w:val="none"/>
              </w:rPr>
              <w:t>（P</w:t>
            </w:r>
            <w:r>
              <w:rPr>
                <w:color w:val="auto"/>
                <w:spacing w:val="-3"/>
                <w:w w:val="100"/>
                <w:sz w:val="21"/>
                <w:highlight w:val="none"/>
              </w:rPr>
              <w:t>T</w:t>
            </w:r>
            <w:r>
              <w:rPr>
                <w:color w:val="auto"/>
                <w:spacing w:val="-5"/>
                <w:w w:val="100"/>
                <w:sz w:val="21"/>
                <w:highlight w:val="none"/>
              </w:rPr>
              <w:t>-</w:t>
            </w:r>
            <w:r>
              <w:rPr>
                <w:color w:val="auto"/>
                <w:spacing w:val="-2"/>
                <w:w w:val="100"/>
                <w:sz w:val="21"/>
                <w:highlight w:val="none"/>
              </w:rPr>
              <w:t>PC</w:t>
            </w:r>
            <w:r>
              <w:rPr>
                <w:color w:val="auto"/>
                <w:spacing w:val="-26"/>
                <w:w w:val="100"/>
                <w:sz w:val="21"/>
                <w:highlight w:val="none"/>
              </w:rPr>
              <w:t>）</w:t>
            </w:r>
            <w:r>
              <w:rPr>
                <w:color w:val="auto"/>
                <w:spacing w:val="-2"/>
                <w:w w:val="100"/>
                <w:sz w:val="21"/>
                <w:highlight w:val="none"/>
              </w:rPr>
              <w:t>/PC）</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color w:val="auto"/>
                <w:sz w:val="24"/>
                <w:szCs w:val="24"/>
                <w:highlight w:val="none"/>
                <w:vertAlign w:val="baseline"/>
              </w:rPr>
            </w:pPr>
            <w:r>
              <w:rPr>
                <w:color w:val="auto"/>
                <w:sz w:val="21"/>
                <w:highlight w:val="none"/>
              </w:rPr>
              <w:t>（%）</w:t>
            </w:r>
          </w:p>
        </w:tc>
        <w:tc>
          <w:tcPr>
            <w:tcW w:w="7792" w:type="dxa"/>
            <w:gridSpan w:val="6"/>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color w:val="auto"/>
                <w:sz w:val="24"/>
                <w:szCs w:val="24"/>
                <w:highlight w:val="none"/>
                <w:vertAlign w:val="baseline"/>
              </w:rPr>
            </w:pPr>
            <w:r>
              <w:rPr>
                <w:color w:val="auto"/>
                <w:sz w:val="21"/>
                <w:highlight w:val="none"/>
              </w:rPr>
              <w:t>减分（A）</w:t>
            </w:r>
          </w:p>
        </w:tc>
        <w:tc>
          <w:tcPr>
            <w:tcW w:w="14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center"/>
              <w:textAlignment w:val="auto"/>
              <w:rPr>
                <w:color w:val="auto"/>
                <w:sz w:val="21"/>
                <w:szCs w:val="21"/>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color w:val="auto"/>
                <w:sz w:val="24"/>
                <w:szCs w:val="24"/>
                <w:highlight w:val="none"/>
                <w:vertAlign w:val="baseline"/>
              </w:rPr>
            </w:pPr>
            <w:r>
              <w:rPr>
                <w:color w:val="auto"/>
                <w:sz w:val="21"/>
                <w:highlight w:val="none"/>
              </w:rPr>
              <w:t>得分(I=100-A)</w:t>
            </w:r>
          </w:p>
        </w:tc>
        <w:tc>
          <w:tcPr>
            <w:tcW w:w="14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center"/>
              <w:textAlignment w:val="auto"/>
              <w:rPr>
                <w:color w:val="auto"/>
                <w:sz w:val="21"/>
                <w:szCs w:val="21"/>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5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color w:val="auto"/>
                <w:sz w:val="24"/>
                <w:szCs w:val="24"/>
                <w:highlight w:val="none"/>
                <w:vertAlign w:val="baseline"/>
              </w:rPr>
            </w:pPr>
            <w:r>
              <w:rPr>
                <w:color w:val="auto"/>
                <w:sz w:val="21"/>
                <w:highlight w:val="none"/>
              </w:rPr>
              <w:t>得分排名次序</w:t>
            </w:r>
          </w:p>
        </w:tc>
        <w:tc>
          <w:tcPr>
            <w:tcW w:w="146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110" w:leftChars="50" w:right="0" w:rightChars="0"/>
              <w:jc w:val="center"/>
              <w:textAlignment w:val="auto"/>
              <w:rPr>
                <w:color w:val="auto"/>
                <w:sz w:val="21"/>
                <w:szCs w:val="21"/>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5"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c>
          <w:tcPr>
            <w:tcW w:w="1266" w:type="dxa"/>
            <w:vAlign w:val="center"/>
          </w:tcPr>
          <w:p>
            <w:pPr>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color w:val="auto"/>
                <w:sz w:val="24"/>
                <w:szCs w:val="24"/>
                <w:highlight w:val="none"/>
                <w:vertAlign w:val="baseline"/>
              </w:rPr>
            </w:pP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color w:val="auto"/>
          <w:spacing w:val="-5"/>
          <w:sz w:val="21"/>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color w:val="auto"/>
          <w:spacing w:val="-5"/>
          <w:sz w:val="21"/>
          <w:highlight w:val="none"/>
        </w:rPr>
      </w:pPr>
      <w:r>
        <w:rPr>
          <w:color w:val="auto"/>
          <w:spacing w:val="-5"/>
          <w:sz w:val="21"/>
          <w:highlight w:val="none"/>
        </w:rPr>
        <w:t>评委签名：</w:t>
      </w: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color w:val="auto"/>
          <w:spacing w:val="-5"/>
          <w:sz w:val="21"/>
          <w:highlight w:val="none"/>
        </w:rPr>
        <w:sectPr>
          <w:headerReference r:id="rId13" w:type="default"/>
          <w:footerReference r:id="rId14" w:type="default"/>
          <w:pgSz w:w="11911" w:h="16838"/>
          <w:pgMar w:top="1417" w:right="850" w:bottom="1134" w:left="1134" w:header="850" w:footer="850" w:gutter="0"/>
          <w:pgBorders>
            <w:top w:val="none" w:sz="0" w:space="0"/>
            <w:left w:val="none" w:sz="0" w:space="0"/>
            <w:bottom w:val="none" w:sz="0" w:space="0"/>
            <w:right w:val="none" w:sz="0" w:space="0"/>
          </w:pgBorders>
          <w:pgNumType w:fmt="decimal" w:start="86"/>
          <w:cols w:space="0" w:num="1"/>
          <w:rtlGutter w:val="0"/>
          <w:docGrid w:linePitch="0" w:charSpace="0"/>
        </w:sect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color w:val="auto"/>
          <w:sz w:val="24"/>
          <w:szCs w:val="24"/>
          <w:highlight w:val="none"/>
        </w:rPr>
      </w:pPr>
      <w:r>
        <w:rPr>
          <w:color w:val="auto"/>
          <w:sz w:val="24"/>
          <w:szCs w:val="24"/>
          <w:highlight w:val="none"/>
        </w:rPr>
        <w:t>附表</w:t>
      </w:r>
      <w:r>
        <w:rPr>
          <w:rFonts w:hint="eastAsia"/>
          <w:color w:val="auto"/>
          <w:sz w:val="24"/>
          <w:szCs w:val="24"/>
          <w:highlight w:val="none"/>
          <w:lang w:val="en-US" w:eastAsia="zh-CN"/>
        </w:rPr>
        <w:t>六</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color w:val="auto"/>
          <w:sz w:val="32"/>
          <w:highlight w:val="none"/>
        </w:rPr>
      </w:pPr>
      <w:r>
        <w:rPr>
          <w:b/>
          <w:color w:val="auto"/>
          <w:sz w:val="32"/>
          <w:highlight w:val="none"/>
        </w:rPr>
        <w:t>算术复核表</w:t>
      </w:r>
    </w:p>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360" w:lineRule="auto"/>
        <w:ind w:left="0" w:right="0" w:firstLine="0"/>
        <w:jc w:val="left"/>
        <w:textAlignment w:val="auto"/>
        <w:rPr>
          <w:color w:val="auto"/>
          <w:spacing w:val="-3"/>
          <w:sz w:val="24"/>
          <w:szCs w:val="24"/>
          <w:highlight w:val="none"/>
        </w:rPr>
      </w:pPr>
      <w:r>
        <w:rPr>
          <w:color w:val="auto"/>
          <w:sz w:val="24"/>
          <w:szCs w:val="24"/>
          <w:highlight w:val="none"/>
        </w:rPr>
        <w:t>工程</w:t>
      </w:r>
      <w:r>
        <w:rPr>
          <w:color w:val="auto"/>
          <w:spacing w:val="-3"/>
          <w:sz w:val="24"/>
          <w:szCs w:val="24"/>
          <w:highlight w:val="none"/>
        </w:rPr>
        <w:t>名</w:t>
      </w:r>
      <w:r>
        <w:rPr>
          <w:color w:val="auto"/>
          <w:sz w:val="24"/>
          <w:szCs w:val="24"/>
          <w:highlight w:val="none"/>
        </w:rPr>
        <w:t>称：</w:t>
      </w:r>
      <w:r>
        <w:rPr>
          <w:rFonts w:hint="eastAsia"/>
          <w:color w:val="auto"/>
          <w:sz w:val="24"/>
          <w:szCs w:val="24"/>
          <w:highlight w:val="none"/>
          <w:lang w:val="en-US" w:eastAsia="zh-CN"/>
        </w:rPr>
        <w:t xml:space="preserve">                           </w:t>
      </w:r>
      <w:r>
        <w:rPr>
          <w:color w:val="auto"/>
          <w:spacing w:val="-3"/>
          <w:sz w:val="24"/>
          <w:szCs w:val="24"/>
          <w:highlight w:val="none"/>
        </w:rPr>
        <w:t>投</w:t>
      </w:r>
      <w:r>
        <w:rPr>
          <w:color w:val="auto"/>
          <w:sz w:val="24"/>
          <w:szCs w:val="24"/>
          <w:highlight w:val="none"/>
        </w:rPr>
        <w:t>标人</w:t>
      </w:r>
      <w:r>
        <w:rPr>
          <w:color w:val="auto"/>
          <w:spacing w:val="-3"/>
          <w:sz w:val="24"/>
          <w:szCs w:val="24"/>
          <w:highlight w:val="none"/>
        </w:rPr>
        <w:t>:</w:t>
      </w:r>
      <w:r>
        <w:rPr>
          <w:rFonts w:hint="eastAsia"/>
          <w:color w:val="auto"/>
          <w:spacing w:val="-3"/>
          <w:sz w:val="24"/>
          <w:szCs w:val="24"/>
          <w:highlight w:val="none"/>
          <w:lang w:val="en-US" w:eastAsia="zh-CN"/>
        </w:rPr>
        <w:t xml:space="preserve">                   </w:t>
      </w:r>
      <w:r>
        <w:rPr>
          <w:color w:val="auto"/>
          <w:sz w:val="24"/>
          <w:szCs w:val="24"/>
          <w:highlight w:val="none"/>
        </w:rPr>
        <w:t>单</w:t>
      </w:r>
      <w:r>
        <w:rPr>
          <w:color w:val="auto"/>
          <w:spacing w:val="-3"/>
          <w:sz w:val="24"/>
          <w:szCs w:val="24"/>
          <w:highlight w:val="none"/>
        </w:rPr>
        <w:t>位</w:t>
      </w:r>
      <w:r>
        <w:rPr>
          <w:color w:val="auto"/>
          <w:sz w:val="24"/>
          <w:szCs w:val="24"/>
          <w:highlight w:val="none"/>
        </w:rPr>
        <w:t>：</w:t>
      </w:r>
      <w:r>
        <w:rPr>
          <w:color w:val="auto"/>
          <w:spacing w:val="-3"/>
          <w:sz w:val="24"/>
          <w:szCs w:val="24"/>
          <w:highlight w:val="none"/>
        </w:rPr>
        <w:t>元</w:t>
      </w:r>
    </w:p>
    <w:tbl>
      <w:tblPr>
        <w:tblStyle w:val="21"/>
        <w:tblW w:w="10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060"/>
        <w:gridCol w:w="1403"/>
        <w:gridCol w:w="1402"/>
        <w:gridCol w:w="1551"/>
        <w:gridCol w:w="13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编号</w:t>
            </w:r>
          </w:p>
        </w:tc>
        <w:tc>
          <w:tcPr>
            <w:tcW w:w="2107"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算术校核项目</w:t>
            </w:r>
          </w:p>
        </w:tc>
        <w:tc>
          <w:tcPr>
            <w:tcW w:w="1435"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修正前投标报价A</w:t>
            </w:r>
          </w:p>
        </w:tc>
        <w:tc>
          <w:tcPr>
            <w:tcW w:w="1434"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修正后投标报价B</w:t>
            </w:r>
          </w:p>
        </w:tc>
        <w:tc>
          <w:tcPr>
            <w:tcW w:w="1564"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修正率r=|A-</w:t>
            </w:r>
          </w:p>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B|/A*100%</w:t>
            </w:r>
          </w:p>
        </w:tc>
        <w:tc>
          <w:tcPr>
            <w:tcW w:w="1428"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rPr>
              <w:t>经评审的最终投标报价</w:t>
            </w:r>
          </w:p>
        </w:tc>
        <w:tc>
          <w:tcPr>
            <w:tcW w:w="1632"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r>
              <w:rPr>
                <w:rFonts w:hint="eastAsia" w:ascii="宋体" w:hAnsi="宋体" w:eastAsia="宋体" w:cs="宋体"/>
                <w:color w:val="auto"/>
                <w:sz w:val="21"/>
                <w:szCs w:val="21"/>
                <w:highlight w:val="none"/>
              </w:rPr>
              <w:t>当B&gt;A时，修正后报价与原报价的差额；当B≤A时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R=0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cs="宋体"/>
                <w:color w:val="auto"/>
                <w:spacing w:val="-3"/>
                <w:sz w:val="21"/>
                <w:szCs w:val="21"/>
                <w:highlight w:val="none"/>
                <w:vertAlign w:val="baseline"/>
                <w:lang w:val="en-US" w:eastAsia="zh-CN"/>
              </w:rPr>
              <w:t>1</w:t>
            </w:r>
          </w:p>
        </w:tc>
        <w:tc>
          <w:tcPr>
            <w:tcW w:w="2107" w:type="dxa"/>
            <w:vAlign w:val="top"/>
          </w:tcPr>
          <w:p>
            <w:pPr>
              <w:pStyle w:val="27"/>
              <w:keepNext w:val="0"/>
              <w:keepLines w:val="0"/>
              <w:pageBreakBefore w:val="0"/>
              <w:widowControl w:val="0"/>
              <w:kinsoku/>
              <w:wordWrap/>
              <w:overflowPunct/>
              <w:topLinePunct w:val="0"/>
              <w:bidi w:val="0"/>
              <w:adjustRightInd/>
              <w:spacing w:before="167" w:line="360" w:lineRule="auto"/>
              <w:ind w:left="107"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[单位工程1]</w:t>
            </w:r>
          </w:p>
        </w:tc>
        <w:tc>
          <w:tcPr>
            <w:tcW w:w="1435"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3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56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28"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632"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lang w:val="en-US" w:eastAsia="zh-CN"/>
              </w:rPr>
            </w:pPr>
            <w:r>
              <w:rPr>
                <w:rFonts w:hint="eastAsia" w:cs="宋体"/>
                <w:color w:val="auto"/>
                <w:spacing w:val="-3"/>
                <w:sz w:val="21"/>
                <w:szCs w:val="21"/>
                <w:highlight w:val="none"/>
                <w:vertAlign w:val="baseline"/>
                <w:lang w:val="en-US" w:eastAsia="zh-CN"/>
              </w:rPr>
              <w:t>2</w:t>
            </w:r>
          </w:p>
        </w:tc>
        <w:tc>
          <w:tcPr>
            <w:tcW w:w="2107" w:type="dxa"/>
            <w:vAlign w:val="top"/>
          </w:tcPr>
          <w:p>
            <w:pPr>
              <w:pStyle w:val="27"/>
              <w:keepNext w:val="0"/>
              <w:keepLines w:val="0"/>
              <w:pageBreakBefore w:val="0"/>
              <w:widowControl w:val="0"/>
              <w:kinsoku/>
              <w:wordWrap/>
              <w:overflowPunct/>
              <w:topLinePunct w:val="0"/>
              <w:bidi w:val="0"/>
              <w:adjustRightInd/>
              <w:spacing w:before="166" w:line="360" w:lineRule="auto"/>
              <w:ind w:left="107"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[单位工程2]</w:t>
            </w:r>
          </w:p>
        </w:tc>
        <w:tc>
          <w:tcPr>
            <w:tcW w:w="1435"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3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56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28"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632"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top"/>
          </w:tcPr>
          <w:p>
            <w:pPr>
              <w:pStyle w:val="27"/>
              <w:keepNext w:val="0"/>
              <w:keepLines w:val="0"/>
              <w:pageBreakBefore w:val="0"/>
              <w:widowControl w:val="0"/>
              <w:kinsoku/>
              <w:wordWrap/>
              <w:overflowPunct/>
              <w:topLinePunct w:val="0"/>
              <w:bidi w:val="0"/>
              <w:adjustRightInd/>
              <w:spacing w:before="166" w:line="360" w:lineRule="auto"/>
              <w:ind w:left="110"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w:t>
            </w:r>
          </w:p>
        </w:tc>
        <w:tc>
          <w:tcPr>
            <w:tcW w:w="2107" w:type="dxa"/>
            <w:vAlign w:val="top"/>
          </w:tcPr>
          <w:p>
            <w:pPr>
              <w:pStyle w:val="27"/>
              <w:keepNext w:val="0"/>
              <w:keepLines w:val="0"/>
              <w:pageBreakBefore w:val="0"/>
              <w:widowControl w:val="0"/>
              <w:kinsoku/>
              <w:wordWrap/>
              <w:overflowPunct/>
              <w:topLinePunct w:val="0"/>
              <w:bidi w:val="0"/>
              <w:adjustRightInd/>
              <w:spacing w:before="166" w:line="360" w:lineRule="auto"/>
              <w:ind w:left="107"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w:t>
            </w:r>
          </w:p>
        </w:tc>
        <w:tc>
          <w:tcPr>
            <w:tcW w:w="1435"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3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56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28"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632"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top"/>
          </w:tcPr>
          <w:p>
            <w:pPr>
              <w:pStyle w:val="27"/>
              <w:keepNext w:val="0"/>
              <w:keepLines w:val="0"/>
              <w:pageBreakBefore w:val="0"/>
              <w:widowControl w:val="0"/>
              <w:kinsoku/>
              <w:wordWrap/>
              <w:overflowPunct/>
              <w:topLinePunct w:val="0"/>
              <w:bidi w:val="0"/>
              <w:adjustRightInd/>
              <w:spacing w:before="169" w:line="360" w:lineRule="auto"/>
              <w:ind w:left="110"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w:t>
            </w:r>
          </w:p>
        </w:tc>
        <w:tc>
          <w:tcPr>
            <w:tcW w:w="2107" w:type="dxa"/>
            <w:vAlign w:val="top"/>
          </w:tcPr>
          <w:p>
            <w:pPr>
              <w:pStyle w:val="27"/>
              <w:keepNext w:val="0"/>
              <w:keepLines w:val="0"/>
              <w:pageBreakBefore w:val="0"/>
              <w:widowControl w:val="0"/>
              <w:kinsoku/>
              <w:wordWrap/>
              <w:overflowPunct/>
              <w:topLinePunct w:val="0"/>
              <w:bidi w:val="0"/>
              <w:adjustRightInd/>
              <w:spacing w:before="169" w:line="360" w:lineRule="auto"/>
              <w:ind w:left="107"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w:t>
            </w:r>
          </w:p>
        </w:tc>
        <w:tc>
          <w:tcPr>
            <w:tcW w:w="1435"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3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56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28"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632"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top"/>
          </w:tcPr>
          <w:p>
            <w:pPr>
              <w:pStyle w:val="27"/>
              <w:keepNext w:val="0"/>
              <w:keepLines w:val="0"/>
              <w:pageBreakBefore w:val="0"/>
              <w:widowControl w:val="0"/>
              <w:kinsoku/>
              <w:wordWrap/>
              <w:overflowPunct/>
              <w:topLinePunct w:val="0"/>
              <w:bidi w:val="0"/>
              <w:adjustRightInd/>
              <w:spacing w:before="167" w:line="360" w:lineRule="auto"/>
              <w:ind w:left="110"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w:t>
            </w:r>
          </w:p>
        </w:tc>
        <w:tc>
          <w:tcPr>
            <w:tcW w:w="2107" w:type="dxa"/>
            <w:vAlign w:val="top"/>
          </w:tcPr>
          <w:p>
            <w:pPr>
              <w:pStyle w:val="27"/>
              <w:keepNext w:val="0"/>
              <w:keepLines w:val="0"/>
              <w:pageBreakBefore w:val="0"/>
              <w:widowControl w:val="0"/>
              <w:kinsoku/>
              <w:wordWrap/>
              <w:overflowPunct/>
              <w:topLinePunct w:val="0"/>
              <w:bidi w:val="0"/>
              <w:adjustRightInd/>
              <w:spacing w:before="167" w:line="360" w:lineRule="auto"/>
              <w:ind w:left="107"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w:t>
            </w:r>
          </w:p>
        </w:tc>
        <w:tc>
          <w:tcPr>
            <w:tcW w:w="1435"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3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56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28"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632"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top"/>
          </w:tcPr>
          <w:p>
            <w:pPr>
              <w:pStyle w:val="27"/>
              <w:keepNext w:val="0"/>
              <w:keepLines w:val="0"/>
              <w:pageBreakBefore w:val="0"/>
              <w:widowControl w:val="0"/>
              <w:kinsoku/>
              <w:wordWrap/>
              <w:overflowPunct/>
              <w:topLinePunct w:val="0"/>
              <w:bidi w:val="0"/>
              <w:adjustRightInd/>
              <w:spacing w:before="166" w:line="360" w:lineRule="auto"/>
              <w:ind w:left="110"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n</w:t>
            </w:r>
          </w:p>
        </w:tc>
        <w:tc>
          <w:tcPr>
            <w:tcW w:w="2107" w:type="dxa"/>
            <w:vAlign w:val="top"/>
          </w:tcPr>
          <w:p>
            <w:pPr>
              <w:pStyle w:val="27"/>
              <w:keepNext w:val="0"/>
              <w:keepLines w:val="0"/>
              <w:pageBreakBefore w:val="0"/>
              <w:widowControl w:val="0"/>
              <w:kinsoku/>
              <w:wordWrap/>
              <w:overflowPunct/>
              <w:topLinePunct w:val="0"/>
              <w:bidi w:val="0"/>
              <w:adjustRightInd/>
              <w:spacing w:before="166" w:line="360" w:lineRule="auto"/>
              <w:ind w:left="107"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[单位工程n]</w:t>
            </w:r>
          </w:p>
        </w:tc>
        <w:tc>
          <w:tcPr>
            <w:tcW w:w="1435"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3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56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28"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632"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top"/>
          </w:tcPr>
          <w:p>
            <w:pPr>
              <w:pStyle w:val="27"/>
              <w:keepNext w:val="0"/>
              <w:keepLines w:val="0"/>
              <w:pageBreakBefore w:val="0"/>
              <w:widowControl w:val="0"/>
              <w:kinsoku/>
              <w:wordWrap/>
              <w:overflowPunct/>
              <w:topLinePunct w:val="0"/>
              <w:bidi w:val="0"/>
              <w:adjustRightInd/>
              <w:spacing w:before="166" w:line="360" w:lineRule="auto"/>
              <w:ind w:left="110"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w:t>
            </w:r>
          </w:p>
        </w:tc>
        <w:tc>
          <w:tcPr>
            <w:tcW w:w="2107" w:type="dxa"/>
            <w:vAlign w:val="top"/>
          </w:tcPr>
          <w:p>
            <w:pPr>
              <w:pStyle w:val="27"/>
              <w:keepNext w:val="0"/>
              <w:keepLines w:val="0"/>
              <w:pageBreakBefore w:val="0"/>
              <w:widowControl w:val="0"/>
              <w:kinsoku/>
              <w:wordWrap/>
              <w:overflowPunct/>
              <w:topLinePunct w:val="0"/>
              <w:bidi w:val="0"/>
              <w:adjustRightInd/>
              <w:spacing w:before="166" w:line="360" w:lineRule="auto"/>
              <w:ind w:left="107" w:leftChars="0" w:right="0" w:rightChars="0"/>
              <w:textAlignment w:val="auto"/>
              <w:rPr>
                <w:rFonts w:hint="eastAsia" w:ascii="宋体" w:hAnsi="宋体" w:eastAsia="宋体" w:cs="宋体"/>
                <w:color w:val="auto"/>
                <w:spacing w:val="-3"/>
                <w:sz w:val="21"/>
                <w:szCs w:val="21"/>
                <w:highlight w:val="none"/>
                <w:vertAlign w:val="baseline"/>
              </w:rPr>
            </w:pPr>
            <w:r>
              <w:rPr>
                <w:color w:val="auto"/>
                <w:sz w:val="21"/>
                <w:highlight w:val="none"/>
              </w:rPr>
              <w:t>投标总报价</w:t>
            </w:r>
          </w:p>
        </w:tc>
        <w:tc>
          <w:tcPr>
            <w:tcW w:w="1435"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3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564"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428"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p>
        </w:tc>
        <w:tc>
          <w:tcPr>
            <w:tcW w:w="1632" w:type="dxa"/>
            <w:vAlign w:val="center"/>
          </w:tcPr>
          <w:p>
            <w:pPr>
              <w:keepNext w:val="0"/>
              <w:keepLines w:val="0"/>
              <w:pageBreakBefore w:val="0"/>
              <w:widowControl w:val="0"/>
              <w:tabs>
                <w:tab w:val="left" w:pos="5573"/>
              </w:tabs>
              <w:kinsoku/>
              <w:wordWrap/>
              <w:overflowPunct/>
              <w:topLinePunct w:val="0"/>
              <w:autoSpaceDE w:val="0"/>
              <w:autoSpaceDN w:val="0"/>
              <w:bidi w:val="0"/>
              <w:adjustRightInd/>
              <w:snapToGrid/>
              <w:spacing w:before="0" w:after="0" w:line="240" w:lineRule="auto"/>
              <w:ind w:left="0" w:right="0"/>
              <w:jc w:val="center"/>
              <w:textAlignment w:val="auto"/>
              <w:rPr>
                <w:rFonts w:hint="eastAsia" w:ascii="宋体" w:hAnsi="宋体" w:eastAsia="宋体" w:cs="宋体"/>
                <w:color w:val="auto"/>
                <w:spacing w:val="-3"/>
                <w:sz w:val="21"/>
                <w:szCs w:val="21"/>
                <w:highlight w:val="none"/>
                <w:vertAlign w:val="baseline"/>
              </w:rPr>
            </w:pPr>
            <w:r>
              <w:rPr>
                <w:color w:val="auto"/>
                <w:position w:val="1"/>
                <w:sz w:val="21"/>
                <w:highlight w:val="none"/>
              </w:rPr>
              <w:t>∑A=A</w:t>
            </w:r>
            <w:r>
              <w:rPr>
                <w:color w:val="auto"/>
                <w:sz w:val="11"/>
                <w:highlight w:val="none"/>
              </w:rPr>
              <w:t>1</w:t>
            </w:r>
            <w:r>
              <w:rPr>
                <w:color w:val="auto"/>
                <w:position w:val="1"/>
                <w:sz w:val="21"/>
                <w:highlight w:val="none"/>
              </w:rPr>
              <w:t>+A</w:t>
            </w:r>
            <w:r>
              <w:rPr>
                <w:color w:val="auto"/>
                <w:sz w:val="11"/>
                <w:highlight w:val="none"/>
              </w:rPr>
              <w:t>2</w:t>
            </w:r>
            <w:r>
              <w:rPr>
                <w:color w:val="auto"/>
                <w:position w:val="1"/>
                <w:sz w:val="21"/>
                <w:highlight w:val="none"/>
              </w:rPr>
              <w:t>+…An；∑B=B</w:t>
            </w:r>
            <w:r>
              <w:rPr>
                <w:color w:val="auto"/>
                <w:sz w:val="11"/>
                <w:highlight w:val="none"/>
              </w:rPr>
              <w:t>1</w:t>
            </w:r>
            <w:r>
              <w:rPr>
                <w:color w:val="auto"/>
                <w:position w:val="1"/>
                <w:sz w:val="21"/>
                <w:highlight w:val="none"/>
              </w:rPr>
              <w:t>+Bn</w:t>
            </w:r>
          </w:p>
        </w:tc>
      </w:tr>
    </w:tbl>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6" w:firstLineChars="200"/>
        <w:jc w:val="left"/>
        <w:textAlignment w:val="auto"/>
        <w:rPr>
          <w:color w:val="auto"/>
          <w:sz w:val="21"/>
          <w:highlight w:val="none"/>
        </w:rPr>
      </w:pPr>
      <w:r>
        <w:rPr>
          <w:color w:val="auto"/>
          <w:spacing w:val="-6"/>
          <w:sz w:val="21"/>
          <w:highlight w:val="none"/>
        </w:rPr>
        <w:t>修正原则：按就低不就高原则，当修正后报价小于原报价，总价按修正后报价；当修正后报价大于原报价，总价按原报价，并在签订合同时载明在结算价中扣</w:t>
      </w:r>
      <w:r>
        <w:rPr>
          <w:color w:val="auto"/>
          <w:spacing w:val="-4"/>
          <w:sz w:val="21"/>
          <w:highlight w:val="none"/>
        </w:rPr>
        <w:t>除修正报价与原报价的差额。</w:t>
      </w:r>
    </w:p>
    <w:p>
      <w:pPr>
        <w:keepNext w:val="0"/>
        <w:keepLines w:val="0"/>
        <w:pageBreakBefore w:val="0"/>
        <w:widowControl w:val="0"/>
        <w:tabs>
          <w:tab w:val="left" w:pos="3053"/>
        </w:tabs>
        <w:kinsoku/>
        <w:wordWrap/>
        <w:overflowPunct/>
        <w:topLinePunct w:val="0"/>
        <w:autoSpaceDE w:val="0"/>
        <w:autoSpaceDN w:val="0"/>
        <w:bidi w:val="0"/>
        <w:adjustRightInd/>
        <w:snapToGrid/>
        <w:spacing w:before="0" w:line="360" w:lineRule="auto"/>
        <w:ind w:left="0" w:right="0" w:firstLine="420" w:firstLineChars="200"/>
        <w:jc w:val="left"/>
        <w:textAlignment w:val="auto"/>
        <w:rPr>
          <w:color w:val="auto"/>
          <w:sz w:val="21"/>
          <w:highlight w:val="none"/>
        </w:rPr>
      </w:pPr>
    </w:p>
    <w:p>
      <w:pPr>
        <w:keepNext w:val="0"/>
        <w:keepLines w:val="0"/>
        <w:pageBreakBefore w:val="0"/>
        <w:widowControl w:val="0"/>
        <w:tabs>
          <w:tab w:val="left" w:pos="3053"/>
        </w:tabs>
        <w:kinsoku/>
        <w:wordWrap/>
        <w:overflowPunct/>
        <w:topLinePunct w:val="0"/>
        <w:autoSpaceDE w:val="0"/>
        <w:autoSpaceDN w:val="0"/>
        <w:bidi w:val="0"/>
        <w:adjustRightInd/>
        <w:snapToGrid/>
        <w:spacing w:before="0" w:line="360" w:lineRule="auto"/>
        <w:ind w:left="0" w:right="0" w:firstLine="420" w:firstLineChars="200"/>
        <w:jc w:val="left"/>
        <w:textAlignment w:val="auto"/>
        <w:rPr>
          <w:color w:val="auto"/>
          <w:sz w:val="21"/>
          <w:highlight w:val="none"/>
        </w:rPr>
      </w:pPr>
      <w:r>
        <w:rPr>
          <w:color w:val="auto"/>
          <w:sz w:val="21"/>
          <w:highlight w:val="none"/>
        </w:rPr>
        <w:t>评委</w:t>
      </w:r>
      <w:r>
        <w:rPr>
          <w:color w:val="auto"/>
          <w:spacing w:val="-3"/>
          <w:sz w:val="21"/>
          <w:highlight w:val="none"/>
        </w:rPr>
        <w:t>签</w:t>
      </w:r>
      <w:r>
        <w:rPr>
          <w:color w:val="auto"/>
          <w:sz w:val="21"/>
          <w:highlight w:val="none"/>
        </w:rPr>
        <w:t>名：</w:t>
      </w:r>
      <w:r>
        <w:rPr>
          <w:rFonts w:hint="eastAsia"/>
          <w:color w:val="auto"/>
          <w:sz w:val="21"/>
          <w:highlight w:val="none"/>
          <w:lang w:val="en-US" w:eastAsia="zh-CN"/>
        </w:rPr>
        <w:t xml:space="preserve">                          </w:t>
      </w:r>
      <w:r>
        <w:rPr>
          <w:color w:val="auto"/>
          <w:sz w:val="21"/>
          <w:highlight w:val="none"/>
        </w:rPr>
        <w:t>日期：</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color w:val="auto"/>
          <w:sz w:val="21"/>
          <w:highlight w:val="none"/>
        </w:rPr>
        <w:sectPr>
          <w:headerReference r:id="rId15" w:type="default"/>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13"/>
        <w:keepNext w:val="0"/>
        <w:keepLines w:val="0"/>
        <w:pageBreakBefore w:val="0"/>
        <w:widowControl w:val="0"/>
        <w:kinsoku/>
        <w:wordWrap/>
        <w:overflowPunct/>
        <w:topLinePunct w:val="0"/>
        <w:bidi w:val="0"/>
        <w:adjustRightInd/>
        <w:spacing w:before="11" w:line="360" w:lineRule="auto"/>
        <w:ind w:left="0"/>
        <w:textAlignment w:val="auto"/>
        <w:rPr>
          <w:color w:val="auto"/>
          <w:sz w:val="26"/>
          <w:highlight w:val="none"/>
        </w:rPr>
      </w:pPr>
    </w:p>
    <w:p>
      <w:pPr>
        <w:rPr>
          <w:b/>
          <w:color w:val="auto"/>
          <w:sz w:val="32"/>
          <w:highlight w:val="none"/>
        </w:rPr>
      </w:pPr>
      <w:r>
        <w:rPr>
          <w:b/>
          <w:color w:val="auto"/>
          <w:sz w:val="32"/>
          <w:highlight w:val="none"/>
        </w:rPr>
        <w:br w:type="page"/>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color w:val="auto"/>
          <w:sz w:val="32"/>
          <w:highlight w:val="none"/>
        </w:rPr>
      </w:pPr>
      <w:r>
        <w:rPr>
          <w:b/>
          <w:color w:val="auto"/>
          <w:sz w:val="32"/>
          <w:highlight w:val="none"/>
        </w:rPr>
        <w:t>算术复核表</w:t>
      </w:r>
    </w:p>
    <w:p>
      <w:pPr>
        <w:keepNext w:val="0"/>
        <w:keepLines w:val="0"/>
        <w:pageBreakBefore w:val="0"/>
        <w:widowControl w:val="0"/>
        <w:kinsoku/>
        <w:wordWrap/>
        <w:overflowPunct/>
        <w:topLinePunct w:val="0"/>
        <w:autoSpaceDE w:val="0"/>
        <w:autoSpaceDN w:val="0"/>
        <w:bidi w:val="0"/>
        <w:adjustRightInd/>
        <w:snapToGrid/>
        <w:spacing w:before="0" w:line="360" w:lineRule="auto"/>
        <w:ind w:left="113"/>
        <w:textAlignment w:val="auto"/>
        <w:outlineLvl w:val="9"/>
        <w:rPr>
          <w:b w:val="0"/>
          <w:bCs w:val="0"/>
          <w:color w:val="auto"/>
          <w:sz w:val="24"/>
          <w:szCs w:val="24"/>
          <w:highlight w:val="none"/>
        </w:rPr>
      </w:pPr>
      <w:r>
        <w:rPr>
          <w:b w:val="0"/>
          <w:bCs w:val="0"/>
          <w:color w:val="auto"/>
          <w:sz w:val="24"/>
          <w:szCs w:val="24"/>
          <w:highlight w:val="none"/>
        </w:rPr>
        <w:t>工程</w:t>
      </w:r>
      <w:r>
        <w:rPr>
          <w:b w:val="0"/>
          <w:bCs w:val="0"/>
          <w:color w:val="auto"/>
          <w:spacing w:val="-3"/>
          <w:sz w:val="24"/>
          <w:szCs w:val="24"/>
          <w:highlight w:val="none"/>
        </w:rPr>
        <w:t>名</w:t>
      </w:r>
      <w:r>
        <w:rPr>
          <w:b w:val="0"/>
          <w:bCs w:val="0"/>
          <w:color w:val="auto"/>
          <w:sz w:val="24"/>
          <w:szCs w:val="24"/>
          <w:highlight w:val="none"/>
        </w:rPr>
        <w:t>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2790"/>
        <w:gridCol w:w="1830"/>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b w:val="0"/>
                <w:bCs w:val="0"/>
                <w:color w:val="auto"/>
                <w:sz w:val="21"/>
                <w:szCs w:val="21"/>
                <w:highlight w:val="none"/>
                <w:vertAlign w:val="baseline"/>
              </w:rPr>
            </w:pPr>
            <w:r>
              <w:rPr>
                <w:rFonts w:hint="eastAsia" w:ascii="宋体" w:hAnsi="宋体" w:eastAsia="宋体" w:cs="宋体"/>
                <w:b/>
                <w:color w:val="auto"/>
                <w:sz w:val="21"/>
                <w:szCs w:val="21"/>
                <w:highlight w:val="none"/>
              </w:rPr>
              <w:t>编号</w:t>
            </w:r>
          </w:p>
        </w:tc>
        <w:tc>
          <w:tcPr>
            <w:tcW w:w="279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b w:val="0"/>
                <w:bCs w:val="0"/>
                <w:color w:val="auto"/>
                <w:sz w:val="21"/>
                <w:szCs w:val="21"/>
                <w:highlight w:val="none"/>
                <w:vertAlign w:val="baseline"/>
              </w:rPr>
            </w:pPr>
            <w:r>
              <w:rPr>
                <w:rFonts w:hint="eastAsia" w:ascii="宋体" w:hAnsi="宋体" w:eastAsia="宋体" w:cs="宋体"/>
                <w:b/>
                <w:color w:val="auto"/>
                <w:sz w:val="21"/>
                <w:szCs w:val="21"/>
                <w:highlight w:val="none"/>
              </w:rPr>
              <w:t>投标人名称</w:t>
            </w:r>
          </w:p>
        </w:tc>
        <w:tc>
          <w:tcPr>
            <w:tcW w:w="1830"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b w:val="0"/>
                <w:bCs w:val="0"/>
                <w:color w:val="auto"/>
                <w:sz w:val="21"/>
                <w:szCs w:val="21"/>
                <w:highlight w:val="none"/>
                <w:vertAlign w:val="baseline"/>
              </w:rPr>
            </w:pPr>
            <w:r>
              <w:rPr>
                <w:rFonts w:hint="eastAsia" w:ascii="宋体" w:hAnsi="宋体" w:eastAsia="宋体" w:cs="宋体"/>
                <w:b/>
                <w:color w:val="auto"/>
                <w:sz w:val="21"/>
                <w:szCs w:val="21"/>
                <w:highlight w:val="none"/>
              </w:rPr>
              <w:t>原投标报价（A）</w:t>
            </w:r>
          </w:p>
        </w:tc>
        <w:tc>
          <w:tcPr>
            <w:tcW w:w="2029" w:type="dxa"/>
            <w:vAlign w:val="center"/>
          </w:tcPr>
          <w:p>
            <w:pPr>
              <w:pStyle w:val="27"/>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b w:val="0"/>
                <w:bCs w:val="0"/>
                <w:color w:val="auto"/>
                <w:sz w:val="21"/>
                <w:szCs w:val="21"/>
                <w:highlight w:val="none"/>
                <w:vertAlign w:val="baseline"/>
              </w:rPr>
            </w:pPr>
            <w:r>
              <w:rPr>
                <w:rFonts w:hint="eastAsia" w:ascii="宋体" w:hAnsi="宋体" w:eastAsia="宋体" w:cs="宋体"/>
                <w:b/>
                <w:color w:val="auto"/>
                <w:sz w:val="21"/>
                <w:szCs w:val="21"/>
                <w:highlight w:val="none"/>
              </w:rPr>
              <w:t>算数复核后投标报价（B）</w:t>
            </w: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r>
              <w:rPr>
                <w:rFonts w:hint="eastAsia" w:ascii="宋体" w:hAnsi="宋体" w:eastAsia="宋体" w:cs="宋体"/>
                <w:b/>
                <w:color w:val="auto"/>
                <w:spacing w:val="-9"/>
                <w:sz w:val="21"/>
                <w:szCs w:val="21"/>
                <w:highlight w:val="none"/>
              </w:rPr>
              <w:t>误差率</w:t>
            </w:r>
            <w:r>
              <w:rPr>
                <w:rFonts w:hint="eastAsia" w:ascii="宋体" w:hAnsi="宋体" w:eastAsia="宋体" w:cs="宋体"/>
                <w:b/>
                <w:color w:val="auto"/>
                <w:spacing w:val="-1"/>
                <w:sz w:val="21"/>
                <w:szCs w:val="21"/>
                <w:highlight w:val="none"/>
              </w:rPr>
              <w:t>（r=|A-B|/A*100%）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79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79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79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1"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79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79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79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79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1830"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c>
          <w:tcPr>
            <w:tcW w:w="2029" w:type="dxa"/>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b w:val="0"/>
                <w:bCs w:val="0"/>
                <w:color w:val="auto"/>
                <w:sz w:val="21"/>
                <w:szCs w:val="21"/>
                <w:highlight w:val="none"/>
                <w:vertAlign w:val="baseline"/>
              </w:rPr>
            </w:pPr>
          </w:p>
        </w:tc>
      </w:tr>
    </w:tbl>
    <w:p>
      <w:pPr>
        <w:rPr>
          <w:b w:val="0"/>
          <w:bCs w:val="0"/>
          <w:color w:val="auto"/>
          <w:sz w:val="24"/>
          <w:szCs w:val="24"/>
          <w:highlight w:val="none"/>
        </w:rPr>
      </w:pPr>
    </w:p>
    <w:p>
      <w:pPr>
        <w:rPr>
          <w:b w:val="0"/>
          <w:bCs w:val="0"/>
          <w:color w:val="auto"/>
          <w:sz w:val="24"/>
          <w:szCs w:val="24"/>
          <w:highlight w:val="none"/>
        </w:rPr>
      </w:pPr>
    </w:p>
    <w:p>
      <w:pPr>
        <w:keepNext w:val="0"/>
        <w:keepLines w:val="0"/>
        <w:pageBreakBefore w:val="0"/>
        <w:widowControl w:val="0"/>
        <w:kinsoku/>
        <w:wordWrap/>
        <w:overflowPunct/>
        <w:topLinePunct w:val="0"/>
        <w:bidi w:val="0"/>
        <w:adjustRightInd/>
        <w:spacing w:after="0" w:line="360" w:lineRule="auto"/>
        <w:textAlignment w:val="auto"/>
        <w:rPr>
          <w:color w:val="auto"/>
          <w:highlight w:val="none"/>
        </w:rPr>
        <w:sectPr>
          <w:headerReference r:id="rId16" w:type="default"/>
          <w:type w:val="continuous"/>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kinsoku/>
        <w:wordWrap/>
        <w:overflowPunct/>
        <w:topLinePunct w:val="0"/>
        <w:bidi w:val="0"/>
        <w:adjustRightInd/>
        <w:spacing w:before="43" w:line="360" w:lineRule="auto"/>
        <w:ind w:left="112" w:right="0" w:firstLine="0"/>
        <w:jc w:val="left"/>
        <w:textAlignment w:val="auto"/>
        <w:rPr>
          <w:color w:val="auto"/>
          <w:sz w:val="21"/>
          <w:highlight w:val="none"/>
        </w:rPr>
      </w:pPr>
      <w:r>
        <w:rPr>
          <w:color w:val="auto"/>
          <w:sz w:val="21"/>
          <w:highlight w:val="none"/>
        </w:rPr>
        <w:t>评委签名：</w:t>
      </w:r>
    </w:p>
    <w:p>
      <w:pPr>
        <w:keepNext w:val="0"/>
        <w:keepLines w:val="0"/>
        <w:pageBreakBefore w:val="0"/>
        <w:widowControl w:val="0"/>
        <w:kinsoku/>
        <w:wordWrap/>
        <w:overflowPunct/>
        <w:topLinePunct w:val="0"/>
        <w:bidi w:val="0"/>
        <w:adjustRightInd/>
        <w:spacing w:after="0" w:line="360" w:lineRule="auto"/>
        <w:jc w:val="left"/>
        <w:textAlignment w:val="auto"/>
        <w:rPr>
          <w:color w:val="auto"/>
          <w:sz w:val="21"/>
          <w:highlight w:val="none"/>
        </w:rPr>
      </w:pPr>
    </w:p>
    <w:p>
      <w:pPr>
        <w:keepNext w:val="0"/>
        <w:keepLines w:val="0"/>
        <w:pageBreakBefore w:val="0"/>
        <w:widowControl w:val="0"/>
        <w:kinsoku/>
        <w:wordWrap/>
        <w:overflowPunct/>
        <w:topLinePunct w:val="0"/>
        <w:bidi w:val="0"/>
        <w:adjustRightInd/>
        <w:spacing w:after="0" w:line="360" w:lineRule="auto"/>
        <w:jc w:val="left"/>
        <w:textAlignment w:val="auto"/>
        <w:rPr>
          <w:color w:val="auto"/>
          <w:sz w:val="21"/>
          <w:highlight w:val="none"/>
        </w:rPr>
      </w:pPr>
    </w:p>
    <w:p>
      <w:pPr>
        <w:keepNext w:val="0"/>
        <w:keepLines w:val="0"/>
        <w:pageBreakBefore w:val="0"/>
        <w:widowControl w:val="0"/>
        <w:kinsoku/>
        <w:wordWrap/>
        <w:overflowPunct/>
        <w:topLinePunct w:val="0"/>
        <w:bidi w:val="0"/>
        <w:adjustRightInd/>
        <w:spacing w:after="0" w:line="360" w:lineRule="auto"/>
        <w:jc w:val="left"/>
        <w:textAlignment w:val="auto"/>
        <w:rPr>
          <w:color w:val="auto"/>
          <w:sz w:val="21"/>
          <w:highlight w:val="none"/>
        </w:rPr>
      </w:pPr>
    </w:p>
    <w:p>
      <w:pPr>
        <w:keepNext w:val="0"/>
        <w:keepLines w:val="0"/>
        <w:pageBreakBefore w:val="0"/>
        <w:widowControl w:val="0"/>
        <w:kinsoku/>
        <w:wordWrap/>
        <w:overflowPunct/>
        <w:topLinePunct w:val="0"/>
        <w:bidi w:val="0"/>
        <w:adjustRightInd/>
        <w:spacing w:after="0" w:line="360" w:lineRule="auto"/>
        <w:jc w:val="left"/>
        <w:textAlignment w:val="auto"/>
        <w:rPr>
          <w:color w:val="auto"/>
          <w:sz w:val="21"/>
          <w:highlight w:val="none"/>
        </w:rPr>
      </w:pPr>
    </w:p>
    <w:p>
      <w:pPr>
        <w:keepNext w:val="0"/>
        <w:keepLines w:val="0"/>
        <w:pageBreakBefore w:val="0"/>
        <w:widowControl w:val="0"/>
        <w:kinsoku/>
        <w:wordWrap/>
        <w:overflowPunct/>
        <w:topLinePunct w:val="0"/>
        <w:bidi w:val="0"/>
        <w:adjustRightInd/>
        <w:spacing w:after="0" w:line="360" w:lineRule="auto"/>
        <w:jc w:val="left"/>
        <w:textAlignment w:val="auto"/>
        <w:rPr>
          <w:color w:val="auto"/>
          <w:sz w:val="21"/>
          <w:highlight w:val="none"/>
        </w:rPr>
      </w:pPr>
    </w:p>
    <w:p>
      <w:pPr>
        <w:keepNext w:val="0"/>
        <w:keepLines w:val="0"/>
        <w:pageBreakBefore w:val="0"/>
        <w:widowControl w:val="0"/>
        <w:kinsoku/>
        <w:wordWrap/>
        <w:overflowPunct/>
        <w:topLinePunct w:val="0"/>
        <w:bidi w:val="0"/>
        <w:adjustRightInd/>
        <w:spacing w:after="0" w:line="360" w:lineRule="auto"/>
        <w:jc w:val="left"/>
        <w:textAlignment w:val="auto"/>
        <w:rPr>
          <w:color w:val="auto"/>
          <w:sz w:val="21"/>
          <w:highlight w:val="none"/>
        </w:rPr>
      </w:pPr>
    </w:p>
    <w:p>
      <w:pPr>
        <w:rPr>
          <w:rFonts w:hint="eastAsia" w:ascii="宋体" w:hAnsi="宋体" w:eastAsia="宋体" w:cs="Times New Roman"/>
          <w:color w:val="auto"/>
          <w:kern w:val="2"/>
          <w:sz w:val="24"/>
          <w:szCs w:val="24"/>
          <w:highlight w:val="none"/>
          <w:lang w:val="en-US" w:bidi="ar-SA"/>
        </w:rPr>
      </w:pPr>
      <w:r>
        <w:rPr>
          <w:rFonts w:hint="eastAsia" w:ascii="宋体" w:hAnsi="宋体" w:eastAsia="宋体" w:cs="Times New Roman"/>
          <w:color w:val="auto"/>
          <w:kern w:val="2"/>
          <w:sz w:val="24"/>
          <w:szCs w:val="24"/>
          <w:highlight w:val="none"/>
          <w:lang w:val="en-US" w:bidi="ar-SA"/>
        </w:rPr>
        <w:br w:type="page"/>
      </w:r>
    </w:p>
    <w:p>
      <w:pPr>
        <w:keepNext w:val="0"/>
        <w:keepLines w:val="0"/>
        <w:pageBreakBefore w:val="0"/>
        <w:widowControl w:val="0"/>
        <w:kinsoku/>
        <w:wordWrap/>
        <w:overflowPunct/>
        <w:topLinePunct w:val="0"/>
        <w:bidi w:val="0"/>
        <w:adjustRightInd/>
        <w:spacing w:after="0" w:line="360" w:lineRule="auto"/>
        <w:jc w:val="left"/>
        <w:textAlignment w:val="auto"/>
        <w:rPr>
          <w:color w:val="auto"/>
          <w:sz w:val="21"/>
          <w:highlight w:val="none"/>
        </w:rPr>
        <w:sectPr>
          <w:type w:val="continuous"/>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3"/>
        <w:keepNext w:val="0"/>
        <w:keepLines w:val="0"/>
        <w:pageBreakBefore w:val="0"/>
        <w:widowControl w:val="0"/>
        <w:tabs>
          <w:tab w:val="left" w:pos="1125"/>
        </w:tabs>
        <w:kinsoku/>
        <w:wordWrap/>
        <w:overflowPunct/>
        <w:topLinePunct w:val="0"/>
        <w:autoSpaceDE w:val="0"/>
        <w:autoSpaceDN w:val="0"/>
        <w:bidi w:val="0"/>
        <w:adjustRightInd/>
        <w:snapToGrid/>
        <w:spacing w:before="0" w:beforeLines="50" w:after="0" w:afterLines="50" w:line="360" w:lineRule="auto"/>
        <w:ind w:left="0" w:right="0"/>
        <w:jc w:val="center"/>
        <w:textAlignment w:val="auto"/>
        <w:outlineLvl w:val="0"/>
        <w:rPr>
          <w:rFonts w:hint="eastAsia" w:ascii="宋体" w:hAnsi="宋体" w:eastAsia="宋体" w:cs="宋体"/>
          <w:b/>
          <w:bCs/>
          <w:color w:val="auto"/>
          <w:sz w:val="32"/>
          <w:szCs w:val="32"/>
          <w:highlight w:val="none"/>
          <w:lang w:val="en-US" w:eastAsia="zh-CN" w:bidi="zh-CN"/>
        </w:rPr>
      </w:pPr>
      <w:bookmarkStart w:id="30" w:name="_bookmark22"/>
      <w:bookmarkEnd w:id="30"/>
      <w:bookmarkStart w:id="31" w:name="_Toc13061"/>
      <w:r>
        <w:rPr>
          <w:rFonts w:hint="eastAsia" w:ascii="宋体" w:hAnsi="宋体" w:eastAsia="宋体" w:cs="宋体"/>
          <w:b/>
          <w:bCs/>
          <w:color w:val="auto"/>
          <w:sz w:val="32"/>
          <w:szCs w:val="32"/>
          <w:highlight w:val="none"/>
          <w:lang w:val="en-US" w:eastAsia="zh-CN" w:bidi="zh-CN"/>
        </w:rPr>
        <w:t>第三章</w:t>
      </w:r>
      <w:r>
        <w:rPr>
          <w:rFonts w:hint="eastAsia" w:cs="宋体"/>
          <w:b/>
          <w:bCs/>
          <w:color w:val="auto"/>
          <w:sz w:val="32"/>
          <w:szCs w:val="32"/>
          <w:highlight w:val="none"/>
          <w:lang w:val="en-US" w:eastAsia="zh-CN" w:bidi="zh-CN"/>
        </w:rPr>
        <w:t xml:space="preserve">  </w:t>
      </w:r>
      <w:r>
        <w:rPr>
          <w:rFonts w:hint="eastAsia" w:ascii="宋体" w:hAnsi="宋体" w:eastAsia="宋体" w:cs="宋体"/>
          <w:b/>
          <w:bCs/>
          <w:color w:val="auto"/>
          <w:sz w:val="32"/>
          <w:szCs w:val="32"/>
          <w:highlight w:val="none"/>
          <w:lang w:val="en-US" w:eastAsia="zh-CN" w:bidi="zh-CN"/>
        </w:rPr>
        <w:t>合同条款</w:t>
      </w:r>
      <w:bookmarkEnd w:id="31"/>
    </w:p>
    <w:p>
      <w:pPr>
        <w:pStyle w:val="13"/>
        <w:keepNext w:val="0"/>
        <w:keepLines w:val="0"/>
        <w:pageBreakBefore w:val="0"/>
        <w:widowControl w:val="0"/>
        <w:kinsoku/>
        <w:wordWrap/>
        <w:overflowPunct/>
        <w:topLinePunct w:val="0"/>
        <w:bidi w:val="0"/>
        <w:adjustRightInd/>
        <w:spacing w:before="9" w:line="360" w:lineRule="auto"/>
        <w:ind w:left="0"/>
        <w:textAlignment w:val="auto"/>
        <w:rPr>
          <w:b/>
          <w:color w:val="auto"/>
          <w:sz w:val="19"/>
          <w:highlight w:val="none"/>
        </w:rPr>
      </w:pPr>
    </w:p>
    <w:p>
      <w:pPr>
        <w:pStyle w:val="3"/>
        <w:spacing w:after="0"/>
        <w:ind w:firstLine="0" w:firstLineChars="0"/>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合同条款</w:t>
      </w:r>
      <w:r>
        <w:rPr>
          <w:rFonts w:hint="eastAsia" w:ascii="宋体" w:hAnsi="宋体" w:eastAsia="宋体" w:cs="宋体"/>
          <w:b/>
          <w:bCs/>
          <w:color w:val="auto"/>
          <w:sz w:val="36"/>
          <w:szCs w:val="36"/>
          <w:highlight w:val="none"/>
          <w:lang w:val="en-US" w:eastAsia="zh-CN"/>
        </w:rPr>
        <w:t>(另册）</w:t>
      </w:r>
    </w:p>
    <w:p>
      <w:pPr>
        <w:pStyle w:val="13"/>
        <w:keepNext w:val="0"/>
        <w:keepLines w:val="0"/>
        <w:pageBreakBefore w:val="0"/>
        <w:widowControl w:val="0"/>
        <w:kinsoku/>
        <w:wordWrap/>
        <w:overflowPunct/>
        <w:topLinePunct w:val="0"/>
        <w:bidi w:val="0"/>
        <w:adjustRightInd/>
        <w:spacing w:before="1" w:line="360" w:lineRule="auto"/>
        <w:ind w:left="660" w:right="876"/>
        <w:textAlignment w:val="auto"/>
        <w:rPr>
          <w:rFonts w:hint="eastAsia" w:eastAsia="宋体"/>
          <w:b/>
          <w:color w:val="auto"/>
          <w:highlight w:val="none"/>
          <w:lang w:eastAsia="zh-CN"/>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13"/>
        <w:keepNext w:val="0"/>
        <w:keepLines w:val="0"/>
        <w:pageBreakBefore w:val="0"/>
        <w:widowControl w:val="0"/>
        <w:kinsoku/>
        <w:wordWrap/>
        <w:overflowPunct/>
        <w:topLinePunct w:val="0"/>
        <w:bidi w:val="0"/>
        <w:adjustRightInd/>
        <w:spacing w:line="360" w:lineRule="auto"/>
        <w:ind w:left="0"/>
        <w:textAlignment w:val="auto"/>
        <w:rPr>
          <w:b/>
          <w:color w:val="auto"/>
          <w:highlight w:val="none"/>
        </w:rPr>
      </w:pPr>
    </w:p>
    <w:p>
      <w:pPr>
        <w:pStyle w:val="3"/>
        <w:keepNext w:val="0"/>
        <w:keepLines w:val="0"/>
        <w:pageBreakBefore w:val="0"/>
        <w:widowControl w:val="0"/>
        <w:tabs>
          <w:tab w:val="left" w:pos="1125"/>
        </w:tabs>
        <w:kinsoku/>
        <w:wordWrap/>
        <w:overflowPunct/>
        <w:topLinePunct w:val="0"/>
        <w:autoSpaceDE w:val="0"/>
        <w:autoSpaceDN w:val="0"/>
        <w:bidi w:val="0"/>
        <w:adjustRightInd/>
        <w:snapToGrid/>
        <w:spacing w:before="0" w:beforeLines="50" w:after="0" w:afterLines="50" w:line="360" w:lineRule="auto"/>
        <w:ind w:left="0" w:right="0"/>
        <w:jc w:val="center"/>
        <w:textAlignment w:val="auto"/>
        <w:outlineLvl w:val="0"/>
        <w:rPr>
          <w:rFonts w:hint="eastAsia" w:ascii="宋体" w:hAnsi="宋体" w:eastAsia="宋体" w:cs="宋体"/>
          <w:b/>
          <w:bCs/>
          <w:color w:val="auto"/>
          <w:sz w:val="32"/>
          <w:szCs w:val="32"/>
          <w:highlight w:val="none"/>
          <w:lang w:val="en-US" w:eastAsia="zh-CN" w:bidi="zh-CN"/>
        </w:rPr>
        <w:sectPr>
          <w:pgSz w:w="11906" w:h="16838"/>
          <w:pgMar w:top="1247" w:right="850" w:bottom="1134" w:left="1134" w:header="851" w:footer="907" w:gutter="0"/>
          <w:pgNumType w:fmt="decimal"/>
          <w:cols w:space="720" w:num="1"/>
          <w:titlePg/>
          <w:docGrid w:type="lines" w:linePitch="312" w:charSpace="0"/>
        </w:sectPr>
      </w:pPr>
      <w:bookmarkStart w:id="32" w:name="_bookmark23"/>
      <w:bookmarkEnd w:id="32"/>
      <w:bookmarkStart w:id="33" w:name="_Toc27310"/>
    </w:p>
    <w:p>
      <w:pPr>
        <w:pStyle w:val="3"/>
        <w:keepNext w:val="0"/>
        <w:keepLines w:val="0"/>
        <w:pageBreakBefore w:val="0"/>
        <w:widowControl w:val="0"/>
        <w:tabs>
          <w:tab w:val="left" w:pos="1125"/>
        </w:tabs>
        <w:kinsoku/>
        <w:wordWrap/>
        <w:overflowPunct/>
        <w:topLinePunct w:val="0"/>
        <w:autoSpaceDE w:val="0"/>
        <w:autoSpaceDN w:val="0"/>
        <w:bidi w:val="0"/>
        <w:adjustRightInd/>
        <w:snapToGrid/>
        <w:spacing w:before="0" w:beforeLines="50" w:after="0" w:afterLines="50" w:line="360" w:lineRule="auto"/>
        <w:ind w:left="0" w:right="0"/>
        <w:jc w:val="center"/>
        <w:textAlignment w:val="auto"/>
        <w:outlineLvl w:val="0"/>
        <w:rPr>
          <w:rFonts w:hint="eastAsia" w:ascii="宋体" w:hAnsi="宋体" w:eastAsia="宋体" w:cs="宋体"/>
          <w:b/>
          <w:bCs/>
          <w:color w:val="auto"/>
          <w:sz w:val="32"/>
          <w:szCs w:val="32"/>
          <w:highlight w:val="none"/>
          <w:lang w:val="en-US" w:eastAsia="zh-CN" w:bidi="zh-CN"/>
        </w:rPr>
      </w:pPr>
      <w:r>
        <w:rPr>
          <w:rFonts w:hint="eastAsia" w:ascii="宋体" w:hAnsi="宋体" w:eastAsia="宋体" w:cs="宋体"/>
          <w:b/>
          <w:bCs/>
          <w:color w:val="auto"/>
          <w:sz w:val="32"/>
          <w:szCs w:val="32"/>
          <w:highlight w:val="none"/>
          <w:lang w:val="en-US" w:eastAsia="zh-CN" w:bidi="zh-CN"/>
        </w:rPr>
        <w:t>第四章  投标文件格式</w:t>
      </w:r>
      <w:bookmarkEnd w:id="33"/>
    </w:p>
    <w:p>
      <w:pPr>
        <w:pStyle w:val="13"/>
        <w:keepNext w:val="0"/>
        <w:keepLines w:val="0"/>
        <w:pageBreakBefore w:val="0"/>
        <w:widowControl w:val="0"/>
        <w:kinsoku/>
        <w:wordWrap/>
        <w:overflowPunct/>
        <w:topLinePunct w:val="0"/>
        <w:bidi w:val="0"/>
        <w:adjustRightInd/>
        <w:spacing w:before="9" w:line="360" w:lineRule="auto"/>
        <w:ind w:left="0"/>
        <w:textAlignment w:val="auto"/>
        <w:rPr>
          <w:b/>
          <w:color w:val="auto"/>
          <w:sz w:val="19"/>
          <w:highlight w:val="none"/>
        </w:rPr>
      </w:pPr>
    </w:p>
    <w:p>
      <w:pPr>
        <w:autoSpaceDE w:val="0"/>
        <w:autoSpaceDN w:val="0"/>
        <w:adjustRightInd w:val="0"/>
        <w:spacing w:line="360" w:lineRule="auto"/>
        <w:ind w:firstLine="562" w:firstLineChars="200"/>
        <w:rPr>
          <w:rFonts w:hint="eastAsia" w:ascii="宋体" w:hAnsi="宋体"/>
          <w:b/>
          <w:bCs/>
          <w:color w:val="auto"/>
          <w:sz w:val="28"/>
          <w:szCs w:val="24"/>
          <w:highlight w:val="none"/>
        </w:rPr>
        <w:sectPr>
          <w:pgSz w:w="11906" w:h="16838"/>
          <w:pgMar w:top="1247" w:right="850" w:bottom="1134" w:left="1134" w:header="851" w:footer="907" w:gutter="0"/>
          <w:pgNumType w:fmt="decimal"/>
          <w:cols w:space="720" w:num="1"/>
          <w:titlePg/>
          <w:docGrid w:type="lines" w:linePitch="312" w:charSpace="0"/>
        </w:sectPr>
      </w:pPr>
      <w:r>
        <w:rPr>
          <w:rFonts w:hint="eastAsia" w:ascii="宋体" w:hAnsi="宋体"/>
          <w:b/>
          <w:bCs/>
          <w:color w:val="auto"/>
          <w:sz w:val="28"/>
          <w:szCs w:val="24"/>
          <w:highlight w:val="none"/>
        </w:rPr>
        <w:t>注：若招标文件中有提供格式的，投标文件相应内容按格式填报；没有格式提供的资料，格式自拟。</w:t>
      </w:r>
    </w:p>
    <w:p>
      <w:pPr>
        <w:autoSpaceDE w:val="0"/>
        <w:autoSpaceDN w:val="0"/>
        <w:adjustRightInd w:val="0"/>
        <w:spacing w:line="360" w:lineRule="auto"/>
        <w:rPr>
          <w:rFonts w:ascii="宋体" w:hAnsi="宋体" w:cs="宋体"/>
          <w:b/>
          <w:bCs/>
          <w:color w:val="auto"/>
          <w:szCs w:val="21"/>
          <w:highlight w:val="none"/>
        </w:rPr>
      </w:pPr>
      <w:r>
        <w:rPr>
          <w:rFonts w:hint="eastAsia" w:ascii="宋体" w:hAnsi="宋体"/>
          <w:b/>
          <w:bCs/>
          <w:color w:val="auto"/>
          <w:szCs w:val="21"/>
          <w:highlight w:val="none"/>
        </w:rPr>
        <w:t xml:space="preserve">格式1 </w:t>
      </w:r>
    </w:p>
    <w:p>
      <w:pPr>
        <w:autoSpaceDE w:val="0"/>
        <w:autoSpaceDN w:val="0"/>
        <w:adjustRightInd w:val="0"/>
        <w:ind w:left="-565"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0"/>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5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法定代表人证明书及委托授权书</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436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asci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投标总报价</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43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eastAsia="宋体" w:cs="宋体"/>
                <w:b w:val="0"/>
                <w:bCs/>
                <w:color w:val="auto"/>
                <w:sz w:val="24"/>
                <w:szCs w:val="24"/>
                <w:highlight w:val="none"/>
                <w:lang w:val="zh-CN" w:eastAsia="zh-CN"/>
              </w:rPr>
            </w:pPr>
            <w:r>
              <w:rPr>
                <w:rFonts w:hint="eastAsia" w:cs="宋体"/>
                <w:b w:val="0"/>
                <w:bCs/>
                <w:color w:val="auto"/>
                <w:sz w:val="24"/>
                <w:szCs w:val="24"/>
                <w:highlight w:val="none"/>
                <w:lang w:val="en-US" w:eastAsia="zh-CN"/>
              </w:rPr>
              <w:t>人工费</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436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绿色施工安全防护措施费</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b w:val="0"/>
                <w:bCs/>
                <w:color w:val="auto"/>
                <w:sz w:val="24"/>
                <w:szCs w:val="24"/>
                <w:highlight w:val="none"/>
                <w:lang w:eastAsia="zh-CN"/>
              </w:rPr>
            </w:pPr>
            <w:r>
              <w:rPr>
                <w:rFonts w:hint="eastAsia" w:cs="宋体"/>
                <w:b w:val="0"/>
                <w:bCs/>
                <w:color w:val="auto"/>
                <w:sz w:val="24"/>
                <w:szCs w:val="24"/>
                <w:highlight w:val="none"/>
                <w:lang w:val="en-US" w:eastAsia="zh-CN"/>
              </w:rPr>
              <w:t>工期</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4361" w:type="dxa"/>
            <w:tcBorders>
              <w:top w:val="single" w:color="auto" w:sz="4" w:space="0"/>
              <w:left w:val="single" w:color="auto" w:sz="4" w:space="0"/>
              <w:bottom w:val="single" w:color="auto" w:sz="4" w:space="0"/>
              <w:right w:val="single" w:color="auto" w:sz="4" w:space="0"/>
            </w:tcBorders>
            <w:vAlign w:val="center"/>
          </w:tcPr>
          <w:p>
            <w:pPr>
              <w:jc w:val="center"/>
              <w:rPr>
                <w:rFonts w:hint="default" w:cs="宋体"/>
                <w:b w:val="0"/>
                <w:bCs/>
                <w:color w:val="auto"/>
                <w:sz w:val="24"/>
                <w:szCs w:val="24"/>
                <w:highlight w:val="none"/>
                <w:lang w:val="en-US" w:eastAsia="zh-CN"/>
              </w:rPr>
            </w:pPr>
            <w:r>
              <w:rPr>
                <w:rFonts w:hint="eastAsia" w:cs="宋体"/>
                <w:b w:val="0"/>
                <w:bCs/>
                <w:color w:val="auto"/>
                <w:sz w:val="24"/>
                <w:szCs w:val="24"/>
                <w:highlight w:val="none"/>
                <w:lang w:val="en-US" w:eastAsia="zh-CN"/>
              </w:rPr>
              <w:t>质量标准</w:t>
            </w:r>
          </w:p>
        </w:tc>
        <w:tc>
          <w:tcPr>
            <w:tcW w:w="50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auto"/>
                <w:sz w:val="24"/>
                <w:szCs w:val="24"/>
                <w:highlight w:val="none"/>
                <w:lang w:val="zh-CN"/>
              </w:rPr>
            </w:pPr>
          </w:p>
        </w:tc>
      </w:tr>
    </w:tbl>
    <w:p>
      <w:pPr>
        <w:spacing w:line="360" w:lineRule="auto"/>
        <w:ind w:right="90" w:firstLine="2970" w:firstLineChars="1350"/>
        <w:rPr>
          <w:rFonts w:ascii="宋体" w:hAnsi="宋体"/>
          <w:color w:val="auto"/>
          <w:szCs w:val="21"/>
          <w:highlight w:val="none"/>
        </w:rPr>
      </w:pPr>
    </w:p>
    <w:p>
      <w:pPr>
        <w:spacing w:line="360" w:lineRule="auto"/>
        <w:ind w:right="90" w:firstLine="3240" w:firstLineChars="1350"/>
        <w:rPr>
          <w:rFonts w:hint="eastAsia" w:ascii="宋体" w:hAnsi="宋体"/>
          <w:color w:val="auto"/>
          <w:sz w:val="24"/>
          <w:szCs w:val="21"/>
          <w:highlight w:val="none"/>
        </w:rPr>
      </w:pPr>
    </w:p>
    <w:p>
      <w:pPr>
        <w:spacing w:line="360" w:lineRule="auto"/>
        <w:ind w:right="90" w:firstLine="3240" w:firstLineChars="1350"/>
        <w:rPr>
          <w:rFonts w:hint="eastAsia" w:ascii="宋体" w:hAnsi="宋体"/>
          <w:color w:val="auto"/>
          <w:sz w:val="24"/>
          <w:szCs w:val="21"/>
          <w:highlight w:val="none"/>
        </w:rPr>
      </w:pPr>
    </w:p>
    <w:p>
      <w:pPr>
        <w:spacing w:line="360" w:lineRule="auto"/>
        <w:jc w:val="right"/>
        <w:rPr>
          <w:rFonts w:ascii="宋体" w:hAnsi="宋体"/>
          <w:color w:val="auto"/>
          <w:sz w:val="24"/>
          <w:szCs w:val="21"/>
          <w:highlight w:val="none"/>
        </w:rPr>
      </w:pPr>
    </w:p>
    <w:p>
      <w:pPr>
        <w:autoSpaceDE w:val="0"/>
        <w:autoSpaceDN w:val="0"/>
        <w:adjustRightInd w:val="0"/>
        <w:spacing w:line="360" w:lineRule="auto"/>
        <w:rPr>
          <w:rFonts w:ascii="宋体" w:hAnsi="宋体"/>
          <w:b/>
          <w:bCs/>
          <w:color w:val="auto"/>
          <w:szCs w:val="21"/>
          <w:highlight w:val="none"/>
        </w:rPr>
      </w:pPr>
    </w:p>
    <w:p>
      <w:pPr>
        <w:pStyle w:val="14"/>
        <w:rPr>
          <w:color w:val="auto"/>
          <w:highlight w:val="none"/>
        </w:rPr>
      </w:pPr>
      <w:r>
        <w:rPr>
          <w:color w:val="auto"/>
          <w:highlight w:val="none"/>
        </w:rPr>
        <w:br w:type="page"/>
      </w: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w:t>
      </w:r>
      <w:r>
        <w:rPr>
          <w:rFonts w:hint="eastAsia" w:ascii="宋体" w:hAnsi="宋体"/>
          <w:b/>
          <w:bCs/>
          <w:color w:val="auto"/>
          <w:szCs w:val="21"/>
          <w:highlight w:val="none"/>
        </w:rPr>
        <w:t xml:space="preserve">2 </w:t>
      </w:r>
    </w:p>
    <w:p>
      <w:pPr>
        <w:autoSpaceDE w:val="0"/>
        <w:autoSpaceDN w:val="0"/>
        <w:adjustRightInd w:val="0"/>
        <w:spacing w:line="360" w:lineRule="auto"/>
        <w:ind w:left="-565" w:leftChars="-257" w:firstLine="722" w:firstLineChars="257"/>
        <w:jc w:val="center"/>
        <w:rPr>
          <w:rFonts w:ascii="宋体" w:hAnsi="宋体" w:cs="宋体"/>
          <w:b/>
          <w:bCs/>
          <w:color w:val="auto"/>
          <w:sz w:val="28"/>
          <w:szCs w:val="28"/>
          <w:highlight w:val="none"/>
          <w:lang w:val="zh-CN"/>
        </w:rPr>
      </w:pPr>
      <w:r>
        <w:rPr>
          <w:rFonts w:ascii="宋体" w:hAnsi="宋体" w:cs="宋体"/>
          <w:b/>
          <w:bCs/>
          <w:color w:val="auto"/>
          <w:sz w:val="28"/>
          <w:szCs w:val="28"/>
          <w:highlight w:val="none"/>
          <w:lang w:val="zh-CN"/>
        </w:rPr>
        <w:t>工程量清单计价表</w:t>
      </w:r>
    </w:p>
    <w:p>
      <w:pPr>
        <w:tabs>
          <w:tab w:val="left" w:pos="720"/>
        </w:tabs>
        <w:snapToGrid w:val="0"/>
        <w:spacing w:line="360" w:lineRule="auto"/>
        <w:jc w:val="left"/>
        <w:rPr>
          <w:rFonts w:ascii="宋体" w:hAnsi="宋体"/>
          <w:color w:val="auto"/>
          <w:szCs w:val="21"/>
          <w:highlight w:val="none"/>
        </w:rPr>
      </w:pPr>
      <w:r>
        <w:rPr>
          <w:rFonts w:hint="eastAsia" w:ascii="宋体" w:hAnsi="宋体"/>
          <w:color w:val="auto"/>
          <w:szCs w:val="21"/>
          <w:highlight w:val="none"/>
        </w:rPr>
        <w:t>注：本部分内容详见招标文件第七章 工程量清单</w:t>
      </w:r>
    </w:p>
    <w:p>
      <w:pPr>
        <w:tabs>
          <w:tab w:val="left" w:pos="720"/>
        </w:tabs>
        <w:snapToGrid w:val="0"/>
        <w:spacing w:line="360" w:lineRule="auto"/>
        <w:rPr>
          <w:color w:val="auto"/>
          <w:sz w:val="24"/>
          <w:szCs w:val="24"/>
          <w:highlight w:val="none"/>
        </w:rPr>
      </w:pPr>
    </w:p>
    <w:p>
      <w:pPr>
        <w:autoSpaceDE w:val="0"/>
        <w:autoSpaceDN w:val="0"/>
        <w:adjustRightInd w:val="0"/>
        <w:rPr>
          <w:rFonts w:ascii="宋体" w:hAnsi="宋体" w:cs="宋体"/>
          <w:b/>
          <w:bCs/>
          <w:color w:val="auto"/>
          <w:sz w:val="44"/>
          <w:szCs w:val="44"/>
          <w:highlight w:val="none"/>
          <w:lang w:val="zh-CN"/>
        </w:rPr>
      </w:pPr>
      <w:r>
        <w:rPr>
          <w:color w:val="auto"/>
          <w:sz w:val="24"/>
          <w:szCs w:val="24"/>
          <w:highlight w:val="none"/>
        </w:rPr>
        <w:br w:type="page"/>
      </w: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格式3</w:t>
      </w:r>
      <w:r>
        <w:rPr>
          <w:rFonts w:hint="eastAsia" w:ascii="宋体" w:hAnsi="宋体"/>
          <w:b/>
          <w:bCs/>
          <w:color w:val="auto"/>
          <w:szCs w:val="21"/>
          <w:highlight w:val="none"/>
        </w:rPr>
        <w:t xml:space="preserve"> </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参与编制技术标投标文件人员名单</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19"/>
        <w:spacing w:after="0" w:line="360" w:lineRule="auto"/>
        <w:ind w:left="-2" w:leftChars="-1" w:firstLine="420" w:firstLineChars="175"/>
        <w:jc w:val="left"/>
        <w:rPr>
          <w:color w:val="auto"/>
          <w:szCs w:val="21"/>
          <w:highlight w:val="none"/>
        </w:rPr>
      </w:pPr>
      <w:r>
        <w:rPr>
          <w:rFonts w:hint="eastAsia"/>
          <w:color w:val="auto"/>
          <w:szCs w:val="21"/>
          <w:highlight w:val="none"/>
        </w:rPr>
        <w:t>注：参与编制投标文件所有人员名单应包括如编制技术投标方案、负责清样校对、负责打印及复印等所有人员在内的人员名单。</w:t>
      </w:r>
    </w:p>
    <w:p>
      <w:pPr>
        <w:pStyle w:val="13"/>
        <w:rPr>
          <w:color w:val="auto"/>
          <w:highlight w:val="none"/>
        </w:rPr>
      </w:pPr>
      <w:r>
        <w:rPr>
          <w:color w:val="auto"/>
          <w:highlight w:val="none"/>
        </w:rPr>
        <w:br w:type="page"/>
      </w: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格式4</w:t>
      </w:r>
      <w:r>
        <w:rPr>
          <w:rFonts w:hint="eastAsia" w:ascii="宋体" w:hAnsi="宋体"/>
          <w:b/>
          <w:bCs/>
          <w:color w:val="auto"/>
          <w:szCs w:val="21"/>
          <w:highlight w:val="none"/>
        </w:rPr>
        <w:t xml:space="preserve"> </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参与编制经济标投标文件人员名单</w:t>
      </w:r>
    </w:p>
    <w:tbl>
      <w:tblPr>
        <w:tblStyle w:val="2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pStyle w:val="19"/>
        <w:spacing w:after="0" w:line="360" w:lineRule="auto"/>
        <w:ind w:left="-2" w:leftChars="-1" w:firstLine="420" w:firstLineChars="175"/>
        <w:jc w:val="left"/>
        <w:rPr>
          <w:color w:val="auto"/>
          <w:szCs w:val="21"/>
          <w:highlight w:val="none"/>
        </w:rPr>
      </w:pPr>
      <w:r>
        <w:rPr>
          <w:rFonts w:hint="eastAsia"/>
          <w:color w:val="auto"/>
          <w:szCs w:val="21"/>
          <w:highlight w:val="none"/>
        </w:rPr>
        <w:t>注：注：参与编制标书所有人员名单应包括编制投标报价、负责清样校对、负责打印及复印等所有人员在内的人员名单。</w:t>
      </w:r>
    </w:p>
    <w:p>
      <w:pPr>
        <w:widowControl/>
        <w:jc w:val="left"/>
        <w:rPr>
          <w:rFonts w:ascii="Times New Roman" w:hAnsi="Times New Roman"/>
          <w:color w:val="auto"/>
          <w:szCs w:val="21"/>
          <w:highlight w:val="none"/>
        </w:rPr>
      </w:pPr>
      <w:r>
        <w:rPr>
          <w:color w:val="auto"/>
          <w:szCs w:val="21"/>
          <w:highlight w:val="none"/>
        </w:rPr>
        <w:br w:type="page"/>
      </w: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格式5</w:t>
      </w:r>
      <w:r>
        <w:rPr>
          <w:rFonts w:hint="eastAsia" w:ascii="宋体" w:hAnsi="宋体"/>
          <w:b/>
          <w:bCs/>
          <w:color w:val="auto"/>
          <w:szCs w:val="21"/>
          <w:highlight w:val="none"/>
        </w:rPr>
        <w:t xml:space="preserve"> </w:t>
      </w:r>
    </w:p>
    <w:p>
      <w:pPr>
        <w:pStyle w:val="19"/>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19"/>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19"/>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19"/>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19"/>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19"/>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19"/>
        <w:spacing w:after="0" w:line="360" w:lineRule="auto"/>
        <w:ind w:firstLine="360" w:firstLineChars="150"/>
        <w:rPr>
          <w:rFonts w:ascii="宋体" w:hAnsi="宋体"/>
          <w:color w:val="auto"/>
          <w:sz w:val="24"/>
          <w:szCs w:val="24"/>
          <w:highlight w:val="none"/>
        </w:rPr>
      </w:pPr>
    </w:p>
    <w:p>
      <w:pPr>
        <w:pStyle w:val="19"/>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p>
    <w:p>
      <w:pPr>
        <w:pStyle w:val="19"/>
        <w:spacing w:after="0" w:line="360" w:lineRule="auto"/>
        <w:ind w:firstLine="0"/>
        <w:rPr>
          <w:b/>
          <w:color w:val="auto"/>
          <w:sz w:val="32"/>
          <w:szCs w:val="32"/>
          <w:highlight w:val="none"/>
        </w:rPr>
      </w:pPr>
    </w:p>
    <w:p>
      <w:pPr>
        <w:pStyle w:val="19"/>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19"/>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19"/>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20"/>
        <w:tblW w:w="10024" w:type="dxa"/>
        <w:tblInd w:w="0" w:type="dxa"/>
        <w:tblLayout w:type="fixed"/>
        <w:tblCellMar>
          <w:top w:w="0" w:type="dxa"/>
          <w:left w:w="108" w:type="dxa"/>
          <w:bottom w:w="0" w:type="dxa"/>
          <w:right w:w="108" w:type="dxa"/>
        </w:tblCellMar>
      </w:tblPr>
      <w:tblGrid>
        <w:gridCol w:w="10024"/>
      </w:tblGrid>
      <w:tr>
        <w:tblPrEx>
          <w:tblCellMar>
            <w:top w:w="0" w:type="dxa"/>
            <w:left w:w="108" w:type="dxa"/>
            <w:bottom w:w="0" w:type="dxa"/>
            <w:right w:w="108" w:type="dxa"/>
          </w:tblCellMar>
        </w:tblPrEx>
        <w:trPr>
          <w:trHeight w:val="2819" w:hRule="atLeast"/>
        </w:trPr>
        <w:tc>
          <w:tcPr>
            <w:tcW w:w="10024" w:type="dxa"/>
            <w:shd w:val="clear" w:color="auto" w:fill="auto"/>
          </w:tcPr>
          <w:p>
            <w:pPr>
              <w:pStyle w:val="19"/>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19"/>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19"/>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19"/>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spacing w:line="360" w:lineRule="auto"/>
        <w:rPr>
          <w:rFonts w:ascii="宋体" w:hAnsi="宋体"/>
          <w:b/>
          <w:color w:val="auto"/>
          <w:szCs w:val="21"/>
          <w:highlight w:val="none"/>
        </w:rPr>
      </w:pPr>
    </w:p>
    <w:p>
      <w:pPr>
        <w:pStyle w:val="14"/>
        <w:rPr>
          <w:color w:val="auto"/>
          <w:highlight w:val="none"/>
        </w:rPr>
      </w:pPr>
      <w:r>
        <w:rPr>
          <w:color w:val="auto"/>
          <w:highlight w:val="none"/>
        </w:rPr>
        <w:br w:type="page"/>
      </w: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格式6</w:t>
      </w:r>
      <w:r>
        <w:rPr>
          <w:rFonts w:hint="eastAsia" w:ascii="宋体" w:hAnsi="宋体"/>
          <w:b/>
          <w:bCs/>
          <w:color w:val="auto"/>
          <w:szCs w:val="21"/>
          <w:highlight w:val="none"/>
        </w:rPr>
        <w:t xml:space="preserve"> </w:t>
      </w:r>
    </w:p>
    <w:p>
      <w:pPr>
        <w:spacing w:line="360" w:lineRule="auto"/>
        <w:jc w:val="center"/>
        <w:rPr>
          <w:rFonts w:ascii="宋体" w:hAnsi="宋体"/>
          <w:b/>
          <w:color w:val="auto"/>
          <w:sz w:val="28"/>
          <w:szCs w:val="21"/>
          <w:highlight w:val="none"/>
        </w:rPr>
      </w:pPr>
      <w:r>
        <w:rPr>
          <w:rFonts w:hint="eastAsia" w:ascii="宋体" w:hAnsi="宋体"/>
          <w:b/>
          <w:color w:val="auto"/>
          <w:sz w:val="28"/>
          <w:szCs w:val="21"/>
          <w:highlight w:val="none"/>
        </w:rPr>
        <w:t>法定代表人证明书、授权委托书</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（1）法定代表人证明书</w:t>
      </w:r>
    </w:p>
    <w:p>
      <w:pPr>
        <w:pStyle w:val="31"/>
        <w:ind w:firstLine="0" w:firstLineChars="0"/>
        <w:jc w:val="right"/>
        <w:rPr>
          <w:rFonts w:ascii="宋体" w:hAnsi="宋体"/>
          <w:color w:val="auto"/>
          <w:sz w:val="21"/>
          <w:szCs w:val="21"/>
          <w:highlight w:val="none"/>
        </w:rPr>
      </w:pPr>
      <w:r>
        <w:rPr>
          <w:rFonts w:hint="eastAsia" w:ascii="宋体" w:hAnsi="宋体"/>
          <w:color w:val="auto"/>
          <w:sz w:val="21"/>
          <w:szCs w:val="21"/>
          <w:highlight w:val="none"/>
        </w:rPr>
        <w:t>（　 ）第　号</w:t>
      </w:r>
    </w:p>
    <w:p>
      <w:pPr>
        <w:pStyle w:val="31"/>
        <w:ind w:firstLine="42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79744"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wps:spPr>
                      <wps:txbx>
                        <w:txbxContent>
                          <w:p>
                            <w:pPr>
                              <w:pStyle w:val="31"/>
                              <w:ind w:firstLine="0" w:firstLineChars="0"/>
                              <w:rPr>
                                <w:szCs w:val="28"/>
                              </w:rPr>
                            </w:pPr>
                          </w:p>
                          <w:p>
                            <w:pPr>
                              <w:pStyle w:val="31"/>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31"/>
                              <w:ind w:firstLine="0" w:firstLineChars="0"/>
                              <w:rPr>
                                <w:szCs w:val="28"/>
                              </w:rPr>
                            </w:pPr>
                            <w:r>
                              <w:rPr>
                                <w:rFonts w:hint="eastAsia"/>
                                <w:szCs w:val="28"/>
                              </w:rPr>
                              <w:t>特此证明。</w:t>
                            </w:r>
                          </w:p>
                          <w:p>
                            <w:pPr>
                              <w:pStyle w:val="31"/>
                              <w:ind w:firstLine="0" w:firstLineChars="0"/>
                              <w:rPr>
                                <w:szCs w:val="28"/>
                              </w:rPr>
                            </w:pPr>
                            <w:r>
                              <w:rPr>
                                <w:rFonts w:hint="eastAsia"/>
                                <w:szCs w:val="28"/>
                              </w:rPr>
                              <w:t>有效期限：</w:t>
                            </w:r>
                          </w:p>
                          <w:p>
                            <w:pPr>
                              <w:pStyle w:val="31"/>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p>
                          <w:p>
                            <w:pPr>
                              <w:pStyle w:val="31"/>
                              <w:ind w:firstLine="0" w:firstLineChars="0"/>
                              <w:rPr>
                                <w:szCs w:val="28"/>
                              </w:rPr>
                            </w:pPr>
                            <w:r>
                              <w:rPr>
                                <w:rFonts w:hint="eastAsia"/>
                                <w:szCs w:val="28"/>
                              </w:rPr>
                              <w:t>统一社会信用代码：</w:t>
                            </w:r>
                            <w:r>
                              <w:rPr>
                                <w:rFonts w:hint="eastAsia"/>
                                <w:szCs w:val="28"/>
                                <w:u w:val="single"/>
                              </w:rPr>
                              <w:t>　　　　　　　　　　</w:t>
                            </w:r>
                            <w:r>
                              <w:rPr>
                                <w:rFonts w:hint="eastAsia"/>
                                <w:szCs w:val="28"/>
                              </w:rPr>
                              <w:t>企业类型：</w:t>
                            </w:r>
                          </w:p>
                          <w:p>
                            <w:pPr>
                              <w:pStyle w:val="31"/>
                              <w:ind w:firstLine="0" w:firstLineChars="0"/>
                              <w:rPr>
                                <w:szCs w:val="28"/>
                              </w:rPr>
                            </w:pPr>
                            <w:r>
                              <w:rPr>
                                <w:rFonts w:hint="eastAsia"/>
                                <w:szCs w:val="28"/>
                              </w:rPr>
                              <w:t>经营范围：</w:t>
                            </w:r>
                          </w:p>
                          <w:p>
                            <w:pPr>
                              <w:pStyle w:val="31"/>
                              <w:ind w:firstLine="0" w:firstLineChars="0"/>
                              <w:rPr>
                                <w:szCs w:val="28"/>
                              </w:rPr>
                            </w:pPr>
                            <w:r>
                              <w:rPr>
                                <w:rFonts w:hint="eastAsia"/>
                                <w:szCs w:val="28"/>
                              </w:rPr>
                              <w:t>　　　　　　　　　　单位：　　　　　　　　　　　（盖章）</w:t>
                            </w:r>
                          </w:p>
                          <w:p>
                            <w:pPr>
                              <w:pStyle w:val="31"/>
                              <w:ind w:firstLine="0" w:firstLineChars="0"/>
                              <w:rPr>
                                <w:szCs w:val="28"/>
                              </w:rPr>
                            </w:pPr>
                            <w:r>
                              <w:rPr>
                                <w:rFonts w:hint="eastAsia"/>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25pt;height:218.4pt;width:450.15pt;z-index:251679744;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shMJ81wAAAAgBAAAPAAAAAAAAAAEAIAAAACIA&#10;AABkcnMvZG93bnJldi54bWxQSwECFAAUAAAACACHTuJAAhN6PkMCAACIBAAADgAAAAAAAAABACAA&#10;AAAmAQAAZHJzL2Uyb0RvYy54bWxQSwUGAAAAAAYABgBZAQAA2wUAAAAA&#10;">
                <v:fill on="t" focussize="0,0"/>
                <v:stroke color="#000000" miterlimit="8" joinstyle="miter"/>
                <v:imagedata o:title=""/>
                <o:lock v:ext="edit" aspectratio="f"/>
                <v:textbox>
                  <w:txbxContent>
                    <w:p>
                      <w:pPr>
                        <w:pStyle w:val="31"/>
                        <w:ind w:firstLine="0" w:firstLineChars="0"/>
                        <w:rPr>
                          <w:szCs w:val="28"/>
                        </w:rPr>
                      </w:pPr>
                    </w:p>
                    <w:p>
                      <w:pPr>
                        <w:pStyle w:val="31"/>
                        <w:ind w:firstLine="0" w:firstLineChars="0"/>
                        <w:rPr>
                          <w:szCs w:val="28"/>
                        </w:rPr>
                      </w:pPr>
                      <w:r>
                        <w:rPr>
                          <w:rFonts w:hint="eastAsia"/>
                          <w:szCs w:val="28"/>
                        </w:rPr>
                        <w:t>　　</w:t>
                      </w:r>
                      <w:r>
                        <w:rPr>
                          <w:rFonts w:hint="eastAsia"/>
                          <w:szCs w:val="28"/>
                          <w:u w:val="single"/>
                        </w:rPr>
                        <w:t>　　　　　　</w:t>
                      </w:r>
                      <w:r>
                        <w:rPr>
                          <w:rFonts w:hint="eastAsia"/>
                          <w:szCs w:val="28"/>
                        </w:rPr>
                        <w:t>现任我单位</w:t>
                      </w:r>
                      <w:r>
                        <w:rPr>
                          <w:rFonts w:hint="eastAsia"/>
                          <w:szCs w:val="28"/>
                          <w:u w:val="single"/>
                        </w:rPr>
                        <w:t>　　　　　</w:t>
                      </w:r>
                      <w:r>
                        <w:rPr>
                          <w:rFonts w:hint="eastAsia"/>
                          <w:szCs w:val="28"/>
                        </w:rPr>
                        <w:t>职务，为法定代表人（负责人），</w:t>
                      </w:r>
                    </w:p>
                    <w:p>
                      <w:pPr>
                        <w:pStyle w:val="31"/>
                        <w:ind w:firstLine="0" w:firstLineChars="0"/>
                        <w:rPr>
                          <w:szCs w:val="28"/>
                        </w:rPr>
                      </w:pPr>
                      <w:r>
                        <w:rPr>
                          <w:rFonts w:hint="eastAsia"/>
                          <w:szCs w:val="28"/>
                        </w:rPr>
                        <w:t>特此证明。</w:t>
                      </w:r>
                    </w:p>
                    <w:p>
                      <w:pPr>
                        <w:pStyle w:val="31"/>
                        <w:ind w:firstLine="0" w:firstLineChars="0"/>
                        <w:rPr>
                          <w:szCs w:val="28"/>
                        </w:rPr>
                      </w:pPr>
                      <w:r>
                        <w:rPr>
                          <w:rFonts w:hint="eastAsia"/>
                          <w:szCs w:val="28"/>
                        </w:rPr>
                        <w:t>有效期限：</w:t>
                      </w:r>
                    </w:p>
                    <w:p>
                      <w:pPr>
                        <w:pStyle w:val="31"/>
                        <w:ind w:firstLine="0" w:firstLineChars="0"/>
                        <w:rPr>
                          <w:szCs w:val="28"/>
                        </w:rPr>
                      </w:pPr>
                      <w:r>
                        <w:rPr>
                          <w:rFonts w:hint="eastAsia"/>
                          <w:szCs w:val="28"/>
                        </w:rPr>
                        <w:t>附：法定代表人（负责人）性别：</w:t>
                      </w:r>
                      <w:r>
                        <w:rPr>
                          <w:rFonts w:hint="eastAsia"/>
                          <w:szCs w:val="28"/>
                          <w:u w:val="single"/>
                        </w:rPr>
                        <w:t>　　</w:t>
                      </w:r>
                      <w:r>
                        <w:rPr>
                          <w:rFonts w:hint="eastAsia"/>
                          <w:szCs w:val="28"/>
                        </w:rPr>
                        <w:t>年龄：</w:t>
                      </w:r>
                      <w:r>
                        <w:rPr>
                          <w:rFonts w:hint="eastAsia"/>
                          <w:szCs w:val="28"/>
                          <w:u w:val="single"/>
                        </w:rPr>
                        <w:t>　　</w:t>
                      </w:r>
                      <w:r>
                        <w:rPr>
                          <w:rFonts w:hint="eastAsia"/>
                          <w:szCs w:val="28"/>
                        </w:rPr>
                        <w:t>身份证号码：</w:t>
                      </w:r>
                    </w:p>
                    <w:p>
                      <w:pPr>
                        <w:pStyle w:val="31"/>
                        <w:ind w:firstLine="0" w:firstLineChars="0"/>
                        <w:rPr>
                          <w:szCs w:val="28"/>
                        </w:rPr>
                      </w:pPr>
                      <w:r>
                        <w:rPr>
                          <w:rFonts w:hint="eastAsia"/>
                          <w:szCs w:val="28"/>
                        </w:rPr>
                        <w:t>统一社会信用代码：</w:t>
                      </w:r>
                      <w:r>
                        <w:rPr>
                          <w:rFonts w:hint="eastAsia"/>
                          <w:szCs w:val="28"/>
                          <w:u w:val="single"/>
                        </w:rPr>
                        <w:t>　　　　　　　　　　</w:t>
                      </w:r>
                      <w:r>
                        <w:rPr>
                          <w:rFonts w:hint="eastAsia"/>
                          <w:szCs w:val="28"/>
                        </w:rPr>
                        <w:t>企业类型：</w:t>
                      </w:r>
                    </w:p>
                    <w:p>
                      <w:pPr>
                        <w:pStyle w:val="31"/>
                        <w:ind w:firstLine="0" w:firstLineChars="0"/>
                        <w:rPr>
                          <w:szCs w:val="28"/>
                        </w:rPr>
                      </w:pPr>
                      <w:r>
                        <w:rPr>
                          <w:rFonts w:hint="eastAsia"/>
                          <w:szCs w:val="28"/>
                        </w:rPr>
                        <w:t>经营范围：</w:t>
                      </w:r>
                    </w:p>
                    <w:p>
                      <w:pPr>
                        <w:pStyle w:val="31"/>
                        <w:ind w:firstLine="0" w:firstLineChars="0"/>
                        <w:rPr>
                          <w:szCs w:val="28"/>
                        </w:rPr>
                      </w:pPr>
                      <w:r>
                        <w:rPr>
                          <w:rFonts w:hint="eastAsia"/>
                          <w:szCs w:val="28"/>
                        </w:rPr>
                        <w:t>　　　　　　　　　　单位：　　　　　　　　　　　（盖章）</w:t>
                      </w:r>
                    </w:p>
                    <w:p>
                      <w:pPr>
                        <w:pStyle w:val="31"/>
                        <w:ind w:firstLine="0" w:firstLineChars="0"/>
                        <w:rPr>
                          <w:szCs w:val="28"/>
                        </w:rPr>
                      </w:pPr>
                      <w:r>
                        <w:rPr>
                          <w:rFonts w:hint="eastAsia"/>
                          <w:szCs w:val="28"/>
                        </w:rPr>
                        <w:t>　　　　　　　　　　　　　　　　　　　　　    年　月　　日</w:t>
                      </w:r>
                    </w:p>
                  </w:txbxContent>
                </v:textbox>
              </v:shape>
            </w:pict>
          </mc:Fallback>
        </mc:AlternateConten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授权委</w:t>
      </w: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r>
        <w:rPr>
          <w:rFonts w:hint="eastAsia" w:ascii="宋体" w:hAnsi="宋体"/>
          <w:color w:val="auto"/>
          <w:sz w:val="21"/>
          <w:szCs w:val="21"/>
          <w:highlight w:val="none"/>
        </w:rPr>
        <w:t>托证明书</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　 ）第　号</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注：按提供的该表格格式填写，或使用从工商管理部门购买的表格填写。</w:t>
      </w: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r>
        <w:rPr>
          <w:rFonts w:hint="eastAsia" w:ascii="宋体" w:hAnsi="宋体"/>
          <w:color w:val="auto"/>
          <w:sz w:val="21"/>
          <w:szCs w:val="21"/>
          <w:highlight w:val="none"/>
        </w:rPr>
        <w:t>（2）法定代表人授权委托书</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 xml:space="preserve">                                                 （   ）第  号</w:t>
      </w:r>
    </w:p>
    <w:p>
      <w:pPr>
        <w:pStyle w:val="31"/>
        <w:ind w:firstLine="42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34290</wp:posOffset>
                </wp:positionV>
                <wp:extent cx="5692140" cy="2971800"/>
                <wp:effectExtent l="4445" t="4445" r="18415"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692140" cy="2971800"/>
                        </a:xfrm>
                        <a:prstGeom prst="rect">
                          <a:avLst/>
                        </a:prstGeom>
                        <a:solidFill>
                          <a:srgbClr val="FFFFFF"/>
                        </a:solidFill>
                        <a:ln w="9525">
                          <a:solidFill>
                            <a:srgbClr val="000000"/>
                          </a:solidFill>
                          <a:miter lim="800000"/>
                        </a:ln>
                      </wps:spPr>
                      <wps:txbx>
                        <w:txbxContent>
                          <w:p>
                            <w:pPr>
                              <w:pStyle w:val="31"/>
                              <w:ind w:firstLine="0" w:firstLineChars="0"/>
                            </w:pPr>
                            <w:r>
                              <w:rPr>
                                <w:rFonts w:hint="eastAsia"/>
                              </w:rPr>
                              <w:t>兹授权为我方委托代理人，其权限是：</w:t>
                            </w:r>
                          </w:p>
                          <w:p>
                            <w:pPr>
                              <w:pStyle w:val="31"/>
                              <w:ind w:firstLine="0" w:firstLineChars="0"/>
                              <w:rPr>
                                <w:u w:val="single"/>
                              </w:rPr>
                            </w:pPr>
                          </w:p>
                          <w:p>
                            <w:pPr>
                              <w:pStyle w:val="31"/>
                              <w:ind w:firstLine="0" w:firstLineChars="0"/>
                            </w:pPr>
                            <w:r>
                              <w:rPr>
                                <w:rFonts w:hint="eastAsia"/>
                              </w:rPr>
                              <w:t>有效期限：</w:t>
                            </w:r>
                          </w:p>
                          <w:p>
                            <w:pPr>
                              <w:pStyle w:val="31"/>
                              <w:ind w:firstLine="496"/>
                            </w:pPr>
                          </w:p>
                          <w:p>
                            <w:pPr>
                              <w:pStyle w:val="31"/>
                              <w:ind w:firstLine="0" w:firstLineChars="0"/>
                            </w:pPr>
                            <w:r>
                              <w:rPr>
                                <w:rFonts w:hint="eastAsia"/>
                              </w:rPr>
                              <w:t>附：代理人性别：年龄：身份证号码：</w:t>
                            </w:r>
                          </w:p>
                          <w:p>
                            <w:pPr>
                              <w:pStyle w:val="31"/>
                              <w:ind w:firstLine="0" w:firstLineChars="0"/>
                            </w:pPr>
                            <w:r>
                              <w:rPr>
                                <w:rFonts w:hint="eastAsia"/>
                                <w:szCs w:val="28"/>
                              </w:rPr>
                              <w:t>统一社会信用代码</w:t>
                            </w:r>
                            <w:r>
                              <w:rPr>
                                <w:rFonts w:hint="eastAsia"/>
                              </w:rPr>
                              <w:t>：企业类型：</w:t>
                            </w:r>
                          </w:p>
                          <w:p>
                            <w:pPr>
                              <w:pStyle w:val="31"/>
                              <w:ind w:firstLine="0" w:firstLineChars="0"/>
                            </w:pPr>
                            <w:r>
                              <w:rPr>
                                <w:rFonts w:hint="eastAsia"/>
                              </w:rPr>
                              <w:t>经营范围：</w:t>
                            </w:r>
                          </w:p>
                          <w:p>
                            <w:pPr>
                              <w:pStyle w:val="31"/>
                              <w:ind w:firstLine="0" w:firstLineChars="0"/>
                            </w:pPr>
                            <w:r>
                              <w:rPr>
                                <w:rFonts w:hint="eastAsia"/>
                              </w:rPr>
                              <w:t>法定代表人（负责人）：（签字或盖章）</w:t>
                            </w:r>
                          </w:p>
                          <w:p>
                            <w:pPr>
                              <w:pStyle w:val="31"/>
                              <w:ind w:firstLine="0" w:firstLineChars="0"/>
                            </w:pPr>
                            <w:r>
                              <w:rPr>
                                <w:rFonts w:hint="eastAsia"/>
                              </w:rPr>
                              <w:t>授权单位：（盖章）</w:t>
                            </w:r>
                          </w:p>
                          <w:p>
                            <w:pPr>
                              <w:pStyle w:val="31"/>
                              <w:ind w:firstLine="496"/>
                            </w:pPr>
                            <w:r>
                              <w:rPr>
                                <w:rFonts w:hint="eastAsia"/>
                              </w:rPr>
                              <w:t>年月日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234pt;width:448.2pt;z-index:251680768;mso-width-relative:page;mso-height-relative:page;" fillcolor="#FFFFFF" filled="t" stroked="t" coordsize="21600,21600" o:gfxdata="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IvimV1wAAAAgBAAAPAAAAAAAAAAEAIAAAACIA&#10;AABkcnMvZG93bnJldi54bWxQSwECFAAUAAAACACHTuJAwmi0g0MCAACKBAAADgAAAAAAAAABACAA&#10;AAAmAQAAZHJzL2Uyb0RvYy54bWxQSwUGAAAAAAYABgBZAQAA2wUAAAAA&#10;">
                <v:fill on="t" focussize="0,0"/>
                <v:stroke color="#000000" miterlimit="8" joinstyle="miter"/>
                <v:imagedata o:title=""/>
                <o:lock v:ext="edit" aspectratio="f"/>
                <v:textbox>
                  <w:txbxContent>
                    <w:p>
                      <w:pPr>
                        <w:pStyle w:val="31"/>
                        <w:ind w:firstLine="0" w:firstLineChars="0"/>
                      </w:pPr>
                      <w:r>
                        <w:rPr>
                          <w:rFonts w:hint="eastAsia"/>
                        </w:rPr>
                        <w:t>兹授权为我方委托代理人，其权限是：</w:t>
                      </w:r>
                    </w:p>
                    <w:p>
                      <w:pPr>
                        <w:pStyle w:val="31"/>
                        <w:ind w:firstLine="0" w:firstLineChars="0"/>
                        <w:rPr>
                          <w:u w:val="single"/>
                        </w:rPr>
                      </w:pPr>
                    </w:p>
                    <w:p>
                      <w:pPr>
                        <w:pStyle w:val="31"/>
                        <w:ind w:firstLine="0" w:firstLineChars="0"/>
                      </w:pPr>
                      <w:r>
                        <w:rPr>
                          <w:rFonts w:hint="eastAsia"/>
                        </w:rPr>
                        <w:t>有效期限：</w:t>
                      </w:r>
                    </w:p>
                    <w:p>
                      <w:pPr>
                        <w:pStyle w:val="31"/>
                        <w:ind w:firstLine="496"/>
                      </w:pPr>
                    </w:p>
                    <w:p>
                      <w:pPr>
                        <w:pStyle w:val="31"/>
                        <w:ind w:firstLine="0" w:firstLineChars="0"/>
                      </w:pPr>
                      <w:r>
                        <w:rPr>
                          <w:rFonts w:hint="eastAsia"/>
                        </w:rPr>
                        <w:t>附：代理人性别：年龄：身份证号码：</w:t>
                      </w:r>
                    </w:p>
                    <w:p>
                      <w:pPr>
                        <w:pStyle w:val="31"/>
                        <w:ind w:firstLine="0" w:firstLineChars="0"/>
                      </w:pPr>
                      <w:r>
                        <w:rPr>
                          <w:rFonts w:hint="eastAsia"/>
                          <w:szCs w:val="28"/>
                        </w:rPr>
                        <w:t>统一社会信用代码</w:t>
                      </w:r>
                      <w:r>
                        <w:rPr>
                          <w:rFonts w:hint="eastAsia"/>
                        </w:rPr>
                        <w:t>：企业类型：</w:t>
                      </w:r>
                    </w:p>
                    <w:p>
                      <w:pPr>
                        <w:pStyle w:val="31"/>
                        <w:ind w:firstLine="0" w:firstLineChars="0"/>
                      </w:pPr>
                      <w:r>
                        <w:rPr>
                          <w:rFonts w:hint="eastAsia"/>
                        </w:rPr>
                        <w:t>经营范围：</w:t>
                      </w:r>
                    </w:p>
                    <w:p>
                      <w:pPr>
                        <w:pStyle w:val="31"/>
                        <w:ind w:firstLine="0" w:firstLineChars="0"/>
                      </w:pPr>
                      <w:r>
                        <w:rPr>
                          <w:rFonts w:hint="eastAsia"/>
                        </w:rPr>
                        <w:t>法定代表人（负责人）：（签字或盖章）</w:t>
                      </w:r>
                    </w:p>
                    <w:p>
                      <w:pPr>
                        <w:pStyle w:val="31"/>
                        <w:ind w:firstLine="0" w:firstLineChars="0"/>
                      </w:pPr>
                      <w:r>
                        <w:rPr>
                          <w:rFonts w:hint="eastAsia"/>
                        </w:rPr>
                        <w:t>授权单位：（盖章）</w:t>
                      </w:r>
                    </w:p>
                    <w:p>
                      <w:pPr>
                        <w:pStyle w:val="31"/>
                        <w:ind w:firstLine="496"/>
                      </w:pPr>
                      <w:r>
                        <w:rPr>
                          <w:rFonts w:hint="eastAsia"/>
                        </w:rPr>
                        <w:t>年月日</w:t>
                      </w:r>
                    </w:p>
                  </w:txbxContent>
                </v:textbox>
              </v:shape>
            </w:pict>
          </mc:Fallback>
        </mc:AlternateContent>
      </w: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注：按提供的格式或使用从工商管理部门购买的格式填写。</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tabs>
          <w:tab w:val="left" w:pos="720"/>
        </w:tabs>
        <w:snapToGrid w:val="0"/>
        <w:spacing w:line="360" w:lineRule="auto"/>
        <w:jc w:val="center"/>
        <w:rPr>
          <w:rFonts w:ascii="宋体" w:hAnsi="宋体"/>
          <w:color w:val="auto"/>
          <w:szCs w:val="21"/>
          <w:highlight w:val="none"/>
        </w:rPr>
      </w:pPr>
      <w:r>
        <w:rPr>
          <w:rFonts w:ascii="宋体" w:hAnsi="宋体"/>
          <w:color w:val="auto"/>
          <w:szCs w:val="21"/>
          <w:highlight w:val="none"/>
        </w:rPr>
        <w:br w:type="page"/>
      </w: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格式7</w:t>
      </w:r>
      <w:r>
        <w:rPr>
          <w:rFonts w:hint="eastAsia" w:ascii="宋体" w:hAnsi="宋体"/>
          <w:b/>
          <w:bCs/>
          <w:color w:val="auto"/>
          <w:szCs w:val="21"/>
          <w:highlight w:val="none"/>
        </w:rPr>
        <w:t xml:space="preserve"> </w:t>
      </w:r>
    </w:p>
    <w:p>
      <w:pPr>
        <w:autoSpaceDE w:val="0"/>
        <w:autoSpaceDN w:val="0"/>
        <w:adjustRightInd w:val="0"/>
        <w:spacing w:line="360" w:lineRule="auto"/>
        <w:ind w:left="-565" w:leftChars="-257" w:firstLine="722" w:firstLineChars="257"/>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 标 函</w:t>
      </w:r>
    </w:p>
    <w:p>
      <w:pPr>
        <w:pStyle w:val="31"/>
        <w:ind w:firstLine="0" w:firstLineChars="0"/>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 xml:space="preserve"> （招标人名称） </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1.根据招标人</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2.我方已详细审核全部招标文件，包括修改文件（如有时）及有关附件。</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3.如果我方中标，我方保证按照合同文件中规定的开工日期开始施工，并按规定的预计竣工日期完成和交付全部工程。</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6.如果我方中标，我方将按照招标文件的规定，按时提交履约担保，以保障本项目优质、优价、按期、顺利完成。</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7.我方同意所提交的投标文件在招标文件投标须知中第15条规定的投标有效期内有效，在此期限届满之前，本投标书始终将对我方具有约束力，并随时接受中标。</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8.在合同协议书正式签署生效之前，本投标书连同你单位的中标通知书将构成我们双方之间共同遵守的文件，对双方具有约束力。</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9.随同本投标文件，我方已提交投标担保。如果我方在投标文件有效期内撤回投标文件；或在接到中标通知书后30天内未能或拒绝签订合同协议书；或未能</w:t>
      </w:r>
      <w:r>
        <w:rPr>
          <w:rFonts w:hint="eastAsia" w:ascii="宋体" w:hAnsi="宋体"/>
          <w:b/>
          <w:color w:val="auto"/>
          <w:sz w:val="21"/>
          <w:szCs w:val="21"/>
          <w:highlight w:val="none"/>
        </w:rPr>
        <w:t>按招标文件要求</w:t>
      </w:r>
      <w:r>
        <w:rPr>
          <w:rFonts w:hint="eastAsia" w:ascii="宋体" w:hAnsi="宋体"/>
          <w:color w:val="auto"/>
          <w:sz w:val="21"/>
          <w:szCs w:val="21"/>
          <w:highlight w:val="none"/>
        </w:rPr>
        <w:t>提交履约担保，你单位有权没收投标保证金，另选中标单位。</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10.我方理解，你单位不一定接受最低标价的投标或你单位接到的其它任何投标。同时也理解，你单位不负担我方的任何投标费用。</w:t>
      </w: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spacing w:line="360" w:lineRule="auto"/>
        <w:ind w:right="90" w:firstLine="2970" w:firstLineChars="1350"/>
        <w:rPr>
          <w:rFonts w:ascii="宋体" w:hAnsi="宋体"/>
          <w:color w:val="auto"/>
          <w:szCs w:val="21"/>
          <w:highlight w:val="none"/>
          <w:u w:val="single"/>
        </w:rPr>
      </w:pPr>
      <w:r>
        <w:rPr>
          <w:rFonts w:hint="eastAsia" w:ascii="宋体" w:hAnsi="宋体"/>
          <w:color w:val="auto"/>
          <w:szCs w:val="21"/>
          <w:highlight w:val="none"/>
        </w:rPr>
        <w:t>投标人名称（盖法人公章）：</w:t>
      </w:r>
    </w:p>
    <w:p>
      <w:pPr>
        <w:spacing w:line="360" w:lineRule="auto"/>
        <w:ind w:firstLine="198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p>
    <w:p>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日期：      年   月   日</w:t>
      </w:r>
    </w:p>
    <w:p>
      <w:pPr>
        <w:autoSpaceDE w:val="0"/>
        <w:autoSpaceDN w:val="0"/>
        <w:adjustRightInd w:val="0"/>
        <w:spacing w:line="360" w:lineRule="auto"/>
        <w:rPr>
          <w:rFonts w:ascii="宋体" w:hAnsi="宋体"/>
          <w:b/>
          <w:bCs/>
          <w:color w:val="auto"/>
          <w:szCs w:val="21"/>
          <w:highlight w:val="none"/>
        </w:rPr>
      </w:pPr>
      <w:r>
        <w:rPr>
          <w:rFonts w:ascii="宋体" w:hAnsi="宋体"/>
          <w:b/>
          <w:color w:val="auto"/>
          <w:szCs w:val="21"/>
          <w:highlight w:val="none"/>
        </w:rPr>
        <w:br w:type="page"/>
      </w:r>
      <w:r>
        <w:rPr>
          <w:rFonts w:ascii="宋体" w:hAnsi="宋体"/>
          <w:b/>
          <w:bCs/>
          <w:color w:val="auto"/>
          <w:szCs w:val="21"/>
          <w:highlight w:val="none"/>
        </w:rPr>
        <w:t>格式8</w:t>
      </w:r>
      <w:r>
        <w:rPr>
          <w:rFonts w:hint="eastAsia" w:ascii="宋体" w:hAnsi="宋体"/>
          <w:b/>
          <w:bCs/>
          <w:color w:val="auto"/>
          <w:szCs w:val="21"/>
          <w:highlight w:val="none"/>
        </w:rPr>
        <w:t xml:space="preserve"> </w:t>
      </w:r>
    </w:p>
    <w:p>
      <w:pPr>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投入主要人员汇总表</w:t>
      </w:r>
    </w:p>
    <w:tbl>
      <w:tblPr>
        <w:tblStyle w:val="2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60"/>
        <w:gridCol w:w="960"/>
        <w:gridCol w:w="960"/>
        <w:gridCol w:w="960"/>
        <w:gridCol w:w="960"/>
        <w:gridCol w:w="960"/>
        <w:gridCol w:w="960"/>
        <w:gridCol w:w="1428"/>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序号</w:t>
            </w:r>
          </w:p>
        </w:tc>
        <w:tc>
          <w:tcPr>
            <w:tcW w:w="960"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spacing w:val="-6"/>
                <w:highlight w:val="none"/>
              </w:rPr>
              <w:t>在本项目担任的职务</w:t>
            </w:r>
          </w:p>
        </w:tc>
        <w:tc>
          <w:tcPr>
            <w:tcW w:w="960"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姓名</w:t>
            </w:r>
          </w:p>
        </w:tc>
        <w:tc>
          <w:tcPr>
            <w:tcW w:w="960"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性别</w:t>
            </w:r>
          </w:p>
        </w:tc>
        <w:tc>
          <w:tcPr>
            <w:tcW w:w="960"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年龄</w:t>
            </w:r>
          </w:p>
        </w:tc>
        <w:tc>
          <w:tcPr>
            <w:tcW w:w="960"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职称</w:t>
            </w:r>
          </w:p>
        </w:tc>
        <w:tc>
          <w:tcPr>
            <w:tcW w:w="960"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专业</w:t>
            </w:r>
          </w:p>
        </w:tc>
        <w:tc>
          <w:tcPr>
            <w:tcW w:w="960"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从事工程工作年限</w:t>
            </w:r>
          </w:p>
        </w:tc>
        <w:tc>
          <w:tcPr>
            <w:tcW w:w="1428"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职称或执业或上岗（或岗位）证号</w:t>
            </w:r>
          </w:p>
        </w:tc>
        <w:tc>
          <w:tcPr>
            <w:tcW w:w="596" w:type="dxa"/>
            <w:tcBorders>
              <w:top w:val="single" w:color="auto" w:sz="4" w:space="0"/>
              <w:left w:val="single" w:color="auto" w:sz="4" w:space="0"/>
              <w:bottom w:val="single" w:color="auto" w:sz="4" w:space="0"/>
              <w:right w:val="single" w:color="auto" w:sz="4" w:space="0"/>
            </w:tcBorders>
            <w:vAlign w:val="center"/>
          </w:tcPr>
          <w:p>
            <w:pPr>
              <w:pStyle w:val="39"/>
              <w:spacing w:line="360" w:lineRule="auto"/>
              <w:jc w:val="center"/>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960"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31"/>
              <w:ind w:firstLine="436"/>
              <w:rPr>
                <w:rFonts w:ascii="宋体" w:hAnsi="宋体"/>
                <w:color w:val="auto"/>
                <w:sz w:val="21"/>
                <w:szCs w:val="21"/>
                <w:highlight w:val="none"/>
              </w:rPr>
            </w:pPr>
          </w:p>
        </w:tc>
        <w:tc>
          <w:tcPr>
            <w:tcW w:w="596" w:type="dxa"/>
            <w:tcBorders>
              <w:top w:val="single" w:color="auto" w:sz="4" w:space="0"/>
              <w:left w:val="single" w:color="auto" w:sz="4" w:space="0"/>
              <w:bottom w:val="single" w:color="auto" w:sz="4" w:space="0"/>
              <w:right w:val="single" w:color="auto" w:sz="4" w:space="0"/>
            </w:tcBorders>
          </w:tcPr>
          <w:p>
            <w:pPr>
              <w:pStyle w:val="31"/>
              <w:ind w:firstLine="436"/>
              <w:rPr>
                <w:rFonts w:ascii="宋体" w:hAnsi="宋体"/>
                <w:color w:val="auto"/>
                <w:sz w:val="21"/>
                <w:szCs w:val="21"/>
                <w:highlight w:val="none"/>
              </w:rPr>
            </w:pPr>
          </w:p>
        </w:tc>
      </w:tr>
    </w:tbl>
    <w:p>
      <w:pPr>
        <w:pStyle w:val="40"/>
        <w:ind w:firstLine="0" w:firstLineChars="0"/>
        <w:rPr>
          <w:rFonts w:ascii="宋体" w:hAnsi="宋体"/>
          <w:color w:val="auto"/>
          <w:sz w:val="21"/>
          <w:szCs w:val="21"/>
          <w:highlight w:val="none"/>
        </w:rPr>
      </w:pPr>
      <w:r>
        <w:rPr>
          <w:rFonts w:hint="eastAsia" w:ascii="宋体" w:hAnsi="宋体"/>
          <w:color w:val="auto"/>
          <w:sz w:val="21"/>
          <w:szCs w:val="21"/>
          <w:highlight w:val="none"/>
        </w:rPr>
        <w:t>注：1、“主要人员”指实际参加本项目施工的项目管理、技术等方面的负责人，包括但不限于项目负责人、技术负责人、各专业负责人员等；</w:t>
      </w:r>
    </w:p>
    <w:p>
      <w:pPr>
        <w:pStyle w:val="40"/>
        <w:ind w:firstLine="436"/>
        <w:rPr>
          <w:rFonts w:ascii="宋体" w:hAnsi="宋体"/>
          <w:color w:val="auto"/>
          <w:sz w:val="21"/>
          <w:szCs w:val="21"/>
          <w:highlight w:val="none"/>
        </w:rPr>
      </w:pPr>
      <w:r>
        <w:rPr>
          <w:rFonts w:hint="eastAsia" w:ascii="宋体" w:hAnsi="宋体"/>
          <w:color w:val="auto"/>
          <w:sz w:val="21"/>
          <w:szCs w:val="21"/>
          <w:highlight w:val="none"/>
        </w:rPr>
        <w:t>2、其它人员由投标人视本工程具体情况结合招标人对本工程的具体要求自行配备；</w:t>
      </w:r>
    </w:p>
    <w:p>
      <w:pPr>
        <w:pStyle w:val="40"/>
        <w:ind w:left="130" w:leftChars="59" w:firstLine="327" w:firstLineChars="150"/>
        <w:rPr>
          <w:rFonts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投标人应提供上述人员相关证明材料扫描件以及投标截止时间止截止投标前一个月由社保行政主管部门出具的社保证明资料的扫描件，社保证明需能反映参保人在相应单位（含非独立法人分公司等分支机构）缴纳。</w:t>
      </w:r>
    </w:p>
    <w:p>
      <w:pPr>
        <w:pStyle w:val="40"/>
        <w:ind w:firstLine="545" w:firstLineChars="25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、各岗位人员不得相互兼职。</w:t>
      </w:r>
    </w:p>
    <w:p>
      <w:pPr>
        <w:spacing w:line="360" w:lineRule="auto"/>
        <w:ind w:right="90" w:firstLine="2970" w:firstLineChars="1350"/>
        <w:rPr>
          <w:rFonts w:ascii="宋体" w:hAnsi="宋体"/>
          <w:color w:val="auto"/>
          <w:szCs w:val="21"/>
          <w:highlight w:val="none"/>
          <w:u w:val="single"/>
        </w:rPr>
      </w:pPr>
      <w:r>
        <w:rPr>
          <w:rFonts w:hint="eastAsia" w:ascii="宋体" w:hAnsi="宋体"/>
          <w:color w:val="auto"/>
          <w:szCs w:val="21"/>
          <w:highlight w:val="none"/>
        </w:rPr>
        <w:t>投标人名称（盖法人公章）：</w:t>
      </w:r>
    </w:p>
    <w:p>
      <w:pPr>
        <w:spacing w:line="360" w:lineRule="auto"/>
        <w:ind w:firstLine="198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p>
    <w:p>
      <w:pPr>
        <w:spacing w:line="360" w:lineRule="auto"/>
        <w:jc w:val="right"/>
        <w:rPr>
          <w:rFonts w:ascii="宋体" w:hAnsi="宋体"/>
          <w:color w:val="auto"/>
          <w:szCs w:val="21"/>
          <w:highlight w:val="none"/>
        </w:rPr>
      </w:pPr>
      <w:r>
        <w:rPr>
          <w:rFonts w:hint="eastAsia" w:ascii="宋体" w:hAnsi="宋体"/>
          <w:color w:val="auto"/>
          <w:szCs w:val="21"/>
          <w:highlight w:val="none"/>
        </w:rPr>
        <w:t>日期：      年   月   日</w:t>
      </w:r>
    </w:p>
    <w:p>
      <w:pPr>
        <w:spacing w:line="360" w:lineRule="auto"/>
        <w:rPr>
          <w:rFonts w:ascii="宋体" w:hAnsi="宋体"/>
          <w:color w:val="auto"/>
          <w:szCs w:val="21"/>
          <w:highlight w:val="none"/>
        </w:rPr>
      </w:pPr>
      <w:r>
        <w:rPr>
          <w:rFonts w:ascii="宋体" w:hAnsi="宋体"/>
          <w:color w:val="auto"/>
          <w:szCs w:val="21"/>
          <w:highlight w:val="none"/>
        </w:rPr>
        <w:br w:type="page"/>
      </w:r>
      <w:r>
        <w:rPr>
          <w:rFonts w:ascii="宋体" w:hAnsi="宋体"/>
          <w:b/>
          <w:color w:val="auto"/>
          <w:szCs w:val="21"/>
          <w:highlight w:val="none"/>
        </w:rPr>
        <w:t>格式9</w:t>
      </w:r>
    </w:p>
    <w:p>
      <w:pPr>
        <w:widowControl/>
        <w:spacing w:line="360" w:lineRule="auto"/>
        <w:jc w:val="left"/>
        <w:rPr>
          <w:rFonts w:ascii="宋体" w:hAnsi="宋体"/>
          <w:color w:val="auto"/>
          <w:szCs w:val="21"/>
          <w:highlight w:val="none"/>
        </w:rPr>
      </w:pPr>
    </w:p>
    <w:p>
      <w:pPr>
        <w:autoSpaceDE w:val="0"/>
        <w:autoSpaceDN w:val="0"/>
        <w:adjustRightInd w:val="0"/>
        <w:spacing w:line="360" w:lineRule="auto"/>
        <w:ind w:left="-565" w:leftChars="-257" w:firstLine="722" w:firstLineChars="257"/>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主要人员简历表</w:t>
      </w:r>
    </w:p>
    <w:tbl>
      <w:tblPr>
        <w:tblStyle w:val="20"/>
        <w:tblpPr w:leftFromText="180" w:rightFromText="180" w:vertAnchor="text" w:tblpXSpec="center" w:tblpY="7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8"/>
        <w:gridCol w:w="1469"/>
        <w:gridCol w:w="17"/>
        <w:gridCol w:w="557"/>
        <w:gridCol w:w="973"/>
        <w:gridCol w:w="113"/>
        <w:gridCol w:w="1434"/>
        <w:gridCol w:w="637"/>
        <w:gridCol w:w="715"/>
        <w:gridCol w:w="195"/>
        <w:gridCol w:w="39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26" w:type="dxa"/>
            <w:gridSpan w:val="2"/>
            <w:vAlign w:val="center"/>
          </w:tcPr>
          <w:p>
            <w:pPr>
              <w:pStyle w:val="39"/>
              <w:spacing w:line="360" w:lineRule="auto"/>
              <w:jc w:val="center"/>
              <w:rPr>
                <w:color w:val="auto"/>
                <w:highlight w:val="none"/>
              </w:rPr>
            </w:pPr>
            <w:r>
              <w:rPr>
                <w:rFonts w:hint="eastAsia"/>
                <w:color w:val="auto"/>
                <w:highlight w:val="none"/>
              </w:rPr>
              <w:t>姓名</w:t>
            </w:r>
          </w:p>
        </w:tc>
        <w:tc>
          <w:tcPr>
            <w:tcW w:w="2043" w:type="dxa"/>
            <w:gridSpan w:val="3"/>
            <w:vAlign w:val="center"/>
          </w:tcPr>
          <w:p>
            <w:pPr>
              <w:pStyle w:val="31"/>
              <w:ind w:firstLine="0" w:firstLineChars="0"/>
              <w:jc w:val="center"/>
              <w:rPr>
                <w:rFonts w:ascii="宋体" w:hAnsi="宋体"/>
                <w:color w:val="auto"/>
                <w:sz w:val="21"/>
                <w:szCs w:val="21"/>
                <w:highlight w:val="none"/>
              </w:rPr>
            </w:pPr>
          </w:p>
        </w:tc>
        <w:tc>
          <w:tcPr>
            <w:tcW w:w="1086" w:type="dxa"/>
            <w:gridSpan w:val="2"/>
            <w:vAlign w:val="center"/>
          </w:tcPr>
          <w:p>
            <w:pPr>
              <w:pStyle w:val="39"/>
              <w:spacing w:line="360" w:lineRule="auto"/>
              <w:jc w:val="center"/>
              <w:rPr>
                <w:color w:val="auto"/>
                <w:highlight w:val="none"/>
              </w:rPr>
            </w:pPr>
            <w:r>
              <w:rPr>
                <w:rFonts w:hint="eastAsia"/>
                <w:color w:val="auto"/>
                <w:highlight w:val="none"/>
              </w:rPr>
              <w:t>性别</w:t>
            </w:r>
          </w:p>
        </w:tc>
        <w:tc>
          <w:tcPr>
            <w:tcW w:w="2071" w:type="dxa"/>
            <w:gridSpan w:val="2"/>
            <w:vAlign w:val="center"/>
          </w:tcPr>
          <w:p>
            <w:pPr>
              <w:pStyle w:val="31"/>
              <w:ind w:firstLine="0" w:firstLineChars="0"/>
              <w:jc w:val="center"/>
              <w:rPr>
                <w:rFonts w:ascii="宋体" w:hAnsi="宋体"/>
                <w:color w:val="auto"/>
                <w:sz w:val="21"/>
                <w:szCs w:val="21"/>
                <w:highlight w:val="none"/>
              </w:rPr>
            </w:pPr>
          </w:p>
        </w:tc>
        <w:tc>
          <w:tcPr>
            <w:tcW w:w="1300" w:type="dxa"/>
            <w:gridSpan w:val="3"/>
            <w:vAlign w:val="center"/>
          </w:tcPr>
          <w:p>
            <w:pPr>
              <w:pStyle w:val="39"/>
              <w:spacing w:line="360" w:lineRule="auto"/>
              <w:jc w:val="center"/>
              <w:rPr>
                <w:color w:val="auto"/>
                <w:highlight w:val="none"/>
              </w:rPr>
            </w:pPr>
            <w:r>
              <w:rPr>
                <w:rFonts w:hint="eastAsia"/>
                <w:color w:val="auto"/>
                <w:highlight w:val="none"/>
              </w:rPr>
              <w:t>年龄</w:t>
            </w:r>
          </w:p>
        </w:tc>
        <w:tc>
          <w:tcPr>
            <w:tcW w:w="1161" w:type="dxa"/>
            <w:vAlign w:val="center"/>
          </w:tcPr>
          <w:p>
            <w:pPr>
              <w:pStyle w:val="31"/>
              <w:ind w:firstLine="0" w:firstLine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26" w:type="dxa"/>
            <w:gridSpan w:val="2"/>
            <w:vAlign w:val="center"/>
          </w:tcPr>
          <w:p>
            <w:pPr>
              <w:pStyle w:val="39"/>
              <w:spacing w:line="360" w:lineRule="auto"/>
              <w:jc w:val="center"/>
              <w:rPr>
                <w:color w:val="auto"/>
                <w:highlight w:val="none"/>
              </w:rPr>
            </w:pPr>
            <w:r>
              <w:rPr>
                <w:rFonts w:hint="eastAsia"/>
                <w:color w:val="auto"/>
                <w:highlight w:val="none"/>
              </w:rPr>
              <w:t>职务</w:t>
            </w:r>
          </w:p>
        </w:tc>
        <w:tc>
          <w:tcPr>
            <w:tcW w:w="2043" w:type="dxa"/>
            <w:gridSpan w:val="3"/>
            <w:vAlign w:val="center"/>
          </w:tcPr>
          <w:p>
            <w:pPr>
              <w:pStyle w:val="31"/>
              <w:ind w:firstLine="0" w:firstLineChars="0"/>
              <w:jc w:val="center"/>
              <w:rPr>
                <w:rFonts w:ascii="宋体" w:hAnsi="宋体"/>
                <w:color w:val="auto"/>
                <w:sz w:val="21"/>
                <w:szCs w:val="21"/>
                <w:highlight w:val="none"/>
              </w:rPr>
            </w:pPr>
          </w:p>
        </w:tc>
        <w:tc>
          <w:tcPr>
            <w:tcW w:w="1086" w:type="dxa"/>
            <w:gridSpan w:val="2"/>
            <w:vAlign w:val="center"/>
          </w:tcPr>
          <w:p>
            <w:pPr>
              <w:pStyle w:val="39"/>
              <w:spacing w:line="360" w:lineRule="auto"/>
              <w:jc w:val="center"/>
              <w:rPr>
                <w:color w:val="auto"/>
                <w:highlight w:val="none"/>
              </w:rPr>
            </w:pPr>
            <w:r>
              <w:rPr>
                <w:rFonts w:hint="eastAsia"/>
                <w:color w:val="auto"/>
                <w:highlight w:val="none"/>
              </w:rPr>
              <w:t>职称</w:t>
            </w:r>
          </w:p>
        </w:tc>
        <w:tc>
          <w:tcPr>
            <w:tcW w:w="2071" w:type="dxa"/>
            <w:gridSpan w:val="2"/>
            <w:vAlign w:val="center"/>
          </w:tcPr>
          <w:p>
            <w:pPr>
              <w:pStyle w:val="31"/>
              <w:ind w:firstLine="0" w:firstLineChars="0"/>
              <w:jc w:val="center"/>
              <w:rPr>
                <w:rFonts w:ascii="宋体" w:hAnsi="宋体"/>
                <w:color w:val="auto"/>
                <w:sz w:val="21"/>
                <w:szCs w:val="21"/>
                <w:highlight w:val="none"/>
              </w:rPr>
            </w:pPr>
          </w:p>
        </w:tc>
        <w:tc>
          <w:tcPr>
            <w:tcW w:w="1300" w:type="dxa"/>
            <w:gridSpan w:val="3"/>
            <w:vAlign w:val="center"/>
          </w:tcPr>
          <w:p>
            <w:pPr>
              <w:pStyle w:val="39"/>
              <w:spacing w:line="360" w:lineRule="auto"/>
              <w:jc w:val="center"/>
              <w:rPr>
                <w:color w:val="auto"/>
                <w:highlight w:val="none"/>
              </w:rPr>
            </w:pPr>
            <w:r>
              <w:rPr>
                <w:rFonts w:hint="eastAsia"/>
                <w:color w:val="auto"/>
                <w:highlight w:val="none"/>
              </w:rPr>
              <w:t>学历</w:t>
            </w:r>
          </w:p>
        </w:tc>
        <w:tc>
          <w:tcPr>
            <w:tcW w:w="1161" w:type="dxa"/>
            <w:vAlign w:val="center"/>
          </w:tcPr>
          <w:p>
            <w:pPr>
              <w:pStyle w:val="31"/>
              <w:ind w:firstLine="0" w:firstLine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112" w:type="dxa"/>
            <w:gridSpan w:val="4"/>
            <w:vAlign w:val="center"/>
          </w:tcPr>
          <w:p>
            <w:pPr>
              <w:pStyle w:val="39"/>
              <w:spacing w:line="360" w:lineRule="auto"/>
              <w:jc w:val="center"/>
              <w:rPr>
                <w:color w:val="auto"/>
                <w:highlight w:val="none"/>
              </w:rPr>
            </w:pPr>
            <w:r>
              <w:rPr>
                <w:rFonts w:hint="eastAsia"/>
                <w:color w:val="auto"/>
                <w:highlight w:val="none"/>
              </w:rPr>
              <w:t>参加工作时间</w:t>
            </w:r>
          </w:p>
        </w:tc>
        <w:tc>
          <w:tcPr>
            <w:tcW w:w="1643" w:type="dxa"/>
            <w:gridSpan w:val="3"/>
            <w:vAlign w:val="center"/>
          </w:tcPr>
          <w:p>
            <w:pPr>
              <w:pStyle w:val="31"/>
              <w:ind w:firstLine="0" w:firstLineChars="0"/>
              <w:jc w:val="center"/>
              <w:rPr>
                <w:rFonts w:ascii="宋体" w:hAnsi="宋体"/>
                <w:color w:val="auto"/>
                <w:sz w:val="21"/>
                <w:szCs w:val="21"/>
                <w:highlight w:val="none"/>
              </w:rPr>
            </w:pPr>
          </w:p>
        </w:tc>
        <w:tc>
          <w:tcPr>
            <w:tcW w:w="2786" w:type="dxa"/>
            <w:gridSpan w:val="3"/>
            <w:vAlign w:val="center"/>
          </w:tcPr>
          <w:p>
            <w:pPr>
              <w:pStyle w:val="31"/>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担任相应职务年限</w:t>
            </w:r>
          </w:p>
        </w:tc>
        <w:tc>
          <w:tcPr>
            <w:tcW w:w="1746" w:type="dxa"/>
            <w:gridSpan w:val="3"/>
            <w:vAlign w:val="center"/>
          </w:tcPr>
          <w:p>
            <w:pPr>
              <w:pStyle w:val="31"/>
              <w:ind w:firstLine="0" w:firstLine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112" w:type="dxa"/>
            <w:gridSpan w:val="4"/>
            <w:vAlign w:val="center"/>
          </w:tcPr>
          <w:p>
            <w:pPr>
              <w:pStyle w:val="39"/>
              <w:spacing w:line="360" w:lineRule="auto"/>
              <w:jc w:val="center"/>
              <w:rPr>
                <w:color w:val="auto"/>
                <w:highlight w:val="none"/>
              </w:rPr>
            </w:pPr>
            <w:r>
              <w:rPr>
                <w:rFonts w:hint="eastAsia"/>
                <w:color w:val="auto"/>
                <w:highlight w:val="none"/>
              </w:rPr>
              <w:t>资格证书号</w:t>
            </w:r>
          </w:p>
        </w:tc>
        <w:tc>
          <w:tcPr>
            <w:tcW w:w="6175" w:type="dxa"/>
            <w:gridSpan w:val="9"/>
            <w:vAlign w:val="center"/>
          </w:tcPr>
          <w:p>
            <w:pPr>
              <w:pStyle w:val="31"/>
              <w:ind w:firstLine="0" w:firstLine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287" w:type="dxa"/>
            <w:gridSpan w:val="13"/>
            <w:vAlign w:val="center"/>
          </w:tcPr>
          <w:p>
            <w:pPr>
              <w:pStyle w:val="31"/>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vAlign w:val="center"/>
          </w:tcPr>
          <w:p>
            <w:pPr>
              <w:pStyle w:val="39"/>
              <w:spacing w:line="360" w:lineRule="auto"/>
              <w:jc w:val="center"/>
              <w:rPr>
                <w:color w:val="auto"/>
                <w:highlight w:val="none"/>
              </w:rPr>
            </w:pPr>
            <w:r>
              <w:rPr>
                <w:rFonts w:hint="eastAsia"/>
                <w:color w:val="auto"/>
                <w:highlight w:val="none"/>
              </w:rPr>
              <w:t>建设单位</w:t>
            </w:r>
          </w:p>
        </w:tc>
        <w:tc>
          <w:tcPr>
            <w:tcW w:w="1547" w:type="dxa"/>
            <w:gridSpan w:val="2"/>
            <w:vAlign w:val="center"/>
          </w:tcPr>
          <w:p>
            <w:pPr>
              <w:pStyle w:val="39"/>
              <w:spacing w:line="360" w:lineRule="auto"/>
              <w:jc w:val="center"/>
              <w:rPr>
                <w:color w:val="auto"/>
                <w:highlight w:val="none"/>
              </w:rPr>
            </w:pPr>
            <w:r>
              <w:rPr>
                <w:rFonts w:hint="eastAsia"/>
                <w:color w:val="auto"/>
                <w:highlight w:val="none"/>
              </w:rPr>
              <w:t>项目名称</w:t>
            </w:r>
          </w:p>
        </w:tc>
        <w:tc>
          <w:tcPr>
            <w:tcW w:w="1547" w:type="dxa"/>
            <w:gridSpan w:val="3"/>
            <w:vAlign w:val="center"/>
          </w:tcPr>
          <w:p>
            <w:pPr>
              <w:pStyle w:val="39"/>
              <w:spacing w:line="360" w:lineRule="auto"/>
              <w:jc w:val="center"/>
              <w:rPr>
                <w:color w:val="auto"/>
                <w:highlight w:val="none"/>
              </w:rPr>
            </w:pPr>
            <w:r>
              <w:rPr>
                <w:rFonts w:hint="eastAsia"/>
                <w:color w:val="auto"/>
                <w:highlight w:val="none"/>
              </w:rPr>
              <w:t>建设规模</w:t>
            </w:r>
          </w:p>
        </w:tc>
        <w:tc>
          <w:tcPr>
            <w:tcW w:w="1547" w:type="dxa"/>
            <w:gridSpan w:val="2"/>
            <w:vAlign w:val="center"/>
          </w:tcPr>
          <w:p>
            <w:pPr>
              <w:pStyle w:val="39"/>
              <w:spacing w:line="360" w:lineRule="auto"/>
              <w:jc w:val="center"/>
              <w:rPr>
                <w:color w:val="auto"/>
                <w:highlight w:val="none"/>
              </w:rPr>
            </w:pPr>
            <w:r>
              <w:rPr>
                <w:rFonts w:hint="eastAsia"/>
                <w:color w:val="auto"/>
                <w:highlight w:val="none"/>
              </w:rPr>
              <w:t>开、竣工日期</w:t>
            </w:r>
          </w:p>
        </w:tc>
        <w:tc>
          <w:tcPr>
            <w:tcW w:w="1547" w:type="dxa"/>
            <w:gridSpan w:val="3"/>
            <w:vAlign w:val="center"/>
          </w:tcPr>
          <w:p>
            <w:pPr>
              <w:pStyle w:val="39"/>
              <w:spacing w:line="360" w:lineRule="auto"/>
              <w:jc w:val="center"/>
              <w:rPr>
                <w:color w:val="auto"/>
                <w:highlight w:val="none"/>
              </w:rPr>
            </w:pPr>
            <w:r>
              <w:rPr>
                <w:rFonts w:hint="eastAsia"/>
                <w:color w:val="auto"/>
                <w:highlight w:val="none"/>
              </w:rPr>
              <w:t>在建或已完</w:t>
            </w:r>
          </w:p>
        </w:tc>
        <w:tc>
          <w:tcPr>
            <w:tcW w:w="1551" w:type="dxa"/>
            <w:gridSpan w:val="2"/>
            <w:vAlign w:val="center"/>
          </w:tcPr>
          <w:p>
            <w:pPr>
              <w:pStyle w:val="39"/>
              <w:spacing w:line="360" w:lineRule="auto"/>
              <w:jc w:val="center"/>
              <w:rPr>
                <w:color w:val="auto"/>
                <w:highlight w:val="none"/>
              </w:rPr>
            </w:pPr>
            <w:r>
              <w:rPr>
                <w:rFonts w:hint="eastAsia"/>
                <w:color w:val="auto"/>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vAlign w:val="center"/>
          </w:tcPr>
          <w:p>
            <w:pPr>
              <w:pStyle w:val="31"/>
              <w:ind w:firstLine="0" w:firstLineChars="0"/>
              <w:jc w:val="center"/>
              <w:rPr>
                <w:rFonts w:ascii="宋体" w:hAnsi="宋体"/>
                <w:color w:val="auto"/>
                <w:sz w:val="21"/>
                <w:szCs w:val="21"/>
                <w:highlight w:val="none"/>
              </w:rPr>
            </w:pPr>
          </w:p>
        </w:tc>
        <w:tc>
          <w:tcPr>
            <w:tcW w:w="1547" w:type="dxa"/>
            <w:gridSpan w:val="2"/>
            <w:vAlign w:val="center"/>
          </w:tcPr>
          <w:p>
            <w:pPr>
              <w:pStyle w:val="31"/>
              <w:ind w:firstLine="0" w:firstLineChars="0"/>
              <w:jc w:val="center"/>
              <w:rPr>
                <w:rFonts w:ascii="宋体" w:hAnsi="宋体"/>
                <w:color w:val="auto"/>
                <w:sz w:val="21"/>
                <w:szCs w:val="21"/>
                <w:highlight w:val="none"/>
              </w:rPr>
            </w:pPr>
          </w:p>
        </w:tc>
        <w:tc>
          <w:tcPr>
            <w:tcW w:w="1547" w:type="dxa"/>
            <w:gridSpan w:val="3"/>
            <w:vAlign w:val="center"/>
          </w:tcPr>
          <w:p>
            <w:pPr>
              <w:pStyle w:val="31"/>
              <w:ind w:firstLine="0" w:firstLineChars="0"/>
              <w:jc w:val="center"/>
              <w:rPr>
                <w:rFonts w:ascii="宋体" w:hAnsi="宋体"/>
                <w:color w:val="auto"/>
                <w:sz w:val="21"/>
                <w:szCs w:val="21"/>
                <w:highlight w:val="none"/>
              </w:rPr>
            </w:pPr>
          </w:p>
        </w:tc>
        <w:tc>
          <w:tcPr>
            <w:tcW w:w="1547" w:type="dxa"/>
            <w:gridSpan w:val="2"/>
            <w:vAlign w:val="center"/>
          </w:tcPr>
          <w:p>
            <w:pPr>
              <w:pStyle w:val="31"/>
              <w:ind w:firstLine="0" w:firstLineChars="0"/>
              <w:jc w:val="center"/>
              <w:rPr>
                <w:rFonts w:ascii="宋体" w:hAnsi="宋体"/>
                <w:color w:val="auto"/>
                <w:sz w:val="21"/>
                <w:szCs w:val="21"/>
                <w:highlight w:val="none"/>
              </w:rPr>
            </w:pPr>
          </w:p>
        </w:tc>
        <w:tc>
          <w:tcPr>
            <w:tcW w:w="1547" w:type="dxa"/>
            <w:gridSpan w:val="3"/>
            <w:vAlign w:val="center"/>
          </w:tcPr>
          <w:p>
            <w:pPr>
              <w:pStyle w:val="31"/>
              <w:ind w:firstLine="0" w:firstLineChars="0"/>
              <w:jc w:val="center"/>
              <w:rPr>
                <w:rFonts w:ascii="宋体" w:hAnsi="宋体"/>
                <w:color w:val="auto"/>
                <w:sz w:val="21"/>
                <w:szCs w:val="21"/>
                <w:highlight w:val="none"/>
              </w:rPr>
            </w:pPr>
          </w:p>
        </w:tc>
        <w:tc>
          <w:tcPr>
            <w:tcW w:w="1551" w:type="dxa"/>
            <w:gridSpan w:val="2"/>
            <w:vAlign w:val="center"/>
          </w:tcPr>
          <w:p>
            <w:pPr>
              <w:pStyle w:val="31"/>
              <w:ind w:firstLine="0" w:firstLine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vAlign w:val="center"/>
          </w:tcPr>
          <w:p>
            <w:pPr>
              <w:pStyle w:val="31"/>
              <w:ind w:firstLine="0" w:firstLineChars="0"/>
              <w:jc w:val="center"/>
              <w:rPr>
                <w:rFonts w:ascii="宋体" w:hAnsi="宋体"/>
                <w:color w:val="auto"/>
                <w:sz w:val="21"/>
                <w:szCs w:val="21"/>
                <w:highlight w:val="none"/>
              </w:rPr>
            </w:pPr>
          </w:p>
        </w:tc>
        <w:tc>
          <w:tcPr>
            <w:tcW w:w="1547" w:type="dxa"/>
            <w:gridSpan w:val="2"/>
            <w:vAlign w:val="center"/>
          </w:tcPr>
          <w:p>
            <w:pPr>
              <w:pStyle w:val="31"/>
              <w:ind w:firstLine="0" w:firstLineChars="0"/>
              <w:jc w:val="center"/>
              <w:rPr>
                <w:rFonts w:ascii="宋体" w:hAnsi="宋体"/>
                <w:color w:val="auto"/>
                <w:sz w:val="21"/>
                <w:szCs w:val="21"/>
                <w:highlight w:val="none"/>
              </w:rPr>
            </w:pPr>
          </w:p>
        </w:tc>
        <w:tc>
          <w:tcPr>
            <w:tcW w:w="1547" w:type="dxa"/>
            <w:gridSpan w:val="3"/>
            <w:vAlign w:val="center"/>
          </w:tcPr>
          <w:p>
            <w:pPr>
              <w:pStyle w:val="31"/>
              <w:ind w:firstLine="0" w:firstLineChars="0"/>
              <w:jc w:val="center"/>
              <w:rPr>
                <w:rFonts w:ascii="宋体" w:hAnsi="宋体"/>
                <w:color w:val="auto"/>
                <w:sz w:val="21"/>
                <w:szCs w:val="21"/>
                <w:highlight w:val="none"/>
              </w:rPr>
            </w:pPr>
          </w:p>
        </w:tc>
        <w:tc>
          <w:tcPr>
            <w:tcW w:w="1547" w:type="dxa"/>
            <w:gridSpan w:val="2"/>
            <w:vAlign w:val="center"/>
          </w:tcPr>
          <w:p>
            <w:pPr>
              <w:pStyle w:val="31"/>
              <w:ind w:firstLine="0" w:firstLineChars="0"/>
              <w:jc w:val="center"/>
              <w:rPr>
                <w:rFonts w:ascii="宋体" w:hAnsi="宋体"/>
                <w:color w:val="auto"/>
                <w:sz w:val="21"/>
                <w:szCs w:val="21"/>
                <w:highlight w:val="none"/>
              </w:rPr>
            </w:pPr>
          </w:p>
        </w:tc>
        <w:tc>
          <w:tcPr>
            <w:tcW w:w="1547" w:type="dxa"/>
            <w:gridSpan w:val="3"/>
            <w:vAlign w:val="center"/>
          </w:tcPr>
          <w:p>
            <w:pPr>
              <w:pStyle w:val="31"/>
              <w:ind w:firstLine="0" w:firstLineChars="0"/>
              <w:jc w:val="center"/>
              <w:rPr>
                <w:rFonts w:ascii="宋体" w:hAnsi="宋体"/>
                <w:color w:val="auto"/>
                <w:sz w:val="21"/>
                <w:szCs w:val="21"/>
                <w:highlight w:val="none"/>
              </w:rPr>
            </w:pPr>
          </w:p>
        </w:tc>
        <w:tc>
          <w:tcPr>
            <w:tcW w:w="1551" w:type="dxa"/>
            <w:gridSpan w:val="2"/>
            <w:vAlign w:val="center"/>
          </w:tcPr>
          <w:p>
            <w:pPr>
              <w:pStyle w:val="31"/>
              <w:ind w:firstLine="0" w:firstLineChars="0"/>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vAlign w:val="center"/>
          </w:tcPr>
          <w:p>
            <w:pPr>
              <w:pStyle w:val="31"/>
              <w:ind w:firstLine="0" w:firstLineChars="0"/>
              <w:jc w:val="center"/>
              <w:rPr>
                <w:rFonts w:ascii="宋体" w:hAnsi="宋体"/>
                <w:color w:val="auto"/>
                <w:sz w:val="21"/>
                <w:szCs w:val="21"/>
                <w:highlight w:val="none"/>
              </w:rPr>
            </w:pPr>
          </w:p>
        </w:tc>
        <w:tc>
          <w:tcPr>
            <w:tcW w:w="1547" w:type="dxa"/>
            <w:gridSpan w:val="2"/>
            <w:vAlign w:val="center"/>
          </w:tcPr>
          <w:p>
            <w:pPr>
              <w:pStyle w:val="31"/>
              <w:ind w:firstLine="0" w:firstLineChars="0"/>
              <w:jc w:val="center"/>
              <w:rPr>
                <w:rFonts w:ascii="宋体" w:hAnsi="宋体"/>
                <w:color w:val="auto"/>
                <w:sz w:val="21"/>
                <w:szCs w:val="21"/>
                <w:highlight w:val="none"/>
              </w:rPr>
            </w:pPr>
          </w:p>
        </w:tc>
        <w:tc>
          <w:tcPr>
            <w:tcW w:w="1547" w:type="dxa"/>
            <w:gridSpan w:val="3"/>
            <w:vAlign w:val="center"/>
          </w:tcPr>
          <w:p>
            <w:pPr>
              <w:pStyle w:val="31"/>
              <w:ind w:firstLine="0" w:firstLineChars="0"/>
              <w:jc w:val="center"/>
              <w:rPr>
                <w:rFonts w:ascii="宋体" w:hAnsi="宋体"/>
                <w:color w:val="auto"/>
                <w:sz w:val="21"/>
                <w:szCs w:val="21"/>
                <w:highlight w:val="none"/>
              </w:rPr>
            </w:pPr>
          </w:p>
        </w:tc>
        <w:tc>
          <w:tcPr>
            <w:tcW w:w="1547" w:type="dxa"/>
            <w:gridSpan w:val="2"/>
            <w:vAlign w:val="center"/>
          </w:tcPr>
          <w:p>
            <w:pPr>
              <w:pStyle w:val="31"/>
              <w:ind w:firstLine="0" w:firstLineChars="0"/>
              <w:jc w:val="center"/>
              <w:rPr>
                <w:rFonts w:ascii="宋体" w:hAnsi="宋体"/>
                <w:color w:val="auto"/>
                <w:sz w:val="21"/>
                <w:szCs w:val="21"/>
                <w:highlight w:val="none"/>
              </w:rPr>
            </w:pPr>
          </w:p>
        </w:tc>
        <w:tc>
          <w:tcPr>
            <w:tcW w:w="1547" w:type="dxa"/>
            <w:gridSpan w:val="3"/>
            <w:vAlign w:val="center"/>
          </w:tcPr>
          <w:p>
            <w:pPr>
              <w:pStyle w:val="31"/>
              <w:ind w:firstLine="0" w:firstLineChars="0"/>
              <w:jc w:val="center"/>
              <w:rPr>
                <w:rFonts w:ascii="宋体" w:hAnsi="宋体"/>
                <w:color w:val="auto"/>
                <w:sz w:val="21"/>
                <w:szCs w:val="21"/>
                <w:highlight w:val="none"/>
              </w:rPr>
            </w:pPr>
          </w:p>
        </w:tc>
        <w:tc>
          <w:tcPr>
            <w:tcW w:w="1551" w:type="dxa"/>
            <w:gridSpan w:val="2"/>
            <w:vAlign w:val="center"/>
          </w:tcPr>
          <w:p>
            <w:pPr>
              <w:pStyle w:val="31"/>
              <w:ind w:firstLine="0" w:firstLineChars="0"/>
              <w:jc w:val="center"/>
              <w:rPr>
                <w:rFonts w:ascii="宋体" w:hAnsi="宋体"/>
                <w:color w:val="auto"/>
                <w:sz w:val="21"/>
                <w:szCs w:val="21"/>
                <w:highlight w:val="none"/>
              </w:rPr>
            </w:pPr>
          </w:p>
        </w:tc>
      </w:tr>
    </w:tbl>
    <w:p>
      <w:pPr>
        <w:pStyle w:val="31"/>
        <w:ind w:firstLine="0" w:firstLineChars="0"/>
        <w:rPr>
          <w:rFonts w:ascii="宋体" w:hAnsi="宋体"/>
          <w:color w:val="auto"/>
          <w:sz w:val="21"/>
          <w:szCs w:val="21"/>
          <w:highlight w:val="none"/>
        </w:rPr>
      </w:pPr>
      <w:r>
        <w:rPr>
          <w:rFonts w:hint="eastAsia" w:ascii="宋体" w:hAnsi="宋体"/>
          <w:color w:val="auto"/>
          <w:sz w:val="21"/>
          <w:szCs w:val="21"/>
          <w:highlight w:val="none"/>
        </w:rPr>
        <w:t>注：</w:t>
      </w:r>
    </w:p>
    <w:p>
      <w:pPr>
        <w:pStyle w:val="31"/>
        <w:ind w:firstLine="0" w:firstLineChars="0"/>
        <w:rPr>
          <w:rFonts w:ascii="宋体" w:hAnsi="宋体"/>
          <w:color w:val="auto"/>
          <w:sz w:val="21"/>
          <w:szCs w:val="21"/>
          <w:highlight w:val="none"/>
        </w:rPr>
      </w:pPr>
      <w:r>
        <w:rPr>
          <w:rFonts w:hint="eastAsia" w:ascii="宋体" w:hAnsi="宋体"/>
          <w:color w:val="auto"/>
          <w:sz w:val="21"/>
          <w:szCs w:val="21"/>
          <w:highlight w:val="none"/>
        </w:rPr>
        <w:t>1、拟投入本工程的负责人才需要填写本表。</w:t>
      </w:r>
    </w:p>
    <w:p>
      <w:pPr>
        <w:pStyle w:val="31"/>
        <w:ind w:firstLine="0" w:firstLineChars="0"/>
        <w:rPr>
          <w:rFonts w:ascii="宋体" w:hAnsi="宋体"/>
          <w:color w:val="auto"/>
          <w:sz w:val="21"/>
          <w:szCs w:val="21"/>
          <w:highlight w:val="none"/>
        </w:rPr>
      </w:pPr>
      <w:r>
        <w:rPr>
          <w:rFonts w:hint="eastAsia" w:ascii="宋体" w:hAnsi="宋体"/>
          <w:color w:val="auto"/>
          <w:sz w:val="21"/>
          <w:szCs w:val="21"/>
          <w:highlight w:val="none"/>
        </w:rPr>
        <w:t>2、后附相关的证明材料。</w:t>
      </w:r>
    </w:p>
    <w:p>
      <w:pPr>
        <w:pStyle w:val="31"/>
        <w:ind w:firstLine="436"/>
        <w:rPr>
          <w:rFonts w:ascii="宋体" w:hAnsi="宋体"/>
          <w:color w:val="auto"/>
          <w:sz w:val="21"/>
          <w:szCs w:val="21"/>
          <w:highlight w:val="none"/>
        </w:rPr>
      </w:pPr>
    </w:p>
    <w:p>
      <w:pPr>
        <w:pStyle w:val="31"/>
        <w:ind w:firstLine="436"/>
        <w:rPr>
          <w:rFonts w:ascii="宋体" w:hAnsi="宋体"/>
          <w:color w:val="auto"/>
          <w:sz w:val="21"/>
          <w:szCs w:val="21"/>
          <w:highlight w:val="none"/>
        </w:rPr>
      </w:pPr>
    </w:p>
    <w:p>
      <w:pPr>
        <w:spacing w:line="360" w:lineRule="auto"/>
        <w:ind w:right="90" w:firstLine="2970" w:firstLineChars="1350"/>
        <w:rPr>
          <w:rFonts w:ascii="宋体" w:hAnsi="宋体"/>
          <w:color w:val="auto"/>
          <w:szCs w:val="21"/>
          <w:highlight w:val="none"/>
          <w:u w:val="single"/>
        </w:rPr>
      </w:pPr>
      <w:r>
        <w:rPr>
          <w:rFonts w:hint="eastAsia" w:ascii="宋体" w:hAnsi="宋体"/>
          <w:color w:val="auto"/>
          <w:szCs w:val="21"/>
          <w:highlight w:val="none"/>
        </w:rPr>
        <w:t>投标人名称（盖法人公章）：</w:t>
      </w:r>
    </w:p>
    <w:p>
      <w:pPr>
        <w:spacing w:line="360" w:lineRule="auto"/>
        <w:ind w:firstLine="198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p>
    <w:p>
      <w:pPr>
        <w:pStyle w:val="30"/>
        <w:spacing w:beforeLines="0" w:afterLines="0" w:line="360" w:lineRule="auto"/>
        <w:jc w:val="right"/>
        <w:outlineLvl w:val="9"/>
        <w:rPr>
          <w:rFonts w:ascii="宋体" w:eastAsia="宋体"/>
          <w:b w:val="0"/>
          <w:color w:val="auto"/>
          <w:sz w:val="21"/>
          <w:szCs w:val="21"/>
          <w:highlight w:val="none"/>
        </w:rPr>
      </w:pPr>
      <w:bookmarkStart w:id="34" w:name="_Toc76372675"/>
      <w:r>
        <w:rPr>
          <w:rFonts w:hint="eastAsia" w:ascii="宋体" w:eastAsia="宋体"/>
          <w:b w:val="0"/>
          <w:color w:val="auto"/>
          <w:sz w:val="21"/>
          <w:szCs w:val="21"/>
          <w:highlight w:val="none"/>
        </w:rPr>
        <w:t>日期：      年   月   日</w:t>
      </w:r>
      <w:bookmarkEnd w:id="34"/>
    </w:p>
    <w:p>
      <w:pPr>
        <w:spacing w:line="360" w:lineRule="auto"/>
        <w:rPr>
          <w:rFonts w:ascii="宋体" w:hAnsi="宋体"/>
          <w:b/>
          <w:color w:val="auto"/>
          <w:szCs w:val="21"/>
          <w:highlight w:val="none"/>
        </w:rPr>
      </w:pP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格式10</w:t>
      </w:r>
      <w:r>
        <w:rPr>
          <w:rFonts w:hint="eastAsia" w:ascii="宋体" w:hAnsi="宋体"/>
          <w:b/>
          <w:bCs/>
          <w:color w:val="auto"/>
          <w:szCs w:val="21"/>
          <w:highlight w:val="none"/>
        </w:rPr>
        <w:t xml:space="preserve"> </w:t>
      </w:r>
    </w:p>
    <w:p>
      <w:pPr>
        <w:autoSpaceDE w:val="0"/>
        <w:autoSpaceDN w:val="0"/>
        <w:adjustRightInd w:val="0"/>
        <w:spacing w:line="360" w:lineRule="auto"/>
        <w:ind w:left="-565" w:leftChars="-257" w:firstLine="722" w:firstLineChars="257"/>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承  诺  书</w:t>
      </w:r>
    </w:p>
    <w:p>
      <w:pPr>
        <w:pStyle w:val="31"/>
        <w:ind w:firstLine="0" w:firstLineChars="0"/>
        <w:jc w:val="left"/>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（招标人名称）</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经详细阅读本工程招标文件、招标答疑纪要和踏勘现场，我司已理解招标人对本招标项目工程管理的高标准及严格要求，在此，我司郑重作出以下承诺：</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一、我司已按投标须知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并由此造成的责任由我司承担。</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四、经认真进行市场调查，我司承诺本招标项目材料、设备来源有保证，可按投标承诺及时组织到货，无需代换，图纸、资料和设计文件中所要求的条件我司全部能够满足。</w:t>
      </w:r>
    </w:p>
    <w:p>
      <w:pPr>
        <w:pStyle w:val="31"/>
        <w:ind w:firstLine="436"/>
        <w:rPr>
          <w:rFonts w:ascii="宋体" w:hAnsi="宋体"/>
          <w:color w:val="auto"/>
          <w:spacing w:val="2"/>
          <w:position w:val="2"/>
          <w:sz w:val="21"/>
          <w:szCs w:val="21"/>
          <w:highlight w:val="none"/>
        </w:rPr>
      </w:pPr>
      <w:r>
        <w:rPr>
          <w:rFonts w:hint="eastAsia" w:ascii="宋体" w:hAnsi="宋体"/>
          <w:color w:val="auto"/>
          <w:sz w:val="21"/>
          <w:szCs w:val="21"/>
          <w:highlight w:val="none"/>
        </w:rPr>
        <w:t>五、</w:t>
      </w:r>
      <w:r>
        <w:rPr>
          <w:rFonts w:hint="eastAsia" w:ascii="宋体" w:hAnsi="宋体"/>
          <w:color w:val="auto"/>
          <w:spacing w:val="2"/>
          <w:position w:val="2"/>
          <w:sz w:val="21"/>
          <w:szCs w:val="21"/>
          <w:highlight w:val="none"/>
        </w:rPr>
        <w:t>鉴于本工程的重要性、复杂性和工期的紧迫性，为确保按时、按质完成本工程的施工任务，我司经慎重考虑，承诺按招标文件的要求投入人员。否则，按合同约定处理，并承担违约责任。</w:t>
      </w:r>
    </w:p>
    <w:p>
      <w:pPr>
        <w:pStyle w:val="31"/>
        <w:ind w:firstLine="428"/>
        <w:rPr>
          <w:rFonts w:ascii="宋体" w:hAnsi="宋体"/>
          <w:color w:val="auto"/>
          <w:sz w:val="21"/>
          <w:szCs w:val="21"/>
          <w:highlight w:val="none"/>
        </w:rPr>
      </w:pPr>
      <w:r>
        <w:rPr>
          <w:rFonts w:hint="eastAsia" w:ascii="宋体" w:hAnsi="宋体"/>
          <w:color w:val="auto"/>
          <w:spacing w:val="2"/>
          <w:position w:val="2"/>
          <w:sz w:val="21"/>
          <w:szCs w:val="21"/>
          <w:highlight w:val="none"/>
        </w:rPr>
        <w:t>六、</w:t>
      </w:r>
      <w:r>
        <w:rPr>
          <w:rFonts w:hint="eastAsia" w:ascii="宋体" w:hAnsi="宋体"/>
          <w:color w:val="auto"/>
          <w:sz w:val="21"/>
          <w:szCs w:val="21"/>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七、我司已充分阅读并结合我司实际全面理解招标文件第三章合同格式的所有内容，如有疑问，已在答疑阶段提出，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pPr>
        <w:pStyle w:val="31"/>
        <w:ind w:firstLine="436"/>
        <w:rPr>
          <w:rFonts w:ascii="宋体" w:hAnsi="宋体"/>
          <w:bCs/>
          <w:color w:val="auto"/>
          <w:sz w:val="21"/>
          <w:szCs w:val="21"/>
          <w:highlight w:val="none"/>
        </w:rPr>
      </w:pPr>
      <w:r>
        <w:rPr>
          <w:rFonts w:hint="eastAsia" w:ascii="宋体" w:hAnsi="宋体"/>
          <w:color w:val="auto"/>
          <w:sz w:val="21"/>
          <w:szCs w:val="21"/>
          <w:highlight w:val="none"/>
        </w:rPr>
        <w:t>八、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关于完善广州市建设工程施工围蔽管理提升实施技术要求和标准图集的通知》（穗建质〔2016〕1085号）和《广州市建筑工程安全生产措施费管理办法》（穗建筑[2003]106号）各项规定和招标文件要求。否则，愿意无条件接受招标人的任何处罚，直至被清退出场，并为此承担相应的法律责任。</w:t>
      </w:r>
    </w:p>
    <w:p>
      <w:pPr>
        <w:pStyle w:val="31"/>
        <w:ind w:firstLine="412"/>
        <w:rPr>
          <w:rFonts w:ascii="宋体" w:hAnsi="宋体"/>
          <w:bCs/>
          <w:color w:val="auto"/>
          <w:spacing w:val="-2"/>
          <w:sz w:val="21"/>
          <w:szCs w:val="21"/>
          <w:highlight w:val="none"/>
        </w:rPr>
      </w:pPr>
      <w:r>
        <w:rPr>
          <w:rFonts w:hint="eastAsia" w:ascii="宋体" w:hAnsi="宋体"/>
          <w:bCs/>
          <w:color w:val="auto"/>
          <w:spacing w:val="-2"/>
          <w:sz w:val="21"/>
          <w:szCs w:val="21"/>
          <w:highlight w:val="none"/>
        </w:rPr>
        <w:t>九、</w:t>
      </w:r>
      <w:r>
        <w:rPr>
          <w:rFonts w:hint="eastAsia" w:ascii="宋体" w:hAnsi="宋体"/>
          <w:color w:val="auto"/>
          <w:spacing w:val="-2"/>
          <w:sz w:val="21"/>
          <w:szCs w:val="21"/>
          <w:highlight w:val="none"/>
        </w:rPr>
        <w:t>我司保证本工程竣工验收、竣工资料和竣工备案管理完全符合国家、省、市政府、主管部门颁布的竣工验收和档案管理各项规定及招标文件中提出的各项管理要求。</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十、我司保证在本项目投标中不存在围标、串标等违法、违规行为，如经招标监管部门查实存在上述行为，我司同意由招标人没收我司提交的投标保证金，并对由此造成的后果承担相应的法律责任。</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十一、如果我司中标，我司保证实际投入本项目的人员、材料、机械、设备与我司递交的投标文件一致，且不低于本项目招标文件的要求。若不满足招标文件要求或考核不通过，我司承诺无条件按招标人的要求进行更换，直至招标人满意为止。经招标人和总监理工程师考核，我司未按投标文件投入主要人员或经过更换后的人员不能满足本项目要求的，我司承诺除无条件按招标人的要求更换外，还应按合同约定的金额向招标人支付违约金。</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十二、对于招标文件有推荐品牌范围的主要材料设备，我司保证在招标文件推荐品牌范围内选用，且承诺在中标后选用推荐品牌中的任一品牌，均不予调整中标的材料、设备价格。</w:t>
      </w:r>
    </w:p>
    <w:p>
      <w:pPr>
        <w:pStyle w:val="31"/>
        <w:ind w:firstLine="436"/>
        <w:rPr>
          <w:rFonts w:ascii="宋体" w:hAnsi="宋体"/>
          <w:color w:val="auto"/>
          <w:sz w:val="21"/>
          <w:szCs w:val="21"/>
          <w:highlight w:val="none"/>
          <w:u w:val="single"/>
        </w:rPr>
      </w:pPr>
      <w:r>
        <w:rPr>
          <w:rFonts w:hint="eastAsia" w:ascii="宋体" w:hAnsi="宋体"/>
          <w:color w:val="auto"/>
          <w:sz w:val="21"/>
          <w:szCs w:val="21"/>
          <w:highlight w:val="none"/>
          <w:u w:val="single"/>
        </w:rPr>
        <w:t>十三、如果我司中标，我方承诺所承包的工程内容纳入施工总承包管理单位的管理和协调范围，并服从施工总承包管理单位的施工总承包管理，否则由此导致生产质量、安全事故或其他不良行为的，由我司承担主要责任。</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十四、如果我司中标，对招标人、监理人为确保工程质量管理和工程进度而下达的调整项目经理部组成人员的指令、通知，我司承诺无条件地在限期内执行并调整到位。</w:t>
      </w:r>
    </w:p>
    <w:p>
      <w:pPr>
        <w:pStyle w:val="31"/>
        <w:ind w:firstLine="436"/>
        <w:rPr>
          <w:rFonts w:ascii="宋体" w:hAnsi="宋体"/>
          <w:color w:val="auto"/>
          <w:sz w:val="21"/>
          <w:szCs w:val="21"/>
          <w:highlight w:val="none"/>
          <w:u w:val="single"/>
        </w:rPr>
      </w:pPr>
      <w:r>
        <w:rPr>
          <w:rFonts w:hint="eastAsia" w:ascii="宋体" w:hAnsi="宋体"/>
          <w:color w:val="auto"/>
          <w:sz w:val="21"/>
          <w:szCs w:val="21"/>
          <w:highlight w:val="none"/>
          <w:u w:val="single"/>
        </w:rPr>
        <w:t>十五、如果我方中标，我方承诺按《广东省建设工程施工扬尘污染防治管理办法（试）》（粤办函[2017]708号）、《广东省住房和城乡建设厅关于采取切实措施坚决遏制施工扬尘污染的紧急通知》（粤建发电[2018]20号）和《广东省房屋建筑和市政基础设施工程用工实名管理暂行办法》（粤建规范[2018]1号），在投标文件中编制建设工程施工扬尘污染防治和用工实名管理专项方案以及费用使用计划作为工程施工合同组成部分。</w:t>
      </w:r>
    </w:p>
    <w:p>
      <w:pPr>
        <w:pStyle w:val="31"/>
        <w:ind w:firstLine="436"/>
        <w:rPr>
          <w:rFonts w:ascii="宋体" w:hAnsi="宋体"/>
          <w:color w:val="auto"/>
          <w:sz w:val="21"/>
          <w:szCs w:val="21"/>
          <w:highlight w:val="none"/>
        </w:rPr>
      </w:pPr>
      <w:r>
        <w:rPr>
          <w:rFonts w:hint="eastAsia" w:ascii="宋体" w:hAnsi="宋体"/>
          <w:color w:val="auto"/>
          <w:sz w:val="21"/>
          <w:szCs w:val="21"/>
          <w:highlight w:val="none"/>
        </w:rPr>
        <w:t>十六、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pPr>
        <w:spacing w:line="360" w:lineRule="auto"/>
        <w:ind w:right="90" w:firstLine="2970" w:firstLineChars="1350"/>
        <w:jc w:val="right"/>
        <w:rPr>
          <w:rFonts w:ascii="宋体" w:hAnsi="宋体"/>
          <w:color w:val="auto"/>
          <w:szCs w:val="21"/>
          <w:highlight w:val="none"/>
          <w:u w:val="single"/>
        </w:rPr>
      </w:pPr>
      <w:r>
        <w:rPr>
          <w:rFonts w:hint="eastAsia" w:ascii="宋体" w:hAnsi="宋体"/>
          <w:color w:val="auto"/>
          <w:szCs w:val="21"/>
          <w:highlight w:val="none"/>
        </w:rPr>
        <w:t>投标人名称（盖法人公章）：</w:t>
      </w:r>
    </w:p>
    <w:p>
      <w:pPr>
        <w:spacing w:line="360" w:lineRule="auto"/>
        <w:ind w:firstLine="1980" w:firstLineChars="900"/>
        <w:jc w:val="right"/>
        <w:rPr>
          <w:rFonts w:ascii="宋体" w:hAnsi="宋体"/>
          <w:color w:val="auto"/>
          <w:szCs w:val="21"/>
          <w:highlight w:val="none"/>
          <w:u w:val="single"/>
        </w:rPr>
      </w:pPr>
      <w:r>
        <w:rPr>
          <w:rFonts w:hint="eastAsia" w:ascii="宋体" w:hAnsi="宋体"/>
          <w:color w:val="auto"/>
          <w:szCs w:val="21"/>
          <w:highlight w:val="none"/>
        </w:rPr>
        <w:t>法定代表人或被授权人（签字或盖章）：</w:t>
      </w:r>
    </w:p>
    <w:p>
      <w:pPr>
        <w:pStyle w:val="31"/>
        <w:ind w:firstLine="436"/>
        <w:jc w:val="right"/>
        <w:rPr>
          <w:rFonts w:ascii="宋体" w:hAnsi="宋体"/>
          <w:color w:val="auto"/>
          <w:sz w:val="21"/>
          <w:szCs w:val="21"/>
          <w:highlight w:val="none"/>
        </w:rPr>
      </w:pPr>
      <w:r>
        <w:rPr>
          <w:rFonts w:hint="eastAsia" w:ascii="宋体" w:hAnsi="宋体"/>
          <w:color w:val="auto"/>
          <w:sz w:val="21"/>
          <w:szCs w:val="21"/>
          <w:highlight w:val="none"/>
        </w:rPr>
        <w:t xml:space="preserve"> 日期：      年   月   日</w:t>
      </w:r>
    </w:p>
    <w:p>
      <w:pPr>
        <w:pStyle w:val="31"/>
        <w:ind w:firstLine="436"/>
        <w:rPr>
          <w:rFonts w:ascii="宋体" w:hAnsi="宋体"/>
          <w:color w:val="auto"/>
          <w:sz w:val="21"/>
          <w:szCs w:val="21"/>
          <w:highlight w:val="none"/>
        </w:rPr>
      </w:pPr>
    </w:p>
    <w:p>
      <w:pPr>
        <w:widowControl/>
        <w:jc w:val="left"/>
        <w:rPr>
          <w:rFonts w:ascii="宋体" w:hAnsi="宋体"/>
          <w:b/>
          <w:color w:val="auto"/>
          <w:szCs w:val="21"/>
          <w:highlight w:val="none"/>
        </w:rPr>
      </w:pPr>
      <w:r>
        <w:rPr>
          <w:rFonts w:ascii="宋体" w:hAnsi="宋体"/>
          <w:b/>
          <w:color w:val="auto"/>
          <w:szCs w:val="21"/>
          <w:highlight w:val="none"/>
        </w:rPr>
        <w:br w:type="page"/>
      </w: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格式11</w:t>
      </w:r>
      <w:r>
        <w:rPr>
          <w:rFonts w:hint="eastAsia" w:ascii="宋体" w:hAnsi="宋体"/>
          <w:b/>
          <w:bCs/>
          <w:color w:val="auto"/>
          <w:szCs w:val="21"/>
          <w:highlight w:val="none"/>
        </w:rPr>
        <w:t xml:space="preserve"> </w:t>
      </w:r>
    </w:p>
    <w:p>
      <w:pPr>
        <w:autoSpaceDE w:val="0"/>
        <w:autoSpaceDN w:val="0"/>
        <w:adjustRightInd w:val="0"/>
        <w:spacing w:line="360" w:lineRule="auto"/>
        <w:ind w:left="-565" w:leftChars="-257" w:firstLine="722" w:firstLineChars="257"/>
        <w:jc w:val="center"/>
        <w:rPr>
          <w:rFonts w:ascii="宋体" w:hAnsi="宋体" w:cs="宋体"/>
          <w:b/>
          <w:bCs/>
          <w:color w:val="auto"/>
          <w:sz w:val="28"/>
          <w:szCs w:val="28"/>
          <w:highlight w:val="none"/>
          <w:lang w:val="zh-CN"/>
        </w:rPr>
      </w:pPr>
      <w:bookmarkStart w:id="35" w:name="_Hlk118465811"/>
      <w:r>
        <w:rPr>
          <w:rFonts w:hint="eastAsia" w:ascii="宋体" w:hAnsi="宋体" w:cs="宋体"/>
          <w:b/>
          <w:bCs/>
          <w:color w:val="auto"/>
          <w:sz w:val="28"/>
          <w:szCs w:val="28"/>
          <w:highlight w:val="none"/>
          <w:lang w:val="zh-CN"/>
        </w:rPr>
        <w:t>工期响应承诺书</w:t>
      </w:r>
    </w:p>
    <w:bookmarkEnd w:id="35"/>
    <w:p>
      <w:pPr>
        <w:pStyle w:val="31"/>
        <w:ind w:firstLine="0" w:firstLineChars="0"/>
        <w:jc w:val="left"/>
        <w:rPr>
          <w:rFonts w:ascii="宋体" w:hAnsi="宋体"/>
          <w:color w:val="auto"/>
          <w:sz w:val="21"/>
          <w:szCs w:val="21"/>
          <w:highlight w:val="none"/>
        </w:rPr>
      </w:pPr>
      <w:r>
        <w:rPr>
          <w:rFonts w:hint="eastAsia" w:ascii="宋体" w:hAnsi="宋体"/>
          <w:b/>
          <w:bCs/>
          <w:color w:val="auto"/>
          <w:szCs w:val="21"/>
          <w:highlight w:val="none"/>
        </w:rPr>
        <w:t>致：</w:t>
      </w:r>
      <w:r>
        <w:rPr>
          <w:rFonts w:hint="eastAsia" w:ascii="宋体" w:hAnsi="宋体"/>
          <w:color w:val="auto"/>
          <w:szCs w:val="21"/>
          <w:highlight w:val="none"/>
          <w:u w:val="single"/>
        </w:rPr>
        <w:t>（招标人名称）</w:t>
      </w:r>
    </w:p>
    <w:p>
      <w:pPr>
        <w:spacing w:line="360" w:lineRule="auto"/>
        <w:ind w:firstLine="435"/>
        <w:rPr>
          <w:rFonts w:ascii="宋体" w:hAnsi="宋体"/>
          <w:color w:val="auto"/>
          <w:szCs w:val="21"/>
          <w:highlight w:val="none"/>
        </w:rPr>
      </w:pPr>
      <w:r>
        <w:rPr>
          <w:rFonts w:hint="eastAsia" w:ascii="宋体" w:hAnsi="宋体"/>
          <w:color w:val="auto"/>
          <w:szCs w:val="21"/>
          <w:highlight w:val="none"/>
        </w:rPr>
        <w:t>我方在</w:t>
      </w:r>
      <w:r>
        <w:rPr>
          <w:rFonts w:hint="eastAsia" w:ascii="宋体" w:hAnsi="宋体"/>
          <w:b/>
          <w:color w:val="auto"/>
          <w:szCs w:val="21"/>
          <w:highlight w:val="none"/>
          <w:u w:val="single"/>
        </w:rPr>
        <w:t xml:space="preserve">    [项目名称]    </w:t>
      </w:r>
      <w:r>
        <w:rPr>
          <w:rFonts w:hint="eastAsia" w:ascii="宋体" w:hAnsi="宋体"/>
          <w:color w:val="auto"/>
          <w:szCs w:val="21"/>
          <w:highlight w:val="none"/>
        </w:rPr>
        <w:t>工程招标中，如有幸中标，在此郑重承诺：</w:t>
      </w:r>
    </w:p>
    <w:p>
      <w:pPr>
        <w:spacing w:line="360" w:lineRule="auto"/>
        <w:ind w:firstLine="435"/>
        <w:rPr>
          <w:rFonts w:ascii="宋体" w:hAnsi="宋体"/>
          <w:color w:val="auto"/>
          <w:szCs w:val="21"/>
          <w:highlight w:val="none"/>
        </w:rPr>
      </w:pPr>
      <w:r>
        <w:rPr>
          <w:rFonts w:hint="eastAsia" w:ascii="宋体" w:hAnsi="宋体"/>
          <w:color w:val="auto"/>
          <w:szCs w:val="21"/>
          <w:highlight w:val="none"/>
        </w:rPr>
        <w:t>我司</w:t>
      </w:r>
      <w:r>
        <w:rPr>
          <w:rFonts w:ascii="宋体" w:hAnsi="宋体"/>
          <w:color w:val="auto"/>
          <w:szCs w:val="21"/>
          <w:highlight w:val="none"/>
        </w:rPr>
        <w:t>已按投标</w:t>
      </w:r>
      <w:r>
        <w:rPr>
          <w:rFonts w:hint="eastAsia" w:ascii="宋体" w:hAnsi="宋体"/>
          <w:color w:val="auto"/>
          <w:szCs w:val="21"/>
          <w:highlight w:val="none"/>
        </w:rPr>
        <w:t>须</w:t>
      </w:r>
      <w:r>
        <w:rPr>
          <w:rFonts w:ascii="宋体" w:hAnsi="宋体"/>
          <w:color w:val="auto"/>
          <w:szCs w:val="21"/>
          <w:highlight w:val="none"/>
        </w:rPr>
        <w:t>知第5款的要求完成了踏勘现场的工作，并充分了解现场条件。如若中标，我司理解招标人向投标人提供的有关现场的数据和资料，是招标人现有的能被投标人利用的资料。招标人对投标人做出的任何推论、理解和结论均不负责任。我司承诺不会因任何现场条件的阻碍而向招标人拖延工期或索赔费用</w:t>
      </w:r>
      <w:r>
        <w:rPr>
          <w:rFonts w:hint="eastAsia" w:ascii="宋体" w:hAnsi="宋体"/>
          <w:color w:val="auto"/>
          <w:szCs w:val="21"/>
          <w:highlight w:val="none"/>
        </w:rPr>
        <w:t>。在保证工程质量的前提下，</w:t>
      </w:r>
      <w:r>
        <w:rPr>
          <w:rFonts w:hint="eastAsia" w:ascii="宋体" w:hAnsi="宋体"/>
          <w:b/>
          <w:color w:val="auto"/>
          <w:szCs w:val="21"/>
          <w:highlight w:val="none"/>
          <w:u w:val="single"/>
        </w:rPr>
        <w:t>我司承诺在    天内完工。</w:t>
      </w:r>
    </w:p>
    <w:p>
      <w:pPr>
        <w:pStyle w:val="19"/>
        <w:spacing w:after="0" w:line="360" w:lineRule="auto"/>
        <w:ind w:left="-2" w:leftChars="-1" w:firstLine="420" w:firstLineChars="175"/>
        <w:rPr>
          <w:rFonts w:ascii="宋体" w:hAnsi="宋体"/>
          <w:color w:val="auto"/>
          <w:szCs w:val="21"/>
          <w:highlight w:val="none"/>
        </w:rPr>
      </w:pPr>
      <w:r>
        <w:rPr>
          <w:rFonts w:hint="eastAsia" w:ascii="宋体" w:hAnsi="宋体"/>
          <w:color w:val="auto"/>
          <w:szCs w:val="21"/>
          <w:highlight w:val="none"/>
        </w:rPr>
        <w:t>若工程未能在上述时间内完工，招标人有权无条件按合同总价的1‰/天扣除我司的履约保证金，我司将对此无任何异议。我司已考虑了此部分工作的难度和风险，其费用已在措施费中充分考虑，保证不因任何现场条件的阻碍而影响投标承诺的竣工日期。</w:t>
      </w:r>
      <w:r>
        <w:rPr>
          <w:rFonts w:ascii="宋体" w:hAnsi="宋体"/>
          <w:color w:val="auto"/>
          <w:szCs w:val="21"/>
          <w:highlight w:val="none"/>
        </w:rPr>
        <w:cr/>
      </w:r>
    </w:p>
    <w:p>
      <w:pPr>
        <w:spacing w:line="360" w:lineRule="auto"/>
        <w:ind w:left="660" w:leftChars="300" w:firstLine="550" w:firstLineChars="250"/>
        <w:rPr>
          <w:rFonts w:ascii="宋体" w:hAnsi="宋体"/>
          <w:color w:val="auto"/>
          <w:szCs w:val="21"/>
          <w:highlight w:val="none"/>
        </w:rPr>
      </w:pPr>
    </w:p>
    <w:p>
      <w:pPr>
        <w:spacing w:line="360" w:lineRule="auto"/>
        <w:ind w:firstLine="2970" w:firstLineChars="1350"/>
        <w:jc w:val="right"/>
        <w:rPr>
          <w:rFonts w:ascii="宋体" w:hAnsi="宋体"/>
          <w:color w:val="auto"/>
          <w:szCs w:val="21"/>
          <w:highlight w:val="none"/>
        </w:rPr>
      </w:pPr>
      <w:r>
        <w:rPr>
          <w:rFonts w:hint="eastAsia" w:ascii="宋体" w:hAnsi="宋体"/>
          <w:color w:val="auto"/>
          <w:szCs w:val="21"/>
          <w:highlight w:val="none"/>
        </w:rPr>
        <w:t>承 诺 单 位：（盖法人公章）</w:t>
      </w:r>
    </w:p>
    <w:p>
      <w:pPr>
        <w:spacing w:line="360" w:lineRule="auto"/>
        <w:ind w:firstLine="550" w:firstLineChars="250"/>
        <w:jc w:val="right"/>
        <w:rPr>
          <w:rFonts w:ascii="宋体" w:hAnsi="宋体"/>
          <w:color w:val="auto"/>
          <w:szCs w:val="21"/>
          <w:highlight w:val="none"/>
        </w:rPr>
      </w:pPr>
      <w:r>
        <w:rPr>
          <w:rFonts w:hint="eastAsia" w:ascii="宋体" w:hAnsi="宋体"/>
          <w:color w:val="auto"/>
          <w:szCs w:val="21"/>
          <w:highlight w:val="none"/>
        </w:rPr>
        <w:t>法定代表人或其授权签字人：（签字或盖章）</w:t>
      </w:r>
    </w:p>
    <w:p>
      <w:pPr>
        <w:pStyle w:val="19"/>
        <w:spacing w:after="0" w:line="360" w:lineRule="auto"/>
        <w:ind w:right="420" w:firstLine="597" w:firstLineChars="249"/>
        <w:jc w:val="right"/>
        <w:rPr>
          <w:rFonts w:ascii="宋体" w:hAnsi="宋体"/>
          <w:color w:val="auto"/>
          <w:szCs w:val="21"/>
          <w:highlight w:val="none"/>
        </w:rPr>
      </w:pPr>
      <w:r>
        <w:rPr>
          <w:rFonts w:hint="eastAsia" w:ascii="宋体" w:hAnsi="宋体"/>
          <w:color w:val="auto"/>
          <w:szCs w:val="21"/>
          <w:highlight w:val="none"/>
        </w:rPr>
        <w:t xml:space="preserve">  年     月     日</w:t>
      </w:r>
    </w:p>
    <w:p>
      <w:pPr>
        <w:pStyle w:val="30"/>
        <w:spacing w:before="156" w:after="156" w:line="360" w:lineRule="auto"/>
        <w:rPr>
          <w:rFonts w:ascii="宋体" w:eastAsia="宋体"/>
          <w:b w:val="0"/>
          <w:color w:val="auto"/>
          <w:sz w:val="21"/>
          <w:szCs w:val="21"/>
          <w:highlight w:val="none"/>
        </w:rPr>
        <w:sectPr>
          <w:pgSz w:w="11906" w:h="16838"/>
          <w:pgMar w:top="1247" w:right="850" w:bottom="1134" w:left="1134" w:header="851" w:footer="907" w:gutter="0"/>
          <w:pgNumType w:fmt="decimal"/>
          <w:cols w:space="720" w:num="1"/>
          <w:titlePg/>
          <w:docGrid w:type="lines" w:linePitch="312" w:charSpace="0"/>
        </w:sectPr>
      </w:pP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格式12</w:t>
      </w:r>
      <w:r>
        <w:rPr>
          <w:rFonts w:hint="eastAsia" w:ascii="宋体" w:hAnsi="宋体"/>
          <w:b/>
          <w:bCs/>
          <w:color w:val="auto"/>
          <w:szCs w:val="21"/>
          <w:highlight w:val="none"/>
        </w:rPr>
        <w:t xml:space="preserve"> </w:t>
      </w:r>
    </w:p>
    <w:p>
      <w:pPr>
        <w:autoSpaceDE w:val="0"/>
        <w:autoSpaceDN w:val="0"/>
        <w:adjustRightInd w:val="0"/>
        <w:spacing w:line="360" w:lineRule="auto"/>
        <w:ind w:left="-565" w:leftChars="-257" w:firstLine="722" w:firstLineChars="257"/>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合同响应承诺书</w:t>
      </w:r>
    </w:p>
    <w:p>
      <w:pPr>
        <w:pStyle w:val="31"/>
        <w:ind w:firstLine="0" w:firstLineChars="0"/>
        <w:jc w:val="left"/>
        <w:rPr>
          <w:rFonts w:ascii="宋体" w:hAnsi="宋体"/>
          <w:color w:val="auto"/>
          <w:sz w:val="21"/>
          <w:szCs w:val="21"/>
          <w:highlight w:val="none"/>
        </w:rPr>
      </w:pPr>
      <w:r>
        <w:rPr>
          <w:rFonts w:hint="eastAsia" w:ascii="宋体" w:hAnsi="宋体"/>
          <w:b/>
          <w:bCs/>
          <w:color w:val="auto"/>
          <w:szCs w:val="21"/>
          <w:highlight w:val="none"/>
        </w:rPr>
        <w:t>致：</w:t>
      </w:r>
      <w:r>
        <w:rPr>
          <w:rFonts w:hint="eastAsia" w:ascii="宋体" w:hAnsi="宋体"/>
          <w:color w:val="auto"/>
          <w:szCs w:val="21"/>
          <w:highlight w:val="none"/>
          <w:u w:val="single"/>
        </w:rPr>
        <w:t>（招标人名称）</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我公司在</w:t>
      </w:r>
      <w:r>
        <w:rPr>
          <w:rFonts w:hint="eastAsia" w:ascii="宋体" w:hAnsi="宋体"/>
          <w:b/>
          <w:color w:val="auto"/>
          <w:szCs w:val="21"/>
          <w:highlight w:val="none"/>
          <w:u w:val="single"/>
        </w:rPr>
        <w:t xml:space="preserve">    [项目名称]   </w:t>
      </w:r>
      <w:r>
        <w:rPr>
          <w:rFonts w:hint="eastAsia" w:ascii="宋体" w:hAnsi="宋体"/>
          <w:color w:val="auto"/>
          <w:szCs w:val="21"/>
          <w:highlight w:val="none"/>
        </w:rPr>
        <w:t>工程招标中，若有幸中标，在此郑重承诺：</w:t>
      </w:r>
    </w:p>
    <w:p>
      <w:pPr>
        <w:tabs>
          <w:tab w:val="left" w:pos="6937"/>
        </w:tabs>
        <w:spacing w:line="360" w:lineRule="auto"/>
        <w:ind w:firstLine="444" w:firstLineChars="202"/>
        <w:rPr>
          <w:rFonts w:ascii="宋体" w:hAnsi="宋体"/>
          <w:color w:val="auto"/>
          <w:szCs w:val="21"/>
          <w:highlight w:val="none"/>
        </w:rPr>
      </w:pPr>
      <w:r>
        <w:rPr>
          <w:rFonts w:hint="eastAsia" w:ascii="宋体" w:hAnsi="宋体"/>
          <w:color w:val="auto"/>
          <w:szCs w:val="21"/>
          <w:highlight w:val="none"/>
        </w:rPr>
        <w:t>1、我公司承诺，按照招标文件合同条款约定的方式提供履约担保，并完全同意发包人对本项目工程款的监管。</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2、我公司承诺，完全响应招标文件的所有条款，包括但不限于质量目标、工期目标、验收标准、计量支付办法、结算方式、保修责任、材料（设备）采购相关规定等，并履行合同全部义务。</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3、我公司承诺按不低于现场最低配备要求配备相应的管理人员、劳动力、机械设备、检测仪器和其他设备。在实际施工过程中，为实现工期目标需增加人力、机械、设备时，我公司完全接受发包人、监理单位的安排，按要求增加相应人力、机械、设备等，所产生的费用已在投标报价中考虑，不再向发包人另行申请增加费用。</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4、我公司理解，在施工过程中，发包人有权变更、增加（增加工程量或增加新工作内容）或减少某部分工作内容，我公司愿意全力配合和支持发包人的要求。若发包人变更增加部分工作内容时，我公司承诺按发包人的要求组织施工；若发包人减少部分工作内容时，我公司承诺按实施工和办理结算，不另行追究发包人有关赔偿费用和责任。</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5、若我公司中标后在签订合同时，出现被建设主管部门处罚等情况，导致不能承担合同约定工作内容时，我公司承诺由此造成的一切损失由我公司承担，并同意放弃中标资格。</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6、我公司承诺，不转包中标项目；若需对专业工程进行分包时，严格按照招标投标等相关法律、法规及合同要求进行分包。</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7、我公司承诺，项目竣工验收后60日历天内整理结算资料送监理单位审核。</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8、我公司承诺，配合发包人做好见证取样的材料设备检测有关工作，配合发包人做好现场材料（设备）使用评价等相关工作。若在施工过程中由于我公司管理不善，导致材料设备检测批次增加，造成检测费用超过该项的概算或预算费用10%或以上的，所增加的费用由我公司负责支付。</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9、我公司承诺，在投标时已充分了解项目情况，并结合项目编制投标文件，对投标时的措施费（除防疫措施费外）进行包干，竣工结算时不作调整。我公司在开工前结合现场实际重新编制施工组织方案报监理单位、发包人审批后方能实施，费用已在投标报价中充分考虑。</w:t>
      </w:r>
    </w:p>
    <w:p>
      <w:pPr>
        <w:spacing w:line="360" w:lineRule="auto"/>
        <w:ind w:firstLine="440" w:firstLineChars="200"/>
        <w:rPr>
          <w:rFonts w:ascii="宋体" w:hAnsi="宋体"/>
          <w:color w:val="auto"/>
          <w:szCs w:val="21"/>
          <w:highlight w:val="none"/>
        </w:rPr>
      </w:pPr>
      <w:r>
        <w:rPr>
          <w:rFonts w:hint="eastAsia" w:ascii="宋体" w:hAnsi="宋体"/>
          <w:color w:val="auto"/>
          <w:szCs w:val="21"/>
          <w:highlight w:val="none"/>
        </w:rPr>
        <w:t>若我公司违背上述承诺，若合同已有具体违约措施的，我公司接受按合同对我公司进行处罚；若合同没有具体处罚措施的，我公司接受招标人（发包人）取消我公司中标资格、或没收保证金、或没收履约担保、或停止支付工程款、或处以罚款、或通报批评、或终止合同等处罚，并承担由此造成的一切经济损失。</w:t>
      </w:r>
    </w:p>
    <w:p>
      <w:pPr>
        <w:spacing w:line="360" w:lineRule="auto"/>
        <w:ind w:left="660" w:leftChars="300" w:firstLine="550" w:firstLineChars="250"/>
        <w:rPr>
          <w:rFonts w:ascii="宋体" w:hAnsi="宋体"/>
          <w:color w:val="auto"/>
          <w:szCs w:val="21"/>
          <w:highlight w:val="none"/>
        </w:rPr>
      </w:pPr>
    </w:p>
    <w:p>
      <w:pPr>
        <w:spacing w:line="360" w:lineRule="auto"/>
        <w:ind w:left="660" w:leftChars="300" w:firstLine="550" w:firstLineChars="250"/>
        <w:rPr>
          <w:rFonts w:ascii="宋体" w:hAnsi="宋体"/>
          <w:color w:val="auto"/>
          <w:szCs w:val="21"/>
          <w:highlight w:val="none"/>
        </w:rPr>
      </w:pPr>
    </w:p>
    <w:p>
      <w:pPr>
        <w:spacing w:line="360" w:lineRule="auto"/>
        <w:jc w:val="right"/>
        <w:rPr>
          <w:rFonts w:ascii="宋体" w:hAnsi="宋体"/>
          <w:color w:val="auto"/>
          <w:szCs w:val="21"/>
          <w:highlight w:val="none"/>
        </w:rPr>
      </w:pPr>
      <w:r>
        <w:rPr>
          <w:rFonts w:hint="eastAsia" w:ascii="宋体" w:hAnsi="宋体"/>
          <w:color w:val="auto"/>
          <w:szCs w:val="21"/>
          <w:highlight w:val="none"/>
        </w:rPr>
        <w:t>投标单位：（盖法人公章）</w:t>
      </w:r>
    </w:p>
    <w:p>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法定代表人或被授权人：（签字或盖章）</w:t>
      </w:r>
    </w:p>
    <w:p>
      <w:pPr>
        <w:spacing w:line="360" w:lineRule="auto"/>
        <w:ind w:firstLine="3630" w:firstLineChars="1650"/>
        <w:jc w:val="right"/>
        <w:rPr>
          <w:rFonts w:ascii="宋体" w:hAnsi="宋体"/>
          <w:color w:val="auto"/>
          <w:szCs w:val="21"/>
          <w:highlight w:val="none"/>
        </w:rPr>
      </w:pPr>
      <w:r>
        <w:rPr>
          <w:rFonts w:hint="eastAsia" w:ascii="宋体" w:hAnsi="宋体"/>
          <w:color w:val="auto"/>
          <w:szCs w:val="21"/>
          <w:highlight w:val="none"/>
        </w:rPr>
        <w:t>年     月     日</w:t>
      </w:r>
    </w:p>
    <w:p>
      <w:pPr>
        <w:widowControl/>
        <w:jc w:val="left"/>
        <w:rPr>
          <w:color w:val="auto"/>
          <w:sz w:val="24"/>
          <w:szCs w:val="24"/>
          <w:highlight w:val="none"/>
        </w:rPr>
      </w:pPr>
      <w:r>
        <w:rPr>
          <w:color w:val="auto"/>
          <w:sz w:val="24"/>
          <w:szCs w:val="24"/>
          <w:highlight w:val="none"/>
        </w:rPr>
        <w:br w:type="page"/>
      </w:r>
    </w:p>
    <w:p>
      <w:pPr>
        <w:autoSpaceDE w:val="0"/>
        <w:autoSpaceDN w:val="0"/>
        <w:adjustRightInd w:val="0"/>
        <w:spacing w:line="360" w:lineRule="auto"/>
        <w:rPr>
          <w:rFonts w:ascii="宋体" w:hAnsi="宋体"/>
          <w:b/>
          <w:bCs/>
          <w:color w:val="auto"/>
          <w:szCs w:val="21"/>
          <w:highlight w:val="none"/>
        </w:rPr>
      </w:pPr>
      <w:r>
        <w:rPr>
          <w:rFonts w:ascii="宋体" w:hAnsi="宋体"/>
          <w:b/>
          <w:bCs/>
          <w:color w:val="auto"/>
          <w:szCs w:val="21"/>
          <w:highlight w:val="none"/>
        </w:rPr>
        <w:t>格式13</w:t>
      </w:r>
      <w:r>
        <w:rPr>
          <w:rFonts w:hint="eastAsia" w:ascii="宋体" w:hAnsi="宋体"/>
          <w:b/>
          <w:bCs/>
          <w:color w:val="auto"/>
          <w:szCs w:val="21"/>
          <w:highlight w:val="none"/>
        </w:rPr>
        <w:t xml:space="preserve"> </w:t>
      </w:r>
    </w:p>
    <w:p>
      <w:pPr>
        <w:widowControl/>
        <w:spacing w:line="360" w:lineRule="auto"/>
        <w:jc w:val="center"/>
        <w:rPr>
          <w:rFonts w:hAnsi="宋体"/>
          <w:b/>
          <w:bCs/>
          <w:color w:val="auto"/>
          <w:sz w:val="28"/>
          <w:szCs w:val="36"/>
          <w:highlight w:val="none"/>
        </w:rPr>
      </w:pPr>
      <w:r>
        <w:rPr>
          <w:rFonts w:hint="eastAsia" w:hAnsi="宋体"/>
          <w:b/>
          <w:bCs/>
          <w:color w:val="auto"/>
          <w:sz w:val="28"/>
          <w:szCs w:val="36"/>
          <w:highlight w:val="none"/>
        </w:rPr>
        <w:t>拟投入本工程的机械设备表</w:t>
      </w:r>
    </w:p>
    <w:tbl>
      <w:tblPr>
        <w:tblStyle w:val="20"/>
        <w:tblW w:w="9014" w:type="dxa"/>
        <w:jc w:val="center"/>
        <w:tblLayout w:type="fixed"/>
        <w:tblCellMar>
          <w:top w:w="0" w:type="dxa"/>
          <w:left w:w="108" w:type="dxa"/>
          <w:bottom w:w="0" w:type="dxa"/>
          <w:right w:w="108" w:type="dxa"/>
        </w:tblCellMar>
      </w:tblPr>
      <w:tblGrid>
        <w:gridCol w:w="1077"/>
        <w:gridCol w:w="2721"/>
        <w:gridCol w:w="3345"/>
        <w:gridCol w:w="1871"/>
      </w:tblGrid>
      <w:tr>
        <w:tblPrEx>
          <w:tblCellMar>
            <w:top w:w="0" w:type="dxa"/>
            <w:left w:w="108" w:type="dxa"/>
            <w:bottom w:w="0" w:type="dxa"/>
            <w:right w:w="108" w:type="dxa"/>
          </w:tblCellMar>
        </w:tblPrEx>
        <w:trPr>
          <w:trHeight w:val="495" w:hRule="atLeast"/>
          <w:jc w:val="center"/>
        </w:trPr>
        <w:tc>
          <w:tcPr>
            <w:tcW w:w="1077" w:type="dxa"/>
            <w:tcBorders>
              <w:top w:val="double" w:color="auto" w:sz="6" w:space="0"/>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r>
              <w:rPr>
                <w:rFonts w:hint="eastAsia" w:hAnsi="宋体"/>
                <w:color w:val="auto"/>
                <w:highlight w:val="none"/>
              </w:rPr>
              <w:t>序号</w:t>
            </w:r>
          </w:p>
        </w:tc>
        <w:tc>
          <w:tcPr>
            <w:tcW w:w="2721"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color w:val="auto"/>
                <w:highlight w:val="none"/>
              </w:rPr>
            </w:pPr>
            <w:r>
              <w:rPr>
                <w:rFonts w:hint="eastAsia" w:hAnsi="宋体"/>
                <w:color w:val="auto"/>
                <w:highlight w:val="none"/>
              </w:rPr>
              <w:t>材料（设备）名称</w:t>
            </w:r>
          </w:p>
        </w:tc>
        <w:tc>
          <w:tcPr>
            <w:tcW w:w="3345"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color w:val="auto"/>
                <w:highlight w:val="none"/>
              </w:rPr>
            </w:pPr>
            <w:r>
              <w:rPr>
                <w:rFonts w:hint="eastAsia" w:hAnsi="宋体"/>
                <w:color w:val="auto"/>
                <w:highlight w:val="none"/>
              </w:rPr>
              <w:t>规格、型号等特殊要求</w:t>
            </w:r>
          </w:p>
        </w:tc>
        <w:tc>
          <w:tcPr>
            <w:tcW w:w="1871" w:type="dxa"/>
            <w:tcBorders>
              <w:top w:val="double" w:color="auto" w:sz="6" w:space="0"/>
              <w:left w:val="nil"/>
              <w:bottom w:val="single" w:color="auto" w:sz="4" w:space="0"/>
              <w:right w:val="single" w:color="auto" w:sz="4" w:space="0"/>
            </w:tcBorders>
            <w:vAlign w:val="center"/>
          </w:tcPr>
          <w:p>
            <w:pPr>
              <w:widowControl/>
              <w:spacing w:line="400" w:lineRule="exact"/>
              <w:jc w:val="center"/>
              <w:rPr>
                <w:rFonts w:hAnsi="宋体"/>
                <w:color w:val="auto"/>
                <w:highlight w:val="none"/>
              </w:rPr>
            </w:pPr>
            <w:r>
              <w:rPr>
                <w:rFonts w:hint="eastAsia" w:hAnsi="宋体"/>
                <w:color w:val="auto"/>
                <w:highlight w:val="none"/>
              </w:rPr>
              <w:t>产地及品牌</w:t>
            </w: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123"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186"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233" w:hRule="atLeast"/>
          <w:jc w:val="center"/>
        </w:trPr>
        <w:tc>
          <w:tcPr>
            <w:tcW w:w="1077" w:type="dxa"/>
            <w:tcBorders>
              <w:top w:val="nil"/>
              <w:left w:val="double" w:color="auto" w:sz="6" w:space="0"/>
              <w:bottom w:val="single" w:color="auto" w:sz="4"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nil"/>
              <w:left w:val="nil"/>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nil"/>
              <w:left w:val="single" w:color="auto" w:sz="4" w:space="0"/>
              <w:bottom w:val="single" w:color="auto" w:sz="4"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single" w:color="auto" w:sz="4" w:space="0"/>
              <w:right w:val="single" w:color="auto" w:sz="4" w:space="0"/>
            </w:tcBorders>
            <w:vAlign w:val="bottom"/>
          </w:tcPr>
          <w:p>
            <w:pPr>
              <w:widowControl/>
              <w:spacing w:line="400" w:lineRule="exact"/>
              <w:jc w:val="left"/>
              <w:rPr>
                <w:rFonts w:hAnsi="宋体"/>
                <w:color w:val="auto"/>
                <w:highlight w:val="none"/>
              </w:rPr>
            </w:pPr>
          </w:p>
        </w:tc>
      </w:tr>
      <w:tr>
        <w:tblPrEx>
          <w:tblCellMar>
            <w:top w:w="0" w:type="dxa"/>
            <w:left w:w="108" w:type="dxa"/>
            <w:bottom w:w="0" w:type="dxa"/>
            <w:right w:w="108" w:type="dxa"/>
          </w:tblCellMar>
        </w:tblPrEx>
        <w:trPr>
          <w:trHeight w:val="70" w:hRule="atLeast"/>
          <w:jc w:val="center"/>
        </w:trPr>
        <w:tc>
          <w:tcPr>
            <w:tcW w:w="1077" w:type="dxa"/>
            <w:tcBorders>
              <w:top w:val="nil"/>
              <w:left w:val="double" w:color="auto" w:sz="6" w:space="0"/>
              <w:bottom w:val="double" w:color="auto" w:sz="6" w:space="0"/>
              <w:right w:val="single" w:color="auto" w:sz="4" w:space="0"/>
            </w:tcBorders>
            <w:vAlign w:val="center"/>
          </w:tcPr>
          <w:p>
            <w:pPr>
              <w:widowControl/>
              <w:spacing w:line="400" w:lineRule="exact"/>
              <w:jc w:val="center"/>
              <w:rPr>
                <w:rFonts w:hAnsi="宋体"/>
                <w:color w:val="auto"/>
                <w:highlight w:val="none"/>
              </w:rPr>
            </w:pPr>
          </w:p>
        </w:tc>
        <w:tc>
          <w:tcPr>
            <w:tcW w:w="2721" w:type="dxa"/>
            <w:tcBorders>
              <w:top w:val="single" w:color="auto" w:sz="4" w:space="0"/>
              <w:left w:val="nil"/>
              <w:bottom w:val="double" w:color="auto" w:sz="6" w:space="0"/>
              <w:right w:val="single" w:color="auto" w:sz="4" w:space="0"/>
            </w:tcBorders>
            <w:vAlign w:val="center"/>
          </w:tcPr>
          <w:p>
            <w:pPr>
              <w:widowControl/>
              <w:spacing w:line="400" w:lineRule="exact"/>
              <w:jc w:val="left"/>
              <w:rPr>
                <w:rFonts w:hAnsi="宋体"/>
                <w:color w:val="auto"/>
                <w:highlight w:val="none"/>
              </w:rPr>
            </w:pPr>
          </w:p>
        </w:tc>
        <w:tc>
          <w:tcPr>
            <w:tcW w:w="3345" w:type="dxa"/>
            <w:tcBorders>
              <w:top w:val="single" w:color="auto" w:sz="4" w:space="0"/>
              <w:left w:val="single" w:color="auto" w:sz="4" w:space="0"/>
              <w:bottom w:val="double" w:color="auto" w:sz="6" w:space="0"/>
              <w:right w:val="single" w:color="auto" w:sz="4" w:space="0"/>
            </w:tcBorders>
            <w:vAlign w:val="center"/>
          </w:tcPr>
          <w:p>
            <w:pPr>
              <w:widowControl/>
              <w:spacing w:line="400" w:lineRule="exact"/>
              <w:jc w:val="left"/>
              <w:rPr>
                <w:rFonts w:hAnsi="宋体"/>
                <w:color w:val="auto"/>
                <w:highlight w:val="none"/>
              </w:rPr>
            </w:pPr>
          </w:p>
        </w:tc>
        <w:tc>
          <w:tcPr>
            <w:tcW w:w="1871" w:type="dxa"/>
            <w:tcBorders>
              <w:top w:val="nil"/>
              <w:left w:val="nil"/>
              <w:bottom w:val="double" w:color="auto" w:sz="6" w:space="0"/>
              <w:right w:val="single" w:color="auto" w:sz="4" w:space="0"/>
            </w:tcBorders>
            <w:vAlign w:val="bottom"/>
          </w:tcPr>
          <w:p>
            <w:pPr>
              <w:widowControl/>
              <w:spacing w:line="400" w:lineRule="exact"/>
              <w:jc w:val="left"/>
              <w:rPr>
                <w:rFonts w:hAnsi="宋体"/>
                <w:color w:val="auto"/>
                <w:highlight w:val="none"/>
              </w:rPr>
            </w:pPr>
          </w:p>
        </w:tc>
      </w:tr>
    </w:tbl>
    <w:p>
      <w:pPr>
        <w:spacing w:line="360" w:lineRule="auto"/>
        <w:jc w:val="right"/>
        <w:rPr>
          <w:rFonts w:ascii="宋体" w:hAnsi="宋体"/>
          <w:color w:val="auto"/>
          <w:szCs w:val="21"/>
          <w:highlight w:val="none"/>
        </w:rPr>
      </w:pPr>
      <w:r>
        <w:rPr>
          <w:rFonts w:hint="eastAsia" w:ascii="宋体" w:hAnsi="宋体"/>
          <w:color w:val="auto"/>
          <w:szCs w:val="21"/>
          <w:highlight w:val="none"/>
        </w:rPr>
        <w:t>投标单位：（盖法人公章）</w:t>
      </w:r>
    </w:p>
    <w:p>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法定代表人或被授权人：（签字或盖章）</w:t>
      </w:r>
    </w:p>
    <w:p>
      <w:pPr>
        <w:spacing w:line="360" w:lineRule="auto"/>
        <w:ind w:firstLine="3630" w:firstLineChars="1650"/>
        <w:jc w:val="right"/>
        <w:rPr>
          <w:rFonts w:ascii="宋体" w:hAnsi="宋体"/>
          <w:color w:val="auto"/>
          <w:szCs w:val="21"/>
          <w:highlight w:val="none"/>
        </w:rPr>
      </w:pPr>
      <w:r>
        <w:rPr>
          <w:rFonts w:hint="eastAsia" w:ascii="宋体" w:hAnsi="宋体"/>
          <w:color w:val="auto"/>
          <w:szCs w:val="21"/>
          <w:highlight w:val="none"/>
        </w:rPr>
        <w:t>年     月     日</w:t>
      </w:r>
    </w:p>
    <w:p>
      <w:pPr>
        <w:pStyle w:val="14"/>
        <w:rPr>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pStyle w:val="3"/>
        <w:keepNext w:val="0"/>
        <w:keepLines w:val="0"/>
        <w:pageBreakBefore w:val="0"/>
        <w:widowControl w:val="0"/>
        <w:tabs>
          <w:tab w:val="left" w:pos="1785"/>
        </w:tabs>
        <w:kinsoku/>
        <w:wordWrap/>
        <w:overflowPunct/>
        <w:topLinePunct w:val="0"/>
        <w:autoSpaceDE w:val="0"/>
        <w:autoSpaceDN w:val="0"/>
        <w:bidi w:val="0"/>
        <w:adjustRightInd/>
        <w:snapToGrid/>
        <w:spacing w:before="0" w:beforeLines="50" w:after="0" w:afterLines="50" w:line="360" w:lineRule="auto"/>
        <w:ind w:left="0" w:right="0"/>
        <w:textAlignment w:val="auto"/>
        <w:outlineLvl w:val="0"/>
        <w:rPr>
          <w:rFonts w:hint="eastAsia" w:ascii="宋体" w:hAnsi="宋体" w:eastAsia="宋体" w:cs="宋体"/>
          <w:color w:val="auto"/>
          <w:sz w:val="32"/>
          <w:szCs w:val="32"/>
          <w:highlight w:val="none"/>
        </w:rPr>
      </w:pPr>
      <w:bookmarkStart w:id="36" w:name="_bookmark24"/>
      <w:bookmarkEnd w:id="36"/>
      <w:bookmarkStart w:id="37" w:name="_Toc332"/>
      <w:r>
        <w:rPr>
          <w:rFonts w:hint="eastAsia" w:ascii="宋体" w:hAnsi="宋体" w:eastAsia="宋体" w:cs="宋体"/>
          <w:color w:val="auto"/>
          <w:sz w:val="32"/>
          <w:szCs w:val="32"/>
          <w:highlight w:val="none"/>
        </w:rPr>
        <w:t>第五章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技术条件（工程建设标准）</w:t>
      </w:r>
      <w:bookmarkEnd w:id="37"/>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2" w:firstLineChars="200"/>
        <w:textAlignment w:val="auto"/>
        <w:rPr>
          <w:rFonts w:hint="eastAsia" w:ascii="宋体" w:hAnsi="宋体" w:eastAsia="宋体" w:cs="宋体"/>
          <w:b/>
          <w:bCs/>
          <w:color w:val="auto"/>
          <w:sz w:val="24"/>
          <w:szCs w:val="22"/>
          <w:highlight w:val="none"/>
          <w:lang w:val="en-US" w:eastAsia="zh-CN" w:bidi="zh-CN"/>
        </w:rPr>
      </w:pPr>
      <w:r>
        <w:rPr>
          <w:rFonts w:hint="eastAsia" w:ascii="宋体" w:hAnsi="宋体" w:eastAsia="宋体" w:cs="宋体"/>
          <w:b/>
          <w:bCs/>
          <w:color w:val="auto"/>
          <w:sz w:val="24"/>
          <w:szCs w:val="22"/>
          <w:highlight w:val="none"/>
          <w:lang w:val="en-US" w:eastAsia="zh-CN" w:bidi="zh-CN"/>
        </w:rPr>
        <w:t>一、标准</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以现行的中华人民共和国及有关部委颁布的标准、规范、和规程。若施工时期建设主管部门颁布新的规范、标准，则按照新的规范、标准执行。</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2" w:firstLineChars="200"/>
        <w:textAlignment w:val="auto"/>
        <w:rPr>
          <w:rFonts w:hint="eastAsia" w:ascii="宋体" w:hAnsi="宋体" w:eastAsia="宋体" w:cs="宋体"/>
          <w:b/>
          <w:bCs/>
          <w:color w:val="auto"/>
          <w:sz w:val="24"/>
          <w:szCs w:val="22"/>
          <w:highlight w:val="none"/>
          <w:lang w:val="en-US" w:eastAsia="zh-CN" w:bidi="zh-CN"/>
        </w:rPr>
      </w:pPr>
      <w:r>
        <w:rPr>
          <w:rFonts w:hint="eastAsia" w:ascii="宋体" w:hAnsi="宋体" w:eastAsia="宋体" w:cs="宋体"/>
          <w:b/>
          <w:bCs/>
          <w:color w:val="auto"/>
          <w:sz w:val="24"/>
          <w:szCs w:val="22"/>
          <w:highlight w:val="none"/>
          <w:lang w:val="en-US" w:eastAsia="zh-CN" w:bidi="zh-CN"/>
        </w:rPr>
        <w:t>二、施工组织设计要点</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如果中标，中标人应按项目的进展需求，并在规定的时间内按要点要求，编制详细的施工组织设计，作为工程施工的指导性文件，向建设单位提交一式四份的《施工组织设计方案》，内容包括（不限于）以下：</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（一）工程概况及特点</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1.1 工程概况</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工程简述，工程规模，工程承包范围，地质及地貌状况，自然环境，交通情况等。</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1.2 工程特点</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设计特点、工程特点、影响施工的主要和特殊环节分析等。</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（二）施工现场组织机构</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2.1 组织机构关系图</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2.2 工程主要负责人简介。</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（三）施工现场总平面布置图</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3.1 施工现场平面布置图</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（四）施工方案</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4.1 施工准备</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简要叙述施工技术资料、材料、通讯、施工场地的准备，施工机械、施工力量的配置，以及生活设施等的准备情况。主要施工机械设备表。</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4.2 施工工序总体安排</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4.3 主要工序和特殊工序的施工方法和施工效率估计，潜在问题的分析。</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4.4 工程成本的控制措施为控制成本，提高效益，拟采取的措施。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default" w:ascii="宋体" w:hAnsi="宋体" w:eastAsia="宋体" w:cs="宋体"/>
          <w:color w:val="auto"/>
          <w:sz w:val="24"/>
          <w:szCs w:val="22"/>
          <w:highlight w:val="none"/>
          <w:lang w:val="en-US" w:eastAsia="zh-CN" w:bidi="zh-CN"/>
        </w:rPr>
      </w:pPr>
      <w:r>
        <w:rPr>
          <w:rFonts w:hint="eastAsia" w:cs="宋体"/>
          <w:color w:val="auto"/>
          <w:sz w:val="24"/>
          <w:szCs w:val="22"/>
          <w:highlight w:val="none"/>
          <w:lang w:val="en-US" w:eastAsia="zh-CN" w:bidi="zh-CN"/>
        </w:rPr>
        <w:t xml:space="preserve">4.5 </w:t>
      </w:r>
      <w:r>
        <w:rPr>
          <w:rFonts w:hint="eastAsia" w:ascii="宋体" w:hAnsi="宋体" w:eastAsia="宋体" w:cs="宋体"/>
          <w:snapToGrid w:val="0"/>
          <w:color w:val="auto"/>
          <w:kern w:val="0"/>
          <w:sz w:val="24"/>
          <w:highlight w:val="none"/>
        </w:rPr>
        <w:t>中标人应当</w:t>
      </w:r>
      <w:r>
        <w:rPr>
          <w:rFonts w:hint="eastAsia" w:cs="宋体"/>
          <w:snapToGrid w:val="0"/>
          <w:color w:val="auto"/>
          <w:kern w:val="0"/>
          <w:sz w:val="24"/>
          <w:highlight w:val="none"/>
          <w:lang w:val="en-US" w:eastAsia="zh-CN"/>
        </w:rPr>
        <w:t>按《广东省建筑垃圾管理条例》</w:t>
      </w:r>
      <w:r>
        <w:rPr>
          <w:rFonts w:hint="eastAsia" w:ascii="宋体" w:hAnsi="宋体" w:eastAsia="宋体" w:cs="宋体"/>
          <w:snapToGrid w:val="0"/>
          <w:color w:val="auto"/>
          <w:kern w:val="0"/>
          <w:sz w:val="24"/>
          <w:highlight w:val="none"/>
        </w:rPr>
        <w:t>编制建筑垃圾处理方案，采取污染防治措施，并在开工前报工程所在地县级人民政府建筑垃圾主管部门备案。建筑垃圾处理方案内容有调整的，应当及时报告接受备案的部门。</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（五）工期及施工进度计划</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5.1 工期规划及要求</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用横道图反映各主要施工过程的计划进度，深度达到全面、准确、清楚的描述工程实施过程，从中可衍生出各种施工资源计划及其过程管理信息。</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5.2 施工进度计划网络图</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施工网络图应明确工程开工、竣工日期，工程施工的关键路线，并针对关键工序，提出确保工期拟采取的措施。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5.3 施工资源（人力、材料、机具、场地及进场道路、公共关系）计划</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5.4 施工进度计划分析</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计划潜在问题，计划中的潜力及其开发途径等。</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5.5 计划控制</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程序、方法及制度等。</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（六）质量目标、质量保证体系及技术组织措施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6.1 质量目标</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本工程要求的质量目标：合格。</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用单位工程和分项工程合格率、优良品率表示，欲达到的工程质量等级。</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6.2 质量管理组织机构及主要职责</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用框图表示质量管理组织机构，并简要叙述各质量管理部门的主要职责。</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6.3 质量管理的措施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简要叙述质量管理的措施和关键工序的质量控制。</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6.4 质量管理及检验的标准</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执行的主要质量标准、规范。</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6.5 质量保证技术措施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针对本工程特点，分析质量薄弱环节，拟将采取的技术措施。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（七）安全目标、安全保证体系及技术组织措施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7.1 安全管理目标</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7.2 安全管理组织机构及主要职责</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用框图表示安全管理组织机构，并简要叙述各安全管理部门及人员的主要职责。</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7.3 安全管理制度及办法</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7.4 安全组织技术措施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针对本工程特点，分析安全薄弱环节，拟将采取的技术措施。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7.5 重要施工方案和特殊施工工序的安全过程控制</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安全生产目标：杜绝本项目施工人员重大伤亡事故。</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文明施工目标：标准化管理。</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（八）环境保护及文明施工</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8.1 环境保护</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分析因施工可能引起的环境保护方面的问题。</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8.2 加强施工管理、严格保护环境</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提出环境保护的目标及采取的具体措施。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8.3 文明施工的目标、组织机构和实施方案</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8.4 文明施工考核、管理办法</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（九）计划、统计和信息管理</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9.1 计划、统计报表的编制与传递；</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9.2 信息管理</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提出信息管理的目标及拟将采取的措施。</w:t>
      </w:r>
    </w:p>
    <w:p>
      <w:pPr>
        <w:keepNext w:val="0"/>
        <w:keepLines w:val="0"/>
        <w:pageBreakBefore w:val="0"/>
        <w:widowControl w:val="0"/>
        <w:kinsoku/>
        <w:wordWrap/>
        <w:overflowPunct/>
        <w:topLinePunct w:val="0"/>
        <w:bidi w:val="0"/>
        <w:adjustRightInd/>
        <w:spacing w:after="0" w:line="360" w:lineRule="auto"/>
        <w:textAlignment w:val="auto"/>
        <w:rPr>
          <w:color w:val="auto"/>
          <w:highlight w:val="none"/>
        </w:rPr>
      </w:pPr>
    </w:p>
    <w:p>
      <w:pPr>
        <w:bidi w:val="0"/>
        <w:rPr>
          <w:rFonts w:ascii="宋体" w:hAnsi="宋体" w:eastAsia="宋体" w:cs="宋体"/>
          <w:color w:val="auto"/>
          <w:sz w:val="22"/>
          <w:szCs w:val="22"/>
          <w:highlight w:val="none"/>
          <w:lang w:val="zh-CN" w:eastAsia="zh-CN" w:bidi="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bidi w:val="0"/>
        <w:rPr>
          <w:color w:val="auto"/>
          <w:highlight w:val="none"/>
          <w:lang w:val="zh-CN" w:eastAsia="zh-CN"/>
        </w:rPr>
      </w:pPr>
    </w:p>
    <w:p>
      <w:pPr>
        <w:pStyle w:val="3"/>
        <w:keepNext w:val="0"/>
        <w:keepLines w:val="0"/>
        <w:pageBreakBefore w:val="0"/>
        <w:widowControl w:val="0"/>
        <w:tabs>
          <w:tab w:val="left" w:pos="1785"/>
        </w:tabs>
        <w:kinsoku/>
        <w:wordWrap/>
        <w:overflowPunct/>
        <w:topLinePunct w:val="0"/>
        <w:autoSpaceDE w:val="0"/>
        <w:autoSpaceDN w:val="0"/>
        <w:bidi w:val="0"/>
        <w:adjustRightInd/>
        <w:snapToGrid/>
        <w:spacing w:before="0" w:beforeLines="50" w:after="0" w:afterLines="50" w:line="360" w:lineRule="auto"/>
        <w:ind w:left="0" w:right="0"/>
        <w:textAlignment w:val="auto"/>
        <w:outlineLvl w:val="0"/>
        <w:rPr>
          <w:rFonts w:hint="default" w:ascii="宋体" w:hAnsi="宋体" w:eastAsia="宋体" w:cs="宋体"/>
          <w:color w:val="auto"/>
          <w:sz w:val="32"/>
          <w:szCs w:val="32"/>
          <w:highlight w:val="none"/>
          <w:lang w:val="en-US" w:eastAsia="zh-CN"/>
        </w:rPr>
      </w:pPr>
      <w:bookmarkStart w:id="38" w:name="_Toc527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六</w:t>
      </w:r>
      <w:r>
        <w:rPr>
          <w:rFonts w:hint="eastAsia" w:ascii="宋体" w:hAnsi="宋体" w:eastAsia="宋体" w:cs="宋体"/>
          <w:color w:val="auto"/>
          <w:sz w:val="32"/>
          <w:szCs w:val="32"/>
          <w:highlight w:val="none"/>
        </w:rPr>
        <w:t>章</w:t>
      </w:r>
      <w:r>
        <w:rPr>
          <w:rFonts w:hint="eastAsia" w:ascii="宋体" w:hAnsi="宋体" w:eastAsia="宋体" w:cs="宋体"/>
          <w:color w:val="auto"/>
          <w:sz w:val="32"/>
          <w:szCs w:val="32"/>
          <w:highlight w:val="none"/>
          <w:lang w:val="en-US" w:eastAsia="zh-CN"/>
        </w:rPr>
        <w:t xml:space="preserve">  图纸及勘察资料</w:t>
      </w:r>
      <w:bookmarkEnd w:id="38"/>
    </w:p>
    <w:p>
      <w:pPr>
        <w:pStyle w:val="13"/>
        <w:keepNext w:val="0"/>
        <w:keepLines w:val="0"/>
        <w:pageBreakBefore w:val="0"/>
        <w:widowControl w:val="0"/>
        <w:kinsoku/>
        <w:wordWrap/>
        <w:overflowPunct/>
        <w:topLinePunct w:val="0"/>
        <w:bidi w:val="0"/>
        <w:adjustRightInd/>
        <w:spacing w:before="7" w:line="360" w:lineRule="auto"/>
        <w:ind w:left="0"/>
        <w:textAlignment w:val="auto"/>
        <w:rPr>
          <w:b/>
          <w:color w:val="auto"/>
          <w:sz w:val="17"/>
          <w:highlight w:val="none"/>
        </w:rPr>
      </w:pPr>
    </w:p>
    <w:p>
      <w:pPr>
        <w:tabs>
          <w:tab w:val="left" w:pos="720"/>
        </w:tabs>
        <w:snapToGrid w:val="0"/>
        <w:spacing w:line="360" w:lineRule="auto"/>
        <w:jc w:val="center"/>
        <w:rPr>
          <w:rFonts w:hint="eastAsia" w:ascii="宋体" w:hAnsi="宋体" w:eastAsia="宋体" w:cs="宋体"/>
          <w:b/>
          <w:color w:val="auto"/>
          <w:sz w:val="36"/>
          <w:szCs w:val="36"/>
          <w:highlight w:val="none"/>
          <w:lang w:val="en-US" w:eastAsia="zh-CN"/>
        </w:rPr>
      </w:pPr>
      <w:bookmarkStart w:id="39" w:name="_bookmark25"/>
      <w:bookmarkEnd w:id="39"/>
      <w:r>
        <w:rPr>
          <w:rFonts w:hint="eastAsia" w:ascii="宋体" w:hAnsi="宋体" w:eastAsia="宋体" w:cs="宋体"/>
          <w:b/>
          <w:color w:val="auto"/>
          <w:sz w:val="36"/>
          <w:szCs w:val="36"/>
          <w:highlight w:val="none"/>
          <w:lang w:val="en-US" w:eastAsia="zh-CN"/>
        </w:rPr>
        <w:t>（另册）</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ascii="宋体" w:hAnsi="宋体" w:eastAsia="宋体" w:cs="宋体"/>
          <w:color w:val="auto"/>
          <w:sz w:val="24"/>
          <w:szCs w:val="22"/>
          <w:highlight w:val="none"/>
          <w:lang w:val="en-US" w:eastAsia="zh-CN" w:bidi="zh-CN"/>
        </w:rPr>
        <w:sectPr>
          <w:headerReference r:id="rId17" w:type="default"/>
          <w:footerReference r:id="rId18" w:type="default"/>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3"/>
        <w:keepNext w:val="0"/>
        <w:keepLines w:val="0"/>
        <w:pageBreakBefore w:val="0"/>
        <w:widowControl w:val="0"/>
        <w:tabs>
          <w:tab w:val="left" w:pos="1785"/>
        </w:tabs>
        <w:kinsoku/>
        <w:wordWrap/>
        <w:overflowPunct/>
        <w:topLinePunct w:val="0"/>
        <w:autoSpaceDE w:val="0"/>
        <w:autoSpaceDN w:val="0"/>
        <w:bidi w:val="0"/>
        <w:adjustRightInd/>
        <w:snapToGrid/>
        <w:spacing w:before="0" w:beforeLines="50" w:after="0" w:afterLines="50" w:line="360" w:lineRule="auto"/>
        <w:ind w:left="0" w:right="0"/>
        <w:textAlignment w:val="auto"/>
        <w:outlineLvl w:val="0"/>
        <w:rPr>
          <w:rFonts w:hint="default" w:ascii="宋体" w:hAnsi="宋体" w:eastAsia="宋体" w:cs="宋体"/>
          <w:color w:val="auto"/>
          <w:sz w:val="32"/>
          <w:szCs w:val="32"/>
          <w:highlight w:val="none"/>
          <w:lang w:val="en-US" w:eastAsia="zh-CN"/>
        </w:rPr>
      </w:pPr>
      <w:bookmarkStart w:id="40" w:name="_Toc16707"/>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章</w:t>
      </w:r>
      <w:r>
        <w:rPr>
          <w:rFonts w:hint="eastAsia" w:ascii="宋体" w:hAnsi="宋体" w:eastAsia="宋体" w:cs="宋体"/>
          <w:color w:val="auto"/>
          <w:sz w:val="32"/>
          <w:szCs w:val="32"/>
          <w:highlight w:val="none"/>
          <w:lang w:val="en-US" w:eastAsia="zh-CN"/>
        </w:rPr>
        <w:t xml:space="preserve">  工程量清单</w:t>
      </w:r>
      <w:bookmarkEnd w:id="40"/>
    </w:p>
    <w:p>
      <w:pPr>
        <w:pStyle w:val="13"/>
        <w:keepNext w:val="0"/>
        <w:keepLines w:val="0"/>
        <w:pageBreakBefore w:val="0"/>
        <w:widowControl w:val="0"/>
        <w:kinsoku/>
        <w:wordWrap/>
        <w:overflowPunct/>
        <w:topLinePunct w:val="0"/>
        <w:bidi w:val="0"/>
        <w:adjustRightInd/>
        <w:spacing w:before="7" w:line="360" w:lineRule="auto"/>
        <w:ind w:left="0"/>
        <w:textAlignment w:val="auto"/>
        <w:rPr>
          <w:b/>
          <w:color w:val="auto"/>
          <w:sz w:val="17"/>
          <w:highlight w:val="none"/>
        </w:rPr>
      </w:pPr>
    </w:p>
    <w:p>
      <w:pPr>
        <w:tabs>
          <w:tab w:val="left" w:pos="720"/>
        </w:tabs>
        <w:snapToGrid w:val="0"/>
        <w:spacing w:line="360" w:lineRule="auto"/>
        <w:jc w:val="center"/>
        <w:rPr>
          <w:rFonts w:hint="eastAsia" w:ascii="宋体" w:hAnsi="宋体" w:eastAsia="宋体" w:cs="宋体"/>
          <w:b/>
          <w:color w:val="auto"/>
          <w:sz w:val="36"/>
          <w:szCs w:val="36"/>
          <w:highlight w:val="none"/>
          <w:lang w:val="en-US" w:eastAsia="zh-CN"/>
        </w:rPr>
      </w:pPr>
      <w:bookmarkStart w:id="41" w:name="_bookmark26"/>
      <w:bookmarkEnd w:id="41"/>
      <w:r>
        <w:rPr>
          <w:rFonts w:hint="eastAsia" w:ascii="宋体" w:hAnsi="宋体" w:eastAsia="宋体" w:cs="宋体"/>
          <w:b/>
          <w:color w:val="auto"/>
          <w:sz w:val="36"/>
          <w:szCs w:val="36"/>
          <w:highlight w:val="none"/>
          <w:lang w:val="en-US" w:eastAsia="zh-CN"/>
        </w:rPr>
        <w:t>（另册）</w:t>
      </w:r>
    </w:p>
    <w:p>
      <w:pPr>
        <w:pStyle w:val="13"/>
        <w:keepNext w:val="0"/>
        <w:keepLines w:val="0"/>
        <w:pageBreakBefore w:val="0"/>
        <w:widowControl w:val="0"/>
        <w:kinsoku/>
        <w:wordWrap/>
        <w:overflowPunct/>
        <w:topLinePunct w:val="0"/>
        <w:bidi w:val="0"/>
        <w:adjustRightInd/>
        <w:spacing w:before="83" w:line="360" w:lineRule="auto"/>
        <w:ind w:left="1618"/>
        <w:textAlignment w:val="auto"/>
        <w:rPr>
          <w:rFonts w:hint="eastAsia" w:eastAsia="宋体"/>
          <w:color w:val="auto"/>
          <w:highlight w:val="none"/>
          <w:lang w:eastAsia="zh-CN"/>
        </w:rPr>
      </w:pPr>
    </w:p>
    <w:p>
      <w:pPr>
        <w:keepNext w:val="0"/>
        <w:keepLines w:val="0"/>
        <w:pageBreakBefore w:val="0"/>
        <w:widowControl w:val="0"/>
        <w:kinsoku/>
        <w:wordWrap/>
        <w:overflowPunct/>
        <w:topLinePunct w:val="0"/>
        <w:bidi w:val="0"/>
        <w:adjustRightInd/>
        <w:spacing w:after="0" w:line="360" w:lineRule="auto"/>
        <w:textAlignment w:val="auto"/>
        <w:rPr>
          <w:color w:val="auto"/>
          <w:highlight w:val="none"/>
        </w:rPr>
        <w:sectPr>
          <w:headerReference r:id="rId19" w:type="default"/>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pPr>
    </w:p>
    <w:p>
      <w:pPr>
        <w:pStyle w:val="3"/>
        <w:keepNext w:val="0"/>
        <w:keepLines w:val="0"/>
        <w:pageBreakBefore w:val="0"/>
        <w:widowControl w:val="0"/>
        <w:tabs>
          <w:tab w:val="left" w:pos="1785"/>
        </w:tabs>
        <w:kinsoku/>
        <w:wordWrap/>
        <w:overflowPunct/>
        <w:topLinePunct w:val="0"/>
        <w:autoSpaceDE w:val="0"/>
        <w:autoSpaceDN w:val="0"/>
        <w:bidi w:val="0"/>
        <w:adjustRightInd/>
        <w:snapToGrid/>
        <w:spacing w:before="0" w:beforeLines="50" w:after="0" w:afterLines="50" w:line="360" w:lineRule="auto"/>
        <w:ind w:left="0" w:right="0"/>
        <w:textAlignment w:val="auto"/>
        <w:outlineLvl w:val="0"/>
        <w:rPr>
          <w:rFonts w:hint="eastAsia" w:eastAsia="宋体"/>
          <w:color w:val="auto"/>
          <w:highlight w:val="none"/>
          <w:lang w:eastAsia="zh-CN"/>
        </w:rPr>
      </w:pPr>
      <w:bookmarkStart w:id="42" w:name="_Toc19246"/>
      <w:r>
        <w:rPr>
          <w:color w:val="auto"/>
          <w:highlight w:val="none"/>
        </w:rPr>
        <mc:AlternateContent>
          <mc:Choice Requires="wps">
            <w:drawing>
              <wp:anchor distT="0" distB="0" distL="114300" distR="114300" simplePos="0" relativeHeight="251670528" behindDoc="1" locked="0" layoutInCell="1" allowOverlap="1">
                <wp:simplePos x="0" y="0"/>
                <wp:positionH relativeFrom="page">
                  <wp:posOffset>1146175</wp:posOffset>
                </wp:positionH>
                <wp:positionV relativeFrom="paragraph">
                  <wp:posOffset>631825</wp:posOffset>
                </wp:positionV>
                <wp:extent cx="5415915" cy="8045450"/>
                <wp:effectExtent l="5080" t="4445" r="8255" b="8255"/>
                <wp:wrapTopAndBottom/>
                <wp:docPr id="10" name="文本框 14"/>
                <wp:cNvGraphicFramePr/>
                <a:graphic xmlns:a="http://schemas.openxmlformats.org/drawingml/2006/main">
                  <a:graphicData uri="http://schemas.microsoft.com/office/word/2010/wordprocessingShape">
                    <wps:wsp>
                      <wps:cNvSpPr txBox="1"/>
                      <wps:spPr>
                        <a:xfrm>
                          <a:off x="0" y="0"/>
                          <a:ext cx="5415915" cy="8045450"/>
                        </a:xfrm>
                        <a:prstGeom prst="rect">
                          <a:avLst/>
                        </a:prstGeom>
                        <a:noFill/>
                        <a:ln w="6096"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eastAsia="宋体"/>
                                <w:sz w:val="24"/>
                                <w:szCs w:val="24"/>
                                <w:lang w:eastAsia="zh-CN"/>
                              </w:rPr>
                            </w:pPr>
                            <w:r>
                              <w:rPr>
                                <w:b/>
                                <w:color w:val="333333"/>
                                <w:spacing w:val="-52"/>
                                <w:sz w:val="44"/>
                              </w:rPr>
                              <w:t>最高投标限价公布函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default" w:eastAsia="宋体"/>
                                <w:color w:val="333333"/>
                                <w:spacing w:val="-1"/>
                                <w:sz w:val="24"/>
                                <w:szCs w:val="24"/>
                                <w:u w:val="single"/>
                                <w:lang w:val="en-US" w:eastAsia="zh-CN"/>
                              </w:rPr>
                            </w:pPr>
                            <w:r>
                              <w:rPr>
                                <w:color w:val="333333"/>
                                <w:spacing w:val="-1"/>
                                <w:sz w:val="24"/>
                                <w:szCs w:val="24"/>
                              </w:rPr>
                              <w:t>工程名称：</w:t>
                            </w:r>
                            <w:r>
                              <w:rPr>
                                <w:rFonts w:hint="eastAsia"/>
                                <w:color w:val="333333"/>
                                <w:spacing w:val="-1"/>
                                <w:sz w:val="24"/>
                                <w:szCs w:val="24"/>
                                <w:u w:val="single"/>
                                <w:lang w:val="en-US" w:eastAsia="zh-CN"/>
                              </w:rPr>
                              <w:t>荔湾区城市车行桥梁护栏升级改造工程</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default"/>
                                <w:color w:val="333333"/>
                                <w:sz w:val="24"/>
                                <w:szCs w:val="24"/>
                                <w:lang w:val="en-US"/>
                              </w:rPr>
                            </w:pPr>
                            <w:r>
                              <w:rPr>
                                <w:color w:val="333333"/>
                                <w:spacing w:val="-1"/>
                                <w:sz w:val="24"/>
                                <w:szCs w:val="24"/>
                              </w:rPr>
                              <w:t>最高投标限价（元</w:t>
                            </w:r>
                            <w:r>
                              <w:rPr>
                                <w:color w:val="333333"/>
                                <w:spacing w:val="-120"/>
                                <w:sz w:val="24"/>
                                <w:szCs w:val="24"/>
                              </w:rPr>
                              <w:t>）</w:t>
                            </w:r>
                            <w:r>
                              <w:rPr>
                                <w:color w:val="333333"/>
                                <w:sz w:val="24"/>
                                <w:szCs w:val="24"/>
                              </w:rPr>
                              <w:t>：</w:t>
                            </w:r>
                            <w:r>
                              <w:rPr>
                                <w:rFonts w:hint="eastAsia"/>
                                <w:color w:val="333333"/>
                                <w:spacing w:val="-1"/>
                                <w:sz w:val="24"/>
                                <w:szCs w:val="24"/>
                                <w:u w:val="single"/>
                                <w:lang w:val="en-US" w:eastAsia="zh-CN"/>
                              </w:rPr>
                              <w:t>13533839.25</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default" w:eastAsia="宋体"/>
                                <w:sz w:val="24"/>
                                <w:szCs w:val="24"/>
                                <w:lang w:val="en-US" w:eastAsia="zh-CN"/>
                              </w:rPr>
                            </w:pPr>
                            <w:r>
                              <w:rPr>
                                <w:color w:val="333333"/>
                                <w:sz w:val="24"/>
                                <w:szCs w:val="24"/>
                              </w:rPr>
                              <w:t>分部分项工程费（元</w:t>
                            </w:r>
                            <w:r>
                              <w:rPr>
                                <w:color w:val="333333"/>
                                <w:spacing w:val="-120"/>
                                <w:sz w:val="24"/>
                                <w:szCs w:val="24"/>
                              </w:rPr>
                              <w:t>）</w:t>
                            </w:r>
                            <w:r>
                              <w:rPr>
                                <w:color w:val="333333"/>
                                <w:sz w:val="24"/>
                                <w:szCs w:val="24"/>
                              </w:rPr>
                              <w:t>：</w:t>
                            </w:r>
                            <w:r>
                              <w:rPr>
                                <w:rFonts w:hint="eastAsia" w:ascii="Times New Roman" w:eastAsia="宋体"/>
                                <w:color w:val="333333"/>
                                <w:spacing w:val="-1"/>
                                <w:sz w:val="24"/>
                                <w:szCs w:val="24"/>
                                <w:u w:val="single"/>
                                <w:lang w:val="en-US" w:eastAsia="zh-CN"/>
                              </w:rPr>
                              <w:t xml:space="preserve"> </w:t>
                            </w:r>
                            <w:r>
                              <w:rPr>
                                <w:rFonts w:hint="eastAsia"/>
                                <w:color w:val="333333"/>
                                <w:spacing w:val="-1"/>
                                <w:sz w:val="24"/>
                                <w:szCs w:val="24"/>
                                <w:u w:val="single"/>
                                <w:lang w:val="en-US" w:eastAsia="zh-CN"/>
                              </w:rPr>
                              <w:t>9456041.04</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color w:val="333333"/>
                                <w:sz w:val="24"/>
                                <w:szCs w:val="24"/>
                              </w:rPr>
                            </w:pPr>
                            <w:r>
                              <w:rPr>
                                <w:color w:val="333333"/>
                                <w:sz w:val="24"/>
                                <w:szCs w:val="24"/>
                              </w:rPr>
                              <w:t>措施项目费（元</w:t>
                            </w:r>
                            <w:r>
                              <w:rPr>
                                <w:color w:val="333333"/>
                                <w:spacing w:val="-120"/>
                                <w:sz w:val="24"/>
                                <w:szCs w:val="24"/>
                              </w:rPr>
                              <w:t>）</w:t>
                            </w:r>
                            <w:r>
                              <w:rPr>
                                <w:color w:val="333333"/>
                                <w:sz w:val="24"/>
                                <w:szCs w:val="24"/>
                              </w:rPr>
                              <w:t>：</w:t>
                            </w:r>
                            <w:r>
                              <w:rPr>
                                <w:rFonts w:hint="eastAsia"/>
                                <w:color w:val="333333"/>
                                <w:spacing w:val="-1"/>
                                <w:sz w:val="24"/>
                                <w:szCs w:val="24"/>
                                <w:u w:val="single"/>
                                <w:lang w:val="en-US" w:eastAsia="zh-CN"/>
                              </w:rPr>
                              <w:t xml:space="preserve"> 1462622.16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960" w:firstLineChars="400"/>
                              <w:jc w:val="both"/>
                              <w:textAlignment w:val="auto"/>
                              <w:rPr>
                                <w:rFonts w:hint="eastAsia" w:eastAsia="宋体"/>
                                <w:sz w:val="24"/>
                                <w:szCs w:val="24"/>
                                <w:lang w:eastAsia="zh-CN"/>
                              </w:rPr>
                            </w:pPr>
                            <w:r>
                              <w:rPr>
                                <w:color w:val="333333"/>
                                <w:sz w:val="24"/>
                                <w:szCs w:val="24"/>
                              </w:rPr>
                              <w:t>其中绿色施工安全防护措施费（元</w:t>
                            </w:r>
                            <w:r>
                              <w:rPr>
                                <w:color w:val="333333"/>
                                <w:spacing w:val="-120"/>
                                <w:sz w:val="24"/>
                                <w:szCs w:val="24"/>
                              </w:rPr>
                              <w:t>）</w:t>
                            </w:r>
                            <w:r>
                              <w:rPr>
                                <w:color w:val="333333"/>
                                <w:spacing w:val="1"/>
                                <w:sz w:val="24"/>
                                <w:szCs w:val="24"/>
                              </w:rPr>
                              <w:t>：</w:t>
                            </w:r>
                            <w:r>
                              <w:rPr>
                                <w:rFonts w:hint="eastAsia" w:ascii="Times New Roman" w:eastAsia="宋体"/>
                                <w:color w:val="333333"/>
                                <w:spacing w:val="-1"/>
                                <w:sz w:val="24"/>
                                <w:szCs w:val="24"/>
                                <w:u w:val="single"/>
                                <w:lang w:val="en-US" w:eastAsia="zh-CN"/>
                              </w:rPr>
                              <w:t xml:space="preserve"> </w:t>
                            </w:r>
                            <w:r>
                              <w:rPr>
                                <w:rFonts w:hint="eastAsia"/>
                                <w:color w:val="333333"/>
                                <w:spacing w:val="-1"/>
                                <w:sz w:val="24"/>
                                <w:szCs w:val="24"/>
                                <w:u w:val="single"/>
                                <w:lang w:val="en-US" w:eastAsia="zh-CN"/>
                              </w:rPr>
                              <w:t xml:space="preserve">1139153.59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穗盐路立交桥绿色施工安全防护措施费（元）： </w:t>
                            </w:r>
                            <w:r>
                              <w:rPr>
                                <w:rFonts w:hint="eastAsia"/>
                                <w:color w:val="333333"/>
                                <w:spacing w:val="-1"/>
                                <w:sz w:val="24"/>
                                <w:szCs w:val="24"/>
                                <w:u w:val="single"/>
                                <w:lang w:val="en-US" w:eastAsia="zh-CN"/>
                              </w:rPr>
                              <w:t xml:space="preserve">318920.69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花地大道南沙尾桥绿色施工安全防护措施费（元）：</w:t>
                            </w:r>
                            <w:r>
                              <w:rPr>
                                <w:rFonts w:hint="eastAsia"/>
                                <w:color w:val="333333"/>
                                <w:spacing w:val="-1"/>
                                <w:sz w:val="24"/>
                                <w:szCs w:val="24"/>
                                <w:u w:val="single"/>
                                <w:lang w:val="en-US" w:eastAsia="zh-CN"/>
                              </w:rPr>
                              <w:t xml:space="preserve"> 543300.1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花地大道南渔尾桥绿色施工安全防护措施费（元）： </w:t>
                            </w:r>
                            <w:r>
                              <w:rPr>
                                <w:rFonts w:hint="eastAsia"/>
                                <w:color w:val="333333"/>
                                <w:spacing w:val="-1"/>
                                <w:sz w:val="24"/>
                                <w:szCs w:val="24"/>
                                <w:u w:val="single"/>
                                <w:lang w:val="en-US" w:eastAsia="zh-CN"/>
                              </w:rPr>
                              <w:t>148009.03</w:t>
                            </w:r>
                            <w:r>
                              <w:rPr>
                                <w:rFonts w:hint="eastAsia"/>
                                <w:color w:val="333333"/>
                                <w:spacing w:val="-1"/>
                                <w:sz w:val="24"/>
                                <w:szCs w:val="24"/>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芳村大道山村大桥绿色施工安全防护措施费（元）： </w:t>
                            </w:r>
                            <w:r>
                              <w:rPr>
                                <w:rFonts w:hint="eastAsia"/>
                                <w:color w:val="333333"/>
                                <w:spacing w:val="-1"/>
                                <w:sz w:val="24"/>
                                <w:szCs w:val="24"/>
                                <w:u w:val="single"/>
                                <w:lang w:val="en-US" w:eastAsia="zh-CN"/>
                              </w:rPr>
                              <w:t>45203.78</w:t>
                            </w:r>
                            <w:r>
                              <w:rPr>
                                <w:rFonts w:hint="eastAsia"/>
                                <w:color w:val="333333"/>
                                <w:spacing w:val="-1"/>
                                <w:sz w:val="24"/>
                                <w:szCs w:val="24"/>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葵蓬涌 1#桥绿色施工安全防护措施费（元）： </w:t>
                            </w:r>
                            <w:r>
                              <w:rPr>
                                <w:rFonts w:hint="eastAsia"/>
                                <w:color w:val="333333"/>
                                <w:spacing w:val="-1"/>
                                <w:sz w:val="24"/>
                                <w:szCs w:val="24"/>
                                <w:u w:val="single"/>
                                <w:lang w:val="en-US" w:eastAsia="zh-CN"/>
                              </w:rPr>
                              <w:t>43131.84</w:t>
                            </w:r>
                            <w:r>
                              <w:rPr>
                                <w:rFonts w:hint="eastAsia"/>
                                <w:color w:val="333333"/>
                                <w:spacing w:val="-1"/>
                                <w:sz w:val="24"/>
                                <w:szCs w:val="24"/>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竹脚涌 1#桥绿色施工安全防护措施费（元）： </w:t>
                            </w:r>
                            <w:r>
                              <w:rPr>
                                <w:rFonts w:hint="eastAsia"/>
                                <w:color w:val="333333"/>
                                <w:spacing w:val="-1"/>
                                <w:sz w:val="24"/>
                                <w:szCs w:val="24"/>
                                <w:u w:val="single"/>
                                <w:lang w:val="en-US" w:eastAsia="zh-CN"/>
                              </w:rPr>
                              <w:t xml:space="preserve">4970.21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六二三路桥绿色施工安全防护措施费（元）：</w:t>
                            </w:r>
                            <w:r>
                              <w:rPr>
                                <w:rFonts w:hint="eastAsia"/>
                                <w:color w:val="333333"/>
                                <w:spacing w:val="-1"/>
                                <w:sz w:val="24"/>
                                <w:szCs w:val="24"/>
                                <w:u w:val="single"/>
                                <w:lang w:val="en-US" w:eastAsia="zh-CN"/>
                              </w:rPr>
                              <w:t xml:space="preserve"> 35617.94</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960" w:firstLineChars="400"/>
                              <w:jc w:val="left"/>
                              <w:textAlignment w:val="auto"/>
                              <w:rPr>
                                <w:rFonts w:hint="eastAsia" w:eastAsia="宋体"/>
                                <w:sz w:val="24"/>
                                <w:szCs w:val="24"/>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333333"/>
                                <w:sz w:val="24"/>
                                <w:szCs w:val="24"/>
                              </w:rPr>
                            </w:pPr>
                            <w:r>
                              <w:rPr>
                                <w:color w:val="333333"/>
                                <w:sz w:val="24"/>
                                <w:szCs w:val="24"/>
                              </w:rPr>
                              <w:t>其他项目费（元</w:t>
                            </w:r>
                            <w:r>
                              <w:rPr>
                                <w:color w:val="333333"/>
                                <w:spacing w:val="-120"/>
                                <w:sz w:val="24"/>
                                <w:szCs w:val="24"/>
                              </w:rPr>
                              <w:t>）</w:t>
                            </w:r>
                            <w:r>
                              <w:rPr>
                                <w:color w:val="333333"/>
                                <w:sz w:val="24"/>
                                <w:szCs w:val="24"/>
                              </w:rPr>
                              <w:t>：</w:t>
                            </w:r>
                            <w:r>
                              <w:rPr>
                                <w:rFonts w:hint="eastAsia"/>
                                <w:color w:val="333333"/>
                                <w:sz w:val="24"/>
                                <w:szCs w:val="24"/>
                                <w:u w:val="single"/>
                              </w:rPr>
                              <w:t>1497703.09</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960" w:firstLineChars="400"/>
                              <w:textAlignment w:val="auto"/>
                              <w:rPr>
                                <w:rFonts w:hint="eastAsia" w:eastAsia="宋体"/>
                                <w:sz w:val="24"/>
                                <w:szCs w:val="24"/>
                                <w:lang w:eastAsia="zh-CN"/>
                              </w:rPr>
                            </w:pPr>
                            <w:r>
                              <w:rPr>
                                <w:color w:val="333333"/>
                                <w:sz w:val="24"/>
                                <w:szCs w:val="24"/>
                              </w:rPr>
                              <w:t>其中暂列金额（元</w:t>
                            </w:r>
                            <w:r>
                              <w:rPr>
                                <w:color w:val="333333"/>
                                <w:spacing w:val="-120"/>
                                <w:sz w:val="24"/>
                                <w:szCs w:val="24"/>
                              </w:rPr>
                              <w:t>）</w:t>
                            </w:r>
                            <w:r>
                              <w:rPr>
                                <w:color w:val="333333"/>
                                <w:sz w:val="24"/>
                                <w:szCs w:val="24"/>
                              </w:rPr>
                              <w:t>：</w:t>
                            </w:r>
                            <w:r>
                              <w:rPr>
                                <w:rFonts w:hint="eastAsia"/>
                                <w:color w:val="333333"/>
                                <w:sz w:val="24"/>
                                <w:szCs w:val="24"/>
                                <w:u w:val="single"/>
                              </w:rPr>
                              <w:t>945604.09</w:t>
                            </w:r>
                            <w:r>
                              <w:rPr>
                                <w:rFonts w:hint="eastAsia" w:ascii="Times New Roman" w:eastAsia="宋体"/>
                                <w:color w:val="333333"/>
                                <w:spacing w:val="-1"/>
                                <w:sz w:val="24"/>
                                <w:szCs w:val="24"/>
                                <w:u w:val="single"/>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穗盐路立交桥暂列金额（元）： 287516.68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花地大道南沙尾桥暂列金额（元）： 380127.97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花地大道南渔尾桥暂列金额（元）： 119073.95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芳村大道山村大桥暂列金额（元）： 52783.26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葵蓬涌 1#桥暂列金额（元）： 40805.99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竹脚涌 1#桥暂列金额（元）： 8901.78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六二三路桥暂列金额（元）： 56394.46</w:t>
                            </w:r>
                          </w:p>
                          <w:p>
                            <w:pPr>
                              <w:keepNext w:val="0"/>
                              <w:keepLines w:val="0"/>
                              <w:widowControl/>
                              <w:suppressLineNumbers w:val="0"/>
                              <w:jc w:val="left"/>
                              <w:rPr>
                                <w:rFonts w:hint="eastAsia" w:ascii="宋体" w:hAnsi="宋体" w:eastAsia="宋体" w:cs="宋体"/>
                                <w:color w:val="333333"/>
                                <w:kern w:val="0"/>
                                <w:sz w:val="24"/>
                                <w:szCs w:val="24"/>
                                <w:lang w:val="en-US" w:eastAsia="zh-CN" w:bidi="ar"/>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333333"/>
                                <w:sz w:val="24"/>
                                <w:szCs w:val="24"/>
                              </w:rPr>
                            </w:pPr>
                            <w:r>
                              <w:rPr>
                                <w:rFonts w:hint="eastAsia"/>
                                <w:color w:val="333333"/>
                                <w:sz w:val="24"/>
                                <w:szCs w:val="24"/>
                                <w:lang w:val="en-US" w:eastAsia="zh-CN"/>
                              </w:rPr>
                              <w:t xml:space="preserve">其中专业工程暂估价（元）： 0.00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333333"/>
                                <w:sz w:val="24"/>
                                <w:szCs w:val="24"/>
                              </w:rPr>
                            </w:pPr>
                            <w:r>
                              <w:rPr>
                                <w:color w:val="333333"/>
                                <w:sz w:val="24"/>
                                <w:szCs w:val="24"/>
                              </w:rPr>
                              <w:t>规费（元</w:t>
                            </w:r>
                            <w:r>
                              <w:rPr>
                                <w:color w:val="333333"/>
                                <w:spacing w:val="-120"/>
                                <w:sz w:val="24"/>
                                <w:szCs w:val="24"/>
                              </w:rPr>
                              <w:t>）</w:t>
                            </w:r>
                            <w:r>
                              <w:rPr>
                                <w:color w:val="333333"/>
                                <w:sz w:val="24"/>
                                <w:szCs w:val="24"/>
                              </w:rPr>
                              <w:t>：</w:t>
                            </w:r>
                            <w:r>
                              <w:rPr>
                                <w:rFonts w:hint="eastAsia" w:ascii="Times New Roman" w:eastAsia="宋体"/>
                                <w:color w:val="333333"/>
                                <w:spacing w:val="-1"/>
                                <w:sz w:val="24"/>
                                <w:szCs w:val="24"/>
                                <w:u w:val="single"/>
                                <w:lang w:val="en-US" w:eastAsia="zh-CN"/>
                              </w:rPr>
                              <w:t xml:space="preserve">  </w:t>
                            </w:r>
                            <w:r>
                              <w:rPr>
                                <w:rFonts w:hint="eastAsia" w:ascii="Times New Roman"/>
                                <w:color w:val="333333"/>
                                <w:spacing w:val="-1"/>
                                <w:sz w:val="24"/>
                                <w:szCs w:val="24"/>
                                <w:u w:val="single"/>
                                <w:lang w:val="en-US" w:eastAsia="zh-CN"/>
                              </w:rPr>
                              <w:t>0.00</w:t>
                            </w:r>
                            <w:r>
                              <w:rPr>
                                <w:rFonts w:hint="eastAsia" w:ascii="Times New Roman" w:eastAsia="宋体"/>
                                <w:color w:val="333333"/>
                                <w:spacing w:val="-1"/>
                                <w:sz w:val="24"/>
                                <w:szCs w:val="24"/>
                                <w:u w:val="single"/>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eastAsia="宋体"/>
                                <w:sz w:val="24"/>
                                <w:szCs w:val="24"/>
                                <w:lang w:eastAsia="zh-CN"/>
                              </w:rPr>
                            </w:pPr>
                            <w:r>
                              <w:rPr>
                                <w:color w:val="333333"/>
                                <w:sz w:val="24"/>
                                <w:szCs w:val="24"/>
                              </w:rPr>
                              <w:t>税金（元</w:t>
                            </w:r>
                            <w:r>
                              <w:rPr>
                                <w:color w:val="333333"/>
                                <w:spacing w:val="-120"/>
                                <w:sz w:val="24"/>
                                <w:szCs w:val="24"/>
                              </w:rPr>
                              <w:t>）</w:t>
                            </w:r>
                            <w:r>
                              <w:rPr>
                                <w:color w:val="333333"/>
                                <w:sz w:val="24"/>
                                <w:szCs w:val="24"/>
                              </w:rPr>
                              <w:t>：</w:t>
                            </w:r>
                            <w:r>
                              <w:rPr>
                                <w:rFonts w:hint="eastAsia" w:ascii="Times New Roman" w:eastAsia="宋体"/>
                                <w:color w:val="333333"/>
                                <w:spacing w:val="-1"/>
                                <w:sz w:val="24"/>
                                <w:szCs w:val="24"/>
                                <w:u w:val="single"/>
                                <w:lang w:val="en-US" w:eastAsia="zh-CN"/>
                              </w:rPr>
                              <w:t xml:space="preserve"> </w:t>
                            </w:r>
                            <w:r>
                              <w:rPr>
                                <w:rFonts w:hint="eastAsia" w:ascii="Times New Roman"/>
                                <w:color w:val="333333"/>
                                <w:spacing w:val="-1"/>
                                <w:sz w:val="24"/>
                                <w:szCs w:val="24"/>
                                <w:u w:val="single"/>
                                <w:lang w:val="en-US" w:eastAsia="zh-CN"/>
                              </w:rPr>
                              <w:t>1117472.96</w:t>
                            </w:r>
                            <w:r>
                              <w:rPr>
                                <w:rFonts w:hint="eastAsia" w:ascii="Times New Roman" w:eastAsia="宋体"/>
                                <w:color w:val="333333"/>
                                <w:spacing w:val="-1"/>
                                <w:sz w:val="24"/>
                                <w:szCs w:val="24"/>
                                <w:u w:val="single"/>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eastAsia="宋体"/>
                                <w:sz w:val="24"/>
                                <w:szCs w:val="24"/>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对公开招标工程，</w:t>
                            </w:r>
                            <w:r>
                              <w:rPr>
                                <w:color w:val="333333"/>
                                <w:sz w:val="24"/>
                                <w:szCs w:val="24"/>
                              </w:rPr>
                              <w:t>投标人须按照公布的绿色施工安全防护措施费、</w:t>
                            </w:r>
                            <w:r>
                              <w:rPr>
                                <w:sz w:val="24"/>
                                <w:szCs w:val="24"/>
                              </w:rPr>
                              <w:t>暂列金额报价。</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sz w:val="24"/>
                                <w:szCs w:val="24"/>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right"/>
                              <w:textAlignment w:val="auto"/>
                              <w:rPr>
                                <w:color w:val="333333"/>
                                <w:sz w:val="24"/>
                                <w:szCs w:val="24"/>
                              </w:rPr>
                            </w:pPr>
                            <w:r>
                              <w:rPr>
                                <w:color w:val="333333"/>
                                <w:sz w:val="24"/>
                                <w:szCs w:val="24"/>
                              </w:rPr>
                              <w:t>招标单位（盖章）</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720" w:firstLineChars="300"/>
                              <w:jc w:val="right"/>
                              <w:textAlignment w:val="auto"/>
                              <w:rPr>
                                <w:rFonts w:hint="eastAsia" w:eastAsia="宋体"/>
                                <w:b/>
                                <w:sz w:val="44"/>
                                <w:lang w:eastAsia="zh-CN"/>
                              </w:rPr>
                            </w:pP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txbxContent>
                      </wps:txbx>
                      <wps:bodyPr lIns="0" tIns="0" rIns="0" bIns="0" upright="1"/>
                    </wps:wsp>
                  </a:graphicData>
                </a:graphic>
              </wp:anchor>
            </w:drawing>
          </mc:Choice>
          <mc:Fallback>
            <w:pict>
              <v:shape id="文本框 14" o:spid="_x0000_s1026" o:spt="202" type="#_x0000_t202" style="position:absolute;left:0pt;margin-left:90.25pt;margin-top:49.75pt;height:633.5pt;width:426.45pt;mso-position-horizontal-relative:page;mso-wrap-distance-bottom:0pt;mso-wrap-distance-top:0pt;z-index:-251645952;mso-width-relative:page;mso-height-relative:page;" filled="f" stroked="t" coordsize="21600,21600" o:gfxdata="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2aH2TYAAAADAEAAA8A&#10;AAAAAAAAAQAgAAAAIgAAAGRycy9kb3ducmV2LnhtbFBLAQIUABQAAAAIAIdO4kDcDAnbFwIAADQE&#10;AAAOAAAAAAAAAAEAIAAAACcBAABkcnMvZTJvRG9jLnhtbFBLBQYAAAAABgAGAFkBAACwBQAAAAA=&#10;">
                <v:fill on="f" focussize="0,0"/>
                <v:stroke weight="0.48pt" color="#000000" joinstyle="miter"/>
                <v:imagedata o:title=""/>
                <o:lock v:ext="edit" aspectratio="f"/>
                <v:textbox inset="0mm,0mm,0mm,0mm">
                  <w:txbxContent>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eastAsia="宋体"/>
                          <w:sz w:val="24"/>
                          <w:szCs w:val="24"/>
                          <w:lang w:eastAsia="zh-CN"/>
                        </w:rPr>
                      </w:pPr>
                      <w:r>
                        <w:rPr>
                          <w:b/>
                          <w:color w:val="333333"/>
                          <w:spacing w:val="-52"/>
                          <w:sz w:val="44"/>
                        </w:rPr>
                        <w:t>最高投标限价公布函</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default" w:eastAsia="宋体"/>
                          <w:color w:val="333333"/>
                          <w:spacing w:val="-1"/>
                          <w:sz w:val="24"/>
                          <w:szCs w:val="24"/>
                          <w:u w:val="single"/>
                          <w:lang w:val="en-US" w:eastAsia="zh-CN"/>
                        </w:rPr>
                      </w:pPr>
                      <w:r>
                        <w:rPr>
                          <w:color w:val="333333"/>
                          <w:spacing w:val="-1"/>
                          <w:sz w:val="24"/>
                          <w:szCs w:val="24"/>
                        </w:rPr>
                        <w:t>工程名称：</w:t>
                      </w:r>
                      <w:r>
                        <w:rPr>
                          <w:rFonts w:hint="eastAsia"/>
                          <w:color w:val="333333"/>
                          <w:spacing w:val="-1"/>
                          <w:sz w:val="24"/>
                          <w:szCs w:val="24"/>
                          <w:u w:val="single"/>
                          <w:lang w:val="en-US" w:eastAsia="zh-CN"/>
                        </w:rPr>
                        <w:t>荔湾区城市车行桥梁护栏升级改造工程</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default"/>
                          <w:color w:val="333333"/>
                          <w:sz w:val="24"/>
                          <w:szCs w:val="24"/>
                          <w:lang w:val="en-US"/>
                        </w:rPr>
                      </w:pPr>
                      <w:r>
                        <w:rPr>
                          <w:color w:val="333333"/>
                          <w:spacing w:val="-1"/>
                          <w:sz w:val="24"/>
                          <w:szCs w:val="24"/>
                        </w:rPr>
                        <w:t>最高投标限价（元</w:t>
                      </w:r>
                      <w:r>
                        <w:rPr>
                          <w:color w:val="333333"/>
                          <w:spacing w:val="-120"/>
                          <w:sz w:val="24"/>
                          <w:szCs w:val="24"/>
                        </w:rPr>
                        <w:t>）</w:t>
                      </w:r>
                      <w:r>
                        <w:rPr>
                          <w:color w:val="333333"/>
                          <w:sz w:val="24"/>
                          <w:szCs w:val="24"/>
                        </w:rPr>
                        <w:t>：</w:t>
                      </w:r>
                      <w:r>
                        <w:rPr>
                          <w:rFonts w:hint="eastAsia"/>
                          <w:color w:val="333333"/>
                          <w:spacing w:val="-1"/>
                          <w:sz w:val="24"/>
                          <w:szCs w:val="24"/>
                          <w:u w:val="single"/>
                          <w:lang w:val="en-US" w:eastAsia="zh-CN"/>
                        </w:rPr>
                        <w:t>13533839.25</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default" w:eastAsia="宋体"/>
                          <w:sz w:val="24"/>
                          <w:szCs w:val="24"/>
                          <w:lang w:val="en-US" w:eastAsia="zh-CN"/>
                        </w:rPr>
                      </w:pPr>
                      <w:r>
                        <w:rPr>
                          <w:color w:val="333333"/>
                          <w:sz w:val="24"/>
                          <w:szCs w:val="24"/>
                        </w:rPr>
                        <w:t>分部分项工程费（元</w:t>
                      </w:r>
                      <w:r>
                        <w:rPr>
                          <w:color w:val="333333"/>
                          <w:spacing w:val="-120"/>
                          <w:sz w:val="24"/>
                          <w:szCs w:val="24"/>
                        </w:rPr>
                        <w:t>）</w:t>
                      </w:r>
                      <w:r>
                        <w:rPr>
                          <w:color w:val="333333"/>
                          <w:sz w:val="24"/>
                          <w:szCs w:val="24"/>
                        </w:rPr>
                        <w:t>：</w:t>
                      </w:r>
                      <w:r>
                        <w:rPr>
                          <w:rFonts w:hint="eastAsia" w:ascii="Times New Roman" w:eastAsia="宋体"/>
                          <w:color w:val="333333"/>
                          <w:spacing w:val="-1"/>
                          <w:sz w:val="24"/>
                          <w:szCs w:val="24"/>
                          <w:u w:val="single"/>
                          <w:lang w:val="en-US" w:eastAsia="zh-CN"/>
                        </w:rPr>
                        <w:t xml:space="preserve"> </w:t>
                      </w:r>
                      <w:r>
                        <w:rPr>
                          <w:rFonts w:hint="eastAsia"/>
                          <w:color w:val="333333"/>
                          <w:spacing w:val="-1"/>
                          <w:sz w:val="24"/>
                          <w:szCs w:val="24"/>
                          <w:u w:val="single"/>
                          <w:lang w:val="en-US" w:eastAsia="zh-CN"/>
                        </w:rPr>
                        <w:t>9456041.04</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color w:val="333333"/>
                          <w:sz w:val="24"/>
                          <w:szCs w:val="24"/>
                        </w:rPr>
                      </w:pPr>
                      <w:r>
                        <w:rPr>
                          <w:color w:val="333333"/>
                          <w:sz w:val="24"/>
                          <w:szCs w:val="24"/>
                        </w:rPr>
                        <w:t>措施项目费（元</w:t>
                      </w:r>
                      <w:r>
                        <w:rPr>
                          <w:color w:val="333333"/>
                          <w:spacing w:val="-120"/>
                          <w:sz w:val="24"/>
                          <w:szCs w:val="24"/>
                        </w:rPr>
                        <w:t>）</w:t>
                      </w:r>
                      <w:r>
                        <w:rPr>
                          <w:color w:val="333333"/>
                          <w:sz w:val="24"/>
                          <w:szCs w:val="24"/>
                        </w:rPr>
                        <w:t>：</w:t>
                      </w:r>
                      <w:r>
                        <w:rPr>
                          <w:rFonts w:hint="eastAsia"/>
                          <w:color w:val="333333"/>
                          <w:spacing w:val="-1"/>
                          <w:sz w:val="24"/>
                          <w:szCs w:val="24"/>
                          <w:u w:val="single"/>
                          <w:lang w:val="en-US" w:eastAsia="zh-CN"/>
                        </w:rPr>
                        <w:t xml:space="preserve"> 1462622.16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960" w:firstLineChars="400"/>
                        <w:jc w:val="both"/>
                        <w:textAlignment w:val="auto"/>
                        <w:rPr>
                          <w:rFonts w:hint="eastAsia" w:eastAsia="宋体"/>
                          <w:sz w:val="24"/>
                          <w:szCs w:val="24"/>
                          <w:lang w:eastAsia="zh-CN"/>
                        </w:rPr>
                      </w:pPr>
                      <w:r>
                        <w:rPr>
                          <w:color w:val="333333"/>
                          <w:sz w:val="24"/>
                          <w:szCs w:val="24"/>
                        </w:rPr>
                        <w:t>其中绿色施工安全防护措施费（元</w:t>
                      </w:r>
                      <w:r>
                        <w:rPr>
                          <w:color w:val="333333"/>
                          <w:spacing w:val="-120"/>
                          <w:sz w:val="24"/>
                          <w:szCs w:val="24"/>
                        </w:rPr>
                        <w:t>）</w:t>
                      </w:r>
                      <w:r>
                        <w:rPr>
                          <w:color w:val="333333"/>
                          <w:spacing w:val="1"/>
                          <w:sz w:val="24"/>
                          <w:szCs w:val="24"/>
                        </w:rPr>
                        <w:t>：</w:t>
                      </w:r>
                      <w:r>
                        <w:rPr>
                          <w:rFonts w:hint="eastAsia" w:ascii="Times New Roman" w:eastAsia="宋体"/>
                          <w:color w:val="333333"/>
                          <w:spacing w:val="-1"/>
                          <w:sz w:val="24"/>
                          <w:szCs w:val="24"/>
                          <w:u w:val="single"/>
                          <w:lang w:val="en-US" w:eastAsia="zh-CN"/>
                        </w:rPr>
                        <w:t xml:space="preserve"> </w:t>
                      </w:r>
                      <w:r>
                        <w:rPr>
                          <w:rFonts w:hint="eastAsia"/>
                          <w:color w:val="333333"/>
                          <w:spacing w:val="-1"/>
                          <w:sz w:val="24"/>
                          <w:szCs w:val="24"/>
                          <w:u w:val="single"/>
                          <w:lang w:val="en-US" w:eastAsia="zh-CN"/>
                        </w:rPr>
                        <w:t xml:space="preserve">1139153.59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穗盐路立交桥绿色施工安全防护措施费（元）： </w:t>
                      </w:r>
                      <w:r>
                        <w:rPr>
                          <w:rFonts w:hint="eastAsia"/>
                          <w:color w:val="333333"/>
                          <w:spacing w:val="-1"/>
                          <w:sz w:val="24"/>
                          <w:szCs w:val="24"/>
                          <w:u w:val="single"/>
                          <w:lang w:val="en-US" w:eastAsia="zh-CN"/>
                        </w:rPr>
                        <w:t xml:space="preserve">318920.69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花地大道南沙尾桥绿色施工安全防护措施费（元）：</w:t>
                      </w:r>
                      <w:r>
                        <w:rPr>
                          <w:rFonts w:hint="eastAsia"/>
                          <w:color w:val="333333"/>
                          <w:spacing w:val="-1"/>
                          <w:sz w:val="24"/>
                          <w:szCs w:val="24"/>
                          <w:u w:val="single"/>
                          <w:lang w:val="en-US" w:eastAsia="zh-CN"/>
                        </w:rPr>
                        <w:t xml:space="preserve"> 543300.1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花地大道南渔尾桥绿色施工安全防护措施费（元）： </w:t>
                      </w:r>
                      <w:r>
                        <w:rPr>
                          <w:rFonts w:hint="eastAsia"/>
                          <w:color w:val="333333"/>
                          <w:spacing w:val="-1"/>
                          <w:sz w:val="24"/>
                          <w:szCs w:val="24"/>
                          <w:u w:val="single"/>
                          <w:lang w:val="en-US" w:eastAsia="zh-CN"/>
                        </w:rPr>
                        <w:t>148009.03</w:t>
                      </w:r>
                      <w:r>
                        <w:rPr>
                          <w:rFonts w:hint="eastAsia"/>
                          <w:color w:val="333333"/>
                          <w:spacing w:val="-1"/>
                          <w:sz w:val="24"/>
                          <w:szCs w:val="24"/>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芳村大道山村大桥绿色施工安全防护措施费（元）： </w:t>
                      </w:r>
                      <w:r>
                        <w:rPr>
                          <w:rFonts w:hint="eastAsia"/>
                          <w:color w:val="333333"/>
                          <w:spacing w:val="-1"/>
                          <w:sz w:val="24"/>
                          <w:szCs w:val="24"/>
                          <w:u w:val="single"/>
                          <w:lang w:val="en-US" w:eastAsia="zh-CN"/>
                        </w:rPr>
                        <w:t>45203.78</w:t>
                      </w:r>
                      <w:r>
                        <w:rPr>
                          <w:rFonts w:hint="eastAsia"/>
                          <w:color w:val="333333"/>
                          <w:spacing w:val="-1"/>
                          <w:sz w:val="24"/>
                          <w:szCs w:val="24"/>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葵蓬涌 1#桥绿色施工安全防护措施费（元）： </w:t>
                      </w:r>
                      <w:r>
                        <w:rPr>
                          <w:rFonts w:hint="eastAsia"/>
                          <w:color w:val="333333"/>
                          <w:spacing w:val="-1"/>
                          <w:sz w:val="24"/>
                          <w:szCs w:val="24"/>
                          <w:u w:val="single"/>
                          <w:lang w:val="en-US" w:eastAsia="zh-CN"/>
                        </w:rPr>
                        <w:t>43131.84</w:t>
                      </w:r>
                      <w:r>
                        <w:rPr>
                          <w:rFonts w:hint="eastAsia"/>
                          <w:color w:val="333333"/>
                          <w:spacing w:val="-1"/>
                          <w:sz w:val="24"/>
                          <w:szCs w:val="24"/>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 xml:space="preserve">竹脚涌 1#桥绿色施工安全防护措施费（元）： </w:t>
                      </w:r>
                      <w:r>
                        <w:rPr>
                          <w:rFonts w:hint="eastAsia"/>
                          <w:color w:val="333333"/>
                          <w:spacing w:val="-1"/>
                          <w:sz w:val="24"/>
                          <w:szCs w:val="24"/>
                          <w:u w:val="single"/>
                          <w:lang w:val="en-US" w:eastAsia="zh-CN"/>
                        </w:rPr>
                        <w:t xml:space="preserve">4970.21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color w:val="333333"/>
                          <w:spacing w:val="-1"/>
                          <w:sz w:val="24"/>
                          <w:szCs w:val="24"/>
                        </w:rPr>
                      </w:pPr>
                      <w:r>
                        <w:rPr>
                          <w:rFonts w:hint="eastAsia"/>
                          <w:color w:val="333333"/>
                          <w:spacing w:val="-1"/>
                          <w:sz w:val="24"/>
                          <w:szCs w:val="24"/>
                          <w:lang w:val="en-US" w:eastAsia="zh-CN"/>
                        </w:rPr>
                        <w:t>六二三路桥绿色施工安全防护措施费（元）：</w:t>
                      </w:r>
                      <w:r>
                        <w:rPr>
                          <w:rFonts w:hint="eastAsia"/>
                          <w:color w:val="333333"/>
                          <w:spacing w:val="-1"/>
                          <w:sz w:val="24"/>
                          <w:szCs w:val="24"/>
                          <w:u w:val="single"/>
                          <w:lang w:val="en-US" w:eastAsia="zh-CN"/>
                        </w:rPr>
                        <w:t xml:space="preserve"> 35617.94</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960" w:firstLineChars="400"/>
                        <w:jc w:val="left"/>
                        <w:textAlignment w:val="auto"/>
                        <w:rPr>
                          <w:rFonts w:hint="eastAsia" w:eastAsia="宋体"/>
                          <w:sz w:val="24"/>
                          <w:szCs w:val="24"/>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333333"/>
                          <w:sz w:val="24"/>
                          <w:szCs w:val="24"/>
                        </w:rPr>
                      </w:pPr>
                      <w:r>
                        <w:rPr>
                          <w:color w:val="333333"/>
                          <w:sz w:val="24"/>
                          <w:szCs w:val="24"/>
                        </w:rPr>
                        <w:t>其他项目费（元</w:t>
                      </w:r>
                      <w:r>
                        <w:rPr>
                          <w:color w:val="333333"/>
                          <w:spacing w:val="-120"/>
                          <w:sz w:val="24"/>
                          <w:szCs w:val="24"/>
                        </w:rPr>
                        <w:t>）</w:t>
                      </w:r>
                      <w:r>
                        <w:rPr>
                          <w:color w:val="333333"/>
                          <w:sz w:val="24"/>
                          <w:szCs w:val="24"/>
                        </w:rPr>
                        <w:t>：</w:t>
                      </w:r>
                      <w:r>
                        <w:rPr>
                          <w:rFonts w:hint="eastAsia"/>
                          <w:color w:val="333333"/>
                          <w:sz w:val="24"/>
                          <w:szCs w:val="24"/>
                          <w:u w:val="single"/>
                        </w:rPr>
                        <w:t>1497703.09</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960" w:firstLineChars="400"/>
                        <w:textAlignment w:val="auto"/>
                        <w:rPr>
                          <w:rFonts w:hint="eastAsia" w:eastAsia="宋体"/>
                          <w:sz w:val="24"/>
                          <w:szCs w:val="24"/>
                          <w:lang w:eastAsia="zh-CN"/>
                        </w:rPr>
                      </w:pPr>
                      <w:r>
                        <w:rPr>
                          <w:color w:val="333333"/>
                          <w:sz w:val="24"/>
                          <w:szCs w:val="24"/>
                        </w:rPr>
                        <w:t>其中暂列金额（元</w:t>
                      </w:r>
                      <w:r>
                        <w:rPr>
                          <w:color w:val="333333"/>
                          <w:spacing w:val="-120"/>
                          <w:sz w:val="24"/>
                          <w:szCs w:val="24"/>
                        </w:rPr>
                        <w:t>）</w:t>
                      </w:r>
                      <w:r>
                        <w:rPr>
                          <w:color w:val="333333"/>
                          <w:sz w:val="24"/>
                          <w:szCs w:val="24"/>
                        </w:rPr>
                        <w:t>：</w:t>
                      </w:r>
                      <w:r>
                        <w:rPr>
                          <w:rFonts w:hint="eastAsia"/>
                          <w:color w:val="333333"/>
                          <w:sz w:val="24"/>
                          <w:szCs w:val="24"/>
                          <w:u w:val="single"/>
                        </w:rPr>
                        <w:t>945604.09</w:t>
                      </w:r>
                      <w:r>
                        <w:rPr>
                          <w:rFonts w:hint="eastAsia" w:ascii="Times New Roman" w:eastAsia="宋体"/>
                          <w:color w:val="333333"/>
                          <w:spacing w:val="-1"/>
                          <w:sz w:val="24"/>
                          <w:szCs w:val="24"/>
                          <w:u w:val="single"/>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穗盐路立交桥暂列金额（元）： 287516.68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花地大道南沙尾桥暂列金额（元）： 380127.97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花地大道南渔尾桥暂列金额（元）： 119073.95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芳村大道山村大桥暂列金额（元）： 52783.26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葵蓬涌 1#桥暂列金额（元）： 40805.99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 xml:space="preserve">竹脚涌 1#桥暂列金额（元）： 8901.78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color w:val="333333"/>
                          <w:spacing w:val="-1"/>
                          <w:sz w:val="24"/>
                          <w:szCs w:val="24"/>
                          <w:lang w:val="en-US" w:eastAsia="zh-CN"/>
                        </w:rPr>
                      </w:pPr>
                      <w:r>
                        <w:rPr>
                          <w:rFonts w:hint="eastAsia"/>
                          <w:color w:val="333333"/>
                          <w:spacing w:val="-1"/>
                          <w:sz w:val="24"/>
                          <w:szCs w:val="24"/>
                          <w:lang w:val="en-US" w:eastAsia="zh-CN"/>
                        </w:rPr>
                        <w:t>六二三路桥暂列金额（元）： 56394.46</w:t>
                      </w:r>
                    </w:p>
                    <w:p>
                      <w:pPr>
                        <w:keepNext w:val="0"/>
                        <w:keepLines w:val="0"/>
                        <w:widowControl/>
                        <w:suppressLineNumbers w:val="0"/>
                        <w:jc w:val="left"/>
                        <w:rPr>
                          <w:rFonts w:hint="eastAsia" w:ascii="宋体" w:hAnsi="宋体" w:eastAsia="宋体" w:cs="宋体"/>
                          <w:color w:val="333333"/>
                          <w:kern w:val="0"/>
                          <w:sz w:val="24"/>
                          <w:szCs w:val="24"/>
                          <w:lang w:val="en-US" w:eastAsia="zh-CN" w:bidi="ar"/>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333333"/>
                          <w:sz w:val="24"/>
                          <w:szCs w:val="24"/>
                        </w:rPr>
                      </w:pPr>
                      <w:r>
                        <w:rPr>
                          <w:rFonts w:hint="eastAsia"/>
                          <w:color w:val="333333"/>
                          <w:sz w:val="24"/>
                          <w:szCs w:val="24"/>
                          <w:lang w:val="en-US" w:eastAsia="zh-CN"/>
                        </w:rPr>
                        <w:t xml:space="preserve">其中专业工程暂估价（元）： 0.00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color w:val="333333"/>
                          <w:sz w:val="24"/>
                          <w:szCs w:val="24"/>
                        </w:rPr>
                      </w:pPr>
                      <w:r>
                        <w:rPr>
                          <w:color w:val="333333"/>
                          <w:sz w:val="24"/>
                          <w:szCs w:val="24"/>
                        </w:rPr>
                        <w:t>规费（元</w:t>
                      </w:r>
                      <w:r>
                        <w:rPr>
                          <w:color w:val="333333"/>
                          <w:spacing w:val="-120"/>
                          <w:sz w:val="24"/>
                          <w:szCs w:val="24"/>
                        </w:rPr>
                        <w:t>）</w:t>
                      </w:r>
                      <w:r>
                        <w:rPr>
                          <w:color w:val="333333"/>
                          <w:sz w:val="24"/>
                          <w:szCs w:val="24"/>
                        </w:rPr>
                        <w:t>：</w:t>
                      </w:r>
                      <w:r>
                        <w:rPr>
                          <w:rFonts w:hint="eastAsia" w:ascii="Times New Roman" w:eastAsia="宋体"/>
                          <w:color w:val="333333"/>
                          <w:spacing w:val="-1"/>
                          <w:sz w:val="24"/>
                          <w:szCs w:val="24"/>
                          <w:u w:val="single"/>
                          <w:lang w:val="en-US" w:eastAsia="zh-CN"/>
                        </w:rPr>
                        <w:t xml:space="preserve">  </w:t>
                      </w:r>
                      <w:r>
                        <w:rPr>
                          <w:rFonts w:hint="eastAsia" w:ascii="Times New Roman"/>
                          <w:color w:val="333333"/>
                          <w:spacing w:val="-1"/>
                          <w:sz w:val="24"/>
                          <w:szCs w:val="24"/>
                          <w:u w:val="single"/>
                          <w:lang w:val="en-US" w:eastAsia="zh-CN"/>
                        </w:rPr>
                        <w:t>0.00</w:t>
                      </w:r>
                      <w:r>
                        <w:rPr>
                          <w:rFonts w:hint="eastAsia" w:ascii="Times New Roman" w:eastAsia="宋体"/>
                          <w:color w:val="333333"/>
                          <w:spacing w:val="-1"/>
                          <w:sz w:val="24"/>
                          <w:szCs w:val="24"/>
                          <w:u w:val="single"/>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rFonts w:hint="eastAsia" w:eastAsia="宋体"/>
                          <w:sz w:val="24"/>
                          <w:szCs w:val="24"/>
                          <w:lang w:eastAsia="zh-CN"/>
                        </w:rPr>
                      </w:pPr>
                      <w:r>
                        <w:rPr>
                          <w:color w:val="333333"/>
                          <w:sz w:val="24"/>
                          <w:szCs w:val="24"/>
                        </w:rPr>
                        <w:t>税金（元</w:t>
                      </w:r>
                      <w:r>
                        <w:rPr>
                          <w:color w:val="333333"/>
                          <w:spacing w:val="-120"/>
                          <w:sz w:val="24"/>
                          <w:szCs w:val="24"/>
                        </w:rPr>
                        <w:t>）</w:t>
                      </w:r>
                      <w:r>
                        <w:rPr>
                          <w:color w:val="333333"/>
                          <w:sz w:val="24"/>
                          <w:szCs w:val="24"/>
                        </w:rPr>
                        <w:t>：</w:t>
                      </w:r>
                      <w:r>
                        <w:rPr>
                          <w:rFonts w:hint="eastAsia" w:ascii="Times New Roman" w:eastAsia="宋体"/>
                          <w:color w:val="333333"/>
                          <w:spacing w:val="-1"/>
                          <w:sz w:val="24"/>
                          <w:szCs w:val="24"/>
                          <w:u w:val="single"/>
                          <w:lang w:val="en-US" w:eastAsia="zh-CN"/>
                        </w:rPr>
                        <w:t xml:space="preserve"> </w:t>
                      </w:r>
                      <w:r>
                        <w:rPr>
                          <w:rFonts w:hint="eastAsia" w:ascii="Times New Roman"/>
                          <w:color w:val="333333"/>
                          <w:spacing w:val="-1"/>
                          <w:sz w:val="24"/>
                          <w:szCs w:val="24"/>
                          <w:u w:val="single"/>
                          <w:lang w:val="en-US" w:eastAsia="zh-CN"/>
                        </w:rPr>
                        <w:t>1117472.96</w:t>
                      </w:r>
                      <w:r>
                        <w:rPr>
                          <w:rFonts w:hint="eastAsia" w:ascii="Times New Roman" w:eastAsia="宋体"/>
                          <w:color w:val="333333"/>
                          <w:spacing w:val="-1"/>
                          <w:sz w:val="24"/>
                          <w:szCs w:val="24"/>
                          <w:u w:val="single"/>
                          <w:lang w:val="en-US" w:eastAsia="zh-CN"/>
                        </w:rPr>
                        <w:t xml:space="preserve">  </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eastAsia="宋体"/>
                          <w:sz w:val="24"/>
                          <w:szCs w:val="24"/>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sz w:val="24"/>
                          <w:szCs w:val="24"/>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textAlignment w:val="auto"/>
                        <w:rPr>
                          <w:sz w:val="24"/>
                          <w:szCs w:val="24"/>
                        </w:rPr>
                      </w:pPr>
                      <w:r>
                        <w:rPr>
                          <w:sz w:val="24"/>
                          <w:szCs w:val="24"/>
                        </w:rPr>
                        <w:t>对公开招标工程，</w:t>
                      </w:r>
                      <w:r>
                        <w:rPr>
                          <w:color w:val="333333"/>
                          <w:sz w:val="24"/>
                          <w:szCs w:val="24"/>
                        </w:rPr>
                        <w:t>投标人须按照公布的绿色施工安全防护措施费、</w:t>
                      </w:r>
                      <w:r>
                        <w:rPr>
                          <w:sz w:val="24"/>
                          <w:szCs w:val="24"/>
                        </w:rPr>
                        <w:t>暂列金额报价。</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sz w:val="24"/>
                          <w:szCs w:val="24"/>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right"/>
                        <w:textAlignment w:val="auto"/>
                        <w:rPr>
                          <w:color w:val="333333"/>
                          <w:sz w:val="24"/>
                          <w:szCs w:val="24"/>
                        </w:rPr>
                      </w:pPr>
                      <w:r>
                        <w:rPr>
                          <w:color w:val="333333"/>
                          <w:sz w:val="24"/>
                          <w:szCs w:val="24"/>
                        </w:rPr>
                        <w:t>招标单位（盖章）</w:t>
                      </w: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720" w:firstLineChars="300"/>
                        <w:jc w:val="right"/>
                        <w:textAlignment w:val="auto"/>
                        <w:rPr>
                          <w:rFonts w:hint="eastAsia" w:eastAsia="宋体"/>
                          <w:b/>
                          <w:sz w:val="44"/>
                          <w:lang w:eastAsia="zh-CN"/>
                        </w:rPr>
                      </w:pP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w:t>
                      </w:r>
                    </w:p>
                  </w:txbxContent>
                </v:textbox>
                <w10:wrap type="topAndBottom"/>
              </v:shape>
            </w:pict>
          </mc:Fallback>
        </mc:AlternateContent>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八</w:t>
      </w:r>
      <w:r>
        <w:rPr>
          <w:rFonts w:hint="eastAsia" w:ascii="宋体" w:hAnsi="宋体" w:eastAsia="宋体" w:cs="宋体"/>
          <w:color w:val="auto"/>
          <w:sz w:val="32"/>
          <w:szCs w:val="32"/>
          <w:highlight w:val="none"/>
        </w:rPr>
        <w:t>章</w:t>
      </w:r>
      <w:r>
        <w:rPr>
          <w:rFonts w:hint="eastAsia" w:ascii="宋体" w:hAnsi="宋体" w:eastAsia="宋体" w:cs="宋体"/>
          <w:color w:val="auto"/>
          <w:sz w:val="32"/>
          <w:szCs w:val="32"/>
          <w:highlight w:val="none"/>
          <w:lang w:val="en-US" w:eastAsia="zh-CN"/>
        </w:rPr>
        <w:t xml:space="preserve">  最高投标限价</w:t>
      </w:r>
      <w:bookmarkEnd w:id="42"/>
      <w:bookmarkStart w:id="43" w:name="_bookmark27"/>
      <w:bookmarkEnd w:id="43"/>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eastAsia="宋体"/>
          <w:color w:val="auto"/>
          <w:highlight w:val="none"/>
          <w:lang w:eastAsia="zh-CN"/>
        </w:rPr>
      </w:pPr>
    </w:p>
    <w:p>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0" w:firstLineChars="200"/>
        <w:textAlignment w:val="auto"/>
        <w:rPr>
          <w:rFonts w:hint="eastAsia" w:eastAsia="宋体"/>
          <w:color w:val="auto"/>
          <w:highlight w:val="none"/>
          <w:lang w:eastAsia="zh-CN"/>
        </w:rPr>
      </w:pPr>
      <w:r>
        <w:rPr>
          <w:rFonts w:hint="eastAsia" w:eastAsia="宋体"/>
          <w:color w:val="auto"/>
          <w:highlight w:val="none"/>
          <w:lang w:eastAsia="zh-CN"/>
        </w:rPr>
        <w:t>对公开招标工程，投标人须按照公布的绿色施工安全防护措施费、暂列金额、专业工程暂估价报价。</w:t>
      </w:r>
    </w:p>
    <w:p>
      <w:pPr>
        <w:pStyle w:val="13"/>
        <w:keepNext w:val="0"/>
        <w:keepLines w:val="0"/>
        <w:pageBreakBefore w:val="0"/>
        <w:widowControl w:val="0"/>
        <w:kinsoku/>
        <w:wordWrap/>
        <w:overflowPunct/>
        <w:topLinePunct w:val="0"/>
        <w:bidi w:val="0"/>
        <w:adjustRightInd/>
        <w:spacing w:before="50" w:line="360" w:lineRule="auto"/>
        <w:ind w:left="1140" w:firstLine="4560" w:firstLineChars="1900"/>
        <w:textAlignment w:val="auto"/>
        <w:rPr>
          <w:rFonts w:hint="eastAsia" w:eastAsia="宋体"/>
          <w:color w:val="auto"/>
          <w:highlight w:val="none"/>
          <w:lang w:eastAsia="zh-CN"/>
        </w:rPr>
      </w:pPr>
      <w:r>
        <w:rPr>
          <w:rFonts w:hint="eastAsia" w:eastAsia="宋体"/>
          <w:color w:val="auto"/>
          <w:highlight w:val="none"/>
          <w:lang w:eastAsia="zh-CN"/>
        </w:rPr>
        <w:t xml:space="preserve"> 招标单位（盖章） </w:t>
      </w:r>
    </w:p>
    <w:p>
      <w:pPr>
        <w:pStyle w:val="13"/>
        <w:keepNext w:val="0"/>
        <w:keepLines w:val="0"/>
        <w:pageBreakBefore w:val="0"/>
        <w:widowControl w:val="0"/>
        <w:kinsoku/>
        <w:wordWrap/>
        <w:overflowPunct/>
        <w:topLinePunct w:val="0"/>
        <w:bidi w:val="0"/>
        <w:adjustRightInd/>
        <w:spacing w:before="50" w:line="360" w:lineRule="auto"/>
        <w:ind w:left="1140" w:firstLine="4800" w:firstLineChars="2000"/>
        <w:textAlignment w:val="auto"/>
        <w:rPr>
          <w:rFonts w:hint="eastAsia" w:eastAsia="宋体"/>
          <w:color w:val="auto"/>
          <w:highlight w:val="none"/>
          <w:lang w:eastAsia="zh-CN"/>
        </w:rPr>
      </w:pPr>
      <w:r>
        <w:rPr>
          <w:rFonts w:hint="eastAsia" w:eastAsia="宋体"/>
          <w:color w:val="auto"/>
          <w:highlight w:val="none"/>
          <w:lang w:eastAsia="zh-CN"/>
        </w:rPr>
        <w:t xml:space="preserve">年 </w:t>
      </w:r>
      <w:r>
        <w:rPr>
          <w:rFonts w:hint="eastAsia"/>
          <w:color w:val="auto"/>
          <w:highlight w:val="none"/>
          <w:lang w:val="en-US" w:eastAsia="zh-CN"/>
        </w:rPr>
        <w:t xml:space="preserve">  </w:t>
      </w:r>
      <w:r>
        <w:rPr>
          <w:rFonts w:hint="eastAsia" w:eastAsia="宋体"/>
          <w:color w:val="auto"/>
          <w:highlight w:val="none"/>
          <w:lang w:eastAsia="zh-CN"/>
        </w:rPr>
        <w:t xml:space="preserve">月 </w:t>
      </w:r>
      <w:r>
        <w:rPr>
          <w:rFonts w:hint="eastAsia"/>
          <w:color w:val="auto"/>
          <w:highlight w:val="none"/>
          <w:lang w:val="en-US" w:eastAsia="zh-CN"/>
        </w:rPr>
        <w:t xml:space="preserve">  </w:t>
      </w:r>
      <w:r>
        <w:rPr>
          <w:rFonts w:hint="eastAsia" w:eastAsia="宋体"/>
          <w:color w:val="auto"/>
          <w:highlight w:val="none"/>
          <w:lang w:eastAsia="zh-CN"/>
        </w:rPr>
        <w:t>日</w:t>
      </w:r>
    </w:p>
    <w:sectPr>
      <w:headerReference r:id="rId20" w:type="default"/>
      <w:pgSz w:w="11911" w:h="16838"/>
      <w:pgMar w:top="1417" w:right="850" w:bottom="1134" w:left="1134" w:header="850" w:footer="850"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22</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E3jIEy4AQAAcgMAAA4AAAAAAAAAAQAgAAAAIgEAAGRycy9lMm9Eb2MueG1sUEsFBgAAAAAG&#10;AAYAWQEAAEw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20"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82</w:t>
                          </w:r>
                          <w:r>
                            <w:fldChar w:fldCharType="end"/>
                          </w:r>
                        </w:p>
                      </w:txbxContent>
                    </wps:txbx>
                    <wps:bodyPr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sk/aNMAAAADAQAADwAAAAAAAAABACAAAAAiAAAAZHJzL2Rvd25yZXYueG1sUEsBAhQAFAAAAAgA&#10;h07iQJ9ByR64AQAAcgMAAA4AAAAAAAAAAQAgAAAAIgEAAGRycy9lMm9Eb2MueG1sUEsFBgAAAAAG&#10;AAYAWQEAAEwFA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7005" cy="139700"/>
              <wp:effectExtent l="0" t="0" r="0" b="0"/>
              <wp:wrapNone/>
              <wp:docPr id="32" name="文本框 28"/>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82</w:t>
                          </w:r>
                          <w:r>
                            <w:fldChar w:fldCharType="end"/>
                          </w:r>
                        </w:p>
                      </w:txbxContent>
                    </wps:txbx>
                    <wps:bodyPr lIns="0" tIns="0" rIns="0" bIns="0" upright="1"/>
                  </wps:wsp>
                </a:graphicData>
              </a:graphic>
            </wp:anchor>
          </w:drawing>
        </mc:Choice>
        <mc:Fallback>
          <w:pict>
            <v:shape id="文本框 28" o:spid="_x0000_s1026" o:spt="202" type="#_x0000_t202" style="position:absolute;left:0pt;margin-top:0pt;height:11pt;width:13.15pt;mso-position-horizontal:center;mso-position-horizontal-relative:margin;z-index:25167155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myT9o0wAAAAMBAAAPAAAAAAAAAAEAIAAAACIAAABkcnMvZG93bnJldi54bWxQSwECFAAUAAAA&#10;CACHTuJAQyoVEboBAABzAwAADgAAAAAAAAABACAAAAAiAQAAZHJzL2Uyb0RvYy54bWxQSwUGAAAA&#10;AAYABgBZAQAATg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30"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97</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AJMyR1uQEAAHMDAAAOAAAAAAAAAAEAIAAAACIBAABkcnMvZTJvRG9jLnhtbFBLBQYAAAAA&#10;BgAGAFkBAABN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97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spacing w:line="14" w:lineRule="auto"/>
      <w:ind w:left="0"/>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D2E26"/>
    <w:multiLevelType w:val="singleLevel"/>
    <w:tmpl w:val="9D1D2E26"/>
    <w:lvl w:ilvl="0" w:tentative="0">
      <w:start w:val="1"/>
      <w:numFmt w:val="decimal"/>
      <w:suff w:val="nothing"/>
      <w:lvlText w:val="%1、"/>
      <w:lvlJc w:val="left"/>
    </w:lvl>
  </w:abstractNum>
  <w:abstractNum w:abstractNumId="1">
    <w:nsid w:val="3A7FBA26"/>
    <w:multiLevelType w:val="multilevel"/>
    <w:tmpl w:val="3A7FBA26"/>
    <w:lvl w:ilvl="0" w:tentative="0">
      <w:start w:val="1"/>
      <w:numFmt w:val="decimal"/>
      <w:lvlText w:val="（%1）"/>
      <w:lvlJc w:val="left"/>
      <w:pPr>
        <w:ind w:left="635" w:hanging="529"/>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159" w:hanging="529"/>
      </w:pPr>
      <w:rPr>
        <w:rFonts w:hint="default"/>
        <w:lang w:val="zh-CN" w:eastAsia="zh-CN" w:bidi="zh-CN"/>
      </w:rPr>
    </w:lvl>
    <w:lvl w:ilvl="2" w:tentative="0">
      <w:start w:val="0"/>
      <w:numFmt w:val="bullet"/>
      <w:lvlText w:val="•"/>
      <w:lvlJc w:val="left"/>
      <w:pPr>
        <w:ind w:left="1679" w:hanging="529"/>
      </w:pPr>
      <w:rPr>
        <w:rFonts w:hint="default"/>
        <w:lang w:val="zh-CN" w:eastAsia="zh-CN" w:bidi="zh-CN"/>
      </w:rPr>
    </w:lvl>
    <w:lvl w:ilvl="3" w:tentative="0">
      <w:start w:val="0"/>
      <w:numFmt w:val="bullet"/>
      <w:lvlText w:val="•"/>
      <w:lvlJc w:val="left"/>
      <w:pPr>
        <w:ind w:left="2199" w:hanging="529"/>
      </w:pPr>
      <w:rPr>
        <w:rFonts w:hint="default"/>
        <w:lang w:val="zh-CN" w:eastAsia="zh-CN" w:bidi="zh-CN"/>
      </w:rPr>
    </w:lvl>
    <w:lvl w:ilvl="4" w:tentative="0">
      <w:start w:val="0"/>
      <w:numFmt w:val="bullet"/>
      <w:lvlText w:val="•"/>
      <w:lvlJc w:val="left"/>
      <w:pPr>
        <w:ind w:left="2718" w:hanging="529"/>
      </w:pPr>
      <w:rPr>
        <w:rFonts w:hint="default"/>
        <w:lang w:val="zh-CN" w:eastAsia="zh-CN" w:bidi="zh-CN"/>
      </w:rPr>
    </w:lvl>
    <w:lvl w:ilvl="5" w:tentative="0">
      <w:start w:val="0"/>
      <w:numFmt w:val="bullet"/>
      <w:lvlText w:val="•"/>
      <w:lvlJc w:val="left"/>
      <w:pPr>
        <w:ind w:left="3238" w:hanging="529"/>
      </w:pPr>
      <w:rPr>
        <w:rFonts w:hint="default"/>
        <w:lang w:val="zh-CN" w:eastAsia="zh-CN" w:bidi="zh-CN"/>
      </w:rPr>
    </w:lvl>
    <w:lvl w:ilvl="6" w:tentative="0">
      <w:start w:val="0"/>
      <w:numFmt w:val="bullet"/>
      <w:lvlText w:val="•"/>
      <w:lvlJc w:val="left"/>
      <w:pPr>
        <w:ind w:left="3758" w:hanging="529"/>
      </w:pPr>
      <w:rPr>
        <w:rFonts w:hint="default"/>
        <w:lang w:val="zh-CN" w:eastAsia="zh-CN" w:bidi="zh-CN"/>
      </w:rPr>
    </w:lvl>
    <w:lvl w:ilvl="7" w:tentative="0">
      <w:start w:val="0"/>
      <w:numFmt w:val="bullet"/>
      <w:lvlText w:val="•"/>
      <w:lvlJc w:val="left"/>
      <w:pPr>
        <w:ind w:left="4277" w:hanging="529"/>
      </w:pPr>
      <w:rPr>
        <w:rFonts w:hint="default"/>
        <w:lang w:val="zh-CN" w:eastAsia="zh-CN" w:bidi="zh-CN"/>
      </w:rPr>
    </w:lvl>
    <w:lvl w:ilvl="8" w:tentative="0">
      <w:start w:val="0"/>
      <w:numFmt w:val="bullet"/>
      <w:lvlText w:val="•"/>
      <w:lvlJc w:val="left"/>
      <w:pPr>
        <w:ind w:left="4797" w:hanging="529"/>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2U0OGZhZjI5MDZiNWRmMmIyZTgzMDhkYWM0YTkifQ=="/>
  </w:docVars>
  <w:rsids>
    <w:rsidRoot w:val="00172A27"/>
    <w:rsid w:val="000F248E"/>
    <w:rsid w:val="002854C5"/>
    <w:rsid w:val="00E527A4"/>
    <w:rsid w:val="01C532E9"/>
    <w:rsid w:val="038C6742"/>
    <w:rsid w:val="06695AAF"/>
    <w:rsid w:val="086912FE"/>
    <w:rsid w:val="08833D62"/>
    <w:rsid w:val="08FA4623"/>
    <w:rsid w:val="095E4D4B"/>
    <w:rsid w:val="09FC453F"/>
    <w:rsid w:val="0B242215"/>
    <w:rsid w:val="0CA72061"/>
    <w:rsid w:val="0D31467C"/>
    <w:rsid w:val="0DE4641F"/>
    <w:rsid w:val="11D96FB8"/>
    <w:rsid w:val="14BC3B96"/>
    <w:rsid w:val="14FA07E3"/>
    <w:rsid w:val="18827918"/>
    <w:rsid w:val="192561AE"/>
    <w:rsid w:val="19DD358D"/>
    <w:rsid w:val="1AD130BA"/>
    <w:rsid w:val="1B9A5ACB"/>
    <w:rsid w:val="1BC7200E"/>
    <w:rsid w:val="1C3E2996"/>
    <w:rsid w:val="1C447CE0"/>
    <w:rsid w:val="1D324AB9"/>
    <w:rsid w:val="1D634C7B"/>
    <w:rsid w:val="1ED77570"/>
    <w:rsid w:val="1F195CE1"/>
    <w:rsid w:val="21912FA1"/>
    <w:rsid w:val="21A43E58"/>
    <w:rsid w:val="21EC7844"/>
    <w:rsid w:val="241412F8"/>
    <w:rsid w:val="260D6797"/>
    <w:rsid w:val="269D024B"/>
    <w:rsid w:val="26E3192F"/>
    <w:rsid w:val="27F47EB8"/>
    <w:rsid w:val="286C23BF"/>
    <w:rsid w:val="2A924D25"/>
    <w:rsid w:val="2B033201"/>
    <w:rsid w:val="2C3E7CF4"/>
    <w:rsid w:val="2C5D23B6"/>
    <w:rsid w:val="2C834A28"/>
    <w:rsid w:val="2D9A7D47"/>
    <w:rsid w:val="2E9C2F36"/>
    <w:rsid w:val="2FD828EF"/>
    <w:rsid w:val="30882E00"/>
    <w:rsid w:val="30C243A0"/>
    <w:rsid w:val="34882B50"/>
    <w:rsid w:val="349E4529"/>
    <w:rsid w:val="34D13589"/>
    <w:rsid w:val="359C73A0"/>
    <w:rsid w:val="386B6CB4"/>
    <w:rsid w:val="38A6160E"/>
    <w:rsid w:val="3C3D635E"/>
    <w:rsid w:val="3D516CC2"/>
    <w:rsid w:val="3D730AEA"/>
    <w:rsid w:val="3EA86DE6"/>
    <w:rsid w:val="3F1F6040"/>
    <w:rsid w:val="3F565ACD"/>
    <w:rsid w:val="41DF60F7"/>
    <w:rsid w:val="44E328F5"/>
    <w:rsid w:val="45B933A3"/>
    <w:rsid w:val="45D16ED2"/>
    <w:rsid w:val="46084EAD"/>
    <w:rsid w:val="47172F00"/>
    <w:rsid w:val="481F75A8"/>
    <w:rsid w:val="493F01BE"/>
    <w:rsid w:val="4AA307B1"/>
    <w:rsid w:val="4BB07986"/>
    <w:rsid w:val="4DB54473"/>
    <w:rsid w:val="4EE060C5"/>
    <w:rsid w:val="4F525BCA"/>
    <w:rsid w:val="4FF600F4"/>
    <w:rsid w:val="520E0C83"/>
    <w:rsid w:val="54D31923"/>
    <w:rsid w:val="55CA2950"/>
    <w:rsid w:val="59BA3FF2"/>
    <w:rsid w:val="5AA86F2A"/>
    <w:rsid w:val="5B074635"/>
    <w:rsid w:val="5B2D7FCE"/>
    <w:rsid w:val="5B983CDB"/>
    <w:rsid w:val="5C62014C"/>
    <w:rsid w:val="5C9567E4"/>
    <w:rsid w:val="5D7F5BC5"/>
    <w:rsid w:val="5E1722EF"/>
    <w:rsid w:val="5E487608"/>
    <w:rsid w:val="5EA14F69"/>
    <w:rsid w:val="615C5AC5"/>
    <w:rsid w:val="62A67275"/>
    <w:rsid w:val="64575517"/>
    <w:rsid w:val="687D1234"/>
    <w:rsid w:val="69DA1560"/>
    <w:rsid w:val="6B136355"/>
    <w:rsid w:val="6DD709E7"/>
    <w:rsid w:val="6E070521"/>
    <w:rsid w:val="6F077D6E"/>
    <w:rsid w:val="6F686DA8"/>
    <w:rsid w:val="72344FE5"/>
    <w:rsid w:val="7250784B"/>
    <w:rsid w:val="739D04E5"/>
    <w:rsid w:val="748A428C"/>
    <w:rsid w:val="76F02983"/>
    <w:rsid w:val="78300CA6"/>
    <w:rsid w:val="79967900"/>
    <w:rsid w:val="7A2864AC"/>
    <w:rsid w:val="7C8B4BB6"/>
    <w:rsid w:val="7D5C2DF0"/>
    <w:rsid w:val="7D7E1628"/>
    <w:rsid w:val="7DD06087"/>
    <w:rsid w:val="7EDB13CC"/>
    <w:rsid w:val="7F132B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ind w:right="1019"/>
      <w:jc w:val="center"/>
      <w:outlineLvl w:val="1"/>
    </w:pPr>
    <w:rPr>
      <w:rFonts w:ascii="Microsoft JhengHei" w:hAnsi="Microsoft JhengHei" w:eastAsia="Microsoft JhengHei" w:cs="Microsoft JhengHei"/>
      <w:b/>
      <w:bCs/>
      <w:sz w:val="110"/>
      <w:szCs w:val="110"/>
      <w:lang w:val="zh-CN" w:eastAsia="zh-CN" w:bidi="zh-CN"/>
    </w:rPr>
  </w:style>
  <w:style w:type="paragraph" w:styleId="4">
    <w:name w:val="heading 2"/>
    <w:basedOn w:val="1"/>
    <w:next w:val="2"/>
    <w:qFormat/>
    <w:uiPriority w:val="1"/>
    <w:pPr>
      <w:ind w:left="594"/>
      <w:jc w:val="center"/>
      <w:outlineLvl w:val="2"/>
    </w:pPr>
    <w:rPr>
      <w:rFonts w:ascii="宋体" w:hAnsi="宋体" w:eastAsia="宋体" w:cs="宋体"/>
      <w:b/>
      <w:bCs/>
      <w:sz w:val="44"/>
      <w:szCs w:val="44"/>
      <w:lang w:val="zh-CN" w:eastAsia="zh-CN" w:bidi="zh-CN"/>
    </w:rPr>
  </w:style>
  <w:style w:type="paragraph" w:styleId="5">
    <w:name w:val="heading 3"/>
    <w:basedOn w:val="1"/>
    <w:next w:val="1"/>
    <w:qFormat/>
    <w:uiPriority w:val="1"/>
    <w:pPr>
      <w:ind w:left="112"/>
      <w:outlineLvl w:val="3"/>
    </w:pPr>
    <w:rPr>
      <w:rFonts w:ascii="宋体" w:hAnsi="宋体" w:eastAsia="宋体" w:cs="宋体"/>
      <w:b/>
      <w:bCs/>
      <w:sz w:val="36"/>
      <w:szCs w:val="36"/>
      <w:lang w:val="zh-CN" w:eastAsia="zh-CN" w:bidi="zh-CN"/>
    </w:rPr>
  </w:style>
  <w:style w:type="paragraph" w:styleId="6">
    <w:name w:val="heading 4"/>
    <w:basedOn w:val="1"/>
    <w:next w:val="1"/>
    <w:qFormat/>
    <w:uiPriority w:val="1"/>
    <w:pPr>
      <w:jc w:val="center"/>
      <w:outlineLvl w:val="4"/>
    </w:pPr>
    <w:rPr>
      <w:rFonts w:ascii="宋体" w:hAnsi="宋体" w:eastAsia="宋体" w:cs="宋体"/>
      <w:b/>
      <w:bCs/>
      <w:sz w:val="32"/>
      <w:szCs w:val="32"/>
      <w:lang w:val="zh-CN" w:eastAsia="zh-CN" w:bidi="zh-CN"/>
    </w:rPr>
  </w:style>
  <w:style w:type="paragraph" w:styleId="7">
    <w:name w:val="heading 5"/>
    <w:basedOn w:val="1"/>
    <w:next w:val="1"/>
    <w:qFormat/>
    <w:uiPriority w:val="1"/>
    <w:pPr>
      <w:spacing w:before="4"/>
      <w:ind w:left="112" w:right="564"/>
      <w:outlineLvl w:val="5"/>
    </w:pPr>
    <w:rPr>
      <w:rFonts w:ascii="宋体" w:hAnsi="宋体" w:eastAsia="宋体" w:cs="宋体"/>
      <w:sz w:val="30"/>
      <w:szCs w:val="30"/>
      <w:lang w:val="zh-CN" w:eastAsia="zh-CN" w:bidi="zh-CN"/>
    </w:rPr>
  </w:style>
  <w:style w:type="paragraph" w:styleId="8">
    <w:name w:val="heading 6"/>
    <w:basedOn w:val="1"/>
    <w:next w:val="1"/>
    <w:qFormat/>
    <w:uiPriority w:val="1"/>
    <w:pPr>
      <w:spacing w:line="321" w:lineRule="exact"/>
      <w:ind w:left="20"/>
      <w:outlineLvl w:val="6"/>
    </w:pPr>
    <w:rPr>
      <w:rFonts w:ascii="宋体" w:hAnsi="宋体" w:eastAsia="宋体" w:cs="宋体"/>
      <w:b/>
      <w:bCs/>
      <w:sz w:val="28"/>
      <w:szCs w:val="28"/>
      <w:lang w:val="zh-CN" w:eastAsia="zh-CN" w:bidi="zh-CN"/>
    </w:rPr>
  </w:style>
  <w:style w:type="paragraph" w:styleId="9">
    <w:name w:val="heading 7"/>
    <w:basedOn w:val="1"/>
    <w:next w:val="1"/>
    <w:qFormat/>
    <w:uiPriority w:val="1"/>
    <w:pPr>
      <w:ind w:left="938"/>
      <w:outlineLvl w:val="7"/>
    </w:pPr>
    <w:rPr>
      <w:rFonts w:ascii="宋体" w:hAnsi="宋体" w:eastAsia="宋体" w:cs="宋体"/>
      <w:sz w:val="27"/>
      <w:szCs w:val="27"/>
      <w:lang w:val="zh-CN" w:eastAsia="zh-CN" w:bidi="zh-CN"/>
    </w:rPr>
  </w:style>
  <w:style w:type="paragraph" w:styleId="10">
    <w:name w:val="heading 8"/>
    <w:basedOn w:val="1"/>
    <w:next w:val="1"/>
    <w:qFormat/>
    <w:uiPriority w:val="1"/>
    <w:pPr>
      <w:spacing w:before="1"/>
      <w:ind w:left="1365"/>
      <w:outlineLvl w:val="8"/>
    </w:pPr>
    <w:rPr>
      <w:rFonts w:ascii="宋体" w:hAnsi="宋体" w:eastAsia="宋体" w:cs="宋体"/>
      <w:b/>
      <w:bCs/>
      <w:sz w:val="24"/>
      <w:szCs w:val="24"/>
      <w:lang w:val="zh-CN" w:eastAsia="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11">
    <w:name w:val="annotation text"/>
    <w:basedOn w:val="1"/>
    <w:qFormat/>
    <w:uiPriority w:val="0"/>
    <w:pPr>
      <w:jc w:val="left"/>
    </w:pPr>
  </w:style>
  <w:style w:type="paragraph" w:styleId="12">
    <w:name w:val="Body Text 3"/>
    <w:basedOn w:val="1"/>
    <w:unhideWhenUsed/>
    <w:qFormat/>
    <w:uiPriority w:val="99"/>
    <w:pPr>
      <w:spacing w:after="120"/>
    </w:pPr>
    <w:rPr>
      <w:sz w:val="16"/>
      <w:szCs w:val="16"/>
    </w:rPr>
  </w:style>
  <w:style w:type="paragraph" w:styleId="13">
    <w:name w:val="Body Text"/>
    <w:basedOn w:val="1"/>
    <w:next w:val="1"/>
    <w:qFormat/>
    <w:uiPriority w:val="1"/>
    <w:pPr>
      <w:ind w:left="398"/>
    </w:pPr>
    <w:rPr>
      <w:rFonts w:ascii="宋体" w:hAnsi="宋体" w:eastAsia="宋体" w:cs="宋体"/>
      <w:sz w:val="24"/>
      <w:szCs w:val="24"/>
      <w:lang w:val="zh-CN" w:eastAsia="zh-CN" w:bidi="zh-CN"/>
    </w:r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1"/>
    <w:pPr>
      <w:spacing w:before="158"/>
      <w:ind w:right="1424"/>
      <w:jc w:val="right"/>
    </w:pPr>
    <w:rPr>
      <w:rFonts w:ascii="宋体" w:hAnsi="宋体" w:eastAsia="宋体" w:cs="宋体"/>
      <w:sz w:val="24"/>
      <w:szCs w:val="24"/>
      <w:lang w:val="zh-CN" w:eastAsia="zh-CN" w:bidi="zh-CN"/>
    </w:rPr>
  </w:style>
  <w:style w:type="paragraph" w:styleId="18">
    <w:name w:val="toc 2"/>
    <w:basedOn w:val="1"/>
    <w:next w:val="1"/>
    <w:qFormat/>
    <w:uiPriority w:val="1"/>
    <w:pPr>
      <w:spacing w:before="160"/>
      <w:ind w:left="1238"/>
    </w:pPr>
    <w:rPr>
      <w:rFonts w:ascii="宋体" w:hAnsi="宋体" w:eastAsia="宋体" w:cs="宋体"/>
      <w:sz w:val="24"/>
      <w:szCs w:val="24"/>
      <w:lang w:val="zh-CN" w:eastAsia="zh-CN" w:bidi="zh-CN"/>
    </w:rPr>
  </w:style>
  <w:style w:type="paragraph" w:styleId="19">
    <w:name w:val="Body Text First Indent"/>
    <w:basedOn w:val="13"/>
    <w:qFormat/>
    <w:uiPriority w:val="0"/>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0"/>
    <w:rPr>
      <w:color w:val="0000FF"/>
      <w:u w:val="single"/>
    </w:rPr>
  </w:style>
  <w:style w:type="paragraph" w:customStyle="1" w:styleId="24">
    <w:name w:val="Default4"/>
    <w:basedOn w:val="2"/>
    <w:qFormat/>
    <w:uiPriority w:val="0"/>
    <w:pPr>
      <w:widowControl w:val="0"/>
      <w:autoSpaceDE w:val="0"/>
      <w:autoSpaceDN w:val="0"/>
      <w:adjustRightInd w:val="0"/>
      <w:spacing w:line="360" w:lineRule="auto"/>
      <w:ind w:firstLine="480" w:firstLineChars="200"/>
      <w:jc w:val="left"/>
    </w:pPr>
    <w:rPr>
      <w:rFonts w:ascii="宋体" w:hAnsi="宋体" w:eastAsia="宋体" w:cs="宋体"/>
      <w:color w:val="000000"/>
      <w:sz w:val="28"/>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spacing w:before="161"/>
      <w:ind w:left="398" w:firstLine="480"/>
    </w:pPr>
    <w:rPr>
      <w:rFonts w:ascii="宋体" w:hAnsi="宋体" w:eastAsia="宋体" w:cs="宋体"/>
      <w:lang w:val="zh-CN" w:eastAsia="zh-CN" w:bidi="zh-CN"/>
    </w:r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Default"/>
    <w:qFormat/>
    <w:uiPriority w:val="0"/>
    <w:pPr>
      <w:widowControl w:val="0"/>
      <w:autoSpaceDE w:val="0"/>
      <w:autoSpaceDN w:val="0"/>
      <w:adjustRightInd w:val="0"/>
      <w:spacing w:line="360" w:lineRule="auto"/>
      <w:ind w:firstLine="480" w:firstLineChars="200"/>
    </w:pPr>
    <w:rPr>
      <w:rFonts w:ascii="宋体" w:hAnsi="宋体" w:eastAsia="宋体" w:cs="宋体"/>
      <w:color w:val="000000"/>
      <w:sz w:val="24"/>
      <w:szCs w:val="24"/>
      <w:lang w:val="en-US" w:eastAsia="zh-CN" w:bidi="ar-SA"/>
    </w:rPr>
  </w:style>
  <w:style w:type="paragraph" w:customStyle="1" w:styleId="30">
    <w:name w:val="章节三"/>
    <w:basedOn w:val="31"/>
    <w:next w:val="31"/>
    <w:qFormat/>
    <w:uiPriority w:val="0"/>
    <w:pPr>
      <w:spacing w:beforeLines="50" w:afterLines="50" w:line="240" w:lineRule="auto"/>
      <w:ind w:firstLine="0" w:firstLineChars="0"/>
      <w:jc w:val="left"/>
      <w:outlineLvl w:val="2"/>
    </w:pPr>
    <w:rPr>
      <w:rFonts w:ascii="黑体" w:hAnsi="宋体" w:eastAsia="黑体"/>
      <w:b/>
    </w:rPr>
  </w:style>
  <w:style w:type="paragraph" w:customStyle="1" w:styleId="31">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 w:type="paragraph" w:customStyle="1" w:styleId="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正题"/>
    <w:basedOn w:val="31"/>
    <w:next w:val="31"/>
    <w:qFormat/>
    <w:uiPriority w:val="0"/>
    <w:pPr>
      <w:ind w:firstLine="0" w:firstLineChars="0"/>
      <w:jc w:val="center"/>
    </w:pPr>
    <w:rPr>
      <w:rFonts w:eastAsia="黑体"/>
      <w:b/>
      <w:sz w:val="36"/>
      <w:szCs w:val="36"/>
    </w:rPr>
  </w:style>
  <w:style w:type="paragraph" w:customStyle="1" w:styleId="38">
    <w:name w:val="章节二"/>
    <w:basedOn w:val="31"/>
    <w:next w:val="1"/>
    <w:qFormat/>
    <w:uiPriority w:val="0"/>
    <w:pPr>
      <w:spacing w:beforeLines="50" w:line="240" w:lineRule="auto"/>
      <w:ind w:firstLine="0" w:firstLineChars="0"/>
      <w:jc w:val="center"/>
      <w:outlineLvl w:val="1"/>
    </w:pPr>
    <w:rPr>
      <w:rFonts w:eastAsia="黑体"/>
      <w:b/>
      <w:sz w:val="30"/>
      <w:szCs w:val="30"/>
    </w:rPr>
  </w:style>
  <w:style w:type="paragraph" w:customStyle="1" w:styleId="39">
    <w:name w:val="文二"/>
    <w:basedOn w:val="1"/>
    <w:qFormat/>
    <w:uiPriority w:val="0"/>
    <w:pPr>
      <w:jc w:val="left"/>
    </w:pPr>
    <w:rPr>
      <w:rFonts w:ascii="宋体" w:hAnsi="宋体"/>
      <w:szCs w:val="21"/>
    </w:rPr>
  </w:style>
  <w:style w:type="paragraph" w:customStyle="1" w:styleId="40">
    <w:name w:val="文一 New"/>
    <w:basedOn w:val="1"/>
    <w:qFormat/>
    <w:uiPriority w:val="0"/>
    <w:pPr>
      <w:topLinePunct/>
      <w:adjustRightInd w:val="0"/>
      <w:snapToGrid w:val="0"/>
      <w:spacing w:line="360" w:lineRule="auto"/>
      <w:ind w:firstLine="200" w:firstLineChars="200"/>
    </w:pPr>
    <w:rPr>
      <w:rFonts w:ascii="Times New Roman" w:hAnsi="Times New Roman"/>
      <w:snapToGrid w:val="0"/>
      <w:spacing w:val="4"/>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119</Pages>
  <Words>79656</Words>
  <Characters>84815</Characters>
  <TotalTime>59</TotalTime>
  <ScaleCrop>false</ScaleCrop>
  <LinksUpToDate>false</LinksUpToDate>
  <CharactersWithSpaces>87409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2023-03-22T09:38:00Z</dcterms:created>
  <dc:creator>管理员</dc:creator>
  <cp:lastModifiedBy>yuzur</cp:lastModifiedBy>
  <dcterms:modified xsi:type="dcterms:W3CDTF">2023-07-17T08:26:49Z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Microsoft® Word 2013</vt:lpwstr>
  </property>
  <property fmtid="{D5CDD505-2E9C-101B-9397-08002B2CF9AE}" pid="4" name="LastSaved">
    <vt:filetime>2023-03-22T00:00:00Z</vt:filetime>
  </property>
  <property fmtid="{D5CDD505-2E9C-101B-9397-08002B2CF9AE}" pid="5" name="KSOProductBuildVer">
    <vt:lpwstr>2052-11.1.0.14309</vt:lpwstr>
  </property>
  <property fmtid="{D5CDD505-2E9C-101B-9397-08002B2CF9AE}" pid="6" name="ICV">
    <vt:lpwstr>7D2F00236D33401189791AFE9A8B7171_13</vt:lpwstr>
  </property>
</Properties>
</file>