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138"/>
        <w:rPr>
          <w:rFonts w:hint="eastAsia" w:ascii="宋体" w:cs="宋体"/>
          <w:b/>
          <w:sz w:val="32"/>
          <w:szCs w:val="32"/>
        </w:rPr>
      </w:pPr>
      <w:r>
        <w:rPr>
          <w:rFonts w:ascii="宋体" w:eastAsia="宋体"/>
          <w:b/>
        </w:rPr>
        <w:t>附件七：考评管理办法</w:t>
      </w:r>
    </w:p>
    <w:p>
      <w:pPr>
        <w:rPr>
          <w:rFonts w:hint="eastAsia" w:ascii="宋体" w:hAnsi="宋体"/>
          <w:b/>
          <w:bCs/>
          <w:sz w:val="28"/>
          <w:szCs w:val="28"/>
        </w:rPr>
      </w:pPr>
      <w:r>
        <w:rPr>
          <w:rFonts w:hint="eastAsia" w:ascii="宋体" w:hAnsi="宋体"/>
          <w:b/>
          <w:bCs/>
          <w:sz w:val="28"/>
          <w:szCs w:val="28"/>
        </w:rPr>
        <w:t>（一）设计单位考核管理办法</w:t>
      </w:r>
    </w:p>
    <w:p>
      <w:pPr>
        <w:rPr>
          <w:rFonts w:hint="eastAsia" w:ascii="宋体" w:hAnsi="宋体"/>
          <w:b/>
          <w:bCs/>
          <w:sz w:val="28"/>
          <w:szCs w:val="28"/>
        </w:rPr>
      </w:pPr>
      <w:r>
        <w:rPr>
          <w:rFonts w:hint="eastAsia" w:ascii="宋体" w:hAnsi="宋体"/>
          <w:b/>
          <w:bCs/>
          <w:sz w:val="28"/>
          <w:szCs w:val="28"/>
        </w:rPr>
        <w:t xml:space="preserve">  </w:t>
      </w:r>
    </w:p>
    <w:p>
      <w:pPr>
        <w:jc w:val="center"/>
        <w:rPr>
          <w:rFonts w:ascii="宋体" w:hAnsi="宋体"/>
          <w:b/>
          <w:sz w:val="22"/>
          <w:szCs w:val="22"/>
        </w:rPr>
      </w:pPr>
      <w:r>
        <w:rPr>
          <w:rFonts w:hint="eastAsia" w:ascii="宋体" w:hAnsi="宋体"/>
          <w:b/>
          <w:sz w:val="22"/>
          <w:szCs w:val="22"/>
        </w:rPr>
        <w:t>设计单位考核管理办法</w:t>
      </w:r>
    </w:p>
    <w:p>
      <w:pPr>
        <w:spacing w:line="520" w:lineRule="exact"/>
        <w:rPr>
          <w:rFonts w:ascii="宋体" w:hAnsi="宋体"/>
          <w:sz w:val="22"/>
          <w:szCs w:val="22"/>
        </w:rPr>
      </w:pPr>
      <w:r>
        <w:rPr>
          <w:rFonts w:ascii="宋体" w:hAnsi="宋体"/>
          <w:sz w:val="22"/>
          <w:szCs w:val="22"/>
        </w:rPr>
        <w:t xml:space="preserve">   </w:t>
      </w:r>
    </w:p>
    <w:p>
      <w:pPr>
        <w:spacing w:line="520" w:lineRule="exact"/>
        <w:ind w:firstLine="560"/>
        <w:rPr>
          <w:rFonts w:hint="eastAsia" w:ascii="宋体" w:hAnsi="宋体"/>
          <w:sz w:val="22"/>
          <w:szCs w:val="22"/>
        </w:rPr>
      </w:pPr>
      <w:r>
        <w:rPr>
          <w:rFonts w:hint="eastAsia" w:ascii="宋体" w:hAnsi="宋体"/>
          <w:sz w:val="22"/>
          <w:szCs w:val="22"/>
        </w:rPr>
        <w:t xml:space="preserve"> 为确保工程项目工期计划目标的实现，切实加强工程的设计管理工作，加快设计进度，提高设计水平和设计质量，强化设计单位的责任意识，要求设计单位必须根据委托人提出的工期、质量和投资目标，协调各个分包设计单位有序的开展工作，落实限额设计，严把质量关，对设计的总体性、完整性、统一性、经济合理性和技术进步性全面负责，结合当前公司对设计管理模式的具体要求，特制定设计单位考核管理办法。</w:t>
      </w:r>
    </w:p>
    <w:p>
      <w:pPr>
        <w:spacing w:line="520" w:lineRule="exact"/>
        <w:ind w:firstLine="560"/>
        <w:rPr>
          <w:sz w:val="22"/>
          <w:szCs w:val="22"/>
        </w:rPr>
      </w:pPr>
      <w:r>
        <w:rPr>
          <w:sz w:val="22"/>
          <w:szCs w:val="22"/>
        </w:rPr>
        <w:t>一、考核组织实施</w:t>
      </w:r>
    </w:p>
    <w:p>
      <w:pPr>
        <w:spacing w:line="520" w:lineRule="exact"/>
        <w:ind w:firstLine="560"/>
        <w:rPr>
          <w:rFonts w:ascii="宋体" w:hAnsi="宋体"/>
          <w:sz w:val="22"/>
          <w:szCs w:val="22"/>
        </w:rPr>
      </w:pPr>
      <w:r>
        <w:rPr>
          <w:rFonts w:hint="eastAsia" w:ascii="宋体" w:hAnsi="宋体"/>
          <w:sz w:val="22"/>
          <w:szCs w:val="22"/>
        </w:rPr>
        <w:t>委托人负责成立考核小组，考核小组由委托人相关岗位人员组成，并由主要考核岗位担任考核小组的组长。设计单位指定一名项目副经理对口负责考核工作。</w:t>
      </w:r>
    </w:p>
    <w:p>
      <w:pPr>
        <w:spacing w:line="520" w:lineRule="exact"/>
        <w:ind w:firstLine="560"/>
        <w:rPr>
          <w:rFonts w:ascii="宋体" w:hAnsi="宋体"/>
          <w:sz w:val="22"/>
          <w:szCs w:val="22"/>
        </w:rPr>
      </w:pPr>
      <w:r>
        <w:rPr>
          <w:rFonts w:hint="eastAsia" w:ascii="宋体" w:hAnsi="宋体"/>
          <w:sz w:val="22"/>
          <w:szCs w:val="22"/>
        </w:rPr>
        <w:t>委托人对设计单位每个月考核一次。设计单位每个月</w:t>
      </w:r>
      <w:r>
        <w:rPr>
          <w:rFonts w:hint="eastAsia" w:ascii="宋体" w:hAnsi="宋体"/>
          <w:sz w:val="22"/>
          <w:szCs w:val="22"/>
          <w:u w:val="single"/>
        </w:rPr>
        <w:t xml:space="preserve"> </w:t>
      </w:r>
      <w:r>
        <w:rPr>
          <w:rFonts w:ascii="宋体" w:hAnsi="宋体"/>
          <w:sz w:val="22"/>
          <w:szCs w:val="22"/>
          <w:u w:val="single"/>
        </w:rPr>
        <w:t>25</w:t>
      </w:r>
      <w:r>
        <w:rPr>
          <w:rFonts w:hint="eastAsia" w:ascii="宋体" w:hAnsi="宋体"/>
          <w:sz w:val="22"/>
          <w:szCs w:val="22"/>
          <w:u w:val="single"/>
        </w:rPr>
        <w:t xml:space="preserve"> </w:t>
      </w:r>
      <w:r>
        <w:rPr>
          <w:rFonts w:hint="eastAsia" w:ascii="宋体" w:hAnsi="宋体"/>
          <w:sz w:val="22"/>
          <w:szCs w:val="22"/>
        </w:rPr>
        <w:t>号前向委托人提交月度工作完成情况、存在问题、自评情况和下月工作计划安排的专题报告和《设计单位考核表》，委托人组织考核小组依据每月的专题报告对照检查完成内容，结合日常巡检掌握的情况及各项任务完成的质量给予综合评分。</w:t>
      </w:r>
    </w:p>
    <w:p>
      <w:pPr>
        <w:spacing w:line="520" w:lineRule="exact"/>
        <w:ind w:firstLine="560"/>
        <w:rPr>
          <w:sz w:val="22"/>
          <w:szCs w:val="22"/>
        </w:rPr>
      </w:pPr>
      <w:r>
        <w:rPr>
          <w:sz w:val="22"/>
          <w:szCs w:val="22"/>
        </w:rPr>
        <w:t>二、考核主要内容</w:t>
      </w:r>
    </w:p>
    <w:p>
      <w:pPr>
        <w:spacing w:line="520" w:lineRule="exact"/>
        <w:ind w:firstLine="560"/>
        <w:rPr>
          <w:rFonts w:ascii="宋体" w:hAnsi="宋体"/>
          <w:sz w:val="22"/>
          <w:szCs w:val="22"/>
        </w:rPr>
      </w:pPr>
      <w:r>
        <w:rPr>
          <w:rFonts w:hint="eastAsia" w:ascii="宋体" w:hAnsi="宋体"/>
          <w:sz w:val="22"/>
          <w:szCs w:val="22"/>
        </w:rPr>
        <w:t>设计考核分为六项：设计进度控制、设计质量控制、投资控制(含：</w:t>
      </w:r>
      <w:r>
        <w:rPr>
          <w:rFonts w:hint="eastAsia" w:ascii="宋体" w:hAnsi="宋体" w:cs="微软雅黑"/>
          <w:kern w:val="0"/>
          <w:sz w:val="22"/>
          <w:szCs w:val="22"/>
          <w:lang w:val="zh-CN"/>
        </w:rPr>
        <w:t>设计成果不满足限额设计要求，设计单位必须无条件进行修改，直至满足限额设计指标要求)</w:t>
      </w:r>
      <w:r>
        <w:rPr>
          <w:rFonts w:hint="eastAsia" w:ascii="宋体" w:hAnsi="宋体"/>
          <w:sz w:val="22"/>
          <w:szCs w:val="22"/>
        </w:rPr>
        <w:t>、设计接口管理、分包设计单位管理、现场服务管理。</w:t>
      </w:r>
    </w:p>
    <w:p>
      <w:pPr>
        <w:spacing w:line="520" w:lineRule="exact"/>
        <w:ind w:firstLine="560"/>
        <w:rPr>
          <w:sz w:val="22"/>
          <w:szCs w:val="22"/>
        </w:rPr>
      </w:pPr>
      <w:r>
        <w:rPr>
          <w:sz w:val="22"/>
          <w:szCs w:val="22"/>
        </w:rPr>
        <w:t>三、考核结果及运用</w:t>
      </w:r>
    </w:p>
    <w:p>
      <w:pPr>
        <w:spacing w:line="520" w:lineRule="exact"/>
        <w:ind w:firstLine="570"/>
        <w:rPr>
          <w:rFonts w:ascii="宋体" w:hAnsi="宋体"/>
          <w:sz w:val="22"/>
          <w:szCs w:val="22"/>
        </w:rPr>
      </w:pPr>
      <w:r>
        <w:rPr>
          <w:rFonts w:hint="eastAsia" w:ascii="宋体" w:hAnsi="宋体"/>
          <w:sz w:val="22"/>
          <w:szCs w:val="22"/>
        </w:rPr>
        <w:t>1、考核结果分为优秀、良好、合格和不合格四种。</w:t>
      </w:r>
    </w:p>
    <w:p>
      <w:pPr>
        <w:spacing w:line="520" w:lineRule="exact"/>
        <w:ind w:firstLine="570"/>
        <w:rPr>
          <w:rFonts w:ascii="宋体" w:hAnsi="宋体"/>
          <w:sz w:val="22"/>
          <w:szCs w:val="22"/>
        </w:rPr>
      </w:pPr>
      <w:r>
        <w:rPr>
          <w:rFonts w:hint="eastAsia" w:ascii="宋体" w:hAnsi="宋体"/>
          <w:sz w:val="22"/>
          <w:szCs w:val="22"/>
        </w:rPr>
        <w:t>90—100分为优秀；80—89分为良好；60—79分为合格；59分以下为不合格。</w:t>
      </w:r>
    </w:p>
    <w:p>
      <w:pPr>
        <w:spacing w:line="520" w:lineRule="exact"/>
        <w:ind w:firstLine="570"/>
        <w:rPr>
          <w:rFonts w:ascii="宋体" w:hAnsi="宋体"/>
          <w:sz w:val="22"/>
          <w:szCs w:val="22"/>
        </w:rPr>
      </w:pPr>
      <w:r>
        <w:rPr>
          <w:rFonts w:hint="eastAsia" w:ascii="宋体" w:hAnsi="宋体"/>
          <w:sz w:val="22"/>
          <w:szCs w:val="22"/>
        </w:rPr>
        <w:t>2、考核费用：在设计费用中提取20%作为设计单位的考核服务费。设计考核费按照工程总工期进行平均分配，作为每月的考核费用。设计考核费直接作为每期/项的考核费用。此项费用由委托人依据考核结果发放。</w:t>
      </w:r>
    </w:p>
    <w:p>
      <w:pPr>
        <w:spacing w:line="520" w:lineRule="exact"/>
        <w:ind w:firstLine="570"/>
        <w:rPr>
          <w:rFonts w:ascii="宋体" w:hAnsi="宋体"/>
          <w:sz w:val="22"/>
          <w:szCs w:val="22"/>
        </w:rPr>
      </w:pPr>
      <w:r>
        <w:rPr>
          <w:rFonts w:hint="eastAsia" w:ascii="宋体" w:hAnsi="宋体"/>
          <w:sz w:val="22"/>
          <w:szCs w:val="22"/>
        </w:rPr>
        <w:t>3、考核结果作为支付上述考核服务费的基本依据。在阶段性任务完成后按合同条款需要支付费用和考核服务费时，将本阶段考核次数累计，考核评分相加取平均分作为阶段考核的最终结果。考核结果优秀的，委托人将全额支付该阶段应付的考核服务费，并视情况建议公司予以通报表扬；考核结果为良好的，委托人将按所得分数加5分后的百分比支付该阶段应付的考核服务费；考核结果为合格的，委托人将所得分数减5分后的百分比支付该阶段应付的考核服务费；考核结果为不合格的，委托人将全额扣除该阶段应付的考核服务费，并建议公司予以通报批评。</w:t>
      </w:r>
    </w:p>
    <w:p>
      <w:pPr>
        <w:spacing w:line="520" w:lineRule="exact"/>
        <w:ind w:firstLine="570"/>
        <w:rPr>
          <w:rFonts w:ascii="宋体" w:hAnsi="宋体"/>
          <w:sz w:val="22"/>
          <w:szCs w:val="22"/>
        </w:rPr>
      </w:pPr>
      <w:r>
        <w:rPr>
          <w:rFonts w:hint="eastAsia" w:ascii="宋体" w:hAnsi="宋体"/>
          <w:sz w:val="22"/>
          <w:szCs w:val="22"/>
        </w:rPr>
        <w:t>４、连续出现三次考核评定结果为不及格，委托人有权依据设计合同中的相关条款，更换设计单位。</w:t>
      </w:r>
    </w:p>
    <w:p>
      <w:pPr>
        <w:spacing w:line="520" w:lineRule="exact"/>
        <w:ind w:firstLine="570"/>
        <w:rPr>
          <w:rFonts w:ascii="宋体" w:hAnsi="宋体"/>
          <w:sz w:val="22"/>
          <w:szCs w:val="22"/>
        </w:rPr>
      </w:pPr>
      <w:r>
        <w:rPr>
          <w:rFonts w:hint="eastAsia" w:ascii="宋体" w:hAnsi="宋体"/>
          <w:sz w:val="22"/>
          <w:szCs w:val="22"/>
        </w:rPr>
        <w:t>５、考核费用补发：当年度考核平均分数达到85分（含85分）以上可全额返还当年度被扣罚的考核费用。</w:t>
      </w:r>
    </w:p>
    <w:p>
      <w:pPr>
        <w:spacing w:line="520" w:lineRule="exact"/>
        <w:ind w:firstLine="570"/>
        <w:rPr>
          <w:rFonts w:ascii="宋体" w:hAnsi="宋体"/>
          <w:sz w:val="22"/>
          <w:szCs w:val="22"/>
        </w:rPr>
      </w:pPr>
    </w:p>
    <w:p>
      <w:pPr>
        <w:spacing w:line="520" w:lineRule="exact"/>
        <w:ind w:firstLine="560"/>
        <w:rPr>
          <w:sz w:val="22"/>
          <w:szCs w:val="22"/>
        </w:rPr>
      </w:pPr>
      <w:r>
        <w:rPr>
          <w:sz w:val="22"/>
          <w:szCs w:val="22"/>
        </w:rPr>
        <w:t>四、本考核暂行办法自</w:t>
      </w:r>
      <w:r>
        <w:rPr>
          <w:sz w:val="22"/>
          <w:szCs w:val="22"/>
          <w:u w:val="single"/>
        </w:rPr>
        <w:t>　　　</w:t>
      </w:r>
      <w:r>
        <w:rPr>
          <w:sz w:val="22"/>
          <w:szCs w:val="22"/>
        </w:rPr>
        <w:t>年</w:t>
      </w:r>
      <w:r>
        <w:rPr>
          <w:sz w:val="22"/>
          <w:szCs w:val="22"/>
          <w:u w:val="single"/>
        </w:rPr>
        <w:t>　　　</w:t>
      </w:r>
      <w:r>
        <w:rPr>
          <w:sz w:val="22"/>
          <w:szCs w:val="22"/>
        </w:rPr>
        <w:t>月下发执行。</w:t>
      </w:r>
    </w:p>
    <w:p>
      <w:pPr>
        <w:spacing w:line="520" w:lineRule="exact"/>
        <w:ind w:firstLine="570"/>
        <w:rPr>
          <w:rFonts w:ascii="宋体" w:hAnsi="宋体"/>
          <w:sz w:val="22"/>
          <w:szCs w:val="22"/>
        </w:rPr>
      </w:pPr>
    </w:p>
    <w:p>
      <w:pPr>
        <w:spacing w:line="520" w:lineRule="exact"/>
        <w:ind w:firstLine="570"/>
        <w:rPr>
          <w:rFonts w:ascii="宋体" w:hAnsi="宋体"/>
          <w:sz w:val="22"/>
          <w:szCs w:val="22"/>
        </w:rPr>
      </w:pPr>
      <w:r>
        <w:rPr>
          <w:rFonts w:hint="eastAsia" w:ascii="宋体" w:hAnsi="宋体"/>
          <w:sz w:val="22"/>
          <w:szCs w:val="22"/>
        </w:rPr>
        <w:t>附表：设计单位考核表</w:t>
      </w:r>
    </w:p>
    <w:p>
      <w:pPr>
        <w:spacing w:line="460" w:lineRule="exact"/>
        <w:ind w:firstLine="570"/>
        <w:rPr>
          <w:rFonts w:ascii="宋体" w:hAnsi="宋体"/>
          <w:strike/>
          <w:sz w:val="22"/>
          <w:szCs w:val="22"/>
        </w:rPr>
      </w:pPr>
    </w:p>
    <w:p>
      <w:pPr>
        <w:spacing w:line="460" w:lineRule="exact"/>
        <w:rPr>
          <w:rFonts w:ascii="宋体" w:hAnsi="宋体"/>
          <w:sz w:val="24"/>
        </w:rPr>
      </w:pPr>
    </w:p>
    <w:p>
      <w:pPr>
        <w:widowControl/>
        <w:jc w:val="center"/>
        <w:rPr>
          <w:rFonts w:ascii="宋体" w:hAnsi="宋体"/>
          <w:b/>
          <w:szCs w:val="21"/>
        </w:rPr>
      </w:pPr>
      <w:r>
        <w:rPr>
          <w:rFonts w:hint="eastAsia" w:ascii="宋体" w:hAnsi="宋体"/>
          <w:kern w:val="0"/>
          <w:sz w:val="24"/>
        </w:rPr>
        <w:br w:type="page"/>
      </w:r>
      <w:r>
        <w:rPr>
          <w:rFonts w:hint="eastAsia" w:ascii="宋体" w:hAnsi="宋体"/>
          <w:b/>
          <w:szCs w:val="21"/>
        </w:rPr>
        <w:t>设计单位考核表</w:t>
      </w:r>
      <w:r>
        <w:rPr>
          <w:rFonts w:hint="eastAsia" w:ascii="宋体" w:hAnsi="宋体"/>
          <w:szCs w:val="21"/>
        </w:rPr>
        <w:t>（</w:t>
      </w:r>
      <w:r>
        <w:rPr>
          <w:rFonts w:hint="eastAsia" w:ascii="宋体" w:hAnsi="宋体"/>
          <w:szCs w:val="21"/>
          <w:u w:val="single"/>
        </w:rPr>
        <w:t>　　　　</w:t>
      </w:r>
      <w:r>
        <w:rPr>
          <w:rFonts w:hint="eastAsia" w:ascii="宋体" w:hAnsi="宋体"/>
          <w:szCs w:val="21"/>
        </w:rPr>
        <w:t>年</w:t>
      </w:r>
      <w:r>
        <w:rPr>
          <w:rFonts w:hint="eastAsia" w:ascii="宋体" w:hAnsi="宋体"/>
          <w:szCs w:val="21"/>
          <w:u w:val="single"/>
        </w:rPr>
        <w:t>　</w:t>
      </w:r>
      <w:r>
        <w:rPr>
          <w:rFonts w:hint="eastAsia" w:ascii="宋体" w:hAnsi="宋体"/>
          <w:szCs w:val="21"/>
        </w:rPr>
        <w:t>月</w:t>
      </w:r>
      <w:r>
        <w:rPr>
          <w:rFonts w:ascii="宋体" w:hAnsi="宋体"/>
          <w:szCs w:val="21"/>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636"/>
        <w:gridCol w:w="2376"/>
        <w:gridCol w:w="709"/>
        <w:gridCol w:w="3435"/>
        <w:gridCol w:w="992"/>
        <w:gridCol w:w="851"/>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0" w:type="dxa"/>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序号</w:t>
            </w:r>
          </w:p>
        </w:tc>
        <w:tc>
          <w:tcPr>
            <w:tcW w:w="636" w:type="dxa"/>
            <w:tcBorders>
              <w:top w:val="single" w:color="auto" w:sz="12"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评分项目</w:t>
            </w:r>
          </w:p>
        </w:tc>
        <w:tc>
          <w:tcPr>
            <w:tcW w:w="2376" w:type="dxa"/>
            <w:tcBorders>
              <w:top w:val="single" w:color="auto" w:sz="12"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考    核   内     容</w:t>
            </w:r>
          </w:p>
        </w:tc>
        <w:tc>
          <w:tcPr>
            <w:tcW w:w="709" w:type="dxa"/>
            <w:tcBorders>
              <w:top w:val="single" w:color="auto" w:sz="12" w:space="0"/>
              <w:left w:val="single" w:color="auto" w:sz="4" w:space="0"/>
              <w:bottom w:val="nil"/>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分值</w:t>
            </w:r>
          </w:p>
        </w:tc>
        <w:tc>
          <w:tcPr>
            <w:tcW w:w="3435" w:type="dxa"/>
            <w:tcBorders>
              <w:top w:val="single" w:color="auto" w:sz="12" w:space="0"/>
              <w:left w:val="single" w:color="auto" w:sz="4" w:space="0"/>
              <w:bottom w:val="nil"/>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考核评分标准</w:t>
            </w:r>
          </w:p>
        </w:tc>
        <w:tc>
          <w:tcPr>
            <w:tcW w:w="992" w:type="dxa"/>
            <w:tcBorders>
              <w:top w:val="single" w:color="auto" w:sz="12" w:space="0"/>
              <w:left w:val="single" w:color="auto" w:sz="4" w:space="0"/>
              <w:bottom w:val="nil"/>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自评得分及说明</w:t>
            </w:r>
          </w:p>
        </w:tc>
        <w:tc>
          <w:tcPr>
            <w:tcW w:w="851" w:type="dxa"/>
            <w:tcBorders>
              <w:top w:val="single" w:color="auto" w:sz="12"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Cs w:val="21"/>
              </w:rPr>
            </w:pPr>
          </w:p>
        </w:tc>
        <w:tc>
          <w:tcPr>
            <w:tcW w:w="931" w:type="dxa"/>
            <w:tcBorders>
              <w:top w:val="single" w:color="auto" w:sz="12" w:space="0"/>
              <w:left w:val="single" w:color="auto" w:sz="4" w:space="0"/>
              <w:bottom w:val="single" w:color="auto" w:sz="4" w:space="0"/>
              <w:right w:val="single" w:color="auto" w:sz="12" w:space="0"/>
            </w:tcBorders>
            <w:noWrap w:val="0"/>
            <w:vAlign w:val="center"/>
          </w:tcPr>
          <w:p>
            <w:pPr>
              <w:spacing w:line="240" w:lineRule="exact"/>
              <w:jc w:val="center"/>
              <w:rPr>
                <w:rFonts w:ascii="宋体" w:hAnsi="宋体"/>
                <w:szCs w:val="21"/>
              </w:rPr>
            </w:pPr>
            <w:r>
              <w:rPr>
                <w:rFonts w:hint="eastAsia" w:ascii="宋体" w:hAnsi="宋体"/>
                <w:szCs w:val="21"/>
              </w:rPr>
              <w:t>考核小组评分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420" w:type="dxa"/>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1</w:t>
            </w:r>
          </w:p>
        </w:tc>
        <w:tc>
          <w:tcPr>
            <w:tcW w:w="63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宋体" w:hAnsi="宋体"/>
                <w:szCs w:val="21"/>
              </w:rPr>
            </w:pPr>
            <w:r>
              <w:rPr>
                <w:rFonts w:hint="eastAsia" w:ascii="宋体" w:hAnsi="宋体"/>
                <w:szCs w:val="21"/>
              </w:rPr>
              <w:t>设计进度控制</w:t>
            </w:r>
          </w:p>
        </w:tc>
        <w:tc>
          <w:tcPr>
            <w:tcW w:w="2376" w:type="dxa"/>
            <w:tcBorders>
              <w:top w:val="single" w:color="auto" w:sz="4" w:space="0"/>
              <w:left w:val="single" w:color="auto" w:sz="4" w:space="0"/>
              <w:bottom w:val="single" w:color="auto" w:sz="4" w:space="0"/>
              <w:right w:val="single" w:color="auto" w:sz="4" w:space="0"/>
            </w:tcBorders>
            <w:noWrap w:val="0"/>
            <w:vAlign w:val="top"/>
          </w:tcPr>
          <w:p>
            <w:pPr>
              <w:spacing w:line="240" w:lineRule="exact"/>
              <w:rPr>
                <w:rFonts w:ascii="宋体" w:hAnsi="宋体"/>
                <w:szCs w:val="21"/>
              </w:rPr>
            </w:pPr>
            <w:r>
              <w:rPr>
                <w:rFonts w:hint="eastAsia" w:ascii="宋体" w:hAnsi="宋体"/>
                <w:szCs w:val="21"/>
              </w:rPr>
              <w:t>认真执行公司年度下达的工期计划及设计管理部安排的合同范围内的 其它任务，制定详细的设计分解工期计划安排；按时提交设计成果文件；及时汇报设计情况，每月提交设计完成情况专题报告。</w:t>
            </w: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20</w:t>
            </w:r>
          </w:p>
          <w:p>
            <w:pPr>
              <w:spacing w:line="240" w:lineRule="exact"/>
              <w:jc w:val="center"/>
              <w:rPr>
                <w:rFonts w:ascii="宋体" w:hAnsi="宋体"/>
                <w:szCs w:val="21"/>
              </w:rPr>
            </w:pPr>
          </w:p>
          <w:p>
            <w:pPr>
              <w:spacing w:line="240" w:lineRule="exact"/>
              <w:jc w:val="center"/>
              <w:rPr>
                <w:rFonts w:ascii="宋体" w:hAnsi="宋体"/>
                <w:szCs w:val="21"/>
              </w:rPr>
            </w:pPr>
          </w:p>
        </w:tc>
        <w:tc>
          <w:tcPr>
            <w:tcW w:w="3435"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left"/>
              <w:rPr>
                <w:rFonts w:ascii="宋体" w:hAnsi="宋体"/>
                <w:szCs w:val="21"/>
              </w:rPr>
            </w:pPr>
            <w:r>
              <w:rPr>
                <w:rFonts w:hint="eastAsia" w:ascii="宋体" w:hAnsi="宋体"/>
                <w:szCs w:val="21"/>
              </w:rPr>
              <w:t>一个关键节点达不到目标工期，每滞后1天扣1分，每关键节点拖延最多扣20分；分解工期计划不详细扣2分；不按时提交设计成果文件和专题报告每项扣5分；委托人对口管理专业工程师反映不满足要求，经确认属实的每次扣2分。</w:t>
            </w:r>
          </w:p>
        </w:tc>
        <w:tc>
          <w:tcPr>
            <w:tcW w:w="992"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4" w:space="0"/>
              <w:right w:val="single" w:color="auto" w:sz="12" w:space="0"/>
            </w:tcBorders>
            <w:noWrap w:val="0"/>
            <w:vAlign w:val="top"/>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3" w:hRule="atLeast"/>
          <w:jc w:val="center"/>
        </w:trPr>
        <w:tc>
          <w:tcPr>
            <w:tcW w:w="420" w:type="dxa"/>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2</w:t>
            </w:r>
          </w:p>
        </w:tc>
        <w:tc>
          <w:tcPr>
            <w:tcW w:w="63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ascii="宋体" w:hAnsi="宋体"/>
                <w:szCs w:val="21"/>
              </w:rPr>
            </w:pPr>
            <w:r>
              <w:rPr>
                <w:rFonts w:hint="eastAsia" w:ascii="宋体" w:hAnsi="宋体"/>
                <w:szCs w:val="21"/>
              </w:rPr>
              <w:t>设计质量控制</w:t>
            </w:r>
          </w:p>
          <w:p>
            <w:pPr>
              <w:spacing w:line="240" w:lineRule="exact"/>
              <w:jc w:val="center"/>
              <w:rPr>
                <w:rFonts w:ascii="宋体" w:hAnsi="宋体"/>
                <w:szCs w:val="21"/>
              </w:rPr>
            </w:pPr>
          </w:p>
        </w:tc>
        <w:tc>
          <w:tcPr>
            <w:tcW w:w="2376" w:type="dxa"/>
            <w:tcBorders>
              <w:top w:val="single" w:color="auto" w:sz="4" w:space="0"/>
              <w:left w:val="single" w:color="auto" w:sz="4" w:space="0"/>
              <w:bottom w:val="single" w:color="auto" w:sz="4" w:space="0"/>
              <w:right w:val="single" w:color="auto" w:sz="4" w:space="0"/>
            </w:tcBorders>
            <w:noWrap w:val="0"/>
            <w:vAlign w:val="top"/>
          </w:tcPr>
          <w:p>
            <w:pPr>
              <w:spacing w:line="240" w:lineRule="exact"/>
              <w:rPr>
                <w:rFonts w:ascii="宋体" w:hAnsi="宋体"/>
                <w:szCs w:val="21"/>
              </w:rPr>
            </w:pPr>
            <w:r>
              <w:rPr>
                <w:rFonts w:hint="eastAsia" w:ascii="宋体" w:hAnsi="宋体"/>
                <w:szCs w:val="21"/>
              </w:rPr>
              <w:t>较好执行强制性规范；设计管理文件编制齐全，标准统一，满足设计管理需要，并监督执行；及时地总结包括设计分包设计在内存在的设计质量问题，整改提高，提高设计质量。</w:t>
            </w: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20</w:t>
            </w:r>
          </w:p>
          <w:p>
            <w:pPr>
              <w:spacing w:line="240" w:lineRule="exact"/>
              <w:jc w:val="center"/>
              <w:rPr>
                <w:rFonts w:ascii="宋体" w:hAnsi="宋体"/>
                <w:szCs w:val="21"/>
              </w:rPr>
            </w:pPr>
          </w:p>
          <w:p>
            <w:pPr>
              <w:spacing w:line="240" w:lineRule="exact"/>
              <w:rPr>
                <w:rFonts w:ascii="宋体" w:hAnsi="宋体"/>
                <w:szCs w:val="21"/>
              </w:rPr>
            </w:pPr>
          </w:p>
        </w:tc>
        <w:tc>
          <w:tcPr>
            <w:tcW w:w="3435"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left"/>
              <w:rPr>
                <w:rFonts w:ascii="宋体" w:hAnsi="宋体"/>
                <w:szCs w:val="21"/>
              </w:rPr>
            </w:pPr>
            <w:r>
              <w:rPr>
                <w:rFonts w:hint="eastAsia" w:ascii="宋体" w:hAnsi="宋体"/>
                <w:szCs w:val="21"/>
              </w:rPr>
              <w:t>因设计失误、漏项、接口处理不当或违反强制性规范造成设计返工、工期延误，每次扣2—5分；委托人审查时发现设计质量低劣，属总体设计审查把关原因的，视严重程度扣5—10分。对设计问题未总结的扣2分；委托人对口管理专业工程师反映不满足要求，经确认属实的每次扣2分。</w:t>
            </w:r>
          </w:p>
        </w:tc>
        <w:tc>
          <w:tcPr>
            <w:tcW w:w="992"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4" w:space="0"/>
              <w:right w:val="single" w:color="auto" w:sz="12" w:space="0"/>
            </w:tcBorders>
            <w:noWrap w:val="0"/>
            <w:vAlign w:val="top"/>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5" w:hRule="atLeast"/>
          <w:jc w:val="center"/>
        </w:trPr>
        <w:tc>
          <w:tcPr>
            <w:tcW w:w="420" w:type="dxa"/>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3</w:t>
            </w:r>
          </w:p>
        </w:tc>
        <w:tc>
          <w:tcPr>
            <w:tcW w:w="63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投资控制</w:t>
            </w:r>
          </w:p>
        </w:tc>
        <w:tc>
          <w:tcPr>
            <w:tcW w:w="2376" w:type="dxa"/>
            <w:tcBorders>
              <w:top w:val="single" w:color="auto" w:sz="4" w:space="0"/>
              <w:left w:val="single" w:color="auto" w:sz="4" w:space="0"/>
              <w:bottom w:val="single" w:color="auto" w:sz="4" w:space="0"/>
              <w:right w:val="single" w:color="auto" w:sz="4" w:space="0"/>
            </w:tcBorders>
            <w:noWrap w:val="0"/>
            <w:vAlign w:val="top"/>
          </w:tcPr>
          <w:p>
            <w:pPr>
              <w:spacing w:line="240" w:lineRule="exact"/>
              <w:rPr>
                <w:rFonts w:ascii="宋体" w:hAnsi="宋体"/>
                <w:szCs w:val="21"/>
              </w:rPr>
            </w:pPr>
            <w:r>
              <w:rPr>
                <w:rFonts w:hint="eastAsia" w:ascii="宋体" w:hAnsi="宋体"/>
                <w:szCs w:val="21"/>
              </w:rPr>
              <w:t>严格限额设计，概算控制预算，概算编制完整不漏项，章节齐全；定额、费用和价格能认真进行经济指标分析，准确套用定额；严格控制变更设计，变更设计技术审查严格。</w:t>
            </w:r>
          </w:p>
        </w:tc>
        <w:tc>
          <w:tcPr>
            <w:tcW w:w="709" w:type="dxa"/>
            <w:tcBorders>
              <w:top w:val="single" w:color="auto" w:sz="2"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20</w:t>
            </w:r>
          </w:p>
          <w:p>
            <w:pPr>
              <w:spacing w:line="240" w:lineRule="exact"/>
              <w:jc w:val="center"/>
              <w:rPr>
                <w:rFonts w:ascii="宋体" w:hAnsi="宋体"/>
                <w:szCs w:val="21"/>
              </w:rPr>
            </w:pPr>
          </w:p>
          <w:p>
            <w:pPr>
              <w:spacing w:line="240" w:lineRule="exact"/>
              <w:jc w:val="center"/>
              <w:rPr>
                <w:rFonts w:ascii="宋体" w:hAnsi="宋体"/>
                <w:szCs w:val="21"/>
              </w:rPr>
            </w:pPr>
          </w:p>
        </w:tc>
        <w:tc>
          <w:tcPr>
            <w:tcW w:w="3435" w:type="dxa"/>
            <w:tcBorders>
              <w:top w:val="single" w:color="auto" w:sz="2" w:space="0"/>
              <w:left w:val="single" w:color="auto" w:sz="4" w:space="0"/>
              <w:bottom w:val="single" w:color="auto" w:sz="4" w:space="0"/>
              <w:right w:val="single" w:color="auto" w:sz="4" w:space="0"/>
            </w:tcBorders>
            <w:noWrap w:val="0"/>
            <w:vAlign w:val="top"/>
          </w:tcPr>
          <w:p>
            <w:pPr>
              <w:spacing w:line="240" w:lineRule="exact"/>
              <w:jc w:val="left"/>
              <w:rPr>
                <w:rFonts w:ascii="宋体" w:hAnsi="宋体"/>
                <w:szCs w:val="21"/>
              </w:rPr>
            </w:pPr>
            <w:r>
              <w:rPr>
                <w:rFonts w:hint="eastAsia" w:ascii="宋体" w:hAnsi="宋体"/>
                <w:szCs w:val="21"/>
              </w:rPr>
              <w:t>投资控制目标突破概算，不能说明其充足理由的，每项扣8分；施工图设计单项预算出现增加的，属设计原因的，每项扣5分；因设计失误、漏项、接口处理不当等原因造成设计变更的，分类别每次扣分，Ⅰ类扣8分，Ⅱ类扣6分，Ⅲ类扣4分，Ⅳ类扣2分；委托人对口管理专业工程师反映不满足要求，经确认属实的每次扣2分。</w:t>
            </w:r>
          </w:p>
        </w:tc>
        <w:tc>
          <w:tcPr>
            <w:tcW w:w="992" w:type="dxa"/>
            <w:tcBorders>
              <w:top w:val="single" w:color="auto" w:sz="2"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4" w:space="0"/>
              <w:right w:val="single" w:color="auto" w:sz="12" w:space="0"/>
            </w:tcBorders>
            <w:noWrap w:val="0"/>
            <w:vAlign w:val="top"/>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9" w:hRule="atLeast"/>
          <w:jc w:val="center"/>
        </w:trPr>
        <w:tc>
          <w:tcPr>
            <w:tcW w:w="420" w:type="dxa"/>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4</w:t>
            </w:r>
          </w:p>
        </w:tc>
        <w:tc>
          <w:tcPr>
            <w:tcW w:w="63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设计接口管理</w:t>
            </w:r>
          </w:p>
        </w:tc>
        <w:tc>
          <w:tcPr>
            <w:tcW w:w="2376" w:type="dxa"/>
            <w:tcBorders>
              <w:top w:val="single" w:color="auto" w:sz="4" w:space="0"/>
              <w:left w:val="single" w:color="auto" w:sz="4" w:space="0"/>
              <w:bottom w:val="single" w:color="auto" w:sz="4" w:space="0"/>
              <w:right w:val="single" w:color="auto" w:sz="4" w:space="0"/>
            </w:tcBorders>
            <w:noWrap w:val="0"/>
            <w:vAlign w:val="top"/>
          </w:tcPr>
          <w:p>
            <w:pPr>
              <w:spacing w:line="240" w:lineRule="exact"/>
              <w:rPr>
                <w:rFonts w:ascii="宋体" w:hAnsi="宋体"/>
                <w:szCs w:val="21"/>
              </w:rPr>
            </w:pPr>
            <w:r>
              <w:rPr>
                <w:rFonts w:hint="eastAsia" w:ascii="宋体" w:hAnsi="宋体"/>
                <w:szCs w:val="21"/>
              </w:rPr>
              <w:t>制定严谨的设计会签制度，监督各分包设计单位执行接口管理规定，接口处理恰当，落实监理意见；经常组织设计接口协调会，发现接口问题及时解决。</w:t>
            </w: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ind w:firstLine="105"/>
              <w:rPr>
                <w:rFonts w:ascii="宋体" w:hAnsi="宋体"/>
                <w:szCs w:val="21"/>
              </w:rPr>
            </w:pPr>
            <w:r>
              <w:rPr>
                <w:rFonts w:hint="eastAsia" w:ascii="宋体" w:hAnsi="宋体"/>
                <w:szCs w:val="21"/>
              </w:rPr>
              <w:t>15</w:t>
            </w:r>
          </w:p>
          <w:p>
            <w:pPr>
              <w:spacing w:line="240" w:lineRule="exact"/>
              <w:rPr>
                <w:rFonts w:ascii="宋体" w:hAnsi="宋体"/>
                <w:szCs w:val="21"/>
              </w:rPr>
            </w:pPr>
          </w:p>
        </w:tc>
        <w:tc>
          <w:tcPr>
            <w:tcW w:w="3435"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left"/>
              <w:rPr>
                <w:rFonts w:ascii="宋体" w:hAnsi="宋体"/>
                <w:szCs w:val="21"/>
              </w:rPr>
            </w:pPr>
            <w:r>
              <w:rPr>
                <w:rFonts w:hint="eastAsia" w:ascii="宋体" w:hAnsi="宋体"/>
                <w:szCs w:val="21"/>
              </w:rPr>
              <w:t>关键接口处理不当，每项扣5分；一般接口处理不当，或漏项，或造成协调工作量大，每项扣3分，未执行设计监理或施工图审查单位意见且未说明原因的，每项扣2分，委托人、监理或分包设计院提醒后仍未协调的，每次扣2分；委托人对口管理专业工程师反映不满足要求，经确认属实的每次扣2分。</w:t>
            </w:r>
          </w:p>
        </w:tc>
        <w:tc>
          <w:tcPr>
            <w:tcW w:w="992"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4" w:space="0"/>
              <w:right w:val="single" w:color="auto" w:sz="12" w:space="0"/>
            </w:tcBorders>
            <w:noWrap w:val="0"/>
            <w:vAlign w:val="top"/>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5" w:hRule="atLeast"/>
          <w:jc w:val="center"/>
        </w:trPr>
        <w:tc>
          <w:tcPr>
            <w:tcW w:w="420" w:type="dxa"/>
            <w:tcBorders>
              <w:top w:val="single" w:color="auto" w:sz="4" w:space="0"/>
              <w:left w:val="single" w:color="auto" w:sz="12"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rPr>
                <w:rFonts w:ascii="宋体" w:hAnsi="宋体"/>
                <w:szCs w:val="21"/>
              </w:rPr>
            </w:pPr>
            <w:r>
              <w:rPr>
                <w:rFonts w:hint="eastAsia" w:ascii="宋体" w:hAnsi="宋体"/>
                <w:szCs w:val="21"/>
              </w:rPr>
              <w:t>5</w:t>
            </w:r>
          </w:p>
        </w:tc>
        <w:tc>
          <w:tcPr>
            <w:tcW w:w="63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分包设计单位管理</w:t>
            </w:r>
          </w:p>
          <w:p>
            <w:pPr>
              <w:spacing w:line="240" w:lineRule="exact"/>
              <w:jc w:val="center"/>
              <w:rPr>
                <w:rFonts w:ascii="宋体" w:hAnsi="宋体"/>
                <w:szCs w:val="21"/>
              </w:rPr>
            </w:pPr>
          </w:p>
        </w:tc>
        <w:tc>
          <w:tcPr>
            <w:tcW w:w="2376" w:type="dxa"/>
            <w:tcBorders>
              <w:top w:val="single" w:color="auto" w:sz="4" w:space="0"/>
              <w:left w:val="single" w:color="auto" w:sz="4" w:space="0"/>
              <w:bottom w:val="single" w:color="auto" w:sz="4" w:space="0"/>
              <w:right w:val="single" w:color="auto" w:sz="4" w:space="0"/>
            </w:tcBorders>
            <w:noWrap w:val="0"/>
            <w:vAlign w:val="top"/>
          </w:tcPr>
          <w:p>
            <w:pPr>
              <w:spacing w:line="240" w:lineRule="exact"/>
              <w:rPr>
                <w:rFonts w:ascii="宋体" w:hAnsi="宋体"/>
                <w:szCs w:val="21"/>
              </w:rPr>
            </w:pPr>
            <w:r>
              <w:rPr>
                <w:rFonts w:hint="eastAsia" w:ascii="宋体" w:hAnsi="宋体"/>
                <w:szCs w:val="21"/>
              </w:rPr>
              <w:t>加强分包设计单位的管理工作，定期巡检，组织对分包设计单位考核，坚持每半月设计例会制度，做好动态管理。</w:t>
            </w: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10</w:t>
            </w:r>
          </w:p>
          <w:p>
            <w:pPr>
              <w:spacing w:line="240" w:lineRule="exact"/>
              <w:rPr>
                <w:rFonts w:ascii="宋体" w:hAnsi="宋体"/>
                <w:szCs w:val="21"/>
              </w:rPr>
            </w:pPr>
          </w:p>
        </w:tc>
        <w:tc>
          <w:tcPr>
            <w:tcW w:w="3435"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left"/>
              <w:rPr>
                <w:rFonts w:ascii="宋体" w:hAnsi="宋体"/>
                <w:szCs w:val="21"/>
              </w:rPr>
            </w:pPr>
            <w:r>
              <w:rPr>
                <w:rFonts w:hint="eastAsia" w:ascii="宋体" w:hAnsi="宋体"/>
                <w:szCs w:val="21"/>
              </w:rPr>
              <w:t>疏于对分包设计单位管理，导致设计进度滞后和出现设计质量问题，扣2—5分；每半月没有可支持理由，不召开设计例会的扣5分；委托人对口管理专业工程师反映不满足要求， 经确认属实的每次扣2分。</w:t>
            </w:r>
          </w:p>
        </w:tc>
        <w:tc>
          <w:tcPr>
            <w:tcW w:w="992"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4" w:space="0"/>
              <w:right w:val="single" w:color="auto" w:sz="12" w:space="0"/>
            </w:tcBorders>
            <w:noWrap w:val="0"/>
            <w:vAlign w:val="top"/>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3" w:hRule="atLeast"/>
          <w:jc w:val="center"/>
        </w:trPr>
        <w:tc>
          <w:tcPr>
            <w:tcW w:w="420" w:type="dxa"/>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6</w:t>
            </w:r>
          </w:p>
        </w:tc>
        <w:tc>
          <w:tcPr>
            <w:tcW w:w="636"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设计服务管理</w:t>
            </w:r>
          </w:p>
          <w:p>
            <w:pPr>
              <w:spacing w:line="240" w:lineRule="exact"/>
              <w:jc w:val="center"/>
              <w:rPr>
                <w:rFonts w:ascii="宋体" w:hAnsi="宋体"/>
                <w:szCs w:val="21"/>
              </w:rPr>
            </w:pPr>
          </w:p>
        </w:tc>
        <w:tc>
          <w:tcPr>
            <w:tcW w:w="2376" w:type="dxa"/>
            <w:tcBorders>
              <w:top w:val="single" w:color="auto" w:sz="4" w:space="0"/>
              <w:left w:val="single" w:color="auto" w:sz="4" w:space="0"/>
              <w:bottom w:val="single" w:color="auto" w:sz="4" w:space="0"/>
              <w:right w:val="single" w:color="auto" w:sz="4" w:space="0"/>
            </w:tcBorders>
            <w:noWrap w:val="0"/>
            <w:vAlign w:val="top"/>
          </w:tcPr>
          <w:p>
            <w:pPr>
              <w:spacing w:line="240" w:lineRule="exact"/>
              <w:rPr>
                <w:rFonts w:ascii="宋体" w:hAnsi="宋体"/>
                <w:szCs w:val="21"/>
              </w:rPr>
            </w:pPr>
            <w:r>
              <w:rPr>
                <w:rFonts w:hint="eastAsia" w:ascii="宋体" w:hAnsi="宋体"/>
                <w:szCs w:val="21"/>
              </w:rPr>
              <w:t>严格按照合同约定配齐项目负责人、各专业负责人，各阶段现场设计总体、总包人员满足工作需要；协调规划、人防、消防、环保等报建工作，积极配合；人员到位及时，按时参加各类设计工作会议。</w:t>
            </w: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15</w:t>
            </w:r>
          </w:p>
          <w:p>
            <w:pPr>
              <w:spacing w:line="240" w:lineRule="exact"/>
              <w:jc w:val="center"/>
              <w:rPr>
                <w:rFonts w:ascii="宋体" w:hAnsi="宋体"/>
                <w:szCs w:val="21"/>
              </w:rPr>
            </w:pPr>
          </w:p>
          <w:p>
            <w:pPr>
              <w:spacing w:line="240" w:lineRule="exact"/>
              <w:rPr>
                <w:rFonts w:ascii="宋体" w:hAnsi="宋体"/>
                <w:szCs w:val="21"/>
              </w:rPr>
            </w:pPr>
          </w:p>
        </w:tc>
        <w:tc>
          <w:tcPr>
            <w:tcW w:w="3435"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left"/>
              <w:rPr>
                <w:rFonts w:ascii="宋体" w:hAnsi="宋体"/>
                <w:szCs w:val="21"/>
              </w:rPr>
            </w:pPr>
            <w:r>
              <w:rPr>
                <w:rFonts w:hint="eastAsia" w:ascii="宋体" w:hAnsi="宋体"/>
                <w:szCs w:val="21"/>
              </w:rPr>
              <w:t xml:space="preserve">项目主要负责人长期不出席相关会议的扣3分；负责报建工作不得力，拖延时间的，每次扣2分；委托人组织专业设计审查时，相关专业负责人不到位的扣5分；委托人对口管理专业工程师反映不满足要求，经确认属实的每次扣2分。 </w:t>
            </w:r>
          </w:p>
        </w:tc>
        <w:tc>
          <w:tcPr>
            <w:tcW w:w="992"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4" w:space="0"/>
              <w:right w:val="single" w:color="auto" w:sz="12" w:space="0"/>
            </w:tcBorders>
            <w:noWrap w:val="0"/>
            <w:vAlign w:val="top"/>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0" w:type="dxa"/>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 xml:space="preserve"> </w:t>
            </w:r>
          </w:p>
        </w:tc>
        <w:tc>
          <w:tcPr>
            <w:tcW w:w="636" w:type="dxa"/>
            <w:tcBorders>
              <w:top w:val="single" w:color="auto" w:sz="4" w:space="0"/>
              <w:left w:val="single" w:color="auto" w:sz="4" w:space="0"/>
              <w:bottom w:val="single" w:color="auto" w:sz="12"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总</w:t>
            </w:r>
          </w:p>
          <w:p>
            <w:pPr>
              <w:spacing w:line="240" w:lineRule="exact"/>
              <w:jc w:val="center"/>
              <w:rPr>
                <w:rFonts w:ascii="宋体" w:hAnsi="宋体"/>
                <w:szCs w:val="21"/>
              </w:rPr>
            </w:pPr>
            <w:r>
              <w:rPr>
                <w:rFonts w:hint="eastAsia" w:ascii="宋体" w:hAnsi="宋体"/>
                <w:szCs w:val="21"/>
              </w:rPr>
              <w:t>计</w:t>
            </w:r>
          </w:p>
        </w:tc>
        <w:tc>
          <w:tcPr>
            <w:tcW w:w="2376" w:type="dxa"/>
            <w:tcBorders>
              <w:top w:val="single" w:color="auto" w:sz="4" w:space="0"/>
              <w:left w:val="single" w:color="auto" w:sz="4" w:space="0"/>
              <w:bottom w:val="single" w:color="auto" w:sz="12" w:space="0"/>
              <w:right w:val="single" w:color="auto" w:sz="4" w:space="0"/>
            </w:tcBorders>
            <w:noWrap w:val="0"/>
            <w:vAlign w:val="center"/>
          </w:tcPr>
          <w:p>
            <w:pPr>
              <w:spacing w:line="240" w:lineRule="exact"/>
              <w:jc w:val="center"/>
              <w:rPr>
                <w:rFonts w:ascii="宋体" w:hAnsi="宋体"/>
                <w:szCs w:val="21"/>
              </w:rPr>
            </w:pPr>
          </w:p>
        </w:tc>
        <w:tc>
          <w:tcPr>
            <w:tcW w:w="709" w:type="dxa"/>
            <w:tcBorders>
              <w:top w:val="single" w:color="auto" w:sz="4" w:space="0"/>
              <w:left w:val="single" w:color="auto" w:sz="4" w:space="0"/>
              <w:bottom w:val="single" w:color="auto" w:sz="12" w:space="0"/>
              <w:right w:val="single" w:color="auto" w:sz="4" w:space="0"/>
            </w:tcBorders>
            <w:noWrap w:val="0"/>
            <w:vAlign w:val="center"/>
          </w:tcPr>
          <w:p>
            <w:pPr>
              <w:spacing w:line="240" w:lineRule="exact"/>
              <w:jc w:val="center"/>
              <w:rPr>
                <w:rFonts w:ascii="宋体" w:hAnsi="宋体"/>
                <w:szCs w:val="21"/>
              </w:rPr>
            </w:pPr>
          </w:p>
        </w:tc>
        <w:tc>
          <w:tcPr>
            <w:tcW w:w="3435" w:type="dxa"/>
            <w:tcBorders>
              <w:top w:val="single" w:color="auto" w:sz="4" w:space="0"/>
              <w:left w:val="single" w:color="auto" w:sz="4" w:space="0"/>
              <w:bottom w:val="single" w:color="auto" w:sz="12" w:space="0"/>
              <w:right w:val="single" w:color="auto" w:sz="4" w:space="0"/>
            </w:tcBorders>
            <w:noWrap w:val="0"/>
            <w:vAlign w:val="center"/>
          </w:tcPr>
          <w:p>
            <w:pPr>
              <w:spacing w:line="240" w:lineRule="exact"/>
              <w:jc w:val="center"/>
              <w:rPr>
                <w:rFonts w:ascii="宋体" w:hAnsi="宋体"/>
                <w:szCs w:val="21"/>
              </w:rPr>
            </w:pPr>
            <w:r>
              <w:rPr>
                <w:rFonts w:hint="eastAsia" w:ascii="宋体" w:hAnsi="宋体"/>
                <w:szCs w:val="21"/>
              </w:rPr>
              <w:t>100</w:t>
            </w:r>
          </w:p>
        </w:tc>
        <w:tc>
          <w:tcPr>
            <w:tcW w:w="992" w:type="dxa"/>
            <w:tcBorders>
              <w:top w:val="single" w:color="auto" w:sz="4" w:space="0"/>
              <w:left w:val="single" w:color="auto" w:sz="4" w:space="0"/>
              <w:bottom w:val="single" w:color="auto" w:sz="12" w:space="0"/>
              <w:right w:val="single" w:color="auto" w:sz="4" w:space="0"/>
            </w:tcBorders>
            <w:noWrap w:val="0"/>
            <w:vAlign w:val="center"/>
          </w:tcPr>
          <w:p>
            <w:pPr>
              <w:spacing w:line="240" w:lineRule="exact"/>
              <w:jc w:val="center"/>
              <w:rPr>
                <w:rFonts w:ascii="宋体" w:hAnsi="宋体"/>
                <w:szCs w:val="21"/>
              </w:rPr>
            </w:pPr>
          </w:p>
        </w:tc>
        <w:tc>
          <w:tcPr>
            <w:tcW w:w="851" w:type="dxa"/>
            <w:tcBorders>
              <w:top w:val="single" w:color="auto" w:sz="4" w:space="0"/>
              <w:left w:val="single" w:color="auto" w:sz="4" w:space="0"/>
              <w:bottom w:val="single" w:color="auto" w:sz="12" w:space="0"/>
              <w:right w:val="single" w:color="auto" w:sz="4" w:space="0"/>
            </w:tcBorders>
            <w:noWrap w:val="0"/>
            <w:vAlign w:val="center"/>
          </w:tcPr>
          <w:p>
            <w:pPr>
              <w:spacing w:line="240" w:lineRule="exact"/>
              <w:jc w:val="center"/>
              <w:rPr>
                <w:rFonts w:ascii="宋体" w:hAnsi="宋体"/>
                <w:szCs w:val="21"/>
              </w:rPr>
            </w:pPr>
          </w:p>
        </w:tc>
        <w:tc>
          <w:tcPr>
            <w:tcW w:w="931" w:type="dxa"/>
            <w:tcBorders>
              <w:top w:val="single" w:color="auto" w:sz="4" w:space="0"/>
              <w:left w:val="single" w:color="auto" w:sz="4" w:space="0"/>
              <w:bottom w:val="single" w:color="auto" w:sz="12" w:space="0"/>
              <w:right w:val="single" w:color="auto" w:sz="12" w:space="0"/>
            </w:tcBorders>
            <w:noWrap w:val="0"/>
            <w:vAlign w:val="center"/>
          </w:tcPr>
          <w:p>
            <w:pPr>
              <w:spacing w:line="240" w:lineRule="exact"/>
              <w:jc w:val="center"/>
              <w:rPr>
                <w:rFonts w:ascii="宋体" w:hAnsi="宋体"/>
                <w:szCs w:val="21"/>
              </w:rPr>
            </w:pPr>
          </w:p>
        </w:tc>
      </w:tr>
    </w:tbl>
    <w:p>
      <w:pPr>
        <w:spacing w:line="240" w:lineRule="exact"/>
        <w:ind w:hanging="735"/>
        <w:rPr>
          <w:rFonts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、考核表中评分标准列出的“委托人对口管理专业工程师反映不满足要求”确认属实由委托人设计管理部经理核准，并及时以工作联系单通知设计总承包单位和设计监理单位。</w:t>
      </w:r>
    </w:p>
    <w:p>
      <w:pPr>
        <w:widowControl/>
        <w:rPr>
          <w:rFonts w:hint="eastAsia" w:ascii="宋体" w:hAnsi="宋体"/>
          <w:b/>
          <w:bCs/>
          <w:sz w:val="28"/>
          <w:szCs w:val="28"/>
        </w:rPr>
      </w:pPr>
      <w:r>
        <w:rPr>
          <w:rFonts w:ascii="宋体" w:hAnsi="宋体"/>
          <w:b/>
          <w:bCs/>
          <w:sz w:val="28"/>
          <w:szCs w:val="28"/>
        </w:rPr>
        <w:br w:type="page"/>
      </w:r>
    </w:p>
    <w:p>
      <w:pPr>
        <w:tabs>
          <w:tab w:val="left" w:pos="-1120"/>
        </w:tabs>
        <w:rPr>
          <w:rFonts w:hint="eastAsia" w:ascii="宋体" w:hAnsi="宋体" w:cs="宋体"/>
          <w:b/>
          <w:sz w:val="32"/>
          <w:szCs w:val="32"/>
        </w:rPr>
      </w:pPr>
      <w:r>
        <w:rPr>
          <w:rFonts w:hint="eastAsia" w:ascii="宋体" w:hAnsi="宋体"/>
          <w:b/>
          <w:bCs/>
          <w:sz w:val="28"/>
          <w:szCs w:val="28"/>
        </w:rPr>
        <w:t>（二）承包人考核管理办法</w:t>
      </w:r>
    </w:p>
    <w:p>
      <w:pPr>
        <w:tabs>
          <w:tab w:val="left" w:pos="-1120"/>
        </w:tabs>
        <w:adjustRightInd w:val="0"/>
        <w:snapToGrid w:val="0"/>
        <w:spacing w:before="156"/>
        <w:ind w:firstLine="643" w:firstLineChars="200"/>
        <w:jc w:val="center"/>
        <w:rPr>
          <w:rFonts w:hint="eastAsia" w:ascii="仿宋_GB2312" w:hAnsi="宋体" w:eastAsia="仿宋_GB2312"/>
          <w:b/>
          <w:sz w:val="32"/>
          <w:szCs w:val="32"/>
        </w:rPr>
      </w:pPr>
      <w:r>
        <w:rPr>
          <w:rFonts w:hint="eastAsia" w:ascii="宋体" w:hAnsi="宋体" w:cs="宋体"/>
          <w:b/>
          <w:sz w:val="32"/>
          <w:szCs w:val="32"/>
        </w:rPr>
        <w:t>承包人考评管理办法</w:t>
      </w:r>
    </w:p>
    <w:p>
      <w:pPr>
        <w:tabs>
          <w:tab w:val="left" w:pos="-1120"/>
        </w:tabs>
        <w:adjustRightInd w:val="0"/>
        <w:snapToGrid w:val="0"/>
        <w:spacing w:line="360" w:lineRule="auto"/>
        <w:ind w:firstLine="448" w:firstLineChars="200"/>
        <w:rPr>
          <w:rFonts w:hint="eastAsia" w:ascii="宋体" w:hAnsi="宋体" w:cs="宋体"/>
          <w:spacing w:val="2"/>
          <w:sz w:val="22"/>
          <w:szCs w:val="22"/>
        </w:rPr>
      </w:pPr>
    </w:p>
    <w:p>
      <w:pPr>
        <w:tabs>
          <w:tab w:val="left" w:pos="-1120"/>
        </w:tabs>
        <w:spacing w:line="360" w:lineRule="auto"/>
        <w:ind w:firstLine="540"/>
        <w:jc w:val="left"/>
        <w:rPr>
          <w:rFonts w:hint="eastAsia" w:ascii="宋体" w:hAnsi="宋体" w:cs="宋体"/>
          <w:spacing w:val="2"/>
          <w:sz w:val="22"/>
          <w:szCs w:val="22"/>
        </w:rPr>
      </w:pPr>
      <w:r>
        <w:rPr>
          <w:rFonts w:hint="eastAsia" w:ascii="宋体" w:hAnsi="宋体" w:cs="宋体"/>
          <w:spacing w:val="2"/>
          <w:sz w:val="22"/>
          <w:szCs w:val="22"/>
        </w:rPr>
        <w:t>本项目总承包单位由监理单位负责考核，主要为总承包单位合同实施内容的考核以及第三方评估结果的考核，考核分为第三方评估考核和总承包工作考核，每月考核一次，考核金为当期计量合同总额的5%，考核办法详见附表1。考核结果需报发包人审批，发包人有权否定监理考核结果。</w:t>
      </w:r>
    </w:p>
    <w:p>
      <w:pPr>
        <w:tabs>
          <w:tab w:val="left" w:pos="-1120"/>
        </w:tabs>
        <w:adjustRightInd w:val="0"/>
        <w:snapToGrid w:val="0"/>
        <w:spacing w:line="360" w:lineRule="auto"/>
        <w:ind w:firstLine="501" w:firstLineChars="228"/>
        <w:rPr>
          <w:rFonts w:hint="eastAsia" w:ascii="宋体" w:hAnsi="宋体" w:cs="宋体"/>
          <w:sz w:val="22"/>
          <w:szCs w:val="22"/>
        </w:rPr>
      </w:pPr>
      <w:r>
        <w:rPr>
          <w:rFonts w:hint="eastAsia" w:ascii="宋体" w:hAnsi="宋体" w:cs="宋体"/>
          <w:bCs/>
          <w:sz w:val="22"/>
          <w:szCs w:val="22"/>
        </w:rPr>
        <w:t>考评结果和处理办法：</w:t>
      </w:r>
    </w:p>
    <w:tbl>
      <w:tblPr>
        <w:tblStyle w:val="5"/>
        <w:tblW w:w="0" w:type="auto"/>
        <w:tblInd w:w="0" w:type="dxa"/>
        <w:tblLayout w:type="fixed"/>
        <w:tblCellMar>
          <w:top w:w="0" w:type="dxa"/>
          <w:left w:w="0" w:type="dxa"/>
          <w:bottom w:w="0" w:type="dxa"/>
          <w:right w:w="0" w:type="dxa"/>
        </w:tblCellMar>
      </w:tblPr>
      <w:tblGrid>
        <w:gridCol w:w="2776"/>
        <w:gridCol w:w="6104"/>
      </w:tblGrid>
      <w:tr>
        <w:tblPrEx>
          <w:tblCellMar>
            <w:top w:w="0" w:type="dxa"/>
            <w:left w:w="0" w:type="dxa"/>
            <w:bottom w:w="0" w:type="dxa"/>
            <w:right w:w="0" w:type="dxa"/>
          </w:tblCellMar>
        </w:tblPrEx>
        <w:trPr>
          <w:trHeight w:val="285" w:hRule="atLeast"/>
        </w:trPr>
        <w:tc>
          <w:tcPr>
            <w:tcW w:w="277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考     评</w:t>
            </w:r>
          </w:p>
        </w:tc>
        <w:tc>
          <w:tcPr>
            <w:tcW w:w="61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处理办法</w:t>
            </w:r>
          </w:p>
        </w:tc>
      </w:tr>
      <w:tr>
        <w:tblPrEx>
          <w:tblCellMar>
            <w:top w:w="0" w:type="dxa"/>
            <w:left w:w="0" w:type="dxa"/>
            <w:bottom w:w="0" w:type="dxa"/>
            <w:right w:w="0" w:type="dxa"/>
          </w:tblCellMar>
        </w:tblPrEx>
        <w:trPr>
          <w:trHeight w:val="285" w:hRule="atLeast"/>
        </w:trPr>
        <w:tc>
          <w:tcPr>
            <w:tcW w:w="277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60分以下</w:t>
            </w:r>
          </w:p>
        </w:tc>
        <w:tc>
          <w:tcPr>
            <w:tcW w:w="61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评定档次：不合格。处理办法：停工整顿，通报其上级单位，责令项目部在规定时间内全面整改直至项目管理体系正常运转，扣罚全部当期考核金。</w:t>
            </w:r>
          </w:p>
        </w:tc>
      </w:tr>
      <w:tr>
        <w:tblPrEx>
          <w:tblCellMar>
            <w:top w:w="0" w:type="dxa"/>
            <w:left w:w="0" w:type="dxa"/>
            <w:bottom w:w="0" w:type="dxa"/>
            <w:right w:w="0" w:type="dxa"/>
          </w:tblCellMar>
        </w:tblPrEx>
        <w:trPr>
          <w:trHeight w:val="285" w:hRule="atLeast"/>
        </w:trPr>
        <w:tc>
          <w:tcPr>
            <w:tcW w:w="277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60～70分</w:t>
            </w:r>
          </w:p>
        </w:tc>
        <w:tc>
          <w:tcPr>
            <w:tcW w:w="61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评定档次：较差。提出通报批评，对不称职的人员要求更换。发放当期考核金的50%.</w:t>
            </w:r>
          </w:p>
        </w:tc>
      </w:tr>
      <w:tr>
        <w:tblPrEx>
          <w:tblCellMar>
            <w:top w:w="0" w:type="dxa"/>
            <w:left w:w="0" w:type="dxa"/>
            <w:bottom w:w="0" w:type="dxa"/>
            <w:right w:w="0" w:type="dxa"/>
          </w:tblCellMar>
        </w:tblPrEx>
        <w:trPr>
          <w:trHeight w:val="285" w:hRule="atLeast"/>
        </w:trPr>
        <w:tc>
          <w:tcPr>
            <w:tcW w:w="277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70分～85分</w:t>
            </w:r>
          </w:p>
        </w:tc>
        <w:tc>
          <w:tcPr>
            <w:tcW w:w="61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评定档次：中等。发放当期考核金的70%.</w:t>
            </w:r>
          </w:p>
        </w:tc>
      </w:tr>
      <w:tr>
        <w:tblPrEx>
          <w:tblCellMar>
            <w:top w:w="0" w:type="dxa"/>
            <w:left w:w="0" w:type="dxa"/>
            <w:bottom w:w="0" w:type="dxa"/>
            <w:right w:w="0" w:type="dxa"/>
          </w:tblCellMar>
        </w:tblPrEx>
        <w:trPr>
          <w:trHeight w:val="285" w:hRule="atLeast"/>
        </w:trPr>
        <w:tc>
          <w:tcPr>
            <w:tcW w:w="277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85分以上</w:t>
            </w:r>
          </w:p>
        </w:tc>
        <w:tc>
          <w:tcPr>
            <w:tcW w:w="61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评定档次：优良。通报表扬，发放全额的当期考核金。</w:t>
            </w:r>
          </w:p>
        </w:tc>
      </w:tr>
    </w:tbl>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全年的考核平均分在85分以上，可全额返还当年度被扣罚的绩效奖。</w:t>
      </w:r>
    </w:p>
    <w:p>
      <w:pPr>
        <w:tabs>
          <w:tab w:val="left" w:pos="-1120"/>
        </w:tabs>
        <w:adjustRightInd w:val="0"/>
        <w:snapToGrid w:val="0"/>
        <w:spacing w:before="156" w:line="360" w:lineRule="auto"/>
        <w:ind w:firstLine="442" w:firstLineChars="200"/>
        <w:rPr>
          <w:rFonts w:hint="eastAsia" w:ascii="宋体" w:hAnsi="宋体" w:cs="宋体"/>
          <w:b/>
          <w:sz w:val="22"/>
          <w:szCs w:val="22"/>
        </w:rPr>
      </w:pPr>
      <w:r>
        <w:rPr>
          <w:rFonts w:hint="eastAsia" w:ascii="宋体" w:hAnsi="宋体" w:cs="宋体"/>
          <w:b/>
          <w:sz w:val="22"/>
          <w:szCs w:val="22"/>
        </w:rPr>
        <w:t>三、对承包人项目部经理和总工的考核</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一）业主对承包人项目经理和总工的考核实行红黄牌制度，由发包人负责。黄牌为警告，并罚款3000～5000元。对被出示过两张黄牌的项目经理或总工，发包人有权利要求承包人进行更换，承包人需无条件地在3天内执行。</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1.以下行为项目总工将被出示黄牌：</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（1）当月累计缺勤次数达到3次；</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（2）缺席业主要求参加的会议当月累计2次的；</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（3）未按图施工，不上报，造成严重质量事故的；</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（4）收到监理通知单后，不按要求完成整改的；</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（5）隐蔽工程施工不向监理报告，无监理旁站的；</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 xml:space="preserve">（6）其它严重违规事项。 </w:t>
      </w:r>
    </w:p>
    <w:p>
      <w:pPr>
        <w:tabs>
          <w:tab w:val="left" w:pos="-1120"/>
        </w:tabs>
        <w:adjustRightInd w:val="0"/>
        <w:snapToGrid w:val="0"/>
        <w:spacing w:line="360" w:lineRule="auto"/>
        <w:ind w:firstLine="570"/>
        <w:rPr>
          <w:rFonts w:hint="eastAsia" w:ascii="宋体" w:hAnsi="宋体" w:cs="宋体"/>
          <w:sz w:val="22"/>
          <w:szCs w:val="22"/>
        </w:rPr>
      </w:pPr>
      <w:r>
        <w:rPr>
          <w:rFonts w:hint="eastAsia" w:ascii="宋体" w:hAnsi="宋体" w:cs="宋体"/>
          <w:sz w:val="22"/>
          <w:szCs w:val="22"/>
        </w:rPr>
        <w:t>2.以下行为项目经理将被出示黄牌：</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（1）当月累计缺勤次数达到3次；</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（2）缺席发包人要求参加的会议当月累计2次的；</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（3）月度完成总量为月度计划的60%以下的；</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（4）当月拖欠民工工资的；</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（5）收到监理通知单后，不按要求完成整改的；</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（6）工地存在安全隐患，不进行整改的；</w:t>
      </w:r>
    </w:p>
    <w:p>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（7）分包单位未经监理批准就进场施工的；</w:t>
      </w:r>
    </w:p>
    <w:p>
      <w:pPr>
        <w:tabs>
          <w:tab w:val="left" w:pos="-1120"/>
        </w:tabs>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（8）其它严重违规事项。</w:t>
      </w:r>
    </w:p>
    <w:p>
      <w:pPr>
        <w:adjustRightInd w:val="0"/>
        <w:snapToGrid w:val="0"/>
        <w:spacing w:line="360" w:lineRule="auto"/>
        <w:ind w:firstLine="440" w:firstLineChars="200"/>
        <w:rPr>
          <w:rFonts w:hint="eastAsia" w:ascii="宋体" w:hAnsi="宋体" w:cs="宋体"/>
          <w:sz w:val="22"/>
          <w:szCs w:val="22"/>
        </w:rPr>
      </w:pPr>
    </w:p>
    <w:p>
      <w:pPr>
        <w:adjustRightInd w:val="0"/>
        <w:snapToGrid w:val="0"/>
        <w:spacing w:line="360" w:lineRule="auto"/>
        <w:ind w:firstLine="499" w:firstLineChars="208"/>
        <w:jc w:val="left"/>
        <w:rPr>
          <w:rFonts w:hint="eastAsia" w:ascii="宋体" w:hAnsi="宋体" w:cs="宋体"/>
          <w:spacing w:val="10"/>
          <w:sz w:val="22"/>
          <w:szCs w:val="22"/>
        </w:rPr>
      </w:pPr>
      <w:r>
        <w:rPr>
          <w:rFonts w:hint="eastAsia" w:ascii="宋体" w:hAnsi="宋体" w:cs="宋体"/>
          <w:spacing w:val="10"/>
          <w:sz w:val="22"/>
          <w:szCs w:val="22"/>
        </w:rPr>
        <w:t>附表：</w:t>
      </w:r>
    </w:p>
    <w:p>
      <w:pPr>
        <w:adjustRightInd w:val="0"/>
        <w:snapToGrid w:val="0"/>
        <w:spacing w:line="360" w:lineRule="auto"/>
        <w:ind w:firstLine="499" w:firstLineChars="208"/>
        <w:jc w:val="left"/>
        <w:rPr>
          <w:rFonts w:hint="eastAsia" w:ascii="宋体" w:hAnsi="宋体" w:cs="宋体"/>
          <w:spacing w:val="10"/>
          <w:sz w:val="22"/>
          <w:szCs w:val="22"/>
        </w:rPr>
      </w:pPr>
      <w:r>
        <w:rPr>
          <w:rFonts w:hint="eastAsia" w:ascii="宋体" w:hAnsi="宋体" w:cs="宋体"/>
          <w:spacing w:val="10"/>
          <w:sz w:val="22"/>
          <w:szCs w:val="22"/>
        </w:rPr>
        <w:t>1. 承包人考评表</w:t>
      </w:r>
    </w:p>
    <w:p>
      <w:pPr>
        <w:widowControl/>
        <w:spacing w:line="360" w:lineRule="auto"/>
        <w:jc w:val="left"/>
        <w:rPr>
          <w:rFonts w:hint="eastAsia" w:ascii="宋体" w:hAnsi="宋体" w:cs="宋体"/>
          <w:spacing w:val="10"/>
          <w:sz w:val="22"/>
          <w:szCs w:val="22"/>
        </w:rPr>
      </w:pPr>
      <w:r>
        <w:rPr>
          <w:rFonts w:hint="eastAsia" w:ascii="宋体" w:hAnsi="宋体" w:cs="宋体"/>
          <w:sz w:val="22"/>
          <w:szCs w:val="22"/>
        </w:rPr>
        <w:br w:type="page"/>
      </w:r>
      <w:r>
        <w:rPr>
          <w:rFonts w:hint="eastAsia" w:ascii="宋体" w:hAnsi="宋体" w:cs="宋体"/>
          <w:bCs/>
          <w:sz w:val="22"/>
          <w:szCs w:val="22"/>
        </w:rPr>
        <w:t>附表1.</w:t>
      </w:r>
    </w:p>
    <w:p>
      <w:pPr>
        <w:widowControl/>
        <w:snapToGrid w:val="0"/>
        <w:spacing w:line="360" w:lineRule="auto"/>
        <w:jc w:val="center"/>
        <w:rPr>
          <w:rFonts w:hint="eastAsia" w:ascii="宋体" w:hAnsi="宋体" w:cs="宋体"/>
          <w:b/>
          <w:bCs/>
          <w:sz w:val="22"/>
          <w:szCs w:val="22"/>
        </w:rPr>
      </w:pPr>
      <w:r>
        <w:rPr>
          <w:rFonts w:hint="eastAsia" w:ascii="宋体" w:hAnsi="宋体" w:cs="宋体"/>
          <w:b/>
          <w:bCs/>
          <w:sz w:val="22"/>
          <w:szCs w:val="22"/>
        </w:rPr>
        <w:t>承 包 人 考 评 表</w:t>
      </w:r>
    </w:p>
    <w:p>
      <w:pPr>
        <w:widowControl/>
        <w:snapToGrid w:val="0"/>
        <w:spacing w:line="360" w:lineRule="auto"/>
        <w:rPr>
          <w:rFonts w:hint="eastAsia" w:ascii="宋体" w:hAnsi="宋体" w:cs="宋体"/>
          <w:kern w:val="0"/>
          <w:sz w:val="22"/>
          <w:szCs w:val="22"/>
        </w:rPr>
      </w:pPr>
      <w:r>
        <w:rPr>
          <w:rFonts w:hint="eastAsia" w:ascii="宋体" w:hAnsi="宋体" w:cs="宋体"/>
          <w:kern w:val="0"/>
          <w:sz w:val="22"/>
          <w:szCs w:val="22"/>
        </w:rPr>
        <w:t>考评期：     年     月</w:t>
      </w:r>
      <w:r>
        <w:rPr>
          <w:rFonts w:hint="eastAsia" w:ascii="宋体" w:hAnsi="宋体" w:cs="宋体"/>
          <w:kern w:val="0"/>
          <w:sz w:val="22"/>
          <w:szCs w:val="22"/>
        </w:rPr>
        <w:tab/>
      </w:r>
      <w:r>
        <w:rPr>
          <w:rFonts w:hint="eastAsia" w:ascii="宋体" w:hAnsi="宋体" w:cs="宋体"/>
          <w:kern w:val="0"/>
          <w:sz w:val="22"/>
          <w:szCs w:val="22"/>
        </w:rPr>
        <w:tab/>
      </w:r>
      <w:r>
        <w:rPr>
          <w:rFonts w:hint="eastAsia" w:ascii="宋体" w:hAnsi="宋体" w:cs="宋体"/>
          <w:kern w:val="0"/>
          <w:sz w:val="22"/>
          <w:szCs w:val="22"/>
        </w:rPr>
        <w:t xml:space="preserve">           被考评单位</w:t>
      </w:r>
      <w:r>
        <w:rPr>
          <w:rFonts w:hint="eastAsia" w:ascii="宋体" w:hAnsi="宋体" w:cs="宋体"/>
          <w:kern w:val="0"/>
          <w:sz w:val="22"/>
          <w:szCs w:val="22"/>
          <w:u w:val="singl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5"/>
        <w:gridCol w:w="1260"/>
        <w:gridCol w:w="320"/>
        <w:gridCol w:w="640"/>
        <w:gridCol w:w="5260"/>
        <w:gridCol w:w="540"/>
        <w:gridCol w:w="640"/>
        <w:gridCol w:w="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5" w:hRule="atLeast"/>
          <w:tblHeader/>
          <w:jc w:val="center"/>
        </w:trPr>
        <w:tc>
          <w:tcPr>
            <w:tcW w:w="555"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序号</w:t>
            </w:r>
          </w:p>
        </w:tc>
        <w:tc>
          <w:tcPr>
            <w:tcW w:w="126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考评项目</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 xml:space="preserve">分项       </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分 项    基本分</w:t>
            </w:r>
          </w:p>
        </w:tc>
        <w:tc>
          <w:tcPr>
            <w:tcW w:w="526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考评分项与扣分标准</w:t>
            </w:r>
          </w:p>
        </w:tc>
        <w:tc>
          <w:tcPr>
            <w:tcW w:w="5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扣分</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考评</w:t>
            </w:r>
            <w:r>
              <w:rPr>
                <w:rFonts w:hint="eastAsia" w:ascii="宋体" w:hAnsi="宋体" w:cs="宋体"/>
                <w:b/>
                <w:bCs/>
                <w:sz w:val="22"/>
                <w:szCs w:val="22"/>
              </w:rPr>
              <w:br w:type="textWrapping"/>
            </w:r>
            <w:r>
              <w:rPr>
                <w:rFonts w:hint="eastAsia" w:ascii="宋体" w:hAnsi="宋体" w:cs="宋体"/>
                <w:b/>
                <w:bCs/>
                <w:sz w:val="22"/>
                <w:szCs w:val="22"/>
              </w:rPr>
              <w:t>得分</w:t>
            </w:r>
          </w:p>
        </w:tc>
        <w:tc>
          <w:tcPr>
            <w:tcW w:w="5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b/>
                <w:bCs/>
                <w:sz w:val="22"/>
                <w:szCs w:val="22"/>
              </w:rPr>
            </w:pPr>
            <w:r>
              <w:rPr>
                <w:rFonts w:hint="eastAsia" w:ascii="宋体" w:hAnsi="宋体" w:cs="宋体"/>
                <w:b/>
                <w:bCs/>
                <w:sz w:val="22"/>
                <w:szCs w:val="22"/>
              </w:rPr>
              <w:t>权重分％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jc w:val="center"/>
        </w:trPr>
        <w:tc>
          <w:tcPr>
            <w:tcW w:w="555"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一</w:t>
            </w:r>
          </w:p>
        </w:tc>
        <w:tc>
          <w:tcPr>
            <w:tcW w:w="126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主要管理人员（100分）</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项目经理和项目总工未按合同规定到位，每人扣10分；其他主要管理人员未按投标承诺到位,每人扣2分,扣完为止。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占5％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8"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项目经理和项目总工未执行请假制度，每人（次）扣5～10分；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3</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项目经理和项目总工经常不在岗位（月累计10天及以上），每人扣5～10分；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4"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现任项目经理和项目总工不能满足工作需要，扣10分；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项目部领导班子、内部管理人员之间不团结、不协调，影响工作的，每（人/次）扣5分，扣完为止。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分管技术、质量、安全生产人员的素质差，工作有差错，每（人/次）扣3分，扣完为止。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小  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555"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二</w:t>
            </w:r>
          </w:p>
        </w:tc>
        <w:tc>
          <w:tcPr>
            <w:tcW w:w="126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管理体系     （100分）</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承包人管理体系、质量保证体系不健全、运转不正常，扣5分；施工证件不齐全，扣5分/项</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占5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承包人的管理制度（包括各职能部门、岗位职责）、管理机构不健全或未上墙，扣3分/项；</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6"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3</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承包人的管理人员分工不明确、人员不到位，每（人/次）扣3分，扣完回为止；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承包人选择的分包单位没有严格执行合同或监理管理规定，扣5分，分包单位未经监理批准就进场施工的，扣10分；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承包人对分包单位管理不到位，有以包代管的现象，每次扣10分；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业主、监理检查发现分包单位的施工资质、人员素质、施工质量不能胜任工程需要，要求更换分包单位或人员，每（人/次）扣5分，扣完回为止。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7</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承包人不及时执行监理指令、不服从监理人员协调，每次扣5分；对监理通知3天内不予回复的，每次扣10分，扣完为止。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小  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555"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三</w:t>
            </w:r>
          </w:p>
        </w:tc>
        <w:tc>
          <w:tcPr>
            <w:tcW w:w="126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质量控制    （100分）</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工程控制测量及监测达不到相关要求，或测量、监测工作有误，监测方案和监测周报、月报不及时上报，扣2分/次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xml:space="preserve">占 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承包人不按规定程序办理工程变更，变更设计图或变更设计手续不齐全，未经监理、设计或业主的同意，就擅自进行变更施工的，扣15分/次；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3</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未执行质量“三检制”，未经监理同意就擅自进行下一道工序施工的，1~2分/次，扣完为止。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承包人的质量检查、验收人员工作不认真、不负责任的，每（人/次）扣2分，扣完回为止；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原材料进场不及时向监理申报、送检、台帐不详实，每项（次）扣2分；承包人使用的原材料不按规定送检、送检结果未及时反馈，或使用不合格产品，扣 5分/次。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工地试验设备或实验室达不到标准，扣2分；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7</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业主人员发现质量隐患，扣2～5分/次；</w:t>
            </w:r>
          </w:p>
          <w:p>
            <w:pPr>
              <w:spacing w:line="360" w:lineRule="auto"/>
              <w:rPr>
                <w:rFonts w:hint="eastAsia" w:ascii="宋体" w:hAnsi="宋体" w:cs="宋体"/>
                <w:sz w:val="22"/>
                <w:szCs w:val="22"/>
              </w:rPr>
            </w:pPr>
            <w:r>
              <w:rPr>
                <w:rFonts w:hint="eastAsia" w:ascii="宋体" w:hAnsi="宋体" w:cs="宋体"/>
                <w:sz w:val="22"/>
                <w:szCs w:val="22"/>
              </w:rPr>
              <w:t>现场存在质量问题，被业主在会议中点评、发文通报的，扣5分/次，扣完回为止；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8</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监理检查发现分包单位的质量问题、不安全苗头，每（人/次）扣2分，扣完回为止。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9</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隐蔽工程检查不合格，2分/次；样板验收未能一次性通过，扣5分/次，扣完为止。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2"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发生质量事故，或结构外观质量差，扣10分/次。扣完为止。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小  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jc w:val="center"/>
        </w:trPr>
        <w:tc>
          <w:tcPr>
            <w:tcW w:w="555"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四</w:t>
            </w:r>
          </w:p>
        </w:tc>
        <w:tc>
          <w:tcPr>
            <w:tcW w:w="126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安全及文明施工    （100分）</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安全生产管理制度：安全生产责任制、安全教育制度、安全资金使用制度、安全检查制度、伤亡事故报告制度等，少一项扣5分，扣完为止。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占20%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安全资质、机构与人员管理：安全生产管理机构、安全主任及安全员证件、企业资质、分包单位及人员资质、材料供应及设备租赁单位资质等，有一项不全则扣3分，扣完为止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3</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安全技术管理：各项施工组织设计中的安全措施；专项安全方案；应急预案及其演练；安全技术交底；危险源评估与台帐；消防预案与演练等，有一项不健全则扣5分，扣完为止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3"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本月安全检查与人员教育记录情况：班组班前安全活动记录、配电箱检查记录、每周安全记录、项目部每月安全检查、公司级的安全检查；新进场人员、转岗人员有无三级安全教育；特种作业人员持证上岗情况。有一项不足则扣5分，扣完为止。</w:t>
            </w:r>
          </w:p>
          <w:p>
            <w:pPr>
              <w:spacing w:line="360" w:lineRule="auto"/>
              <w:rPr>
                <w:rFonts w:hint="eastAsia" w:ascii="宋体" w:hAnsi="宋体" w:cs="宋体"/>
                <w:sz w:val="22"/>
                <w:szCs w:val="22"/>
              </w:rPr>
            </w:pPr>
            <w:r>
              <w:rPr>
                <w:rFonts w:hint="eastAsia" w:ascii="宋体" w:hAnsi="宋体" w:cs="宋体"/>
                <w:sz w:val="22"/>
                <w:szCs w:val="22"/>
              </w:rPr>
              <w:t>业主安全检查：现场存在安全问题，被业主在会议中点评、发文通报的，扣5分/次，扣完回为止；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设备与设施安全管理：设备有台帐；在型设备按全控制情况；用电线路及配电设施是否规范；现场安全标识、标牌等设施是否齐全；有一项不足则扣5分，扣完为止。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25</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安全隐患及事故管理：承包人不按设计图施工或施工工况与设计工况不符，扣4分/次（项）；存在安全隐患，扣 5分/次；发生安全事故，扣25分。扣完为止。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7</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施工现场文明施工管理：临设规范，生活区卫生整洁；现场材料堆放有序、标牌明显；施工道路无泥泞；现场堆土、余泥排放符合要求；基坑周边排水畅通；防洪措施等。有一项不足则扣4分。若发生居民投诉或被媒体曝光，每次10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小  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jc w:val="center"/>
        </w:trPr>
        <w:tc>
          <w:tcPr>
            <w:tcW w:w="555"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五</w:t>
            </w:r>
          </w:p>
        </w:tc>
        <w:tc>
          <w:tcPr>
            <w:tcW w:w="126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投资及进度控制    （100分）</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无施工总网络计划、或调整后的网络计划不满足合同工期要求、网络计划图表未上墙，每次（项）扣2～5分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占20％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不按规定的时间、要求进行编制与报送年度、月度、周工作计划，每次（项）扣2～5分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3</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周计划、月计划编制不合理，不符合总体计划要求，每发现一次扣3～5分；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月度工程计划完成85％以下，扣10分；月度工程计划完成70％以下，扣12分；月度工程计划完成60％以下，扣15分；月度工程计划完成50％以下，扣20分。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关键工期目标未完成，每次（项）扣10分。扣完为止。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统计数据资料不准确，与实际情况比较出入超过5％的，每次（项）扣2分，扣完为止。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7</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验工计价不及时上报监理，影响进度款支付，扣3分；数据不准确或虚报数量的，每发现一次扣2分。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8</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进度落后，监理提出要求仍不采取赶工措施的，每次扣5分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小  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555"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六</w:t>
            </w:r>
          </w:p>
        </w:tc>
        <w:tc>
          <w:tcPr>
            <w:tcW w:w="1260"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资料管理（100分）</w:t>
            </w: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施工日志不全、记录不符合规定要求的，每天（次）扣2分；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占5％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未及时按规定向监理填报质检、隐蔽工程检查记录、签证表格资料，每项（次）扣5分；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3</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监理要求承包人提交的图纸、图表、资料、资质审查材料，不按规定的时间和要求完成的，每项（次）扣5分；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4</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施工组织设计与方案编写不认真、不及时送审、方案未审查批准就实施，或不按审批后的方案执行，每项（次）扣5分；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5</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10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业主、监理要求上报工程汇报材料或统计数据时，不按时提交扣5分；提交资料质量差扣5分。</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3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6</w:t>
            </w:r>
          </w:p>
        </w:tc>
        <w:tc>
          <w:tcPr>
            <w:tcW w:w="64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20</w:t>
            </w:r>
          </w:p>
        </w:tc>
        <w:tc>
          <w:tcPr>
            <w:tcW w:w="526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rPr>
                <w:rFonts w:hint="eastAsia" w:ascii="宋体" w:hAnsi="宋体" w:cs="宋体"/>
                <w:sz w:val="22"/>
                <w:szCs w:val="22"/>
              </w:rPr>
            </w:pPr>
            <w:r>
              <w:rPr>
                <w:rFonts w:hint="eastAsia" w:ascii="宋体" w:hAnsi="宋体" w:cs="宋体"/>
                <w:sz w:val="22"/>
                <w:szCs w:val="22"/>
              </w:rPr>
              <w:t>从事竣工文档、资料管理的人员业务不熟练、工作失误，每项（次）扣2分；分部工程及子单位工程验收资料不全或不按时提交的，每次扣5分。扣完为止。</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0" w:hRule="atLeast"/>
          <w:jc w:val="center"/>
        </w:trPr>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sz w:val="22"/>
                <w:szCs w:val="22"/>
              </w:rPr>
            </w:pP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小  计</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c>
          <w:tcPr>
            <w:tcW w:w="5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jc w:val="center"/>
        </w:trPr>
        <w:tc>
          <w:tcPr>
            <w:tcW w:w="5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2"/>
                <w:szCs w:val="22"/>
              </w:rPr>
            </w:pPr>
            <w:r>
              <w:rPr>
                <w:rFonts w:hint="eastAsia" w:ascii="宋体" w:hAnsi="宋体" w:cs="宋体"/>
                <w:sz w:val="22"/>
                <w:szCs w:val="22"/>
              </w:rPr>
              <w:t>七</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2"/>
                <w:szCs w:val="22"/>
              </w:rPr>
            </w:pPr>
            <w:r>
              <w:rPr>
                <w:rFonts w:hint="eastAsia" w:ascii="宋体" w:hAnsi="宋体" w:cs="宋体"/>
                <w:sz w:val="22"/>
                <w:szCs w:val="22"/>
              </w:rPr>
              <w:t>第三方评估（100分）</w:t>
            </w: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left"/>
              <w:rPr>
                <w:rFonts w:ascii="宋体" w:hAnsi="宋体" w:cs="宋体"/>
                <w:sz w:val="22"/>
                <w:szCs w:val="22"/>
              </w:rPr>
            </w:pPr>
            <w:r>
              <w:rPr>
                <w:rFonts w:hint="eastAsia" w:ascii="宋体" w:hAnsi="宋体" w:cs="宋体"/>
                <w:spacing w:val="2"/>
                <w:sz w:val="22"/>
                <w:szCs w:val="22"/>
              </w:rPr>
              <w:t>项目综合得分达到86分或以上的，得100分，若得分低于82分的，得0分。其他分值部分线性插入计算得分值。第三方评估每季度一次，当季度三个月得分均按照上次取值。</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p>
        </w:tc>
        <w:tc>
          <w:tcPr>
            <w:tcW w:w="5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ascii="宋体" w:hAnsi="宋体" w:cs="宋体"/>
                <w:sz w:val="22"/>
                <w:szCs w:val="22"/>
              </w:rPr>
            </w:pPr>
            <w:r>
              <w:rPr>
                <w:rFonts w:hint="eastAsia" w:ascii="宋体" w:hAnsi="宋体" w:cs="宋体"/>
                <w:sz w:val="22"/>
                <w:szCs w:val="22"/>
              </w:rPr>
              <w:t>占15%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jc w:val="center"/>
        </w:trPr>
        <w:tc>
          <w:tcPr>
            <w:tcW w:w="5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2"/>
                <w:szCs w:val="22"/>
              </w:rPr>
            </w:pPr>
            <w:r>
              <w:rPr>
                <w:rFonts w:hint="eastAsia" w:ascii="宋体" w:hAnsi="宋体" w:cs="宋体"/>
                <w:sz w:val="22"/>
                <w:szCs w:val="22"/>
              </w:rPr>
              <w:t>七</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2"/>
                <w:szCs w:val="22"/>
              </w:rPr>
            </w:pPr>
            <w:r>
              <w:rPr>
                <w:rFonts w:hint="eastAsia" w:ascii="宋体" w:hAnsi="宋体" w:cs="宋体"/>
                <w:sz w:val="22"/>
                <w:szCs w:val="22"/>
              </w:rPr>
              <w:t>其他（100分）</w:t>
            </w:r>
          </w:p>
        </w:tc>
        <w:tc>
          <w:tcPr>
            <w:tcW w:w="6220" w:type="dxa"/>
            <w:gridSpan w:val="3"/>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left"/>
              <w:rPr>
                <w:rFonts w:hint="eastAsia" w:ascii="宋体" w:hAnsi="宋体" w:cs="宋体"/>
                <w:sz w:val="22"/>
                <w:szCs w:val="22"/>
              </w:rPr>
            </w:pPr>
            <w:r>
              <w:rPr>
                <w:rFonts w:hint="eastAsia" w:ascii="宋体" w:hAnsi="宋体" w:cs="宋体"/>
                <w:sz w:val="22"/>
                <w:szCs w:val="22"/>
              </w:rPr>
              <w:t>该部分内容根据工程的进度进行调整。</w:t>
            </w:r>
          </w:p>
        </w:tc>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p>
        </w:tc>
        <w:tc>
          <w:tcPr>
            <w:tcW w:w="6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p>
        </w:tc>
        <w:tc>
          <w:tcPr>
            <w:tcW w:w="52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占10％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921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left"/>
              <w:rPr>
                <w:rFonts w:hint="eastAsia" w:ascii="宋体" w:hAnsi="宋体" w:cs="宋体"/>
                <w:sz w:val="22"/>
                <w:szCs w:val="22"/>
              </w:rPr>
            </w:pPr>
            <w:r>
              <w:rPr>
                <w:rFonts w:hint="eastAsia" w:ascii="宋体" w:hAnsi="宋体" w:cs="宋体"/>
                <w:sz w:val="22"/>
                <w:szCs w:val="22"/>
              </w:rPr>
              <w:t>考核总得分：</w:t>
            </w:r>
          </w:p>
        </w:tc>
        <w:tc>
          <w:tcPr>
            <w:tcW w:w="5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r>
              <w:rPr>
                <w:rFonts w:hint="eastAsia" w:ascii="宋体" w:hAnsi="宋体" w:cs="宋体"/>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921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spacing w:line="360" w:lineRule="auto"/>
              <w:jc w:val="left"/>
              <w:rPr>
                <w:rFonts w:hint="eastAsia" w:ascii="宋体" w:hAnsi="宋体" w:cs="宋体"/>
                <w:sz w:val="22"/>
                <w:szCs w:val="22"/>
              </w:rPr>
            </w:pPr>
            <w:r>
              <w:rPr>
                <w:rFonts w:hint="eastAsia" w:ascii="宋体" w:hAnsi="宋体" w:cs="宋体"/>
                <w:sz w:val="22"/>
                <w:szCs w:val="22"/>
              </w:rPr>
              <w:t>考核评定档次：</w:t>
            </w:r>
          </w:p>
        </w:tc>
        <w:tc>
          <w:tcPr>
            <w:tcW w:w="5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360" w:lineRule="auto"/>
              <w:jc w:val="center"/>
              <w:rPr>
                <w:rFonts w:hint="eastAsia" w:ascii="宋体" w:hAnsi="宋体" w:cs="宋体"/>
                <w:sz w:val="22"/>
                <w:szCs w:val="22"/>
              </w:rPr>
            </w:pPr>
          </w:p>
        </w:tc>
      </w:tr>
    </w:tbl>
    <w:p>
      <w:pPr>
        <w:spacing w:line="360" w:lineRule="auto"/>
        <w:rPr>
          <w:rFonts w:hint="eastAsia" w:ascii="宋体" w:hAnsi="宋体" w:cs="宋体"/>
          <w:sz w:val="22"/>
          <w:szCs w:val="22"/>
        </w:rPr>
      </w:pPr>
    </w:p>
    <w:p>
      <w:pPr>
        <w:spacing w:line="360" w:lineRule="auto"/>
        <w:rPr>
          <w:rFonts w:hint="eastAsia" w:ascii="宋体" w:hAnsi="宋体" w:cs="宋体"/>
          <w:sz w:val="22"/>
          <w:szCs w:val="22"/>
        </w:rPr>
      </w:pPr>
      <w:r>
        <w:rPr>
          <w:rFonts w:hint="eastAsia" w:ascii="宋体" w:hAnsi="宋体" w:cs="宋体"/>
          <w:sz w:val="22"/>
          <w:szCs w:val="22"/>
        </w:rPr>
        <w:t>监理单位（总包单位）签名：</w:t>
      </w:r>
    </w:p>
    <w:p>
      <w:pPr>
        <w:spacing w:line="360" w:lineRule="auto"/>
        <w:rPr>
          <w:rFonts w:hint="eastAsia" w:ascii="宋体" w:hAnsi="宋体" w:cs="宋体"/>
          <w:sz w:val="22"/>
          <w:szCs w:val="22"/>
        </w:rPr>
      </w:pPr>
    </w:p>
    <w:p>
      <w:pPr>
        <w:spacing w:line="360" w:lineRule="auto"/>
        <w:rPr>
          <w:rFonts w:hint="eastAsia" w:ascii="宋体" w:hAnsi="宋体" w:cs="宋体"/>
          <w:sz w:val="22"/>
          <w:szCs w:val="22"/>
        </w:rPr>
      </w:pPr>
      <w:r>
        <w:rPr>
          <w:rFonts w:hint="eastAsia" w:ascii="宋体" w:hAnsi="宋体" w:cs="宋体"/>
          <w:sz w:val="22"/>
          <w:szCs w:val="22"/>
        </w:rPr>
        <w:t>业主单位签名：</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02124C18"/>
    <w:rsid w:val="0212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beforeLines="0" w:after="260" w:afterLines="0" w:line="415" w:lineRule="auto"/>
      <w:ind w:firstLine="137" w:firstLineChars="49"/>
      <w:outlineLvl w:val="2"/>
    </w:pPr>
    <w:rPr>
      <w:rFonts w:ascii="黑体" w:hAnsi="宋体" w:eastAsia="黑体"/>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2023-07-07T06:43:00Z</dcterms:created>
  <dc:creator>以升</dc:creator>
  <cp:lastModifiedBy>以升</cp:lastModifiedBy>
  <dcterms:modified xsi:type="dcterms:W3CDTF">2023-07-07T06:44:17Z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7EA1C5E1BC0243629A8CBAAB756D7D11_11</vt:lpwstr>
  </property>
</Properties>
</file>