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118"/>
        <w:jc w:val="left"/>
        <w:rPr>
          <w:rFonts w:ascii="宋体" w:eastAsia="宋体"/>
          <w:b/>
        </w:rPr>
      </w:pPr>
      <w:bookmarkStart w:id="0" w:name="_Toc256000191"/>
      <w:r>
        <w:rPr>
          <w:rFonts w:hint="eastAsia" w:ascii="宋体" w:eastAsia="宋体"/>
          <w:b/>
        </w:rPr>
        <w:t>附件十三：安全管理协议书</w:t>
      </w:r>
      <w:bookmarkEnd w:id="0"/>
    </w:p>
    <w:p>
      <w:pPr>
        <w:jc w:val="center"/>
        <w:rPr>
          <w:rFonts w:ascii="宋体" w:hAnsi="宋体"/>
          <w:b/>
          <w:sz w:val="24"/>
        </w:rPr>
      </w:pPr>
      <w:r>
        <w:rPr>
          <w:rFonts w:hint="eastAsia" w:ascii="宋体" w:hAnsi="宋体"/>
          <w:b/>
          <w:sz w:val="24"/>
        </w:rPr>
        <w:t>安全管理协议书</w:t>
      </w:r>
    </w:p>
    <w:p>
      <w:pPr>
        <w:rPr>
          <w:rFonts w:ascii="宋体" w:hAnsi="宋体"/>
          <w:b/>
          <w:sz w:val="24"/>
        </w:rPr>
      </w:pPr>
    </w:p>
    <w:p>
      <w:pPr>
        <w:spacing w:line="360" w:lineRule="auto"/>
        <w:rPr>
          <w:rFonts w:ascii="宋体" w:hAnsi="宋体"/>
          <w:b/>
          <w:sz w:val="22"/>
          <w:szCs w:val="22"/>
        </w:rPr>
      </w:pPr>
      <w:r>
        <w:rPr>
          <w:rFonts w:hint="eastAsia" w:ascii="宋体" w:hAnsi="宋体"/>
          <w:b/>
          <w:sz w:val="22"/>
          <w:szCs w:val="22"/>
        </w:rPr>
        <w:t>甲方：</w:t>
      </w:r>
      <w:r>
        <w:rPr>
          <w:rFonts w:ascii="宋体" w:hAnsi="宋体"/>
          <w:b/>
          <w:sz w:val="22"/>
          <w:szCs w:val="22"/>
        </w:rPr>
        <w:t xml:space="preserve"> </w:t>
      </w:r>
    </w:p>
    <w:p>
      <w:pPr>
        <w:spacing w:line="360" w:lineRule="auto"/>
        <w:rPr>
          <w:rFonts w:ascii="宋体" w:hAnsi="宋体"/>
          <w:b/>
          <w:sz w:val="22"/>
          <w:szCs w:val="22"/>
        </w:rPr>
      </w:pPr>
      <w:r>
        <w:rPr>
          <w:rFonts w:hint="eastAsia" w:ascii="宋体" w:hAnsi="宋体"/>
          <w:b/>
          <w:sz w:val="22"/>
          <w:szCs w:val="22"/>
        </w:rPr>
        <w:t>乙方：</w:t>
      </w:r>
      <w:r>
        <w:rPr>
          <w:rFonts w:ascii="宋体" w:hAnsi="宋体"/>
          <w:b/>
          <w:sz w:val="22"/>
          <w:szCs w:val="22"/>
        </w:rPr>
        <w:t xml:space="preserve"> </w:t>
      </w:r>
    </w:p>
    <w:p>
      <w:pPr>
        <w:spacing w:line="360" w:lineRule="auto"/>
        <w:ind w:firstLine="440" w:firstLineChars="200"/>
        <w:rPr>
          <w:rFonts w:ascii="宋体" w:hAnsi="宋体"/>
          <w:sz w:val="22"/>
          <w:szCs w:val="22"/>
        </w:rPr>
      </w:pPr>
    </w:p>
    <w:p>
      <w:pPr>
        <w:spacing w:line="360" w:lineRule="auto"/>
        <w:ind w:firstLine="440" w:firstLineChars="200"/>
        <w:rPr>
          <w:rFonts w:ascii="宋体" w:hAnsi="宋体"/>
          <w:sz w:val="22"/>
          <w:szCs w:val="22"/>
        </w:rPr>
      </w:pPr>
      <w:r>
        <w:rPr>
          <w:rFonts w:hint="eastAsia" w:ascii="宋体" w:hAnsi="宋体"/>
          <w:sz w:val="22"/>
          <w:szCs w:val="22"/>
        </w:rPr>
        <w:t>为贯彻“安全第一、预防为主”的安全管理工作指导方针，明确双方的安全管理责任，依据《中华人民共和国安全生产法》、《中华人民共和国消防法》等法律、法规以及甲方安全生产管理规章制度，经双方协商，特约定以下条款。</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第一条乙方安全管理的责任目标</w:t>
      </w:r>
    </w:p>
    <w:p>
      <w:pPr>
        <w:spacing w:line="360" w:lineRule="auto"/>
        <w:ind w:firstLine="440" w:firstLineChars="200"/>
        <w:rPr>
          <w:rFonts w:ascii="宋体" w:hAnsi="宋体"/>
          <w:sz w:val="22"/>
          <w:szCs w:val="22"/>
        </w:rPr>
      </w:pPr>
      <w:r>
        <w:rPr>
          <w:rFonts w:hint="eastAsia" w:ascii="宋体" w:hAnsi="宋体"/>
          <w:sz w:val="22"/>
          <w:szCs w:val="22"/>
        </w:rPr>
        <w:t>乙方对接管区域的安全管理目标和责任，自乙方接管该区域之日起。</w:t>
      </w:r>
    </w:p>
    <w:p>
      <w:pPr>
        <w:spacing w:line="360" w:lineRule="auto"/>
        <w:ind w:firstLine="440" w:firstLineChars="200"/>
        <w:rPr>
          <w:rFonts w:ascii="宋体" w:hAnsi="宋体"/>
          <w:sz w:val="22"/>
          <w:szCs w:val="22"/>
        </w:rPr>
      </w:pPr>
      <w:r>
        <w:rPr>
          <w:rFonts w:hint="eastAsia" w:ascii="宋体" w:hAnsi="宋体"/>
          <w:sz w:val="22"/>
          <w:szCs w:val="22"/>
        </w:rPr>
        <w:t>（一）安全生产目标</w:t>
      </w:r>
    </w:p>
    <w:p>
      <w:pPr>
        <w:spacing w:line="360" w:lineRule="auto"/>
        <w:ind w:firstLine="440" w:firstLineChars="200"/>
        <w:rPr>
          <w:rFonts w:ascii="宋体" w:hAnsi="宋体"/>
          <w:sz w:val="22"/>
          <w:szCs w:val="22"/>
        </w:rPr>
      </w:pPr>
      <w:r>
        <w:rPr>
          <w:rFonts w:hint="eastAsia" w:ascii="宋体" w:hAnsi="宋体"/>
          <w:sz w:val="22"/>
          <w:szCs w:val="22"/>
        </w:rPr>
        <w:t>1、乙方管辖区域内不发生一般及以上安全生产责任事故。</w:t>
      </w:r>
    </w:p>
    <w:p>
      <w:pPr>
        <w:spacing w:line="360" w:lineRule="auto"/>
        <w:ind w:firstLine="440" w:firstLineChars="200"/>
        <w:rPr>
          <w:rFonts w:ascii="宋体" w:hAnsi="宋体"/>
          <w:sz w:val="22"/>
          <w:szCs w:val="22"/>
        </w:rPr>
      </w:pPr>
      <w:r>
        <w:rPr>
          <w:rFonts w:hint="eastAsia" w:ascii="宋体" w:hAnsi="宋体"/>
          <w:sz w:val="22"/>
          <w:szCs w:val="22"/>
        </w:rPr>
        <w:t>2、不发生因管辖区域影响广州地铁运营、甲方物业安全的责任险性事件。</w:t>
      </w:r>
    </w:p>
    <w:p>
      <w:pPr>
        <w:spacing w:line="360" w:lineRule="auto"/>
        <w:ind w:firstLine="440" w:firstLineChars="200"/>
        <w:rPr>
          <w:rFonts w:ascii="宋体" w:hAnsi="宋体"/>
          <w:sz w:val="22"/>
          <w:szCs w:val="22"/>
        </w:rPr>
      </w:pPr>
      <w:r>
        <w:rPr>
          <w:rFonts w:hint="eastAsia" w:ascii="宋体" w:hAnsi="宋体"/>
          <w:sz w:val="22"/>
          <w:szCs w:val="22"/>
        </w:rPr>
        <w:t>3、不发生人员死亡、1人以上重伤，或直接经济损失100万元以上的火灾事故。</w:t>
      </w:r>
    </w:p>
    <w:p>
      <w:pPr>
        <w:spacing w:line="360" w:lineRule="auto"/>
        <w:ind w:firstLine="440" w:firstLineChars="200"/>
        <w:rPr>
          <w:rFonts w:ascii="宋体" w:hAnsi="宋体"/>
          <w:sz w:val="22"/>
          <w:szCs w:val="22"/>
        </w:rPr>
      </w:pPr>
      <w:r>
        <w:rPr>
          <w:rFonts w:hint="eastAsia" w:ascii="宋体" w:hAnsi="宋体"/>
          <w:sz w:val="22"/>
          <w:szCs w:val="22"/>
        </w:rPr>
        <w:t>4、监管范围内生产安全事故重伤人数控制在1人以内。</w:t>
      </w:r>
    </w:p>
    <w:p>
      <w:pPr>
        <w:spacing w:line="360" w:lineRule="auto"/>
        <w:ind w:firstLine="440" w:firstLineChars="200"/>
        <w:rPr>
          <w:rFonts w:ascii="宋体" w:hAnsi="宋体"/>
          <w:sz w:val="22"/>
          <w:szCs w:val="22"/>
        </w:rPr>
      </w:pPr>
      <w:r>
        <w:rPr>
          <w:rFonts w:hint="eastAsia" w:ascii="宋体" w:hAnsi="宋体"/>
          <w:sz w:val="22"/>
          <w:szCs w:val="22"/>
        </w:rPr>
        <w:t>5、办公场所不发生责任火灾事故。</w:t>
      </w:r>
    </w:p>
    <w:p>
      <w:pPr>
        <w:spacing w:line="360" w:lineRule="auto"/>
        <w:ind w:firstLine="440" w:firstLineChars="200"/>
        <w:rPr>
          <w:rFonts w:ascii="宋体" w:hAnsi="宋体"/>
          <w:sz w:val="22"/>
          <w:szCs w:val="22"/>
        </w:rPr>
      </w:pPr>
      <w:r>
        <w:rPr>
          <w:rFonts w:hint="eastAsia" w:ascii="宋体" w:hAnsi="宋体"/>
          <w:sz w:val="22"/>
          <w:szCs w:val="22"/>
        </w:rPr>
        <w:t>6、不发生涉及乙方责任的地铁设施设备或甲方设施设备的致损事件。</w:t>
      </w:r>
    </w:p>
    <w:p>
      <w:pPr>
        <w:spacing w:line="360" w:lineRule="auto"/>
        <w:ind w:firstLine="440" w:firstLineChars="200"/>
        <w:rPr>
          <w:rFonts w:ascii="宋体" w:hAnsi="宋体"/>
          <w:sz w:val="22"/>
          <w:szCs w:val="22"/>
        </w:rPr>
      </w:pPr>
      <w:r>
        <w:rPr>
          <w:rFonts w:hint="eastAsia" w:ascii="宋体" w:hAnsi="宋体"/>
          <w:sz w:val="22"/>
          <w:szCs w:val="22"/>
        </w:rPr>
        <w:t>7、控制和减少责任险性事件、一般事件及事件苗头。</w:t>
      </w:r>
    </w:p>
    <w:p>
      <w:pPr>
        <w:spacing w:line="360" w:lineRule="auto"/>
        <w:ind w:firstLine="440" w:firstLineChars="200"/>
        <w:rPr>
          <w:rFonts w:ascii="宋体" w:hAnsi="宋体"/>
          <w:sz w:val="22"/>
          <w:szCs w:val="22"/>
        </w:rPr>
      </w:pPr>
      <w:r>
        <w:rPr>
          <w:rFonts w:hint="eastAsia" w:ascii="宋体" w:hAnsi="宋体"/>
          <w:sz w:val="22"/>
          <w:szCs w:val="22"/>
        </w:rPr>
        <w:t>8、不发生责任交通安全亡人事故。</w:t>
      </w:r>
    </w:p>
    <w:p>
      <w:pPr>
        <w:spacing w:line="360" w:lineRule="auto"/>
        <w:ind w:firstLine="440" w:firstLineChars="200"/>
        <w:rPr>
          <w:rFonts w:ascii="宋体" w:hAnsi="宋体"/>
          <w:sz w:val="22"/>
          <w:szCs w:val="22"/>
        </w:rPr>
      </w:pPr>
      <w:r>
        <w:rPr>
          <w:rFonts w:hint="eastAsia" w:ascii="宋体" w:hAnsi="宋体"/>
          <w:sz w:val="22"/>
          <w:szCs w:val="22"/>
        </w:rPr>
        <w:t>（二）维稳综治内保责任目标</w:t>
      </w:r>
    </w:p>
    <w:p>
      <w:pPr>
        <w:spacing w:line="360" w:lineRule="auto"/>
        <w:ind w:left="120" w:leftChars="57" w:firstLine="330" w:firstLineChars="150"/>
        <w:rPr>
          <w:rFonts w:ascii="宋体" w:hAnsi="宋体"/>
          <w:sz w:val="22"/>
          <w:szCs w:val="22"/>
        </w:rPr>
      </w:pPr>
      <w:r>
        <w:rPr>
          <w:rFonts w:hint="eastAsia" w:ascii="宋体" w:hAnsi="宋体"/>
          <w:sz w:val="22"/>
          <w:szCs w:val="22"/>
        </w:rPr>
        <w:t>1、不发生乙方人员违法犯罪受刑事处罚以及受公安机关治安、行政处罚等有损甲方声誉的事件。</w:t>
      </w:r>
    </w:p>
    <w:p>
      <w:pPr>
        <w:spacing w:line="360" w:lineRule="auto"/>
        <w:ind w:left="120" w:leftChars="57" w:firstLine="330" w:firstLineChars="150"/>
        <w:rPr>
          <w:rFonts w:ascii="宋体" w:hAnsi="宋体"/>
          <w:sz w:val="22"/>
          <w:szCs w:val="22"/>
        </w:rPr>
      </w:pPr>
      <w:r>
        <w:rPr>
          <w:rFonts w:hint="eastAsia" w:ascii="宋体" w:hAnsi="宋体"/>
          <w:sz w:val="22"/>
          <w:szCs w:val="22"/>
        </w:rPr>
        <w:t>2、不发生乙方人员或因本单位责任引发的管辖区域的人员群体性上访、怠工、罢工等事件。</w:t>
      </w:r>
    </w:p>
    <w:p>
      <w:pPr>
        <w:spacing w:line="360" w:lineRule="auto"/>
        <w:ind w:left="120" w:leftChars="57" w:firstLine="330" w:firstLineChars="150"/>
        <w:rPr>
          <w:rFonts w:ascii="宋体" w:hAnsi="宋体"/>
          <w:sz w:val="22"/>
          <w:szCs w:val="22"/>
        </w:rPr>
      </w:pPr>
      <w:r>
        <w:rPr>
          <w:rFonts w:hint="eastAsia" w:ascii="宋体" w:hAnsi="宋体"/>
          <w:sz w:val="22"/>
          <w:szCs w:val="22"/>
        </w:rPr>
        <w:t>3、不发生因内保管理不到位，造成管辖区域内公共财产、设备设施被盗，损失达1万元及以上的事件。</w:t>
      </w:r>
    </w:p>
    <w:p>
      <w:pPr>
        <w:spacing w:line="360" w:lineRule="auto"/>
        <w:ind w:firstLine="440" w:firstLineChars="200"/>
        <w:rPr>
          <w:rFonts w:ascii="宋体" w:hAnsi="宋体"/>
          <w:sz w:val="22"/>
          <w:szCs w:val="22"/>
        </w:rPr>
      </w:pPr>
      <w:r>
        <w:rPr>
          <w:rFonts w:hint="eastAsia" w:ascii="宋体" w:hAnsi="宋体"/>
          <w:sz w:val="22"/>
          <w:szCs w:val="22"/>
        </w:rPr>
        <w:t>4、不发生对社会具有重大负面影响、严重损害甲方声誉的事件。</w:t>
      </w:r>
    </w:p>
    <w:p>
      <w:pPr>
        <w:spacing w:line="360" w:lineRule="auto"/>
        <w:ind w:firstLine="440" w:firstLineChars="200"/>
        <w:rPr>
          <w:rFonts w:ascii="宋体" w:hAnsi="宋体"/>
          <w:sz w:val="22"/>
          <w:szCs w:val="22"/>
        </w:rPr>
      </w:pPr>
      <w:r>
        <w:rPr>
          <w:rFonts w:hint="eastAsia" w:ascii="宋体" w:hAnsi="宋体"/>
          <w:sz w:val="22"/>
          <w:szCs w:val="22"/>
        </w:rPr>
        <w:t>（三）环境管理责任目标</w:t>
      </w:r>
    </w:p>
    <w:p>
      <w:pPr>
        <w:spacing w:line="360" w:lineRule="auto"/>
        <w:ind w:firstLine="440" w:firstLineChars="200"/>
        <w:rPr>
          <w:rFonts w:ascii="宋体" w:hAnsi="宋体"/>
          <w:sz w:val="22"/>
          <w:szCs w:val="22"/>
        </w:rPr>
      </w:pPr>
      <w:r>
        <w:rPr>
          <w:rFonts w:hint="eastAsia" w:ascii="宋体" w:hAnsi="宋体"/>
          <w:sz w:val="22"/>
          <w:szCs w:val="22"/>
        </w:rPr>
        <w:t>1、管辖区域内不发生违反环境法律法规事件。</w:t>
      </w:r>
    </w:p>
    <w:p>
      <w:pPr>
        <w:spacing w:line="360" w:lineRule="auto"/>
        <w:ind w:firstLine="440" w:firstLineChars="200"/>
        <w:rPr>
          <w:rFonts w:ascii="宋体" w:hAnsi="宋体"/>
          <w:sz w:val="22"/>
          <w:szCs w:val="22"/>
        </w:rPr>
      </w:pPr>
      <w:r>
        <w:rPr>
          <w:rFonts w:hint="eastAsia" w:ascii="宋体" w:hAnsi="宋体"/>
          <w:sz w:val="22"/>
          <w:szCs w:val="22"/>
        </w:rPr>
        <w:t>2、管辖区域内不发生严重环境污染事故。</w:t>
      </w:r>
    </w:p>
    <w:p>
      <w:pPr>
        <w:spacing w:line="360" w:lineRule="auto"/>
        <w:ind w:firstLine="440" w:firstLineChars="200"/>
        <w:rPr>
          <w:rFonts w:ascii="宋体" w:hAnsi="宋体"/>
          <w:sz w:val="22"/>
          <w:szCs w:val="22"/>
        </w:rPr>
      </w:pPr>
      <w:r>
        <w:rPr>
          <w:rFonts w:hint="eastAsia" w:ascii="宋体" w:hAnsi="宋体"/>
          <w:sz w:val="22"/>
          <w:szCs w:val="22"/>
        </w:rPr>
        <w:t>3、控制和减少管辖区域内有害废弃物对外界环境的影响。</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第二条乙方安全管理责任</w:t>
      </w:r>
    </w:p>
    <w:p>
      <w:pPr>
        <w:spacing w:line="360" w:lineRule="auto"/>
        <w:ind w:firstLine="440" w:firstLineChars="200"/>
        <w:rPr>
          <w:rFonts w:ascii="宋体" w:hAnsi="宋体"/>
          <w:sz w:val="22"/>
          <w:szCs w:val="22"/>
        </w:rPr>
      </w:pPr>
      <w:r>
        <w:rPr>
          <w:rFonts w:hint="eastAsia" w:ascii="宋体" w:hAnsi="宋体"/>
          <w:sz w:val="22"/>
          <w:szCs w:val="22"/>
        </w:rPr>
        <w:t>（一）认真贯彻执行《中华人民共和国安全生产法》、《中华人民共和国消防法》、《中华人民共和国突发事件应对法》、《中华人民共和国职业病防治法》、《中华人民共和国环境保护法》及国家、省、市有关生产安全、应急管理、消防安全、职业病防治、地铁设施保护、交通安全、维稳综治内保、环境管理相关的法律、法规及甲方各项安全管理制度。</w:t>
      </w:r>
    </w:p>
    <w:p>
      <w:pPr>
        <w:spacing w:line="360" w:lineRule="auto"/>
        <w:ind w:firstLine="440" w:firstLineChars="200"/>
        <w:rPr>
          <w:rFonts w:ascii="宋体" w:hAnsi="宋体"/>
          <w:sz w:val="22"/>
          <w:szCs w:val="22"/>
        </w:rPr>
      </w:pPr>
      <w:r>
        <w:rPr>
          <w:rFonts w:hint="eastAsia" w:ascii="宋体" w:hAnsi="宋体"/>
          <w:sz w:val="22"/>
          <w:szCs w:val="22"/>
        </w:rPr>
        <w:t>（二）结合消防综治实际，加强安全管理标准化、精细化安全管理体系建设，规范安全管理各环节，完善各项管理程序。落实建设生产安全、应急管理、消防安全、职业病防治、地铁设施保护、交通安全、维稳综治内保工作机制，建立健全辖下场所安全管理责任制度、考核奖惩制度、安全检查制度、安全工作会议制度，落实专（兼）职安全管理人员设置。</w:t>
      </w:r>
    </w:p>
    <w:p>
      <w:pPr>
        <w:spacing w:line="360" w:lineRule="auto"/>
        <w:ind w:firstLine="440" w:firstLineChars="200"/>
        <w:rPr>
          <w:rFonts w:ascii="宋体" w:hAnsi="宋体"/>
          <w:sz w:val="22"/>
          <w:szCs w:val="22"/>
        </w:rPr>
      </w:pPr>
      <w:r>
        <w:rPr>
          <w:rFonts w:hint="eastAsia" w:ascii="宋体" w:hAnsi="宋体"/>
          <w:sz w:val="22"/>
          <w:szCs w:val="22"/>
        </w:rPr>
        <w:t>（三）落实乙方主要负责人对安全、环保工作负总责，乙方项目经理是施工场所安全管理的第一责任人。</w:t>
      </w:r>
    </w:p>
    <w:p>
      <w:pPr>
        <w:spacing w:line="360" w:lineRule="auto"/>
        <w:ind w:firstLine="440" w:firstLineChars="200"/>
        <w:rPr>
          <w:rFonts w:ascii="宋体" w:hAnsi="宋体"/>
          <w:sz w:val="22"/>
          <w:szCs w:val="22"/>
        </w:rPr>
      </w:pPr>
      <w:r>
        <w:rPr>
          <w:rFonts w:hint="eastAsia" w:ascii="宋体" w:hAnsi="宋体"/>
          <w:sz w:val="22"/>
          <w:szCs w:val="22"/>
        </w:rPr>
        <w:t>（四）根据安全生产工作目标和要求，制订本管辖区域的安全生产工作目标和计划，明确安全生产工作重点和内容，并组织实施。</w:t>
      </w:r>
    </w:p>
    <w:p>
      <w:pPr>
        <w:spacing w:line="360" w:lineRule="auto"/>
        <w:ind w:firstLine="440" w:firstLineChars="200"/>
        <w:rPr>
          <w:rFonts w:ascii="宋体" w:hAnsi="宋体"/>
          <w:sz w:val="22"/>
          <w:szCs w:val="22"/>
        </w:rPr>
      </w:pPr>
      <w:r>
        <w:rPr>
          <w:rFonts w:hint="eastAsia" w:ascii="宋体" w:hAnsi="宋体"/>
          <w:sz w:val="22"/>
          <w:szCs w:val="22"/>
        </w:rPr>
        <w:t>（五）建立安全隐患排查和专项整治工作的长效机制，定期组织对本管辖范围内的安全隐患进行排查和专项治理，加大安全投入并采取有效措施及时消除或减少安全隐患。</w:t>
      </w:r>
    </w:p>
    <w:p>
      <w:pPr>
        <w:spacing w:line="360" w:lineRule="auto"/>
        <w:ind w:firstLine="440" w:firstLineChars="200"/>
        <w:rPr>
          <w:rFonts w:ascii="宋体" w:hAnsi="宋体"/>
          <w:sz w:val="22"/>
          <w:szCs w:val="22"/>
        </w:rPr>
      </w:pPr>
      <w:r>
        <w:rPr>
          <w:rFonts w:hint="eastAsia" w:ascii="宋体" w:hAnsi="宋体"/>
          <w:sz w:val="22"/>
          <w:szCs w:val="22"/>
        </w:rPr>
        <w:t>（六）组织排查安全风险工作，形成风险管理情况记录，做好安全风险管理宣传培训、消防演练、应急预案演练等工作，落实安全风险管理的各项工作。</w:t>
      </w:r>
    </w:p>
    <w:p>
      <w:pPr>
        <w:spacing w:line="360" w:lineRule="auto"/>
        <w:ind w:firstLine="440" w:firstLineChars="200"/>
        <w:rPr>
          <w:rFonts w:ascii="宋体" w:hAnsi="宋体"/>
          <w:sz w:val="22"/>
          <w:szCs w:val="22"/>
        </w:rPr>
      </w:pPr>
      <w:r>
        <w:rPr>
          <w:rFonts w:hint="eastAsia" w:ascii="宋体" w:hAnsi="宋体"/>
          <w:sz w:val="22"/>
          <w:szCs w:val="22"/>
        </w:rPr>
        <w:t>（七）加强应急管理工作，建立健全应急管理体系，落实应急准备措施，加强应急演练工作，每年消防演练不少于两次，上下半年各一次，防汛应急演练不少于一次。根据甲方有关应急信息报送的要求（见附件1），如实快速做好突发事件的信息报送和应急处置。指导和督促相关单位完善应急救援体系并定期组织演练，提升应急保障能力。</w:t>
      </w:r>
    </w:p>
    <w:p>
      <w:pPr>
        <w:spacing w:line="360" w:lineRule="auto"/>
        <w:ind w:firstLine="440" w:firstLineChars="200"/>
        <w:rPr>
          <w:rFonts w:ascii="宋体" w:hAnsi="宋体"/>
          <w:sz w:val="22"/>
          <w:szCs w:val="22"/>
        </w:rPr>
      </w:pPr>
      <w:r>
        <w:rPr>
          <w:rFonts w:hint="eastAsia" w:ascii="宋体" w:hAnsi="宋体"/>
          <w:sz w:val="22"/>
          <w:szCs w:val="22"/>
        </w:rPr>
        <w:t>（八）落实对本工程区域的设备、设施管理，确保符合安全要求，落实足够的防火、防毒、防人员伤害和职业病危害措施，并定期组织对其维护、保养及检测。</w:t>
      </w:r>
    </w:p>
    <w:p>
      <w:pPr>
        <w:spacing w:line="360" w:lineRule="auto"/>
        <w:ind w:firstLine="440" w:firstLineChars="200"/>
        <w:rPr>
          <w:rFonts w:ascii="宋体" w:hAnsi="宋体"/>
          <w:sz w:val="22"/>
          <w:szCs w:val="22"/>
        </w:rPr>
      </w:pPr>
      <w:r>
        <w:rPr>
          <w:rFonts w:hint="eastAsia" w:ascii="宋体" w:hAnsi="宋体"/>
          <w:sz w:val="22"/>
          <w:szCs w:val="22"/>
        </w:rPr>
        <w:t>（九）建立健全志愿消防队，落实消防安全巡查制度，组织制定管辖区域的灭火和应急疏散预案，并实施演练。强化管辖区域的防火检查工作，严禁存在住宿与生产、储存、经营合用的“三合一”场所。</w:t>
      </w:r>
    </w:p>
    <w:p>
      <w:pPr>
        <w:spacing w:line="360" w:lineRule="auto"/>
        <w:ind w:firstLine="440" w:firstLineChars="200"/>
        <w:rPr>
          <w:rFonts w:ascii="宋体" w:hAnsi="宋体"/>
          <w:sz w:val="22"/>
          <w:szCs w:val="22"/>
        </w:rPr>
      </w:pPr>
      <w:r>
        <w:rPr>
          <w:rFonts w:hint="eastAsia" w:ascii="宋体" w:hAnsi="宋体"/>
          <w:sz w:val="22"/>
          <w:szCs w:val="22"/>
        </w:rPr>
        <w:t xml:space="preserve">（十）落实本工程工地内部的安全考核工作，将安全管理不力、发生安全事故的责任单位和责任人记入安全生产不良记录，并按照有关规定进行处理。 </w:t>
      </w:r>
    </w:p>
    <w:p>
      <w:pPr>
        <w:spacing w:line="360" w:lineRule="auto"/>
        <w:ind w:firstLine="440" w:firstLineChars="200"/>
        <w:rPr>
          <w:rFonts w:ascii="宋体" w:hAnsi="宋体"/>
          <w:sz w:val="22"/>
          <w:szCs w:val="22"/>
        </w:rPr>
      </w:pPr>
      <w:r>
        <w:rPr>
          <w:rFonts w:hint="eastAsia" w:ascii="宋体" w:hAnsi="宋体"/>
          <w:sz w:val="22"/>
          <w:szCs w:val="22"/>
        </w:rPr>
        <w:t>（十一）参加甲方组织的安全管理会议及培训，落实对乙方全体员工开展安全生产政策法规宣传、教育、培训，积极开展“安全生产月”、“119”消防宣传月等活动。落实对</w:t>
      </w:r>
      <w:r>
        <w:rPr>
          <w:rFonts w:hint="eastAsia" w:ascii="宋体" w:hAnsi="宋体"/>
          <w:bCs/>
          <w:sz w:val="22"/>
          <w:szCs w:val="22"/>
        </w:rPr>
        <w:t>工地范围内内</w:t>
      </w:r>
      <w:r>
        <w:rPr>
          <w:rFonts w:hint="eastAsia" w:ascii="宋体" w:hAnsi="宋体"/>
          <w:sz w:val="22"/>
          <w:szCs w:val="22"/>
        </w:rPr>
        <w:t>全体员工开展环境管理法律法规及环保措施的宣传、教育、培训。</w:t>
      </w:r>
    </w:p>
    <w:p>
      <w:pPr>
        <w:spacing w:line="360" w:lineRule="auto"/>
        <w:ind w:firstLine="440" w:firstLineChars="200"/>
        <w:rPr>
          <w:rFonts w:hint="eastAsia" w:ascii="宋体" w:hAnsi="宋体"/>
          <w:sz w:val="22"/>
          <w:szCs w:val="22"/>
        </w:rPr>
      </w:pPr>
      <w:r>
        <w:rPr>
          <w:rFonts w:hint="eastAsia" w:ascii="宋体" w:hAnsi="宋体"/>
          <w:sz w:val="22"/>
          <w:szCs w:val="22"/>
        </w:rPr>
        <w:t>（十二）落实管辖内区域的环境因素识别与评价，确定重要环境因素及对应的法律法规要求，按法律法规要求严格执行。</w:t>
      </w:r>
    </w:p>
    <w:p>
      <w:pPr>
        <w:pStyle w:val="2"/>
        <w:ind w:left="0" w:leftChars="0"/>
        <w:rPr>
          <w:rFonts w:hint="eastAsia" w:eastAsia="宋体"/>
          <w:lang w:eastAsia="zh-CN"/>
        </w:rPr>
      </w:pPr>
      <w:r>
        <w:rPr>
          <w:rFonts w:hint="eastAsia" w:eastAsia="宋体"/>
          <w:lang w:eastAsia="zh-CN"/>
        </w:rPr>
        <w:t>（十三）建立项目应急队伍，储备相应应急物资（包括不限于柴油发电机、配电箱、抽水泵等），必要时参加甲方相关应急抢修工作。</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第三条安全问题整改</w:t>
      </w:r>
    </w:p>
    <w:p>
      <w:pPr>
        <w:spacing w:line="360" w:lineRule="auto"/>
        <w:ind w:firstLine="442" w:firstLineChars="200"/>
        <w:rPr>
          <w:rFonts w:ascii="宋体" w:hAnsi="宋体"/>
          <w:b/>
          <w:sz w:val="22"/>
          <w:szCs w:val="22"/>
        </w:rPr>
      </w:pPr>
      <w:r>
        <w:rPr>
          <w:rFonts w:hint="eastAsia" w:ascii="宋体" w:hAnsi="宋体"/>
          <w:b/>
          <w:sz w:val="22"/>
          <w:szCs w:val="22"/>
        </w:rPr>
        <w:t>甲方将不定期到乙方管辖区域进行安全检查。</w:t>
      </w:r>
    </w:p>
    <w:p>
      <w:pPr>
        <w:spacing w:line="360" w:lineRule="auto"/>
        <w:ind w:firstLine="440" w:firstLineChars="200"/>
        <w:rPr>
          <w:rFonts w:ascii="宋体" w:hAnsi="宋体"/>
          <w:sz w:val="22"/>
          <w:szCs w:val="22"/>
        </w:rPr>
      </w:pPr>
      <w:r>
        <w:rPr>
          <w:rFonts w:hint="eastAsia" w:ascii="宋体" w:hAnsi="宋体"/>
          <w:sz w:val="22"/>
          <w:szCs w:val="22"/>
        </w:rPr>
        <w:t>（一）如在检查过程发现乙方场地存在安全隐患，甲方有权向乙方发送《安全文明整改通知书》、《安全停工（停业）指令》（格式见附件3、4）（格式见附件2），乙方应在通知书指定的期限内进行整改，并书面回复甲方。</w:t>
      </w:r>
    </w:p>
    <w:p>
      <w:pPr>
        <w:spacing w:line="360" w:lineRule="auto"/>
        <w:ind w:firstLine="440" w:firstLineChars="200"/>
        <w:rPr>
          <w:rFonts w:ascii="宋体" w:hAnsi="宋体"/>
          <w:b/>
          <w:sz w:val="22"/>
          <w:szCs w:val="22"/>
        </w:rPr>
      </w:pPr>
      <w:r>
        <w:rPr>
          <w:rFonts w:hint="eastAsia" w:ascii="宋体" w:hAnsi="宋体"/>
          <w:sz w:val="22"/>
          <w:szCs w:val="22"/>
        </w:rPr>
        <w:t>（二）如未按甲方整改通知书要求整改的，甲方有权按国家相关规定及双方签署的合同及补充协议条款进行处理。</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第四条事故（事件）分类及认定标准</w:t>
      </w:r>
    </w:p>
    <w:p>
      <w:pPr>
        <w:spacing w:line="360" w:lineRule="auto"/>
        <w:ind w:firstLine="440" w:firstLineChars="200"/>
        <w:rPr>
          <w:rFonts w:ascii="宋体" w:hAnsi="宋体"/>
          <w:sz w:val="22"/>
          <w:szCs w:val="22"/>
        </w:rPr>
      </w:pPr>
      <w:r>
        <w:rPr>
          <w:rFonts w:hint="eastAsia" w:ascii="宋体" w:hAnsi="宋体"/>
          <w:sz w:val="22"/>
          <w:szCs w:val="22"/>
        </w:rPr>
        <w:t>按照生产安全事故（事件）造成的人员伤亡、直接经济损失、中断运营时间对运营生产安全造成的影响和危害程度，生产安全事故（事件）分为特别重大事故、重大事故、较大事故、一般事故、险性事件、一般事件、事件苗头。</w:t>
      </w:r>
    </w:p>
    <w:p>
      <w:pPr>
        <w:spacing w:line="360" w:lineRule="auto"/>
        <w:ind w:firstLine="440" w:firstLineChars="200"/>
        <w:rPr>
          <w:rFonts w:hint="eastAsia" w:ascii="宋体" w:hAnsi="宋体"/>
          <w:sz w:val="22"/>
          <w:szCs w:val="22"/>
        </w:rPr>
      </w:pPr>
      <w:r>
        <w:rPr>
          <w:rFonts w:hint="eastAsia" w:ascii="宋体" w:hAnsi="宋体"/>
          <w:sz w:val="22"/>
          <w:szCs w:val="22"/>
        </w:rPr>
        <w:t>（一）特别重大事故构成条件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发生下列情况或造成下列后果之一的为特别重大事故：</w:t>
      </w:r>
    </w:p>
    <w:p>
      <w:pPr>
        <w:spacing w:line="360" w:lineRule="auto"/>
        <w:ind w:firstLine="440" w:firstLineChars="200"/>
        <w:rPr>
          <w:rFonts w:hint="eastAsia" w:ascii="宋体" w:hAnsi="宋体"/>
          <w:sz w:val="22"/>
          <w:szCs w:val="22"/>
        </w:rPr>
      </w:pPr>
      <w:r>
        <w:rPr>
          <w:rFonts w:hint="eastAsia" w:ascii="宋体" w:hAnsi="宋体"/>
          <w:sz w:val="22"/>
          <w:szCs w:val="22"/>
        </w:rPr>
        <w:t>1）死亡30人（含失踪，下同）以上；</w:t>
      </w:r>
    </w:p>
    <w:p>
      <w:pPr>
        <w:spacing w:line="360" w:lineRule="auto"/>
        <w:ind w:firstLine="440" w:firstLineChars="200"/>
        <w:rPr>
          <w:rFonts w:hint="eastAsia" w:ascii="宋体" w:hAnsi="宋体"/>
          <w:sz w:val="22"/>
          <w:szCs w:val="22"/>
        </w:rPr>
      </w:pPr>
      <w:r>
        <w:rPr>
          <w:rFonts w:hint="eastAsia" w:ascii="宋体" w:hAnsi="宋体"/>
          <w:sz w:val="22"/>
          <w:szCs w:val="22"/>
        </w:rPr>
        <w:t xml:space="preserve">2）重伤100人（含急性工业中毒，下同）以上； </w:t>
      </w:r>
    </w:p>
    <w:p>
      <w:pPr>
        <w:spacing w:line="360" w:lineRule="auto"/>
        <w:ind w:firstLine="440" w:firstLineChars="200"/>
        <w:rPr>
          <w:rFonts w:hint="eastAsia" w:ascii="宋体" w:hAnsi="宋体"/>
          <w:sz w:val="22"/>
          <w:szCs w:val="22"/>
        </w:rPr>
      </w:pPr>
      <w:r>
        <w:rPr>
          <w:rFonts w:hint="eastAsia" w:ascii="宋体" w:hAnsi="宋体"/>
          <w:sz w:val="22"/>
          <w:szCs w:val="22"/>
        </w:rPr>
        <w:t>3）直接经济损失1亿元（人民币，下同）以上。</w:t>
      </w:r>
    </w:p>
    <w:p>
      <w:pPr>
        <w:spacing w:line="360" w:lineRule="auto"/>
        <w:ind w:firstLine="440" w:firstLineChars="200"/>
        <w:rPr>
          <w:rFonts w:hint="eastAsia" w:ascii="宋体" w:hAnsi="宋体"/>
          <w:sz w:val="22"/>
          <w:szCs w:val="22"/>
        </w:rPr>
      </w:pPr>
      <w:r>
        <w:rPr>
          <w:rFonts w:hint="eastAsia" w:ascii="宋体" w:hAnsi="宋体"/>
          <w:sz w:val="22"/>
          <w:szCs w:val="22"/>
        </w:rPr>
        <w:t>（二）重大事故构成条件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发生下列情况或造成下列后果之一的为重大事故：</w:t>
      </w:r>
    </w:p>
    <w:p>
      <w:pPr>
        <w:spacing w:line="360" w:lineRule="auto"/>
        <w:ind w:firstLine="440" w:firstLineChars="200"/>
        <w:rPr>
          <w:rFonts w:hint="eastAsia" w:ascii="宋体" w:hAnsi="宋体"/>
          <w:sz w:val="22"/>
          <w:szCs w:val="22"/>
        </w:rPr>
      </w:pPr>
      <w:r>
        <w:rPr>
          <w:rFonts w:hint="eastAsia" w:ascii="宋体" w:hAnsi="宋体"/>
          <w:sz w:val="22"/>
          <w:szCs w:val="22"/>
        </w:rPr>
        <w:t>1）死亡10人以上30人以下；</w:t>
      </w:r>
    </w:p>
    <w:p>
      <w:pPr>
        <w:spacing w:line="360" w:lineRule="auto"/>
        <w:ind w:firstLine="440" w:firstLineChars="200"/>
        <w:rPr>
          <w:rFonts w:hint="eastAsia" w:ascii="宋体" w:hAnsi="宋体"/>
          <w:sz w:val="22"/>
          <w:szCs w:val="22"/>
        </w:rPr>
      </w:pPr>
      <w:r>
        <w:rPr>
          <w:rFonts w:hint="eastAsia" w:ascii="宋体" w:hAnsi="宋体"/>
          <w:sz w:val="22"/>
          <w:szCs w:val="22"/>
        </w:rPr>
        <w:t>2）重伤50人以上100人以下；</w:t>
      </w:r>
    </w:p>
    <w:p>
      <w:pPr>
        <w:spacing w:line="360" w:lineRule="auto"/>
        <w:ind w:firstLine="440" w:firstLineChars="200"/>
        <w:rPr>
          <w:rFonts w:hint="eastAsia" w:ascii="宋体" w:hAnsi="宋体"/>
          <w:sz w:val="22"/>
          <w:szCs w:val="22"/>
        </w:rPr>
      </w:pPr>
      <w:r>
        <w:rPr>
          <w:rFonts w:hint="eastAsia" w:ascii="宋体" w:hAnsi="宋体"/>
          <w:sz w:val="22"/>
          <w:szCs w:val="22"/>
        </w:rPr>
        <w:t>3）直接经济损失5000万元以上1亿元以下；</w:t>
      </w:r>
    </w:p>
    <w:p>
      <w:pPr>
        <w:spacing w:line="360" w:lineRule="auto"/>
        <w:ind w:firstLine="440" w:firstLineChars="200"/>
        <w:rPr>
          <w:rFonts w:hint="eastAsia" w:ascii="宋体" w:hAnsi="宋体"/>
          <w:sz w:val="22"/>
          <w:szCs w:val="22"/>
        </w:rPr>
      </w:pPr>
      <w:r>
        <w:rPr>
          <w:rFonts w:hint="eastAsia" w:ascii="宋体" w:hAnsi="宋体"/>
          <w:sz w:val="22"/>
          <w:szCs w:val="22"/>
        </w:rPr>
        <w:t>4）影响运行线路连续中断正线行车24小时以上的。</w:t>
      </w:r>
    </w:p>
    <w:p>
      <w:pPr>
        <w:spacing w:line="360" w:lineRule="auto"/>
        <w:ind w:firstLine="440" w:firstLineChars="200"/>
        <w:rPr>
          <w:rFonts w:hint="eastAsia" w:ascii="宋体" w:hAnsi="宋体"/>
          <w:sz w:val="22"/>
          <w:szCs w:val="22"/>
        </w:rPr>
      </w:pPr>
      <w:r>
        <w:rPr>
          <w:rFonts w:hint="eastAsia" w:ascii="宋体" w:hAnsi="宋体"/>
          <w:sz w:val="22"/>
          <w:szCs w:val="22"/>
        </w:rPr>
        <w:t>（三）较大事故构成条件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发生下列情况或造成下列后果之一的为较大事故：</w:t>
      </w:r>
    </w:p>
    <w:p>
      <w:pPr>
        <w:spacing w:line="360" w:lineRule="auto"/>
        <w:ind w:firstLine="440" w:firstLineChars="200"/>
        <w:rPr>
          <w:rFonts w:hint="eastAsia" w:ascii="宋体" w:hAnsi="宋体"/>
          <w:sz w:val="22"/>
          <w:szCs w:val="22"/>
        </w:rPr>
      </w:pPr>
      <w:r>
        <w:rPr>
          <w:rFonts w:hint="eastAsia" w:ascii="宋体" w:hAnsi="宋体"/>
          <w:sz w:val="22"/>
          <w:szCs w:val="22"/>
        </w:rPr>
        <w:t>1）死亡3人以上10人以下；</w:t>
      </w:r>
    </w:p>
    <w:p>
      <w:pPr>
        <w:spacing w:line="360" w:lineRule="auto"/>
        <w:ind w:firstLine="440" w:firstLineChars="200"/>
        <w:rPr>
          <w:rFonts w:hint="eastAsia" w:ascii="宋体" w:hAnsi="宋体"/>
          <w:sz w:val="22"/>
          <w:szCs w:val="22"/>
        </w:rPr>
      </w:pPr>
      <w:r>
        <w:rPr>
          <w:rFonts w:hint="eastAsia" w:ascii="宋体" w:hAnsi="宋体"/>
          <w:sz w:val="22"/>
          <w:szCs w:val="22"/>
        </w:rPr>
        <w:t>2）重伤10人以上50人以下；</w:t>
      </w:r>
    </w:p>
    <w:p>
      <w:pPr>
        <w:spacing w:line="360" w:lineRule="auto"/>
        <w:ind w:firstLine="440" w:firstLineChars="200"/>
        <w:rPr>
          <w:rFonts w:hint="eastAsia" w:ascii="宋体" w:hAnsi="宋体"/>
          <w:sz w:val="22"/>
          <w:szCs w:val="22"/>
        </w:rPr>
      </w:pPr>
      <w:r>
        <w:rPr>
          <w:rFonts w:hint="eastAsia" w:ascii="宋体" w:hAnsi="宋体"/>
          <w:sz w:val="22"/>
          <w:szCs w:val="22"/>
        </w:rPr>
        <w:t>3）直接经济损失1000万元以上5000万元以下；</w:t>
      </w:r>
    </w:p>
    <w:p>
      <w:pPr>
        <w:spacing w:line="360" w:lineRule="auto"/>
        <w:ind w:firstLine="440" w:firstLineChars="200"/>
        <w:rPr>
          <w:rFonts w:hint="eastAsia" w:ascii="宋体" w:hAnsi="宋体"/>
          <w:sz w:val="22"/>
          <w:szCs w:val="22"/>
        </w:rPr>
      </w:pPr>
      <w:r>
        <w:rPr>
          <w:rFonts w:hint="eastAsia" w:ascii="宋体" w:hAnsi="宋体"/>
          <w:sz w:val="22"/>
          <w:szCs w:val="22"/>
        </w:rPr>
        <w:t>4）影响运营线路连续中断正线行车6小时以上24小时以下的。</w:t>
      </w:r>
    </w:p>
    <w:p>
      <w:pPr>
        <w:spacing w:line="360" w:lineRule="auto"/>
        <w:ind w:firstLine="440" w:firstLineChars="200"/>
        <w:rPr>
          <w:rFonts w:hint="eastAsia" w:ascii="宋体" w:hAnsi="宋体"/>
          <w:sz w:val="22"/>
          <w:szCs w:val="22"/>
        </w:rPr>
      </w:pPr>
      <w:r>
        <w:rPr>
          <w:rFonts w:hint="eastAsia" w:ascii="宋体" w:hAnsi="宋体"/>
          <w:sz w:val="22"/>
          <w:szCs w:val="22"/>
        </w:rPr>
        <w:t>（四）一般事故构成条件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发生下列情况或造成下列后果之一的为一般事故：</w:t>
      </w:r>
    </w:p>
    <w:p>
      <w:pPr>
        <w:spacing w:line="360" w:lineRule="auto"/>
        <w:ind w:firstLine="440" w:firstLineChars="200"/>
        <w:rPr>
          <w:rFonts w:hint="eastAsia" w:ascii="宋体" w:hAnsi="宋体"/>
          <w:sz w:val="22"/>
          <w:szCs w:val="22"/>
        </w:rPr>
      </w:pPr>
      <w:r>
        <w:rPr>
          <w:rFonts w:hint="eastAsia" w:ascii="宋体" w:hAnsi="宋体"/>
          <w:sz w:val="22"/>
          <w:szCs w:val="22"/>
        </w:rPr>
        <w:t>1）死亡1人以上3人以下；</w:t>
      </w:r>
    </w:p>
    <w:p>
      <w:pPr>
        <w:spacing w:line="360" w:lineRule="auto"/>
        <w:ind w:firstLine="440" w:firstLineChars="200"/>
        <w:rPr>
          <w:rFonts w:hint="eastAsia" w:ascii="宋体" w:hAnsi="宋体"/>
          <w:sz w:val="22"/>
          <w:szCs w:val="22"/>
        </w:rPr>
      </w:pPr>
      <w:r>
        <w:rPr>
          <w:rFonts w:hint="eastAsia" w:ascii="宋体" w:hAnsi="宋体"/>
          <w:sz w:val="22"/>
          <w:szCs w:val="22"/>
        </w:rPr>
        <w:t>2）重伤3人以上10人以下；</w:t>
      </w:r>
    </w:p>
    <w:p>
      <w:pPr>
        <w:spacing w:line="360" w:lineRule="auto"/>
        <w:ind w:firstLine="440" w:firstLineChars="200"/>
        <w:rPr>
          <w:rFonts w:hint="eastAsia" w:ascii="宋体" w:hAnsi="宋体"/>
          <w:sz w:val="22"/>
          <w:szCs w:val="22"/>
        </w:rPr>
      </w:pPr>
      <w:r>
        <w:rPr>
          <w:rFonts w:hint="eastAsia" w:ascii="宋体" w:hAnsi="宋体"/>
          <w:sz w:val="22"/>
          <w:szCs w:val="22"/>
        </w:rPr>
        <w:t>3）直接经济损失100万元以上1000万元以下；</w:t>
      </w:r>
    </w:p>
    <w:p>
      <w:pPr>
        <w:spacing w:line="360" w:lineRule="auto"/>
        <w:ind w:firstLine="440" w:firstLineChars="200"/>
        <w:rPr>
          <w:rFonts w:hint="eastAsia" w:ascii="宋体" w:hAnsi="宋体"/>
          <w:sz w:val="22"/>
          <w:szCs w:val="22"/>
        </w:rPr>
      </w:pPr>
      <w:r>
        <w:rPr>
          <w:rFonts w:hint="eastAsia" w:ascii="宋体" w:hAnsi="宋体"/>
          <w:sz w:val="22"/>
          <w:szCs w:val="22"/>
        </w:rPr>
        <w:t>4）影响运营线路连续中断正线行车2小时以上6小时以下的。</w:t>
      </w:r>
    </w:p>
    <w:p>
      <w:pPr>
        <w:spacing w:line="360" w:lineRule="auto"/>
        <w:ind w:firstLine="440" w:firstLineChars="200"/>
        <w:rPr>
          <w:rFonts w:hint="eastAsia" w:ascii="宋体" w:hAnsi="宋体"/>
          <w:sz w:val="22"/>
          <w:szCs w:val="22"/>
        </w:rPr>
      </w:pPr>
      <w:r>
        <w:rPr>
          <w:rFonts w:hint="eastAsia" w:ascii="宋体" w:hAnsi="宋体"/>
          <w:sz w:val="22"/>
          <w:szCs w:val="22"/>
        </w:rPr>
        <w:t>（五）险性事件构成条件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发生下列情况或造成下列后果之一的为险性事件：</w:t>
      </w:r>
    </w:p>
    <w:p>
      <w:pPr>
        <w:spacing w:line="360" w:lineRule="auto"/>
        <w:ind w:firstLine="440" w:firstLineChars="200"/>
        <w:rPr>
          <w:rFonts w:hint="eastAsia" w:ascii="宋体" w:hAnsi="宋体"/>
          <w:sz w:val="22"/>
          <w:szCs w:val="22"/>
        </w:rPr>
      </w:pPr>
      <w:r>
        <w:rPr>
          <w:rFonts w:hint="eastAsia" w:ascii="宋体" w:hAnsi="宋体"/>
          <w:sz w:val="22"/>
          <w:szCs w:val="22"/>
        </w:rPr>
        <w:t>1）1人以上3人以下重伤；</w:t>
      </w:r>
    </w:p>
    <w:p>
      <w:pPr>
        <w:spacing w:line="360" w:lineRule="auto"/>
        <w:ind w:firstLine="440" w:firstLineChars="200"/>
        <w:rPr>
          <w:rFonts w:hint="eastAsia" w:ascii="宋体" w:hAnsi="宋体"/>
          <w:sz w:val="22"/>
          <w:szCs w:val="22"/>
        </w:rPr>
      </w:pPr>
      <w:r>
        <w:rPr>
          <w:rFonts w:hint="eastAsia" w:ascii="宋体" w:hAnsi="宋体"/>
          <w:sz w:val="22"/>
          <w:szCs w:val="22"/>
        </w:rPr>
        <w:t>2）直接经济损失30万元以上100万元以下；</w:t>
      </w:r>
    </w:p>
    <w:p>
      <w:pPr>
        <w:spacing w:line="360" w:lineRule="auto"/>
        <w:ind w:firstLine="440" w:firstLineChars="200"/>
        <w:rPr>
          <w:rFonts w:hint="eastAsia" w:ascii="宋体" w:hAnsi="宋体"/>
          <w:sz w:val="22"/>
          <w:szCs w:val="22"/>
        </w:rPr>
      </w:pPr>
      <w:r>
        <w:rPr>
          <w:rFonts w:hint="eastAsia" w:ascii="宋体" w:hAnsi="宋体"/>
          <w:sz w:val="22"/>
          <w:szCs w:val="22"/>
        </w:rPr>
        <w:t>3）影响运营线路连续中断正线行车1小时以上2小时以下；</w:t>
      </w:r>
    </w:p>
    <w:p>
      <w:pPr>
        <w:spacing w:line="360" w:lineRule="auto"/>
        <w:ind w:firstLine="440" w:firstLineChars="200"/>
        <w:rPr>
          <w:rFonts w:hint="eastAsia" w:ascii="宋体" w:hAnsi="宋体"/>
          <w:sz w:val="22"/>
          <w:szCs w:val="22"/>
        </w:rPr>
      </w:pPr>
      <w:r>
        <w:rPr>
          <w:rFonts w:hint="eastAsia" w:ascii="宋体" w:hAnsi="宋体"/>
          <w:sz w:val="22"/>
          <w:szCs w:val="22"/>
        </w:rPr>
        <w:t>4）其他性质严重、影响恶劣的事件。</w:t>
      </w:r>
    </w:p>
    <w:p>
      <w:pPr>
        <w:spacing w:line="360" w:lineRule="auto"/>
        <w:ind w:firstLine="440" w:firstLineChars="200"/>
        <w:rPr>
          <w:rFonts w:hint="eastAsia" w:ascii="宋体" w:hAnsi="宋体"/>
          <w:sz w:val="22"/>
          <w:szCs w:val="22"/>
        </w:rPr>
      </w:pPr>
      <w:r>
        <w:rPr>
          <w:rFonts w:hint="eastAsia" w:ascii="宋体" w:hAnsi="宋体"/>
          <w:sz w:val="22"/>
          <w:szCs w:val="22"/>
        </w:rPr>
        <w:t>（六）一般事件构成条件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发生下列情况或造成下列后果之一的为一般事件：</w:t>
      </w:r>
    </w:p>
    <w:p>
      <w:pPr>
        <w:spacing w:line="360" w:lineRule="auto"/>
        <w:ind w:firstLine="440" w:firstLineChars="200"/>
        <w:rPr>
          <w:rFonts w:hint="eastAsia" w:ascii="宋体" w:hAnsi="宋体"/>
          <w:sz w:val="22"/>
          <w:szCs w:val="22"/>
        </w:rPr>
      </w:pPr>
      <w:r>
        <w:rPr>
          <w:rFonts w:hint="eastAsia" w:ascii="宋体" w:hAnsi="宋体"/>
          <w:sz w:val="22"/>
          <w:szCs w:val="22"/>
        </w:rPr>
        <w:t>1）直接经济损失10万元以上30万元以下；</w:t>
      </w:r>
    </w:p>
    <w:p>
      <w:pPr>
        <w:spacing w:line="360" w:lineRule="auto"/>
        <w:ind w:firstLine="440" w:firstLineChars="200"/>
        <w:rPr>
          <w:rFonts w:hint="eastAsia" w:ascii="宋体" w:hAnsi="宋体"/>
          <w:sz w:val="22"/>
          <w:szCs w:val="22"/>
        </w:rPr>
      </w:pPr>
      <w:r>
        <w:rPr>
          <w:rFonts w:hint="eastAsia" w:ascii="宋体" w:hAnsi="宋体"/>
          <w:sz w:val="22"/>
          <w:szCs w:val="22"/>
        </w:rPr>
        <w:t>2）影响运营线路连续中断正线行车30分钟以上1小时以下；</w:t>
      </w:r>
    </w:p>
    <w:p>
      <w:pPr>
        <w:spacing w:line="360" w:lineRule="auto"/>
        <w:ind w:firstLine="440" w:firstLineChars="200"/>
        <w:rPr>
          <w:rFonts w:hint="eastAsia" w:ascii="宋体" w:hAnsi="宋体"/>
          <w:sz w:val="22"/>
          <w:szCs w:val="22"/>
        </w:rPr>
      </w:pPr>
      <w:r>
        <w:rPr>
          <w:rFonts w:hint="eastAsia" w:ascii="宋体" w:hAnsi="宋体"/>
          <w:sz w:val="22"/>
          <w:szCs w:val="22"/>
        </w:rPr>
        <w:t>2) 周边房屋沉降，出现险情，需紧急疏散；</w:t>
      </w:r>
    </w:p>
    <w:p>
      <w:pPr>
        <w:spacing w:line="360" w:lineRule="auto"/>
        <w:ind w:firstLine="440" w:firstLineChars="200"/>
        <w:rPr>
          <w:rFonts w:hint="eastAsia" w:ascii="宋体" w:hAnsi="宋体"/>
          <w:sz w:val="22"/>
          <w:szCs w:val="22"/>
        </w:rPr>
      </w:pPr>
      <w:r>
        <w:rPr>
          <w:rFonts w:hint="eastAsia" w:ascii="宋体" w:hAnsi="宋体"/>
          <w:sz w:val="22"/>
          <w:szCs w:val="22"/>
        </w:rPr>
        <w:t>3) 桥梁、道路等周边建（构）筑物沉降，出现险情，需交通疏解；</w:t>
      </w:r>
    </w:p>
    <w:p>
      <w:pPr>
        <w:spacing w:line="360" w:lineRule="auto"/>
        <w:ind w:firstLine="440" w:firstLineChars="200"/>
        <w:rPr>
          <w:rFonts w:hint="eastAsia" w:ascii="宋体" w:hAnsi="宋体"/>
          <w:sz w:val="22"/>
          <w:szCs w:val="22"/>
        </w:rPr>
      </w:pPr>
      <w:r>
        <w:rPr>
          <w:rFonts w:hint="eastAsia" w:ascii="宋体" w:hAnsi="宋体"/>
          <w:sz w:val="22"/>
          <w:szCs w:val="22"/>
        </w:rPr>
        <w:t>4) 损坏电力、通信、给排水管等；</w:t>
      </w:r>
    </w:p>
    <w:p>
      <w:pPr>
        <w:spacing w:line="360" w:lineRule="auto"/>
        <w:ind w:firstLine="440" w:firstLineChars="200"/>
        <w:rPr>
          <w:rFonts w:hint="eastAsia" w:ascii="宋体" w:hAnsi="宋体"/>
          <w:sz w:val="22"/>
          <w:szCs w:val="22"/>
        </w:rPr>
      </w:pPr>
      <w:r>
        <w:rPr>
          <w:rFonts w:hint="eastAsia" w:ascii="宋体" w:hAnsi="宋体"/>
          <w:sz w:val="22"/>
          <w:szCs w:val="22"/>
        </w:rPr>
        <w:t>5) 发生火灾，造成损失1万以上30万以下，或火灾损失在1万元以下但造成媒体关注等恶劣影响而被集团定性为一般事件的。</w:t>
      </w:r>
    </w:p>
    <w:p>
      <w:pPr>
        <w:spacing w:line="360" w:lineRule="auto"/>
        <w:ind w:firstLine="440" w:firstLineChars="200"/>
        <w:rPr>
          <w:rFonts w:hint="eastAsia" w:ascii="宋体" w:hAnsi="宋体"/>
          <w:sz w:val="22"/>
          <w:szCs w:val="22"/>
        </w:rPr>
      </w:pPr>
      <w:r>
        <w:rPr>
          <w:rFonts w:hint="eastAsia" w:ascii="宋体" w:hAnsi="宋体"/>
          <w:sz w:val="22"/>
          <w:szCs w:val="22"/>
        </w:rPr>
        <w:t>6) 甲方上级安全管理单位安全检查发现的可能直接引起一般事故及以上的安全隐患。</w:t>
      </w:r>
    </w:p>
    <w:p>
      <w:pPr>
        <w:spacing w:line="360" w:lineRule="auto"/>
        <w:ind w:firstLine="440" w:firstLineChars="200"/>
        <w:rPr>
          <w:rFonts w:hint="eastAsia" w:ascii="宋体" w:hAnsi="宋体"/>
          <w:sz w:val="22"/>
          <w:szCs w:val="22"/>
        </w:rPr>
      </w:pPr>
    </w:p>
    <w:p>
      <w:pPr>
        <w:spacing w:line="360" w:lineRule="auto"/>
        <w:ind w:firstLine="440" w:firstLineChars="200"/>
        <w:rPr>
          <w:rFonts w:hint="eastAsia" w:ascii="宋体" w:hAnsi="宋体"/>
          <w:sz w:val="22"/>
          <w:szCs w:val="22"/>
        </w:rPr>
      </w:pPr>
      <w:r>
        <w:rPr>
          <w:rFonts w:hint="eastAsia" w:ascii="宋体" w:hAnsi="宋体"/>
          <w:sz w:val="22"/>
          <w:szCs w:val="22"/>
        </w:rPr>
        <w:t>（七）事件苗头构成条件</w:t>
      </w:r>
    </w:p>
    <w:p>
      <w:pPr>
        <w:spacing w:line="360" w:lineRule="auto"/>
        <w:ind w:firstLine="440" w:firstLineChars="200"/>
        <w:rPr>
          <w:rFonts w:hint="eastAsia" w:ascii="宋体" w:hAnsi="宋体"/>
          <w:sz w:val="22"/>
          <w:szCs w:val="22"/>
        </w:rPr>
      </w:pPr>
      <w:r>
        <w:rPr>
          <w:rFonts w:hint="eastAsia" w:ascii="宋体" w:hAnsi="宋体"/>
          <w:sz w:val="22"/>
          <w:szCs w:val="22"/>
        </w:rPr>
        <w:t>发生下列情况或造成下列后果之一的为事件苗头：</w:t>
      </w:r>
    </w:p>
    <w:p>
      <w:pPr>
        <w:spacing w:line="360" w:lineRule="auto"/>
        <w:ind w:firstLine="440" w:firstLineChars="200"/>
        <w:rPr>
          <w:rFonts w:hint="eastAsia" w:ascii="宋体" w:hAnsi="宋体"/>
          <w:sz w:val="22"/>
          <w:szCs w:val="22"/>
        </w:rPr>
      </w:pPr>
      <w:r>
        <w:rPr>
          <w:rFonts w:hint="eastAsia" w:ascii="宋体" w:hAnsi="宋体"/>
          <w:sz w:val="22"/>
          <w:szCs w:val="22"/>
        </w:rPr>
        <w:t>1）直接经济损失1万元以上10万元以下。</w:t>
      </w:r>
    </w:p>
    <w:p>
      <w:pPr>
        <w:spacing w:line="360" w:lineRule="auto"/>
        <w:ind w:firstLine="440" w:firstLineChars="200"/>
        <w:rPr>
          <w:rFonts w:hint="eastAsia" w:ascii="宋体" w:hAnsi="宋体"/>
          <w:sz w:val="22"/>
          <w:szCs w:val="22"/>
        </w:rPr>
      </w:pPr>
      <w:r>
        <w:rPr>
          <w:rFonts w:hint="eastAsia" w:ascii="宋体" w:hAnsi="宋体"/>
          <w:sz w:val="22"/>
          <w:szCs w:val="22"/>
        </w:rPr>
        <w:t>2) 工地被政府部门发文通报批评，或被勒令停业整顿及停工；</w:t>
      </w:r>
    </w:p>
    <w:p>
      <w:pPr>
        <w:spacing w:line="360" w:lineRule="auto"/>
        <w:ind w:firstLine="440" w:firstLineChars="200"/>
        <w:rPr>
          <w:rFonts w:hint="eastAsia" w:ascii="宋体" w:hAnsi="宋体"/>
          <w:sz w:val="22"/>
          <w:szCs w:val="22"/>
        </w:rPr>
      </w:pPr>
      <w:r>
        <w:rPr>
          <w:rFonts w:hint="eastAsia" w:ascii="宋体" w:hAnsi="宋体"/>
          <w:sz w:val="22"/>
          <w:szCs w:val="22"/>
        </w:rPr>
        <w:t>3) 物业或工地内发生人员受伤，未达到险性及以上事件程度的；</w:t>
      </w:r>
    </w:p>
    <w:p>
      <w:pPr>
        <w:spacing w:line="360" w:lineRule="auto"/>
        <w:ind w:firstLine="440" w:firstLineChars="200"/>
        <w:rPr>
          <w:rFonts w:hint="eastAsia" w:ascii="宋体" w:hAnsi="宋体"/>
          <w:sz w:val="22"/>
          <w:szCs w:val="22"/>
        </w:rPr>
      </w:pPr>
      <w:r>
        <w:rPr>
          <w:rFonts w:hint="eastAsia" w:ascii="宋体" w:hAnsi="宋体"/>
          <w:sz w:val="22"/>
          <w:szCs w:val="22"/>
        </w:rPr>
        <w:t>4）发生到政府部门、地铁集团公司大厦上访的3人以上总部责任讨薪、维稳事件；</w:t>
      </w:r>
    </w:p>
    <w:p>
      <w:pPr>
        <w:spacing w:line="360" w:lineRule="auto"/>
        <w:ind w:firstLine="440" w:firstLineChars="200"/>
        <w:rPr>
          <w:rFonts w:hint="eastAsia" w:ascii="宋体" w:hAnsi="宋体"/>
          <w:sz w:val="22"/>
          <w:szCs w:val="22"/>
        </w:rPr>
      </w:pPr>
      <w:r>
        <w:rPr>
          <w:rFonts w:hint="eastAsia" w:ascii="宋体" w:hAnsi="宋体"/>
          <w:sz w:val="22"/>
          <w:szCs w:val="22"/>
        </w:rPr>
        <w:t>5）发生火灾，损失在1万元以下的；</w:t>
      </w:r>
    </w:p>
    <w:p>
      <w:pPr>
        <w:spacing w:line="360" w:lineRule="auto"/>
        <w:ind w:firstLine="440" w:firstLineChars="200"/>
        <w:rPr>
          <w:rFonts w:hint="eastAsia" w:ascii="宋体" w:hAnsi="宋体"/>
          <w:sz w:val="22"/>
          <w:szCs w:val="22"/>
        </w:rPr>
      </w:pPr>
      <w:r>
        <w:rPr>
          <w:rFonts w:hint="eastAsia" w:ascii="宋体" w:hAnsi="宋体"/>
          <w:sz w:val="22"/>
          <w:szCs w:val="22"/>
        </w:rPr>
        <w:t>6) 其他（未达到事件苗头标准，但性质严重、影响恶劣的安全问题，经甲方决定列入本项）</w:t>
      </w:r>
    </w:p>
    <w:p>
      <w:pPr>
        <w:spacing w:line="360" w:lineRule="auto"/>
        <w:ind w:firstLine="440" w:firstLineChars="200"/>
        <w:rPr>
          <w:rFonts w:hint="eastAsia" w:ascii="宋体" w:hAnsi="宋体"/>
          <w:sz w:val="22"/>
          <w:szCs w:val="22"/>
        </w:rPr>
      </w:pPr>
      <w:r>
        <w:rPr>
          <w:rFonts w:hint="eastAsia" w:ascii="宋体" w:hAnsi="宋体"/>
          <w:sz w:val="22"/>
          <w:szCs w:val="22"/>
        </w:rPr>
        <w:t>7) 甲方上级管理单位安全检查发现的可能直接引起隐性事件的安全隐患。</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第五条事故（事件）的扣罚标准</w:t>
      </w:r>
    </w:p>
    <w:p>
      <w:pPr>
        <w:spacing w:line="360" w:lineRule="auto"/>
        <w:ind w:firstLine="440" w:firstLineChars="200"/>
        <w:rPr>
          <w:rFonts w:ascii="宋体" w:hAnsi="宋体"/>
          <w:sz w:val="22"/>
          <w:szCs w:val="22"/>
        </w:rPr>
      </w:pPr>
      <w:r>
        <w:rPr>
          <w:rFonts w:hint="eastAsia" w:ascii="宋体" w:hAnsi="宋体"/>
          <w:sz w:val="22"/>
          <w:szCs w:val="22"/>
        </w:rPr>
        <w:t>（一）履行合同期间，发生一起生产安全责任事故（事件）的，根据乙方所承担的责任定性不同，扣罚标准如下：</w:t>
      </w:r>
    </w:p>
    <w:p>
      <w:pPr>
        <w:spacing w:line="360" w:lineRule="auto"/>
        <w:ind w:firstLine="440" w:firstLineChars="200"/>
        <w:rPr>
          <w:rFonts w:ascii="宋体" w:hAnsi="宋体"/>
          <w:sz w:val="22"/>
          <w:szCs w:val="22"/>
        </w:rPr>
      </w:pPr>
    </w:p>
    <w:tbl>
      <w:tblPr>
        <w:tblStyle w:val="5"/>
        <w:tblW w:w="0" w:type="auto"/>
        <w:tblInd w:w="93" w:type="dxa"/>
        <w:tblLayout w:type="fixed"/>
        <w:tblCellMar>
          <w:top w:w="0" w:type="dxa"/>
          <w:left w:w="108" w:type="dxa"/>
          <w:bottom w:w="0" w:type="dxa"/>
          <w:right w:w="108" w:type="dxa"/>
        </w:tblCellMar>
      </w:tblPr>
      <w:tblGrid>
        <w:gridCol w:w="740"/>
        <w:gridCol w:w="2100"/>
        <w:gridCol w:w="2720"/>
        <w:gridCol w:w="2880"/>
      </w:tblGrid>
      <w:tr>
        <w:tblPrEx>
          <w:tblCellMar>
            <w:top w:w="0" w:type="dxa"/>
            <w:left w:w="108" w:type="dxa"/>
            <w:bottom w:w="0" w:type="dxa"/>
            <w:right w:w="108" w:type="dxa"/>
          </w:tblCellMar>
        </w:tblPrEx>
        <w:trPr>
          <w:trHeight w:val="405" w:hRule="atLeast"/>
        </w:trPr>
        <w:tc>
          <w:tcPr>
            <w:tcW w:w="28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s="宋体"/>
                <w:kern w:val="0"/>
                <w:sz w:val="22"/>
                <w:szCs w:val="22"/>
              </w:rPr>
            </w:pPr>
            <w:r>
              <w:rPr>
                <w:rFonts w:hint="eastAsia" w:ascii="宋体" w:hAnsi="宋体" w:cs="宋体"/>
                <w:kern w:val="0"/>
                <w:sz w:val="22"/>
                <w:szCs w:val="22"/>
              </w:rPr>
              <w:t>事件性质</w:t>
            </w:r>
          </w:p>
        </w:tc>
        <w:tc>
          <w:tcPr>
            <w:tcW w:w="272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ascii="宋体" w:hAnsi="宋体" w:cs="宋体"/>
                <w:kern w:val="0"/>
                <w:sz w:val="22"/>
                <w:szCs w:val="22"/>
              </w:rPr>
            </w:pPr>
            <w:r>
              <w:rPr>
                <w:rFonts w:hint="eastAsia" w:ascii="宋体" w:hAnsi="宋体" w:cs="宋体"/>
                <w:kern w:val="0"/>
                <w:sz w:val="22"/>
                <w:szCs w:val="22"/>
              </w:rPr>
              <w:t>乙方负主体责任</w:t>
            </w:r>
          </w:p>
        </w:tc>
        <w:tc>
          <w:tcPr>
            <w:tcW w:w="288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ascii="宋体" w:hAnsi="宋体" w:cs="宋体"/>
                <w:kern w:val="0"/>
                <w:sz w:val="22"/>
                <w:szCs w:val="22"/>
              </w:rPr>
            </w:pPr>
            <w:r>
              <w:rPr>
                <w:rFonts w:hint="eastAsia" w:ascii="宋体" w:hAnsi="宋体" w:cs="宋体"/>
                <w:kern w:val="0"/>
                <w:sz w:val="22"/>
                <w:szCs w:val="22"/>
              </w:rPr>
              <w:t>乙方负监管责任</w:t>
            </w:r>
          </w:p>
        </w:tc>
      </w:tr>
      <w:tr>
        <w:tblPrEx>
          <w:tblCellMar>
            <w:top w:w="0" w:type="dxa"/>
            <w:left w:w="108" w:type="dxa"/>
            <w:bottom w:w="0" w:type="dxa"/>
            <w:right w:w="108" w:type="dxa"/>
          </w:tblCellMar>
        </w:tblPrEx>
        <w:trPr>
          <w:trHeight w:val="405" w:hRule="atLeast"/>
        </w:trPr>
        <w:tc>
          <w:tcPr>
            <w:tcW w:w="740"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s="宋体"/>
                <w:kern w:val="0"/>
                <w:sz w:val="22"/>
                <w:szCs w:val="22"/>
              </w:rPr>
            </w:pPr>
            <w:r>
              <w:rPr>
                <w:rFonts w:hint="eastAsia" w:ascii="宋体" w:hAnsi="宋体" w:cs="宋体"/>
                <w:kern w:val="0"/>
                <w:sz w:val="22"/>
                <w:szCs w:val="22"/>
              </w:rPr>
              <w:t>事件</w:t>
            </w:r>
          </w:p>
        </w:tc>
        <w:tc>
          <w:tcPr>
            <w:tcW w:w="2100" w:type="dxa"/>
            <w:tcBorders>
              <w:top w:val="nil"/>
              <w:left w:val="nil"/>
              <w:bottom w:val="single" w:color="auto" w:sz="4" w:space="0"/>
              <w:right w:val="single" w:color="auto" w:sz="4" w:space="0"/>
            </w:tcBorders>
            <w:noWrap w:val="0"/>
            <w:vAlign w:val="center"/>
          </w:tcPr>
          <w:p>
            <w:pPr>
              <w:widowControl/>
              <w:adjustRightInd w:val="0"/>
              <w:spacing w:line="360" w:lineRule="auto"/>
              <w:jc w:val="left"/>
              <w:rPr>
                <w:rFonts w:ascii="宋体" w:hAnsi="宋体" w:cs="宋体"/>
                <w:kern w:val="0"/>
                <w:sz w:val="22"/>
                <w:szCs w:val="22"/>
              </w:rPr>
            </w:pPr>
            <w:r>
              <w:rPr>
                <w:rFonts w:hint="eastAsia" w:ascii="宋体" w:hAnsi="宋体" w:cs="宋体"/>
                <w:kern w:val="0"/>
                <w:sz w:val="22"/>
                <w:szCs w:val="22"/>
              </w:rPr>
              <w:t>事件苗头</w:t>
            </w:r>
          </w:p>
        </w:tc>
        <w:tc>
          <w:tcPr>
            <w:tcW w:w="272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30000元</w:t>
            </w:r>
          </w:p>
        </w:tc>
        <w:tc>
          <w:tcPr>
            <w:tcW w:w="288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10000元</w:t>
            </w:r>
          </w:p>
        </w:tc>
      </w:tr>
      <w:tr>
        <w:tblPrEx>
          <w:tblCellMar>
            <w:top w:w="0" w:type="dxa"/>
            <w:left w:w="108" w:type="dxa"/>
            <w:bottom w:w="0" w:type="dxa"/>
            <w:right w:w="108" w:type="dxa"/>
          </w:tblCellMar>
        </w:tblPrEx>
        <w:trPr>
          <w:trHeight w:val="405" w:hRule="atLeast"/>
        </w:trPr>
        <w:tc>
          <w:tcPr>
            <w:tcW w:w="74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ascii="宋体" w:hAnsi="宋体" w:cs="宋体"/>
                <w:kern w:val="0"/>
                <w:sz w:val="22"/>
                <w:szCs w:val="22"/>
              </w:rPr>
            </w:pPr>
          </w:p>
        </w:tc>
        <w:tc>
          <w:tcPr>
            <w:tcW w:w="2100" w:type="dxa"/>
            <w:tcBorders>
              <w:top w:val="nil"/>
              <w:left w:val="nil"/>
              <w:bottom w:val="single" w:color="auto" w:sz="4" w:space="0"/>
              <w:right w:val="single" w:color="auto" w:sz="4" w:space="0"/>
            </w:tcBorders>
            <w:noWrap w:val="0"/>
            <w:vAlign w:val="center"/>
          </w:tcPr>
          <w:p>
            <w:pPr>
              <w:widowControl/>
              <w:adjustRightInd w:val="0"/>
              <w:spacing w:line="360" w:lineRule="auto"/>
              <w:jc w:val="left"/>
              <w:rPr>
                <w:rFonts w:ascii="宋体" w:hAnsi="宋体" w:cs="宋体"/>
                <w:kern w:val="0"/>
                <w:sz w:val="22"/>
                <w:szCs w:val="22"/>
              </w:rPr>
            </w:pPr>
            <w:r>
              <w:rPr>
                <w:rFonts w:hint="eastAsia" w:ascii="宋体" w:hAnsi="宋体" w:cs="宋体"/>
                <w:kern w:val="0"/>
                <w:sz w:val="22"/>
                <w:szCs w:val="22"/>
              </w:rPr>
              <w:t>一般事件</w:t>
            </w:r>
          </w:p>
        </w:tc>
        <w:tc>
          <w:tcPr>
            <w:tcW w:w="272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80000元</w:t>
            </w:r>
          </w:p>
        </w:tc>
        <w:tc>
          <w:tcPr>
            <w:tcW w:w="288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20000元</w:t>
            </w:r>
          </w:p>
        </w:tc>
      </w:tr>
      <w:tr>
        <w:tblPrEx>
          <w:tblCellMar>
            <w:top w:w="0" w:type="dxa"/>
            <w:left w:w="108" w:type="dxa"/>
            <w:bottom w:w="0" w:type="dxa"/>
            <w:right w:w="108" w:type="dxa"/>
          </w:tblCellMar>
        </w:tblPrEx>
        <w:trPr>
          <w:trHeight w:val="405" w:hRule="atLeast"/>
        </w:trPr>
        <w:tc>
          <w:tcPr>
            <w:tcW w:w="74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ascii="宋体" w:hAnsi="宋体" w:cs="宋体"/>
                <w:kern w:val="0"/>
                <w:sz w:val="22"/>
                <w:szCs w:val="22"/>
              </w:rPr>
            </w:pPr>
          </w:p>
        </w:tc>
        <w:tc>
          <w:tcPr>
            <w:tcW w:w="2100" w:type="dxa"/>
            <w:tcBorders>
              <w:top w:val="nil"/>
              <w:left w:val="nil"/>
              <w:bottom w:val="single" w:color="auto" w:sz="4" w:space="0"/>
              <w:right w:val="single" w:color="auto" w:sz="4" w:space="0"/>
            </w:tcBorders>
            <w:noWrap w:val="0"/>
            <w:vAlign w:val="center"/>
          </w:tcPr>
          <w:p>
            <w:pPr>
              <w:widowControl/>
              <w:adjustRightInd w:val="0"/>
              <w:spacing w:line="360" w:lineRule="auto"/>
              <w:jc w:val="left"/>
              <w:rPr>
                <w:rFonts w:ascii="宋体" w:hAnsi="宋体" w:cs="宋体"/>
                <w:kern w:val="0"/>
                <w:sz w:val="22"/>
                <w:szCs w:val="22"/>
              </w:rPr>
            </w:pPr>
            <w:r>
              <w:rPr>
                <w:rFonts w:hint="eastAsia" w:ascii="宋体" w:hAnsi="宋体" w:cs="宋体"/>
                <w:kern w:val="0"/>
                <w:sz w:val="22"/>
                <w:szCs w:val="22"/>
              </w:rPr>
              <w:t>险性事件</w:t>
            </w:r>
          </w:p>
        </w:tc>
        <w:tc>
          <w:tcPr>
            <w:tcW w:w="272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150000元</w:t>
            </w:r>
          </w:p>
        </w:tc>
        <w:tc>
          <w:tcPr>
            <w:tcW w:w="288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50000元</w:t>
            </w:r>
          </w:p>
        </w:tc>
      </w:tr>
      <w:tr>
        <w:tblPrEx>
          <w:tblCellMar>
            <w:top w:w="0" w:type="dxa"/>
            <w:left w:w="108" w:type="dxa"/>
            <w:bottom w:w="0" w:type="dxa"/>
            <w:right w:w="108" w:type="dxa"/>
          </w:tblCellMar>
        </w:tblPrEx>
        <w:trPr>
          <w:trHeight w:val="405" w:hRule="atLeast"/>
        </w:trPr>
        <w:tc>
          <w:tcPr>
            <w:tcW w:w="740" w:type="dxa"/>
            <w:vMerge w:val="restart"/>
            <w:tcBorders>
              <w:top w:val="nil"/>
              <w:left w:val="single" w:color="auto" w:sz="4" w:space="0"/>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hint="eastAsia" w:ascii="宋体" w:hAnsi="宋体" w:cs="宋体"/>
                <w:kern w:val="0"/>
                <w:sz w:val="22"/>
                <w:szCs w:val="22"/>
              </w:rPr>
              <w:t>事故</w:t>
            </w:r>
          </w:p>
        </w:tc>
        <w:tc>
          <w:tcPr>
            <w:tcW w:w="2100" w:type="dxa"/>
            <w:tcBorders>
              <w:top w:val="nil"/>
              <w:left w:val="nil"/>
              <w:bottom w:val="single" w:color="auto" w:sz="4" w:space="0"/>
              <w:right w:val="single" w:color="auto" w:sz="4" w:space="0"/>
            </w:tcBorders>
            <w:noWrap w:val="0"/>
            <w:vAlign w:val="center"/>
          </w:tcPr>
          <w:p>
            <w:pPr>
              <w:widowControl/>
              <w:adjustRightInd w:val="0"/>
              <w:spacing w:line="360" w:lineRule="auto"/>
              <w:jc w:val="left"/>
              <w:rPr>
                <w:rFonts w:ascii="宋体" w:hAnsi="宋体" w:cs="宋体"/>
                <w:kern w:val="0"/>
                <w:sz w:val="22"/>
                <w:szCs w:val="22"/>
              </w:rPr>
            </w:pPr>
            <w:r>
              <w:rPr>
                <w:rFonts w:hint="eastAsia" w:ascii="宋体" w:hAnsi="宋体" w:cs="宋体"/>
                <w:kern w:val="0"/>
                <w:sz w:val="22"/>
                <w:szCs w:val="22"/>
              </w:rPr>
              <w:t>一般事故</w:t>
            </w:r>
          </w:p>
        </w:tc>
        <w:tc>
          <w:tcPr>
            <w:tcW w:w="272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300000元</w:t>
            </w:r>
          </w:p>
        </w:tc>
        <w:tc>
          <w:tcPr>
            <w:tcW w:w="288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100000元</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ascii="宋体" w:hAnsi="宋体" w:cs="宋体"/>
                <w:kern w:val="0"/>
                <w:sz w:val="22"/>
                <w:szCs w:val="22"/>
              </w:rPr>
            </w:pPr>
          </w:p>
        </w:tc>
        <w:tc>
          <w:tcPr>
            <w:tcW w:w="2100" w:type="dxa"/>
            <w:tcBorders>
              <w:top w:val="nil"/>
              <w:left w:val="nil"/>
              <w:bottom w:val="single" w:color="auto" w:sz="4" w:space="0"/>
              <w:right w:val="single" w:color="auto" w:sz="4" w:space="0"/>
            </w:tcBorders>
            <w:noWrap w:val="0"/>
            <w:vAlign w:val="center"/>
          </w:tcPr>
          <w:p>
            <w:pPr>
              <w:widowControl/>
              <w:adjustRightInd w:val="0"/>
              <w:spacing w:line="360" w:lineRule="auto"/>
              <w:jc w:val="left"/>
              <w:rPr>
                <w:rFonts w:ascii="宋体" w:hAnsi="宋体" w:cs="宋体"/>
                <w:kern w:val="0"/>
                <w:sz w:val="22"/>
                <w:szCs w:val="22"/>
              </w:rPr>
            </w:pPr>
            <w:r>
              <w:rPr>
                <w:rFonts w:hint="eastAsia" w:ascii="宋体" w:hAnsi="宋体" w:cs="宋体"/>
                <w:kern w:val="0"/>
                <w:sz w:val="22"/>
                <w:szCs w:val="22"/>
              </w:rPr>
              <w:t>较大事故以上（含重大事故、特别重大事故）</w:t>
            </w:r>
          </w:p>
        </w:tc>
        <w:tc>
          <w:tcPr>
            <w:tcW w:w="272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500000元</w:t>
            </w:r>
          </w:p>
        </w:tc>
        <w:tc>
          <w:tcPr>
            <w:tcW w:w="2880" w:type="dxa"/>
            <w:tcBorders>
              <w:top w:val="nil"/>
              <w:left w:val="nil"/>
              <w:bottom w:val="single" w:color="auto" w:sz="4" w:space="0"/>
              <w:right w:val="single" w:color="auto" w:sz="4" w:space="0"/>
            </w:tcBorders>
            <w:noWrap w:val="0"/>
            <w:vAlign w:val="center"/>
          </w:tcPr>
          <w:p>
            <w:pPr>
              <w:widowControl/>
              <w:adjustRightInd w:val="0"/>
              <w:spacing w:line="360" w:lineRule="auto"/>
              <w:jc w:val="center"/>
              <w:rPr>
                <w:rFonts w:ascii="宋体" w:hAnsi="宋体" w:cs="宋体"/>
                <w:kern w:val="0"/>
                <w:sz w:val="22"/>
                <w:szCs w:val="22"/>
              </w:rPr>
            </w:pPr>
            <w:r>
              <w:rPr>
                <w:rFonts w:ascii="宋体" w:hAnsi="宋体" w:cs="宋体"/>
                <w:kern w:val="0"/>
                <w:sz w:val="22"/>
                <w:szCs w:val="22"/>
              </w:rPr>
              <w:t>200000元</w:t>
            </w:r>
          </w:p>
        </w:tc>
      </w:tr>
    </w:tbl>
    <w:p>
      <w:pPr>
        <w:spacing w:line="360" w:lineRule="auto"/>
        <w:ind w:firstLine="440" w:firstLineChars="200"/>
        <w:rPr>
          <w:rFonts w:ascii="宋体" w:hAnsi="宋体"/>
          <w:sz w:val="22"/>
          <w:szCs w:val="22"/>
        </w:rPr>
      </w:pPr>
      <w:r>
        <w:rPr>
          <w:rFonts w:hint="eastAsia" w:ascii="宋体" w:hAnsi="宋体"/>
          <w:sz w:val="22"/>
          <w:szCs w:val="22"/>
        </w:rPr>
        <w:t>（二）上述扣罚优先从合同进度款中扣除，不足部分在履约保证金扣罚。</w:t>
      </w:r>
    </w:p>
    <w:p>
      <w:pPr>
        <w:spacing w:line="360" w:lineRule="auto"/>
        <w:ind w:firstLine="440" w:firstLineChars="200"/>
        <w:rPr>
          <w:rFonts w:ascii="宋体" w:hAnsi="宋体"/>
          <w:sz w:val="22"/>
          <w:szCs w:val="22"/>
        </w:rPr>
      </w:pPr>
      <w:r>
        <w:rPr>
          <w:rFonts w:hint="eastAsia" w:ascii="宋体" w:hAnsi="宋体"/>
          <w:sz w:val="22"/>
          <w:szCs w:val="22"/>
        </w:rPr>
        <w:t>上述扣罚款（绩效考核罚款及其他罚款等）不减少合同金额，甲方应在每次支付申请时开具相应罚款金额的收据。</w:t>
      </w:r>
    </w:p>
    <w:p>
      <w:pPr>
        <w:spacing w:line="360" w:lineRule="auto"/>
        <w:ind w:firstLine="440" w:firstLineChars="200"/>
        <w:rPr>
          <w:rFonts w:ascii="宋体" w:hAnsi="宋体"/>
          <w:b/>
          <w:sz w:val="22"/>
          <w:szCs w:val="22"/>
        </w:rPr>
      </w:pPr>
      <w:r>
        <w:rPr>
          <w:rFonts w:hint="eastAsia" w:ascii="宋体" w:hAnsi="宋体"/>
          <w:sz w:val="22"/>
          <w:szCs w:val="22"/>
        </w:rPr>
        <w:t>（三）发生一起一般安全生产责任事件的，甲方对乙方进行通报批评。发生一起一般安全生产责任事故的，甲方约谈乙方领导，进行安全谈话，形成谈话内容纪要，正式印发给乙方。</w:t>
      </w:r>
    </w:p>
    <w:p>
      <w:pPr>
        <w:spacing w:before="156" w:beforeLines="50" w:after="156" w:afterLines="50" w:line="360" w:lineRule="auto"/>
        <w:ind w:firstLine="442" w:firstLineChars="200"/>
        <w:rPr>
          <w:rFonts w:ascii="宋体" w:hAnsi="宋体"/>
          <w:b/>
          <w:sz w:val="22"/>
          <w:szCs w:val="22"/>
        </w:rPr>
      </w:pPr>
      <w:r>
        <w:rPr>
          <w:rFonts w:hint="eastAsia" w:ascii="宋体" w:hAnsi="宋体"/>
          <w:b/>
          <w:sz w:val="22"/>
          <w:szCs w:val="22"/>
        </w:rPr>
        <w:t>第六条安全专项检查评分及结果运用</w:t>
      </w:r>
    </w:p>
    <w:p>
      <w:pPr>
        <w:spacing w:line="360" w:lineRule="auto"/>
        <w:ind w:firstLine="440" w:firstLineChars="200"/>
        <w:rPr>
          <w:rFonts w:ascii="宋体" w:hAnsi="宋体"/>
          <w:sz w:val="22"/>
          <w:szCs w:val="22"/>
        </w:rPr>
      </w:pPr>
      <w:r>
        <w:rPr>
          <w:rFonts w:hint="eastAsia" w:ascii="宋体" w:hAnsi="宋体"/>
          <w:sz w:val="22"/>
          <w:szCs w:val="22"/>
        </w:rPr>
        <w:t>（一）安全检查为专项检查，每月由甲方组织检查，具体内容及标准依照《建筑施工安全检查标准》（</w:t>
      </w:r>
      <w:r>
        <w:rPr>
          <w:rFonts w:ascii="宋体" w:hAnsi="宋体"/>
          <w:sz w:val="22"/>
          <w:szCs w:val="22"/>
        </w:rPr>
        <w:t>JGJ59-2011</w:t>
      </w:r>
      <w:r>
        <w:rPr>
          <w:rFonts w:hint="eastAsia" w:ascii="宋体" w:hAnsi="宋体"/>
          <w:sz w:val="22"/>
          <w:szCs w:val="22"/>
        </w:rPr>
        <w:t>），包括：安全管理、文明工地、脚手架、基坑支护与模板工程、</w:t>
      </w:r>
      <w:r>
        <w:rPr>
          <w:rFonts w:ascii="宋体" w:hAnsi="宋体"/>
          <w:sz w:val="22"/>
          <w:szCs w:val="22"/>
        </w:rPr>
        <w:t>“</w:t>
      </w:r>
      <w:r>
        <w:rPr>
          <w:rFonts w:hint="eastAsia" w:ascii="宋体" w:hAnsi="宋体"/>
          <w:sz w:val="22"/>
          <w:szCs w:val="22"/>
        </w:rPr>
        <w:t>三宝</w:t>
      </w:r>
      <w:r>
        <w:rPr>
          <w:rFonts w:ascii="宋体" w:hAnsi="宋体"/>
          <w:sz w:val="22"/>
          <w:szCs w:val="22"/>
        </w:rPr>
        <w:t>”“</w:t>
      </w:r>
      <w:r>
        <w:rPr>
          <w:rFonts w:hint="eastAsia" w:ascii="宋体" w:hAnsi="宋体"/>
          <w:sz w:val="22"/>
          <w:szCs w:val="22"/>
        </w:rPr>
        <w:t>四口</w:t>
      </w:r>
      <w:r>
        <w:rPr>
          <w:rFonts w:ascii="宋体" w:hAnsi="宋体"/>
          <w:sz w:val="22"/>
          <w:szCs w:val="22"/>
        </w:rPr>
        <w:t>”</w:t>
      </w:r>
      <w:r>
        <w:rPr>
          <w:rFonts w:hint="eastAsia" w:ascii="宋体" w:hAnsi="宋体"/>
          <w:sz w:val="22"/>
          <w:szCs w:val="22"/>
        </w:rPr>
        <w:t>防护、施工用电、外用电梯、塔吊、起重吊装和施工机具等，并通报每月的检查结果。对于发现的问题和隐患，视情况严重程度给予当面提醒、口头警告，对于重大安全隐患或屡次频发的安全问题下发书面《安全文明整改通知书》（参见附件3），对严重威胁安全生产的问题下发“黄、红”警示及停工（停业）令（参见附件4），责令停工、停业整改。</w:t>
      </w:r>
    </w:p>
    <w:p>
      <w:pPr>
        <w:spacing w:line="360" w:lineRule="auto"/>
        <w:ind w:firstLine="440" w:firstLineChars="200"/>
        <w:rPr>
          <w:rFonts w:ascii="宋体" w:hAnsi="宋体"/>
          <w:sz w:val="22"/>
          <w:szCs w:val="22"/>
        </w:rPr>
      </w:pPr>
      <w:r>
        <w:rPr>
          <w:rFonts w:hint="eastAsia" w:ascii="宋体" w:hAnsi="宋体"/>
          <w:sz w:val="22"/>
          <w:szCs w:val="22"/>
        </w:rPr>
        <w:t>具体检查内容详见附件2《施工单位安全检查标准》、《文明施工检查表》，甲方有权根据自身安全管理需要对附件3有关内容进行修改调整，并以书面形式通知乙方，乙方须按相关文件内容执行。</w:t>
      </w:r>
    </w:p>
    <w:p>
      <w:pPr>
        <w:spacing w:line="360" w:lineRule="auto"/>
        <w:ind w:firstLine="600"/>
        <w:rPr>
          <w:rFonts w:ascii="宋体" w:hAnsi="宋体"/>
          <w:sz w:val="22"/>
          <w:szCs w:val="22"/>
        </w:rPr>
      </w:pPr>
      <w:r>
        <w:rPr>
          <w:rFonts w:hint="eastAsia" w:ascii="宋体" w:hAnsi="宋体"/>
          <w:sz w:val="22"/>
          <w:szCs w:val="22"/>
        </w:rPr>
        <w:t>（二）经检查（抽查）发现一般性隐患与问题达到6至9条的，或存在重大安全隐患，隐患问题不整改，整改不彻底、不及时的工地或物业场所，总部给予挂黄牌警告。经督查检查（抽查）发现一般性隐患与问题达到10条及以上的，或存在2条及以上重大安全隐患的，隐患问题不整改，整改不彻底、不及时的，总部给予挂红牌警告。</w:t>
      </w:r>
    </w:p>
    <w:p>
      <w:pPr>
        <w:spacing w:line="360" w:lineRule="auto"/>
        <w:ind w:firstLine="600"/>
        <w:rPr>
          <w:rFonts w:ascii="宋体" w:hAnsi="宋体"/>
          <w:sz w:val="22"/>
          <w:szCs w:val="22"/>
        </w:rPr>
      </w:pPr>
      <w:r>
        <w:rPr>
          <w:rFonts w:hint="eastAsia" w:ascii="宋体" w:hAnsi="宋体"/>
          <w:sz w:val="22"/>
          <w:szCs w:val="22"/>
        </w:rPr>
        <w:t>（三）乙方因安全文明管理被挂牌警告的，甲方有权做如下处理：</w:t>
      </w:r>
    </w:p>
    <w:p>
      <w:pPr>
        <w:spacing w:line="360" w:lineRule="auto"/>
        <w:ind w:firstLine="440" w:firstLineChars="200"/>
        <w:rPr>
          <w:rFonts w:ascii="宋体" w:hAnsi="宋体"/>
          <w:sz w:val="22"/>
          <w:szCs w:val="22"/>
        </w:rPr>
      </w:pPr>
      <w:r>
        <w:rPr>
          <w:rFonts w:ascii="宋体" w:hAnsi="宋体"/>
          <w:sz w:val="22"/>
          <w:szCs w:val="22"/>
        </w:rPr>
        <w:t>1、对乙方单位现场第一负责人、法人公司负责人进行安全谈话，形成谈话内容纪要，正式印发给乙方；</w:t>
      </w:r>
    </w:p>
    <w:p>
      <w:pPr>
        <w:spacing w:line="360" w:lineRule="auto"/>
        <w:ind w:firstLine="600"/>
        <w:rPr>
          <w:rFonts w:ascii="宋体" w:hAnsi="宋体"/>
          <w:sz w:val="22"/>
          <w:szCs w:val="22"/>
        </w:rPr>
      </w:pPr>
      <w:r>
        <w:rPr>
          <w:rFonts w:ascii="宋体" w:hAnsi="宋体"/>
          <w:sz w:val="22"/>
          <w:szCs w:val="22"/>
        </w:rPr>
        <w:t>2、甲方有权对其进行通报批评；</w:t>
      </w:r>
    </w:p>
    <w:p>
      <w:pPr>
        <w:spacing w:line="360" w:lineRule="auto"/>
        <w:ind w:firstLine="600"/>
        <w:rPr>
          <w:rFonts w:ascii="宋体" w:hAnsi="宋体"/>
          <w:sz w:val="22"/>
          <w:szCs w:val="22"/>
        </w:rPr>
      </w:pPr>
      <w:r>
        <w:rPr>
          <w:rFonts w:ascii="宋体" w:hAnsi="宋体"/>
          <w:sz w:val="22"/>
          <w:szCs w:val="22"/>
        </w:rPr>
        <w:t>3、纳入甲方合同不诚信行为记录，记</w:t>
      </w:r>
      <w:r>
        <w:rPr>
          <w:rFonts w:hint="eastAsia" w:ascii="宋体" w:hAnsi="宋体"/>
          <w:sz w:val="22"/>
          <w:szCs w:val="22"/>
        </w:rPr>
        <w:t>录有效期</w:t>
      </w:r>
      <w:r>
        <w:rPr>
          <w:rFonts w:ascii="宋体" w:hAnsi="宋体"/>
          <w:sz w:val="22"/>
          <w:szCs w:val="22"/>
        </w:rPr>
        <w:t>1年。</w:t>
      </w:r>
    </w:p>
    <w:p>
      <w:pPr>
        <w:spacing w:line="360" w:lineRule="auto"/>
        <w:ind w:firstLine="590"/>
        <w:rPr>
          <w:rFonts w:ascii="宋体" w:hAnsi="宋体"/>
          <w:b/>
          <w:sz w:val="22"/>
          <w:szCs w:val="22"/>
        </w:rPr>
      </w:pPr>
      <w:r>
        <w:rPr>
          <w:rFonts w:hint="eastAsia" w:ascii="宋体" w:hAnsi="宋体"/>
          <w:b/>
          <w:sz w:val="22"/>
          <w:szCs w:val="22"/>
        </w:rPr>
        <w:t>第八条</w:t>
      </w:r>
      <w:r>
        <w:rPr>
          <w:rFonts w:hint="eastAsia" w:ascii="宋体" w:hAnsi="宋体"/>
          <w:sz w:val="22"/>
          <w:szCs w:val="22"/>
        </w:rPr>
        <w:t>本协议自双方法定代表人（或授权代表）签字并加盖公章（或合同专用章）之日起生效。</w:t>
      </w:r>
    </w:p>
    <w:p>
      <w:pPr>
        <w:autoSpaceDN w:val="0"/>
        <w:adjustRightInd w:val="0"/>
        <w:snapToGrid w:val="0"/>
        <w:spacing w:line="360" w:lineRule="auto"/>
        <w:ind w:firstLine="433" w:firstLineChars="196"/>
        <w:rPr>
          <w:rFonts w:ascii="宋体" w:hAnsi="宋体"/>
          <w:b/>
          <w:sz w:val="22"/>
          <w:szCs w:val="22"/>
        </w:rPr>
      </w:pPr>
    </w:p>
    <w:p>
      <w:pPr>
        <w:autoSpaceDN w:val="0"/>
        <w:adjustRightInd w:val="0"/>
        <w:snapToGrid w:val="0"/>
        <w:spacing w:line="360" w:lineRule="auto"/>
        <w:ind w:firstLine="422" w:firstLineChars="192"/>
        <w:rPr>
          <w:rFonts w:ascii="宋体" w:hAnsi="宋体"/>
          <w:sz w:val="22"/>
          <w:szCs w:val="22"/>
        </w:rPr>
      </w:pPr>
      <w:r>
        <w:rPr>
          <w:rFonts w:hint="eastAsia" w:ascii="宋体" w:hAnsi="宋体"/>
          <w:sz w:val="22"/>
          <w:szCs w:val="22"/>
        </w:rPr>
        <w:t>附件</w:t>
      </w:r>
      <w:r>
        <w:rPr>
          <w:rFonts w:ascii="宋体" w:hAnsi="宋体"/>
          <w:sz w:val="22"/>
          <w:szCs w:val="22"/>
        </w:rPr>
        <w:t>1：应急信息报送要求</w:t>
      </w:r>
    </w:p>
    <w:p>
      <w:pPr>
        <w:autoSpaceDN w:val="0"/>
        <w:adjustRightInd w:val="0"/>
        <w:snapToGrid w:val="0"/>
        <w:spacing w:line="360" w:lineRule="auto"/>
        <w:ind w:firstLine="422" w:firstLineChars="192"/>
        <w:rPr>
          <w:rFonts w:ascii="宋体" w:hAnsi="宋体"/>
          <w:sz w:val="22"/>
          <w:szCs w:val="22"/>
        </w:rPr>
      </w:pPr>
      <w:r>
        <w:rPr>
          <w:rFonts w:hint="eastAsia" w:ascii="宋体" w:hAnsi="宋体"/>
          <w:sz w:val="22"/>
          <w:szCs w:val="22"/>
        </w:rPr>
        <w:t>附件</w:t>
      </w:r>
      <w:r>
        <w:rPr>
          <w:rFonts w:ascii="宋体" w:hAnsi="宋体"/>
          <w:sz w:val="22"/>
          <w:szCs w:val="22"/>
        </w:rPr>
        <w:t>2：《</w:t>
      </w:r>
      <w:r>
        <w:rPr>
          <w:rFonts w:hint="eastAsia" w:ascii="宋体" w:hAnsi="宋体"/>
          <w:sz w:val="22"/>
          <w:szCs w:val="22"/>
        </w:rPr>
        <w:t>施工单位安全检查标准》、《文明施工检查表》</w:t>
      </w:r>
    </w:p>
    <w:p>
      <w:pPr>
        <w:autoSpaceDN w:val="0"/>
        <w:adjustRightInd w:val="0"/>
        <w:snapToGrid w:val="0"/>
        <w:spacing w:line="360" w:lineRule="auto"/>
        <w:ind w:firstLine="440" w:firstLineChars="200"/>
        <w:rPr>
          <w:rFonts w:ascii="宋体" w:hAnsi="宋体"/>
          <w:sz w:val="22"/>
          <w:szCs w:val="22"/>
        </w:rPr>
      </w:pPr>
      <w:r>
        <w:rPr>
          <w:rFonts w:hint="eastAsia" w:ascii="宋体" w:hAnsi="宋体"/>
          <w:sz w:val="22"/>
          <w:szCs w:val="22"/>
        </w:rPr>
        <w:t>附件</w:t>
      </w:r>
      <w:r>
        <w:rPr>
          <w:rFonts w:ascii="宋体" w:hAnsi="宋体"/>
          <w:sz w:val="22"/>
          <w:szCs w:val="22"/>
        </w:rPr>
        <w:t>3：</w:t>
      </w:r>
      <w:r>
        <w:rPr>
          <w:rFonts w:hint="eastAsia" w:ascii="宋体" w:hAnsi="宋体"/>
          <w:sz w:val="22"/>
          <w:szCs w:val="22"/>
        </w:rPr>
        <w:t>《安全文明整改通知书》</w:t>
      </w:r>
    </w:p>
    <w:p>
      <w:pPr>
        <w:autoSpaceDN w:val="0"/>
        <w:adjustRightInd w:val="0"/>
        <w:snapToGrid w:val="0"/>
        <w:spacing w:line="360" w:lineRule="auto"/>
        <w:ind w:firstLine="440" w:firstLineChars="200"/>
        <w:rPr>
          <w:rFonts w:ascii="宋体" w:hAnsi="宋体"/>
          <w:sz w:val="22"/>
          <w:szCs w:val="22"/>
        </w:rPr>
      </w:pPr>
      <w:r>
        <w:rPr>
          <w:rFonts w:hint="eastAsia" w:ascii="宋体" w:hAnsi="宋体"/>
          <w:sz w:val="22"/>
          <w:szCs w:val="22"/>
        </w:rPr>
        <w:t>附件4：《安全停工（停业）指令》</w:t>
      </w:r>
    </w:p>
    <w:p>
      <w:pPr>
        <w:autoSpaceDN w:val="0"/>
        <w:adjustRightInd w:val="0"/>
        <w:snapToGrid w:val="0"/>
        <w:spacing w:line="360" w:lineRule="auto"/>
        <w:ind w:firstLine="422" w:firstLineChars="192"/>
        <w:rPr>
          <w:rFonts w:ascii="宋体" w:hAnsi="宋体"/>
          <w:sz w:val="22"/>
          <w:szCs w:val="22"/>
        </w:rPr>
      </w:pPr>
      <w:r>
        <w:rPr>
          <w:rFonts w:ascii="宋体" w:hAnsi="宋体"/>
          <w:sz w:val="22"/>
          <w:szCs w:val="22"/>
        </w:rPr>
        <w:br w:type="page"/>
      </w:r>
    </w:p>
    <w:tbl>
      <w:tblPr>
        <w:tblStyle w:val="5"/>
        <w:tblW w:w="0" w:type="auto"/>
        <w:tblInd w:w="0" w:type="dxa"/>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noWrap w:val="0"/>
            <w:vAlign w:val="top"/>
          </w:tcPr>
          <w:p>
            <w:pPr>
              <w:spacing w:line="360" w:lineRule="auto"/>
              <w:rPr>
                <w:rFonts w:ascii="宋体" w:hAnsi="宋体"/>
                <w:b/>
                <w:sz w:val="22"/>
                <w:szCs w:val="22"/>
              </w:rPr>
            </w:pPr>
            <w:r>
              <w:rPr>
                <w:rFonts w:hint="eastAsia" w:ascii="宋体" w:hAnsi="宋体"/>
                <w:sz w:val="22"/>
                <w:szCs w:val="22"/>
              </w:rPr>
              <w:t>甲方：</w:t>
            </w:r>
            <w:r>
              <w:rPr>
                <w:rFonts w:hint="eastAsia" w:ascii="宋体" w:hAnsi="宋体"/>
                <w:b/>
                <w:sz w:val="22"/>
                <w:szCs w:val="22"/>
              </w:rPr>
              <w:t xml:space="preserve">  </w:t>
            </w:r>
          </w:p>
          <w:p>
            <w:pPr>
              <w:spacing w:line="360" w:lineRule="auto"/>
              <w:rPr>
                <w:rFonts w:ascii="宋体" w:hAnsi="宋体"/>
                <w:sz w:val="22"/>
                <w:szCs w:val="22"/>
              </w:rPr>
            </w:pPr>
          </w:p>
          <w:p>
            <w:pPr>
              <w:autoSpaceDN w:val="0"/>
              <w:adjustRightInd w:val="0"/>
              <w:snapToGrid w:val="0"/>
              <w:spacing w:line="360" w:lineRule="auto"/>
              <w:rPr>
                <w:rFonts w:ascii="宋体" w:hAnsi="宋体"/>
                <w:sz w:val="22"/>
                <w:szCs w:val="22"/>
              </w:rPr>
            </w:pPr>
            <w:r>
              <w:rPr>
                <w:rFonts w:hint="eastAsia" w:ascii="宋体" w:hAnsi="宋体"/>
                <w:sz w:val="22"/>
                <w:szCs w:val="22"/>
              </w:rPr>
              <w:t>（盖章）</w:t>
            </w:r>
          </w:p>
          <w:p>
            <w:pPr>
              <w:autoSpaceDN w:val="0"/>
              <w:adjustRightInd w:val="0"/>
              <w:snapToGrid w:val="0"/>
              <w:spacing w:line="360" w:lineRule="auto"/>
              <w:ind w:firstLine="900"/>
              <w:rPr>
                <w:rFonts w:ascii="宋体" w:hAnsi="宋体"/>
                <w:sz w:val="22"/>
                <w:szCs w:val="22"/>
              </w:rPr>
            </w:pPr>
            <w:r>
              <w:rPr>
                <w:rFonts w:hint="eastAsia" w:ascii="宋体" w:hAnsi="宋体"/>
                <w:sz w:val="22"/>
                <w:szCs w:val="22"/>
              </w:rPr>
              <w:t>地址：</w:t>
            </w:r>
          </w:p>
        </w:tc>
        <w:tc>
          <w:tcPr>
            <w:tcW w:w="4261" w:type="dxa"/>
            <w:noWrap w:val="0"/>
            <w:vAlign w:val="top"/>
          </w:tcPr>
          <w:p>
            <w:pPr>
              <w:autoSpaceDN w:val="0"/>
              <w:adjustRightInd w:val="0"/>
              <w:snapToGrid w:val="0"/>
              <w:spacing w:line="360" w:lineRule="auto"/>
              <w:rPr>
                <w:rFonts w:ascii="宋体" w:hAnsi="宋体"/>
                <w:b/>
                <w:sz w:val="22"/>
                <w:szCs w:val="22"/>
                <w:u w:val="single"/>
              </w:rPr>
            </w:pPr>
            <w:r>
              <w:rPr>
                <w:rFonts w:hint="eastAsia" w:ascii="宋体" w:hAnsi="宋体"/>
                <w:b/>
                <w:sz w:val="22"/>
                <w:szCs w:val="22"/>
              </w:rPr>
              <w:t>乙方：</w:t>
            </w:r>
          </w:p>
          <w:p>
            <w:pPr>
              <w:autoSpaceDN w:val="0"/>
              <w:adjustRightInd w:val="0"/>
              <w:snapToGrid w:val="0"/>
              <w:spacing w:line="360" w:lineRule="auto"/>
              <w:rPr>
                <w:rFonts w:ascii="宋体" w:hAnsi="宋体"/>
                <w:sz w:val="22"/>
                <w:szCs w:val="22"/>
              </w:rPr>
            </w:pPr>
          </w:p>
          <w:p>
            <w:pPr>
              <w:autoSpaceDN w:val="0"/>
              <w:adjustRightInd w:val="0"/>
              <w:snapToGrid w:val="0"/>
              <w:spacing w:line="360" w:lineRule="auto"/>
              <w:rPr>
                <w:rFonts w:ascii="宋体" w:hAnsi="宋体"/>
                <w:sz w:val="22"/>
                <w:szCs w:val="22"/>
              </w:rPr>
            </w:pPr>
            <w:r>
              <w:rPr>
                <w:rFonts w:hint="eastAsia" w:ascii="宋体" w:hAnsi="宋体"/>
                <w:sz w:val="22"/>
                <w:szCs w:val="22"/>
              </w:rPr>
              <w:t>（盖章）</w:t>
            </w:r>
          </w:p>
          <w:p>
            <w:pPr>
              <w:autoSpaceDN w:val="0"/>
              <w:adjustRightInd w:val="0"/>
              <w:snapToGrid w:val="0"/>
              <w:spacing w:line="360" w:lineRule="auto"/>
              <w:rPr>
                <w:rFonts w:ascii="宋体" w:hAnsi="宋体"/>
                <w:b/>
                <w:sz w:val="22"/>
                <w:szCs w:val="22"/>
                <w:u w:val="single"/>
              </w:rPr>
            </w:pPr>
          </w:p>
          <w:p>
            <w:pPr>
              <w:autoSpaceDN w:val="0"/>
              <w:adjustRightInd w:val="0"/>
              <w:snapToGrid w:val="0"/>
              <w:spacing w:line="360" w:lineRule="auto"/>
              <w:rPr>
                <w:rFonts w:ascii="宋体" w:hAnsi="宋体"/>
                <w:sz w:val="22"/>
                <w:szCs w:val="22"/>
              </w:rPr>
            </w:pPr>
            <w:r>
              <w:rPr>
                <w:rFonts w:hint="eastAsia" w:ascii="宋体" w:hAnsi="宋体"/>
                <w:sz w:val="22"/>
                <w:szCs w:val="22"/>
              </w:rPr>
              <w:t>地址：</w:t>
            </w:r>
          </w:p>
          <w:p>
            <w:pPr>
              <w:autoSpaceDN w:val="0"/>
              <w:adjustRightInd w:val="0"/>
              <w:snapToGrid w:val="0"/>
              <w:spacing w:line="360" w:lineRule="auto"/>
              <w:rPr>
                <w:rFonts w:ascii="宋体" w:hAnsi="宋体"/>
                <w:b/>
                <w:sz w:val="22"/>
                <w:szCs w:val="22"/>
                <w:u w:val="single"/>
              </w:rPr>
            </w:pPr>
          </w:p>
        </w:tc>
      </w:tr>
      <w:tr>
        <w:tblPrEx>
          <w:tblCellMar>
            <w:top w:w="0" w:type="dxa"/>
            <w:left w:w="108" w:type="dxa"/>
            <w:bottom w:w="0" w:type="dxa"/>
            <w:right w:w="108" w:type="dxa"/>
          </w:tblCellMar>
        </w:tblPrEx>
        <w:trPr>
          <w:trHeight w:val="1733" w:hRule="atLeast"/>
        </w:trPr>
        <w:tc>
          <w:tcPr>
            <w:tcW w:w="4261" w:type="dxa"/>
            <w:noWrap w:val="0"/>
            <w:vAlign w:val="top"/>
          </w:tcPr>
          <w:p>
            <w:pPr>
              <w:autoSpaceDN w:val="0"/>
              <w:adjustRightInd w:val="0"/>
              <w:snapToGrid w:val="0"/>
              <w:spacing w:line="360" w:lineRule="auto"/>
              <w:rPr>
                <w:rFonts w:ascii="宋体" w:hAnsi="宋体"/>
                <w:sz w:val="22"/>
                <w:szCs w:val="22"/>
              </w:rPr>
            </w:pPr>
            <w:r>
              <w:rPr>
                <w:rFonts w:hint="eastAsia" w:ascii="宋体" w:hAnsi="宋体"/>
                <w:sz w:val="22"/>
                <w:szCs w:val="22"/>
              </w:rPr>
              <w:t>法定代表人</w:t>
            </w:r>
          </w:p>
          <w:p>
            <w:pPr>
              <w:autoSpaceDN w:val="0"/>
              <w:adjustRightInd w:val="0"/>
              <w:snapToGrid w:val="0"/>
              <w:spacing w:line="360" w:lineRule="auto"/>
              <w:rPr>
                <w:rFonts w:ascii="宋体" w:hAnsi="宋体"/>
                <w:sz w:val="22"/>
                <w:szCs w:val="22"/>
              </w:rPr>
            </w:pPr>
            <w:r>
              <w:rPr>
                <w:rFonts w:hint="eastAsia" w:ascii="宋体" w:hAnsi="宋体"/>
                <w:sz w:val="22"/>
                <w:szCs w:val="22"/>
              </w:rPr>
              <w:t>或授权代表签字：</w:t>
            </w:r>
          </w:p>
          <w:p>
            <w:pPr>
              <w:autoSpaceDN w:val="0"/>
              <w:adjustRightInd w:val="0"/>
              <w:snapToGrid w:val="0"/>
              <w:spacing w:line="360" w:lineRule="auto"/>
              <w:rPr>
                <w:rFonts w:ascii="宋体" w:hAnsi="宋体"/>
                <w:sz w:val="22"/>
                <w:szCs w:val="22"/>
              </w:rPr>
            </w:pPr>
            <w:r>
              <w:rPr>
                <w:rFonts w:hint="eastAsia" w:ascii="宋体" w:hAnsi="宋体"/>
                <w:sz w:val="22"/>
                <w:szCs w:val="22"/>
              </w:rPr>
              <w:t>签署日期：</w:t>
            </w:r>
          </w:p>
        </w:tc>
        <w:tc>
          <w:tcPr>
            <w:tcW w:w="4261" w:type="dxa"/>
            <w:noWrap w:val="0"/>
            <w:vAlign w:val="top"/>
          </w:tcPr>
          <w:p>
            <w:pPr>
              <w:autoSpaceDN w:val="0"/>
              <w:adjustRightInd w:val="0"/>
              <w:snapToGrid w:val="0"/>
              <w:spacing w:line="360" w:lineRule="auto"/>
              <w:rPr>
                <w:rFonts w:ascii="宋体" w:hAnsi="宋体"/>
                <w:sz w:val="22"/>
                <w:szCs w:val="22"/>
              </w:rPr>
            </w:pPr>
            <w:r>
              <w:rPr>
                <w:rFonts w:hint="eastAsia" w:ascii="宋体" w:hAnsi="宋体"/>
                <w:sz w:val="22"/>
                <w:szCs w:val="22"/>
              </w:rPr>
              <w:t>法定代表人</w:t>
            </w:r>
          </w:p>
          <w:p>
            <w:pPr>
              <w:autoSpaceDN w:val="0"/>
              <w:adjustRightInd w:val="0"/>
              <w:snapToGrid w:val="0"/>
              <w:spacing w:line="360" w:lineRule="auto"/>
              <w:rPr>
                <w:rFonts w:ascii="宋体" w:hAnsi="宋体"/>
                <w:sz w:val="22"/>
                <w:szCs w:val="22"/>
              </w:rPr>
            </w:pPr>
            <w:r>
              <w:rPr>
                <w:rFonts w:hint="eastAsia" w:ascii="宋体" w:hAnsi="宋体"/>
                <w:sz w:val="22"/>
                <w:szCs w:val="22"/>
              </w:rPr>
              <w:t>或授权代表签字：</w:t>
            </w:r>
          </w:p>
          <w:p>
            <w:pPr>
              <w:autoSpaceDN w:val="0"/>
              <w:adjustRightInd w:val="0"/>
              <w:snapToGrid w:val="0"/>
              <w:spacing w:line="360" w:lineRule="auto"/>
              <w:rPr>
                <w:rFonts w:ascii="宋体" w:hAnsi="宋体"/>
                <w:sz w:val="22"/>
                <w:szCs w:val="22"/>
                <w:u w:val="single"/>
              </w:rPr>
            </w:pPr>
          </w:p>
        </w:tc>
      </w:tr>
    </w:tbl>
    <w:p>
      <w:pPr>
        <w:spacing w:line="360" w:lineRule="auto"/>
        <w:rPr>
          <w:rFonts w:hint="eastAsia" w:ascii="宋体" w:hAnsi="宋体"/>
          <w:b/>
          <w:sz w:val="22"/>
          <w:szCs w:val="22"/>
        </w:rPr>
      </w:pPr>
    </w:p>
    <w:p>
      <w:pPr>
        <w:spacing w:line="360" w:lineRule="auto"/>
        <w:rPr>
          <w:rFonts w:hint="eastAsia" w:ascii="宋体" w:hAnsi="宋体"/>
          <w:b/>
          <w:sz w:val="22"/>
          <w:szCs w:val="22"/>
        </w:rPr>
      </w:pPr>
    </w:p>
    <w:p>
      <w:pPr>
        <w:spacing w:line="360" w:lineRule="auto"/>
        <w:rPr>
          <w:rFonts w:hint="eastAsia" w:ascii="宋体" w:hAnsi="宋体"/>
          <w:b/>
          <w:sz w:val="22"/>
          <w:szCs w:val="22"/>
        </w:rPr>
      </w:pPr>
    </w:p>
    <w:p>
      <w:pPr>
        <w:spacing w:line="360" w:lineRule="auto"/>
        <w:rPr>
          <w:rFonts w:ascii="宋体" w:hAnsi="宋体"/>
          <w:b/>
          <w:sz w:val="22"/>
          <w:szCs w:val="22"/>
        </w:rPr>
      </w:pPr>
    </w:p>
    <w:p>
      <w:pPr>
        <w:spacing w:line="360" w:lineRule="auto"/>
        <w:rPr>
          <w:rFonts w:ascii="宋体" w:hAnsi="宋体"/>
          <w:b/>
          <w:sz w:val="22"/>
          <w:szCs w:val="22"/>
        </w:rPr>
      </w:pPr>
      <w:r>
        <w:rPr>
          <w:rFonts w:ascii="宋体" w:hAnsi="宋体"/>
          <w:b/>
          <w:sz w:val="22"/>
          <w:szCs w:val="22"/>
        </w:rPr>
        <w:br w:type="page"/>
      </w:r>
      <w:r>
        <w:rPr>
          <w:rFonts w:hint="eastAsia" w:ascii="宋体" w:hAnsi="宋体"/>
          <w:b/>
          <w:sz w:val="22"/>
          <w:szCs w:val="22"/>
        </w:rPr>
        <w:t>附件</w:t>
      </w:r>
      <w:r>
        <w:rPr>
          <w:rFonts w:ascii="宋体" w:hAnsi="宋体"/>
          <w:b/>
          <w:sz w:val="22"/>
          <w:szCs w:val="22"/>
        </w:rPr>
        <w:t>1：应急信息报送要求</w:t>
      </w:r>
    </w:p>
    <w:p>
      <w:pPr>
        <w:spacing w:before="156" w:beforeLines="50" w:after="156" w:afterLines="50" w:line="360" w:lineRule="auto"/>
        <w:ind w:firstLine="420"/>
        <w:rPr>
          <w:rFonts w:ascii="宋体" w:hAnsi="宋体"/>
          <w:b/>
          <w:sz w:val="22"/>
          <w:szCs w:val="22"/>
        </w:rPr>
      </w:pPr>
      <w:r>
        <w:rPr>
          <w:rFonts w:ascii="宋体" w:hAnsi="宋体"/>
          <w:b/>
          <w:sz w:val="22"/>
          <w:szCs w:val="22"/>
        </w:rPr>
        <w:t>1、时间要求：</w:t>
      </w:r>
    </w:p>
    <w:p>
      <w:pPr>
        <w:spacing w:line="360" w:lineRule="auto"/>
        <w:ind w:firstLine="420"/>
        <w:rPr>
          <w:rFonts w:ascii="宋体" w:hAnsi="宋体"/>
          <w:b/>
          <w:sz w:val="22"/>
          <w:szCs w:val="22"/>
        </w:rPr>
      </w:pPr>
      <w:r>
        <w:rPr>
          <w:rFonts w:hint="eastAsia" w:ascii="宋体" w:hAnsi="宋体"/>
          <w:b/>
          <w:sz w:val="22"/>
          <w:szCs w:val="22"/>
        </w:rPr>
        <w:t>第一次报送必须在</w:t>
      </w:r>
      <w:r>
        <w:rPr>
          <w:rFonts w:ascii="宋体" w:hAnsi="宋体"/>
          <w:b/>
          <w:sz w:val="22"/>
          <w:szCs w:val="22"/>
        </w:rPr>
        <w:t>5分钟内以电话形式或当面报送，10分钟内以邮件方式报送，随后以纸质方式正式上报。</w:t>
      </w:r>
    </w:p>
    <w:p>
      <w:pPr>
        <w:spacing w:before="156" w:beforeLines="50" w:after="156" w:afterLines="50" w:line="360" w:lineRule="auto"/>
        <w:ind w:firstLine="420"/>
        <w:rPr>
          <w:rFonts w:ascii="宋体" w:hAnsi="宋体"/>
          <w:b/>
          <w:sz w:val="22"/>
          <w:szCs w:val="22"/>
        </w:rPr>
      </w:pPr>
      <w:r>
        <w:rPr>
          <w:rFonts w:ascii="宋体" w:hAnsi="宋体"/>
          <w:b/>
          <w:sz w:val="22"/>
          <w:szCs w:val="22"/>
        </w:rPr>
        <w:t>2、报送对象：</w:t>
      </w:r>
    </w:p>
    <w:p>
      <w:pPr>
        <w:spacing w:line="360" w:lineRule="auto"/>
        <w:ind w:firstLine="420"/>
        <w:rPr>
          <w:rFonts w:ascii="宋体" w:hAnsi="宋体"/>
          <w:sz w:val="22"/>
          <w:szCs w:val="22"/>
        </w:rPr>
      </w:pPr>
      <w:r>
        <w:rPr>
          <w:rFonts w:hint="eastAsia" w:ascii="宋体" w:hAnsi="宋体"/>
          <w:b/>
          <w:sz w:val="22"/>
          <w:szCs w:val="22"/>
        </w:rPr>
        <w:t>项目经理报送给甲方质量安全经理和工程经理，</w:t>
      </w:r>
      <w:r>
        <w:rPr>
          <w:rFonts w:hint="eastAsia" w:ascii="宋体" w:hAnsi="宋体"/>
          <w:sz w:val="22"/>
          <w:szCs w:val="22"/>
        </w:rPr>
        <w:t>如遇归口管理部门经理电话不通情况下，应报送给甲方上级管理单位房产总部总值班室，如果两电话均确实不通（无信号），立即编制信息发送（其他的报送形式无效），并须越级向甲方房产总部安全管理部上报。</w:t>
      </w:r>
    </w:p>
    <w:p>
      <w:pPr>
        <w:spacing w:line="360" w:lineRule="auto"/>
        <w:ind w:firstLine="420"/>
        <w:rPr>
          <w:rFonts w:ascii="宋体" w:hAnsi="宋体"/>
          <w:sz w:val="22"/>
          <w:szCs w:val="22"/>
        </w:rPr>
      </w:pPr>
      <w:r>
        <w:rPr>
          <w:rFonts w:hint="eastAsia" w:ascii="宋体" w:hAnsi="宋体"/>
          <w:sz w:val="22"/>
          <w:szCs w:val="22"/>
        </w:rPr>
        <w:t>如乙方项目经理不在场（休假），应事先进行授权，由被授权人上报。</w:t>
      </w:r>
    </w:p>
    <w:p>
      <w:pPr>
        <w:spacing w:before="156" w:beforeLines="50" w:after="156" w:afterLines="50" w:line="360" w:lineRule="auto"/>
        <w:ind w:firstLine="420"/>
        <w:rPr>
          <w:rFonts w:ascii="宋体" w:hAnsi="宋体"/>
          <w:b/>
          <w:sz w:val="22"/>
          <w:szCs w:val="22"/>
        </w:rPr>
      </w:pPr>
      <w:r>
        <w:rPr>
          <w:rFonts w:ascii="宋体" w:hAnsi="宋体"/>
          <w:b/>
          <w:sz w:val="22"/>
          <w:szCs w:val="22"/>
        </w:rPr>
        <w:t>3、报送范围：</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1）根据合同要求明确的安全管理责任范围内发生的责任应急事件；</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2）甲方规定的报送范围</w:t>
      </w:r>
    </w:p>
    <w:p>
      <w:pPr>
        <w:spacing w:before="156" w:beforeLines="50" w:after="156" w:afterLines="50" w:line="360" w:lineRule="auto"/>
        <w:ind w:firstLine="420"/>
        <w:rPr>
          <w:rFonts w:ascii="宋体" w:hAnsi="宋体"/>
          <w:b/>
          <w:sz w:val="22"/>
          <w:szCs w:val="22"/>
        </w:rPr>
      </w:pPr>
      <w:r>
        <w:rPr>
          <w:rFonts w:ascii="宋体" w:hAnsi="宋体"/>
          <w:b/>
          <w:sz w:val="22"/>
          <w:szCs w:val="22"/>
        </w:rPr>
        <w:t>4、报送格式要求</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1）第一次电话报送不需要十分详细，格式：“某某地点几时几分发生什么事件，具体情况和原因正在调查中”即可。在了解清楚情况后在详细上报。</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2）书面速报格式见《事件（故）速报表》。</w:t>
      </w:r>
    </w:p>
    <w:p>
      <w:pPr>
        <w:spacing w:before="156" w:beforeLines="50" w:after="156" w:afterLines="50" w:line="360" w:lineRule="auto"/>
        <w:ind w:firstLine="420"/>
        <w:rPr>
          <w:rFonts w:ascii="宋体" w:hAnsi="宋体"/>
          <w:b/>
          <w:sz w:val="22"/>
          <w:szCs w:val="22"/>
        </w:rPr>
      </w:pPr>
      <w:r>
        <w:rPr>
          <w:rFonts w:ascii="宋体" w:hAnsi="宋体"/>
          <w:b/>
          <w:sz w:val="22"/>
          <w:szCs w:val="22"/>
        </w:rPr>
        <w:t>5、其他要求</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1）对于责任范围内的突发事件，有事即报，不需任何人授权。</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2）有信息报送责任的人员需保持通信工具畅通，不得关机。</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3）各环节责任人需记录信息报送时间信息，作为调查时的依据。乙方相关涉及人员，不得拒接甲方房产总部安全管理部负责人电话，因未接电话，导致信息报送延时的，追究其责任。</w:t>
      </w:r>
    </w:p>
    <w:p>
      <w:pPr>
        <w:spacing w:line="360" w:lineRule="auto"/>
        <w:ind w:firstLine="420"/>
        <w:rPr>
          <w:rFonts w:ascii="宋体" w:hAnsi="宋体"/>
          <w:sz w:val="22"/>
          <w:szCs w:val="22"/>
        </w:rPr>
      </w:pPr>
      <w:r>
        <w:rPr>
          <w:rFonts w:hint="eastAsia" w:ascii="宋体" w:hAnsi="宋体"/>
          <w:sz w:val="22"/>
          <w:szCs w:val="22"/>
        </w:rPr>
        <w:t>（</w:t>
      </w:r>
      <w:r>
        <w:rPr>
          <w:rFonts w:ascii="宋体" w:hAnsi="宋体"/>
          <w:sz w:val="22"/>
          <w:szCs w:val="22"/>
        </w:rPr>
        <w:t>4）乙方必须在5分钟之内电话报甲方，根据报送流程优化并制定内部信息报送流程和处理流程，对相关报送要求进行培训，以确保报送信息畅通、及时。</w:t>
      </w:r>
    </w:p>
    <w:p>
      <w:pPr>
        <w:spacing w:line="360" w:lineRule="auto"/>
        <w:ind w:firstLine="420"/>
        <w:rPr>
          <w:rFonts w:ascii="仿宋_GB2312" w:hAnsi="宋体" w:eastAsia="仿宋_GB2312"/>
          <w:sz w:val="22"/>
          <w:szCs w:val="22"/>
        </w:rPr>
      </w:pPr>
    </w:p>
    <w:p>
      <w:pPr>
        <w:spacing w:line="360" w:lineRule="auto"/>
        <w:jc w:val="center"/>
        <w:rPr>
          <w:rFonts w:ascii="仿宋_GB2312" w:hAnsi="宋体" w:eastAsia="仿宋_GB2312"/>
          <w:b/>
          <w:sz w:val="22"/>
          <w:szCs w:val="22"/>
        </w:rPr>
      </w:pPr>
      <w:r>
        <w:rPr>
          <w:rFonts w:ascii="仿宋_GB2312" w:hAnsi="宋体" w:eastAsia="仿宋_GB2312"/>
          <w:b/>
          <w:sz w:val="22"/>
          <w:szCs w:val="22"/>
        </w:rPr>
        <w:br w:type="page"/>
      </w:r>
      <w:r>
        <w:rPr>
          <w:rFonts w:hint="eastAsia" w:ascii="仿宋_GB2312" w:hAnsi="宋体" w:eastAsia="仿宋_GB2312"/>
          <w:b/>
          <w:sz w:val="22"/>
          <w:szCs w:val="22"/>
        </w:rPr>
        <w:t>事件（故）速报表</w:t>
      </w:r>
    </w:p>
    <w:p>
      <w:pPr>
        <w:spacing w:line="360" w:lineRule="auto"/>
        <w:ind w:firstLine="110" w:firstLineChars="50"/>
        <w:rPr>
          <w:rFonts w:ascii="仿宋_GB2312" w:hAnsi="宋体" w:eastAsia="仿宋_GB2312"/>
          <w:sz w:val="22"/>
          <w:szCs w:val="22"/>
        </w:rPr>
      </w:pPr>
    </w:p>
    <w:p>
      <w:pPr>
        <w:spacing w:line="360" w:lineRule="auto"/>
        <w:ind w:firstLine="110" w:firstLineChars="50"/>
        <w:rPr>
          <w:rFonts w:ascii="宋体" w:hAnsi="宋体"/>
          <w:sz w:val="22"/>
          <w:szCs w:val="22"/>
        </w:rPr>
      </w:pPr>
      <w:r>
        <w:rPr>
          <w:rFonts w:hint="eastAsia" w:ascii="宋体" w:hAnsi="宋体"/>
          <w:sz w:val="22"/>
          <w:szCs w:val="22"/>
        </w:rPr>
        <w:t>填报单位（公章）：</w:t>
      </w:r>
    </w:p>
    <w:p>
      <w:pPr>
        <w:spacing w:line="360" w:lineRule="auto"/>
        <w:rPr>
          <w:rFonts w:ascii="宋体" w:hAnsi="宋体"/>
          <w:b/>
          <w:sz w:val="22"/>
          <w:szCs w:val="22"/>
        </w:rPr>
      </w:pPr>
    </w:p>
    <w:tbl>
      <w:tblPr>
        <w:tblStyle w:val="5"/>
        <w:tblW w:w="0" w:type="auto"/>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1417"/>
        <w:gridCol w:w="83"/>
        <w:gridCol w:w="1618"/>
        <w:gridCol w:w="902"/>
        <w:gridCol w:w="1224"/>
        <w:gridCol w:w="269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529" w:hRule="atLeast"/>
        </w:trPr>
        <w:tc>
          <w:tcPr>
            <w:tcW w:w="1844" w:type="dxa"/>
            <w:noWrap w:val="0"/>
            <w:vAlign w:val="center"/>
          </w:tcPr>
          <w:p>
            <w:pPr>
              <w:spacing w:before="120" w:line="360" w:lineRule="auto"/>
              <w:jc w:val="center"/>
              <w:rPr>
                <w:rFonts w:ascii="宋体" w:hAnsi="宋体"/>
                <w:sz w:val="22"/>
                <w:szCs w:val="22"/>
              </w:rPr>
            </w:pPr>
            <w:r>
              <w:rPr>
                <w:rFonts w:hint="eastAsia" w:ascii="宋体" w:hAnsi="宋体"/>
                <w:sz w:val="22"/>
                <w:szCs w:val="22"/>
              </w:rPr>
              <w:t>基本信息</w:t>
            </w:r>
          </w:p>
        </w:tc>
        <w:tc>
          <w:tcPr>
            <w:tcW w:w="1417" w:type="dxa"/>
            <w:noWrap w:val="0"/>
            <w:vAlign w:val="center"/>
          </w:tcPr>
          <w:p>
            <w:pPr>
              <w:spacing w:line="360" w:lineRule="auto"/>
              <w:jc w:val="center"/>
              <w:rPr>
                <w:rFonts w:ascii="宋体" w:hAnsi="宋体"/>
                <w:sz w:val="22"/>
                <w:szCs w:val="22"/>
              </w:rPr>
            </w:pPr>
            <w:r>
              <w:rPr>
                <w:rFonts w:hint="eastAsia" w:ascii="宋体" w:hAnsi="宋体"/>
                <w:sz w:val="22"/>
                <w:szCs w:val="22"/>
              </w:rPr>
              <w:t>事件（故）单位</w:t>
            </w:r>
          </w:p>
        </w:tc>
        <w:tc>
          <w:tcPr>
            <w:tcW w:w="6521" w:type="dxa"/>
            <w:gridSpan w:val="5"/>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1844" w:type="dxa"/>
            <w:noWrap w:val="0"/>
            <w:vAlign w:val="center"/>
          </w:tcPr>
          <w:p>
            <w:pPr>
              <w:spacing w:before="120" w:line="360" w:lineRule="auto"/>
              <w:jc w:val="center"/>
              <w:rPr>
                <w:rFonts w:ascii="宋体" w:hAnsi="宋体"/>
                <w:sz w:val="22"/>
                <w:szCs w:val="22"/>
              </w:rPr>
            </w:pPr>
          </w:p>
        </w:tc>
        <w:tc>
          <w:tcPr>
            <w:tcW w:w="1417" w:type="dxa"/>
            <w:noWrap w:val="0"/>
            <w:vAlign w:val="center"/>
          </w:tcPr>
          <w:p>
            <w:pPr>
              <w:adjustRightInd w:val="0"/>
              <w:spacing w:line="360" w:lineRule="auto"/>
              <w:ind w:right="-108"/>
              <w:jc w:val="center"/>
              <w:rPr>
                <w:rFonts w:ascii="宋体" w:hAnsi="宋体"/>
                <w:sz w:val="22"/>
                <w:szCs w:val="22"/>
              </w:rPr>
            </w:pPr>
            <w:r>
              <w:rPr>
                <w:rFonts w:hint="eastAsia" w:ascii="宋体" w:hAnsi="宋体"/>
                <w:sz w:val="22"/>
                <w:szCs w:val="22"/>
              </w:rPr>
              <w:t>发生时间</w:t>
            </w:r>
          </w:p>
        </w:tc>
        <w:tc>
          <w:tcPr>
            <w:tcW w:w="1701" w:type="dxa"/>
            <w:gridSpan w:val="2"/>
            <w:noWrap w:val="0"/>
            <w:vAlign w:val="center"/>
          </w:tcPr>
          <w:p>
            <w:pPr>
              <w:adjustRightInd w:val="0"/>
              <w:spacing w:line="360" w:lineRule="auto"/>
              <w:ind w:right="210"/>
              <w:jc w:val="right"/>
              <w:rPr>
                <w:rFonts w:ascii="宋体" w:hAnsi="宋体"/>
                <w:sz w:val="22"/>
                <w:szCs w:val="22"/>
              </w:rPr>
            </w:pPr>
            <w:r>
              <w:rPr>
                <w:rFonts w:hint="eastAsia" w:ascii="宋体" w:hAnsi="宋体"/>
                <w:sz w:val="22"/>
                <w:szCs w:val="22"/>
              </w:rPr>
              <w:t>月日时分</w:t>
            </w:r>
          </w:p>
        </w:tc>
        <w:tc>
          <w:tcPr>
            <w:tcW w:w="2126" w:type="dxa"/>
            <w:gridSpan w:val="2"/>
            <w:noWrap w:val="0"/>
            <w:vAlign w:val="center"/>
          </w:tcPr>
          <w:p>
            <w:pPr>
              <w:adjustRightInd w:val="0"/>
              <w:spacing w:line="360" w:lineRule="auto"/>
              <w:jc w:val="center"/>
              <w:rPr>
                <w:rFonts w:ascii="宋体" w:hAnsi="宋体"/>
                <w:sz w:val="22"/>
                <w:szCs w:val="22"/>
              </w:rPr>
            </w:pPr>
            <w:r>
              <w:rPr>
                <w:rFonts w:hint="eastAsia" w:ascii="宋体" w:hAnsi="宋体"/>
                <w:sz w:val="22"/>
                <w:szCs w:val="22"/>
              </w:rPr>
              <w:t>（预计）处理结束时间</w:t>
            </w:r>
          </w:p>
        </w:tc>
        <w:tc>
          <w:tcPr>
            <w:tcW w:w="2694" w:type="dxa"/>
            <w:noWrap w:val="0"/>
            <w:vAlign w:val="center"/>
          </w:tcPr>
          <w:p>
            <w:pPr>
              <w:spacing w:line="360" w:lineRule="auto"/>
              <w:ind w:right="71" w:rightChars="34"/>
              <w:jc w:val="right"/>
              <w:rPr>
                <w:rFonts w:ascii="宋体" w:hAnsi="宋体"/>
                <w:sz w:val="22"/>
                <w:szCs w:val="22"/>
              </w:rPr>
            </w:pPr>
            <w:r>
              <w:rPr>
                <w:rFonts w:ascii="宋体" w:hAnsi="宋体"/>
                <w:sz w:val="22"/>
                <w:szCs w:val="22"/>
              </w:rPr>
              <w:t xml:space="preserve">  月  日  时</w:t>
            </w:r>
            <w:r>
              <w:rPr>
                <w:rFonts w:hint="eastAsia" w:ascii="宋体" w:hAnsi="宋体"/>
                <w:sz w:val="22"/>
                <w:szCs w:val="22"/>
              </w:rPr>
              <w:t xml:space="preserve"> </w:t>
            </w:r>
            <w:r>
              <w:rPr>
                <w:rFonts w:ascii="宋体" w:hAnsi="宋体"/>
                <w:sz w:val="22"/>
                <w:szCs w:val="22"/>
              </w:rPr>
              <w:t xml:space="preserve"> 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844" w:type="dxa"/>
            <w:noWrap w:val="0"/>
            <w:vAlign w:val="center"/>
          </w:tcPr>
          <w:p>
            <w:pPr>
              <w:spacing w:before="120" w:line="360" w:lineRule="auto"/>
              <w:jc w:val="center"/>
              <w:rPr>
                <w:rFonts w:ascii="宋体" w:hAnsi="宋体"/>
                <w:sz w:val="22"/>
                <w:szCs w:val="22"/>
              </w:rPr>
            </w:pPr>
          </w:p>
        </w:tc>
        <w:tc>
          <w:tcPr>
            <w:tcW w:w="1417" w:type="dxa"/>
            <w:noWrap w:val="0"/>
            <w:vAlign w:val="center"/>
          </w:tcPr>
          <w:p>
            <w:pPr>
              <w:adjustRightInd w:val="0"/>
              <w:spacing w:line="360" w:lineRule="auto"/>
              <w:ind w:right="-107" w:rightChars="-51"/>
              <w:jc w:val="center"/>
              <w:rPr>
                <w:rFonts w:ascii="宋体" w:hAnsi="宋体"/>
                <w:sz w:val="22"/>
                <w:szCs w:val="22"/>
              </w:rPr>
            </w:pPr>
            <w:r>
              <w:rPr>
                <w:rFonts w:hint="eastAsia" w:ascii="宋体" w:hAnsi="宋体"/>
                <w:sz w:val="22"/>
                <w:szCs w:val="22"/>
              </w:rPr>
              <w:t>地点</w:t>
            </w:r>
          </w:p>
        </w:tc>
        <w:tc>
          <w:tcPr>
            <w:tcW w:w="6521" w:type="dxa"/>
            <w:gridSpan w:val="5"/>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1844" w:type="dxa"/>
            <w:noWrap w:val="0"/>
            <w:vAlign w:val="center"/>
          </w:tcPr>
          <w:p>
            <w:pPr>
              <w:adjustRightInd w:val="0"/>
              <w:spacing w:before="120" w:line="360" w:lineRule="auto"/>
              <w:jc w:val="center"/>
              <w:rPr>
                <w:rFonts w:ascii="宋体" w:hAnsi="宋体"/>
                <w:sz w:val="22"/>
                <w:szCs w:val="22"/>
              </w:rPr>
            </w:pPr>
            <w:r>
              <w:rPr>
                <w:rFonts w:hint="eastAsia" w:ascii="宋体" w:hAnsi="宋体"/>
                <w:sz w:val="22"/>
                <w:szCs w:val="22"/>
              </w:rPr>
              <w:t>事故（件）概况</w:t>
            </w:r>
          </w:p>
        </w:tc>
        <w:tc>
          <w:tcPr>
            <w:tcW w:w="7938" w:type="dxa"/>
            <w:gridSpan w:val="6"/>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1844" w:type="dxa"/>
            <w:noWrap w:val="0"/>
            <w:vAlign w:val="center"/>
          </w:tcPr>
          <w:p>
            <w:pPr>
              <w:adjustRightInd w:val="0"/>
              <w:spacing w:line="360" w:lineRule="auto"/>
              <w:ind w:left="113" w:right="113"/>
              <w:jc w:val="center"/>
              <w:rPr>
                <w:rFonts w:ascii="宋体" w:hAnsi="宋体"/>
                <w:sz w:val="22"/>
                <w:szCs w:val="22"/>
              </w:rPr>
            </w:pPr>
            <w:r>
              <w:rPr>
                <w:rFonts w:hint="eastAsia" w:ascii="宋体" w:hAnsi="宋体"/>
                <w:sz w:val="22"/>
                <w:szCs w:val="22"/>
              </w:rPr>
              <w:t>事件(故)损失</w:t>
            </w:r>
          </w:p>
        </w:tc>
        <w:tc>
          <w:tcPr>
            <w:tcW w:w="7938" w:type="dxa"/>
            <w:gridSpan w:val="6"/>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97" w:hRule="atLeast"/>
        </w:trPr>
        <w:tc>
          <w:tcPr>
            <w:tcW w:w="1844" w:type="dxa"/>
            <w:noWrap w:val="0"/>
            <w:vAlign w:val="center"/>
          </w:tcPr>
          <w:p>
            <w:pPr>
              <w:adjustRightInd w:val="0"/>
              <w:spacing w:line="360" w:lineRule="auto"/>
              <w:ind w:left="113" w:right="113"/>
              <w:jc w:val="center"/>
              <w:rPr>
                <w:rFonts w:ascii="宋体" w:hAnsi="宋体"/>
                <w:sz w:val="22"/>
                <w:szCs w:val="22"/>
              </w:rPr>
            </w:pPr>
            <w:r>
              <w:rPr>
                <w:rFonts w:hint="eastAsia" w:ascii="宋体" w:hAnsi="宋体"/>
                <w:sz w:val="22"/>
                <w:szCs w:val="22"/>
              </w:rPr>
              <w:t>初步原因分析</w:t>
            </w:r>
          </w:p>
        </w:tc>
        <w:tc>
          <w:tcPr>
            <w:tcW w:w="7938" w:type="dxa"/>
            <w:gridSpan w:val="6"/>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81" w:hRule="atLeast"/>
        </w:trPr>
        <w:tc>
          <w:tcPr>
            <w:tcW w:w="1844" w:type="dxa"/>
            <w:noWrap w:val="0"/>
            <w:vAlign w:val="center"/>
          </w:tcPr>
          <w:p>
            <w:pPr>
              <w:adjustRightInd w:val="0"/>
              <w:spacing w:line="360" w:lineRule="auto"/>
              <w:jc w:val="center"/>
              <w:rPr>
                <w:rFonts w:ascii="宋体" w:hAnsi="宋体"/>
                <w:sz w:val="22"/>
                <w:szCs w:val="22"/>
              </w:rPr>
            </w:pPr>
            <w:r>
              <w:rPr>
                <w:rFonts w:hint="eastAsia" w:ascii="宋体" w:hAnsi="宋体"/>
                <w:sz w:val="22"/>
                <w:szCs w:val="22"/>
              </w:rPr>
              <w:t>已采取</w:t>
            </w:r>
          </w:p>
          <w:p>
            <w:pPr>
              <w:adjustRightInd w:val="0"/>
              <w:spacing w:line="360" w:lineRule="auto"/>
              <w:jc w:val="center"/>
              <w:rPr>
                <w:rFonts w:ascii="宋体" w:hAnsi="宋体"/>
                <w:sz w:val="22"/>
                <w:szCs w:val="22"/>
              </w:rPr>
            </w:pPr>
            <w:r>
              <w:rPr>
                <w:rFonts w:hint="eastAsia" w:ascii="宋体" w:hAnsi="宋体"/>
                <w:sz w:val="22"/>
                <w:szCs w:val="22"/>
              </w:rPr>
              <w:t>措施</w:t>
            </w:r>
          </w:p>
        </w:tc>
        <w:tc>
          <w:tcPr>
            <w:tcW w:w="7938" w:type="dxa"/>
            <w:gridSpan w:val="6"/>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44" w:type="dxa"/>
            <w:vMerge w:val="restart"/>
            <w:noWrap w:val="0"/>
            <w:vAlign w:val="center"/>
          </w:tcPr>
          <w:p>
            <w:pPr>
              <w:adjustRightInd w:val="0"/>
              <w:spacing w:line="360" w:lineRule="auto"/>
              <w:jc w:val="center"/>
              <w:rPr>
                <w:rFonts w:ascii="宋体" w:hAnsi="宋体"/>
                <w:sz w:val="22"/>
                <w:szCs w:val="22"/>
              </w:rPr>
            </w:pPr>
            <w:r>
              <w:rPr>
                <w:rFonts w:hint="eastAsia" w:ascii="宋体" w:hAnsi="宋体"/>
                <w:sz w:val="22"/>
                <w:szCs w:val="22"/>
              </w:rPr>
              <w:t>事故（件）处理</w:t>
            </w:r>
          </w:p>
          <w:p>
            <w:pPr>
              <w:adjustRightInd w:val="0"/>
              <w:spacing w:line="360" w:lineRule="auto"/>
              <w:jc w:val="center"/>
              <w:rPr>
                <w:rFonts w:ascii="宋体" w:hAnsi="宋体"/>
                <w:sz w:val="22"/>
                <w:szCs w:val="22"/>
              </w:rPr>
            </w:pPr>
            <w:r>
              <w:rPr>
                <w:rFonts w:hint="eastAsia" w:ascii="宋体" w:hAnsi="宋体"/>
                <w:sz w:val="22"/>
                <w:szCs w:val="22"/>
              </w:rPr>
              <w:t>负责人</w:t>
            </w:r>
          </w:p>
        </w:tc>
        <w:tc>
          <w:tcPr>
            <w:tcW w:w="1500" w:type="dxa"/>
            <w:gridSpan w:val="2"/>
            <w:noWrap w:val="0"/>
            <w:vAlign w:val="center"/>
          </w:tcPr>
          <w:p>
            <w:pPr>
              <w:adjustRightInd w:val="0"/>
              <w:spacing w:line="360" w:lineRule="auto"/>
              <w:jc w:val="center"/>
              <w:rPr>
                <w:rFonts w:ascii="宋体" w:hAnsi="宋体"/>
                <w:sz w:val="22"/>
                <w:szCs w:val="22"/>
              </w:rPr>
            </w:pPr>
            <w:r>
              <w:rPr>
                <w:rFonts w:hint="eastAsia" w:ascii="宋体" w:hAnsi="宋体"/>
                <w:sz w:val="22"/>
                <w:szCs w:val="22"/>
              </w:rPr>
              <w:t>姓名</w:t>
            </w:r>
          </w:p>
        </w:tc>
        <w:tc>
          <w:tcPr>
            <w:tcW w:w="2520" w:type="dxa"/>
            <w:gridSpan w:val="2"/>
            <w:noWrap w:val="0"/>
            <w:vAlign w:val="center"/>
          </w:tcPr>
          <w:p>
            <w:pPr>
              <w:adjustRightInd w:val="0"/>
              <w:spacing w:line="360" w:lineRule="auto"/>
              <w:jc w:val="center"/>
              <w:rPr>
                <w:rFonts w:ascii="宋体" w:hAnsi="宋体"/>
                <w:sz w:val="22"/>
                <w:szCs w:val="22"/>
              </w:rPr>
            </w:pPr>
            <w:r>
              <w:rPr>
                <w:rFonts w:hint="eastAsia" w:ascii="宋体" w:hAnsi="宋体"/>
                <w:sz w:val="22"/>
                <w:szCs w:val="22"/>
              </w:rPr>
              <w:t>职务</w:t>
            </w:r>
          </w:p>
        </w:tc>
        <w:tc>
          <w:tcPr>
            <w:tcW w:w="3918" w:type="dxa"/>
            <w:gridSpan w:val="2"/>
            <w:noWrap w:val="0"/>
            <w:vAlign w:val="center"/>
          </w:tcPr>
          <w:p>
            <w:pPr>
              <w:adjustRightInd w:val="0"/>
              <w:spacing w:line="360" w:lineRule="auto"/>
              <w:jc w:val="center"/>
              <w:rPr>
                <w:rFonts w:ascii="宋体" w:hAnsi="宋体"/>
                <w:sz w:val="22"/>
                <w:szCs w:val="22"/>
              </w:rPr>
            </w:pPr>
            <w:r>
              <w:rPr>
                <w:rFonts w:hint="eastAsia" w:ascii="宋体" w:hAnsi="宋体"/>
                <w:sz w:val="22"/>
                <w:szCs w:val="22"/>
              </w:rPr>
              <w:t>联系电话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44" w:type="dxa"/>
            <w:vMerge w:val="continue"/>
            <w:noWrap w:val="0"/>
            <w:vAlign w:val="center"/>
          </w:tcPr>
          <w:p>
            <w:pPr>
              <w:spacing w:line="360" w:lineRule="auto"/>
              <w:jc w:val="center"/>
              <w:rPr>
                <w:rFonts w:ascii="宋体" w:hAnsi="宋体"/>
                <w:sz w:val="22"/>
                <w:szCs w:val="22"/>
              </w:rPr>
            </w:pPr>
          </w:p>
        </w:tc>
        <w:tc>
          <w:tcPr>
            <w:tcW w:w="1500" w:type="dxa"/>
            <w:gridSpan w:val="2"/>
            <w:noWrap w:val="0"/>
            <w:vAlign w:val="center"/>
          </w:tcPr>
          <w:p>
            <w:pPr>
              <w:spacing w:line="360" w:lineRule="auto"/>
              <w:jc w:val="center"/>
              <w:rPr>
                <w:rFonts w:ascii="宋体" w:hAnsi="宋体"/>
                <w:sz w:val="22"/>
                <w:szCs w:val="22"/>
              </w:rPr>
            </w:pPr>
          </w:p>
        </w:tc>
        <w:tc>
          <w:tcPr>
            <w:tcW w:w="2520" w:type="dxa"/>
            <w:gridSpan w:val="2"/>
            <w:noWrap w:val="0"/>
            <w:vAlign w:val="center"/>
          </w:tcPr>
          <w:p>
            <w:pPr>
              <w:spacing w:line="360" w:lineRule="auto"/>
              <w:jc w:val="center"/>
              <w:rPr>
                <w:rFonts w:ascii="宋体" w:hAnsi="宋体"/>
                <w:sz w:val="22"/>
                <w:szCs w:val="22"/>
              </w:rPr>
            </w:pPr>
          </w:p>
        </w:tc>
        <w:tc>
          <w:tcPr>
            <w:tcW w:w="3918" w:type="dxa"/>
            <w:gridSpan w:val="2"/>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44" w:type="dxa"/>
            <w:vMerge w:val="continue"/>
            <w:noWrap w:val="0"/>
            <w:vAlign w:val="center"/>
          </w:tcPr>
          <w:p>
            <w:pPr>
              <w:spacing w:line="360" w:lineRule="auto"/>
              <w:jc w:val="center"/>
              <w:rPr>
                <w:rFonts w:ascii="宋体" w:hAnsi="宋体"/>
                <w:sz w:val="22"/>
                <w:szCs w:val="22"/>
              </w:rPr>
            </w:pPr>
          </w:p>
        </w:tc>
        <w:tc>
          <w:tcPr>
            <w:tcW w:w="1500" w:type="dxa"/>
            <w:gridSpan w:val="2"/>
            <w:noWrap w:val="0"/>
            <w:vAlign w:val="center"/>
          </w:tcPr>
          <w:p>
            <w:pPr>
              <w:spacing w:line="360" w:lineRule="auto"/>
              <w:jc w:val="center"/>
              <w:rPr>
                <w:rFonts w:ascii="宋体" w:hAnsi="宋体"/>
                <w:sz w:val="22"/>
                <w:szCs w:val="22"/>
              </w:rPr>
            </w:pPr>
          </w:p>
        </w:tc>
        <w:tc>
          <w:tcPr>
            <w:tcW w:w="2520" w:type="dxa"/>
            <w:gridSpan w:val="2"/>
            <w:noWrap w:val="0"/>
            <w:vAlign w:val="center"/>
          </w:tcPr>
          <w:p>
            <w:pPr>
              <w:spacing w:line="360" w:lineRule="auto"/>
              <w:jc w:val="center"/>
              <w:rPr>
                <w:rFonts w:ascii="宋体" w:hAnsi="宋体"/>
                <w:sz w:val="22"/>
                <w:szCs w:val="22"/>
              </w:rPr>
            </w:pPr>
          </w:p>
        </w:tc>
        <w:tc>
          <w:tcPr>
            <w:tcW w:w="3918" w:type="dxa"/>
            <w:gridSpan w:val="2"/>
            <w:noWrap w:val="0"/>
            <w:vAlign w:val="center"/>
          </w:tcPr>
          <w:p>
            <w:pPr>
              <w:spacing w:line="360" w:lineRule="auto"/>
              <w:jc w:val="center"/>
              <w:rPr>
                <w:rFonts w:ascii="宋体" w:hAnsi="宋体"/>
                <w:sz w:val="22"/>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44" w:type="dxa"/>
            <w:vMerge w:val="continue"/>
            <w:noWrap w:val="0"/>
            <w:vAlign w:val="center"/>
          </w:tcPr>
          <w:p>
            <w:pPr>
              <w:spacing w:line="360" w:lineRule="auto"/>
              <w:jc w:val="center"/>
              <w:rPr>
                <w:rFonts w:ascii="宋体" w:hAnsi="宋体"/>
                <w:sz w:val="22"/>
                <w:szCs w:val="22"/>
              </w:rPr>
            </w:pPr>
          </w:p>
        </w:tc>
        <w:tc>
          <w:tcPr>
            <w:tcW w:w="1500" w:type="dxa"/>
            <w:gridSpan w:val="2"/>
            <w:noWrap w:val="0"/>
            <w:vAlign w:val="center"/>
          </w:tcPr>
          <w:p>
            <w:pPr>
              <w:spacing w:line="360" w:lineRule="auto"/>
              <w:jc w:val="center"/>
              <w:rPr>
                <w:rFonts w:ascii="宋体" w:hAnsi="宋体"/>
                <w:sz w:val="22"/>
                <w:szCs w:val="22"/>
              </w:rPr>
            </w:pPr>
          </w:p>
        </w:tc>
        <w:tc>
          <w:tcPr>
            <w:tcW w:w="2520" w:type="dxa"/>
            <w:gridSpan w:val="2"/>
            <w:noWrap w:val="0"/>
            <w:vAlign w:val="center"/>
          </w:tcPr>
          <w:p>
            <w:pPr>
              <w:spacing w:line="360" w:lineRule="auto"/>
              <w:jc w:val="center"/>
              <w:rPr>
                <w:rFonts w:ascii="宋体" w:hAnsi="宋体"/>
                <w:sz w:val="22"/>
                <w:szCs w:val="22"/>
              </w:rPr>
            </w:pPr>
          </w:p>
        </w:tc>
        <w:tc>
          <w:tcPr>
            <w:tcW w:w="3918" w:type="dxa"/>
            <w:gridSpan w:val="2"/>
            <w:noWrap w:val="0"/>
            <w:vAlign w:val="center"/>
          </w:tcPr>
          <w:p>
            <w:pPr>
              <w:spacing w:line="360" w:lineRule="auto"/>
              <w:jc w:val="center"/>
              <w:rPr>
                <w:rFonts w:ascii="宋体" w:hAnsi="宋体"/>
                <w:sz w:val="22"/>
                <w:szCs w:val="22"/>
              </w:rPr>
            </w:pPr>
          </w:p>
        </w:tc>
      </w:tr>
    </w:tbl>
    <w:p>
      <w:pPr>
        <w:spacing w:line="360" w:lineRule="auto"/>
        <w:rPr>
          <w:rFonts w:ascii="宋体" w:hAnsi="宋体"/>
          <w:sz w:val="22"/>
          <w:szCs w:val="22"/>
        </w:rPr>
      </w:pPr>
      <w:r>
        <w:rPr>
          <w:rFonts w:hint="eastAsia" w:ascii="宋体" w:hAnsi="宋体"/>
          <w:sz w:val="22"/>
          <w:szCs w:val="22"/>
        </w:rPr>
        <w:t>单位领导：施工单位负责人：填表人：填报时间：</w:t>
      </w:r>
    </w:p>
    <w:p>
      <w:pPr>
        <w:spacing w:line="360" w:lineRule="auto"/>
        <w:rPr>
          <w:rFonts w:ascii="宋体" w:hAnsi="宋体"/>
          <w:b/>
          <w:bCs/>
          <w:sz w:val="22"/>
          <w:szCs w:val="22"/>
        </w:rPr>
      </w:pPr>
      <w:r>
        <w:rPr>
          <w:rFonts w:hint="eastAsia" w:ascii="宋体" w:hAnsi="宋体"/>
          <w:sz w:val="22"/>
          <w:szCs w:val="22"/>
        </w:rPr>
        <w:t>注：本表由施工单位填写，“事件（故）单位”指事故发生单位，涉及多家单位时，一并填入。</w:t>
      </w:r>
    </w:p>
    <w:p>
      <w:pPr>
        <w:autoSpaceDN w:val="0"/>
        <w:adjustRightInd w:val="0"/>
        <w:snapToGrid w:val="0"/>
        <w:spacing w:line="360" w:lineRule="auto"/>
        <w:ind w:left="880" w:hanging="880" w:hangingChars="400"/>
        <w:jc w:val="left"/>
        <w:rPr>
          <w:rFonts w:ascii="仿宋_GB2312" w:eastAsia="仿宋_GB2312"/>
          <w:sz w:val="22"/>
          <w:szCs w:val="22"/>
        </w:rPr>
      </w:pPr>
      <w:r>
        <w:rPr>
          <w:rFonts w:ascii="仿宋_GB2312" w:eastAsia="仿宋_GB2312"/>
          <w:sz w:val="22"/>
          <w:szCs w:val="22"/>
        </w:rPr>
        <w:br w:type="page"/>
      </w:r>
      <w:r>
        <w:rPr>
          <w:rFonts w:hint="eastAsia" w:ascii="仿宋_GB2312" w:eastAsia="仿宋_GB2312"/>
          <w:sz w:val="22"/>
          <w:szCs w:val="22"/>
        </w:rPr>
        <w:t>附件2</w:t>
      </w:r>
    </w:p>
    <w:p>
      <w:pPr>
        <w:autoSpaceDN w:val="0"/>
        <w:adjustRightInd w:val="0"/>
        <w:snapToGrid w:val="0"/>
        <w:spacing w:line="360" w:lineRule="auto"/>
        <w:ind w:left="881" w:hanging="880" w:hangingChars="400"/>
        <w:jc w:val="center"/>
        <w:rPr>
          <w:rFonts w:ascii="文鼎小标宋简" w:hAnsi="宋体" w:eastAsia="文鼎小标宋简"/>
          <w:b/>
          <w:bCs/>
          <w:sz w:val="22"/>
          <w:szCs w:val="22"/>
        </w:rPr>
      </w:pPr>
      <w:r>
        <w:rPr>
          <w:rFonts w:hint="eastAsia" w:ascii="文鼎小标宋简" w:hAnsi="宋体" w:eastAsia="文鼎小标宋简"/>
          <w:b/>
          <w:bCs/>
          <w:sz w:val="22"/>
          <w:szCs w:val="22"/>
        </w:rPr>
        <w:t>施工单位安全督查检查表</w:t>
      </w:r>
    </w:p>
    <w:p>
      <w:pPr>
        <w:spacing w:line="360" w:lineRule="auto"/>
        <w:rPr>
          <w:rFonts w:ascii="仿宋_GB2312" w:eastAsia="仿宋_GB2312"/>
          <w:b/>
          <w:bCs/>
          <w:sz w:val="22"/>
          <w:szCs w:val="22"/>
        </w:rPr>
      </w:pPr>
      <w:r>
        <w:rPr>
          <w:rFonts w:hint="eastAsia" w:ascii="仿宋_GB2312" w:eastAsia="仿宋_GB2312"/>
          <w:b/>
          <w:bCs/>
          <w:sz w:val="22"/>
          <w:szCs w:val="22"/>
        </w:rPr>
        <w:t>受检项目：</w:t>
      </w:r>
    </w:p>
    <w:p>
      <w:pPr>
        <w:spacing w:line="360" w:lineRule="auto"/>
        <w:rPr>
          <w:rFonts w:ascii="仿宋_GB2312" w:eastAsia="仿宋_GB2312"/>
          <w:b/>
          <w:bCs/>
          <w:sz w:val="22"/>
          <w:szCs w:val="22"/>
        </w:rPr>
      </w:pPr>
      <w:r>
        <w:rPr>
          <w:rFonts w:hint="eastAsia" w:ascii="仿宋_GB2312" w:eastAsia="仿宋_GB2312"/>
          <w:b/>
          <w:bCs/>
          <w:sz w:val="22"/>
          <w:szCs w:val="22"/>
        </w:rPr>
        <w:t>受检单位：项目经理：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668"/>
        <w:gridCol w:w="955"/>
        <w:gridCol w:w="6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81" w:type="dxa"/>
            <w:noWrap w:val="0"/>
            <w:vAlign w:val="center"/>
          </w:tcPr>
          <w:p>
            <w:pPr>
              <w:spacing w:line="360" w:lineRule="auto"/>
              <w:jc w:val="center"/>
              <w:rPr>
                <w:rFonts w:ascii="宋体" w:hAnsi="宋体"/>
                <w:b/>
                <w:sz w:val="22"/>
                <w:szCs w:val="22"/>
              </w:rPr>
            </w:pPr>
            <w:r>
              <w:rPr>
                <w:rFonts w:hint="eastAsia" w:ascii="宋体" w:hAnsi="宋体"/>
                <w:b/>
                <w:sz w:val="22"/>
                <w:szCs w:val="22"/>
              </w:rPr>
              <w:t>序号</w:t>
            </w:r>
          </w:p>
        </w:tc>
        <w:tc>
          <w:tcPr>
            <w:tcW w:w="1623" w:type="dxa"/>
            <w:gridSpan w:val="2"/>
            <w:noWrap w:val="0"/>
            <w:vAlign w:val="center"/>
          </w:tcPr>
          <w:p>
            <w:pPr>
              <w:spacing w:line="360" w:lineRule="auto"/>
              <w:jc w:val="center"/>
              <w:rPr>
                <w:rFonts w:ascii="宋体" w:hAnsi="宋体"/>
                <w:b/>
                <w:sz w:val="22"/>
                <w:szCs w:val="22"/>
              </w:rPr>
            </w:pPr>
            <w:r>
              <w:rPr>
                <w:rFonts w:hint="eastAsia" w:ascii="宋体" w:hAnsi="宋体"/>
                <w:b/>
                <w:sz w:val="22"/>
                <w:szCs w:val="22"/>
              </w:rPr>
              <w:t>检查项目</w:t>
            </w:r>
          </w:p>
        </w:tc>
        <w:tc>
          <w:tcPr>
            <w:tcW w:w="6682" w:type="dxa"/>
            <w:noWrap w:val="0"/>
            <w:vAlign w:val="center"/>
          </w:tcPr>
          <w:p>
            <w:pPr>
              <w:spacing w:line="360" w:lineRule="auto"/>
              <w:jc w:val="center"/>
              <w:rPr>
                <w:rFonts w:ascii="宋体" w:hAnsi="宋体"/>
                <w:b/>
                <w:sz w:val="22"/>
                <w:szCs w:val="22"/>
              </w:rPr>
            </w:pPr>
            <w:r>
              <w:rPr>
                <w:rFonts w:hint="eastAsia" w:ascii="宋体" w:hAnsi="宋体"/>
                <w:b/>
                <w:sz w:val="22"/>
                <w:szCs w:val="22"/>
              </w:rPr>
              <w:t>检查标准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9" w:hRule="atLeast"/>
          <w:jc w:val="center"/>
        </w:trPr>
        <w:tc>
          <w:tcPr>
            <w:tcW w:w="681" w:type="dxa"/>
            <w:noWrap w:val="0"/>
            <w:vAlign w:val="center"/>
          </w:tcPr>
          <w:p>
            <w:pPr>
              <w:spacing w:line="360" w:lineRule="auto"/>
              <w:jc w:val="center"/>
              <w:rPr>
                <w:sz w:val="22"/>
                <w:szCs w:val="22"/>
              </w:rPr>
            </w:pPr>
            <w:r>
              <w:rPr>
                <w:sz w:val="22"/>
                <w:szCs w:val="22"/>
              </w:rPr>
              <w:t>1</w:t>
            </w:r>
          </w:p>
        </w:tc>
        <w:tc>
          <w:tcPr>
            <w:tcW w:w="668" w:type="dxa"/>
            <w:vMerge w:val="restart"/>
            <w:noWrap w:val="0"/>
            <w:textDirection w:val="tbRlV"/>
            <w:vAlign w:val="center"/>
          </w:tcPr>
          <w:p>
            <w:pPr>
              <w:spacing w:line="360" w:lineRule="auto"/>
              <w:ind w:left="113" w:right="113"/>
              <w:jc w:val="center"/>
              <w:rPr>
                <w:rFonts w:ascii="宋体" w:hAnsi="宋体"/>
                <w:b/>
                <w:sz w:val="22"/>
                <w:szCs w:val="22"/>
              </w:rPr>
            </w:pPr>
            <w:r>
              <w:rPr>
                <w:rFonts w:hint="eastAsia" w:ascii="宋体" w:hAnsi="宋体"/>
                <w:b/>
                <w:sz w:val="22"/>
                <w:szCs w:val="22"/>
              </w:rPr>
              <w:t>安全管理</w:t>
            </w: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项目</w:t>
            </w:r>
          </w:p>
          <w:p>
            <w:pPr>
              <w:spacing w:line="360" w:lineRule="auto"/>
              <w:jc w:val="center"/>
              <w:rPr>
                <w:rFonts w:ascii="宋体" w:hAnsi="宋体"/>
                <w:b/>
                <w:sz w:val="22"/>
                <w:szCs w:val="22"/>
              </w:rPr>
            </w:pPr>
            <w:r>
              <w:rPr>
                <w:rFonts w:hint="eastAsia" w:ascii="宋体" w:hAnsi="宋体"/>
                <w:b/>
                <w:sz w:val="22"/>
                <w:szCs w:val="22"/>
              </w:rPr>
              <w:t>组织</w:t>
            </w:r>
          </w:p>
          <w:p>
            <w:pPr>
              <w:spacing w:line="360" w:lineRule="auto"/>
              <w:jc w:val="center"/>
              <w:rPr>
                <w:rFonts w:ascii="宋体" w:hAnsi="宋体"/>
                <w:b/>
                <w:sz w:val="22"/>
                <w:szCs w:val="22"/>
              </w:rPr>
            </w:pPr>
            <w:r>
              <w:rPr>
                <w:rFonts w:hint="eastAsia" w:ascii="宋体" w:hAnsi="宋体"/>
                <w:b/>
                <w:sz w:val="22"/>
                <w:szCs w:val="22"/>
              </w:rPr>
              <w:t>架构</w:t>
            </w:r>
          </w:p>
        </w:tc>
        <w:tc>
          <w:tcPr>
            <w:tcW w:w="6682" w:type="dxa"/>
            <w:noWrap w:val="0"/>
            <w:vAlign w:val="center"/>
          </w:tcPr>
          <w:p>
            <w:pPr>
              <w:spacing w:line="360" w:lineRule="auto"/>
              <w:rPr>
                <w:rFonts w:ascii="宋体" w:hAnsi="宋体"/>
                <w:sz w:val="22"/>
                <w:szCs w:val="22"/>
              </w:rPr>
            </w:pPr>
            <w:r>
              <w:rPr>
                <w:rFonts w:ascii="宋体" w:hAnsi="宋体"/>
                <w:sz w:val="22"/>
                <w:szCs w:val="22"/>
              </w:rPr>
              <w:t>1.项目部经理、副经理、总工和专职安全管理人员是否与投标承诺或合同一致；如不一致，是否已更换，是否已完善审批、备案手续；主要管理人员资质是否与投标承诺或合同相符；是否建立安全责任制；</w:t>
            </w:r>
          </w:p>
          <w:p>
            <w:pPr>
              <w:spacing w:line="360" w:lineRule="auto"/>
              <w:rPr>
                <w:rFonts w:ascii="宋体" w:hAnsi="宋体"/>
                <w:sz w:val="22"/>
                <w:szCs w:val="22"/>
              </w:rPr>
            </w:pPr>
            <w:r>
              <w:rPr>
                <w:rFonts w:ascii="宋体" w:hAnsi="宋体"/>
                <w:sz w:val="22"/>
                <w:szCs w:val="22"/>
              </w:rPr>
              <w:t>2.是否按有关规定配备足够数量安全管理人员；</w:t>
            </w:r>
          </w:p>
          <w:p>
            <w:pPr>
              <w:spacing w:line="360" w:lineRule="auto"/>
              <w:rPr>
                <w:rFonts w:ascii="宋体" w:hAnsi="宋体"/>
                <w:sz w:val="22"/>
                <w:szCs w:val="22"/>
              </w:rPr>
            </w:pPr>
            <w:r>
              <w:rPr>
                <w:rFonts w:ascii="宋体" w:hAnsi="宋体"/>
                <w:sz w:val="22"/>
                <w:szCs w:val="22"/>
              </w:rPr>
              <w:t>3．项目经理、主管安全领导是否出席总部各项安全会议、安全大检查；根据考勤记录，是否有项目经理长期不在岗现象；</w:t>
            </w:r>
          </w:p>
          <w:p>
            <w:pPr>
              <w:spacing w:line="360" w:lineRule="auto"/>
              <w:ind w:left="1"/>
              <w:rPr>
                <w:rFonts w:ascii="宋体" w:hAnsi="宋体"/>
                <w:sz w:val="22"/>
                <w:szCs w:val="22"/>
              </w:rPr>
            </w:pPr>
            <w:r>
              <w:rPr>
                <w:rFonts w:ascii="宋体" w:hAnsi="宋体"/>
                <w:sz w:val="22"/>
                <w:szCs w:val="22"/>
              </w:rPr>
              <w:t>4．</w:t>
            </w:r>
            <w:r>
              <w:rPr>
                <w:rFonts w:hint="eastAsia" w:ascii="宋体" w:hAnsi="宋体"/>
                <w:sz w:val="22"/>
                <w:szCs w:val="22"/>
              </w:rPr>
              <w:t>分包人</w:t>
            </w:r>
            <w:r>
              <w:rPr>
                <w:rFonts w:ascii="宋体" w:hAnsi="宋体"/>
                <w:sz w:val="22"/>
                <w:szCs w:val="22"/>
              </w:rPr>
              <w:t>无是否有安全生产许可证，是否具备相应的施工资质等级；总承包单位是否与</w:t>
            </w:r>
            <w:r>
              <w:rPr>
                <w:rFonts w:hint="eastAsia" w:ascii="宋体" w:hAnsi="宋体"/>
                <w:sz w:val="22"/>
                <w:szCs w:val="22"/>
              </w:rPr>
              <w:t>分包人</w:t>
            </w:r>
            <w:r>
              <w:rPr>
                <w:rFonts w:ascii="宋体" w:hAnsi="宋体"/>
                <w:sz w:val="22"/>
                <w:szCs w:val="22"/>
              </w:rPr>
              <w:t>签订安全协议，是否出现转包、以包代管。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681" w:type="dxa"/>
            <w:noWrap w:val="0"/>
            <w:vAlign w:val="center"/>
          </w:tcPr>
          <w:p>
            <w:pPr>
              <w:spacing w:line="360" w:lineRule="auto"/>
              <w:jc w:val="center"/>
              <w:rPr>
                <w:sz w:val="22"/>
                <w:szCs w:val="22"/>
              </w:rPr>
            </w:pPr>
            <w:r>
              <w:rPr>
                <w:sz w:val="22"/>
                <w:szCs w:val="22"/>
              </w:rPr>
              <w:t>2</w:t>
            </w:r>
          </w:p>
        </w:tc>
        <w:tc>
          <w:tcPr>
            <w:tcW w:w="668" w:type="dxa"/>
            <w:vMerge w:val="continue"/>
            <w:noWrap w:val="0"/>
            <w:vAlign w:val="center"/>
          </w:tcPr>
          <w:p>
            <w:pPr>
              <w:spacing w:line="360" w:lineRule="auto"/>
              <w:jc w:val="center"/>
              <w:rPr>
                <w:rFonts w:ascii="宋体" w:hAnsi="宋体"/>
                <w:sz w:val="22"/>
                <w:szCs w:val="22"/>
              </w:rPr>
            </w:pP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安全</w:t>
            </w:r>
          </w:p>
          <w:p>
            <w:pPr>
              <w:spacing w:line="360" w:lineRule="auto"/>
              <w:jc w:val="center"/>
              <w:rPr>
                <w:rFonts w:ascii="宋体" w:hAnsi="宋体"/>
                <w:b/>
                <w:sz w:val="22"/>
                <w:szCs w:val="22"/>
              </w:rPr>
            </w:pPr>
            <w:r>
              <w:rPr>
                <w:rFonts w:hint="eastAsia" w:ascii="宋体" w:hAnsi="宋体"/>
                <w:b/>
                <w:sz w:val="22"/>
                <w:szCs w:val="22"/>
              </w:rPr>
              <w:t>检查</w:t>
            </w:r>
          </w:p>
        </w:tc>
        <w:tc>
          <w:tcPr>
            <w:tcW w:w="6682" w:type="dxa"/>
            <w:noWrap w:val="0"/>
            <w:vAlign w:val="center"/>
          </w:tcPr>
          <w:p>
            <w:pPr>
              <w:spacing w:line="360" w:lineRule="auto"/>
              <w:rPr>
                <w:rFonts w:ascii="宋体" w:hAnsi="宋体"/>
                <w:sz w:val="22"/>
                <w:szCs w:val="22"/>
              </w:rPr>
            </w:pPr>
            <w:r>
              <w:rPr>
                <w:rFonts w:ascii="宋体" w:hAnsi="宋体"/>
                <w:sz w:val="22"/>
                <w:szCs w:val="22"/>
              </w:rPr>
              <w:t>1．是否按照安全检查制度进行检查；直接责任人每周是否带队对工地检查一次；</w:t>
            </w:r>
          </w:p>
          <w:p>
            <w:pPr>
              <w:spacing w:line="360" w:lineRule="auto"/>
              <w:rPr>
                <w:rFonts w:ascii="宋体" w:hAnsi="宋体"/>
                <w:sz w:val="22"/>
                <w:szCs w:val="22"/>
              </w:rPr>
            </w:pPr>
            <w:r>
              <w:rPr>
                <w:rFonts w:ascii="宋体" w:hAnsi="宋体"/>
                <w:sz w:val="22"/>
                <w:szCs w:val="22"/>
              </w:rPr>
              <w:t>2．项目经理每月是否带队安全检查一次；</w:t>
            </w:r>
          </w:p>
          <w:p>
            <w:pPr>
              <w:spacing w:line="360" w:lineRule="auto"/>
              <w:rPr>
                <w:rFonts w:ascii="宋体" w:hAnsi="宋体"/>
                <w:sz w:val="22"/>
                <w:szCs w:val="22"/>
              </w:rPr>
            </w:pPr>
            <w:r>
              <w:rPr>
                <w:rFonts w:ascii="宋体" w:hAnsi="宋体"/>
                <w:sz w:val="22"/>
                <w:szCs w:val="22"/>
              </w:rPr>
              <w:t>3、每月是否对照《广东省建筑施工安全管理资料统一用表》检查一次；</w:t>
            </w:r>
          </w:p>
          <w:p>
            <w:pPr>
              <w:spacing w:line="360" w:lineRule="auto"/>
              <w:rPr>
                <w:rFonts w:ascii="宋体" w:hAnsi="宋体"/>
                <w:sz w:val="22"/>
                <w:szCs w:val="22"/>
              </w:rPr>
            </w:pPr>
            <w:r>
              <w:rPr>
                <w:rFonts w:ascii="宋体" w:hAnsi="宋体"/>
                <w:sz w:val="22"/>
                <w:szCs w:val="22"/>
              </w:rPr>
              <w:t>4．施工单位的管理人员是否积极主动配合检查的；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81" w:type="dxa"/>
            <w:noWrap w:val="0"/>
            <w:vAlign w:val="center"/>
          </w:tcPr>
          <w:p>
            <w:pPr>
              <w:spacing w:line="360" w:lineRule="auto"/>
              <w:jc w:val="center"/>
              <w:rPr>
                <w:sz w:val="22"/>
                <w:szCs w:val="22"/>
              </w:rPr>
            </w:pPr>
            <w:r>
              <w:rPr>
                <w:sz w:val="22"/>
                <w:szCs w:val="22"/>
              </w:rPr>
              <w:t>3</w:t>
            </w:r>
          </w:p>
        </w:tc>
        <w:tc>
          <w:tcPr>
            <w:tcW w:w="668" w:type="dxa"/>
            <w:vMerge w:val="restart"/>
            <w:noWrap w:val="0"/>
            <w:textDirection w:val="tbRlV"/>
            <w:vAlign w:val="center"/>
          </w:tcPr>
          <w:p>
            <w:pPr>
              <w:spacing w:line="360" w:lineRule="auto"/>
              <w:ind w:left="113" w:right="113"/>
              <w:jc w:val="center"/>
              <w:rPr>
                <w:rFonts w:ascii="宋体" w:hAnsi="宋体"/>
                <w:b/>
                <w:sz w:val="22"/>
                <w:szCs w:val="22"/>
              </w:rPr>
            </w:pPr>
            <w:r>
              <w:rPr>
                <w:rFonts w:hint="eastAsia" w:ascii="宋体" w:hAnsi="宋体"/>
                <w:b/>
                <w:sz w:val="22"/>
                <w:szCs w:val="22"/>
              </w:rPr>
              <w:t>内业资料</w:t>
            </w: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安全制度及资料</w:t>
            </w:r>
          </w:p>
        </w:tc>
        <w:tc>
          <w:tcPr>
            <w:tcW w:w="6682" w:type="dxa"/>
            <w:noWrap w:val="0"/>
            <w:vAlign w:val="center"/>
          </w:tcPr>
          <w:p>
            <w:pPr>
              <w:spacing w:line="360" w:lineRule="auto"/>
              <w:rPr>
                <w:rFonts w:ascii="宋体" w:hAnsi="宋体"/>
                <w:sz w:val="22"/>
                <w:szCs w:val="22"/>
              </w:rPr>
            </w:pPr>
            <w:r>
              <w:rPr>
                <w:rFonts w:ascii="宋体" w:hAnsi="宋体"/>
                <w:sz w:val="22"/>
                <w:szCs w:val="22"/>
              </w:rPr>
              <w:t>1、项目部是否建立和完善规章制度和内业资料；</w:t>
            </w:r>
          </w:p>
          <w:p>
            <w:pPr>
              <w:spacing w:line="360" w:lineRule="auto"/>
              <w:rPr>
                <w:rFonts w:ascii="宋体" w:hAnsi="宋体"/>
                <w:sz w:val="22"/>
                <w:szCs w:val="22"/>
              </w:rPr>
            </w:pPr>
            <w:r>
              <w:rPr>
                <w:rFonts w:ascii="宋体" w:hAnsi="宋体"/>
                <w:sz w:val="22"/>
                <w:szCs w:val="22"/>
              </w:rPr>
              <w:t>2、按照总部《安全风险管理细则》开展安全风险排查、辨识及过程控制工作。是否按照要求开展安全风险排查；是否按时上报风险排查成果、台账；是否按照细则规定开展风险过程控制；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681" w:type="dxa"/>
            <w:noWrap w:val="0"/>
            <w:vAlign w:val="center"/>
          </w:tcPr>
          <w:p>
            <w:pPr>
              <w:spacing w:line="360" w:lineRule="auto"/>
              <w:jc w:val="center"/>
              <w:rPr>
                <w:sz w:val="22"/>
                <w:szCs w:val="22"/>
              </w:rPr>
            </w:pPr>
            <w:r>
              <w:rPr>
                <w:sz w:val="22"/>
                <w:szCs w:val="22"/>
              </w:rPr>
              <w:t>4</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员工安全教育及培训</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员工应经过安全培训合格并取得平安卡，工人按规定需进行三级安全教育后才能上岗，进场工人是否已进行三级安全教育；是否取得平安卡；三级安全教育记录是否完善，有无代签名现象；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8" w:hRule="atLeast"/>
          <w:jc w:val="center"/>
        </w:trPr>
        <w:tc>
          <w:tcPr>
            <w:tcW w:w="681" w:type="dxa"/>
            <w:noWrap w:val="0"/>
            <w:vAlign w:val="center"/>
          </w:tcPr>
          <w:p>
            <w:pPr>
              <w:spacing w:line="360" w:lineRule="auto"/>
              <w:jc w:val="center"/>
              <w:rPr>
                <w:sz w:val="22"/>
                <w:szCs w:val="22"/>
              </w:rPr>
            </w:pPr>
            <w:r>
              <w:rPr>
                <w:sz w:val="22"/>
                <w:szCs w:val="22"/>
              </w:rPr>
              <w:t>5</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rPr>
                <w:rFonts w:ascii="宋体" w:hAnsi="宋体"/>
                <w:b/>
                <w:sz w:val="22"/>
                <w:szCs w:val="22"/>
              </w:rPr>
            </w:pPr>
            <w:r>
              <w:rPr>
                <w:rFonts w:hint="eastAsia" w:ascii="宋体" w:hAnsi="宋体"/>
                <w:b/>
                <w:sz w:val="22"/>
                <w:szCs w:val="22"/>
              </w:rPr>
              <w:t>隐患整改通知书</w:t>
            </w:r>
          </w:p>
        </w:tc>
        <w:tc>
          <w:tcPr>
            <w:tcW w:w="6682" w:type="dxa"/>
            <w:noWrap w:val="0"/>
            <w:vAlign w:val="center"/>
          </w:tcPr>
          <w:p>
            <w:pPr>
              <w:spacing w:line="360" w:lineRule="auto"/>
              <w:rPr>
                <w:rFonts w:ascii="宋体" w:hAnsi="宋体"/>
                <w:sz w:val="22"/>
                <w:szCs w:val="22"/>
              </w:rPr>
            </w:pPr>
            <w:r>
              <w:rPr>
                <w:rFonts w:ascii="宋体" w:hAnsi="宋体"/>
                <w:sz w:val="22"/>
                <w:szCs w:val="22"/>
              </w:rPr>
              <w:t>1．对监理、政府部门查出的隐患下达的整改通知书，是否及时整改，按时回复；隐患或问题重复出现且有无落实整改；</w:t>
            </w:r>
          </w:p>
          <w:p>
            <w:pPr>
              <w:spacing w:line="360" w:lineRule="auto"/>
              <w:rPr>
                <w:rFonts w:ascii="宋体" w:hAnsi="宋体"/>
                <w:sz w:val="22"/>
                <w:szCs w:val="22"/>
              </w:rPr>
            </w:pPr>
            <w:r>
              <w:rPr>
                <w:rFonts w:ascii="宋体" w:hAnsi="宋体"/>
                <w:sz w:val="22"/>
                <w:szCs w:val="22"/>
              </w:rPr>
              <w:t>2．业主检查时，下发的整改通知书是否及时整改并回复；是否出现同一类问题当月多次下发整改通知书，同样问题是否出现多次被下发整改通知书；是否应现场问题较多且严重，被发停工通知或业主要求监理发停工通知；是否出现停工后问题未整改，第二次发书面整改通知；</w:t>
            </w:r>
          </w:p>
          <w:p>
            <w:pPr>
              <w:spacing w:line="360" w:lineRule="auto"/>
              <w:rPr>
                <w:rFonts w:ascii="宋体" w:hAnsi="宋体"/>
                <w:sz w:val="22"/>
                <w:szCs w:val="22"/>
              </w:rPr>
            </w:pPr>
            <w:r>
              <w:rPr>
                <w:rFonts w:ascii="宋体" w:hAnsi="宋体"/>
                <w:sz w:val="22"/>
                <w:szCs w:val="22"/>
              </w:rPr>
              <w:t>3、是否按时回复业主月度安全大检查通报。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681" w:type="dxa"/>
            <w:noWrap w:val="0"/>
            <w:vAlign w:val="center"/>
          </w:tcPr>
          <w:p>
            <w:pPr>
              <w:spacing w:line="360" w:lineRule="auto"/>
              <w:jc w:val="center"/>
              <w:rPr>
                <w:sz w:val="22"/>
                <w:szCs w:val="22"/>
              </w:rPr>
            </w:pPr>
            <w:r>
              <w:rPr>
                <w:sz w:val="22"/>
                <w:szCs w:val="22"/>
              </w:rPr>
              <w:t>6</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rPr>
                <w:rFonts w:ascii="宋体" w:hAnsi="宋体"/>
                <w:b/>
                <w:sz w:val="22"/>
                <w:szCs w:val="22"/>
              </w:rPr>
            </w:pPr>
            <w:r>
              <w:rPr>
                <w:rFonts w:hint="eastAsia" w:ascii="宋体" w:hAnsi="宋体"/>
                <w:b/>
                <w:sz w:val="22"/>
                <w:szCs w:val="22"/>
              </w:rPr>
              <w:t>特种作业人员上岗证</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特种作业人员是否取得相应的特种作业操作资格证后上岗；操作证是否经年审或过期；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681" w:type="dxa"/>
            <w:noWrap w:val="0"/>
            <w:vAlign w:val="center"/>
          </w:tcPr>
          <w:p>
            <w:pPr>
              <w:spacing w:line="360" w:lineRule="auto"/>
              <w:jc w:val="center"/>
              <w:rPr>
                <w:sz w:val="22"/>
                <w:szCs w:val="22"/>
              </w:rPr>
            </w:pPr>
            <w:r>
              <w:rPr>
                <w:sz w:val="22"/>
                <w:szCs w:val="22"/>
              </w:rPr>
              <w:t>7</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rPr>
                <w:rFonts w:ascii="宋体" w:hAnsi="宋体"/>
                <w:b/>
                <w:sz w:val="22"/>
                <w:szCs w:val="22"/>
              </w:rPr>
            </w:pPr>
            <w:r>
              <w:rPr>
                <w:rFonts w:hint="eastAsia" w:ascii="宋体" w:hAnsi="宋体"/>
                <w:b/>
                <w:sz w:val="22"/>
                <w:szCs w:val="22"/>
              </w:rPr>
              <w:t>安全专项施工方案</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是否按《危险性较大的分部分项工程安全管理办法》（建质</w:t>
            </w:r>
            <w:r>
              <w:rPr>
                <w:rFonts w:ascii="宋体" w:hAnsi="宋体"/>
                <w:sz w:val="22"/>
                <w:szCs w:val="22"/>
              </w:rPr>
              <w:t>[2009]87号）规定对危险性较大的分部分项工程编制安全专项施工方案；是否按规定进行验收；对于超过一定规模的危险性较大的分部分项工程，施工单位是否组织专家论证会；方案是否按规定程序审批；是否按照方案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jc w:val="center"/>
        </w:trPr>
        <w:tc>
          <w:tcPr>
            <w:tcW w:w="681" w:type="dxa"/>
            <w:noWrap w:val="0"/>
            <w:vAlign w:val="center"/>
          </w:tcPr>
          <w:p>
            <w:pPr>
              <w:spacing w:line="360" w:lineRule="auto"/>
              <w:jc w:val="center"/>
              <w:rPr>
                <w:sz w:val="22"/>
                <w:szCs w:val="22"/>
              </w:rPr>
            </w:pPr>
            <w:r>
              <w:rPr>
                <w:sz w:val="22"/>
                <w:szCs w:val="22"/>
              </w:rPr>
              <w:t>8</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rPr>
                <w:rFonts w:ascii="宋体" w:hAnsi="宋体"/>
                <w:b/>
                <w:sz w:val="22"/>
                <w:szCs w:val="22"/>
              </w:rPr>
            </w:pPr>
            <w:r>
              <w:rPr>
                <w:rFonts w:hint="eastAsia" w:ascii="宋体" w:hAnsi="宋体"/>
                <w:b/>
                <w:sz w:val="22"/>
                <w:szCs w:val="22"/>
              </w:rPr>
              <w:t>特种设备的检测、检验、维修保养</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特种设备应经有资质的机构检测检验，并有有效的安全准用证（非标设备为备案登记），有无安全准用证或备案登记证；准用证有无超过有效期；有无维修保养记录，维修保养记录是否完善；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1" w:type="dxa"/>
            <w:noWrap w:val="0"/>
            <w:vAlign w:val="center"/>
          </w:tcPr>
          <w:p>
            <w:pPr>
              <w:spacing w:line="360" w:lineRule="auto"/>
              <w:jc w:val="center"/>
              <w:rPr>
                <w:sz w:val="22"/>
                <w:szCs w:val="22"/>
              </w:rPr>
            </w:pPr>
            <w:r>
              <w:rPr>
                <w:sz w:val="22"/>
                <w:szCs w:val="22"/>
              </w:rPr>
              <w:t>9</w:t>
            </w:r>
          </w:p>
        </w:tc>
        <w:tc>
          <w:tcPr>
            <w:tcW w:w="668" w:type="dxa"/>
            <w:vMerge w:val="continue"/>
            <w:noWrap w:val="0"/>
            <w:textDirection w:val="tbRlV"/>
            <w:vAlign w:val="center"/>
          </w:tcPr>
          <w:p>
            <w:pPr>
              <w:spacing w:line="360" w:lineRule="auto"/>
              <w:ind w:left="113" w:right="113"/>
              <w:jc w:val="center"/>
              <w:rPr>
                <w:rFonts w:ascii="宋体" w:hAnsi="宋体"/>
                <w:b/>
                <w:sz w:val="22"/>
                <w:szCs w:val="22"/>
              </w:rPr>
            </w:pPr>
          </w:p>
        </w:tc>
        <w:tc>
          <w:tcPr>
            <w:tcW w:w="955" w:type="dxa"/>
            <w:noWrap w:val="0"/>
            <w:vAlign w:val="center"/>
          </w:tcPr>
          <w:p>
            <w:pPr>
              <w:spacing w:line="360" w:lineRule="auto"/>
              <w:rPr>
                <w:rFonts w:ascii="宋体" w:hAnsi="宋体"/>
                <w:b/>
                <w:sz w:val="22"/>
                <w:szCs w:val="22"/>
              </w:rPr>
            </w:pPr>
            <w:r>
              <w:rPr>
                <w:rFonts w:hint="eastAsia" w:ascii="宋体" w:hAnsi="宋体"/>
                <w:b/>
                <w:sz w:val="22"/>
                <w:szCs w:val="22"/>
              </w:rPr>
              <w:t>安全资料报送</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业主要求报送的安全资料是否及时上报；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81" w:type="dxa"/>
            <w:noWrap w:val="0"/>
            <w:vAlign w:val="center"/>
          </w:tcPr>
          <w:p>
            <w:pPr>
              <w:spacing w:line="360" w:lineRule="auto"/>
              <w:jc w:val="center"/>
              <w:rPr>
                <w:sz w:val="22"/>
                <w:szCs w:val="22"/>
              </w:rPr>
            </w:pPr>
            <w:r>
              <w:rPr>
                <w:sz w:val="22"/>
                <w:szCs w:val="22"/>
              </w:rPr>
              <w:t>10</w:t>
            </w:r>
          </w:p>
        </w:tc>
        <w:tc>
          <w:tcPr>
            <w:tcW w:w="668" w:type="dxa"/>
            <w:vMerge w:val="restart"/>
            <w:noWrap w:val="0"/>
            <w:textDirection w:val="tbRlV"/>
            <w:vAlign w:val="center"/>
          </w:tcPr>
          <w:p>
            <w:pPr>
              <w:spacing w:line="360" w:lineRule="auto"/>
              <w:ind w:left="113" w:right="113"/>
              <w:jc w:val="center"/>
              <w:rPr>
                <w:rFonts w:ascii="宋体" w:hAnsi="宋体"/>
                <w:b/>
                <w:sz w:val="22"/>
                <w:szCs w:val="22"/>
              </w:rPr>
            </w:pPr>
            <w:r>
              <w:rPr>
                <w:rFonts w:hint="eastAsia" w:ascii="宋体" w:hAnsi="宋体"/>
                <w:b/>
                <w:sz w:val="22"/>
                <w:szCs w:val="22"/>
              </w:rPr>
              <w:t>现场管理</w:t>
            </w: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现场安全施工</w:t>
            </w:r>
          </w:p>
        </w:tc>
        <w:tc>
          <w:tcPr>
            <w:tcW w:w="6682" w:type="dxa"/>
            <w:noWrap w:val="0"/>
            <w:vAlign w:val="center"/>
          </w:tcPr>
          <w:p>
            <w:pPr>
              <w:tabs>
                <w:tab w:val="left" w:pos="1620"/>
              </w:tabs>
              <w:autoSpaceDN w:val="0"/>
              <w:adjustRightInd w:val="0"/>
              <w:snapToGrid w:val="0"/>
              <w:spacing w:line="360" w:lineRule="auto"/>
              <w:rPr>
                <w:rFonts w:ascii="宋体" w:hAnsi="宋体"/>
                <w:sz w:val="22"/>
                <w:szCs w:val="22"/>
              </w:rPr>
            </w:pPr>
            <w:r>
              <w:rPr>
                <w:rFonts w:hint="eastAsia" w:ascii="宋体" w:hAnsi="宋体"/>
                <w:sz w:val="22"/>
                <w:szCs w:val="22"/>
              </w:rPr>
              <w:t>安全生产现场检查内容详见《</w:t>
            </w:r>
            <w:r>
              <w:rPr>
                <w:rFonts w:ascii="宋体" w:hAnsi="宋体"/>
                <w:sz w:val="22"/>
                <w:szCs w:val="22"/>
              </w:rPr>
              <w:t>建筑施工安全检查标准</w:t>
            </w:r>
            <w:r>
              <w:rPr>
                <w:rFonts w:hint="eastAsia" w:ascii="宋体" w:hAnsi="宋体"/>
                <w:sz w:val="22"/>
                <w:szCs w:val="22"/>
              </w:rPr>
              <w:t>》（</w:t>
            </w:r>
            <w:r>
              <w:rPr>
                <w:rFonts w:ascii="宋体" w:hAnsi="宋体"/>
                <w:sz w:val="22"/>
                <w:szCs w:val="22"/>
              </w:rPr>
              <w:t>JGJ59-2011）附表。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1" w:type="dxa"/>
            <w:noWrap w:val="0"/>
            <w:vAlign w:val="center"/>
          </w:tcPr>
          <w:p>
            <w:pPr>
              <w:spacing w:line="360" w:lineRule="auto"/>
              <w:jc w:val="center"/>
              <w:rPr>
                <w:sz w:val="22"/>
                <w:szCs w:val="22"/>
              </w:rPr>
            </w:pPr>
            <w:r>
              <w:rPr>
                <w:sz w:val="22"/>
                <w:szCs w:val="22"/>
              </w:rPr>
              <w:t>11</w:t>
            </w:r>
          </w:p>
        </w:tc>
        <w:tc>
          <w:tcPr>
            <w:tcW w:w="668" w:type="dxa"/>
            <w:vMerge w:val="continue"/>
            <w:noWrap w:val="0"/>
            <w:vAlign w:val="center"/>
          </w:tcPr>
          <w:p>
            <w:pPr>
              <w:spacing w:line="360" w:lineRule="auto"/>
              <w:jc w:val="center"/>
              <w:rPr>
                <w:rFonts w:ascii="宋体" w:hAnsi="宋体"/>
                <w:sz w:val="22"/>
                <w:szCs w:val="22"/>
              </w:rPr>
            </w:pPr>
          </w:p>
        </w:tc>
        <w:tc>
          <w:tcPr>
            <w:tcW w:w="955" w:type="dxa"/>
            <w:noWrap w:val="0"/>
            <w:vAlign w:val="center"/>
          </w:tcPr>
          <w:p>
            <w:pPr>
              <w:spacing w:line="360" w:lineRule="auto"/>
              <w:jc w:val="center"/>
              <w:rPr>
                <w:rFonts w:ascii="宋体" w:hAnsi="宋体"/>
                <w:sz w:val="22"/>
                <w:szCs w:val="22"/>
              </w:rPr>
            </w:pPr>
            <w:r>
              <w:rPr>
                <w:rFonts w:hint="eastAsia" w:ascii="宋体" w:hAnsi="宋体"/>
                <w:b/>
                <w:sz w:val="22"/>
                <w:szCs w:val="22"/>
              </w:rPr>
              <w:t>文明施工</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文明施工现场检查扣分详见附件</w:t>
            </w:r>
            <w:r>
              <w:rPr>
                <w:rFonts w:ascii="宋体" w:hAnsi="宋体"/>
                <w:sz w:val="22"/>
                <w:szCs w:val="22"/>
              </w:rPr>
              <w:t>9：《文明施工监督检查表》；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81" w:type="dxa"/>
            <w:noWrap w:val="0"/>
            <w:vAlign w:val="center"/>
          </w:tcPr>
          <w:p>
            <w:pPr>
              <w:spacing w:line="360" w:lineRule="auto"/>
              <w:jc w:val="center"/>
              <w:rPr>
                <w:sz w:val="22"/>
                <w:szCs w:val="22"/>
              </w:rPr>
            </w:pPr>
            <w:r>
              <w:rPr>
                <w:sz w:val="22"/>
                <w:szCs w:val="22"/>
              </w:rPr>
              <w:t>12</w:t>
            </w:r>
          </w:p>
        </w:tc>
        <w:tc>
          <w:tcPr>
            <w:tcW w:w="668" w:type="dxa"/>
            <w:vMerge w:val="continue"/>
            <w:noWrap w:val="0"/>
            <w:vAlign w:val="center"/>
          </w:tcPr>
          <w:p>
            <w:pPr>
              <w:spacing w:line="360" w:lineRule="auto"/>
              <w:jc w:val="center"/>
              <w:rPr>
                <w:rFonts w:ascii="宋体" w:hAnsi="宋体"/>
                <w:sz w:val="22"/>
                <w:szCs w:val="22"/>
              </w:rPr>
            </w:pPr>
          </w:p>
        </w:tc>
        <w:tc>
          <w:tcPr>
            <w:tcW w:w="955" w:type="dxa"/>
            <w:noWrap w:val="0"/>
            <w:vAlign w:val="center"/>
          </w:tcPr>
          <w:p>
            <w:pPr>
              <w:spacing w:line="360" w:lineRule="auto"/>
              <w:jc w:val="center"/>
              <w:rPr>
                <w:rFonts w:ascii="宋体" w:hAnsi="宋体"/>
                <w:b/>
                <w:sz w:val="22"/>
                <w:szCs w:val="22"/>
              </w:rPr>
            </w:pPr>
            <w:r>
              <w:rPr>
                <w:rFonts w:hint="eastAsia" w:ascii="宋体" w:hAnsi="宋体"/>
                <w:b/>
                <w:sz w:val="22"/>
                <w:szCs w:val="22"/>
              </w:rPr>
              <w:t>信息</w:t>
            </w:r>
          </w:p>
          <w:p>
            <w:pPr>
              <w:spacing w:line="360" w:lineRule="auto"/>
              <w:jc w:val="center"/>
              <w:rPr>
                <w:rFonts w:ascii="宋体" w:hAnsi="宋体"/>
                <w:sz w:val="22"/>
                <w:szCs w:val="22"/>
              </w:rPr>
            </w:pPr>
            <w:r>
              <w:rPr>
                <w:rFonts w:hint="eastAsia" w:ascii="宋体" w:hAnsi="宋体"/>
                <w:b/>
                <w:sz w:val="22"/>
                <w:szCs w:val="22"/>
              </w:rPr>
              <w:t>管理</w:t>
            </w:r>
          </w:p>
        </w:tc>
        <w:tc>
          <w:tcPr>
            <w:tcW w:w="6682" w:type="dxa"/>
            <w:noWrap w:val="0"/>
            <w:vAlign w:val="center"/>
          </w:tcPr>
          <w:p>
            <w:pPr>
              <w:spacing w:line="360" w:lineRule="auto"/>
              <w:rPr>
                <w:rFonts w:ascii="宋体" w:hAnsi="宋体"/>
                <w:sz w:val="22"/>
                <w:szCs w:val="22"/>
              </w:rPr>
            </w:pPr>
            <w:r>
              <w:rPr>
                <w:rFonts w:hint="eastAsia" w:ascii="宋体" w:hAnsi="宋体"/>
                <w:sz w:val="22"/>
                <w:szCs w:val="22"/>
              </w:rPr>
              <w:t>有无发生施工单位迟报、漏报事故、事件；有无发生瞒报事故、事件。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8986" w:type="dxa"/>
            <w:gridSpan w:val="4"/>
            <w:noWrap w:val="0"/>
            <w:vAlign w:val="center"/>
          </w:tcPr>
          <w:p>
            <w:pPr>
              <w:spacing w:line="360" w:lineRule="auto"/>
              <w:jc w:val="center"/>
              <w:rPr>
                <w:rFonts w:ascii="宋体" w:hAnsi="宋体"/>
                <w:sz w:val="22"/>
                <w:szCs w:val="22"/>
              </w:rPr>
            </w:pPr>
          </w:p>
        </w:tc>
      </w:tr>
    </w:tbl>
    <w:p>
      <w:pPr>
        <w:spacing w:line="360" w:lineRule="auto"/>
        <w:rPr>
          <w:rFonts w:ascii="宋体" w:hAnsi="宋体"/>
          <w:sz w:val="22"/>
          <w:szCs w:val="22"/>
        </w:rPr>
      </w:pPr>
      <w:r>
        <w:rPr>
          <w:rFonts w:hint="eastAsia" w:ascii="宋体" w:hAnsi="宋体"/>
          <w:sz w:val="22"/>
          <w:szCs w:val="22"/>
        </w:rPr>
        <w:t>检查人员：检查日期：</w:t>
      </w:r>
    </w:p>
    <w:p>
      <w:pPr>
        <w:autoSpaceDN w:val="0"/>
        <w:adjustRightInd w:val="0"/>
        <w:snapToGrid w:val="0"/>
        <w:spacing w:line="360" w:lineRule="auto"/>
        <w:jc w:val="center"/>
        <w:rPr>
          <w:rFonts w:ascii="文鼎小标宋简" w:hAnsi="宋体" w:eastAsia="文鼎小标宋简"/>
          <w:b/>
          <w:bCs/>
          <w:sz w:val="22"/>
          <w:szCs w:val="22"/>
        </w:rPr>
      </w:pPr>
      <w:r>
        <w:rPr>
          <w:rFonts w:ascii="文鼎小标宋简" w:hAnsi="宋体" w:eastAsia="文鼎小标宋简"/>
          <w:b/>
          <w:bCs/>
          <w:sz w:val="22"/>
          <w:szCs w:val="22"/>
        </w:rPr>
        <w:br w:type="page"/>
      </w:r>
      <w:r>
        <w:rPr>
          <w:rFonts w:hint="eastAsia" w:ascii="文鼎小标宋简" w:hAnsi="宋体" w:eastAsia="文鼎小标宋简"/>
          <w:b/>
          <w:bCs/>
          <w:sz w:val="22"/>
          <w:szCs w:val="22"/>
        </w:rPr>
        <w:t>文明施工督查检查表</w:t>
      </w:r>
    </w:p>
    <w:tbl>
      <w:tblPr>
        <w:tblStyle w:val="5"/>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970"/>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b/>
                <w:sz w:val="22"/>
                <w:szCs w:val="22"/>
              </w:rPr>
            </w:pPr>
            <w:r>
              <w:rPr>
                <w:rFonts w:hint="eastAsia"/>
                <w:b/>
                <w:sz w:val="22"/>
                <w:szCs w:val="22"/>
              </w:rPr>
              <w:t>序号</w:t>
            </w:r>
          </w:p>
        </w:tc>
        <w:tc>
          <w:tcPr>
            <w:tcW w:w="970" w:type="dxa"/>
            <w:noWrap w:val="0"/>
            <w:vAlign w:val="center"/>
          </w:tcPr>
          <w:p>
            <w:pPr>
              <w:spacing w:line="360" w:lineRule="auto"/>
              <w:jc w:val="center"/>
              <w:rPr>
                <w:b/>
                <w:sz w:val="22"/>
                <w:szCs w:val="22"/>
              </w:rPr>
            </w:pPr>
            <w:r>
              <w:rPr>
                <w:rFonts w:hint="eastAsia"/>
                <w:b/>
                <w:sz w:val="22"/>
                <w:szCs w:val="22"/>
              </w:rPr>
              <w:t>检查项目</w:t>
            </w:r>
          </w:p>
        </w:tc>
        <w:tc>
          <w:tcPr>
            <w:tcW w:w="7627" w:type="dxa"/>
            <w:noWrap w:val="0"/>
            <w:vAlign w:val="center"/>
          </w:tcPr>
          <w:p>
            <w:pPr>
              <w:spacing w:line="360" w:lineRule="auto"/>
              <w:jc w:val="center"/>
              <w:rPr>
                <w:b/>
                <w:sz w:val="22"/>
                <w:szCs w:val="22"/>
              </w:rPr>
            </w:pPr>
            <w:r>
              <w:rPr>
                <w:rFonts w:hint="eastAsia"/>
                <w:b/>
                <w:sz w:val="22"/>
                <w:szCs w:val="22"/>
              </w:rPr>
              <w:t>检查标准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645" w:type="dxa"/>
            <w:noWrap w:val="0"/>
            <w:vAlign w:val="center"/>
          </w:tcPr>
          <w:p>
            <w:pPr>
              <w:spacing w:line="360" w:lineRule="auto"/>
              <w:jc w:val="center"/>
              <w:rPr>
                <w:sz w:val="22"/>
                <w:szCs w:val="22"/>
              </w:rPr>
            </w:pPr>
            <w:r>
              <w:rPr>
                <w:sz w:val="22"/>
                <w:szCs w:val="22"/>
              </w:rPr>
              <w:t>1</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现场</w:t>
            </w:r>
          </w:p>
          <w:p>
            <w:pPr>
              <w:spacing w:line="360" w:lineRule="auto"/>
              <w:jc w:val="center"/>
              <w:rPr>
                <w:rFonts w:ascii="宋体" w:hAnsi="宋体"/>
                <w:sz w:val="22"/>
                <w:szCs w:val="22"/>
              </w:rPr>
            </w:pPr>
            <w:r>
              <w:rPr>
                <w:rFonts w:hint="eastAsia" w:ascii="宋体" w:hAnsi="宋体"/>
                <w:sz w:val="22"/>
                <w:szCs w:val="22"/>
              </w:rPr>
              <w:t>围挡</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半年以上工期的工地周围有无设置</w:t>
            </w:r>
            <w:r>
              <w:rPr>
                <w:rFonts w:ascii="宋体" w:hAnsi="宋体"/>
                <w:sz w:val="22"/>
                <w:szCs w:val="22"/>
              </w:rPr>
              <w:t>2.5m</w:t>
            </w:r>
            <w:r>
              <w:rPr>
                <w:rFonts w:hint="eastAsia" w:ascii="宋体" w:hAnsi="宋体"/>
                <w:sz w:val="22"/>
                <w:szCs w:val="22"/>
              </w:rPr>
              <w:t>高</w:t>
            </w:r>
            <w:r>
              <w:rPr>
                <w:rFonts w:ascii="宋体" w:hAnsi="宋体"/>
                <w:sz w:val="22"/>
                <w:szCs w:val="22"/>
              </w:rPr>
              <w:t>24</w:t>
            </w:r>
            <w:r>
              <w:rPr>
                <w:rFonts w:hint="eastAsia" w:ascii="宋体" w:hAnsi="宋体"/>
                <w:sz w:val="22"/>
                <w:szCs w:val="22"/>
              </w:rPr>
              <w:t>砖墙，基础埋深不应小于</w:t>
            </w:r>
            <w:r>
              <w:rPr>
                <w:rFonts w:ascii="宋体" w:hAnsi="宋体"/>
                <w:sz w:val="22"/>
                <w:szCs w:val="22"/>
              </w:rPr>
              <w:t>50cm，柱间距不应大于3m</w:t>
            </w:r>
            <w:r>
              <w:rPr>
                <w:rFonts w:hint="eastAsia" w:ascii="宋体" w:hAnsi="宋体"/>
                <w:sz w:val="22"/>
                <w:szCs w:val="22"/>
              </w:rPr>
              <w:t>；</w:t>
            </w:r>
          </w:p>
          <w:p>
            <w:pPr>
              <w:spacing w:line="360" w:lineRule="auto"/>
              <w:rPr>
                <w:rFonts w:ascii="宋体" w:hAnsi="宋体"/>
                <w:sz w:val="22"/>
                <w:szCs w:val="22"/>
              </w:rPr>
            </w:pPr>
            <w:r>
              <w:rPr>
                <w:rFonts w:hint="eastAsia" w:ascii="宋体" w:hAnsi="宋体"/>
                <w:sz w:val="22"/>
                <w:szCs w:val="22"/>
              </w:rPr>
              <w:t>半年以下工期的工地周围有无设置</w:t>
            </w:r>
            <w:r>
              <w:rPr>
                <w:rFonts w:ascii="宋体" w:hAnsi="宋体"/>
                <w:sz w:val="22"/>
                <w:szCs w:val="22"/>
              </w:rPr>
              <w:t>2.2m高装配</w:t>
            </w:r>
            <w:r>
              <w:rPr>
                <w:rFonts w:hint="eastAsia" w:ascii="宋体" w:hAnsi="宋体"/>
                <w:sz w:val="22"/>
                <w:szCs w:val="22"/>
              </w:rPr>
              <w:t>式双面彩钢夹芯板；</w:t>
            </w:r>
          </w:p>
          <w:p>
            <w:pPr>
              <w:spacing w:line="360" w:lineRule="auto"/>
              <w:rPr>
                <w:rFonts w:ascii="宋体" w:hAnsi="宋体"/>
                <w:sz w:val="22"/>
                <w:szCs w:val="22"/>
              </w:rPr>
            </w:pPr>
            <w:r>
              <w:rPr>
                <w:rFonts w:hint="eastAsia" w:ascii="宋体" w:hAnsi="宋体"/>
                <w:sz w:val="22"/>
                <w:szCs w:val="22"/>
              </w:rPr>
              <w:t>外墙面有无批荡、抹光作刷白处理；围墙压顶及底脚有无涂抹“地铁标准红色”；</w:t>
            </w:r>
          </w:p>
          <w:p>
            <w:pPr>
              <w:spacing w:line="360" w:lineRule="auto"/>
              <w:rPr>
                <w:rFonts w:ascii="宋体" w:hAnsi="宋体"/>
                <w:sz w:val="22"/>
                <w:szCs w:val="22"/>
              </w:rPr>
            </w:pPr>
            <w:r>
              <w:rPr>
                <w:rFonts w:hint="eastAsia" w:ascii="宋体" w:hAnsi="宋体"/>
                <w:sz w:val="22"/>
                <w:szCs w:val="22"/>
              </w:rPr>
              <w:t>围挡是否坚固、稳定、整洁、美观；围挡是否沿工地四周连续设置。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sz w:val="22"/>
                <w:szCs w:val="22"/>
              </w:rPr>
            </w:pPr>
            <w:r>
              <w:rPr>
                <w:sz w:val="22"/>
                <w:szCs w:val="22"/>
              </w:rPr>
              <w:t>2</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封闭</w:t>
            </w:r>
          </w:p>
          <w:p>
            <w:pPr>
              <w:spacing w:line="360" w:lineRule="auto"/>
              <w:jc w:val="center"/>
              <w:rPr>
                <w:rFonts w:ascii="宋体" w:hAnsi="宋体"/>
                <w:sz w:val="22"/>
                <w:szCs w:val="22"/>
              </w:rPr>
            </w:pPr>
            <w:r>
              <w:rPr>
                <w:rFonts w:hint="eastAsia" w:ascii="宋体" w:hAnsi="宋体"/>
                <w:sz w:val="22"/>
                <w:szCs w:val="22"/>
              </w:rPr>
              <w:t>管理</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施工现场进出口是否有大门；宽度不应小于</w:t>
            </w:r>
            <w:r>
              <w:rPr>
                <w:rFonts w:ascii="宋体" w:hAnsi="宋体"/>
                <w:sz w:val="22"/>
                <w:szCs w:val="22"/>
              </w:rPr>
              <w:t>6m；材料是否统一采用镀锌2寸水管做架、双面铁板做面、红丹打底上油漆；大门和门柱的颜色与围蔽应一致；是否有无门卫和门卫制度情况；进入施工现场有无佩带工作卡；门头有无设置企业标志。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sz w:val="22"/>
                <w:szCs w:val="22"/>
              </w:rPr>
            </w:pPr>
            <w:r>
              <w:rPr>
                <w:sz w:val="22"/>
                <w:szCs w:val="22"/>
              </w:rPr>
              <w:t>3</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施工</w:t>
            </w:r>
          </w:p>
          <w:p>
            <w:pPr>
              <w:spacing w:line="360" w:lineRule="auto"/>
              <w:jc w:val="center"/>
              <w:rPr>
                <w:rFonts w:ascii="宋体" w:hAnsi="宋体"/>
                <w:sz w:val="22"/>
                <w:szCs w:val="22"/>
              </w:rPr>
            </w:pPr>
            <w:r>
              <w:rPr>
                <w:rFonts w:hint="eastAsia" w:ascii="宋体" w:hAnsi="宋体"/>
                <w:sz w:val="22"/>
                <w:szCs w:val="22"/>
              </w:rPr>
              <w:t>场地</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工地路面是否已做硬化处理；道路是否畅通；是否有排水设施，排水是否通畅；有无防止泥浆、污水及废水外流或堵塞下水道和排水河道措施；工地有无积水；工地是否设置吸烟处、是否有随意吸烟现象；是否对暂不开发的场地进行绿化布置；有无设置并使用洗车槽；建筑垃圾运输车辆是否有超载、无遮盖、未冲洗干净车轮和车身，驶出工地的现象；</w:t>
            </w:r>
          </w:p>
          <w:p>
            <w:pPr>
              <w:spacing w:line="360" w:lineRule="auto"/>
              <w:rPr>
                <w:rFonts w:ascii="宋体" w:hAnsi="宋体"/>
                <w:sz w:val="22"/>
                <w:szCs w:val="22"/>
              </w:rPr>
            </w:pPr>
            <w:r>
              <w:rPr>
                <w:rFonts w:hint="eastAsia" w:ascii="宋体" w:hAnsi="宋体"/>
                <w:sz w:val="22"/>
                <w:szCs w:val="22"/>
              </w:rPr>
              <w:t>在轨行区作业过程中，是否及时清理材料和垃圾。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sz w:val="22"/>
                <w:szCs w:val="22"/>
              </w:rPr>
            </w:pPr>
            <w:r>
              <w:rPr>
                <w:sz w:val="22"/>
                <w:szCs w:val="22"/>
              </w:rPr>
              <w:t>4</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材料</w:t>
            </w:r>
          </w:p>
          <w:p>
            <w:pPr>
              <w:spacing w:line="360" w:lineRule="auto"/>
              <w:jc w:val="center"/>
              <w:rPr>
                <w:rFonts w:ascii="宋体" w:hAnsi="宋体"/>
                <w:sz w:val="22"/>
                <w:szCs w:val="22"/>
              </w:rPr>
            </w:pPr>
            <w:r>
              <w:rPr>
                <w:rFonts w:hint="eastAsia" w:ascii="宋体" w:hAnsi="宋体"/>
                <w:sz w:val="22"/>
                <w:szCs w:val="22"/>
              </w:rPr>
              <w:t>堆放</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建筑材料、构件、料具是否按总平面布局堆放；料堆是否挂名称、品种、规格等标牌；堆放是否整齐；是否做到工完场清；建筑垃圾堆放是否整齐、是否标出名称、品种。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sz w:val="22"/>
                <w:szCs w:val="22"/>
              </w:rPr>
            </w:pPr>
            <w:r>
              <w:rPr>
                <w:sz w:val="22"/>
                <w:szCs w:val="22"/>
              </w:rPr>
              <w:t>5</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现场</w:t>
            </w:r>
          </w:p>
          <w:p>
            <w:pPr>
              <w:spacing w:line="360" w:lineRule="auto"/>
              <w:jc w:val="center"/>
              <w:rPr>
                <w:rFonts w:ascii="宋体" w:hAnsi="宋体"/>
                <w:sz w:val="22"/>
                <w:szCs w:val="22"/>
              </w:rPr>
            </w:pPr>
            <w:r>
              <w:rPr>
                <w:rFonts w:hint="eastAsia" w:ascii="宋体" w:hAnsi="宋体"/>
                <w:sz w:val="22"/>
                <w:szCs w:val="22"/>
              </w:rPr>
              <w:t>住宿</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现场住宿应是否建立宿舍管理制度和值日制度；是否存在在建工程兼作住宿现象；施工作业区与办公、生活区是否能明显划分；宿舍有无消暑和防蚊虫叮咬措施；无床铺、生活用品放置是否整齐；宿舍周围环境是否卫生、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pPr>
              <w:spacing w:line="360" w:lineRule="auto"/>
              <w:jc w:val="center"/>
              <w:rPr>
                <w:sz w:val="22"/>
                <w:szCs w:val="22"/>
              </w:rPr>
            </w:pPr>
            <w:r>
              <w:rPr>
                <w:sz w:val="22"/>
                <w:szCs w:val="22"/>
              </w:rPr>
              <w:t>6</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现场防火与危险品管理</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有无消防制度、措施及无灭火器材；灭火器材配置是否合理；有无消防水源（高层建筑）或是否满足消防要求；有无动火审批手续和动火监护；</w:t>
            </w:r>
          </w:p>
          <w:p>
            <w:pPr>
              <w:spacing w:line="360" w:lineRule="auto"/>
              <w:rPr>
                <w:rFonts w:ascii="宋体" w:hAnsi="宋体"/>
                <w:sz w:val="22"/>
                <w:szCs w:val="22"/>
              </w:rPr>
            </w:pPr>
            <w:r>
              <w:rPr>
                <w:rFonts w:hint="eastAsia" w:ascii="宋体" w:hAnsi="宋体"/>
                <w:sz w:val="22"/>
                <w:szCs w:val="22"/>
              </w:rPr>
              <w:t>现场危险化学品、易燃易爆物品有无专门仓库分类存放；是否悬挂警示标；是否在宿舍内煮食或使用大功率电器设备；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645" w:type="dxa"/>
            <w:noWrap w:val="0"/>
            <w:vAlign w:val="center"/>
          </w:tcPr>
          <w:p>
            <w:pPr>
              <w:spacing w:line="360" w:lineRule="auto"/>
              <w:jc w:val="center"/>
              <w:rPr>
                <w:sz w:val="22"/>
                <w:szCs w:val="22"/>
              </w:rPr>
            </w:pPr>
            <w:r>
              <w:rPr>
                <w:sz w:val="22"/>
                <w:szCs w:val="22"/>
              </w:rPr>
              <w:t>7</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治安</w:t>
            </w:r>
          </w:p>
          <w:p>
            <w:pPr>
              <w:spacing w:line="360" w:lineRule="auto"/>
              <w:jc w:val="center"/>
              <w:rPr>
                <w:rFonts w:ascii="宋体" w:hAnsi="宋体"/>
                <w:sz w:val="22"/>
                <w:szCs w:val="22"/>
              </w:rPr>
            </w:pPr>
            <w:r>
              <w:rPr>
                <w:rFonts w:hint="eastAsia" w:ascii="宋体" w:hAnsi="宋体"/>
                <w:sz w:val="22"/>
                <w:szCs w:val="22"/>
              </w:rPr>
              <w:t>综合</w:t>
            </w:r>
          </w:p>
          <w:p>
            <w:pPr>
              <w:spacing w:line="360" w:lineRule="auto"/>
              <w:jc w:val="center"/>
              <w:rPr>
                <w:rFonts w:ascii="宋体" w:hAnsi="宋体"/>
                <w:sz w:val="22"/>
                <w:szCs w:val="22"/>
              </w:rPr>
            </w:pPr>
            <w:r>
              <w:rPr>
                <w:rFonts w:hint="eastAsia" w:ascii="宋体" w:hAnsi="宋体"/>
                <w:sz w:val="22"/>
                <w:szCs w:val="22"/>
              </w:rPr>
              <w:t>治理</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是否在生活区给工人设置学习和娱乐场所；是否建立治安保卫制度的、责任未分解到人；治安防范措施是否到位，是否常发生失盗事件。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645" w:type="dxa"/>
            <w:noWrap w:val="0"/>
            <w:vAlign w:val="center"/>
          </w:tcPr>
          <w:p>
            <w:pPr>
              <w:spacing w:line="360" w:lineRule="auto"/>
              <w:jc w:val="center"/>
              <w:rPr>
                <w:sz w:val="22"/>
                <w:szCs w:val="22"/>
              </w:rPr>
            </w:pPr>
            <w:r>
              <w:rPr>
                <w:sz w:val="22"/>
                <w:szCs w:val="22"/>
              </w:rPr>
              <w:t>8</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施工</w:t>
            </w:r>
          </w:p>
          <w:p>
            <w:pPr>
              <w:spacing w:line="360" w:lineRule="auto"/>
              <w:jc w:val="center"/>
              <w:rPr>
                <w:rFonts w:ascii="宋体" w:hAnsi="宋体"/>
                <w:sz w:val="22"/>
                <w:szCs w:val="22"/>
              </w:rPr>
            </w:pPr>
            <w:r>
              <w:rPr>
                <w:rFonts w:hint="eastAsia" w:ascii="宋体" w:hAnsi="宋体"/>
                <w:sz w:val="22"/>
                <w:szCs w:val="22"/>
              </w:rPr>
              <w:t>现场</w:t>
            </w:r>
          </w:p>
          <w:p>
            <w:pPr>
              <w:spacing w:line="360" w:lineRule="auto"/>
              <w:jc w:val="center"/>
              <w:rPr>
                <w:rFonts w:ascii="宋体" w:hAnsi="宋体"/>
                <w:sz w:val="22"/>
                <w:szCs w:val="22"/>
              </w:rPr>
            </w:pPr>
            <w:r>
              <w:rPr>
                <w:rFonts w:hint="eastAsia" w:ascii="宋体" w:hAnsi="宋体"/>
                <w:sz w:val="22"/>
                <w:szCs w:val="22"/>
              </w:rPr>
              <w:t>标牌</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七牌一图内容是否全面；标牌是否规范、整齐；有无安全标语；有无宣传栏、读报栏、黑板报等。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645" w:type="dxa"/>
            <w:noWrap w:val="0"/>
            <w:vAlign w:val="center"/>
          </w:tcPr>
          <w:p>
            <w:pPr>
              <w:spacing w:line="360" w:lineRule="auto"/>
              <w:jc w:val="center"/>
              <w:rPr>
                <w:sz w:val="22"/>
                <w:szCs w:val="22"/>
              </w:rPr>
            </w:pPr>
            <w:r>
              <w:rPr>
                <w:sz w:val="22"/>
                <w:szCs w:val="22"/>
              </w:rPr>
              <w:t>9</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生活</w:t>
            </w:r>
          </w:p>
          <w:p>
            <w:pPr>
              <w:spacing w:line="360" w:lineRule="auto"/>
              <w:jc w:val="center"/>
              <w:rPr>
                <w:rFonts w:ascii="宋体" w:hAnsi="宋体"/>
                <w:sz w:val="22"/>
                <w:szCs w:val="22"/>
              </w:rPr>
            </w:pPr>
            <w:r>
              <w:rPr>
                <w:rFonts w:hint="eastAsia" w:ascii="宋体" w:hAnsi="宋体"/>
                <w:sz w:val="22"/>
                <w:szCs w:val="22"/>
              </w:rPr>
              <w:t>设施</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厕所是否符合卫生要求；有无厕所、随地大小便；食堂是否符合卫生要求；有无卫生责任制；是否保证供应卫生饮水；有无淋浴室，淋浴室是否符合要求；生活垃圾是否及时清理，装容器，且专人管理。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45" w:type="dxa"/>
            <w:noWrap w:val="0"/>
            <w:vAlign w:val="center"/>
          </w:tcPr>
          <w:p>
            <w:pPr>
              <w:spacing w:line="360" w:lineRule="auto"/>
              <w:jc w:val="center"/>
              <w:rPr>
                <w:sz w:val="22"/>
                <w:szCs w:val="22"/>
              </w:rPr>
            </w:pPr>
            <w:r>
              <w:rPr>
                <w:sz w:val="22"/>
                <w:szCs w:val="22"/>
              </w:rPr>
              <w:t>10</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保健</w:t>
            </w:r>
          </w:p>
          <w:p>
            <w:pPr>
              <w:spacing w:line="360" w:lineRule="auto"/>
              <w:jc w:val="center"/>
              <w:rPr>
                <w:rFonts w:ascii="宋体" w:hAnsi="宋体"/>
                <w:sz w:val="22"/>
                <w:szCs w:val="22"/>
              </w:rPr>
            </w:pPr>
            <w:r>
              <w:rPr>
                <w:rFonts w:hint="eastAsia" w:ascii="宋体" w:hAnsi="宋体"/>
                <w:sz w:val="22"/>
                <w:szCs w:val="22"/>
              </w:rPr>
              <w:t>急救</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有无保健医药箱；有无急救措施和急救器材；是否开展卫生防病宣传教育。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645" w:type="dxa"/>
            <w:noWrap w:val="0"/>
            <w:vAlign w:val="center"/>
          </w:tcPr>
          <w:p>
            <w:pPr>
              <w:spacing w:line="360" w:lineRule="auto"/>
              <w:jc w:val="center"/>
              <w:rPr>
                <w:sz w:val="22"/>
                <w:szCs w:val="22"/>
              </w:rPr>
            </w:pPr>
            <w:r>
              <w:rPr>
                <w:sz w:val="22"/>
                <w:szCs w:val="22"/>
              </w:rPr>
              <w:t>11</w:t>
            </w:r>
          </w:p>
        </w:tc>
        <w:tc>
          <w:tcPr>
            <w:tcW w:w="970" w:type="dxa"/>
            <w:noWrap w:val="0"/>
            <w:vAlign w:val="center"/>
          </w:tcPr>
          <w:p>
            <w:pPr>
              <w:spacing w:line="360" w:lineRule="auto"/>
              <w:jc w:val="center"/>
              <w:rPr>
                <w:rFonts w:ascii="宋体" w:hAnsi="宋体"/>
                <w:sz w:val="22"/>
                <w:szCs w:val="22"/>
              </w:rPr>
            </w:pPr>
            <w:r>
              <w:rPr>
                <w:rFonts w:hint="eastAsia" w:ascii="宋体" w:hAnsi="宋体"/>
                <w:sz w:val="22"/>
                <w:szCs w:val="22"/>
              </w:rPr>
              <w:t>社区</w:t>
            </w:r>
          </w:p>
          <w:p>
            <w:pPr>
              <w:spacing w:line="360" w:lineRule="auto"/>
              <w:jc w:val="center"/>
              <w:rPr>
                <w:rFonts w:ascii="宋体" w:hAnsi="宋体"/>
                <w:sz w:val="22"/>
                <w:szCs w:val="22"/>
              </w:rPr>
            </w:pPr>
            <w:r>
              <w:rPr>
                <w:rFonts w:hint="eastAsia" w:ascii="宋体" w:hAnsi="宋体"/>
                <w:sz w:val="22"/>
                <w:szCs w:val="22"/>
              </w:rPr>
              <w:t>服务</w:t>
            </w:r>
          </w:p>
        </w:tc>
        <w:tc>
          <w:tcPr>
            <w:tcW w:w="7627" w:type="dxa"/>
            <w:noWrap w:val="0"/>
            <w:vAlign w:val="center"/>
          </w:tcPr>
          <w:p>
            <w:pPr>
              <w:spacing w:line="360" w:lineRule="auto"/>
              <w:rPr>
                <w:rFonts w:ascii="宋体" w:hAnsi="宋体"/>
                <w:sz w:val="22"/>
                <w:szCs w:val="22"/>
              </w:rPr>
            </w:pPr>
            <w:r>
              <w:rPr>
                <w:rFonts w:hint="eastAsia" w:ascii="宋体" w:hAnsi="宋体"/>
                <w:sz w:val="22"/>
                <w:szCs w:val="22"/>
              </w:rPr>
              <w:t>有无防尘粉和防噪音措施；夜间是否经许可施工；现场有无焚烧有毒、有害物质。</w:t>
            </w:r>
          </w:p>
        </w:tc>
      </w:tr>
    </w:tbl>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ascii="仿宋_GB2312" w:eastAsia="仿宋_GB2312"/>
          <w:sz w:val="22"/>
          <w:szCs w:val="22"/>
        </w:rPr>
      </w:pPr>
    </w:p>
    <w:p>
      <w:pPr>
        <w:spacing w:line="360" w:lineRule="auto"/>
        <w:rPr>
          <w:rFonts w:hint="eastAsia" w:ascii="仿宋_GB2312" w:hAnsi="宋体" w:eastAsia="仿宋_GB2312"/>
          <w:sz w:val="22"/>
          <w:szCs w:val="22"/>
        </w:rPr>
      </w:pPr>
      <w:r>
        <w:rPr>
          <w:rFonts w:ascii="仿宋_GB2312" w:hAnsi="宋体" w:eastAsia="仿宋_GB2312"/>
          <w:sz w:val="22"/>
          <w:szCs w:val="22"/>
        </w:rPr>
        <w:br w:type="page"/>
      </w:r>
      <w:r>
        <w:rPr>
          <w:rFonts w:hint="eastAsia" w:ascii="宋体" w:hAnsi="宋体" w:cs="宋体"/>
          <w:sz w:val="22"/>
          <w:szCs w:val="22"/>
        </w:rPr>
        <w:t>附件3：</w:t>
      </w:r>
    </w:p>
    <w:p>
      <w:pPr>
        <w:spacing w:line="360" w:lineRule="auto"/>
        <w:jc w:val="right"/>
        <w:rPr>
          <w:rFonts w:hint="eastAsia"/>
          <w:b/>
          <w:sz w:val="22"/>
          <w:szCs w:val="22"/>
        </w:rPr>
      </w:pPr>
      <w:r>
        <w:rPr>
          <w:rFonts w:hint="eastAsia"/>
          <w:b/>
          <w:sz w:val="22"/>
          <w:szCs w:val="22"/>
        </w:rPr>
        <w:t>编号：</w:t>
      </w:r>
      <w:r>
        <w:rPr>
          <w:rFonts w:hint="eastAsia"/>
          <w:sz w:val="22"/>
          <w:szCs w:val="22"/>
          <w:u w:val="single"/>
        </w:rPr>
        <w:t>房产安检</w:t>
      </w:r>
      <w:r>
        <w:rPr>
          <w:sz w:val="22"/>
          <w:szCs w:val="22"/>
          <w:u w:val="single"/>
        </w:rPr>
        <w:t xml:space="preserve">20  </w:t>
      </w:r>
      <w:r>
        <w:rPr>
          <w:rFonts w:hint="eastAsia"/>
          <w:sz w:val="22"/>
          <w:szCs w:val="22"/>
          <w:u w:val="single"/>
        </w:rPr>
        <w:t>年号</w:t>
      </w:r>
    </w:p>
    <w:p>
      <w:pPr>
        <w:spacing w:line="360" w:lineRule="auto"/>
        <w:jc w:val="center"/>
        <w:rPr>
          <w:b/>
          <w:sz w:val="36"/>
          <w:szCs w:val="36"/>
          <w:u w:val="single"/>
        </w:rPr>
      </w:pPr>
      <w:r>
        <w:rPr>
          <w:rFonts w:hint="eastAsia"/>
          <w:b/>
          <w:sz w:val="36"/>
          <w:szCs w:val="36"/>
          <w:u w:val="single"/>
        </w:rPr>
        <w:t>广州地铁集团有限公司</w:t>
      </w:r>
    </w:p>
    <w:p>
      <w:pPr>
        <w:spacing w:line="360" w:lineRule="auto"/>
        <w:jc w:val="center"/>
        <w:rPr>
          <w:b/>
          <w:sz w:val="36"/>
          <w:szCs w:val="36"/>
        </w:rPr>
      </w:pPr>
      <w:r>
        <w:rPr>
          <w:rFonts w:hint="eastAsia"/>
          <w:b/>
          <w:sz w:val="36"/>
          <w:szCs w:val="36"/>
        </w:rPr>
        <w:t>安全文明整改通知书</w:t>
      </w:r>
    </w:p>
    <w:p>
      <w:pPr>
        <w:spacing w:line="360" w:lineRule="auto"/>
        <w:rPr>
          <w:rFonts w:hint="eastAsia"/>
          <w:b/>
          <w:sz w:val="22"/>
          <w:szCs w:val="22"/>
        </w:rPr>
      </w:pPr>
    </w:p>
    <w:p>
      <w:pPr>
        <w:spacing w:line="360" w:lineRule="auto"/>
        <w:rPr>
          <w:b/>
          <w:sz w:val="22"/>
          <w:szCs w:val="22"/>
        </w:rPr>
      </w:pPr>
      <w:r>
        <w:rPr>
          <w:rFonts w:hint="eastAsia"/>
          <w:b/>
          <w:sz w:val="22"/>
          <w:szCs w:val="22"/>
        </w:rPr>
        <w:t>责任单位：</w:t>
      </w:r>
    </w:p>
    <w:p>
      <w:pPr>
        <w:spacing w:line="360" w:lineRule="auto"/>
        <w:ind w:left="580" w:leftChars="276"/>
        <w:rPr>
          <w:sz w:val="22"/>
          <w:szCs w:val="22"/>
        </w:rPr>
      </w:pPr>
      <w:r>
        <w:rPr>
          <w:rFonts w:hint="eastAsia"/>
          <w:b/>
          <w:sz w:val="22"/>
          <w:szCs w:val="22"/>
        </w:rPr>
        <w:t>你单位负责的</w:t>
      </w:r>
      <w:r>
        <w:rPr>
          <w:rFonts w:hint="eastAsia"/>
          <w:b/>
          <w:sz w:val="22"/>
          <w:szCs w:val="22"/>
          <w:u w:val="single"/>
        </w:rPr>
        <w:t xml:space="preserve">             </w:t>
      </w:r>
      <w:r>
        <w:rPr>
          <w:rFonts w:hint="eastAsia"/>
          <w:b/>
          <w:sz w:val="22"/>
          <w:szCs w:val="22"/>
        </w:rPr>
        <w:t xml:space="preserve">，经安全文明检查组 </w:t>
      </w:r>
      <w:r>
        <w:rPr>
          <w:rFonts w:hint="eastAsia"/>
          <w:b/>
          <w:sz w:val="22"/>
          <w:szCs w:val="22"/>
          <w:u w:val="single"/>
        </w:rPr>
        <w:t xml:space="preserve">    </w:t>
      </w:r>
      <w:r>
        <w:rPr>
          <w:rFonts w:hint="eastAsia"/>
          <w:b/>
          <w:sz w:val="22"/>
          <w:szCs w:val="22"/>
        </w:rPr>
        <w:t>月</w:t>
      </w:r>
      <w:r>
        <w:rPr>
          <w:rFonts w:hint="eastAsia"/>
          <w:b/>
          <w:sz w:val="22"/>
          <w:szCs w:val="22"/>
          <w:u w:val="single"/>
        </w:rPr>
        <w:t xml:space="preserve">     </w:t>
      </w:r>
      <w:r>
        <w:rPr>
          <w:rFonts w:hint="eastAsia"/>
          <w:b/>
          <w:sz w:val="22"/>
          <w:szCs w:val="22"/>
        </w:rPr>
        <w:t>日检查，存在以下安全文明问题：</w:t>
      </w:r>
    </w:p>
    <w:p>
      <w:pPr>
        <w:spacing w:line="360" w:lineRule="auto"/>
        <w:rPr>
          <w:sz w:val="22"/>
          <w:szCs w:val="22"/>
        </w:rPr>
      </w:pPr>
    </w:p>
    <w:p>
      <w:pPr>
        <w:spacing w:line="360" w:lineRule="auto"/>
        <w:rPr>
          <w:sz w:val="22"/>
          <w:szCs w:val="22"/>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b/>
          <w:sz w:val="22"/>
          <w:szCs w:val="22"/>
        </w:rPr>
      </w:pPr>
      <w:r>
        <w:rPr>
          <w:rFonts w:hint="eastAsia"/>
          <w:b/>
          <w:sz w:val="22"/>
          <w:szCs w:val="22"/>
        </w:rPr>
        <w:t>上述条安全文明问题限于年月日前整改完毕，并将整改结果书面报告品云签发部门。</w:t>
      </w:r>
    </w:p>
    <w:p>
      <w:pPr>
        <w:spacing w:line="360" w:lineRule="auto"/>
        <w:rPr>
          <w:b/>
          <w:sz w:val="22"/>
          <w:szCs w:val="22"/>
        </w:rPr>
      </w:pPr>
    </w:p>
    <w:p>
      <w:pPr>
        <w:spacing w:line="360" w:lineRule="auto"/>
        <w:rPr>
          <w:b/>
          <w:sz w:val="22"/>
          <w:szCs w:val="22"/>
        </w:rPr>
      </w:pPr>
    </w:p>
    <w:p>
      <w:pPr>
        <w:spacing w:line="360" w:lineRule="auto"/>
        <w:rPr>
          <w:rFonts w:hint="eastAsia"/>
          <w:b/>
          <w:sz w:val="22"/>
          <w:szCs w:val="22"/>
        </w:rPr>
      </w:pPr>
      <w:r>
        <w:rPr>
          <w:rFonts w:hint="eastAsia"/>
          <w:b/>
          <w:sz w:val="22"/>
          <w:szCs w:val="22"/>
        </w:rPr>
        <w:t>检查人员：</w:t>
      </w:r>
    </w:p>
    <w:p>
      <w:pPr>
        <w:spacing w:line="360" w:lineRule="auto"/>
        <w:jc w:val="center"/>
        <w:rPr>
          <w:b/>
          <w:sz w:val="22"/>
          <w:szCs w:val="22"/>
        </w:rPr>
      </w:pPr>
    </w:p>
    <w:p>
      <w:pPr>
        <w:spacing w:line="360" w:lineRule="auto"/>
        <w:jc w:val="center"/>
        <w:rPr>
          <w:sz w:val="22"/>
          <w:szCs w:val="22"/>
          <w:u w:val="single"/>
        </w:rPr>
      </w:pPr>
      <w:r>
        <w:rPr>
          <w:rFonts w:hint="eastAsia"/>
          <w:b/>
          <w:sz w:val="22"/>
          <w:szCs w:val="22"/>
        </w:rPr>
        <w:t>年    月     日</w:t>
      </w:r>
    </w:p>
    <w:p>
      <w:pPr>
        <w:spacing w:line="360" w:lineRule="auto"/>
        <w:rPr>
          <w:sz w:val="22"/>
          <w:szCs w:val="22"/>
          <w:u w:val="single"/>
        </w:rPr>
      </w:pPr>
    </w:p>
    <w:p>
      <w:pPr>
        <w:spacing w:line="360" w:lineRule="auto"/>
        <w:rPr>
          <w:b/>
          <w:sz w:val="22"/>
          <w:szCs w:val="22"/>
        </w:rPr>
      </w:pPr>
      <w:r>
        <w:rPr>
          <w:rFonts w:hint="eastAsia"/>
          <w:b/>
          <w:sz w:val="22"/>
          <w:szCs w:val="22"/>
        </w:rPr>
        <w:t>注：本通知一式二联：一联（自存），二联（责任单位）。</w:t>
      </w:r>
    </w:p>
    <w:p>
      <w:pPr>
        <w:spacing w:line="360" w:lineRule="auto"/>
        <w:rPr>
          <w:b/>
          <w:sz w:val="22"/>
          <w:szCs w:val="22"/>
        </w:rPr>
      </w:pPr>
    </w:p>
    <w:p>
      <w:pPr>
        <w:spacing w:line="360" w:lineRule="auto"/>
        <w:rPr>
          <w:rFonts w:ascii="仿宋_GB2312" w:hAnsi="宋体" w:eastAsia="仿宋_GB2312"/>
          <w:sz w:val="22"/>
          <w:szCs w:val="22"/>
        </w:rPr>
      </w:pPr>
    </w:p>
    <w:p>
      <w:pPr>
        <w:spacing w:line="360" w:lineRule="auto"/>
        <w:rPr>
          <w:rFonts w:hint="eastAsia" w:ascii="仿宋_GB2312" w:hAnsi="宋体" w:eastAsia="仿宋_GB2312"/>
          <w:sz w:val="22"/>
          <w:szCs w:val="22"/>
        </w:rPr>
      </w:pPr>
    </w:p>
    <w:p>
      <w:pPr>
        <w:spacing w:line="360" w:lineRule="auto"/>
        <w:rPr>
          <w:rFonts w:hint="eastAsia" w:ascii="仿宋_GB2312" w:hAnsi="宋体" w:eastAsia="仿宋_GB2312"/>
          <w:sz w:val="22"/>
          <w:szCs w:val="22"/>
        </w:rPr>
      </w:pPr>
    </w:p>
    <w:p>
      <w:pPr>
        <w:spacing w:line="360" w:lineRule="auto"/>
        <w:rPr>
          <w:rFonts w:hint="eastAsia" w:ascii="仿宋_GB2312" w:hAnsi="宋体" w:eastAsia="仿宋_GB2312"/>
          <w:sz w:val="22"/>
          <w:szCs w:val="22"/>
        </w:rPr>
      </w:pPr>
    </w:p>
    <w:p>
      <w:pPr>
        <w:spacing w:line="360" w:lineRule="auto"/>
        <w:rPr>
          <w:rFonts w:hint="eastAsia" w:ascii="仿宋_GB2312" w:hAnsi="宋体" w:eastAsia="仿宋_GB2312"/>
          <w:sz w:val="22"/>
          <w:szCs w:val="22"/>
        </w:rPr>
      </w:pPr>
    </w:p>
    <w:p>
      <w:pPr>
        <w:spacing w:line="360" w:lineRule="auto"/>
        <w:rPr>
          <w:rFonts w:hint="eastAsia" w:ascii="仿宋_GB2312" w:hAnsi="宋体" w:eastAsia="仿宋_GB2312"/>
          <w:sz w:val="22"/>
          <w:szCs w:val="22"/>
        </w:rPr>
      </w:pPr>
      <w:r>
        <w:rPr>
          <w:rFonts w:hint="eastAsia" w:ascii="宋体" w:hAnsi="宋体" w:cs="宋体"/>
          <w:sz w:val="22"/>
          <w:szCs w:val="22"/>
        </w:rPr>
        <w:t>附件4</w:t>
      </w:r>
    </w:p>
    <w:p>
      <w:pPr>
        <w:spacing w:line="360" w:lineRule="auto"/>
        <w:rPr>
          <w:rFonts w:hint="eastAsia"/>
          <w:b/>
          <w:sz w:val="22"/>
          <w:szCs w:val="22"/>
        </w:rPr>
      </w:pPr>
    </w:p>
    <w:p>
      <w:pPr>
        <w:spacing w:line="360" w:lineRule="auto"/>
        <w:jc w:val="right"/>
        <w:rPr>
          <w:rFonts w:ascii="仿宋_GB2312" w:eastAsia="仿宋_GB2312"/>
          <w:sz w:val="22"/>
          <w:szCs w:val="22"/>
        </w:rPr>
      </w:pPr>
      <w:r>
        <w:rPr>
          <w:rFonts w:hint="eastAsia"/>
          <w:b/>
          <w:sz w:val="22"/>
          <w:szCs w:val="22"/>
        </w:rPr>
        <w:t>编号：</w:t>
      </w:r>
      <w:r>
        <w:rPr>
          <w:rFonts w:hint="eastAsia"/>
          <w:sz w:val="22"/>
          <w:szCs w:val="22"/>
          <w:u w:val="single"/>
        </w:rPr>
        <w:t>房产停工</w:t>
      </w:r>
      <w:r>
        <w:rPr>
          <w:sz w:val="22"/>
          <w:szCs w:val="22"/>
          <w:u w:val="single"/>
        </w:rPr>
        <w:t xml:space="preserve">20  </w:t>
      </w:r>
      <w:r>
        <w:rPr>
          <w:rFonts w:hint="eastAsia"/>
          <w:sz w:val="22"/>
          <w:szCs w:val="22"/>
          <w:u w:val="single"/>
        </w:rPr>
        <w:t>年号</w:t>
      </w:r>
    </w:p>
    <w:p>
      <w:pPr>
        <w:spacing w:line="360" w:lineRule="auto"/>
        <w:jc w:val="center"/>
        <w:rPr>
          <w:rFonts w:hint="eastAsia"/>
          <w:b/>
          <w:sz w:val="36"/>
          <w:szCs w:val="36"/>
          <w:u w:val="single"/>
        </w:rPr>
      </w:pPr>
      <w:r>
        <w:rPr>
          <w:rFonts w:hint="eastAsia"/>
          <w:b/>
          <w:sz w:val="36"/>
          <w:szCs w:val="36"/>
          <w:u w:val="single"/>
        </w:rPr>
        <w:t>广州地铁集团有限公司</w:t>
      </w:r>
    </w:p>
    <w:p>
      <w:pPr>
        <w:spacing w:line="360" w:lineRule="auto"/>
        <w:jc w:val="center"/>
        <w:rPr>
          <w:b/>
          <w:sz w:val="36"/>
          <w:szCs w:val="36"/>
        </w:rPr>
      </w:pPr>
      <w:r>
        <w:rPr>
          <w:rFonts w:hint="eastAsia"/>
          <w:b/>
          <w:sz w:val="36"/>
          <w:szCs w:val="36"/>
        </w:rPr>
        <w:t>安全停工（停业）指令</w:t>
      </w:r>
    </w:p>
    <w:p>
      <w:pPr>
        <w:spacing w:line="360" w:lineRule="auto"/>
        <w:ind w:left="543" w:leftChars="1" w:hanging="541" w:hangingChars="245"/>
        <w:rPr>
          <w:b/>
          <w:sz w:val="22"/>
          <w:szCs w:val="22"/>
        </w:rPr>
      </w:pPr>
      <w:r>
        <w:rPr>
          <w:rFonts w:hint="eastAsia"/>
          <w:b/>
          <w:sz w:val="22"/>
          <w:szCs w:val="22"/>
        </w:rPr>
        <w:t>责任部门：</w:t>
      </w:r>
    </w:p>
    <w:p>
      <w:pPr>
        <w:spacing w:line="360" w:lineRule="auto"/>
        <w:ind w:left="580" w:leftChars="276"/>
        <w:rPr>
          <w:sz w:val="22"/>
          <w:szCs w:val="22"/>
        </w:rPr>
      </w:pPr>
      <w:r>
        <w:rPr>
          <w:rFonts w:hint="eastAsia"/>
          <w:b/>
          <w:sz w:val="22"/>
          <w:szCs w:val="22"/>
        </w:rPr>
        <w:t>你单位负责的</w:t>
      </w:r>
      <w:r>
        <w:rPr>
          <w:rFonts w:hint="eastAsia"/>
          <w:b/>
          <w:sz w:val="22"/>
          <w:szCs w:val="22"/>
          <w:u w:val="single"/>
        </w:rPr>
        <w:t xml:space="preserve">        </w:t>
      </w:r>
      <w:r>
        <w:rPr>
          <w:rFonts w:hint="eastAsia"/>
          <w:b/>
          <w:sz w:val="22"/>
          <w:szCs w:val="22"/>
        </w:rPr>
        <w:t>，经安全检查组</w:t>
      </w:r>
      <w:r>
        <w:rPr>
          <w:rFonts w:hint="eastAsia"/>
          <w:b/>
          <w:sz w:val="22"/>
          <w:szCs w:val="22"/>
          <w:u w:val="single"/>
        </w:rPr>
        <w:t xml:space="preserve">    </w:t>
      </w:r>
      <w:r>
        <w:rPr>
          <w:rFonts w:hint="eastAsia"/>
          <w:b/>
          <w:sz w:val="22"/>
          <w:szCs w:val="22"/>
        </w:rPr>
        <w:t>月</w:t>
      </w:r>
      <w:r>
        <w:rPr>
          <w:rFonts w:hint="eastAsia"/>
          <w:b/>
          <w:sz w:val="22"/>
          <w:szCs w:val="22"/>
          <w:u w:val="single"/>
        </w:rPr>
        <w:t xml:space="preserve">     </w:t>
      </w:r>
      <w:r>
        <w:rPr>
          <w:rFonts w:hint="eastAsia"/>
          <w:b/>
          <w:sz w:val="22"/>
          <w:szCs w:val="22"/>
        </w:rPr>
        <w:t>日检查，存在以下安全问题：</w:t>
      </w:r>
    </w:p>
    <w:p>
      <w:pPr>
        <w:spacing w:line="360" w:lineRule="auto"/>
        <w:rPr>
          <w:sz w:val="22"/>
          <w:szCs w:val="22"/>
        </w:rPr>
      </w:pPr>
    </w:p>
    <w:p>
      <w:pPr>
        <w:spacing w:line="360" w:lineRule="auto"/>
        <w:rPr>
          <w:sz w:val="22"/>
          <w:szCs w:val="22"/>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sz w:val="22"/>
          <w:szCs w:val="22"/>
          <w:u w:val="single"/>
        </w:rPr>
      </w:pPr>
    </w:p>
    <w:p>
      <w:pPr>
        <w:spacing w:line="360" w:lineRule="auto"/>
        <w:rPr>
          <w:b/>
          <w:sz w:val="22"/>
          <w:szCs w:val="22"/>
        </w:rPr>
      </w:pPr>
      <w:r>
        <w:rPr>
          <w:rFonts w:hint="eastAsia"/>
          <w:b/>
          <w:sz w:val="22"/>
          <w:szCs w:val="22"/>
        </w:rPr>
        <w:t>上述条安全问题立即停工（停业）整改，整改完毕后将整改结果书面报告品云签发部门申请复工复业。</w:t>
      </w:r>
    </w:p>
    <w:p>
      <w:pPr>
        <w:spacing w:line="360" w:lineRule="auto"/>
        <w:rPr>
          <w:b/>
          <w:sz w:val="22"/>
          <w:szCs w:val="22"/>
        </w:rPr>
      </w:pPr>
    </w:p>
    <w:p>
      <w:pPr>
        <w:spacing w:line="360" w:lineRule="auto"/>
        <w:rPr>
          <w:b/>
          <w:sz w:val="22"/>
          <w:szCs w:val="22"/>
        </w:rPr>
      </w:pPr>
    </w:p>
    <w:p>
      <w:pPr>
        <w:spacing w:line="360" w:lineRule="auto"/>
        <w:rPr>
          <w:rFonts w:hint="eastAsia"/>
          <w:b/>
          <w:sz w:val="22"/>
          <w:szCs w:val="22"/>
        </w:rPr>
      </w:pPr>
      <w:r>
        <w:rPr>
          <w:rFonts w:hint="eastAsia"/>
          <w:b/>
          <w:sz w:val="22"/>
          <w:szCs w:val="22"/>
        </w:rPr>
        <w:t>检查人员：</w:t>
      </w:r>
    </w:p>
    <w:p>
      <w:pPr>
        <w:spacing w:line="360" w:lineRule="auto"/>
        <w:rPr>
          <w:sz w:val="22"/>
          <w:szCs w:val="22"/>
          <w:u w:val="single"/>
        </w:rPr>
      </w:pPr>
      <w:r>
        <w:rPr>
          <w:rFonts w:hint="eastAsia"/>
          <w:b/>
          <w:sz w:val="22"/>
          <w:szCs w:val="22"/>
        </w:rPr>
        <w:t>签发人：</w:t>
      </w:r>
    </w:p>
    <w:p>
      <w:pPr>
        <w:spacing w:line="360" w:lineRule="auto"/>
        <w:rPr>
          <w:sz w:val="22"/>
          <w:szCs w:val="22"/>
          <w:u w:val="single"/>
        </w:rPr>
      </w:pPr>
    </w:p>
    <w:p>
      <w:pPr>
        <w:spacing w:line="360" w:lineRule="auto"/>
        <w:jc w:val="center"/>
        <w:rPr>
          <w:b/>
          <w:sz w:val="22"/>
          <w:szCs w:val="22"/>
        </w:rPr>
      </w:pPr>
    </w:p>
    <w:p>
      <w:pPr>
        <w:spacing w:line="360" w:lineRule="auto"/>
        <w:jc w:val="center"/>
        <w:rPr>
          <w:sz w:val="22"/>
          <w:szCs w:val="22"/>
          <w:u w:val="single"/>
        </w:rPr>
      </w:pPr>
      <w:r>
        <w:rPr>
          <w:rFonts w:hint="eastAsia"/>
          <w:b/>
          <w:sz w:val="22"/>
          <w:szCs w:val="22"/>
        </w:rPr>
        <w:t xml:space="preserve">  年     月      日</w:t>
      </w:r>
    </w:p>
    <w:p>
      <w:pPr>
        <w:spacing w:line="360" w:lineRule="auto"/>
        <w:rPr>
          <w:sz w:val="22"/>
          <w:szCs w:val="22"/>
          <w:u w:val="single"/>
        </w:rPr>
      </w:pPr>
    </w:p>
    <w:p>
      <w:pPr>
        <w:spacing w:line="360" w:lineRule="auto"/>
        <w:rPr>
          <w:b/>
          <w:sz w:val="22"/>
          <w:szCs w:val="22"/>
        </w:rPr>
      </w:pPr>
      <w:r>
        <w:rPr>
          <w:rFonts w:hint="eastAsia"/>
          <w:b/>
          <w:sz w:val="22"/>
          <w:szCs w:val="22"/>
        </w:rPr>
        <w:t>注：本通知一式二联：一联（自存），二联（责任单位）。</w:t>
      </w:r>
    </w:p>
    <w:p>
      <w:pPr>
        <w:rPr>
          <w:b/>
          <w:sz w:val="20"/>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仿宋_GB2312">
    <w:panose1 w:val="02010609030101010101"/>
    <w:charset w:val="86"/>
    <w:family w:val="modern"/>
    <w:pitch w:val="default"/>
    <w:sig w:usb0="00000001" w:usb1="080E0000" w:usb2="00000000" w:usb3="00000000" w:csb0="00040000" w:csb1="00000000"/>
  </w:font>
  <w:font w:name="文鼎小标宋简">
    <w:altName w:val="Arial Unicode MS"/>
    <w:panose1 w:val="02010609010101010101"/>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5D4073B7"/>
    <w:rsid w:val="5D407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2023-07-07T06:47:00Z</dcterms:created>
  <dc:creator>以升</dc:creator>
  <cp:lastModifiedBy>以升</cp:lastModifiedBy>
  <dcterms:modified xsi:type="dcterms:W3CDTF">2023-07-07T06:48:04Z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06DDCC7478C64776815A24A0F4B84415_11</vt:lpwstr>
  </property>
</Properties>
</file>