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b/>
          <w:color w:val="000000"/>
          <w:sz w:val="44"/>
          <w:szCs w:val="44"/>
        </w:rPr>
      </w:pPr>
      <w:r>
        <w:rPr>
          <w:rStyle w:val="9"/>
          <w:rFonts w:hint="default" w:ascii="宋体" w:hAnsi="宋体"/>
          <w:color w:val="000000"/>
          <w:sz w:val="32"/>
          <w:szCs w:val="32"/>
        </w:rPr>
        <w:t>评标办法（双信封的技术评分最低标价法）</w:t>
      </w:r>
    </w:p>
    <w:p>
      <w:pPr>
        <w:pStyle w:val="4"/>
        <w:adjustRightInd w:val="0"/>
        <w:snapToGrid w:val="0"/>
        <w:ind w:left="425"/>
        <w:jc w:val="center"/>
        <w:outlineLvl w:val="2"/>
        <w:rPr>
          <w:rFonts w:hint="eastAsia" w:ascii="黑体" w:hAnsi="黑体" w:eastAsia="黑体"/>
          <w:b/>
          <w:color w:val="000000"/>
          <w:sz w:val="28"/>
          <w:szCs w:val="28"/>
        </w:rPr>
      </w:pPr>
      <w:r>
        <w:rPr>
          <w:rFonts w:hint="eastAsia" w:cs="宋体"/>
          <w:b/>
          <w:color w:val="000000"/>
          <w:sz w:val="28"/>
          <w:szCs w:val="28"/>
        </w:rPr>
        <w:t>评标办法前附表</w:t>
      </w:r>
    </w:p>
    <w:tbl>
      <w:tblPr>
        <w:tblStyle w:val="7"/>
        <w:tblW w:w="95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9"/>
        <w:gridCol w:w="1280"/>
        <w:gridCol w:w="72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jc w:val="center"/>
        </w:trPr>
        <w:tc>
          <w:tcPr>
            <w:tcW w:w="2269" w:type="dxa"/>
            <w:gridSpan w:val="2"/>
            <w:tcBorders>
              <w:right w:val="single" w:color="000000" w:sz="6" w:space="0"/>
            </w:tcBorders>
            <w:noWrap w:val="0"/>
            <w:vAlign w:val="top"/>
          </w:tcPr>
          <w:p>
            <w:pPr>
              <w:pStyle w:val="10"/>
              <w:spacing w:before="109" w:line="250" w:lineRule="exact"/>
              <w:ind w:left="796" w:right="788"/>
              <w:jc w:val="center"/>
              <w:rPr>
                <w:b/>
                <w:color w:val="000000"/>
                <w:sz w:val="21"/>
              </w:rPr>
            </w:pPr>
            <w:r>
              <w:rPr>
                <w:b/>
                <w:color w:val="000000"/>
                <w:sz w:val="21"/>
              </w:rPr>
              <w:t>条款号</w:t>
            </w:r>
          </w:p>
        </w:tc>
        <w:tc>
          <w:tcPr>
            <w:tcW w:w="7283" w:type="dxa"/>
            <w:tcBorders>
              <w:left w:val="single" w:color="000000" w:sz="6" w:space="0"/>
            </w:tcBorders>
            <w:noWrap w:val="0"/>
            <w:vAlign w:val="top"/>
          </w:tcPr>
          <w:p>
            <w:pPr>
              <w:pStyle w:val="10"/>
              <w:spacing w:before="109" w:line="250" w:lineRule="exact"/>
              <w:ind w:left="2335" w:right="2340"/>
              <w:jc w:val="center"/>
              <w:rPr>
                <w:b/>
                <w:color w:val="000000"/>
                <w:sz w:val="21"/>
              </w:rPr>
            </w:pPr>
            <w:r>
              <w:rPr>
                <w:b/>
                <w:color w:val="000000"/>
                <w:sz w:val="21"/>
              </w:rPr>
              <w:t>评审因素与评审标准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6" w:hRule="atLeast"/>
          <w:jc w:val="center"/>
        </w:trPr>
        <w:tc>
          <w:tcPr>
            <w:tcW w:w="989" w:type="dxa"/>
            <w:noWrap w:val="0"/>
            <w:vAlign w:val="center"/>
          </w:tcPr>
          <w:p>
            <w:pPr>
              <w:pStyle w:val="10"/>
              <w:jc w:val="center"/>
              <w:rPr>
                <w:rFonts w:hint="eastAsia" w:ascii="宋体" w:hAnsi="宋体" w:cs="宋体"/>
                <w:b/>
                <w:color w:val="000000"/>
                <w:sz w:val="21"/>
                <w:szCs w:val="21"/>
              </w:rPr>
            </w:pPr>
          </w:p>
          <w:p>
            <w:pPr>
              <w:pStyle w:val="10"/>
              <w:jc w:val="center"/>
              <w:rPr>
                <w:rFonts w:hint="eastAsia" w:ascii="宋体" w:hAnsi="宋体" w:cs="宋体"/>
                <w:b/>
                <w:color w:val="000000"/>
                <w:sz w:val="21"/>
                <w:szCs w:val="21"/>
              </w:rPr>
            </w:pPr>
          </w:p>
          <w:p>
            <w:pPr>
              <w:pStyle w:val="10"/>
              <w:jc w:val="center"/>
              <w:rPr>
                <w:rFonts w:hint="eastAsia" w:ascii="宋体" w:hAnsi="宋体" w:cs="宋体"/>
                <w:b/>
                <w:color w:val="000000"/>
                <w:sz w:val="21"/>
                <w:szCs w:val="21"/>
              </w:rPr>
            </w:pPr>
          </w:p>
          <w:p>
            <w:pPr>
              <w:pStyle w:val="10"/>
              <w:spacing w:before="8"/>
              <w:jc w:val="center"/>
              <w:rPr>
                <w:rFonts w:hint="eastAsia" w:ascii="宋体" w:hAnsi="宋体" w:cs="宋体"/>
                <w:b/>
                <w:color w:val="000000"/>
                <w:sz w:val="21"/>
                <w:szCs w:val="21"/>
              </w:rPr>
            </w:pPr>
          </w:p>
          <w:p>
            <w:pPr>
              <w:pStyle w:val="10"/>
              <w:ind w:left="9"/>
              <w:jc w:val="center"/>
              <w:rPr>
                <w:rFonts w:hint="eastAsia" w:ascii="宋体" w:hAnsi="宋体" w:cs="宋体"/>
                <w:color w:val="000000"/>
                <w:sz w:val="21"/>
                <w:szCs w:val="21"/>
              </w:rPr>
            </w:pPr>
            <w:r>
              <w:rPr>
                <w:rFonts w:hint="eastAsia" w:ascii="宋体" w:hAnsi="宋体" w:cs="宋体"/>
                <w:color w:val="000000"/>
                <w:sz w:val="21"/>
                <w:szCs w:val="21"/>
              </w:rPr>
              <w:t>1</w:t>
            </w:r>
          </w:p>
        </w:tc>
        <w:tc>
          <w:tcPr>
            <w:tcW w:w="1280" w:type="dxa"/>
            <w:tcBorders>
              <w:right w:val="single" w:color="000000" w:sz="6" w:space="0"/>
            </w:tcBorders>
            <w:noWrap w:val="0"/>
            <w:vAlign w:val="center"/>
          </w:tcPr>
          <w:p>
            <w:pPr>
              <w:pStyle w:val="10"/>
              <w:jc w:val="center"/>
              <w:rPr>
                <w:rFonts w:hint="eastAsia" w:ascii="宋体" w:hAnsi="宋体" w:cs="宋体"/>
                <w:b/>
                <w:color w:val="000000"/>
                <w:sz w:val="21"/>
                <w:szCs w:val="21"/>
              </w:rPr>
            </w:pPr>
          </w:p>
          <w:p>
            <w:pPr>
              <w:pStyle w:val="10"/>
              <w:jc w:val="center"/>
              <w:rPr>
                <w:rFonts w:hint="eastAsia" w:ascii="宋体" w:hAnsi="宋体" w:cs="宋体"/>
                <w:b/>
                <w:color w:val="000000"/>
                <w:sz w:val="21"/>
                <w:szCs w:val="21"/>
              </w:rPr>
            </w:pPr>
          </w:p>
          <w:p>
            <w:pPr>
              <w:pStyle w:val="10"/>
              <w:jc w:val="center"/>
              <w:rPr>
                <w:rFonts w:hint="eastAsia" w:ascii="宋体" w:hAnsi="宋体" w:cs="宋体"/>
                <w:b/>
                <w:color w:val="000000"/>
                <w:sz w:val="21"/>
                <w:szCs w:val="21"/>
              </w:rPr>
            </w:pPr>
          </w:p>
          <w:p>
            <w:pPr>
              <w:pStyle w:val="10"/>
              <w:jc w:val="center"/>
              <w:rPr>
                <w:rFonts w:hint="eastAsia" w:ascii="宋体" w:hAnsi="宋体" w:cs="宋体"/>
                <w:b/>
                <w:color w:val="000000"/>
                <w:sz w:val="21"/>
                <w:szCs w:val="21"/>
              </w:rPr>
            </w:pPr>
          </w:p>
          <w:p>
            <w:pPr>
              <w:pStyle w:val="10"/>
              <w:spacing w:before="164"/>
              <w:ind w:left="217"/>
              <w:jc w:val="center"/>
              <w:rPr>
                <w:rFonts w:hint="eastAsia" w:ascii="宋体" w:hAnsi="宋体" w:cs="宋体"/>
                <w:color w:val="000000"/>
                <w:sz w:val="21"/>
                <w:szCs w:val="21"/>
              </w:rPr>
            </w:pPr>
            <w:r>
              <w:rPr>
                <w:rFonts w:hint="eastAsia" w:ascii="宋体" w:hAnsi="宋体" w:cs="宋体"/>
                <w:color w:val="000000"/>
                <w:sz w:val="21"/>
                <w:szCs w:val="21"/>
              </w:rPr>
              <w:t>评标方法</w:t>
            </w:r>
          </w:p>
        </w:tc>
        <w:tc>
          <w:tcPr>
            <w:tcW w:w="7283" w:type="dxa"/>
            <w:tcBorders>
              <w:left w:val="single" w:color="000000" w:sz="6" w:space="0"/>
            </w:tcBorders>
            <w:noWrap w:val="0"/>
            <w:vAlign w:val="center"/>
          </w:tcPr>
          <w:p>
            <w:pPr>
              <w:snapToGrid w:val="0"/>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评标价相等时，评标委员会依次按照以下优先顺序推荐中标候选人或确定中标人：</w:t>
            </w:r>
          </w:p>
          <w:p>
            <w:pPr>
              <w:snapToGrid w:val="0"/>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（1）被广东省交通运输厅最新年度评为较高信用等级的投标人优先；【采用如下的优先顺序：承诺使用的 AA 级投标人、不承诺使用的 AA 级投标人、承诺使用的 A 级投标人、不承诺使用的A 级投标人、B 级投标人、未参评且被确定为B 级投标人】</w:t>
            </w:r>
          </w:p>
          <w:p>
            <w:pPr>
              <w:snapToGrid w:val="0"/>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（2）以投标人企业最新年度净资产较高的优先；</w:t>
            </w:r>
          </w:p>
          <w:p>
            <w:pPr>
              <w:snapToGrid w:val="0"/>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（3）评标委员会视投标人情况综合比较，投票确定其名次。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6" w:hRule="atLeast"/>
          <w:jc w:val="center"/>
        </w:trPr>
        <w:tc>
          <w:tcPr>
            <w:tcW w:w="989" w:type="dxa"/>
            <w:noWrap w:val="0"/>
            <w:vAlign w:val="top"/>
          </w:tcPr>
          <w:p>
            <w:pPr>
              <w:pStyle w:val="10"/>
              <w:rPr>
                <w:rFonts w:hint="eastAsia" w:ascii="宋体" w:hAnsi="宋体" w:cs="宋体"/>
                <w:b/>
                <w:color w:val="000000"/>
                <w:sz w:val="21"/>
                <w:szCs w:val="21"/>
              </w:rPr>
            </w:pPr>
          </w:p>
          <w:p>
            <w:pPr>
              <w:pStyle w:val="10"/>
              <w:rPr>
                <w:rFonts w:hint="eastAsia" w:ascii="宋体" w:hAnsi="宋体" w:cs="宋体"/>
                <w:b/>
                <w:color w:val="000000"/>
                <w:sz w:val="21"/>
                <w:szCs w:val="21"/>
              </w:rPr>
            </w:pPr>
          </w:p>
          <w:p>
            <w:pPr>
              <w:pStyle w:val="10"/>
              <w:rPr>
                <w:rFonts w:hint="eastAsia" w:ascii="宋体" w:hAnsi="宋体" w:cs="宋体"/>
                <w:b/>
                <w:color w:val="000000"/>
                <w:sz w:val="21"/>
                <w:szCs w:val="21"/>
              </w:rPr>
            </w:pPr>
          </w:p>
          <w:p>
            <w:pPr>
              <w:pStyle w:val="10"/>
              <w:rPr>
                <w:rFonts w:hint="eastAsia" w:ascii="宋体" w:hAnsi="宋体" w:cs="宋体"/>
                <w:b/>
                <w:color w:val="000000"/>
                <w:sz w:val="21"/>
                <w:szCs w:val="21"/>
              </w:rPr>
            </w:pPr>
          </w:p>
          <w:p>
            <w:pPr>
              <w:pStyle w:val="10"/>
              <w:rPr>
                <w:rFonts w:hint="eastAsia" w:ascii="宋体" w:hAnsi="宋体" w:cs="宋体"/>
                <w:b/>
                <w:color w:val="000000"/>
                <w:sz w:val="21"/>
                <w:szCs w:val="21"/>
              </w:rPr>
            </w:pPr>
          </w:p>
          <w:p>
            <w:pPr>
              <w:pStyle w:val="10"/>
              <w:rPr>
                <w:rFonts w:hint="eastAsia" w:ascii="宋体" w:hAnsi="宋体" w:cs="宋体"/>
                <w:b/>
                <w:color w:val="000000"/>
                <w:sz w:val="21"/>
                <w:szCs w:val="21"/>
              </w:rPr>
            </w:pPr>
          </w:p>
          <w:p>
            <w:pPr>
              <w:pStyle w:val="10"/>
              <w:rPr>
                <w:rFonts w:hint="eastAsia" w:ascii="宋体" w:hAnsi="宋体" w:cs="宋体"/>
                <w:b/>
                <w:color w:val="000000"/>
                <w:sz w:val="21"/>
                <w:szCs w:val="21"/>
              </w:rPr>
            </w:pPr>
          </w:p>
          <w:p>
            <w:pPr>
              <w:pStyle w:val="10"/>
              <w:rPr>
                <w:rFonts w:hint="eastAsia" w:ascii="宋体" w:hAnsi="宋体" w:cs="宋体"/>
                <w:b/>
                <w:color w:val="000000"/>
                <w:sz w:val="21"/>
                <w:szCs w:val="21"/>
              </w:rPr>
            </w:pPr>
          </w:p>
          <w:p>
            <w:pPr>
              <w:pStyle w:val="10"/>
              <w:rPr>
                <w:rFonts w:hint="eastAsia" w:ascii="宋体" w:hAnsi="宋体" w:cs="宋体"/>
                <w:b/>
                <w:color w:val="000000"/>
                <w:sz w:val="21"/>
                <w:szCs w:val="21"/>
              </w:rPr>
            </w:pPr>
          </w:p>
          <w:p>
            <w:pPr>
              <w:pStyle w:val="10"/>
              <w:rPr>
                <w:rFonts w:hint="eastAsia" w:ascii="宋体" w:hAnsi="宋体" w:cs="宋体"/>
                <w:b/>
                <w:color w:val="000000"/>
                <w:sz w:val="21"/>
                <w:szCs w:val="21"/>
              </w:rPr>
            </w:pPr>
          </w:p>
          <w:p>
            <w:pPr>
              <w:pStyle w:val="10"/>
              <w:rPr>
                <w:rFonts w:hint="eastAsia" w:ascii="宋体" w:hAnsi="宋体" w:cs="宋体"/>
                <w:b/>
                <w:color w:val="000000"/>
                <w:sz w:val="21"/>
                <w:szCs w:val="21"/>
              </w:rPr>
            </w:pPr>
          </w:p>
          <w:p>
            <w:pPr>
              <w:pStyle w:val="10"/>
              <w:rPr>
                <w:rFonts w:hint="eastAsia" w:ascii="宋体" w:hAnsi="宋体" w:cs="宋体"/>
                <w:b/>
                <w:color w:val="000000"/>
                <w:sz w:val="21"/>
                <w:szCs w:val="21"/>
              </w:rPr>
            </w:pPr>
          </w:p>
          <w:p>
            <w:pPr>
              <w:pStyle w:val="10"/>
              <w:spacing w:before="151"/>
              <w:ind w:left="282"/>
              <w:rPr>
                <w:rFonts w:hint="eastAsia" w:ascii="宋体" w:hAnsi="宋体" w:cs="宋体"/>
                <w:color w:val="000000"/>
                <w:sz w:val="21"/>
                <w:szCs w:val="21"/>
              </w:rPr>
            </w:pPr>
            <w:r>
              <w:rPr>
                <w:rFonts w:hint="eastAsia" w:ascii="宋体" w:hAnsi="宋体" w:cs="宋体"/>
                <w:color w:val="000000"/>
                <w:sz w:val="21"/>
                <w:szCs w:val="21"/>
              </w:rPr>
              <w:t>2.1.1</w:t>
            </w:r>
          </w:p>
          <w:p>
            <w:pPr>
              <w:pStyle w:val="10"/>
              <w:spacing w:before="140"/>
              <w:ind w:left="282"/>
              <w:rPr>
                <w:rFonts w:hint="eastAsia" w:ascii="宋体" w:hAnsi="宋体" w:cs="宋体"/>
                <w:color w:val="000000"/>
                <w:sz w:val="21"/>
                <w:szCs w:val="21"/>
              </w:rPr>
            </w:pPr>
            <w:r>
              <w:rPr>
                <w:rFonts w:hint="eastAsia" w:ascii="宋体" w:hAnsi="宋体" w:cs="宋体"/>
                <w:color w:val="000000"/>
                <w:sz w:val="21"/>
                <w:szCs w:val="21"/>
              </w:rPr>
              <w:t>2.1.3</w:t>
            </w:r>
          </w:p>
        </w:tc>
        <w:tc>
          <w:tcPr>
            <w:tcW w:w="1280" w:type="dxa"/>
            <w:tcBorders>
              <w:right w:val="single" w:color="000000" w:sz="6" w:space="0"/>
            </w:tcBorders>
            <w:noWrap w:val="0"/>
            <w:vAlign w:val="top"/>
          </w:tcPr>
          <w:p>
            <w:pPr>
              <w:pStyle w:val="10"/>
              <w:rPr>
                <w:rFonts w:hint="eastAsia" w:ascii="宋体" w:hAnsi="宋体" w:cs="宋体"/>
                <w:b/>
                <w:color w:val="000000"/>
                <w:sz w:val="21"/>
                <w:szCs w:val="21"/>
              </w:rPr>
            </w:pPr>
          </w:p>
          <w:p>
            <w:pPr>
              <w:pStyle w:val="10"/>
              <w:rPr>
                <w:rFonts w:hint="eastAsia" w:ascii="宋体" w:hAnsi="宋体" w:cs="宋体"/>
                <w:b/>
                <w:color w:val="000000"/>
                <w:sz w:val="21"/>
                <w:szCs w:val="21"/>
              </w:rPr>
            </w:pPr>
          </w:p>
          <w:p>
            <w:pPr>
              <w:pStyle w:val="10"/>
              <w:rPr>
                <w:rFonts w:hint="eastAsia" w:ascii="宋体" w:hAnsi="宋体" w:cs="宋体"/>
                <w:b/>
                <w:color w:val="000000"/>
                <w:sz w:val="21"/>
                <w:szCs w:val="21"/>
              </w:rPr>
            </w:pPr>
          </w:p>
          <w:p>
            <w:pPr>
              <w:pStyle w:val="10"/>
              <w:rPr>
                <w:rFonts w:hint="eastAsia" w:ascii="宋体" w:hAnsi="宋体" w:cs="宋体"/>
                <w:b/>
                <w:color w:val="000000"/>
                <w:sz w:val="21"/>
                <w:szCs w:val="21"/>
              </w:rPr>
            </w:pPr>
          </w:p>
          <w:p>
            <w:pPr>
              <w:pStyle w:val="10"/>
              <w:rPr>
                <w:rFonts w:hint="eastAsia" w:ascii="宋体" w:hAnsi="宋体" w:cs="宋体"/>
                <w:b/>
                <w:color w:val="000000"/>
                <w:sz w:val="21"/>
                <w:szCs w:val="21"/>
              </w:rPr>
            </w:pPr>
          </w:p>
          <w:p>
            <w:pPr>
              <w:pStyle w:val="10"/>
              <w:rPr>
                <w:rFonts w:hint="eastAsia" w:ascii="宋体" w:hAnsi="宋体" w:cs="宋体"/>
                <w:b/>
                <w:color w:val="000000"/>
                <w:sz w:val="21"/>
                <w:szCs w:val="21"/>
              </w:rPr>
            </w:pPr>
          </w:p>
          <w:p>
            <w:pPr>
              <w:pStyle w:val="10"/>
              <w:rPr>
                <w:rFonts w:hint="eastAsia" w:ascii="宋体" w:hAnsi="宋体" w:cs="宋体"/>
                <w:b/>
                <w:color w:val="000000"/>
                <w:sz w:val="21"/>
                <w:szCs w:val="21"/>
              </w:rPr>
            </w:pPr>
          </w:p>
          <w:p>
            <w:pPr>
              <w:pStyle w:val="10"/>
              <w:rPr>
                <w:rFonts w:hint="eastAsia" w:ascii="宋体" w:hAnsi="宋体" w:cs="宋体"/>
                <w:b/>
                <w:color w:val="000000"/>
                <w:sz w:val="21"/>
                <w:szCs w:val="21"/>
              </w:rPr>
            </w:pPr>
          </w:p>
          <w:p>
            <w:pPr>
              <w:pStyle w:val="10"/>
              <w:rPr>
                <w:rFonts w:hint="eastAsia" w:ascii="宋体" w:hAnsi="宋体" w:cs="宋体"/>
                <w:b/>
                <w:color w:val="000000"/>
                <w:sz w:val="21"/>
                <w:szCs w:val="21"/>
              </w:rPr>
            </w:pPr>
          </w:p>
          <w:p>
            <w:pPr>
              <w:pStyle w:val="10"/>
              <w:rPr>
                <w:rFonts w:hint="eastAsia" w:ascii="宋体" w:hAnsi="宋体" w:cs="宋体"/>
                <w:b/>
                <w:color w:val="000000"/>
                <w:sz w:val="21"/>
                <w:szCs w:val="21"/>
              </w:rPr>
            </w:pPr>
          </w:p>
          <w:p>
            <w:pPr>
              <w:pStyle w:val="10"/>
              <w:rPr>
                <w:rFonts w:hint="eastAsia" w:ascii="宋体" w:hAnsi="宋体" w:cs="宋体"/>
                <w:b/>
                <w:color w:val="000000"/>
                <w:sz w:val="21"/>
                <w:szCs w:val="21"/>
              </w:rPr>
            </w:pPr>
          </w:p>
          <w:p>
            <w:pPr>
              <w:pStyle w:val="10"/>
              <w:rPr>
                <w:rFonts w:hint="eastAsia" w:ascii="宋体" w:hAnsi="宋体" w:cs="宋体"/>
                <w:b/>
                <w:color w:val="000000"/>
                <w:sz w:val="21"/>
                <w:szCs w:val="21"/>
              </w:rPr>
            </w:pPr>
          </w:p>
          <w:p>
            <w:pPr>
              <w:pStyle w:val="10"/>
              <w:spacing w:before="2"/>
              <w:rPr>
                <w:rFonts w:hint="eastAsia" w:ascii="宋体" w:hAnsi="宋体" w:cs="宋体"/>
                <w:b/>
                <w:color w:val="000000"/>
                <w:sz w:val="21"/>
                <w:szCs w:val="21"/>
              </w:rPr>
            </w:pPr>
          </w:p>
          <w:p>
            <w:pPr>
              <w:pStyle w:val="10"/>
              <w:spacing w:line="338" w:lineRule="auto"/>
              <w:ind w:left="112" w:right="99"/>
              <w:jc w:val="center"/>
              <w:rPr>
                <w:rFonts w:hint="eastAsia" w:ascii="宋体" w:hAnsi="宋体" w:cs="宋体"/>
                <w:color w:val="000000"/>
                <w:sz w:val="21"/>
                <w:szCs w:val="21"/>
              </w:rPr>
            </w:pPr>
            <w:r>
              <w:rPr>
                <w:rFonts w:hint="eastAsia" w:ascii="宋体" w:hAnsi="宋体" w:cs="宋体"/>
                <w:color w:val="000000"/>
                <w:sz w:val="21"/>
                <w:szCs w:val="21"/>
              </w:rPr>
              <w:t>形式评审与响应性评审标准</w:t>
            </w:r>
          </w:p>
        </w:tc>
        <w:tc>
          <w:tcPr>
            <w:tcW w:w="7283" w:type="dxa"/>
            <w:tcBorders>
              <w:left w:val="single" w:color="000000" w:sz="6" w:space="0"/>
            </w:tcBorders>
            <w:noWrap w:val="0"/>
            <w:vAlign w:val="top"/>
          </w:tcPr>
          <w:p>
            <w:pPr>
              <w:snapToGrid w:val="0"/>
              <w:spacing w:line="360" w:lineRule="auto"/>
              <w:ind w:firstLine="211" w:firstLineChars="100"/>
              <w:jc w:val="left"/>
              <w:rPr>
                <w:rFonts w:hint="eastAsia" w:ascii="宋体" w:hAnsi="宋体" w:cs="宋体"/>
                <w:b/>
                <w:bCs/>
                <w:color w:val="000000"/>
                <w:szCs w:val="21"/>
              </w:rPr>
            </w:pPr>
            <w:r>
              <w:rPr>
                <w:rFonts w:hint="eastAsia" w:ascii="宋体" w:hAnsi="宋体" w:cs="宋体"/>
                <w:b/>
                <w:bCs/>
                <w:color w:val="000000"/>
                <w:szCs w:val="21"/>
              </w:rPr>
              <w:t>第一个信封（商务及技术文件）评审标准：</w:t>
            </w:r>
          </w:p>
          <w:p>
            <w:pPr>
              <w:snapToGrid w:val="0"/>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（1）投标文件按照招标文件规定的格式、内容填写，字迹清晰可辨：</w:t>
            </w:r>
          </w:p>
          <w:p>
            <w:pPr>
              <w:snapToGrid w:val="0"/>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a.投标函按招标文件规定填报了项目名称、标段号（如有）、补遗书编号（如有）、工期、工程质量要求及安全目标；</w:t>
            </w:r>
          </w:p>
          <w:p>
            <w:pPr>
              <w:snapToGrid w:val="0"/>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b.投标函附录的所有数据均符合招标文件规定；</w:t>
            </w:r>
          </w:p>
          <w:p>
            <w:pPr>
              <w:snapToGrid w:val="0"/>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c.投标文件组成齐全完整，内容均按规定填写。</w:t>
            </w:r>
          </w:p>
          <w:p>
            <w:pPr>
              <w:snapToGrid w:val="0"/>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（2）投标文件上法定代表人或其委托代理人的签字、投标人的单位章盖章齐全，符合招标文件规定。</w:t>
            </w:r>
          </w:p>
          <w:p>
            <w:pPr>
              <w:snapToGrid w:val="0"/>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（3）投标人法定代表人授权委托代理人签署投标文件的，提交授权委托书，且授权人和被授权人均在授权委托书上签名，未使用印章、签名章或其他电子制版签名代替。</w:t>
            </w:r>
          </w:p>
          <w:p>
            <w:pPr>
              <w:snapToGrid w:val="0"/>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（4）投标人法定代表人亲自签署投标文件的，提供了法定代表人身份证明，且法定代表人在法定代表人身份证明上签名，未使用印章、签名章或其他电子制版签名代替。</w:t>
            </w:r>
          </w:p>
          <w:p>
            <w:pPr>
              <w:snapToGrid w:val="0"/>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（5）同一投标人未提交两个以上不同的投标文件，但招标文件要求提交备选投标的除外。</w:t>
            </w:r>
          </w:p>
          <w:p>
            <w:pPr>
              <w:snapToGrid w:val="0"/>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（6）投标文件中未出现有关投标报价的内容。</w:t>
            </w:r>
          </w:p>
          <w:p>
            <w:pPr>
              <w:snapToGrid w:val="0"/>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（7）投标文件载明的招标项目完成期限未超过招标文件规定的时限。</w:t>
            </w:r>
          </w:p>
          <w:p>
            <w:pPr>
              <w:snapToGrid w:val="0"/>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（8）投标文件对招标文件的实质性要求和条件作出响应。</w:t>
            </w:r>
          </w:p>
          <w:p>
            <w:pPr>
              <w:snapToGrid w:val="0"/>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（9）权利义务符合招标文件规定：</w:t>
            </w:r>
          </w:p>
          <w:p>
            <w:pPr>
              <w:snapToGrid w:val="0"/>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a.投标人应接受招标文件规定的风险划分原则，未提出新的风险划分办法；</w:t>
            </w:r>
          </w:p>
          <w:p>
            <w:pPr>
              <w:snapToGrid w:val="0"/>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b.投标人未增加发包人的责任范围，或减少投标人义务；</w:t>
            </w:r>
          </w:p>
          <w:p>
            <w:pPr>
              <w:snapToGrid w:val="0"/>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c.投标人未提出不同的工程验收、计量、支付办法；</w:t>
            </w:r>
          </w:p>
          <w:p>
            <w:pPr>
              <w:snapToGrid w:val="0"/>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d.投标人对合同纠纷、事故处理办法未提出异议；</w:t>
            </w:r>
          </w:p>
          <w:p>
            <w:pPr>
              <w:snapToGrid w:val="0"/>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e.投标人在投标活动中无欺诈行为；</w:t>
            </w:r>
          </w:p>
          <w:p>
            <w:pPr>
              <w:snapToGrid w:val="0"/>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f.投标人未对合同条款有重要保留。</w:t>
            </w:r>
          </w:p>
          <w:p>
            <w:pPr>
              <w:snapToGrid w:val="0"/>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（10）投标文件未附有招标人不能接受的条件。</w:t>
            </w:r>
          </w:p>
          <w:p>
            <w:pPr>
              <w:snapToGrid w:val="0"/>
              <w:spacing w:line="360" w:lineRule="auto"/>
              <w:ind w:firstLine="211" w:firstLineChars="100"/>
              <w:jc w:val="left"/>
              <w:rPr>
                <w:rFonts w:hint="eastAsia" w:ascii="宋体" w:hAnsi="宋体" w:cs="宋体"/>
                <w:b/>
                <w:bCs/>
                <w:color w:val="000000"/>
                <w:szCs w:val="21"/>
              </w:rPr>
            </w:pPr>
            <w:r>
              <w:rPr>
                <w:rFonts w:hint="eastAsia" w:ascii="宋体" w:hAnsi="宋体" w:cs="宋体"/>
                <w:b/>
                <w:bCs/>
                <w:color w:val="000000"/>
                <w:szCs w:val="21"/>
              </w:rPr>
              <w:t>第二个信封（报价文件）评审标准：</w:t>
            </w:r>
          </w:p>
          <w:p>
            <w:pPr>
              <w:snapToGrid w:val="0"/>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(1)投标文件按照招标文件规定的格式、内容填写，字迹清晰可辨：</w:t>
            </w:r>
          </w:p>
          <w:p>
            <w:pPr>
              <w:snapToGrid w:val="0"/>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a.投标函按招标文件规定填报了项目名称、标段号（如有）、补遗书编号（如有）、投标价（包括大写金额和小写金额）；</w:t>
            </w:r>
          </w:p>
          <w:p>
            <w:pPr>
              <w:snapToGrid w:val="0"/>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b.已标价工程量清单说明文字与招标文件规定一致，未进行实质性修改和删减；</w:t>
            </w:r>
          </w:p>
          <w:p>
            <w:pPr>
              <w:snapToGrid w:val="0"/>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c.投标文件组成齐全完整，内容均按规定填写。</w:t>
            </w:r>
          </w:p>
          <w:p>
            <w:pPr>
              <w:snapToGrid w:val="0"/>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(2)投标文件上法定代表人或其委托代理人的签字、投标人的单位章盖章齐全，符合招标文件规定。</w:t>
            </w:r>
          </w:p>
          <w:p>
            <w:pPr>
              <w:snapToGrid w:val="0"/>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(3)投标总报价中的报价未超过招标文件设定的最高投标限价（如有） 。</w:t>
            </w:r>
          </w:p>
          <w:p>
            <w:pPr>
              <w:snapToGrid w:val="0"/>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(4)投标总报价中报价的大写金额能够确定具体数值。</w:t>
            </w:r>
          </w:p>
          <w:p>
            <w:pPr>
              <w:pStyle w:val="10"/>
              <w:tabs>
                <w:tab w:val="left" w:pos="804"/>
              </w:tabs>
              <w:overflowPunct w:val="0"/>
              <w:spacing w:line="400" w:lineRule="exact"/>
              <w:ind w:firstLine="420" w:firstLineChars="200"/>
              <w:rPr>
                <w:rFonts w:hint="eastAsia" w:ascii="宋体" w:hAnsi="宋体" w:cs="宋体"/>
                <w:color w:val="000000"/>
                <w:sz w:val="21"/>
                <w:szCs w:val="21"/>
                <w:lang w:val="en-US"/>
              </w:rPr>
            </w:pPr>
            <w:r>
              <w:rPr>
                <w:rFonts w:hint="eastAsia" w:ascii="宋体" w:hAnsi="宋体" w:cs="宋体"/>
                <w:color w:val="000000"/>
                <w:sz w:val="21"/>
                <w:szCs w:val="21"/>
                <w:lang w:val="en-US"/>
              </w:rPr>
              <w:t xml:space="preserve">(5)同一投标人未提交两个以上不同的投标报价，但招标文件要求提交备选投标的除外。     </w:t>
            </w:r>
          </w:p>
          <w:p>
            <w:pPr>
              <w:pStyle w:val="10"/>
              <w:tabs>
                <w:tab w:val="left" w:pos="804"/>
              </w:tabs>
              <w:overflowPunct w:val="0"/>
              <w:spacing w:line="40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（6）投标人若填写工程量固化清单，填写完毕的工程量固化清单未对工程量固化清单电子文件中的数据、格式和运算定义进行修改；工程量固化清单中的投标报价和投标函大写金额报价一致。</w:t>
            </w:r>
          </w:p>
        </w:tc>
      </w:tr>
    </w:tbl>
    <w:p>
      <w:pPr>
        <w:spacing w:line="250" w:lineRule="exact"/>
        <w:jc w:val="left"/>
        <w:rPr>
          <w:color w:val="000000"/>
        </w:rPr>
      </w:pPr>
    </w:p>
    <w:p>
      <w:pPr>
        <w:pStyle w:val="2"/>
        <w:rPr>
          <w:color w:val="000000"/>
        </w:rPr>
      </w:pPr>
    </w:p>
    <w:p>
      <w:pPr>
        <w:pStyle w:val="2"/>
        <w:rPr>
          <w:color w:val="000000"/>
        </w:rPr>
        <w:sectPr>
          <w:headerReference r:id="rId3" w:type="default"/>
          <w:footerReference r:id="rId5" w:type="default"/>
          <w:headerReference r:id="rId4" w:type="even"/>
          <w:pgSz w:w="11910" w:h="16850"/>
          <w:pgMar w:top="1480" w:right="1200" w:bottom="1080" w:left="1220" w:header="883" w:footer="884" w:gutter="0"/>
          <w:pgNumType w:start="1"/>
          <w:cols w:space="720" w:num="1"/>
        </w:sectPr>
      </w:pPr>
    </w:p>
    <w:p>
      <w:pPr>
        <w:spacing w:before="72"/>
        <w:ind w:right="384"/>
        <w:rPr>
          <w:color w:val="000000"/>
        </w:rPr>
      </w:pPr>
    </w:p>
    <w:tbl>
      <w:tblPr>
        <w:tblStyle w:val="7"/>
        <w:tblW w:w="0" w:type="auto"/>
        <w:tblInd w:w="3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9"/>
        <w:gridCol w:w="1280"/>
        <w:gridCol w:w="66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4" w:hRule="atLeast"/>
        </w:trPr>
        <w:tc>
          <w:tcPr>
            <w:tcW w:w="989" w:type="dxa"/>
            <w:noWrap w:val="0"/>
            <w:vAlign w:val="top"/>
          </w:tcPr>
          <w:p>
            <w:pPr>
              <w:pStyle w:val="10"/>
              <w:rPr>
                <w:color w:val="000000"/>
              </w:rPr>
            </w:pPr>
          </w:p>
          <w:p>
            <w:pPr>
              <w:pStyle w:val="10"/>
              <w:rPr>
                <w:color w:val="000000"/>
              </w:rPr>
            </w:pPr>
          </w:p>
          <w:p>
            <w:pPr>
              <w:pStyle w:val="10"/>
              <w:rPr>
                <w:color w:val="000000"/>
              </w:rPr>
            </w:pPr>
          </w:p>
          <w:p>
            <w:pPr>
              <w:pStyle w:val="10"/>
              <w:spacing w:before="177"/>
              <w:ind w:left="282"/>
              <w:rPr>
                <w:rFonts w:hint="eastAsia" w:ascii="宋体" w:hAnsi="宋体" w:cs="宋体"/>
                <w:bCs/>
                <w:color w:val="000000"/>
                <w:sz w:val="21"/>
                <w:szCs w:val="21"/>
              </w:rPr>
            </w:pPr>
          </w:p>
          <w:p>
            <w:pPr>
              <w:pStyle w:val="10"/>
              <w:spacing w:before="177"/>
              <w:ind w:left="282"/>
              <w:rPr>
                <w:rFonts w:hint="eastAsia" w:ascii="宋体" w:hAnsi="宋体" w:cs="宋体"/>
                <w:bCs/>
                <w:color w:val="000000"/>
                <w:sz w:val="21"/>
                <w:szCs w:val="21"/>
              </w:rPr>
            </w:pPr>
          </w:p>
          <w:p>
            <w:pPr>
              <w:pStyle w:val="10"/>
              <w:spacing w:before="177"/>
              <w:ind w:left="282"/>
              <w:rPr>
                <w:rFonts w:hint="eastAsia" w:ascii="宋体" w:hAnsi="宋体" w:cs="宋体"/>
                <w:bCs/>
                <w:color w:val="000000"/>
                <w:sz w:val="21"/>
                <w:szCs w:val="21"/>
              </w:rPr>
            </w:pPr>
          </w:p>
          <w:p>
            <w:pPr>
              <w:pStyle w:val="10"/>
              <w:spacing w:before="177"/>
              <w:ind w:left="282"/>
              <w:rPr>
                <w:rFonts w:hint="eastAsia" w:ascii="宋体" w:hAnsi="宋体" w:cs="宋体"/>
                <w:bCs/>
                <w:color w:val="000000"/>
                <w:sz w:val="21"/>
                <w:szCs w:val="21"/>
              </w:rPr>
            </w:pPr>
          </w:p>
          <w:p>
            <w:pPr>
              <w:pStyle w:val="10"/>
              <w:spacing w:before="177"/>
              <w:ind w:firstLine="210" w:firstLineChars="100"/>
              <w:rPr>
                <w:rFonts w:hint="eastAsia" w:ascii="宋体" w:hAnsi="宋体" w:cs="宋体"/>
                <w:bCs/>
                <w:color w:val="000000"/>
                <w:sz w:val="21"/>
                <w:szCs w:val="21"/>
              </w:rPr>
            </w:pPr>
          </w:p>
          <w:p>
            <w:pPr>
              <w:pStyle w:val="10"/>
              <w:spacing w:before="177"/>
              <w:ind w:firstLine="210" w:firstLineChars="100"/>
              <w:rPr>
                <w:rFonts w:hint="eastAsia" w:ascii="宋体" w:hAnsi="宋体" w:cs="宋体"/>
                <w:bCs/>
                <w:color w:val="000000"/>
                <w:sz w:val="21"/>
                <w:szCs w:val="21"/>
              </w:rPr>
            </w:pPr>
          </w:p>
          <w:p>
            <w:pPr>
              <w:pStyle w:val="10"/>
              <w:spacing w:before="177"/>
              <w:ind w:firstLine="210" w:firstLineChars="100"/>
              <w:rPr>
                <w:rFonts w:hint="eastAsia" w:ascii="宋体" w:hAnsi="宋体" w:cs="宋体"/>
                <w:bCs/>
                <w:color w:val="000000"/>
                <w:sz w:val="21"/>
                <w:szCs w:val="21"/>
              </w:rPr>
            </w:pPr>
          </w:p>
          <w:p>
            <w:pPr>
              <w:pStyle w:val="10"/>
              <w:spacing w:before="177"/>
              <w:ind w:firstLine="210" w:firstLineChars="100"/>
              <w:rPr>
                <w:rFonts w:hint="eastAsia" w:ascii="宋体" w:hAnsi="宋体" w:cs="宋体"/>
                <w:bCs/>
                <w:color w:val="000000"/>
                <w:sz w:val="21"/>
                <w:szCs w:val="21"/>
              </w:rPr>
            </w:pPr>
          </w:p>
          <w:p>
            <w:pPr>
              <w:pStyle w:val="10"/>
              <w:spacing w:before="177"/>
              <w:ind w:firstLine="210" w:firstLineChars="100"/>
              <w:rPr>
                <w:rFonts w:hint="eastAsia" w:ascii="宋体" w:hAnsi="宋体" w:cs="宋体"/>
                <w:bCs/>
                <w:color w:val="000000"/>
                <w:sz w:val="21"/>
                <w:szCs w:val="21"/>
              </w:rPr>
            </w:pPr>
          </w:p>
          <w:p>
            <w:pPr>
              <w:pStyle w:val="10"/>
              <w:spacing w:before="177"/>
              <w:ind w:firstLine="210" w:firstLineChars="100"/>
              <w:rPr>
                <w:color w:val="000000"/>
                <w:sz w:val="21"/>
              </w:rPr>
            </w:pPr>
            <w:r>
              <w:rPr>
                <w:rFonts w:hint="eastAsia" w:ascii="宋体" w:hAnsi="宋体" w:cs="宋体"/>
                <w:bCs/>
                <w:color w:val="000000"/>
                <w:sz w:val="21"/>
                <w:szCs w:val="21"/>
              </w:rPr>
              <w:t>2.1.2</w:t>
            </w:r>
          </w:p>
        </w:tc>
        <w:tc>
          <w:tcPr>
            <w:tcW w:w="1280" w:type="dxa"/>
            <w:tcBorders>
              <w:right w:val="single" w:color="000000" w:sz="6" w:space="0"/>
            </w:tcBorders>
            <w:noWrap w:val="0"/>
            <w:vAlign w:val="top"/>
          </w:tcPr>
          <w:p>
            <w:pPr>
              <w:pStyle w:val="10"/>
              <w:rPr>
                <w:color w:val="000000"/>
              </w:rPr>
            </w:pPr>
          </w:p>
          <w:p>
            <w:pPr>
              <w:pStyle w:val="10"/>
              <w:rPr>
                <w:color w:val="000000"/>
              </w:rPr>
            </w:pPr>
          </w:p>
          <w:p>
            <w:pPr>
              <w:pStyle w:val="10"/>
              <w:spacing w:before="2"/>
              <w:rPr>
                <w:color w:val="000000"/>
                <w:sz w:val="19"/>
              </w:rPr>
            </w:pPr>
          </w:p>
          <w:p>
            <w:pPr>
              <w:pStyle w:val="10"/>
              <w:spacing w:line="338" w:lineRule="auto"/>
              <w:ind w:left="373" w:right="205" w:hanging="156"/>
              <w:rPr>
                <w:color w:val="000000"/>
                <w:sz w:val="21"/>
              </w:rPr>
            </w:pPr>
          </w:p>
          <w:p>
            <w:pPr>
              <w:pStyle w:val="10"/>
              <w:spacing w:line="338" w:lineRule="auto"/>
              <w:ind w:left="373" w:right="205" w:hanging="156"/>
              <w:rPr>
                <w:color w:val="000000"/>
                <w:sz w:val="21"/>
              </w:rPr>
            </w:pPr>
          </w:p>
          <w:p>
            <w:pPr>
              <w:pStyle w:val="10"/>
              <w:spacing w:line="338" w:lineRule="auto"/>
              <w:ind w:left="373" w:right="205" w:hanging="156"/>
              <w:rPr>
                <w:color w:val="000000"/>
                <w:sz w:val="21"/>
              </w:rPr>
            </w:pPr>
          </w:p>
          <w:p>
            <w:pPr>
              <w:pStyle w:val="10"/>
              <w:spacing w:line="338" w:lineRule="auto"/>
              <w:ind w:left="373" w:right="205" w:hanging="156"/>
              <w:rPr>
                <w:color w:val="000000"/>
                <w:sz w:val="21"/>
              </w:rPr>
            </w:pPr>
          </w:p>
          <w:p>
            <w:pPr>
              <w:pStyle w:val="10"/>
              <w:spacing w:line="338" w:lineRule="auto"/>
              <w:ind w:left="373" w:right="205" w:hanging="156"/>
              <w:rPr>
                <w:color w:val="000000"/>
                <w:sz w:val="21"/>
              </w:rPr>
            </w:pPr>
          </w:p>
          <w:p>
            <w:pPr>
              <w:pStyle w:val="10"/>
              <w:spacing w:line="338" w:lineRule="auto"/>
              <w:ind w:left="373" w:right="205" w:hanging="156"/>
              <w:rPr>
                <w:color w:val="000000"/>
                <w:sz w:val="21"/>
              </w:rPr>
            </w:pPr>
          </w:p>
          <w:p>
            <w:pPr>
              <w:pStyle w:val="10"/>
              <w:spacing w:line="338" w:lineRule="auto"/>
              <w:ind w:left="373" w:right="205" w:hanging="156"/>
              <w:rPr>
                <w:color w:val="000000"/>
                <w:sz w:val="21"/>
              </w:rPr>
            </w:pPr>
          </w:p>
          <w:p>
            <w:pPr>
              <w:pStyle w:val="10"/>
              <w:spacing w:line="338" w:lineRule="auto"/>
              <w:ind w:left="373" w:right="205" w:hanging="156"/>
              <w:rPr>
                <w:color w:val="000000"/>
                <w:sz w:val="21"/>
              </w:rPr>
            </w:pPr>
          </w:p>
          <w:p>
            <w:pPr>
              <w:pStyle w:val="10"/>
              <w:spacing w:line="338" w:lineRule="auto"/>
              <w:ind w:left="373" w:right="205" w:hanging="156"/>
              <w:rPr>
                <w:color w:val="000000"/>
                <w:sz w:val="21"/>
              </w:rPr>
            </w:pPr>
          </w:p>
          <w:p>
            <w:pPr>
              <w:pStyle w:val="10"/>
              <w:spacing w:line="338" w:lineRule="auto"/>
              <w:ind w:left="373" w:right="205" w:hanging="156"/>
              <w:rPr>
                <w:color w:val="000000"/>
                <w:sz w:val="21"/>
              </w:rPr>
            </w:pPr>
          </w:p>
          <w:p>
            <w:pPr>
              <w:pStyle w:val="10"/>
              <w:spacing w:line="338" w:lineRule="auto"/>
              <w:ind w:left="373" w:right="205" w:hanging="156"/>
              <w:rPr>
                <w:color w:val="000000"/>
                <w:sz w:val="21"/>
              </w:rPr>
            </w:pPr>
          </w:p>
          <w:p>
            <w:pPr>
              <w:pStyle w:val="10"/>
              <w:spacing w:line="338" w:lineRule="auto"/>
              <w:ind w:left="373" w:right="205" w:hanging="156"/>
              <w:rPr>
                <w:color w:val="000000"/>
                <w:sz w:val="21"/>
              </w:rPr>
            </w:pPr>
          </w:p>
          <w:p>
            <w:pPr>
              <w:pStyle w:val="10"/>
              <w:spacing w:line="338" w:lineRule="auto"/>
              <w:ind w:right="205"/>
              <w:jc w:val="center"/>
              <w:rPr>
                <w:color w:val="000000"/>
                <w:sz w:val="21"/>
              </w:rPr>
            </w:pPr>
            <w:r>
              <w:rPr>
                <w:color w:val="000000"/>
                <w:sz w:val="21"/>
              </w:rPr>
              <w:t>资格评审</w:t>
            </w:r>
          </w:p>
          <w:p>
            <w:pPr>
              <w:pStyle w:val="10"/>
              <w:spacing w:line="338" w:lineRule="auto"/>
              <w:ind w:right="205"/>
              <w:jc w:val="center"/>
              <w:rPr>
                <w:color w:val="000000"/>
                <w:sz w:val="11"/>
              </w:rPr>
            </w:pPr>
            <w:r>
              <w:rPr>
                <w:color w:val="000000"/>
                <w:sz w:val="21"/>
              </w:rPr>
              <w:t>标准</w:t>
            </w:r>
          </w:p>
        </w:tc>
        <w:tc>
          <w:tcPr>
            <w:tcW w:w="6626" w:type="dxa"/>
            <w:tcBorders>
              <w:left w:val="single" w:color="000000" w:sz="6" w:space="0"/>
            </w:tcBorders>
            <w:noWrap w:val="0"/>
            <w:vAlign w:val="top"/>
          </w:tcPr>
          <w:p>
            <w:pPr>
              <w:snapToGrid w:val="0"/>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lang w:val="zh-CN"/>
              </w:rPr>
              <w:t>（</w:t>
            </w:r>
            <w:r>
              <w:rPr>
                <w:rFonts w:hint="eastAsia" w:ascii="宋体" w:hAnsi="宋体" w:cs="宋体"/>
                <w:color w:val="000000"/>
                <w:szCs w:val="21"/>
              </w:rPr>
              <w:t>1</w:t>
            </w:r>
            <w:r>
              <w:rPr>
                <w:rFonts w:hint="eastAsia" w:ascii="宋体" w:hAnsi="宋体" w:cs="宋体"/>
                <w:color w:val="000000"/>
                <w:szCs w:val="21"/>
                <w:lang w:val="zh-CN"/>
              </w:rPr>
              <w:t>）</w:t>
            </w:r>
            <w:r>
              <w:rPr>
                <w:rFonts w:hint="eastAsia" w:ascii="宋体" w:hAnsi="宋体" w:cs="宋体"/>
                <w:color w:val="000000"/>
                <w:szCs w:val="21"/>
              </w:rPr>
              <w:t>投标人参加投标的意思表达清楚，法定代表人证明书及投标人代表被授权有效；</w:t>
            </w:r>
          </w:p>
          <w:p>
            <w:pPr>
              <w:snapToGrid w:val="0"/>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（2）投标人均具有中华人民共和国注册的独立法人资格，持有工商行政管理部门核发的法人营业执照或各级政府事业单位登记管理机构颁发的事业单位法人证书，按国家法律经营；</w:t>
            </w:r>
          </w:p>
          <w:p>
            <w:pPr>
              <w:snapToGrid w:val="0"/>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（3）投标人应满足本公告附件1中所列相应资质、财务、业绩、信誉、人员的要求；</w:t>
            </w:r>
          </w:p>
          <w:p>
            <w:pPr>
              <w:snapToGrid w:val="0"/>
              <w:spacing w:line="360" w:lineRule="auto"/>
              <w:ind w:firstLine="420" w:firstLineChars="200"/>
              <w:jc w:val="left"/>
              <w:rPr>
                <w:rFonts w:hint="eastAsia" w:ascii="宋体" w:hAnsi="宋体" w:cs="宋体"/>
                <w:color w:val="000000"/>
                <w:szCs w:val="21"/>
                <w:lang w:val="zh-CN"/>
              </w:rPr>
            </w:pPr>
            <w:r>
              <w:rPr>
                <w:rFonts w:hint="eastAsia" w:ascii="宋体" w:hAnsi="宋体" w:cs="宋体"/>
                <w:color w:val="000000"/>
                <w:szCs w:val="21"/>
              </w:rPr>
              <w:t>（4）</w:t>
            </w:r>
            <w:r>
              <w:rPr>
                <w:rFonts w:hint="eastAsia" w:ascii="宋体" w:hAnsi="宋体" w:cs="宋体"/>
                <w:color w:val="000000"/>
                <w:szCs w:val="21"/>
                <w:lang w:val="zh-CN"/>
              </w:rPr>
              <w:t>投标人应进入交通运输部“全国公路建设市场信用信息管理系统（http: glxy.mot.gov.cn)”中的公路工程施工资质企业名录，且投标人名称和资质与该名录中的相应企业名称和资质完全一致；</w:t>
            </w:r>
          </w:p>
          <w:p>
            <w:pPr>
              <w:snapToGrid w:val="0"/>
              <w:spacing w:line="360" w:lineRule="auto"/>
              <w:ind w:firstLine="420" w:firstLineChars="200"/>
              <w:jc w:val="left"/>
              <w:rPr>
                <w:rFonts w:hint="eastAsia" w:ascii="宋体" w:hAnsi="宋体" w:cs="宋体"/>
                <w:color w:val="000000"/>
                <w:szCs w:val="21"/>
                <w:lang w:val="zh-CN"/>
              </w:rPr>
            </w:pPr>
            <w:r>
              <w:rPr>
                <w:rFonts w:hint="eastAsia" w:ascii="宋体" w:hAnsi="宋体" w:cs="宋体"/>
                <w:color w:val="000000"/>
                <w:szCs w:val="21"/>
                <w:lang w:val="zh-CN"/>
              </w:rPr>
              <w:t>（</w:t>
            </w:r>
            <w:r>
              <w:rPr>
                <w:rFonts w:hint="eastAsia" w:ascii="宋体" w:hAnsi="宋体" w:cs="宋体"/>
                <w:color w:val="000000"/>
                <w:szCs w:val="21"/>
              </w:rPr>
              <w:t>5</w:t>
            </w:r>
            <w:r>
              <w:rPr>
                <w:rFonts w:hint="eastAsia" w:ascii="宋体" w:hAnsi="宋体" w:cs="宋体"/>
                <w:color w:val="000000"/>
                <w:szCs w:val="21"/>
                <w:lang w:val="zh-CN"/>
              </w:rPr>
              <w:t>）本次招标不接受联合体投标；</w:t>
            </w:r>
          </w:p>
          <w:p>
            <w:pPr>
              <w:snapToGrid w:val="0"/>
              <w:spacing w:line="360" w:lineRule="auto"/>
              <w:ind w:firstLine="420" w:firstLineChars="200"/>
              <w:jc w:val="left"/>
              <w:rPr>
                <w:rFonts w:hint="eastAsia" w:ascii="宋体" w:hAnsi="宋体" w:cs="宋体"/>
                <w:color w:val="000000"/>
                <w:szCs w:val="21"/>
                <w:lang w:val="zh-CN"/>
              </w:rPr>
            </w:pPr>
            <w:r>
              <w:rPr>
                <w:rFonts w:hint="eastAsia" w:ascii="宋体" w:hAnsi="宋体" w:cs="宋体"/>
                <w:color w:val="000000"/>
                <w:szCs w:val="21"/>
                <w:lang w:val="zh-CN"/>
              </w:rPr>
              <w:t>（</w:t>
            </w:r>
            <w:r>
              <w:rPr>
                <w:rFonts w:hint="eastAsia" w:ascii="宋体" w:hAnsi="宋体" w:cs="宋体"/>
                <w:color w:val="000000"/>
                <w:szCs w:val="21"/>
              </w:rPr>
              <w:t>6</w:t>
            </w:r>
            <w:r>
              <w:rPr>
                <w:rFonts w:hint="eastAsia" w:ascii="宋体" w:hAnsi="宋体" w:cs="宋体"/>
                <w:color w:val="000000"/>
                <w:szCs w:val="21"/>
                <w:lang w:val="zh-CN"/>
              </w:rPr>
              <w:t>） 与招标人存在利害关系可能影响招标公正性的法人，不得参加投标；单位负责人为同一人、或者存在控股、管理关系的不同单位，不得参加同一标段</w:t>
            </w:r>
            <w:r>
              <w:rPr>
                <w:rFonts w:hint="eastAsia" w:ascii="宋体" w:hAnsi="宋体" w:cs="宋体"/>
                <w:color w:val="000000"/>
                <w:szCs w:val="21"/>
              </w:rPr>
              <w:t>投标或者</w:t>
            </w:r>
            <w:r>
              <w:rPr>
                <w:rFonts w:hint="eastAsia" w:ascii="宋体" w:hAnsi="宋体" w:cs="宋体"/>
                <w:color w:val="000000"/>
                <w:szCs w:val="21"/>
                <w:lang w:val="zh-CN"/>
              </w:rPr>
              <w:t>未划分标段的同一招标项目投标，否则按否决其投标处理；</w:t>
            </w:r>
          </w:p>
          <w:p>
            <w:pPr>
              <w:snapToGrid w:val="0"/>
              <w:spacing w:line="360" w:lineRule="auto"/>
              <w:ind w:firstLine="420" w:firstLineChars="200"/>
              <w:jc w:val="left"/>
              <w:rPr>
                <w:rFonts w:hint="eastAsia" w:ascii="宋体" w:hAnsi="宋体" w:cs="宋体"/>
                <w:color w:val="000000"/>
                <w:szCs w:val="21"/>
                <w:lang w:val="zh-CN"/>
              </w:rPr>
            </w:pPr>
            <w:r>
              <w:rPr>
                <w:rFonts w:hint="eastAsia" w:ascii="宋体" w:hAnsi="宋体" w:cs="宋体"/>
                <w:color w:val="000000"/>
                <w:szCs w:val="21"/>
                <w:lang w:val="zh-CN"/>
              </w:rPr>
              <w:t>（注：1、单位负责人是指单位的法定代表人或者法律、行政法规规定代表单位行使职权的主要负责人。2、控股是指：股份占股份有限公司股本总额的50%以上的绝对控股、相对控股或协议控股。3、管理关系是指不具有出资持股关系的其它单位之间存在的管理与被管理关系。）</w:t>
            </w:r>
          </w:p>
          <w:p>
            <w:pPr>
              <w:snapToGrid w:val="0"/>
              <w:spacing w:line="360" w:lineRule="auto"/>
              <w:ind w:firstLine="420" w:firstLineChars="200"/>
              <w:jc w:val="left"/>
              <w:rPr>
                <w:rFonts w:hint="eastAsia" w:ascii="宋体" w:hAnsi="宋体" w:cs="宋体"/>
                <w:color w:val="000000"/>
                <w:szCs w:val="21"/>
                <w:lang w:val="zh-CN"/>
              </w:rPr>
            </w:pPr>
            <w:r>
              <w:rPr>
                <w:rFonts w:hint="eastAsia" w:ascii="宋体" w:hAnsi="宋体" w:cs="宋体"/>
                <w:color w:val="000000"/>
                <w:szCs w:val="21"/>
                <w:lang w:val="zh-CN"/>
              </w:rPr>
              <w:t>（</w:t>
            </w:r>
            <w:r>
              <w:rPr>
                <w:rFonts w:hint="eastAsia" w:ascii="宋体" w:hAnsi="宋体" w:cs="宋体"/>
                <w:color w:val="000000"/>
                <w:szCs w:val="21"/>
              </w:rPr>
              <w:t>7</w:t>
            </w:r>
            <w:r>
              <w:rPr>
                <w:rFonts w:hint="eastAsia" w:ascii="宋体" w:hAnsi="宋体" w:cs="宋体"/>
                <w:color w:val="000000"/>
                <w:szCs w:val="21"/>
                <w:lang w:val="zh-CN"/>
              </w:rPr>
              <w:t>）在“信用中国”网站（http://www.creditchina.gov.cn/)中被列入失信被执行人名单的投标人，在国家企业信用信息公示系统（www.gsxt.gov.cn）中被列入严重违法失信企业名单的投标人，均按否决投标处理；</w:t>
            </w:r>
          </w:p>
          <w:p>
            <w:pPr>
              <w:snapToGrid w:val="0"/>
              <w:spacing w:line="360" w:lineRule="auto"/>
              <w:ind w:firstLine="420" w:firstLineChars="200"/>
              <w:jc w:val="left"/>
              <w:rPr>
                <w:color w:val="000000"/>
                <w:sz w:val="11"/>
              </w:rPr>
            </w:pPr>
            <w:r>
              <w:rPr>
                <w:rFonts w:hint="eastAsia" w:ascii="宋体" w:hAnsi="宋体" w:cs="宋体"/>
                <w:color w:val="000000"/>
                <w:szCs w:val="21"/>
              </w:rPr>
              <w:t>（8）投标人还应在广州公共资源交易中心办理企业信息登记，未办理企业信息登记的投标登记将不予受理。（企业信息登记的办理详见广州公共资源交易中心网站</w:t>
            </w:r>
            <w:r>
              <w:rPr>
                <w:rFonts w:hint="eastAsia" w:ascii="宋体" w:hAnsi="宋体" w:cs="宋体"/>
                <w:color w:val="000000"/>
                <w:szCs w:val="21"/>
                <w:lang w:val="zh-CN"/>
              </w:rPr>
              <w:t>http://www.gzggzy.cn</w:t>
            </w:r>
            <w:r>
              <w:rPr>
                <w:rFonts w:hint="eastAsia" w:ascii="宋体" w:hAnsi="宋体" w:cs="宋体"/>
                <w:color w:val="000000"/>
                <w:szCs w:val="21"/>
              </w:rPr>
              <w:t>服务指南栏目）</w:t>
            </w:r>
          </w:p>
        </w:tc>
      </w:tr>
    </w:tbl>
    <w:p>
      <w:pPr>
        <w:jc w:val="left"/>
        <w:rPr>
          <w:rFonts w:hint="eastAsia"/>
          <w:color w:val="000000"/>
          <w:sz w:val="18"/>
        </w:rPr>
        <w:sectPr>
          <w:pgSz w:w="11910" w:h="16850"/>
          <w:pgMar w:top="1480" w:right="1200" w:bottom="1040" w:left="1220" w:header="876" w:footer="853" w:gutter="0"/>
          <w:cols w:space="720" w:num="1"/>
        </w:sectPr>
      </w:pPr>
    </w:p>
    <w:p>
      <w:pPr>
        <w:spacing w:after="3"/>
        <w:jc w:val="left"/>
        <w:rPr>
          <w:color w:val="000000"/>
        </w:rPr>
      </w:pPr>
    </w:p>
    <w:tbl>
      <w:tblPr>
        <w:tblStyle w:val="7"/>
        <w:tblW w:w="8932" w:type="dxa"/>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2"/>
        <w:gridCol w:w="1596"/>
        <w:gridCol w:w="63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992" w:type="dxa"/>
            <w:noWrap w:val="0"/>
            <w:vAlign w:val="center"/>
          </w:tcPr>
          <w:p>
            <w:pPr>
              <w:pStyle w:val="10"/>
              <w:spacing w:before="109" w:line="252" w:lineRule="exact"/>
              <w:ind w:left="157" w:right="148"/>
              <w:jc w:val="center"/>
              <w:rPr>
                <w:b/>
                <w:color w:val="000000"/>
                <w:sz w:val="21"/>
              </w:rPr>
            </w:pPr>
            <w:r>
              <w:rPr>
                <w:b/>
                <w:color w:val="000000"/>
                <w:sz w:val="21"/>
              </w:rPr>
              <w:t>条款号</w:t>
            </w:r>
          </w:p>
        </w:tc>
        <w:tc>
          <w:tcPr>
            <w:tcW w:w="1596" w:type="dxa"/>
            <w:tcBorders>
              <w:right w:val="single" w:color="000000" w:sz="6" w:space="0"/>
            </w:tcBorders>
            <w:noWrap w:val="0"/>
            <w:vAlign w:val="center"/>
          </w:tcPr>
          <w:p>
            <w:pPr>
              <w:pStyle w:val="10"/>
              <w:spacing w:before="109" w:line="252" w:lineRule="exact"/>
              <w:ind w:left="112" w:right="99"/>
              <w:jc w:val="center"/>
              <w:rPr>
                <w:b/>
                <w:color w:val="000000"/>
                <w:sz w:val="21"/>
              </w:rPr>
            </w:pPr>
            <w:r>
              <w:rPr>
                <w:b/>
                <w:color w:val="000000"/>
                <w:sz w:val="21"/>
              </w:rPr>
              <w:t>条款内容</w:t>
            </w:r>
          </w:p>
        </w:tc>
        <w:tc>
          <w:tcPr>
            <w:tcW w:w="6344" w:type="dxa"/>
            <w:tcBorders>
              <w:left w:val="single" w:color="000000" w:sz="6" w:space="0"/>
            </w:tcBorders>
            <w:noWrap w:val="0"/>
            <w:vAlign w:val="center"/>
          </w:tcPr>
          <w:p>
            <w:pPr>
              <w:pStyle w:val="10"/>
              <w:spacing w:before="109" w:line="252" w:lineRule="exact"/>
              <w:ind w:left="2335" w:right="2331"/>
              <w:jc w:val="center"/>
              <w:rPr>
                <w:b/>
                <w:color w:val="000000"/>
                <w:sz w:val="21"/>
              </w:rPr>
            </w:pPr>
            <w:r>
              <w:rPr>
                <w:b/>
                <w:color w:val="000000"/>
                <w:sz w:val="21"/>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4" w:hRule="atLeast"/>
        </w:trPr>
        <w:tc>
          <w:tcPr>
            <w:tcW w:w="992" w:type="dxa"/>
            <w:noWrap w:val="0"/>
            <w:vAlign w:val="center"/>
          </w:tcPr>
          <w:p>
            <w:pPr>
              <w:pStyle w:val="10"/>
              <w:spacing w:before="82"/>
              <w:ind w:left="157" w:right="148"/>
              <w:jc w:val="center"/>
              <w:rPr>
                <w:rFonts w:hint="eastAsia" w:ascii="宋体" w:hAnsi="宋体" w:cs="宋体"/>
                <w:color w:val="000000"/>
                <w:sz w:val="21"/>
                <w:szCs w:val="21"/>
              </w:rPr>
            </w:pPr>
            <w:r>
              <w:rPr>
                <w:rFonts w:hint="eastAsia" w:ascii="宋体" w:hAnsi="宋体" w:cs="宋体"/>
                <w:color w:val="000000"/>
                <w:sz w:val="21"/>
                <w:szCs w:val="21"/>
              </w:rPr>
              <w:t>2.2.1</w:t>
            </w:r>
          </w:p>
        </w:tc>
        <w:tc>
          <w:tcPr>
            <w:tcW w:w="1596" w:type="dxa"/>
            <w:tcBorders>
              <w:right w:val="single" w:color="000000" w:sz="6" w:space="0"/>
            </w:tcBorders>
            <w:noWrap w:val="0"/>
            <w:vAlign w:val="center"/>
          </w:tcPr>
          <w:p>
            <w:pPr>
              <w:pStyle w:val="10"/>
              <w:spacing w:before="109"/>
              <w:ind w:left="93" w:right="83"/>
              <w:jc w:val="center"/>
              <w:rPr>
                <w:rFonts w:hint="eastAsia" w:ascii="宋体" w:hAnsi="宋体" w:cs="宋体"/>
                <w:color w:val="000000"/>
                <w:sz w:val="21"/>
                <w:szCs w:val="21"/>
                <w:lang w:val="en-US"/>
              </w:rPr>
            </w:pPr>
            <w:r>
              <w:rPr>
                <w:rFonts w:hint="eastAsia" w:ascii="宋体" w:hAnsi="宋体" w:cs="宋体"/>
                <w:color w:val="000000"/>
                <w:sz w:val="21"/>
                <w:szCs w:val="21"/>
              </w:rPr>
              <w:t>第一个信封评分分值</w:t>
            </w:r>
            <w:r>
              <w:rPr>
                <w:rFonts w:hint="eastAsia" w:ascii="宋体" w:hAnsi="宋体" w:cs="宋体"/>
                <w:color w:val="000000"/>
                <w:sz w:val="21"/>
                <w:szCs w:val="21"/>
                <w:lang w:val="en-US"/>
              </w:rPr>
              <w:t>构成</w:t>
            </w:r>
          </w:p>
          <w:p>
            <w:pPr>
              <w:pStyle w:val="10"/>
              <w:snapToGrid w:val="0"/>
              <w:spacing w:line="360" w:lineRule="auto"/>
              <w:ind w:right="83"/>
              <w:jc w:val="center"/>
              <w:rPr>
                <w:rFonts w:hint="eastAsia" w:ascii="宋体" w:hAnsi="宋体" w:cs="宋体"/>
                <w:color w:val="000000"/>
                <w:sz w:val="21"/>
                <w:szCs w:val="21"/>
              </w:rPr>
            </w:pPr>
            <w:r>
              <w:rPr>
                <w:rFonts w:hint="eastAsia" w:ascii="宋体" w:hAnsi="宋体" w:cs="宋体"/>
                <w:color w:val="000000"/>
                <w:sz w:val="21"/>
                <w:szCs w:val="21"/>
              </w:rPr>
              <w:t>（总分100分）</w:t>
            </w:r>
          </w:p>
        </w:tc>
        <w:tc>
          <w:tcPr>
            <w:tcW w:w="6344" w:type="dxa"/>
            <w:tcBorders>
              <w:left w:val="single" w:color="000000" w:sz="6" w:space="0"/>
            </w:tcBorders>
            <w:noWrap w:val="0"/>
            <w:vAlign w:val="center"/>
          </w:tcPr>
          <w:p>
            <w:pPr>
              <w:snapToGrid w:val="0"/>
              <w:spacing w:line="360" w:lineRule="auto"/>
              <w:ind w:firstLine="210" w:firstLineChars="100"/>
              <w:rPr>
                <w:rFonts w:hint="eastAsia" w:ascii="宋体" w:hAnsi="宋体" w:cs="宋体"/>
                <w:color w:val="000000"/>
                <w:szCs w:val="21"/>
                <w:lang w:val="zh-CN"/>
              </w:rPr>
            </w:pPr>
            <w:r>
              <w:rPr>
                <w:rFonts w:hint="eastAsia" w:ascii="宋体" w:hAnsi="宋体" w:cs="宋体"/>
                <w:color w:val="000000"/>
                <w:szCs w:val="21"/>
                <w:lang w:val="zh-CN"/>
              </w:rPr>
              <w:t xml:space="preserve">施工组织设计(A)： </w:t>
            </w:r>
            <w:r>
              <w:rPr>
                <w:rFonts w:hint="eastAsia" w:ascii="宋体" w:hAnsi="宋体" w:cs="宋体"/>
                <w:color w:val="000000"/>
                <w:szCs w:val="21"/>
                <w:u w:val="single"/>
              </w:rPr>
              <w:t>4</w:t>
            </w:r>
            <w:r>
              <w:rPr>
                <w:rFonts w:hint="eastAsia" w:ascii="宋体" w:hAnsi="宋体" w:cs="宋体"/>
                <w:color w:val="000000"/>
                <w:szCs w:val="21"/>
                <w:u w:val="single"/>
                <w:lang w:val="zh-CN"/>
              </w:rPr>
              <w:t>0</w:t>
            </w:r>
            <w:r>
              <w:rPr>
                <w:rFonts w:hint="eastAsia" w:ascii="宋体" w:hAnsi="宋体" w:cs="宋体"/>
                <w:color w:val="000000"/>
                <w:szCs w:val="21"/>
                <w:lang w:val="zh-CN"/>
              </w:rPr>
              <w:t>分</w:t>
            </w:r>
          </w:p>
          <w:p>
            <w:pPr>
              <w:snapToGrid w:val="0"/>
              <w:spacing w:line="360" w:lineRule="auto"/>
              <w:ind w:firstLine="210" w:firstLineChars="100"/>
              <w:rPr>
                <w:rFonts w:hint="eastAsia" w:ascii="宋体" w:hAnsi="宋体" w:cs="宋体"/>
                <w:color w:val="000000"/>
                <w:szCs w:val="21"/>
                <w:lang w:val="zh-CN"/>
              </w:rPr>
            </w:pPr>
            <w:r>
              <w:rPr>
                <w:rFonts w:hint="eastAsia" w:ascii="宋体" w:hAnsi="宋体" w:cs="宋体"/>
                <w:color w:val="000000"/>
                <w:szCs w:val="21"/>
                <w:lang w:val="zh-CN"/>
              </w:rPr>
              <w:t xml:space="preserve">主要人员(B)： </w:t>
            </w:r>
            <w:r>
              <w:rPr>
                <w:rFonts w:hint="eastAsia" w:ascii="宋体" w:hAnsi="宋体" w:cs="宋体"/>
                <w:color w:val="000000"/>
                <w:szCs w:val="21"/>
                <w:u w:val="single"/>
                <w:lang w:val="zh-CN"/>
              </w:rPr>
              <w:t>35</w:t>
            </w:r>
            <w:r>
              <w:rPr>
                <w:rFonts w:hint="eastAsia" w:ascii="宋体" w:hAnsi="宋体" w:cs="宋体"/>
                <w:color w:val="000000"/>
                <w:szCs w:val="21"/>
                <w:lang w:val="zh-CN"/>
              </w:rPr>
              <w:t>分</w:t>
            </w:r>
          </w:p>
          <w:p>
            <w:pPr>
              <w:snapToGrid w:val="0"/>
              <w:spacing w:line="360" w:lineRule="auto"/>
              <w:ind w:firstLine="210" w:firstLineChars="100"/>
              <w:rPr>
                <w:rFonts w:hint="eastAsia" w:ascii="宋体" w:hAnsi="宋体" w:cs="宋体"/>
                <w:color w:val="000000"/>
                <w:szCs w:val="21"/>
                <w:lang w:val="zh-CN"/>
              </w:rPr>
            </w:pPr>
            <w:r>
              <w:rPr>
                <w:rFonts w:hint="eastAsia" w:ascii="宋体" w:hAnsi="宋体" w:cs="宋体"/>
                <w:color w:val="000000"/>
                <w:szCs w:val="21"/>
                <w:lang w:val="zh-CN"/>
              </w:rPr>
              <w:t>其他</w:t>
            </w:r>
            <w:r>
              <w:rPr>
                <w:rFonts w:hint="eastAsia" w:ascii="宋体" w:hAnsi="宋体" w:cs="宋体"/>
                <w:color w:val="000000"/>
                <w:szCs w:val="21"/>
              </w:rPr>
              <w:t>因素</w:t>
            </w:r>
            <w:r>
              <w:rPr>
                <w:rFonts w:hint="eastAsia" w:ascii="宋体" w:hAnsi="宋体" w:cs="宋体"/>
                <w:color w:val="000000"/>
                <w:szCs w:val="21"/>
                <w:lang w:val="zh-CN"/>
              </w:rPr>
              <w:t>（C）：</w:t>
            </w:r>
          </w:p>
          <w:p>
            <w:pPr>
              <w:snapToGrid w:val="0"/>
              <w:spacing w:line="360" w:lineRule="auto"/>
              <w:ind w:firstLine="210" w:firstLineChars="100"/>
              <w:rPr>
                <w:rFonts w:hint="eastAsia" w:ascii="宋体" w:hAnsi="宋体" w:cs="宋体"/>
                <w:color w:val="000000"/>
                <w:szCs w:val="21"/>
                <w:lang w:val="zh-CN"/>
              </w:rPr>
            </w:pPr>
            <w:r>
              <w:rPr>
                <w:rFonts w:hint="eastAsia" w:ascii="宋体" w:hAnsi="宋体" w:cs="宋体"/>
                <w:color w:val="000000"/>
                <w:szCs w:val="21"/>
                <w:lang w:val="zh-CN"/>
              </w:rPr>
              <w:t>技术能力：</w:t>
            </w:r>
            <w:r>
              <w:rPr>
                <w:rFonts w:hint="eastAsia" w:ascii="宋体" w:hAnsi="宋体" w:cs="宋体"/>
                <w:color w:val="000000"/>
                <w:szCs w:val="21"/>
                <w:u w:val="single"/>
              </w:rPr>
              <w:t>10</w:t>
            </w:r>
            <w:r>
              <w:rPr>
                <w:rFonts w:hint="eastAsia" w:ascii="宋体" w:hAnsi="宋体" w:cs="宋体"/>
                <w:color w:val="000000"/>
                <w:szCs w:val="21"/>
                <w:lang w:val="zh-CN"/>
              </w:rPr>
              <w:t>分</w:t>
            </w:r>
          </w:p>
          <w:p>
            <w:pPr>
              <w:snapToGrid w:val="0"/>
              <w:spacing w:line="360" w:lineRule="auto"/>
              <w:ind w:firstLine="210" w:firstLineChars="100"/>
              <w:rPr>
                <w:rFonts w:hint="eastAsia" w:ascii="宋体" w:hAnsi="宋体" w:cs="宋体"/>
                <w:color w:val="000000"/>
                <w:szCs w:val="21"/>
              </w:rPr>
            </w:pPr>
            <w:r>
              <w:rPr>
                <w:rFonts w:hint="eastAsia" w:ascii="宋体" w:hAnsi="宋体" w:cs="宋体"/>
                <w:color w:val="000000"/>
                <w:szCs w:val="21"/>
                <w:lang w:val="zh-CN"/>
              </w:rPr>
              <w:t>履约信誉：</w:t>
            </w:r>
            <w:r>
              <w:rPr>
                <w:rFonts w:hint="eastAsia" w:ascii="宋体" w:hAnsi="宋体" w:cs="宋体"/>
                <w:color w:val="000000"/>
                <w:szCs w:val="21"/>
                <w:u w:val="single"/>
                <w:lang w:val="zh-CN"/>
              </w:rPr>
              <w:t>15</w:t>
            </w:r>
            <w:r>
              <w:rPr>
                <w:rFonts w:hint="eastAsia" w:ascii="宋体" w:hAnsi="宋体" w:cs="宋体"/>
                <w:color w:val="000000"/>
                <w:szCs w:val="21"/>
                <w:lang w:val="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0" w:hRule="atLeast"/>
        </w:trPr>
        <w:tc>
          <w:tcPr>
            <w:tcW w:w="992" w:type="dxa"/>
            <w:noWrap w:val="0"/>
            <w:vAlign w:val="center"/>
          </w:tcPr>
          <w:p>
            <w:pPr>
              <w:pStyle w:val="10"/>
              <w:spacing w:before="82"/>
              <w:ind w:left="157" w:right="148"/>
              <w:jc w:val="center"/>
              <w:rPr>
                <w:rFonts w:hint="eastAsia" w:ascii="宋体" w:hAnsi="宋体" w:cs="宋体"/>
                <w:color w:val="000000"/>
                <w:sz w:val="21"/>
                <w:szCs w:val="21"/>
              </w:rPr>
            </w:pPr>
            <w:r>
              <w:rPr>
                <w:rFonts w:hint="eastAsia" w:ascii="宋体" w:hAnsi="宋体" w:cs="宋体"/>
                <w:color w:val="000000"/>
                <w:sz w:val="21"/>
                <w:szCs w:val="21"/>
              </w:rPr>
              <w:t>2.2.3</w:t>
            </w:r>
          </w:p>
        </w:tc>
        <w:tc>
          <w:tcPr>
            <w:tcW w:w="1596" w:type="dxa"/>
            <w:tcBorders>
              <w:right w:val="single" w:color="000000" w:sz="6" w:space="0"/>
            </w:tcBorders>
            <w:noWrap w:val="0"/>
            <w:vAlign w:val="center"/>
          </w:tcPr>
          <w:p>
            <w:pPr>
              <w:pStyle w:val="10"/>
              <w:spacing w:before="82"/>
              <w:ind w:right="148"/>
              <w:jc w:val="center"/>
              <w:rPr>
                <w:rFonts w:hint="eastAsia" w:ascii="宋体" w:hAnsi="宋体" w:cs="宋体"/>
                <w:color w:val="000000"/>
                <w:sz w:val="21"/>
                <w:szCs w:val="21"/>
              </w:rPr>
            </w:pPr>
            <w:r>
              <w:rPr>
                <w:rFonts w:hint="eastAsia" w:ascii="宋体" w:hAnsi="宋体" w:cs="宋体"/>
                <w:color w:val="000000"/>
                <w:sz w:val="21"/>
                <w:szCs w:val="21"/>
              </w:rPr>
              <w:t>第二个信封详细评审标准</w:t>
            </w:r>
          </w:p>
        </w:tc>
        <w:tc>
          <w:tcPr>
            <w:tcW w:w="6344" w:type="dxa"/>
            <w:tcBorders>
              <w:left w:val="single" w:color="000000" w:sz="6" w:space="0"/>
            </w:tcBorders>
            <w:noWrap w:val="0"/>
            <w:vAlign w:val="center"/>
          </w:tcPr>
          <w:p>
            <w:pPr>
              <w:snapToGrid w:val="0"/>
              <w:spacing w:line="360" w:lineRule="auto"/>
              <w:ind w:firstLine="210" w:firstLineChars="100"/>
              <w:jc w:val="left"/>
              <w:rPr>
                <w:rFonts w:hint="eastAsia" w:ascii="宋体" w:hAnsi="宋体" w:cs="宋体"/>
                <w:color w:val="000000"/>
                <w:szCs w:val="21"/>
                <w:lang w:val="zh-CN"/>
              </w:rPr>
            </w:pPr>
            <w:r>
              <w:rPr>
                <w:rFonts w:hint="eastAsia" w:ascii="宋体" w:hAnsi="宋体" w:cs="宋体"/>
                <w:color w:val="000000"/>
                <w:szCs w:val="21"/>
                <w:lang w:val="zh-CN"/>
              </w:rPr>
              <w:t>评标价的评审：</w:t>
            </w:r>
          </w:p>
          <w:p>
            <w:pPr>
              <w:snapToGrid w:val="0"/>
              <w:spacing w:line="360" w:lineRule="auto"/>
              <w:ind w:firstLine="210" w:firstLineChars="100"/>
              <w:jc w:val="left"/>
              <w:rPr>
                <w:rFonts w:hint="eastAsia" w:ascii="宋体" w:hAnsi="宋体" w:cs="宋体"/>
                <w:color w:val="000000"/>
                <w:szCs w:val="21"/>
                <w:lang w:val="zh-CN"/>
              </w:rPr>
            </w:pPr>
            <w:r>
              <w:rPr>
                <w:rFonts w:hint="eastAsia" w:ascii="宋体" w:hAnsi="宋体" w:cs="宋体"/>
                <w:color w:val="000000"/>
                <w:szCs w:val="21"/>
                <w:lang w:val="zh-CN"/>
              </w:rPr>
              <w:t>（1）评标价计算公式：</w:t>
            </w:r>
          </w:p>
          <w:p>
            <w:pPr>
              <w:snapToGrid w:val="0"/>
              <w:spacing w:line="360" w:lineRule="auto"/>
              <w:ind w:firstLine="420" w:firstLineChars="200"/>
              <w:jc w:val="left"/>
              <w:rPr>
                <w:rFonts w:ascii="宋体" w:hAnsi="宋体" w:cs="宋体"/>
                <w:color w:val="000000"/>
                <w:szCs w:val="21"/>
                <w:lang w:val="zh-CN"/>
              </w:rPr>
            </w:pPr>
            <w:r>
              <w:rPr>
                <w:rFonts w:hint="eastAsia" w:ascii="宋体" w:hAnsi="宋体" w:cs="宋体"/>
                <w:color w:val="000000"/>
                <w:szCs w:val="21"/>
                <w:lang w:val="zh-CN"/>
              </w:rPr>
              <w:t>评标价＝修正后的投标报价</w:t>
            </w:r>
          </w:p>
          <w:p>
            <w:pPr>
              <w:snapToGrid w:val="0"/>
              <w:spacing w:line="360" w:lineRule="auto"/>
              <w:ind w:firstLine="420" w:firstLineChars="200"/>
              <w:jc w:val="left"/>
              <w:rPr>
                <w:color w:val="000000"/>
              </w:rPr>
            </w:pPr>
            <w:r>
              <w:rPr>
                <w:rFonts w:hint="eastAsia" w:ascii="宋体" w:hAnsi="宋体" w:cs="宋体"/>
                <w:color w:val="000000"/>
                <w:szCs w:val="21"/>
                <w:lang w:val="zh-CN"/>
              </w:rPr>
              <w:t>若投标人的评标价小于最高投标限价 85</w:t>
            </w:r>
            <w:r>
              <w:rPr>
                <w:rFonts w:hint="eastAsia" w:ascii="宋体" w:hAnsi="宋体" w:cs="宋体"/>
                <w:color w:val="000000"/>
                <w:szCs w:val="21"/>
              </w:rPr>
              <w:t>%</w:t>
            </w:r>
            <w:r>
              <w:rPr>
                <w:rFonts w:hint="eastAsia" w:ascii="宋体" w:hAnsi="宋体" w:cs="宋体"/>
                <w:color w:val="000000"/>
                <w:szCs w:val="21"/>
                <w:lang w:val="zh-CN"/>
              </w:rPr>
              <w:t>的，启动澄清程序，要求投标人作出书面说明并提供相关证明材料。投标人不能合理说明或者不能提供相关证明资料的，评标委员会认定该投标人以低于成本报价竞标，否决其投标。当所有投标人的投标因此种情况被否决；或当因此种情况被否决部分投标人后，有效投标人不足三家，评标委员会认为竞争不足的情况出现时，评标委员会可以否决全部投标。未否决全部投标的，评标委员会应当在评标报告中阐明理由并推荐中标候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5" w:hRule="atLeast"/>
        </w:trPr>
        <w:tc>
          <w:tcPr>
            <w:tcW w:w="992" w:type="dxa"/>
            <w:noWrap w:val="0"/>
            <w:vAlign w:val="center"/>
          </w:tcPr>
          <w:p>
            <w:pPr>
              <w:pStyle w:val="10"/>
              <w:spacing w:before="82"/>
              <w:ind w:left="157" w:right="148"/>
              <w:jc w:val="center"/>
              <w:rPr>
                <w:rFonts w:hint="eastAsia" w:ascii="宋体" w:hAnsi="宋体" w:cs="宋体"/>
                <w:color w:val="000000"/>
                <w:sz w:val="21"/>
                <w:szCs w:val="21"/>
              </w:rPr>
            </w:pPr>
          </w:p>
          <w:p>
            <w:pPr>
              <w:pStyle w:val="10"/>
              <w:spacing w:before="82"/>
              <w:ind w:left="157" w:right="148"/>
              <w:jc w:val="center"/>
              <w:rPr>
                <w:rFonts w:hint="eastAsia" w:ascii="宋体" w:hAnsi="宋体" w:cs="宋体"/>
                <w:color w:val="000000"/>
                <w:sz w:val="21"/>
                <w:szCs w:val="21"/>
              </w:rPr>
            </w:pPr>
            <w:r>
              <w:rPr>
                <w:rFonts w:hint="eastAsia" w:ascii="宋体" w:hAnsi="宋体" w:cs="宋体"/>
                <w:color w:val="000000"/>
                <w:sz w:val="21"/>
                <w:szCs w:val="21"/>
              </w:rPr>
              <w:t>3.2.4</w:t>
            </w:r>
          </w:p>
        </w:tc>
        <w:tc>
          <w:tcPr>
            <w:tcW w:w="1596" w:type="dxa"/>
            <w:tcBorders>
              <w:right w:val="single" w:color="000000" w:sz="6" w:space="0"/>
            </w:tcBorders>
            <w:noWrap w:val="0"/>
            <w:vAlign w:val="center"/>
          </w:tcPr>
          <w:p>
            <w:pPr>
              <w:pStyle w:val="10"/>
              <w:spacing w:before="82"/>
              <w:ind w:left="157" w:right="148"/>
              <w:jc w:val="center"/>
              <w:rPr>
                <w:rFonts w:hint="eastAsia" w:ascii="宋体" w:hAnsi="宋体" w:cs="宋体"/>
                <w:color w:val="000000"/>
                <w:sz w:val="21"/>
                <w:szCs w:val="21"/>
              </w:rPr>
            </w:pPr>
            <w:r>
              <w:rPr>
                <w:rFonts w:hint="eastAsia" w:ascii="宋体" w:hAnsi="宋体" w:cs="宋体"/>
                <w:color w:val="000000"/>
                <w:sz w:val="21"/>
                <w:szCs w:val="21"/>
              </w:rPr>
              <w:t>通过第一个信封详细评审的投标人数量</w:t>
            </w:r>
          </w:p>
        </w:tc>
        <w:tc>
          <w:tcPr>
            <w:tcW w:w="6344" w:type="dxa"/>
            <w:tcBorders>
              <w:left w:val="single" w:color="000000" w:sz="6" w:space="0"/>
            </w:tcBorders>
            <w:noWrap w:val="0"/>
            <w:vAlign w:val="center"/>
          </w:tcPr>
          <w:p>
            <w:pPr>
              <w:pStyle w:val="10"/>
              <w:tabs>
                <w:tab w:val="left" w:pos="5973"/>
              </w:tabs>
              <w:spacing w:before="18" w:line="360" w:lineRule="atLeast"/>
              <w:ind w:left="104" w:right="95" w:firstLine="420"/>
              <w:jc w:val="both"/>
              <w:rPr>
                <w:color w:val="000000"/>
                <w:sz w:val="21"/>
              </w:rPr>
            </w:pPr>
            <w:r>
              <w:rPr>
                <w:rFonts w:hint="eastAsia" w:ascii="宋体" w:hAnsi="宋体" w:cs="宋体"/>
                <w:color w:val="000000"/>
                <w:sz w:val="21"/>
                <w:szCs w:val="21"/>
              </w:rPr>
              <w:t>按照投标人的</w:t>
            </w:r>
            <w:r>
              <w:rPr>
                <w:rFonts w:hint="eastAsia" w:ascii="宋体" w:hAnsi="宋体" w:cs="宋体"/>
                <w:color w:val="000000"/>
                <w:sz w:val="21"/>
                <w:szCs w:val="21"/>
                <w:lang w:val="en-US"/>
              </w:rPr>
              <w:t>商务和技术</w:t>
            </w:r>
            <w:r>
              <w:rPr>
                <w:rFonts w:hint="eastAsia" w:ascii="宋体" w:hAnsi="宋体" w:cs="宋体"/>
                <w:color w:val="000000"/>
                <w:sz w:val="21"/>
                <w:szCs w:val="21"/>
              </w:rPr>
              <w:t>得分由高到低排序，选择</w:t>
            </w:r>
            <w:r>
              <w:rPr>
                <w:rFonts w:hint="eastAsia" w:ascii="宋体" w:hAnsi="宋体" w:cs="宋体"/>
                <w:color w:val="000000"/>
                <w:sz w:val="21"/>
                <w:szCs w:val="21"/>
                <w:u w:val="single"/>
              </w:rPr>
              <w:t>前 5 名(不少于3 名但不足5名时，按实际数量)</w:t>
            </w:r>
            <w:r>
              <w:rPr>
                <w:rFonts w:hint="eastAsia" w:ascii="宋体" w:hAnsi="宋体" w:cs="宋体"/>
                <w:color w:val="000000"/>
                <w:sz w:val="21"/>
                <w:szCs w:val="21"/>
              </w:rPr>
              <w:t>通过详细评审。</w:t>
            </w:r>
          </w:p>
        </w:tc>
      </w:tr>
    </w:tbl>
    <w:p>
      <w:pPr>
        <w:tabs>
          <w:tab w:val="left" w:pos="845"/>
        </w:tabs>
        <w:wordWrap w:val="0"/>
        <w:adjustRightInd w:val="0"/>
        <w:snapToGrid w:val="0"/>
        <w:spacing w:line="360" w:lineRule="auto"/>
        <w:rPr>
          <w:color w:val="000000"/>
          <w:sz w:val="18"/>
        </w:rPr>
      </w:pPr>
    </w:p>
    <w:p>
      <w:pPr>
        <w:pStyle w:val="2"/>
        <w:ind w:firstLine="360"/>
        <w:rPr>
          <w:color w:val="000000"/>
          <w:sz w:val="18"/>
        </w:rPr>
      </w:pPr>
    </w:p>
    <w:p>
      <w:pPr>
        <w:pStyle w:val="2"/>
        <w:ind w:firstLine="360"/>
        <w:rPr>
          <w:color w:val="000000"/>
          <w:sz w:val="18"/>
        </w:rPr>
      </w:pPr>
    </w:p>
    <w:p>
      <w:pPr>
        <w:pStyle w:val="2"/>
        <w:ind w:firstLine="360"/>
        <w:rPr>
          <w:color w:val="000000"/>
          <w:sz w:val="18"/>
        </w:rPr>
      </w:pPr>
    </w:p>
    <w:p>
      <w:pPr>
        <w:pStyle w:val="2"/>
        <w:ind w:firstLine="360"/>
        <w:rPr>
          <w:color w:val="000000"/>
          <w:sz w:val="18"/>
        </w:rPr>
      </w:pPr>
    </w:p>
    <w:p>
      <w:pPr>
        <w:pStyle w:val="2"/>
        <w:ind w:firstLine="360"/>
        <w:rPr>
          <w:color w:val="000000"/>
          <w:sz w:val="18"/>
        </w:rPr>
      </w:pPr>
    </w:p>
    <w:p>
      <w:pPr>
        <w:pStyle w:val="2"/>
        <w:ind w:firstLine="360"/>
        <w:rPr>
          <w:color w:val="000000"/>
          <w:sz w:val="18"/>
        </w:rPr>
      </w:pPr>
    </w:p>
    <w:p>
      <w:pPr>
        <w:pStyle w:val="2"/>
        <w:ind w:firstLine="360"/>
        <w:rPr>
          <w:color w:val="000000"/>
          <w:sz w:val="18"/>
        </w:rPr>
      </w:pPr>
    </w:p>
    <w:p>
      <w:pPr>
        <w:pStyle w:val="2"/>
        <w:ind w:firstLine="360"/>
        <w:rPr>
          <w:color w:val="000000"/>
          <w:sz w:val="18"/>
        </w:rPr>
      </w:pPr>
    </w:p>
    <w:p>
      <w:pPr>
        <w:pStyle w:val="2"/>
        <w:ind w:firstLine="360"/>
        <w:rPr>
          <w:color w:val="000000"/>
          <w:sz w:val="18"/>
        </w:rPr>
      </w:pPr>
    </w:p>
    <w:p>
      <w:pPr>
        <w:pStyle w:val="2"/>
        <w:ind w:firstLine="360"/>
        <w:rPr>
          <w:color w:val="000000"/>
          <w:sz w:val="18"/>
        </w:rPr>
      </w:pPr>
    </w:p>
    <w:tbl>
      <w:tblPr>
        <w:tblStyle w:val="7"/>
        <w:tblW w:w="9810" w:type="dxa"/>
        <w:tblInd w:w="-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8"/>
        <w:gridCol w:w="131"/>
        <w:gridCol w:w="419"/>
        <w:gridCol w:w="581"/>
        <w:gridCol w:w="876"/>
        <w:gridCol w:w="1404"/>
        <w:gridCol w:w="775"/>
        <w:gridCol w:w="46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5124" w:type="dxa"/>
            <w:gridSpan w:val="7"/>
            <w:noWrap w:val="0"/>
            <w:vAlign w:val="center"/>
          </w:tcPr>
          <w:p>
            <w:pPr>
              <w:pStyle w:val="10"/>
              <w:jc w:val="center"/>
              <w:rPr>
                <w:rFonts w:ascii="宋体" w:hAnsi="宋体"/>
                <w:b/>
                <w:color w:val="000000"/>
                <w:sz w:val="21"/>
              </w:rPr>
            </w:pPr>
            <w:bookmarkStart w:id="0" w:name="_GoBack"/>
            <w:bookmarkEnd w:id="0"/>
            <w:r>
              <w:rPr>
                <w:rFonts w:ascii="宋体" w:hAnsi="宋体"/>
                <w:b/>
                <w:color w:val="000000"/>
                <w:sz w:val="21"/>
              </w:rPr>
              <w:t>评分因素与权重分值</w:t>
            </w:r>
          </w:p>
        </w:tc>
        <w:tc>
          <w:tcPr>
            <w:tcW w:w="4686" w:type="dxa"/>
            <w:tcBorders>
              <w:top w:val="single" w:color="auto" w:sz="4" w:space="0"/>
            </w:tcBorders>
            <w:noWrap w:val="0"/>
            <w:vAlign w:val="top"/>
          </w:tcPr>
          <w:p>
            <w:pPr>
              <w:pStyle w:val="10"/>
              <w:spacing w:before="196"/>
              <w:ind w:left="104"/>
              <w:jc w:val="center"/>
              <w:rPr>
                <w:rFonts w:ascii="宋体" w:hAnsi="宋体"/>
                <w:color w:val="00000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938" w:type="dxa"/>
            <w:noWrap w:val="0"/>
            <w:vAlign w:val="center"/>
          </w:tcPr>
          <w:p>
            <w:pPr>
              <w:pStyle w:val="10"/>
              <w:jc w:val="center"/>
              <w:rPr>
                <w:rFonts w:ascii="宋体" w:hAnsi="宋体"/>
                <w:b/>
                <w:color w:val="000000"/>
                <w:sz w:val="21"/>
              </w:rPr>
            </w:pPr>
            <w:r>
              <w:rPr>
                <w:rFonts w:ascii="宋体" w:hAnsi="宋体"/>
                <w:b/>
                <w:color w:val="000000"/>
                <w:sz w:val="21"/>
              </w:rPr>
              <w:t>条款号</w:t>
            </w:r>
          </w:p>
        </w:tc>
        <w:tc>
          <w:tcPr>
            <w:tcW w:w="1131" w:type="dxa"/>
            <w:gridSpan w:val="3"/>
            <w:noWrap w:val="0"/>
            <w:vAlign w:val="center"/>
          </w:tcPr>
          <w:p>
            <w:pPr>
              <w:pStyle w:val="10"/>
              <w:jc w:val="center"/>
              <w:rPr>
                <w:rFonts w:ascii="宋体" w:hAnsi="宋体"/>
                <w:b/>
                <w:color w:val="000000"/>
                <w:sz w:val="21"/>
              </w:rPr>
            </w:pPr>
            <w:r>
              <w:rPr>
                <w:rFonts w:ascii="宋体" w:hAnsi="宋体"/>
                <w:b/>
                <w:color w:val="000000"/>
                <w:sz w:val="21"/>
              </w:rPr>
              <w:t>评分因素</w:t>
            </w:r>
          </w:p>
        </w:tc>
        <w:tc>
          <w:tcPr>
            <w:tcW w:w="876" w:type="dxa"/>
            <w:noWrap w:val="0"/>
            <w:vAlign w:val="center"/>
          </w:tcPr>
          <w:p>
            <w:pPr>
              <w:pStyle w:val="10"/>
              <w:jc w:val="center"/>
              <w:rPr>
                <w:rFonts w:ascii="宋体" w:hAnsi="宋体"/>
                <w:b/>
                <w:color w:val="000000"/>
                <w:sz w:val="21"/>
              </w:rPr>
            </w:pPr>
            <w:r>
              <w:rPr>
                <w:rFonts w:ascii="宋体" w:hAnsi="宋体"/>
                <w:b/>
                <w:color w:val="000000"/>
                <w:sz w:val="21"/>
              </w:rPr>
              <w:t>评分因素</w:t>
            </w:r>
            <w:r>
              <w:rPr>
                <w:rFonts w:ascii="宋体" w:hAnsi="宋体"/>
                <w:b/>
                <w:color w:val="000000"/>
                <w:spacing w:val="-1"/>
                <w:sz w:val="21"/>
              </w:rPr>
              <w:t>权重分值</w:t>
            </w:r>
          </w:p>
        </w:tc>
        <w:tc>
          <w:tcPr>
            <w:tcW w:w="1404" w:type="dxa"/>
            <w:noWrap w:val="0"/>
            <w:vAlign w:val="center"/>
          </w:tcPr>
          <w:p>
            <w:pPr>
              <w:pStyle w:val="10"/>
              <w:snapToGrid w:val="0"/>
              <w:jc w:val="center"/>
              <w:rPr>
                <w:rFonts w:ascii="宋体" w:hAnsi="宋体"/>
                <w:b/>
                <w:color w:val="000000"/>
                <w:sz w:val="21"/>
              </w:rPr>
            </w:pPr>
            <w:r>
              <w:rPr>
                <w:rFonts w:ascii="宋体" w:hAnsi="宋体"/>
                <w:b/>
                <w:color w:val="000000"/>
                <w:sz w:val="21"/>
              </w:rPr>
              <w:t>各评分因素细分项</w:t>
            </w:r>
          </w:p>
        </w:tc>
        <w:tc>
          <w:tcPr>
            <w:tcW w:w="775" w:type="dxa"/>
            <w:tcBorders>
              <w:top w:val="single" w:color="auto" w:sz="4" w:space="0"/>
            </w:tcBorders>
            <w:noWrap w:val="0"/>
            <w:vAlign w:val="center"/>
          </w:tcPr>
          <w:p>
            <w:pPr>
              <w:pStyle w:val="10"/>
              <w:jc w:val="center"/>
              <w:rPr>
                <w:rFonts w:ascii="宋体" w:hAnsi="宋体"/>
                <w:b/>
                <w:color w:val="000000"/>
                <w:sz w:val="21"/>
              </w:rPr>
            </w:pPr>
            <w:r>
              <w:rPr>
                <w:rFonts w:ascii="宋体" w:hAnsi="宋体"/>
                <w:b/>
                <w:color w:val="000000"/>
                <w:sz w:val="21"/>
              </w:rPr>
              <w:t>分值</w:t>
            </w:r>
          </w:p>
        </w:tc>
        <w:tc>
          <w:tcPr>
            <w:tcW w:w="4686" w:type="dxa"/>
            <w:tcBorders>
              <w:top w:val="single" w:color="auto" w:sz="4" w:space="0"/>
            </w:tcBorders>
            <w:noWrap w:val="0"/>
            <w:vAlign w:val="center"/>
          </w:tcPr>
          <w:p>
            <w:pPr>
              <w:pStyle w:val="10"/>
              <w:jc w:val="center"/>
              <w:rPr>
                <w:rFonts w:ascii="宋体" w:hAnsi="宋体"/>
                <w:color w:val="000000"/>
                <w:sz w:val="2"/>
                <w:szCs w:val="2"/>
              </w:rPr>
            </w:pPr>
            <w:r>
              <w:rPr>
                <w:rFonts w:ascii="宋体" w:hAnsi="宋体"/>
                <w:b/>
                <w:color w:val="000000"/>
                <w:sz w:val="21"/>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38" w:type="dxa"/>
            <w:vMerge w:val="restart"/>
            <w:noWrap w:val="0"/>
            <w:vAlign w:val="center"/>
          </w:tcPr>
          <w:p>
            <w:pPr>
              <w:pStyle w:val="10"/>
              <w:jc w:val="center"/>
              <w:rPr>
                <w:rFonts w:ascii="宋体" w:hAnsi="宋体"/>
                <w:color w:val="000000"/>
              </w:rPr>
            </w:pPr>
          </w:p>
          <w:p>
            <w:pPr>
              <w:pStyle w:val="10"/>
              <w:spacing w:before="196"/>
              <w:jc w:val="center"/>
              <w:rPr>
                <w:rFonts w:ascii="宋体" w:hAnsi="宋体"/>
                <w:color w:val="000000"/>
                <w:sz w:val="21"/>
              </w:rPr>
            </w:pPr>
            <w:r>
              <w:rPr>
                <w:rFonts w:ascii="宋体" w:hAnsi="宋体"/>
                <w:color w:val="000000"/>
                <w:sz w:val="21"/>
              </w:rPr>
              <w:t>2.2.2（1）</w:t>
            </w:r>
          </w:p>
        </w:tc>
        <w:tc>
          <w:tcPr>
            <w:tcW w:w="1131" w:type="dxa"/>
            <w:gridSpan w:val="3"/>
            <w:vMerge w:val="restart"/>
            <w:noWrap w:val="0"/>
            <w:vAlign w:val="center"/>
          </w:tcPr>
          <w:p>
            <w:pPr>
              <w:pStyle w:val="10"/>
              <w:spacing w:before="6"/>
              <w:jc w:val="center"/>
              <w:rPr>
                <w:rFonts w:ascii="宋体" w:hAnsi="宋体"/>
                <w:color w:val="000000"/>
              </w:rPr>
            </w:pPr>
          </w:p>
          <w:p>
            <w:pPr>
              <w:pStyle w:val="10"/>
              <w:spacing w:line="341" w:lineRule="auto"/>
              <w:jc w:val="center"/>
              <w:rPr>
                <w:rFonts w:ascii="宋体" w:hAnsi="宋体"/>
                <w:color w:val="000000"/>
                <w:sz w:val="21"/>
              </w:rPr>
            </w:pPr>
            <w:r>
              <w:rPr>
                <w:rFonts w:ascii="宋体" w:hAnsi="宋体"/>
                <w:color w:val="000000"/>
                <w:sz w:val="21"/>
              </w:rPr>
              <w:t>施工组织设计</w:t>
            </w:r>
          </w:p>
        </w:tc>
        <w:tc>
          <w:tcPr>
            <w:tcW w:w="876" w:type="dxa"/>
            <w:vMerge w:val="restart"/>
            <w:noWrap w:val="0"/>
            <w:vAlign w:val="center"/>
          </w:tcPr>
          <w:p>
            <w:pPr>
              <w:pStyle w:val="10"/>
              <w:tabs>
                <w:tab w:val="left" w:pos="671"/>
              </w:tabs>
              <w:spacing w:before="196"/>
              <w:jc w:val="center"/>
              <w:rPr>
                <w:rFonts w:ascii="宋体" w:hAnsi="宋体"/>
                <w:color w:val="000000"/>
                <w:sz w:val="21"/>
              </w:rPr>
            </w:pPr>
            <w:r>
              <w:rPr>
                <w:rFonts w:hint="eastAsia" w:ascii="宋体" w:hAnsi="宋体"/>
                <w:color w:val="000000"/>
                <w:sz w:val="21"/>
                <w:u w:val="single"/>
                <w:lang w:val="en-US"/>
              </w:rPr>
              <w:t>4</w:t>
            </w:r>
            <w:r>
              <w:rPr>
                <w:rFonts w:ascii="宋体" w:hAnsi="宋体"/>
                <w:color w:val="000000"/>
                <w:sz w:val="21"/>
                <w:u w:val="single"/>
              </w:rPr>
              <w:t>0</w:t>
            </w:r>
            <w:r>
              <w:rPr>
                <w:rFonts w:ascii="宋体" w:hAnsi="宋体"/>
                <w:color w:val="000000"/>
                <w:sz w:val="21"/>
              </w:rPr>
              <w:t>分</w:t>
            </w:r>
          </w:p>
        </w:tc>
        <w:tc>
          <w:tcPr>
            <w:tcW w:w="1404" w:type="dxa"/>
            <w:noWrap w:val="0"/>
            <w:vAlign w:val="center"/>
          </w:tcPr>
          <w:p>
            <w:pPr>
              <w:pStyle w:val="10"/>
              <w:spacing w:before="82"/>
              <w:ind w:right="148"/>
              <w:jc w:val="center"/>
              <w:rPr>
                <w:rFonts w:hint="eastAsia" w:ascii="宋体" w:hAnsi="宋体" w:cs="宋体"/>
                <w:color w:val="000000"/>
                <w:sz w:val="21"/>
                <w:szCs w:val="21"/>
                <w:lang w:val="en-US"/>
              </w:rPr>
            </w:pPr>
            <w:r>
              <w:rPr>
                <w:rFonts w:hint="eastAsia" w:ascii="宋体" w:hAnsi="宋体" w:cs="宋体"/>
                <w:color w:val="000000"/>
                <w:sz w:val="21"/>
                <w:szCs w:val="21"/>
                <w:lang w:val="en-US"/>
              </w:rPr>
              <w:t xml:space="preserve">总体施 </w:t>
            </w:r>
          </w:p>
          <w:p>
            <w:pPr>
              <w:pStyle w:val="10"/>
              <w:spacing w:before="82"/>
              <w:ind w:right="148"/>
              <w:jc w:val="center"/>
              <w:rPr>
                <w:rFonts w:hint="eastAsia" w:ascii="宋体" w:hAnsi="宋体" w:cs="宋体"/>
                <w:color w:val="000000"/>
                <w:sz w:val="21"/>
                <w:szCs w:val="21"/>
                <w:lang w:val="en-US"/>
              </w:rPr>
            </w:pPr>
            <w:r>
              <w:rPr>
                <w:rFonts w:hint="eastAsia" w:ascii="宋体" w:hAnsi="宋体" w:cs="宋体"/>
                <w:color w:val="000000"/>
                <w:sz w:val="21"/>
                <w:szCs w:val="21"/>
                <w:lang w:val="en-US"/>
              </w:rPr>
              <w:t xml:space="preserve">工组织 </w:t>
            </w:r>
          </w:p>
          <w:p>
            <w:pPr>
              <w:pStyle w:val="10"/>
              <w:spacing w:before="82"/>
              <w:ind w:right="148"/>
              <w:jc w:val="center"/>
              <w:rPr>
                <w:rFonts w:hint="eastAsia" w:ascii="宋体" w:hAnsi="宋体" w:cs="宋体"/>
                <w:color w:val="000000"/>
                <w:sz w:val="21"/>
                <w:szCs w:val="21"/>
                <w:lang w:val="en-US"/>
              </w:rPr>
            </w:pPr>
            <w:r>
              <w:rPr>
                <w:rFonts w:hint="eastAsia" w:ascii="宋体" w:hAnsi="宋体" w:cs="宋体"/>
                <w:color w:val="000000"/>
                <w:sz w:val="21"/>
                <w:szCs w:val="21"/>
                <w:lang w:val="en-US"/>
              </w:rPr>
              <w:t xml:space="preserve">布置及 </w:t>
            </w:r>
          </w:p>
          <w:p>
            <w:pPr>
              <w:pStyle w:val="10"/>
              <w:spacing w:before="82"/>
              <w:ind w:right="148"/>
              <w:jc w:val="center"/>
              <w:rPr>
                <w:rFonts w:hint="eastAsia" w:ascii="宋体" w:hAnsi="宋体" w:cs="宋体"/>
                <w:color w:val="000000"/>
                <w:sz w:val="21"/>
                <w:szCs w:val="21"/>
                <w:lang w:val="en-US"/>
              </w:rPr>
            </w:pPr>
            <w:r>
              <w:rPr>
                <w:rFonts w:hint="eastAsia" w:ascii="宋体" w:hAnsi="宋体" w:cs="宋体"/>
                <w:color w:val="000000"/>
                <w:sz w:val="21"/>
                <w:szCs w:val="21"/>
                <w:lang w:val="en-US"/>
              </w:rPr>
              <w:t>规划</w:t>
            </w:r>
          </w:p>
          <w:p>
            <w:pPr>
              <w:pStyle w:val="10"/>
              <w:spacing w:before="82"/>
              <w:ind w:right="148"/>
              <w:jc w:val="center"/>
              <w:rPr>
                <w:rFonts w:hint="eastAsia" w:ascii="宋体" w:hAnsi="宋体" w:cs="宋体"/>
                <w:color w:val="000000"/>
                <w:sz w:val="21"/>
                <w:szCs w:val="21"/>
                <w:lang w:val="en-US"/>
              </w:rPr>
            </w:pPr>
          </w:p>
        </w:tc>
        <w:tc>
          <w:tcPr>
            <w:tcW w:w="775" w:type="dxa"/>
            <w:noWrap w:val="0"/>
            <w:vAlign w:val="center"/>
          </w:tcPr>
          <w:p>
            <w:pPr>
              <w:spacing w:before="68"/>
              <w:ind w:right="217"/>
              <w:jc w:val="center"/>
              <w:rPr>
                <w:rFonts w:ascii="宋体" w:hAnsi="宋体"/>
                <w:color w:val="000000"/>
              </w:rPr>
            </w:pPr>
            <w:r>
              <w:rPr>
                <w:rFonts w:hint="eastAsia" w:ascii="宋体" w:hAnsi="宋体" w:cs="宋体"/>
                <w:color w:val="000000"/>
                <w:spacing w:val="-3"/>
                <w:szCs w:val="21"/>
              </w:rPr>
              <w:t>10分</w:t>
            </w:r>
          </w:p>
        </w:tc>
        <w:tc>
          <w:tcPr>
            <w:tcW w:w="4686" w:type="dxa"/>
            <w:noWrap w:val="0"/>
            <w:vAlign w:val="center"/>
          </w:tcPr>
          <w:p>
            <w:pPr>
              <w:spacing w:before="68"/>
              <w:ind w:right="217"/>
              <w:jc w:val="center"/>
              <w:rPr>
                <w:rFonts w:hint="eastAsia" w:ascii="宋体" w:hAnsi="宋体" w:cs="宋体"/>
                <w:color w:val="000000"/>
                <w:spacing w:val="-3"/>
                <w:szCs w:val="21"/>
              </w:rPr>
            </w:pPr>
            <w:r>
              <w:rPr>
                <w:rFonts w:hint="eastAsia" w:ascii="宋体" w:hAnsi="宋体" w:cs="宋体"/>
                <w:color w:val="000000"/>
                <w:spacing w:val="-3"/>
                <w:szCs w:val="21"/>
              </w:rPr>
              <w:t>（1）对项目的基本情况了解全面、准确，施工总体布置规划、施工进度计划科学合理、可操作性强，按《广东省公路工程施工标准化指南》及《广东省高速公路工程施工安全标准化指南》《公路工程施工安全防护设施技术指南》执行，得</w:t>
            </w:r>
            <w:r>
              <w:rPr>
                <w:rFonts w:hint="eastAsia" w:ascii="宋体" w:hAnsi="宋体" w:cs="宋体"/>
                <w:color w:val="000000"/>
                <w:spacing w:val="-3"/>
                <w:szCs w:val="21"/>
                <w:u w:val="single"/>
              </w:rPr>
              <w:t>8～10</w:t>
            </w:r>
            <w:r>
              <w:rPr>
                <w:rFonts w:hint="eastAsia" w:ascii="宋体" w:hAnsi="宋体" w:cs="宋体"/>
                <w:color w:val="000000"/>
                <w:spacing w:val="-3"/>
                <w:szCs w:val="21"/>
              </w:rPr>
              <w:t>分（满分分值的80%～100%）；</w:t>
            </w:r>
          </w:p>
          <w:p>
            <w:pPr>
              <w:spacing w:before="68"/>
              <w:ind w:right="217"/>
              <w:jc w:val="center"/>
              <w:rPr>
                <w:rFonts w:hint="eastAsia" w:ascii="宋体" w:hAnsi="宋体" w:cs="宋体"/>
                <w:color w:val="000000"/>
                <w:spacing w:val="-3"/>
                <w:szCs w:val="21"/>
              </w:rPr>
            </w:pPr>
            <w:r>
              <w:rPr>
                <w:rFonts w:hint="eastAsia" w:ascii="宋体" w:hAnsi="宋体" w:cs="宋体"/>
                <w:color w:val="000000"/>
                <w:spacing w:val="-3"/>
                <w:szCs w:val="21"/>
              </w:rPr>
              <w:t>（2）满足工程建设需要，施工总体布置规划、施工进度计划基本可行，得</w:t>
            </w:r>
            <w:r>
              <w:rPr>
                <w:rFonts w:hint="eastAsia" w:ascii="宋体" w:hAnsi="宋体" w:cs="宋体"/>
                <w:color w:val="000000"/>
                <w:spacing w:val="-3"/>
                <w:szCs w:val="21"/>
                <w:u w:val="single"/>
              </w:rPr>
              <w:t>6～8</w:t>
            </w:r>
            <w:r>
              <w:rPr>
                <w:rFonts w:hint="eastAsia" w:ascii="宋体" w:hAnsi="宋体" w:cs="宋体"/>
                <w:color w:val="000000"/>
                <w:spacing w:val="-3"/>
                <w:szCs w:val="21"/>
              </w:rPr>
              <w:t>分（满分分值的60%～80%）；</w:t>
            </w:r>
          </w:p>
          <w:p>
            <w:pPr>
              <w:spacing w:before="68"/>
              <w:ind w:right="217"/>
              <w:jc w:val="center"/>
              <w:rPr>
                <w:rFonts w:ascii="宋体" w:hAnsi="宋体"/>
                <w:color w:val="000000"/>
                <w:sz w:val="18"/>
              </w:rPr>
            </w:pPr>
            <w:r>
              <w:rPr>
                <w:rFonts w:hint="eastAsia" w:ascii="宋体" w:hAnsi="宋体" w:cs="宋体"/>
                <w:color w:val="000000"/>
                <w:spacing w:val="-3"/>
                <w:szCs w:val="21"/>
              </w:rPr>
              <w:t>（3）一般但不被评定为不响应的,得</w:t>
            </w:r>
            <w:r>
              <w:rPr>
                <w:rFonts w:hint="eastAsia" w:ascii="宋体" w:hAnsi="宋体" w:cs="宋体"/>
                <w:color w:val="000000"/>
                <w:spacing w:val="-3"/>
                <w:szCs w:val="21"/>
                <w:u w:val="single"/>
              </w:rPr>
              <w:t>6</w:t>
            </w:r>
            <w:r>
              <w:rPr>
                <w:rFonts w:hint="eastAsia" w:ascii="宋体" w:hAnsi="宋体" w:cs="宋体"/>
                <w:color w:val="000000"/>
                <w:spacing w:val="-3"/>
                <w:szCs w:val="21"/>
              </w:rPr>
              <w:t>分（满分分值的 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938" w:type="dxa"/>
            <w:vMerge w:val="continue"/>
            <w:noWrap w:val="0"/>
            <w:vAlign w:val="center"/>
          </w:tcPr>
          <w:p>
            <w:pPr>
              <w:jc w:val="center"/>
              <w:rPr>
                <w:rFonts w:ascii="宋体" w:hAnsi="宋体"/>
                <w:color w:val="000000"/>
                <w:sz w:val="2"/>
                <w:szCs w:val="2"/>
              </w:rPr>
            </w:pPr>
          </w:p>
        </w:tc>
        <w:tc>
          <w:tcPr>
            <w:tcW w:w="1131" w:type="dxa"/>
            <w:gridSpan w:val="3"/>
            <w:vMerge w:val="continue"/>
            <w:noWrap w:val="0"/>
            <w:vAlign w:val="center"/>
          </w:tcPr>
          <w:p>
            <w:pPr>
              <w:jc w:val="center"/>
              <w:rPr>
                <w:rFonts w:ascii="宋体" w:hAnsi="宋体"/>
                <w:color w:val="000000"/>
                <w:sz w:val="2"/>
                <w:szCs w:val="2"/>
              </w:rPr>
            </w:pPr>
          </w:p>
        </w:tc>
        <w:tc>
          <w:tcPr>
            <w:tcW w:w="876" w:type="dxa"/>
            <w:vMerge w:val="continue"/>
            <w:noWrap w:val="0"/>
            <w:vAlign w:val="center"/>
          </w:tcPr>
          <w:p>
            <w:pPr>
              <w:jc w:val="center"/>
              <w:rPr>
                <w:rFonts w:ascii="宋体" w:hAnsi="宋体"/>
                <w:color w:val="000000"/>
                <w:sz w:val="2"/>
                <w:szCs w:val="2"/>
              </w:rPr>
            </w:pPr>
          </w:p>
        </w:tc>
        <w:tc>
          <w:tcPr>
            <w:tcW w:w="1404" w:type="dxa"/>
            <w:noWrap w:val="0"/>
            <w:vAlign w:val="center"/>
          </w:tcPr>
          <w:p>
            <w:pPr>
              <w:pStyle w:val="10"/>
              <w:spacing w:before="82"/>
              <w:ind w:right="148"/>
              <w:jc w:val="center"/>
              <w:rPr>
                <w:rFonts w:hint="eastAsia" w:ascii="宋体" w:hAnsi="宋体" w:cs="宋体"/>
                <w:color w:val="000000"/>
                <w:sz w:val="21"/>
                <w:szCs w:val="21"/>
                <w:lang w:val="en-US"/>
              </w:rPr>
            </w:pPr>
            <w:r>
              <w:rPr>
                <w:rFonts w:hint="eastAsia" w:ascii="宋体" w:hAnsi="宋体" w:cs="宋体"/>
                <w:color w:val="000000"/>
                <w:sz w:val="21"/>
                <w:szCs w:val="21"/>
                <w:lang w:val="en-US"/>
              </w:rPr>
              <w:t>重点、难</w:t>
            </w:r>
          </w:p>
          <w:p>
            <w:pPr>
              <w:pStyle w:val="10"/>
              <w:spacing w:before="82"/>
              <w:ind w:right="148"/>
              <w:jc w:val="center"/>
              <w:rPr>
                <w:rFonts w:hint="eastAsia" w:ascii="宋体" w:hAnsi="宋体" w:cs="宋体"/>
                <w:color w:val="000000"/>
                <w:sz w:val="21"/>
                <w:szCs w:val="21"/>
                <w:lang w:val="en-US"/>
              </w:rPr>
            </w:pPr>
            <w:r>
              <w:rPr>
                <w:rFonts w:hint="eastAsia" w:ascii="宋体" w:hAnsi="宋体" w:cs="宋体"/>
                <w:color w:val="000000"/>
                <w:sz w:val="21"/>
                <w:szCs w:val="21"/>
                <w:lang w:val="en-US"/>
              </w:rPr>
              <w:t>点和关</w:t>
            </w:r>
          </w:p>
          <w:p>
            <w:pPr>
              <w:pStyle w:val="10"/>
              <w:spacing w:before="82"/>
              <w:ind w:right="148"/>
              <w:jc w:val="center"/>
              <w:rPr>
                <w:rFonts w:hint="eastAsia" w:ascii="宋体" w:hAnsi="宋体" w:cs="宋体"/>
                <w:color w:val="000000"/>
                <w:sz w:val="21"/>
                <w:szCs w:val="21"/>
                <w:lang w:val="en-US"/>
              </w:rPr>
            </w:pPr>
            <w:r>
              <w:rPr>
                <w:rFonts w:hint="eastAsia" w:ascii="宋体" w:hAnsi="宋体" w:cs="宋体"/>
                <w:color w:val="000000"/>
                <w:sz w:val="21"/>
                <w:szCs w:val="21"/>
                <w:lang w:val="en-US"/>
              </w:rPr>
              <w:t>键工程</w:t>
            </w:r>
          </w:p>
          <w:p>
            <w:pPr>
              <w:pStyle w:val="10"/>
              <w:spacing w:before="82"/>
              <w:ind w:right="148"/>
              <w:jc w:val="center"/>
              <w:rPr>
                <w:rFonts w:hint="eastAsia" w:ascii="宋体" w:hAnsi="宋体" w:cs="宋体"/>
                <w:color w:val="000000"/>
                <w:sz w:val="21"/>
                <w:szCs w:val="21"/>
                <w:lang w:val="en-US"/>
              </w:rPr>
            </w:pPr>
            <w:r>
              <w:rPr>
                <w:rFonts w:hint="eastAsia" w:ascii="宋体" w:hAnsi="宋体" w:cs="宋体"/>
                <w:color w:val="000000"/>
                <w:sz w:val="21"/>
                <w:szCs w:val="21"/>
                <w:lang w:val="en-US"/>
              </w:rPr>
              <w:t>的施工</w:t>
            </w:r>
          </w:p>
          <w:p>
            <w:pPr>
              <w:pStyle w:val="10"/>
              <w:spacing w:before="82"/>
              <w:ind w:right="148"/>
              <w:jc w:val="center"/>
              <w:rPr>
                <w:rFonts w:hint="eastAsia" w:ascii="宋体" w:hAnsi="宋体" w:cs="宋体"/>
                <w:color w:val="000000"/>
                <w:sz w:val="21"/>
                <w:szCs w:val="21"/>
                <w:lang w:val="en-US"/>
              </w:rPr>
            </w:pPr>
            <w:r>
              <w:rPr>
                <w:rFonts w:hint="eastAsia" w:ascii="宋体" w:hAnsi="宋体" w:cs="宋体"/>
                <w:color w:val="000000"/>
                <w:sz w:val="21"/>
                <w:szCs w:val="21"/>
                <w:lang w:val="en-US"/>
              </w:rPr>
              <w:t>方案与</w:t>
            </w:r>
          </w:p>
          <w:p>
            <w:pPr>
              <w:pStyle w:val="10"/>
              <w:spacing w:before="82"/>
              <w:ind w:right="148"/>
              <w:jc w:val="center"/>
              <w:rPr>
                <w:rFonts w:hint="eastAsia" w:ascii="宋体" w:hAnsi="宋体" w:cs="宋体"/>
                <w:color w:val="000000"/>
                <w:sz w:val="21"/>
                <w:szCs w:val="21"/>
                <w:lang w:val="en-US"/>
              </w:rPr>
            </w:pPr>
            <w:r>
              <w:rPr>
                <w:rFonts w:hint="eastAsia" w:ascii="宋体" w:hAnsi="宋体" w:cs="宋体"/>
                <w:color w:val="000000"/>
                <w:sz w:val="21"/>
                <w:szCs w:val="21"/>
                <w:lang w:val="en-US"/>
              </w:rPr>
              <w:t>技术措</w:t>
            </w:r>
          </w:p>
          <w:p>
            <w:pPr>
              <w:pStyle w:val="10"/>
              <w:spacing w:before="82"/>
              <w:ind w:right="148"/>
              <w:jc w:val="center"/>
              <w:rPr>
                <w:rFonts w:hint="eastAsia" w:ascii="宋体" w:hAnsi="宋体" w:cs="宋体"/>
                <w:color w:val="000000"/>
                <w:sz w:val="21"/>
                <w:szCs w:val="21"/>
                <w:lang w:val="en-US"/>
              </w:rPr>
            </w:pPr>
            <w:r>
              <w:rPr>
                <w:rFonts w:hint="eastAsia" w:ascii="宋体" w:hAnsi="宋体" w:cs="宋体"/>
                <w:color w:val="000000"/>
                <w:sz w:val="21"/>
                <w:szCs w:val="21"/>
                <w:lang w:val="en-US"/>
              </w:rPr>
              <w:t>施</w:t>
            </w:r>
          </w:p>
          <w:p>
            <w:pPr>
              <w:pStyle w:val="10"/>
              <w:spacing w:before="82"/>
              <w:ind w:right="148"/>
              <w:jc w:val="center"/>
              <w:rPr>
                <w:rFonts w:hint="eastAsia" w:ascii="宋体" w:hAnsi="宋体" w:cs="宋体"/>
                <w:color w:val="000000"/>
                <w:sz w:val="21"/>
                <w:szCs w:val="21"/>
                <w:lang w:val="en-US"/>
              </w:rPr>
            </w:pPr>
          </w:p>
        </w:tc>
        <w:tc>
          <w:tcPr>
            <w:tcW w:w="775" w:type="dxa"/>
            <w:noWrap w:val="0"/>
            <w:vAlign w:val="center"/>
          </w:tcPr>
          <w:p>
            <w:pPr>
              <w:spacing w:before="68"/>
              <w:ind w:right="217"/>
              <w:jc w:val="center"/>
              <w:rPr>
                <w:rFonts w:ascii="宋体" w:hAnsi="宋体"/>
                <w:color w:val="000000"/>
              </w:rPr>
            </w:pPr>
            <w:r>
              <w:rPr>
                <w:rFonts w:hint="eastAsia" w:ascii="宋体" w:hAnsi="宋体" w:cs="宋体"/>
                <w:color w:val="000000"/>
                <w:spacing w:val="-3"/>
                <w:szCs w:val="21"/>
              </w:rPr>
              <w:t>15分</w:t>
            </w:r>
          </w:p>
        </w:tc>
        <w:tc>
          <w:tcPr>
            <w:tcW w:w="4686" w:type="dxa"/>
            <w:noWrap w:val="0"/>
            <w:vAlign w:val="center"/>
          </w:tcPr>
          <w:p>
            <w:pPr>
              <w:spacing w:before="68"/>
              <w:ind w:right="217"/>
              <w:jc w:val="center"/>
              <w:rPr>
                <w:rFonts w:hint="eastAsia" w:ascii="宋体" w:hAnsi="宋体" w:cs="宋体"/>
                <w:color w:val="000000"/>
                <w:spacing w:val="-3"/>
                <w:szCs w:val="21"/>
              </w:rPr>
            </w:pPr>
            <w:r>
              <w:rPr>
                <w:rFonts w:hint="eastAsia" w:ascii="宋体" w:hAnsi="宋体" w:cs="宋体"/>
                <w:color w:val="000000"/>
                <w:spacing w:val="-3"/>
                <w:szCs w:val="21"/>
              </w:rPr>
              <w:t>（1）对项目重点、难点和关键工程认识分析透彻，能充分发挥自身优势，积极采用“四新”技术，制定的施工方案与技术措施针对性和可操作性强，重点突出的，按《广东省公路工程施工标准化指南》及《广东省高速公路工程施工安全标准化指南》《公路工程施工安全防护设施技术指南》执行，得</w:t>
            </w:r>
            <w:r>
              <w:rPr>
                <w:rFonts w:hint="eastAsia" w:ascii="宋体" w:hAnsi="宋体" w:cs="宋体"/>
                <w:color w:val="000000"/>
                <w:spacing w:val="-3"/>
                <w:szCs w:val="21"/>
                <w:u w:val="single"/>
              </w:rPr>
              <w:t>12～15</w:t>
            </w:r>
            <w:r>
              <w:rPr>
                <w:rFonts w:hint="eastAsia" w:ascii="宋体" w:hAnsi="宋体" w:cs="宋体"/>
                <w:color w:val="000000"/>
                <w:spacing w:val="-3"/>
                <w:szCs w:val="21"/>
              </w:rPr>
              <w:t>分（满分分值的80%～100%）；</w:t>
            </w:r>
          </w:p>
          <w:p>
            <w:pPr>
              <w:spacing w:before="68"/>
              <w:ind w:right="217"/>
              <w:jc w:val="center"/>
              <w:rPr>
                <w:rFonts w:hint="eastAsia" w:ascii="宋体" w:hAnsi="宋体" w:cs="宋体"/>
                <w:color w:val="000000"/>
                <w:spacing w:val="-3"/>
                <w:szCs w:val="21"/>
              </w:rPr>
            </w:pPr>
            <w:r>
              <w:rPr>
                <w:rFonts w:hint="eastAsia" w:ascii="宋体" w:hAnsi="宋体" w:cs="宋体"/>
                <w:color w:val="000000"/>
                <w:spacing w:val="-3"/>
                <w:szCs w:val="21"/>
              </w:rPr>
              <w:t>（2）对项目重点、难点和关键工程认识基本到位，施工方案与技术措施基本可行，重点较为突出的，得</w:t>
            </w:r>
            <w:r>
              <w:rPr>
                <w:rFonts w:hint="eastAsia" w:ascii="宋体" w:hAnsi="宋体" w:cs="宋体"/>
                <w:color w:val="000000"/>
                <w:spacing w:val="-3"/>
                <w:szCs w:val="21"/>
                <w:u w:val="single"/>
              </w:rPr>
              <w:t>9～12</w:t>
            </w:r>
            <w:r>
              <w:rPr>
                <w:rFonts w:hint="eastAsia" w:ascii="宋体" w:hAnsi="宋体" w:cs="宋体"/>
                <w:color w:val="000000"/>
                <w:spacing w:val="-3"/>
                <w:szCs w:val="21"/>
              </w:rPr>
              <w:t>分（满分分值的60%～80%）；</w:t>
            </w:r>
          </w:p>
          <w:p>
            <w:pPr>
              <w:spacing w:before="68"/>
              <w:ind w:right="217"/>
              <w:jc w:val="center"/>
              <w:rPr>
                <w:rFonts w:ascii="宋体" w:hAnsi="宋体"/>
                <w:color w:val="000000"/>
              </w:rPr>
            </w:pPr>
            <w:r>
              <w:rPr>
                <w:rFonts w:hint="eastAsia" w:ascii="宋体" w:hAnsi="宋体" w:cs="宋体"/>
                <w:color w:val="000000"/>
                <w:spacing w:val="-3"/>
                <w:szCs w:val="21"/>
              </w:rPr>
              <w:t>（3）一般但不被评定为不响应的, 得</w:t>
            </w:r>
            <w:r>
              <w:rPr>
                <w:rFonts w:hint="eastAsia" w:ascii="宋体" w:hAnsi="宋体" w:cs="宋体"/>
                <w:color w:val="000000"/>
                <w:spacing w:val="-3"/>
                <w:szCs w:val="21"/>
                <w:u w:val="single"/>
              </w:rPr>
              <w:t>9</w:t>
            </w:r>
            <w:r>
              <w:rPr>
                <w:rFonts w:hint="eastAsia" w:ascii="宋体" w:hAnsi="宋体" w:cs="宋体"/>
                <w:color w:val="000000"/>
                <w:spacing w:val="-3"/>
                <w:szCs w:val="21"/>
              </w:rPr>
              <w:t>分（满分分值的 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938" w:type="dxa"/>
            <w:vMerge w:val="continue"/>
            <w:tcBorders>
              <w:bottom w:val="single" w:color="auto" w:sz="4" w:space="0"/>
            </w:tcBorders>
            <w:noWrap w:val="0"/>
            <w:vAlign w:val="top"/>
          </w:tcPr>
          <w:p>
            <w:pPr>
              <w:rPr>
                <w:rFonts w:ascii="宋体" w:hAnsi="宋体"/>
                <w:color w:val="000000"/>
                <w:sz w:val="2"/>
                <w:szCs w:val="2"/>
              </w:rPr>
            </w:pPr>
          </w:p>
        </w:tc>
        <w:tc>
          <w:tcPr>
            <w:tcW w:w="1131" w:type="dxa"/>
            <w:gridSpan w:val="3"/>
            <w:vMerge w:val="continue"/>
            <w:tcBorders>
              <w:bottom w:val="single" w:color="auto" w:sz="4" w:space="0"/>
            </w:tcBorders>
            <w:noWrap w:val="0"/>
            <w:vAlign w:val="top"/>
          </w:tcPr>
          <w:p>
            <w:pPr>
              <w:rPr>
                <w:rFonts w:ascii="宋体" w:hAnsi="宋体"/>
                <w:color w:val="000000"/>
                <w:sz w:val="2"/>
                <w:szCs w:val="2"/>
              </w:rPr>
            </w:pPr>
          </w:p>
        </w:tc>
        <w:tc>
          <w:tcPr>
            <w:tcW w:w="876" w:type="dxa"/>
            <w:vMerge w:val="continue"/>
            <w:tcBorders>
              <w:bottom w:val="single" w:color="auto" w:sz="4" w:space="0"/>
            </w:tcBorders>
            <w:noWrap w:val="0"/>
            <w:vAlign w:val="center"/>
          </w:tcPr>
          <w:p>
            <w:pPr>
              <w:jc w:val="center"/>
              <w:rPr>
                <w:rFonts w:ascii="宋体" w:hAnsi="宋体"/>
                <w:color w:val="000000"/>
                <w:sz w:val="2"/>
                <w:szCs w:val="2"/>
              </w:rPr>
            </w:pPr>
          </w:p>
        </w:tc>
        <w:tc>
          <w:tcPr>
            <w:tcW w:w="1404" w:type="dxa"/>
            <w:tcBorders>
              <w:bottom w:val="single" w:color="auto" w:sz="4" w:space="0"/>
            </w:tcBorders>
            <w:noWrap w:val="0"/>
            <w:vAlign w:val="center"/>
          </w:tcPr>
          <w:p>
            <w:pPr>
              <w:pStyle w:val="10"/>
              <w:spacing w:before="82"/>
              <w:ind w:right="148"/>
              <w:jc w:val="center"/>
              <w:rPr>
                <w:rFonts w:hint="eastAsia" w:ascii="宋体" w:hAnsi="宋体" w:cs="宋体"/>
                <w:color w:val="000000"/>
                <w:sz w:val="21"/>
                <w:szCs w:val="21"/>
                <w:lang w:val="en-US"/>
              </w:rPr>
            </w:pPr>
            <w:r>
              <w:rPr>
                <w:rFonts w:hint="eastAsia" w:ascii="宋体" w:hAnsi="宋体" w:cs="宋体"/>
                <w:color w:val="000000"/>
                <w:sz w:val="21"/>
                <w:szCs w:val="21"/>
                <w:lang w:val="en-US"/>
              </w:rPr>
              <w:t xml:space="preserve"> 工期、质量、 安全、环保水保、文明施工保证措施</w:t>
            </w:r>
          </w:p>
          <w:p>
            <w:pPr>
              <w:pStyle w:val="10"/>
              <w:spacing w:before="82"/>
              <w:ind w:right="148"/>
              <w:jc w:val="center"/>
              <w:rPr>
                <w:rFonts w:hint="eastAsia" w:ascii="宋体" w:hAnsi="宋体" w:cs="宋体"/>
                <w:color w:val="000000"/>
                <w:sz w:val="21"/>
                <w:szCs w:val="21"/>
                <w:lang w:val="en-US"/>
              </w:rPr>
            </w:pPr>
          </w:p>
        </w:tc>
        <w:tc>
          <w:tcPr>
            <w:tcW w:w="775" w:type="dxa"/>
            <w:noWrap w:val="0"/>
            <w:vAlign w:val="center"/>
          </w:tcPr>
          <w:p>
            <w:pPr>
              <w:spacing w:before="68"/>
              <w:ind w:right="217"/>
              <w:jc w:val="center"/>
              <w:rPr>
                <w:rFonts w:ascii="宋体" w:hAnsi="宋体"/>
                <w:color w:val="000000"/>
                <w:u w:val="single"/>
              </w:rPr>
            </w:pPr>
            <w:r>
              <w:rPr>
                <w:rFonts w:hint="eastAsia" w:ascii="宋体" w:hAnsi="宋体" w:cs="宋体"/>
                <w:color w:val="000000"/>
                <w:spacing w:val="-3"/>
                <w:szCs w:val="21"/>
              </w:rPr>
              <w:t>15分</w:t>
            </w:r>
          </w:p>
        </w:tc>
        <w:tc>
          <w:tcPr>
            <w:tcW w:w="4686" w:type="dxa"/>
            <w:noWrap w:val="0"/>
            <w:vAlign w:val="center"/>
          </w:tcPr>
          <w:p>
            <w:pPr>
              <w:spacing w:before="68"/>
              <w:ind w:right="217"/>
              <w:jc w:val="center"/>
              <w:rPr>
                <w:rFonts w:hint="eastAsia" w:ascii="宋体" w:hAnsi="宋体" w:cs="宋体"/>
                <w:color w:val="000000"/>
                <w:spacing w:val="-3"/>
                <w:szCs w:val="21"/>
              </w:rPr>
            </w:pPr>
            <w:r>
              <w:rPr>
                <w:rFonts w:hint="eastAsia" w:ascii="宋体" w:hAnsi="宋体" w:cs="宋体"/>
                <w:color w:val="000000"/>
                <w:spacing w:val="-3"/>
                <w:szCs w:val="21"/>
              </w:rPr>
              <w:t>（1）能够准确预判分析工期、质量、安全、环保、水保、文明施工目标实现的主要影响因素，拟采取预防保证措施针对性强、科学有效，重点突出的，按《广东省公路工程施工标准化指南》及《广东省高速公路工程施工安全标准化指南》《公路工程施工安全防护设施技术指南》执行，得</w:t>
            </w:r>
            <w:r>
              <w:rPr>
                <w:rFonts w:hint="eastAsia" w:ascii="宋体" w:hAnsi="宋体" w:cs="宋体"/>
                <w:color w:val="000000"/>
                <w:spacing w:val="-3"/>
                <w:szCs w:val="21"/>
                <w:u w:val="single"/>
              </w:rPr>
              <w:t>12～15</w:t>
            </w:r>
            <w:r>
              <w:rPr>
                <w:rFonts w:hint="eastAsia" w:ascii="宋体" w:hAnsi="宋体" w:cs="宋体"/>
                <w:color w:val="000000"/>
                <w:spacing w:val="-3"/>
                <w:szCs w:val="21"/>
              </w:rPr>
              <w:t>分（满分分值的80%～100%）；</w:t>
            </w:r>
          </w:p>
          <w:p>
            <w:pPr>
              <w:spacing w:before="68"/>
              <w:ind w:right="217"/>
              <w:jc w:val="center"/>
              <w:rPr>
                <w:rFonts w:hint="eastAsia" w:ascii="宋体" w:hAnsi="宋体" w:cs="宋体"/>
                <w:color w:val="000000"/>
                <w:spacing w:val="-3"/>
                <w:szCs w:val="21"/>
              </w:rPr>
            </w:pPr>
            <w:r>
              <w:rPr>
                <w:rFonts w:hint="eastAsia" w:ascii="宋体" w:hAnsi="宋体" w:cs="宋体"/>
                <w:color w:val="000000"/>
                <w:spacing w:val="-3"/>
                <w:szCs w:val="21"/>
              </w:rPr>
              <w:t>（2）对工期、质量、安全、环保、水保等风险有一定认识，预防保证措施基本可行，重点较为突出的，得</w:t>
            </w:r>
            <w:r>
              <w:rPr>
                <w:rFonts w:hint="eastAsia" w:ascii="宋体" w:hAnsi="宋体" w:cs="宋体"/>
                <w:color w:val="000000"/>
                <w:spacing w:val="-3"/>
                <w:szCs w:val="21"/>
                <w:u w:val="single"/>
              </w:rPr>
              <w:t>9～12</w:t>
            </w:r>
            <w:r>
              <w:rPr>
                <w:rFonts w:hint="eastAsia" w:ascii="宋体" w:hAnsi="宋体" w:cs="宋体"/>
                <w:color w:val="000000"/>
                <w:spacing w:val="-3"/>
                <w:szCs w:val="21"/>
              </w:rPr>
              <w:t>分（满分分值的60%～80%）；</w:t>
            </w:r>
          </w:p>
          <w:p>
            <w:pPr>
              <w:spacing w:before="68"/>
              <w:ind w:right="217"/>
              <w:jc w:val="center"/>
              <w:rPr>
                <w:rFonts w:ascii="宋体" w:hAnsi="宋体"/>
                <w:color w:val="000000"/>
              </w:rPr>
            </w:pPr>
            <w:r>
              <w:rPr>
                <w:rFonts w:hint="eastAsia" w:ascii="宋体" w:hAnsi="宋体" w:cs="宋体"/>
                <w:color w:val="000000"/>
                <w:spacing w:val="-3"/>
                <w:szCs w:val="21"/>
              </w:rPr>
              <w:t>（3）一般但不被评定为不响应的, 得</w:t>
            </w:r>
            <w:r>
              <w:rPr>
                <w:rFonts w:hint="eastAsia" w:ascii="宋体" w:hAnsi="宋体" w:cs="宋体"/>
                <w:color w:val="000000"/>
                <w:spacing w:val="-3"/>
                <w:szCs w:val="21"/>
                <w:u w:val="single"/>
              </w:rPr>
              <w:t>9</w:t>
            </w:r>
            <w:r>
              <w:rPr>
                <w:rFonts w:hint="eastAsia" w:ascii="宋体" w:hAnsi="宋体" w:cs="宋体"/>
                <w:color w:val="000000"/>
                <w:spacing w:val="-3"/>
                <w:szCs w:val="21"/>
              </w:rPr>
              <w:t>分（满分分值的60%）。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938" w:type="dxa"/>
            <w:vMerge w:val="restart"/>
            <w:tcBorders>
              <w:top w:val="single" w:color="auto" w:sz="4" w:space="0"/>
              <w:left w:val="single" w:color="auto" w:sz="4" w:space="0"/>
              <w:bottom w:val="single" w:color="auto" w:sz="4" w:space="0"/>
              <w:right w:val="single" w:color="auto" w:sz="4" w:space="0"/>
            </w:tcBorders>
            <w:noWrap w:val="0"/>
            <w:vAlign w:val="center"/>
          </w:tcPr>
          <w:p>
            <w:pPr>
              <w:pStyle w:val="10"/>
              <w:spacing w:before="1"/>
              <w:jc w:val="both"/>
              <w:rPr>
                <w:rFonts w:ascii="宋体" w:hAnsi="宋体"/>
                <w:color w:val="000000"/>
                <w:sz w:val="21"/>
                <w:szCs w:val="21"/>
              </w:rPr>
            </w:pPr>
            <w:r>
              <w:rPr>
                <w:rFonts w:ascii="宋体" w:hAnsi="宋体"/>
                <w:color w:val="000000"/>
                <w:sz w:val="21"/>
                <w:szCs w:val="21"/>
              </w:rPr>
              <w:t>2.2.2（2）</w:t>
            </w:r>
          </w:p>
        </w:tc>
        <w:tc>
          <w:tcPr>
            <w:tcW w:w="1131"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pStyle w:val="10"/>
              <w:spacing w:before="1"/>
              <w:ind w:firstLine="210" w:firstLineChars="100"/>
              <w:jc w:val="both"/>
              <w:rPr>
                <w:rFonts w:ascii="宋体" w:hAnsi="宋体"/>
                <w:color w:val="000000"/>
                <w:sz w:val="21"/>
                <w:szCs w:val="21"/>
              </w:rPr>
            </w:pPr>
            <w:r>
              <w:rPr>
                <w:rFonts w:ascii="宋体" w:hAnsi="宋体"/>
                <w:color w:val="000000"/>
                <w:sz w:val="21"/>
                <w:szCs w:val="21"/>
              </w:rPr>
              <w:t>主要</w:t>
            </w:r>
          </w:p>
          <w:p>
            <w:pPr>
              <w:pStyle w:val="10"/>
              <w:spacing w:before="1"/>
              <w:ind w:firstLine="210" w:firstLineChars="100"/>
              <w:jc w:val="both"/>
              <w:rPr>
                <w:rFonts w:hint="eastAsia" w:ascii="宋体" w:hAnsi="宋体"/>
                <w:color w:val="000000"/>
                <w:sz w:val="21"/>
                <w:szCs w:val="21"/>
              </w:rPr>
            </w:pPr>
            <w:r>
              <w:rPr>
                <w:rFonts w:ascii="宋体" w:hAnsi="宋体"/>
                <w:color w:val="000000"/>
                <w:sz w:val="21"/>
                <w:szCs w:val="21"/>
              </w:rPr>
              <w:t>人员</w:t>
            </w:r>
          </w:p>
        </w:tc>
        <w:tc>
          <w:tcPr>
            <w:tcW w:w="876" w:type="dxa"/>
            <w:vMerge w:val="restart"/>
            <w:tcBorders>
              <w:top w:val="single" w:color="auto" w:sz="4" w:space="0"/>
              <w:left w:val="single" w:color="auto" w:sz="4" w:space="0"/>
              <w:bottom w:val="single" w:color="auto" w:sz="4" w:space="0"/>
              <w:right w:val="single" w:color="auto" w:sz="4" w:space="0"/>
            </w:tcBorders>
            <w:noWrap w:val="0"/>
            <w:vAlign w:val="center"/>
          </w:tcPr>
          <w:p>
            <w:pPr>
              <w:pStyle w:val="10"/>
              <w:jc w:val="center"/>
              <w:rPr>
                <w:rFonts w:ascii="宋体" w:hAnsi="宋体"/>
                <w:color w:val="000000"/>
              </w:rPr>
            </w:pPr>
          </w:p>
          <w:p>
            <w:pPr>
              <w:pStyle w:val="10"/>
              <w:jc w:val="center"/>
              <w:rPr>
                <w:rFonts w:ascii="宋体" w:hAnsi="宋体"/>
                <w:color w:val="000000"/>
              </w:rPr>
            </w:pPr>
          </w:p>
          <w:p>
            <w:pPr>
              <w:pStyle w:val="10"/>
              <w:tabs>
                <w:tab w:val="left" w:pos="671"/>
              </w:tabs>
              <w:jc w:val="center"/>
              <w:rPr>
                <w:rFonts w:ascii="宋体" w:hAnsi="宋体"/>
                <w:color w:val="000000"/>
                <w:sz w:val="21"/>
              </w:rPr>
            </w:pPr>
            <w:r>
              <w:rPr>
                <w:rFonts w:ascii="宋体" w:hAnsi="宋体"/>
                <w:color w:val="000000"/>
                <w:sz w:val="21"/>
                <w:u w:val="single"/>
              </w:rPr>
              <w:t>35</w:t>
            </w:r>
            <w:r>
              <w:rPr>
                <w:rFonts w:ascii="宋体" w:hAnsi="宋体"/>
                <w:color w:val="000000"/>
                <w:sz w:val="21"/>
              </w:rPr>
              <w:t>分</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pStyle w:val="10"/>
              <w:spacing w:line="252" w:lineRule="exact"/>
              <w:jc w:val="center"/>
              <w:rPr>
                <w:rFonts w:hint="eastAsia" w:ascii="宋体" w:hAnsi="宋体" w:cs="宋体"/>
                <w:color w:val="000000"/>
                <w:sz w:val="21"/>
                <w:szCs w:val="21"/>
              </w:rPr>
            </w:pPr>
            <w:r>
              <w:rPr>
                <w:rFonts w:hint="eastAsia" w:ascii="宋体" w:hAnsi="宋体" w:cs="宋体"/>
                <w:color w:val="000000"/>
                <w:sz w:val="21"/>
                <w:szCs w:val="21"/>
              </w:rPr>
              <w:t>项目经理任职资格与业绩</w:t>
            </w:r>
          </w:p>
        </w:tc>
        <w:tc>
          <w:tcPr>
            <w:tcW w:w="775" w:type="dxa"/>
            <w:tcBorders>
              <w:left w:val="single" w:color="auto" w:sz="4" w:space="0"/>
            </w:tcBorders>
            <w:noWrap w:val="0"/>
            <w:vAlign w:val="center"/>
          </w:tcPr>
          <w:p>
            <w:pPr>
              <w:pStyle w:val="10"/>
              <w:spacing w:line="252" w:lineRule="exact"/>
              <w:jc w:val="center"/>
              <w:rPr>
                <w:rFonts w:hint="eastAsia" w:ascii="宋体" w:hAnsi="宋体" w:cs="宋体"/>
                <w:color w:val="000000"/>
                <w:sz w:val="21"/>
                <w:szCs w:val="21"/>
              </w:rPr>
            </w:pPr>
            <w:r>
              <w:rPr>
                <w:rFonts w:hint="eastAsia" w:ascii="宋体" w:hAnsi="宋体" w:cs="宋体"/>
                <w:color w:val="000000"/>
                <w:sz w:val="21"/>
                <w:szCs w:val="21"/>
                <w:u w:val="single"/>
                <w:lang w:val="en-US"/>
              </w:rPr>
              <w:t>15</w:t>
            </w:r>
            <w:r>
              <w:rPr>
                <w:rFonts w:hint="eastAsia" w:ascii="宋体" w:hAnsi="宋体" w:cs="宋体"/>
                <w:color w:val="000000"/>
                <w:sz w:val="21"/>
                <w:szCs w:val="21"/>
              </w:rPr>
              <w:t>分</w:t>
            </w:r>
          </w:p>
        </w:tc>
        <w:tc>
          <w:tcPr>
            <w:tcW w:w="4686" w:type="dxa"/>
            <w:noWrap w:val="0"/>
            <w:vAlign w:val="center"/>
          </w:tcPr>
          <w:p>
            <w:pPr>
              <w:pStyle w:val="10"/>
              <w:spacing w:before="160"/>
              <w:jc w:val="both"/>
              <w:rPr>
                <w:rFonts w:hint="eastAsia" w:ascii="宋体" w:hAnsi="宋体" w:cs="宋体"/>
                <w:color w:val="000000"/>
                <w:sz w:val="21"/>
                <w:szCs w:val="21"/>
              </w:rPr>
            </w:pPr>
            <w:r>
              <w:rPr>
                <w:rFonts w:hint="eastAsia" w:ascii="宋体" w:hAnsi="宋体" w:cs="宋体"/>
                <w:color w:val="000000"/>
                <w:sz w:val="21"/>
                <w:szCs w:val="21"/>
              </w:rPr>
              <w:t>项目经理在满足资格审查条件的最低要求时，得</w:t>
            </w:r>
            <w:r>
              <w:rPr>
                <w:rFonts w:hint="eastAsia" w:ascii="宋体" w:hAnsi="宋体" w:cs="宋体"/>
                <w:color w:val="000000"/>
                <w:sz w:val="21"/>
                <w:szCs w:val="21"/>
                <w:u w:val="single"/>
                <w:lang w:val="en-US"/>
              </w:rPr>
              <w:t xml:space="preserve">15 </w:t>
            </w:r>
            <w:r>
              <w:rPr>
                <w:rFonts w:hint="eastAsia" w:ascii="宋体" w:hAnsi="宋体" w:cs="宋体"/>
                <w:color w:val="000000"/>
                <w:sz w:val="21"/>
                <w:szCs w:val="21"/>
                <w:lang w:val="en-US"/>
              </w:rPr>
              <w:t xml:space="preserve"> </w:t>
            </w:r>
            <w:r>
              <w:rPr>
                <w:rFonts w:hint="eastAsia" w:ascii="宋体" w:hAnsi="宋体" w:cs="宋体"/>
                <w:color w:val="000000"/>
                <w:sz w:val="21"/>
                <w:szCs w:val="21"/>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38" w:type="dxa"/>
            <w:vMerge w:val="continue"/>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000000"/>
                <w:sz w:val="2"/>
                <w:szCs w:val="2"/>
              </w:rPr>
            </w:pPr>
          </w:p>
        </w:tc>
        <w:tc>
          <w:tcPr>
            <w:tcW w:w="1131" w:type="dxa"/>
            <w:gridSpan w:val="3"/>
            <w:vMerge w:val="continue"/>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000000"/>
                <w:sz w:val="2"/>
                <w:szCs w:val="2"/>
              </w:rPr>
            </w:pPr>
          </w:p>
        </w:tc>
        <w:tc>
          <w:tcPr>
            <w:tcW w:w="876" w:type="dxa"/>
            <w:vMerge w:val="continue"/>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000000"/>
                <w:sz w:val="2"/>
                <w:szCs w:val="2"/>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pPr>
              <w:pStyle w:val="10"/>
              <w:jc w:val="center"/>
              <w:rPr>
                <w:rFonts w:hint="eastAsia" w:ascii="宋体" w:hAnsi="宋体" w:cs="宋体"/>
                <w:color w:val="000000"/>
                <w:sz w:val="21"/>
                <w:szCs w:val="21"/>
              </w:rPr>
            </w:pPr>
            <w:r>
              <w:rPr>
                <w:rFonts w:hint="eastAsia" w:ascii="宋体" w:hAnsi="宋体" w:cs="宋体"/>
                <w:color w:val="000000"/>
                <w:sz w:val="21"/>
                <w:szCs w:val="21"/>
              </w:rPr>
              <w:t>项目总工任职资格与业绩</w:t>
            </w:r>
          </w:p>
        </w:tc>
        <w:tc>
          <w:tcPr>
            <w:tcW w:w="775" w:type="dxa"/>
            <w:tcBorders>
              <w:left w:val="single" w:color="auto" w:sz="4" w:space="0"/>
            </w:tcBorders>
            <w:noWrap w:val="0"/>
            <w:vAlign w:val="center"/>
          </w:tcPr>
          <w:p>
            <w:pPr>
              <w:pStyle w:val="10"/>
              <w:jc w:val="center"/>
              <w:rPr>
                <w:rFonts w:hint="eastAsia" w:ascii="宋体" w:hAnsi="宋体" w:cs="宋体"/>
                <w:color w:val="000000"/>
                <w:sz w:val="21"/>
                <w:szCs w:val="21"/>
              </w:rPr>
            </w:pPr>
            <w:r>
              <w:rPr>
                <w:rFonts w:hint="eastAsia" w:ascii="宋体" w:hAnsi="宋体" w:cs="宋体"/>
                <w:color w:val="000000"/>
                <w:sz w:val="21"/>
                <w:szCs w:val="21"/>
                <w:u w:val="single"/>
                <w:lang w:val="en-US"/>
              </w:rPr>
              <w:t>20</w:t>
            </w:r>
            <w:r>
              <w:rPr>
                <w:rFonts w:hint="eastAsia" w:ascii="宋体" w:hAnsi="宋体" w:cs="宋体"/>
                <w:color w:val="000000"/>
                <w:sz w:val="21"/>
                <w:szCs w:val="21"/>
              </w:rPr>
              <w:t>分</w:t>
            </w:r>
          </w:p>
        </w:tc>
        <w:tc>
          <w:tcPr>
            <w:tcW w:w="4686" w:type="dxa"/>
            <w:noWrap w:val="0"/>
            <w:vAlign w:val="center"/>
          </w:tcPr>
          <w:p>
            <w:pPr>
              <w:pStyle w:val="10"/>
              <w:numPr>
                <w:ilvl w:val="0"/>
                <w:numId w:val="1"/>
              </w:numPr>
              <w:spacing w:line="274" w:lineRule="exact"/>
              <w:jc w:val="both"/>
              <w:rPr>
                <w:rFonts w:hint="eastAsia" w:ascii="宋体" w:hAnsi="宋体" w:cs="宋体"/>
                <w:color w:val="000000"/>
                <w:sz w:val="21"/>
                <w:szCs w:val="21"/>
              </w:rPr>
            </w:pPr>
            <w:r>
              <w:rPr>
                <w:rFonts w:hint="eastAsia" w:ascii="宋体" w:hAnsi="宋体" w:cs="宋体"/>
                <w:color w:val="000000"/>
                <w:sz w:val="21"/>
                <w:szCs w:val="21"/>
              </w:rPr>
              <w:t>项目总工在满足资格审查条件的最低要求时，得</w:t>
            </w:r>
            <w:r>
              <w:rPr>
                <w:rFonts w:hint="eastAsia" w:ascii="宋体" w:hAnsi="宋体" w:cs="宋体"/>
                <w:color w:val="000000"/>
                <w:sz w:val="21"/>
                <w:szCs w:val="21"/>
                <w:u w:val="single"/>
                <w:lang w:val="en-US"/>
              </w:rPr>
              <w:t>10</w:t>
            </w:r>
            <w:r>
              <w:rPr>
                <w:rFonts w:hint="eastAsia" w:ascii="宋体" w:hAnsi="宋体" w:cs="宋体"/>
                <w:color w:val="000000"/>
                <w:sz w:val="21"/>
                <w:szCs w:val="21"/>
              </w:rPr>
              <w:t>分。</w:t>
            </w:r>
          </w:p>
          <w:p>
            <w:pPr>
              <w:pStyle w:val="10"/>
              <w:numPr>
                <w:ilvl w:val="0"/>
                <w:numId w:val="1"/>
              </w:numPr>
              <w:spacing w:line="274" w:lineRule="exact"/>
              <w:jc w:val="both"/>
              <w:rPr>
                <w:rFonts w:hint="eastAsia" w:ascii="宋体" w:hAnsi="宋体" w:cs="宋体"/>
                <w:color w:val="000000"/>
                <w:sz w:val="21"/>
                <w:szCs w:val="21"/>
              </w:rPr>
            </w:pPr>
            <w:r>
              <w:rPr>
                <w:rFonts w:hint="eastAsia" w:ascii="宋体" w:hAnsi="宋体" w:cs="宋体"/>
                <w:color w:val="000000"/>
                <w:sz w:val="21"/>
                <w:szCs w:val="21"/>
              </w:rPr>
              <w:t>项目总工同时具有路桥相关专业高级工程师或以上职称及公路工程一级注册建造师资格</w:t>
            </w:r>
            <w:r>
              <w:rPr>
                <w:rFonts w:hint="eastAsia" w:ascii="宋体" w:hAnsi="宋体" w:cs="宋体"/>
                <w:color w:val="000000"/>
                <w:sz w:val="21"/>
                <w:szCs w:val="21"/>
                <w:lang w:val="en-US"/>
              </w:rPr>
              <w:t>的</w:t>
            </w:r>
            <w:r>
              <w:rPr>
                <w:rFonts w:hint="eastAsia" w:ascii="宋体" w:hAnsi="宋体" w:cs="宋体"/>
                <w:color w:val="000000"/>
                <w:sz w:val="21"/>
                <w:szCs w:val="21"/>
              </w:rPr>
              <w:t>得</w:t>
            </w:r>
            <w:r>
              <w:rPr>
                <w:rFonts w:hint="eastAsia" w:ascii="宋体" w:hAnsi="宋体" w:cs="宋体"/>
                <w:color w:val="000000"/>
                <w:sz w:val="21"/>
                <w:szCs w:val="21"/>
                <w:u w:val="single"/>
                <w:lang w:val="en-US"/>
              </w:rPr>
              <w:t xml:space="preserve"> 10</w:t>
            </w:r>
            <w:r>
              <w:rPr>
                <w:rFonts w:hint="eastAsia" w:ascii="宋体" w:hAnsi="宋体" w:cs="宋体"/>
                <w:color w:val="000000"/>
                <w:sz w:val="21"/>
                <w:szCs w:val="21"/>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0" w:hRule="atLeast"/>
        </w:trPr>
        <w:tc>
          <w:tcPr>
            <w:tcW w:w="938" w:type="dxa"/>
            <w:vMerge w:val="restart"/>
            <w:tcBorders>
              <w:top w:val="single" w:color="auto" w:sz="4" w:space="0"/>
            </w:tcBorders>
            <w:noWrap w:val="0"/>
            <w:vAlign w:val="center"/>
          </w:tcPr>
          <w:p>
            <w:pPr>
              <w:pStyle w:val="10"/>
              <w:spacing w:before="1"/>
              <w:ind w:left="232"/>
              <w:rPr>
                <w:rFonts w:ascii="宋体" w:hAnsi="宋体"/>
                <w:color w:val="000000"/>
                <w:sz w:val="21"/>
              </w:rPr>
            </w:pPr>
            <w:r>
              <w:rPr>
                <w:rFonts w:ascii="宋体" w:hAnsi="宋体"/>
                <w:color w:val="000000"/>
                <w:sz w:val="21"/>
              </w:rPr>
              <w:t>2.2.2（3）</w:t>
            </w:r>
          </w:p>
        </w:tc>
        <w:tc>
          <w:tcPr>
            <w:tcW w:w="550" w:type="dxa"/>
            <w:gridSpan w:val="2"/>
            <w:vMerge w:val="restart"/>
            <w:tcBorders>
              <w:top w:val="single" w:color="auto" w:sz="4" w:space="0"/>
            </w:tcBorders>
            <w:noWrap w:val="0"/>
            <w:vAlign w:val="center"/>
          </w:tcPr>
          <w:p>
            <w:pPr>
              <w:pStyle w:val="10"/>
              <w:spacing w:line="338" w:lineRule="auto"/>
              <w:ind w:left="118" w:right="111"/>
              <w:jc w:val="center"/>
              <w:rPr>
                <w:rFonts w:ascii="宋体" w:hAnsi="宋体"/>
                <w:color w:val="000000"/>
                <w:sz w:val="21"/>
              </w:rPr>
            </w:pPr>
            <w:r>
              <w:rPr>
                <w:rFonts w:ascii="宋体" w:hAnsi="宋体"/>
                <w:color w:val="000000"/>
                <w:sz w:val="21"/>
              </w:rPr>
              <w:t>其他因素</w:t>
            </w:r>
          </w:p>
        </w:tc>
        <w:tc>
          <w:tcPr>
            <w:tcW w:w="581" w:type="dxa"/>
            <w:tcBorders>
              <w:top w:val="single" w:color="auto" w:sz="4" w:space="0"/>
              <w:bottom w:val="single" w:color="auto" w:sz="4" w:space="0"/>
            </w:tcBorders>
            <w:noWrap w:val="0"/>
            <w:vAlign w:val="center"/>
          </w:tcPr>
          <w:p>
            <w:pPr>
              <w:pStyle w:val="10"/>
              <w:spacing w:before="113"/>
              <w:ind w:left="18" w:right="13"/>
              <w:jc w:val="center"/>
              <w:rPr>
                <w:rFonts w:ascii="宋体" w:hAnsi="宋体"/>
                <w:color w:val="000000"/>
                <w:sz w:val="21"/>
              </w:rPr>
            </w:pPr>
            <w:r>
              <w:rPr>
                <w:rFonts w:ascii="宋体" w:hAnsi="宋体"/>
                <w:color w:val="000000"/>
                <w:sz w:val="21"/>
              </w:rPr>
              <w:t>技术能力</w:t>
            </w:r>
          </w:p>
        </w:tc>
        <w:tc>
          <w:tcPr>
            <w:tcW w:w="876" w:type="dxa"/>
            <w:tcBorders>
              <w:top w:val="single" w:color="auto" w:sz="4" w:space="0"/>
              <w:bottom w:val="single" w:color="auto" w:sz="4" w:space="0"/>
            </w:tcBorders>
            <w:noWrap w:val="0"/>
            <w:vAlign w:val="center"/>
          </w:tcPr>
          <w:p>
            <w:pPr>
              <w:pStyle w:val="10"/>
              <w:tabs>
                <w:tab w:val="left" w:pos="671"/>
              </w:tabs>
              <w:jc w:val="center"/>
              <w:rPr>
                <w:rFonts w:ascii="宋体" w:hAnsi="宋体"/>
                <w:color w:val="000000"/>
                <w:sz w:val="21"/>
              </w:rPr>
            </w:pPr>
            <w:r>
              <w:rPr>
                <w:rFonts w:hint="eastAsia" w:ascii="宋体" w:hAnsi="宋体"/>
                <w:color w:val="000000"/>
                <w:sz w:val="21"/>
                <w:u w:val="single"/>
                <w:lang w:val="en-US"/>
              </w:rPr>
              <w:t>10</w:t>
            </w:r>
            <w:r>
              <w:rPr>
                <w:rFonts w:ascii="宋体" w:hAnsi="宋体"/>
                <w:color w:val="000000"/>
                <w:sz w:val="21"/>
              </w:rPr>
              <w:t>分</w:t>
            </w:r>
          </w:p>
        </w:tc>
        <w:tc>
          <w:tcPr>
            <w:tcW w:w="6865" w:type="dxa"/>
            <w:gridSpan w:val="3"/>
            <w:tcBorders>
              <w:top w:val="single" w:color="auto" w:sz="4" w:space="0"/>
              <w:bottom w:val="single" w:color="auto" w:sz="4" w:space="0"/>
            </w:tcBorders>
            <w:noWrap w:val="0"/>
            <w:vAlign w:val="center"/>
          </w:tcPr>
          <w:p>
            <w:pPr>
              <w:pStyle w:val="10"/>
              <w:tabs>
                <w:tab w:val="left" w:pos="1895"/>
              </w:tabs>
              <w:spacing w:before="77" w:line="242" w:lineRule="auto"/>
              <w:ind w:left="3" w:right="137"/>
              <w:rPr>
                <w:rFonts w:ascii="宋体" w:hAnsi="宋体"/>
                <w:color w:val="000000"/>
                <w:sz w:val="21"/>
              </w:rPr>
            </w:pPr>
            <w:r>
              <w:rPr>
                <w:rFonts w:ascii="宋体" w:hAnsi="宋体"/>
                <w:color w:val="000000"/>
                <w:spacing w:val="-10"/>
                <w:sz w:val="21"/>
              </w:rPr>
              <w:t>（1）</w:t>
            </w:r>
            <w:r>
              <w:rPr>
                <w:rFonts w:ascii="宋体" w:hAnsi="宋体"/>
                <w:color w:val="000000"/>
                <w:sz w:val="21"/>
              </w:rPr>
              <w:t>投标人获得与项目施工有关的国家级工法</w:t>
            </w:r>
            <w:r>
              <w:rPr>
                <w:rFonts w:ascii="宋体" w:hAnsi="宋体"/>
                <w:color w:val="000000"/>
                <w:spacing w:val="-29"/>
                <w:sz w:val="21"/>
              </w:rPr>
              <w:t>、</w:t>
            </w:r>
            <w:r>
              <w:rPr>
                <w:rFonts w:ascii="宋体" w:hAnsi="宋体"/>
                <w:color w:val="000000"/>
                <w:sz w:val="21"/>
              </w:rPr>
              <w:t>专</w:t>
            </w:r>
            <w:r>
              <w:rPr>
                <w:rFonts w:ascii="宋体" w:hAnsi="宋体"/>
                <w:color w:val="000000"/>
                <w:spacing w:val="-29"/>
                <w:sz w:val="21"/>
              </w:rPr>
              <w:t>利</w:t>
            </w:r>
            <w:r>
              <w:rPr>
                <w:rFonts w:ascii="宋体" w:hAnsi="宋体"/>
                <w:color w:val="000000"/>
                <w:sz w:val="21"/>
              </w:rPr>
              <w:t>（发明专利或实用新型专利）、国家级科学技术进步奖、主编或参编过国家标准、鲁班奖、詹天佑奖，每项加</w:t>
            </w:r>
            <w:r>
              <w:rPr>
                <w:rFonts w:ascii="宋体" w:hAnsi="宋体"/>
                <w:color w:val="000000"/>
                <w:sz w:val="21"/>
                <w:u w:val="single"/>
              </w:rPr>
              <w:t xml:space="preserve"> </w:t>
            </w:r>
            <w:r>
              <w:rPr>
                <w:rFonts w:hint="eastAsia" w:ascii="宋体" w:hAnsi="宋体"/>
                <w:color w:val="000000"/>
                <w:sz w:val="21"/>
                <w:u w:val="single"/>
                <w:lang w:val="en-US"/>
              </w:rPr>
              <w:t>10</w:t>
            </w:r>
            <w:r>
              <w:rPr>
                <w:rFonts w:ascii="宋体" w:hAnsi="宋体"/>
                <w:color w:val="000000"/>
                <w:sz w:val="21"/>
                <w:u w:val="single"/>
              </w:rPr>
              <w:t xml:space="preserve"> </w:t>
            </w:r>
            <w:r>
              <w:rPr>
                <w:rFonts w:ascii="宋体" w:hAnsi="宋体"/>
                <w:color w:val="000000"/>
                <w:sz w:val="21"/>
              </w:rPr>
              <w:t>分</w:t>
            </w:r>
            <w:r>
              <w:rPr>
                <w:rFonts w:hint="eastAsia" w:ascii="宋体" w:hAnsi="宋体"/>
                <w:color w:val="000000"/>
                <w:sz w:val="21"/>
              </w:rPr>
              <w:t>。</w:t>
            </w:r>
          </w:p>
          <w:p>
            <w:pPr>
              <w:pStyle w:val="10"/>
              <w:snapToGrid w:val="0"/>
              <w:jc w:val="both"/>
              <w:rPr>
                <w:rFonts w:ascii="宋体" w:hAnsi="宋体"/>
                <w:color w:val="000000"/>
                <w:sz w:val="21"/>
              </w:rPr>
            </w:pPr>
            <w:r>
              <w:rPr>
                <w:rFonts w:ascii="宋体" w:hAnsi="宋体"/>
                <w:color w:val="000000"/>
                <w:sz w:val="21"/>
              </w:rPr>
              <w:t>本项累计加分最高</w:t>
            </w:r>
            <w:r>
              <w:rPr>
                <w:rFonts w:hint="eastAsia" w:ascii="宋体" w:hAnsi="宋体"/>
                <w:color w:val="000000"/>
                <w:sz w:val="21"/>
                <w:u w:val="single"/>
                <w:lang w:val="en-US"/>
              </w:rPr>
              <w:t>10</w:t>
            </w:r>
            <w:r>
              <w:rPr>
                <w:rFonts w:ascii="宋体" w:hAnsi="宋体"/>
                <w:color w:val="000000"/>
                <w:sz w:val="21"/>
              </w:rPr>
              <w:t>分，不重复加分，按较高分只计一次。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0" w:hRule="atLeast"/>
        </w:trPr>
        <w:tc>
          <w:tcPr>
            <w:tcW w:w="938" w:type="dxa"/>
            <w:vMerge w:val="continue"/>
            <w:noWrap w:val="0"/>
            <w:vAlign w:val="center"/>
          </w:tcPr>
          <w:p>
            <w:pPr>
              <w:pStyle w:val="10"/>
              <w:spacing w:before="1"/>
              <w:ind w:left="232"/>
              <w:jc w:val="center"/>
              <w:rPr>
                <w:rFonts w:ascii="宋体" w:hAnsi="宋体"/>
                <w:color w:val="000000"/>
                <w:sz w:val="21"/>
              </w:rPr>
            </w:pPr>
          </w:p>
        </w:tc>
        <w:tc>
          <w:tcPr>
            <w:tcW w:w="550" w:type="dxa"/>
            <w:gridSpan w:val="2"/>
            <w:vMerge w:val="continue"/>
            <w:noWrap w:val="0"/>
            <w:vAlign w:val="center"/>
          </w:tcPr>
          <w:p>
            <w:pPr>
              <w:pStyle w:val="10"/>
              <w:spacing w:line="338" w:lineRule="auto"/>
              <w:ind w:left="118" w:right="111"/>
              <w:jc w:val="center"/>
              <w:rPr>
                <w:rFonts w:ascii="宋体" w:hAnsi="宋体"/>
                <w:color w:val="000000"/>
                <w:sz w:val="21"/>
              </w:rPr>
            </w:pPr>
          </w:p>
        </w:tc>
        <w:tc>
          <w:tcPr>
            <w:tcW w:w="581" w:type="dxa"/>
            <w:tcBorders>
              <w:top w:val="single" w:color="auto" w:sz="4" w:space="0"/>
            </w:tcBorders>
            <w:noWrap w:val="0"/>
            <w:vAlign w:val="center"/>
          </w:tcPr>
          <w:p>
            <w:pPr>
              <w:pStyle w:val="10"/>
              <w:spacing w:before="113"/>
              <w:ind w:left="18" w:right="13"/>
              <w:jc w:val="center"/>
              <w:rPr>
                <w:rFonts w:ascii="宋体" w:hAnsi="宋体"/>
                <w:color w:val="000000"/>
                <w:sz w:val="21"/>
              </w:rPr>
            </w:pPr>
            <w:r>
              <w:rPr>
                <w:rFonts w:ascii="宋体" w:hAnsi="宋体"/>
                <w:color w:val="000000"/>
                <w:sz w:val="21"/>
              </w:rPr>
              <w:t>履约信誉</w:t>
            </w:r>
          </w:p>
        </w:tc>
        <w:tc>
          <w:tcPr>
            <w:tcW w:w="876" w:type="dxa"/>
            <w:tcBorders>
              <w:top w:val="single" w:color="auto" w:sz="4" w:space="0"/>
            </w:tcBorders>
            <w:noWrap w:val="0"/>
            <w:vAlign w:val="center"/>
          </w:tcPr>
          <w:p>
            <w:pPr>
              <w:pStyle w:val="10"/>
              <w:tabs>
                <w:tab w:val="left" w:pos="671"/>
              </w:tabs>
              <w:jc w:val="center"/>
              <w:rPr>
                <w:rFonts w:ascii="宋体" w:hAnsi="宋体"/>
                <w:color w:val="000000"/>
                <w:sz w:val="21"/>
                <w:u w:val="single"/>
              </w:rPr>
            </w:pPr>
            <w:r>
              <w:rPr>
                <w:rFonts w:ascii="宋体" w:hAnsi="宋体"/>
                <w:color w:val="000000"/>
                <w:sz w:val="21"/>
                <w:u w:val="single"/>
              </w:rPr>
              <w:t>15</w:t>
            </w:r>
            <w:r>
              <w:rPr>
                <w:rFonts w:ascii="宋体" w:hAnsi="宋体"/>
                <w:color w:val="000000"/>
                <w:sz w:val="21"/>
              </w:rPr>
              <w:t>分</w:t>
            </w:r>
          </w:p>
        </w:tc>
        <w:tc>
          <w:tcPr>
            <w:tcW w:w="6865" w:type="dxa"/>
            <w:gridSpan w:val="3"/>
            <w:tcBorders>
              <w:top w:val="single" w:color="auto" w:sz="4" w:space="0"/>
            </w:tcBorders>
            <w:noWrap w:val="0"/>
            <w:vAlign w:val="center"/>
          </w:tcPr>
          <w:p>
            <w:pPr>
              <w:spacing w:before="68"/>
              <w:ind w:right="217"/>
              <w:jc w:val="left"/>
              <w:rPr>
                <w:rFonts w:hint="eastAsia" w:ascii="宋体" w:hAnsi="宋体" w:cs="宋体"/>
                <w:color w:val="000000"/>
                <w:szCs w:val="21"/>
              </w:rPr>
            </w:pPr>
            <w:r>
              <w:rPr>
                <w:rFonts w:hint="eastAsia" w:ascii="宋体" w:hAnsi="宋体" w:cs="宋体"/>
                <w:color w:val="000000"/>
                <w:szCs w:val="21"/>
              </w:rPr>
              <w:t>信用等级分值（10 分）</w:t>
            </w:r>
          </w:p>
          <w:p>
            <w:pPr>
              <w:spacing w:before="68"/>
              <w:ind w:right="217"/>
              <w:jc w:val="left"/>
              <w:rPr>
                <w:rFonts w:hint="eastAsia" w:ascii="宋体" w:hAnsi="宋体" w:cs="宋体"/>
                <w:color w:val="000000"/>
                <w:szCs w:val="21"/>
              </w:rPr>
            </w:pPr>
            <w:r>
              <w:rPr>
                <w:rFonts w:hint="eastAsia" w:ascii="宋体" w:hAnsi="宋体" w:cs="宋体"/>
                <w:color w:val="000000"/>
                <w:szCs w:val="21"/>
              </w:rPr>
              <w:t>AA、A、B、C 级单位的信用等级分得分分别为</w:t>
            </w:r>
            <w:r>
              <w:rPr>
                <w:rFonts w:hint="eastAsia" w:ascii="宋体" w:hAnsi="宋体" w:cs="宋体"/>
                <w:color w:val="000000"/>
                <w:szCs w:val="21"/>
                <w:u w:val="single"/>
              </w:rPr>
              <w:t xml:space="preserve"> 10、9.5、8.9、7.3分</w:t>
            </w:r>
            <w:r>
              <w:rPr>
                <w:rFonts w:hint="eastAsia" w:ascii="宋体" w:hAnsi="宋体" w:cs="宋体"/>
                <w:color w:val="000000"/>
                <w:szCs w:val="21"/>
              </w:rPr>
              <w:t>。</w:t>
            </w:r>
          </w:p>
          <w:p>
            <w:pPr>
              <w:spacing w:before="68"/>
              <w:ind w:right="217"/>
              <w:jc w:val="left"/>
              <w:rPr>
                <w:rFonts w:hint="eastAsia" w:ascii="宋体" w:hAnsi="宋体" w:cs="宋体"/>
                <w:color w:val="000000"/>
                <w:szCs w:val="21"/>
              </w:rPr>
            </w:pPr>
            <w:r>
              <w:rPr>
                <w:rFonts w:hint="eastAsia" w:ascii="宋体" w:hAnsi="宋体" w:cs="宋体"/>
                <w:color w:val="000000"/>
                <w:szCs w:val="21"/>
              </w:rPr>
              <w:t>注：信用等级的确定原则遵循投标人须知前附表 10.2 款的规定。</w:t>
            </w:r>
          </w:p>
          <w:p>
            <w:pPr>
              <w:spacing w:before="68"/>
              <w:ind w:right="217"/>
              <w:jc w:val="left"/>
              <w:rPr>
                <w:rFonts w:hint="eastAsia" w:ascii="宋体" w:hAnsi="宋体" w:cs="宋体"/>
                <w:color w:val="000000"/>
                <w:szCs w:val="21"/>
              </w:rPr>
            </w:pPr>
            <w:r>
              <w:rPr>
                <w:rFonts w:hint="eastAsia" w:ascii="宋体" w:hAnsi="宋体" w:cs="宋体"/>
                <w:color w:val="000000"/>
                <w:szCs w:val="21"/>
              </w:rPr>
              <w:t>2. 履约情况（5 分）</w:t>
            </w:r>
          </w:p>
          <w:p>
            <w:pPr>
              <w:spacing w:before="68"/>
              <w:ind w:right="217" w:firstLine="420" w:firstLineChars="200"/>
              <w:jc w:val="left"/>
              <w:rPr>
                <w:rFonts w:hint="eastAsia" w:ascii="宋体" w:hAnsi="宋体" w:cs="宋体"/>
                <w:color w:val="000000"/>
                <w:szCs w:val="21"/>
              </w:rPr>
            </w:pPr>
            <w:r>
              <w:rPr>
                <w:rFonts w:hint="eastAsia" w:ascii="宋体" w:hAnsi="宋体" w:cs="宋体"/>
                <w:color w:val="000000"/>
                <w:szCs w:val="21"/>
              </w:rPr>
              <w:t>若没出现下述情形得满分；</w:t>
            </w:r>
          </w:p>
          <w:p>
            <w:pPr>
              <w:spacing w:before="68"/>
              <w:ind w:right="217" w:firstLine="420" w:firstLineChars="200"/>
              <w:jc w:val="left"/>
              <w:rPr>
                <w:rFonts w:hint="eastAsia" w:ascii="宋体" w:hAnsi="宋体" w:cs="宋体"/>
                <w:color w:val="000000"/>
                <w:szCs w:val="21"/>
              </w:rPr>
            </w:pPr>
            <w:r>
              <w:rPr>
                <w:rFonts w:hint="eastAsia" w:ascii="宋体" w:hAnsi="宋体" w:cs="宋体"/>
                <w:color w:val="000000"/>
                <w:szCs w:val="21"/>
              </w:rPr>
              <w:t>投标文件递交截止日前 1 年内，投标人因公路工程（含附属设施）质量、 安全、履约或招标投标问题等原因被：</w:t>
            </w:r>
          </w:p>
          <w:p>
            <w:pPr>
              <w:spacing w:before="68"/>
              <w:ind w:right="217"/>
              <w:jc w:val="left"/>
              <w:rPr>
                <w:rFonts w:hint="eastAsia" w:ascii="宋体" w:hAnsi="宋体" w:cs="宋体"/>
                <w:color w:val="000000"/>
                <w:szCs w:val="21"/>
              </w:rPr>
            </w:pPr>
            <w:r>
              <w:rPr>
                <w:rFonts w:hint="eastAsia" w:ascii="宋体" w:hAnsi="宋体" w:cs="宋体"/>
                <w:color w:val="000000"/>
                <w:szCs w:val="21"/>
              </w:rPr>
              <w:t>（1）交通运输部行政处罚的，扣5分/次。</w:t>
            </w:r>
          </w:p>
          <w:p>
            <w:pPr>
              <w:spacing w:before="68"/>
              <w:ind w:right="217"/>
              <w:jc w:val="left"/>
              <w:rPr>
                <w:rFonts w:hint="eastAsia" w:ascii="宋体" w:hAnsi="宋体" w:cs="宋体"/>
                <w:color w:val="000000"/>
                <w:szCs w:val="21"/>
              </w:rPr>
            </w:pPr>
            <w:r>
              <w:rPr>
                <w:rFonts w:hint="eastAsia" w:ascii="宋体" w:hAnsi="宋体" w:cs="宋体"/>
                <w:color w:val="000000"/>
                <w:szCs w:val="21"/>
              </w:rPr>
              <w:t>（2）广东省交通运输厅行政处罚的，扣 3分/次。</w:t>
            </w:r>
          </w:p>
          <w:p>
            <w:pPr>
              <w:spacing w:before="68"/>
              <w:ind w:right="217"/>
              <w:jc w:val="left"/>
              <w:rPr>
                <w:rFonts w:hint="eastAsia" w:ascii="宋体" w:hAnsi="宋体" w:cs="宋体"/>
                <w:color w:val="000000"/>
                <w:szCs w:val="21"/>
              </w:rPr>
            </w:pPr>
            <w:r>
              <w:rPr>
                <w:rFonts w:hint="eastAsia" w:ascii="宋体" w:hAnsi="宋体" w:cs="宋体"/>
                <w:color w:val="000000"/>
                <w:szCs w:val="21"/>
              </w:rPr>
              <w:t>（3）招标项目所在地地级以上市交通运输局行政处罚的，扣1.5分/次。</w:t>
            </w:r>
          </w:p>
          <w:p>
            <w:pPr>
              <w:spacing w:before="68"/>
              <w:ind w:right="217"/>
              <w:jc w:val="left"/>
              <w:rPr>
                <w:rFonts w:hint="eastAsia" w:ascii="宋体" w:hAnsi="宋体" w:cs="宋体"/>
                <w:color w:val="000000"/>
                <w:szCs w:val="21"/>
              </w:rPr>
            </w:pPr>
            <w:r>
              <w:rPr>
                <w:rFonts w:hint="eastAsia" w:ascii="宋体" w:hAnsi="宋体" w:cs="宋体"/>
                <w:color w:val="000000"/>
                <w:szCs w:val="21"/>
              </w:rPr>
              <w:t>（4）广东省交通运输厅正式约谈的，扣 0.1分/次。</w:t>
            </w:r>
          </w:p>
          <w:p>
            <w:pPr>
              <w:pStyle w:val="10"/>
              <w:snapToGrid w:val="0"/>
              <w:ind w:firstLine="315" w:firstLineChars="150"/>
              <w:jc w:val="both"/>
              <w:rPr>
                <w:rFonts w:ascii="宋体" w:hAnsi="宋体"/>
                <w:color w:val="000000"/>
                <w:sz w:val="21"/>
                <w:szCs w:val="21"/>
              </w:rPr>
            </w:pPr>
            <w:r>
              <w:rPr>
                <w:rFonts w:hint="eastAsia" w:ascii="宋体" w:hAnsi="宋体" w:cs="宋体"/>
                <w:color w:val="000000"/>
                <w:sz w:val="21"/>
                <w:szCs w:val="21"/>
                <w:lang w:val="en-US"/>
              </w:rPr>
              <w:t>同一事项同时被多个部门行政处罚或正式约谈只按最高的扣分计算 1次 。如果扣完本项分值，可以从总分中扣。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9810" w:type="dxa"/>
            <w:gridSpan w:val="8"/>
            <w:noWrap w:val="0"/>
            <w:vAlign w:val="top"/>
          </w:tcPr>
          <w:p>
            <w:pPr>
              <w:pStyle w:val="10"/>
              <w:spacing w:line="360" w:lineRule="auto"/>
              <w:rPr>
                <w:rFonts w:ascii="宋体" w:hAnsi="宋体"/>
                <w:b/>
                <w:bCs/>
                <w:color w:val="000000"/>
                <w:sz w:val="21"/>
              </w:rPr>
            </w:pPr>
            <w:r>
              <w:rPr>
                <w:rFonts w:ascii="宋体" w:hAnsi="宋体"/>
                <w:b/>
                <w:bCs/>
                <w:color w:val="000000"/>
                <w:sz w:val="21"/>
              </w:rPr>
              <w:t>需要补充的其他内容：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69" w:type="dxa"/>
            <w:gridSpan w:val="2"/>
            <w:tcBorders>
              <w:right w:val="single" w:color="auto" w:sz="4" w:space="0"/>
            </w:tcBorders>
            <w:noWrap w:val="0"/>
            <w:vAlign w:val="top"/>
          </w:tcPr>
          <w:p>
            <w:pPr>
              <w:pStyle w:val="10"/>
              <w:spacing w:line="360" w:lineRule="auto"/>
              <w:jc w:val="center"/>
              <w:rPr>
                <w:rFonts w:ascii="宋体" w:hAnsi="宋体"/>
                <w:b/>
                <w:bCs/>
                <w:color w:val="000000"/>
                <w:sz w:val="21"/>
              </w:rPr>
            </w:pPr>
            <w:r>
              <w:rPr>
                <w:rFonts w:ascii="宋体" w:hAnsi="宋体"/>
                <w:b/>
                <w:bCs/>
                <w:color w:val="000000"/>
                <w:sz w:val="21"/>
              </w:rPr>
              <w:t>条款号</w:t>
            </w:r>
          </w:p>
        </w:tc>
        <w:tc>
          <w:tcPr>
            <w:tcW w:w="8741" w:type="dxa"/>
            <w:gridSpan w:val="6"/>
            <w:tcBorders>
              <w:left w:val="single" w:color="auto" w:sz="4" w:space="0"/>
            </w:tcBorders>
            <w:noWrap w:val="0"/>
            <w:vAlign w:val="top"/>
          </w:tcPr>
          <w:p>
            <w:pPr>
              <w:pStyle w:val="10"/>
              <w:spacing w:line="360" w:lineRule="auto"/>
              <w:jc w:val="center"/>
              <w:rPr>
                <w:rFonts w:ascii="宋体" w:hAnsi="宋体"/>
                <w:b/>
                <w:bCs/>
                <w:color w:val="000000"/>
                <w:sz w:val="21"/>
              </w:rPr>
            </w:pPr>
            <w:r>
              <w:rPr>
                <w:rFonts w:ascii="宋体" w:hAnsi="宋体"/>
                <w:b/>
                <w:bCs/>
                <w:color w:val="000000"/>
                <w:sz w:val="21"/>
              </w:rPr>
              <w:t>补充或修改的内容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1069" w:type="dxa"/>
            <w:gridSpan w:val="2"/>
            <w:tcBorders>
              <w:right w:val="single" w:color="auto" w:sz="4" w:space="0"/>
            </w:tcBorders>
            <w:noWrap w:val="0"/>
            <w:vAlign w:val="center"/>
          </w:tcPr>
          <w:p>
            <w:pPr>
              <w:pStyle w:val="10"/>
              <w:spacing w:line="360" w:lineRule="auto"/>
              <w:jc w:val="center"/>
              <w:rPr>
                <w:rFonts w:ascii="宋体" w:hAnsi="宋体"/>
                <w:b/>
                <w:bCs/>
                <w:color w:val="000000"/>
                <w:sz w:val="21"/>
                <w:szCs w:val="21"/>
              </w:rPr>
            </w:pPr>
            <w:r>
              <w:rPr>
                <w:rFonts w:ascii="宋体" w:hAnsi="宋体"/>
                <w:b/>
                <w:bCs/>
                <w:color w:val="000000"/>
                <w:sz w:val="21"/>
                <w:szCs w:val="21"/>
              </w:rPr>
              <w:t>1</w:t>
            </w:r>
          </w:p>
        </w:tc>
        <w:tc>
          <w:tcPr>
            <w:tcW w:w="8741" w:type="dxa"/>
            <w:gridSpan w:val="6"/>
            <w:tcBorders>
              <w:left w:val="single" w:color="auto" w:sz="4" w:space="0"/>
            </w:tcBorders>
            <w:noWrap w:val="0"/>
            <w:vAlign w:val="top"/>
          </w:tcPr>
          <w:p>
            <w:pPr>
              <w:pStyle w:val="10"/>
              <w:spacing w:line="360" w:lineRule="auto"/>
              <w:rPr>
                <w:rFonts w:ascii="宋体" w:hAnsi="宋体" w:cs="宋体"/>
                <w:color w:val="000000"/>
                <w:sz w:val="21"/>
                <w:szCs w:val="21"/>
              </w:rPr>
            </w:pPr>
            <w:r>
              <w:rPr>
                <w:rFonts w:ascii="宋体" w:hAnsi="宋体" w:cs="宋体"/>
                <w:color w:val="000000"/>
                <w:sz w:val="21"/>
                <w:szCs w:val="21"/>
              </w:rPr>
              <w:t>将评标办法范本原文第 1 条“评标方法”改为“评标方法、组织及工作程序”，原文内容修改如下：</w:t>
            </w:r>
          </w:p>
          <w:p>
            <w:pPr>
              <w:pStyle w:val="10"/>
              <w:spacing w:line="360" w:lineRule="auto"/>
              <w:rPr>
                <w:rFonts w:ascii="宋体" w:hAnsi="宋体" w:cs="宋体"/>
                <w:color w:val="000000"/>
                <w:sz w:val="21"/>
                <w:szCs w:val="21"/>
              </w:rPr>
            </w:pPr>
            <w:r>
              <w:rPr>
                <w:rFonts w:ascii="宋体" w:hAnsi="宋体" w:cs="宋体"/>
                <w:color w:val="000000"/>
                <w:sz w:val="21"/>
                <w:szCs w:val="21"/>
              </w:rPr>
              <w:t>1.评标方法、组织及工作程序</w:t>
            </w:r>
          </w:p>
          <w:p>
            <w:pPr>
              <w:pStyle w:val="10"/>
              <w:spacing w:line="360" w:lineRule="auto"/>
              <w:rPr>
                <w:rFonts w:ascii="宋体" w:hAnsi="宋体" w:cs="宋体"/>
                <w:color w:val="000000"/>
                <w:sz w:val="21"/>
                <w:szCs w:val="21"/>
              </w:rPr>
            </w:pPr>
            <w:r>
              <w:rPr>
                <w:rFonts w:ascii="宋体" w:hAnsi="宋体" w:cs="宋体"/>
                <w:color w:val="000000"/>
                <w:sz w:val="21"/>
                <w:szCs w:val="21"/>
              </w:rPr>
              <w:t>1.1 评标方法</w:t>
            </w:r>
          </w:p>
          <w:p>
            <w:pPr>
              <w:pStyle w:val="10"/>
              <w:spacing w:line="360" w:lineRule="auto"/>
              <w:jc w:val="both"/>
              <w:rPr>
                <w:rFonts w:ascii="宋体" w:hAnsi="宋体" w:cs="宋体"/>
                <w:color w:val="000000"/>
                <w:sz w:val="21"/>
                <w:szCs w:val="21"/>
              </w:rPr>
            </w:pPr>
            <w:r>
              <w:rPr>
                <w:rFonts w:ascii="宋体" w:hAnsi="宋体" w:cs="宋体"/>
                <w:color w:val="000000"/>
                <w:spacing w:val="2"/>
                <w:sz w:val="21"/>
                <w:szCs w:val="21"/>
              </w:rPr>
              <w:t>本次评标采用</w:t>
            </w:r>
            <w:r>
              <w:rPr>
                <w:rFonts w:hint="eastAsia" w:ascii="宋体" w:hAnsi="宋体" w:cs="宋体"/>
                <w:color w:val="000000"/>
                <w:spacing w:val="2"/>
                <w:sz w:val="21"/>
                <w:szCs w:val="21"/>
                <w:lang w:val="en-US"/>
              </w:rPr>
              <w:t>双信封的</w:t>
            </w:r>
            <w:r>
              <w:rPr>
                <w:rFonts w:ascii="宋体" w:hAnsi="宋体" w:cs="宋体"/>
                <w:color w:val="000000"/>
                <w:spacing w:val="2"/>
                <w:sz w:val="21"/>
                <w:szCs w:val="21"/>
              </w:rPr>
              <w:t>技术评分最低标价法。评标委员会</w:t>
            </w:r>
            <w:r>
              <w:rPr>
                <w:rFonts w:ascii="宋体" w:hAnsi="宋体" w:cs="宋体"/>
                <w:color w:val="000000"/>
                <w:spacing w:val="-1"/>
                <w:sz w:val="21"/>
                <w:szCs w:val="21"/>
              </w:rPr>
              <w:t xml:space="preserve">对满足招标文件实质性要求的投标文件，按照本章第 </w:t>
            </w:r>
            <w:r>
              <w:rPr>
                <w:rFonts w:ascii="宋体" w:hAnsi="宋体" w:cs="宋体"/>
                <w:color w:val="000000"/>
                <w:sz w:val="21"/>
                <w:szCs w:val="21"/>
              </w:rPr>
              <w:t>2.2</w:t>
            </w:r>
            <w:r>
              <w:rPr>
                <w:rFonts w:ascii="宋体" w:hAnsi="宋体" w:cs="宋体"/>
                <w:color w:val="000000"/>
                <w:spacing w:val="-6"/>
                <w:sz w:val="21"/>
                <w:szCs w:val="21"/>
              </w:rPr>
              <w:t xml:space="preserve"> 款规</w:t>
            </w:r>
            <w:r>
              <w:rPr>
                <w:rFonts w:ascii="宋体" w:hAnsi="宋体" w:cs="宋体"/>
                <w:color w:val="000000"/>
                <w:sz w:val="21"/>
                <w:szCs w:val="21"/>
              </w:rPr>
              <w:t>定对通过初步评审的投标人施工组织设计、主要人员、其他因素等进行评分，按照得分由高到低排序，对排名在招标文件规定数量</w:t>
            </w:r>
            <w:r>
              <w:rPr>
                <w:rFonts w:ascii="宋体" w:hAnsi="宋体" w:cs="宋体"/>
                <w:color w:val="000000"/>
                <w:spacing w:val="-24"/>
                <w:sz w:val="21"/>
                <w:szCs w:val="21"/>
                <w:u w:val="single"/>
              </w:rPr>
              <w:t xml:space="preserve">前 </w:t>
            </w:r>
            <w:r>
              <w:rPr>
                <w:rFonts w:ascii="宋体" w:hAnsi="宋体" w:cs="宋体"/>
                <w:color w:val="000000"/>
                <w:sz w:val="21"/>
                <w:szCs w:val="21"/>
                <w:u w:val="single"/>
              </w:rPr>
              <w:t>5</w:t>
            </w:r>
            <w:r>
              <w:rPr>
                <w:rFonts w:ascii="宋体" w:hAnsi="宋体" w:cs="宋体"/>
                <w:color w:val="000000"/>
                <w:spacing w:val="-25"/>
                <w:sz w:val="21"/>
                <w:szCs w:val="21"/>
                <w:u w:val="single"/>
              </w:rPr>
              <w:t xml:space="preserve"> 名</w:t>
            </w:r>
            <w:r>
              <w:rPr>
                <w:rFonts w:ascii="宋体" w:hAnsi="宋体" w:cs="宋体"/>
                <w:color w:val="000000"/>
                <w:sz w:val="21"/>
                <w:szCs w:val="21"/>
                <w:u w:val="single"/>
              </w:rPr>
              <w:t>（</w:t>
            </w:r>
            <w:r>
              <w:rPr>
                <w:rFonts w:ascii="宋体" w:hAnsi="宋体" w:cs="宋体"/>
                <w:color w:val="000000"/>
                <w:spacing w:val="-12"/>
                <w:sz w:val="21"/>
                <w:szCs w:val="21"/>
                <w:u w:val="single"/>
              </w:rPr>
              <w:t xml:space="preserve">不少于 </w:t>
            </w:r>
            <w:r>
              <w:rPr>
                <w:rFonts w:ascii="宋体" w:hAnsi="宋体" w:cs="宋体"/>
                <w:color w:val="000000"/>
                <w:sz w:val="21"/>
                <w:szCs w:val="21"/>
                <w:u w:val="single"/>
              </w:rPr>
              <w:t>3</w:t>
            </w:r>
            <w:r>
              <w:rPr>
                <w:rFonts w:ascii="宋体" w:hAnsi="宋体" w:cs="宋体"/>
                <w:color w:val="000000"/>
                <w:spacing w:val="-17"/>
                <w:sz w:val="21"/>
                <w:szCs w:val="21"/>
                <w:u w:val="single"/>
              </w:rPr>
              <w:t xml:space="preserve"> 名但不足 </w:t>
            </w:r>
            <w:r>
              <w:rPr>
                <w:rFonts w:ascii="宋体" w:hAnsi="宋体" w:cs="宋体"/>
                <w:color w:val="000000"/>
                <w:sz w:val="21"/>
                <w:szCs w:val="21"/>
                <w:u w:val="single"/>
              </w:rPr>
              <w:t>5</w:t>
            </w:r>
            <w:r>
              <w:rPr>
                <w:rFonts w:ascii="宋体" w:hAnsi="宋体" w:cs="宋体"/>
                <w:color w:val="000000"/>
                <w:spacing w:val="-7"/>
                <w:sz w:val="21"/>
                <w:szCs w:val="21"/>
                <w:u w:val="single"/>
              </w:rPr>
              <w:t xml:space="preserve"> 名时，按全部实际数量</w:t>
            </w:r>
            <w:r>
              <w:rPr>
                <w:rFonts w:ascii="宋体" w:hAnsi="宋体" w:cs="宋体"/>
                <w:color w:val="000000"/>
                <w:sz w:val="21"/>
                <w:szCs w:val="21"/>
                <w:u w:val="single"/>
              </w:rPr>
              <w:t xml:space="preserve">） </w:t>
            </w:r>
            <w:r>
              <w:rPr>
                <w:rFonts w:ascii="宋体" w:hAnsi="宋体" w:cs="宋体"/>
                <w:color w:val="000000"/>
                <w:sz w:val="21"/>
                <w:szCs w:val="21"/>
              </w:rPr>
              <w:t>的投标人的报价文件进行评审，按照评标价由低到高的顺序推荐中标候选人的评标方法。但投标报价低于其成本的除外。评标价相等时，评标委员会应按照评标办法前附表规定的优先次序推荐中标候选人或确定中标人。</w:t>
            </w:r>
          </w:p>
          <w:p>
            <w:pPr>
              <w:pStyle w:val="10"/>
              <w:spacing w:line="360" w:lineRule="auto"/>
              <w:rPr>
                <w:rFonts w:ascii="宋体" w:hAnsi="宋体" w:cs="宋体"/>
                <w:color w:val="000000"/>
                <w:sz w:val="21"/>
                <w:szCs w:val="21"/>
              </w:rPr>
            </w:pPr>
            <w:r>
              <w:rPr>
                <w:rFonts w:ascii="宋体" w:hAnsi="宋体" w:cs="宋体"/>
                <w:color w:val="000000"/>
                <w:sz w:val="21"/>
                <w:szCs w:val="21"/>
              </w:rPr>
              <w:t>1.2评标组织</w:t>
            </w:r>
          </w:p>
          <w:p>
            <w:pPr>
              <w:pStyle w:val="10"/>
              <w:spacing w:line="360" w:lineRule="auto"/>
              <w:rPr>
                <w:rFonts w:ascii="宋体" w:hAnsi="宋体" w:cs="宋体"/>
                <w:color w:val="000000"/>
                <w:sz w:val="21"/>
                <w:szCs w:val="21"/>
              </w:rPr>
            </w:pPr>
            <w:r>
              <w:rPr>
                <w:rFonts w:ascii="宋体" w:hAnsi="宋体" w:cs="宋体"/>
                <w:color w:val="000000"/>
                <w:sz w:val="21"/>
                <w:szCs w:val="21"/>
              </w:rPr>
              <w:t>1.2.1协助工作组</w:t>
            </w:r>
          </w:p>
          <w:p>
            <w:pPr>
              <w:pStyle w:val="10"/>
              <w:spacing w:line="360" w:lineRule="auto"/>
              <w:jc w:val="both"/>
              <w:rPr>
                <w:rFonts w:ascii="宋体" w:hAnsi="宋体" w:cs="宋体"/>
                <w:color w:val="000000"/>
                <w:sz w:val="21"/>
                <w:szCs w:val="21"/>
              </w:rPr>
            </w:pPr>
            <w:r>
              <w:rPr>
                <w:rFonts w:ascii="宋体" w:hAnsi="宋体" w:cs="宋体"/>
                <w:color w:val="000000"/>
                <w:sz w:val="21"/>
                <w:szCs w:val="21"/>
              </w:rPr>
              <w:t>招标人可在评标工作开始前成立协助工作组，选派熟悉招标工作、政治素质高的人员组成，协助评标委员会工作。协助工作组人员的具体数量由招标人视评标工作量确定。</w:t>
            </w:r>
          </w:p>
          <w:p>
            <w:pPr>
              <w:pStyle w:val="10"/>
              <w:spacing w:line="360" w:lineRule="auto"/>
              <w:ind w:firstLine="420" w:firstLineChars="200"/>
              <w:rPr>
                <w:rFonts w:ascii="宋体" w:hAnsi="宋体" w:cs="宋体"/>
                <w:color w:val="000000"/>
                <w:sz w:val="21"/>
                <w:szCs w:val="21"/>
              </w:rPr>
            </w:pPr>
            <w:r>
              <w:rPr>
                <w:rFonts w:ascii="宋体" w:hAnsi="宋体" w:cs="宋体"/>
                <w:color w:val="000000"/>
                <w:sz w:val="21"/>
                <w:szCs w:val="21"/>
              </w:rPr>
              <w:t>招标人可以协助评标委员会开展下列工作并提供相关信息：</w:t>
            </w:r>
          </w:p>
          <w:p>
            <w:pPr>
              <w:pStyle w:val="10"/>
              <w:numPr>
                <w:ilvl w:val="3"/>
                <w:numId w:val="2"/>
              </w:numPr>
              <w:tabs>
                <w:tab w:val="left" w:pos="653"/>
              </w:tabs>
              <w:spacing w:line="360" w:lineRule="auto"/>
              <w:ind w:left="0" w:firstLine="0"/>
              <w:rPr>
                <w:rFonts w:ascii="宋体" w:hAnsi="宋体" w:cs="宋体"/>
                <w:color w:val="000000"/>
                <w:sz w:val="21"/>
                <w:szCs w:val="21"/>
              </w:rPr>
            </w:pPr>
            <w:r>
              <w:rPr>
                <w:rFonts w:ascii="宋体" w:hAnsi="宋体" w:cs="宋体"/>
                <w:color w:val="000000"/>
                <w:sz w:val="21"/>
                <w:szCs w:val="21"/>
              </w:rPr>
              <w:t>根据招标文件，编制评标使用的相应表格；</w:t>
            </w:r>
          </w:p>
          <w:p>
            <w:pPr>
              <w:pStyle w:val="10"/>
              <w:numPr>
                <w:ilvl w:val="3"/>
                <w:numId w:val="2"/>
              </w:numPr>
              <w:tabs>
                <w:tab w:val="left" w:pos="653"/>
              </w:tabs>
              <w:spacing w:line="360" w:lineRule="auto"/>
              <w:ind w:left="0" w:firstLine="0"/>
              <w:rPr>
                <w:rFonts w:ascii="宋体" w:hAnsi="宋体" w:cs="宋体"/>
                <w:color w:val="000000"/>
                <w:sz w:val="21"/>
                <w:szCs w:val="21"/>
              </w:rPr>
            </w:pPr>
            <w:r>
              <w:rPr>
                <w:rFonts w:ascii="宋体" w:hAnsi="宋体" w:cs="宋体"/>
                <w:color w:val="000000"/>
                <w:spacing w:val="-1"/>
                <w:sz w:val="21"/>
                <w:szCs w:val="21"/>
              </w:rPr>
              <w:t>对投标报价进行算术性校核</w:t>
            </w:r>
            <w:r>
              <w:rPr>
                <w:rFonts w:ascii="宋体" w:hAnsi="宋体" w:cs="宋体"/>
                <w:color w:val="000000"/>
                <w:sz w:val="21"/>
                <w:szCs w:val="21"/>
              </w:rPr>
              <w:t>（</w:t>
            </w:r>
            <w:r>
              <w:rPr>
                <w:rFonts w:ascii="宋体" w:hAnsi="宋体" w:cs="宋体"/>
                <w:color w:val="000000"/>
                <w:spacing w:val="-3"/>
                <w:sz w:val="21"/>
                <w:szCs w:val="21"/>
              </w:rPr>
              <w:t>如采用固化清单，本步骤</w:t>
            </w:r>
            <w:r>
              <w:rPr>
                <w:rFonts w:ascii="宋体" w:hAnsi="宋体" w:cs="宋体"/>
                <w:color w:val="000000"/>
                <w:sz w:val="21"/>
                <w:szCs w:val="21"/>
              </w:rPr>
              <w:t>省略）；</w:t>
            </w:r>
          </w:p>
          <w:p>
            <w:pPr>
              <w:pStyle w:val="10"/>
              <w:numPr>
                <w:ilvl w:val="3"/>
                <w:numId w:val="2"/>
              </w:numPr>
              <w:tabs>
                <w:tab w:val="left" w:pos="653"/>
              </w:tabs>
              <w:spacing w:line="360" w:lineRule="auto"/>
              <w:ind w:left="0" w:firstLine="0"/>
              <w:rPr>
                <w:rFonts w:ascii="宋体" w:hAnsi="宋体" w:cs="宋体"/>
                <w:color w:val="000000"/>
                <w:sz w:val="21"/>
                <w:szCs w:val="21"/>
              </w:rPr>
            </w:pPr>
            <w:r>
              <w:rPr>
                <w:rFonts w:ascii="宋体" w:hAnsi="宋体" w:cs="宋体"/>
                <w:color w:val="000000"/>
                <w:spacing w:val="-2"/>
                <w:sz w:val="21"/>
                <w:szCs w:val="21"/>
              </w:rPr>
              <w:t>以评标标准和方法为依据，列出投标文件相对于招标文</w:t>
            </w:r>
            <w:r>
              <w:rPr>
                <w:rFonts w:ascii="宋体" w:hAnsi="宋体" w:cs="宋体"/>
                <w:color w:val="000000"/>
                <w:sz w:val="21"/>
                <w:szCs w:val="21"/>
              </w:rPr>
              <w:t>件的所有偏差，并进行归类汇总；</w:t>
            </w:r>
          </w:p>
          <w:p>
            <w:pPr>
              <w:pStyle w:val="10"/>
              <w:numPr>
                <w:ilvl w:val="3"/>
                <w:numId w:val="2"/>
              </w:numPr>
              <w:tabs>
                <w:tab w:val="left" w:pos="653"/>
              </w:tabs>
              <w:spacing w:line="360" w:lineRule="auto"/>
              <w:ind w:left="0" w:firstLine="0"/>
              <w:rPr>
                <w:rFonts w:ascii="宋体" w:hAnsi="宋体" w:cs="宋体"/>
                <w:color w:val="000000"/>
                <w:sz w:val="21"/>
                <w:szCs w:val="21"/>
              </w:rPr>
            </w:pPr>
            <w:r>
              <w:rPr>
                <w:rFonts w:ascii="宋体" w:hAnsi="宋体" w:cs="宋体"/>
                <w:color w:val="000000"/>
                <w:spacing w:val="-4"/>
                <w:sz w:val="21"/>
                <w:szCs w:val="21"/>
              </w:rPr>
              <w:t>查询公路建设市场信用信息管理系统，对投标人的资质、业绩、主要人员资历和目前在岗情况、信用等级进行核实。</w:t>
            </w:r>
          </w:p>
          <w:p>
            <w:pPr>
              <w:pStyle w:val="10"/>
              <w:spacing w:line="360" w:lineRule="auto"/>
              <w:jc w:val="both"/>
              <w:rPr>
                <w:rFonts w:ascii="宋体" w:hAnsi="宋体" w:cs="宋体"/>
                <w:color w:val="000000"/>
                <w:sz w:val="21"/>
                <w:szCs w:val="21"/>
              </w:rPr>
            </w:pPr>
            <w:r>
              <w:rPr>
                <w:rFonts w:ascii="宋体" w:hAnsi="宋体" w:cs="宋体"/>
                <w:color w:val="000000"/>
                <w:sz w:val="21"/>
                <w:szCs w:val="21"/>
              </w:rPr>
              <w:t>招标人不得对投标文件作出任何评价，不得故意遗漏或者片面摘录，不得在评标委员会对所有偏差定性之前透露存有偏差的投标人名称。</w:t>
            </w:r>
          </w:p>
          <w:p>
            <w:pPr>
              <w:pStyle w:val="10"/>
              <w:tabs>
                <w:tab w:val="left" w:pos="769"/>
              </w:tabs>
              <w:spacing w:line="360" w:lineRule="auto"/>
              <w:rPr>
                <w:rFonts w:ascii="宋体" w:hAnsi="宋体" w:cs="宋体"/>
                <w:color w:val="000000"/>
                <w:sz w:val="21"/>
                <w:szCs w:val="21"/>
              </w:rPr>
            </w:pPr>
            <w:r>
              <w:rPr>
                <w:rFonts w:ascii="宋体" w:hAnsi="宋体" w:cs="宋体"/>
                <w:color w:val="000000"/>
                <w:sz w:val="21"/>
                <w:szCs w:val="21"/>
              </w:rPr>
              <w:t>1.2.</w:t>
            </w:r>
            <w:r>
              <w:rPr>
                <w:rFonts w:hint="eastAsia" w:ascii="宋体" w:hAnsi="宋体" w:cs="宋体"/>
                <w:color w:val="000000"/>
                <w:sz w:val="21"/>
                <w:szCs w:val="21"/>
                <w:lang w:val="en-US"/>
              </w:rPr>
              <w:t>2</w:t>
            </w:r>
            <w:r>
              <w:rPr>
                <w:rFonts w:ascii="宋体" w:hAnsi="宋体" w:cs="宋体"/>
                <w:color w:val="000000"/>
                <w:sz w:val="21"/>
                <w:szCs w:val="21"/>
              </w:rPr>
              <w:t>评标委员会</w:t>
            </w:r>
          </w:p>
          <w:p>
            <w:pPr>
              <w:pStyle w:val="10"/>
              <w:spacing w:line="360" w:lineRule="auto"/>
              <w:rPr>
                <w:rFonts w:ascii="宋体" w:hAnsi="宋体" w:cs="宋体"/>
                <w:color w:val="000000"/>
                <w:sz w:val="21"/>
                <w:szCs w:val="21"/>
              </w:rPr>
            </w:pPr>
            <w:r>
              <w:rPr>
                <w:rFonts w:ascii="宋体" w:hAnsi="宋体" w:cs="宋体"/>
                <w:color w:val="000000"/>
                <w:sz w:val="21"/>
                <w:szCs w:val="21"/>
              </w:rPr>
              <w:t>评标委员会由招标人按国家、广东省等的有关规定依法组建。评标委员会的主要工作内容包括：</w:t>
            </w:r>
            <w:r>
              <w:rPr>
                <w:rFonts w:hint="eastAsia" w:ascii="宋体" w:hAnsi="宋体" w:cs="宋体"/>
                <w:color w:val="000000"/>
                <w:sz w:val="21"/>
                <w:szCs w:val="21"/>
              </w:rPr>
              <w:t>（</w:t>
            </w:r>
            <w:r>
              <w:rPr>
                <w:rFonts w:hint="eastAsia" w:ascii="宋体" w:hAnsi="宋体" w:cs="宋体"/>
                <w:color w:val="000000"/>
                <w:sz w:val="21"/>
                <w:szCs w:val="21"/>
                <w:lang w:val="en-US"/>
              </w:rPr>
              <w:t>1</w:t>
            </w:r>
            <w:r>
              <w:rPr>
                <w:rFonts w:hint="eastAsia" w:ascii="宋体" w:hAnsi="宋体" w:cs="宋体"/>
                <w:color w:val="000000"/>
                <w:sz w:val="21"/>
                <w:szCs w:val="21"/>
              </w:rPr>
              <w:t>）</w:t>
            </w:r>
            <w:r>
              <w:rPr>
                <w:rFonts w:ascii="宋体" w:hAnsi="宋体" w:cs="宋体"/>
                <w:color w:val="000000"/>
                <w:spacing w:val="-2"/>
                <w:sz w:val="21"/>
                <w:szCs w:val="21"/>
              </w:rPr>
              <w:t>评标委员会开始评标工作之前，首先听取招标人、协助</w:t>
            </w:r>
            <w:r>
              <w:rPr>
                <w:rFonts w:ascii="宋体" w:hAnsi="宋体" w:cs="宋体"/>
                <w:color w:val="000000"/>
                <w:spacing w:val="-3"/>
                <w:sz w:val="21"/>
                <w:szCs w:val="21"/>
              </w:rPr>
              <w:t>工作组关于工程情况和辅助工作的说明，并认真研读招标文件， 获取评标所需的重要信息和数据；</w:t>
            </w:r>
          </w:p>
          <w:p>
            <w:pPr>
              <w:pStyle w:val="10"/>
              <w:spacing w:line="360" w:lineRule="auto"/>
              <w:rPr>
                <w:rFonts w:ascii="宋体" w:hAnsi="宋体" w:cs="宋体"/>
                <w:color w:val="000000"/>
                <w:sz w:val="21"/>
                <w:szCs w:val="21"/>
              </w:rPr>
            </w:pPr>
            <w:r>
              <w:rPr>
                <w:rFonts w:hint="eastAsia" w:ascii="宋体" w:hAnsi="宋体" w:cs="宋体"/>
                <w:color w:val="000000"/>
                <w:spacing w:val="-2"/>
                <w:sz w:val="21"/>
                <w:szCs w:val="21"/>
              </w:rPr>
              <w:t>（</w:t>
            </w:r>
            <w:r>
              <w:rPr>
                <w:rFonts w:hint="eastAsia" w:ascii="宋体" w:hAnsi="宋体" w:cs="宋体"/>
                <w:color w:val="000000"/>
                <w:spacing w:val="-2"/>
                <w:sz w:val="21"/>
                <w:szCs w:val="21"/>
                <w:lang w:val="en-US"/>
              </w:rPr>
              <w:t>2</w:t>
            </w:r>
            <w:r>
              <w:rPr>
                <w:rFonts w:hint="eastAsia" w:ascii="宋体" w:hAnsi="宋体" w:cs="宋体"/>
                <w:color w:val="000000"/>
                <w:spacing w:val="-2"/>
                <w:sz w:val="21"/>
                <w:szCs w:val="21"/>
              </w:rPr>
              <w:t>）</w:t>
            </w:r>
            <w:r>
              <w:rPr>
                <w:rFonts w:ascii="宋体" w:hAnsi="宋体" w:cs="宋体"/>
                <w:color w:val="000000"/>
                <w:spacing w:val="-2"/>
                <w:sz w:val="21"/>
                <w:szCs w:val="21"/>
              </w:rPr>
              <w:t>对</w:t>
            </w:r>
            <w:r>
              <w:rPr>
                <w:rFonts w:ascii="宋体" w:hAnsi="宋体" w:cs="宋体"/>
                <w:color w:val="000000"/>
                <w:spacing w:val="5"/>
                <w:sz w:val="21"/>
                <w:szCs w:val="21"/>
              </w:rPr>
              <w:t>协助工作组提供的评标工作用表和评标内容进行核查；</w:t>
            </w:r>
          </w:p>
          <w:p>
            <w:pPr>
              <w:pStyle w:val="10"/>
              <w:spacing w:line="360" w:lineRule="auto"/>
              <w:rPr>
                <w:rFonts w:ascii="宋体" w:hAnsi="宋体" w:cs="宋体"/>
                <w:color w:val="000000"/>
                <w:sz w:val="21"/>
                <w:szCs w:val="21"/>
              </w:rPr>
            </w:pPr>
            <w:r>
              <w:rPr>
                <w:rFonts w:hint="eastAsia" w:ascii="宋体" w:hAnsi="宋体" w:cs="宋体"/>
                <w:color w:val="000000"/>
                <w:spacing w:val="-12"/>
                <w:sz w:val="21"/>
                <w:szCs w:val="21"/>
              </w:rPr>
              <w:t>（</w:t>
            </w:r>
            <w:r>
              <w:rPr>
                <w:rFonts w:hint="eastAsia" w:ascii="宋体" w:hAnsi="宋体" w:cs="宋体"/>
                <w:color w:val="000000"/>
                <w:spacing w:val="-12"/>
                <w:sz w:val="21"/>
                <w:szCs w:val="21"/>
                <w:lang w:val="en-US"/>
              </w:rPr>
              <w:t>3</w:t>
            </w:r>
            <w:r>
              <w:rPr>
                <w:rFonts w:hint="eastAsia" w:ascii="宋体" w:hAnsi="宋体" w:cs="宋体"/>
                <w:color w:val="000000"/>
                <w:spacing w:val="-12"/>
                <w:sz w:val="21"/>
                <w:szCs w:val="21"/>
              </w:rPr>
              <w:t>）</w:t>
            </w:r>
            <w:r>
              <w:rPr>
                <w:rFonts w:ascii="宋体" w:hAnsi="宋体" w:cs="宋体"/>
                <w:color w:val="000000"/>
                <w:spacing w:val="-2"/>
                <w:sz w:val="21"/>
                <w:szCs w:val="21"/>
              </w:rPr>
              <w:t>按照以下 1.3 款程序进行各项评审工作。</w:t>
            </w:r>
          </w:p>
          <w:p>
            <w:pPr>
              <w:pStyle w:val="10"/>
              <w:spacing w:line="360" w:lineRule="auto"/>
              <w:rPr>
                <w:rFonts w:ascii="宋体" w:hAnsi="宋体" w:cs="宋体"/>
                <w:color w:val="000000"/>
                <w:sz w:val="21"/>
                <w:szCs w:val="21"/>
              </w:rPr>
            </w:pPr>
            <w:r>
              <w:rPr>
                <w:rFonts w:ascii="宋体" w:hAnsi="宋体" w:cs="宋体"/>
                <w:color w:val="000000"/>
                <w:sz w:val="21"/>
                <w:szCs w:val="21"/>
              </w:rPr>
              <w:t>1.3 评审工作程序</w:t>
            </w:r>
          </w:p>
          <w:p>
            <w:pPr>
              <w:pStyle w:val="10"/>
              <w:spacing w:line="360" w:lineRule="auto"/>
              <w:rPr>
                <w:rFonts w:ascii="宋体" w:hAnsi="宋体" w:cs="宋体"/>
                <w:color w:val="000000"/>
                <w:sz w:val="21"/>
                <w:szCs w:val="21"/>
              </w:rPr>
            </w:pPr>
            <w:r>
              <w:rPr>
                <w:rFonts w:ascii="宋体" w:hAnsi="宋体" w:cs="宋体"/>
                <w:color w:val="000000"/>
                <w:sz w:val="21"/>
                <w:szCs w:val="21"/>
              </w:rPr>
              <w:t>（一）第一个信封（商务及技术文件）：</w:t>
            </w:r>
          </w:p>
          <w:p>
            <w:pPr>
              <w:pStyle w:val="10"/>
              <w:spacing w:line="360" w:lineRule="auto"/>
              <w:rPr>
                <w:rFonts w:ascii="宋体" w:hAnsi="宋体" w:cs="宋体"/>
                <w:color w:val="000000"/>
                <w:sz w:val="21"/>
                <w:szCs w:val="21"/>
              </w:rPr>
            </w:pPr>
            <w:r>
              <w:rPr>
                <w:rFonts w:ascii="宋体" w:hAnsi="宋体" w:cs="宋体"/>
                <w:color w:val="000000"/>
                <w:sz w:val="21"/>
                <w:szCs w:val="21"/>
              </w:rPr>
              <w:t>1、初步评审：包括形式评审与响应性评审、资格评审；</w:t>
            </w:r>
          </w:p>
          <w:p>
            <w:pPr>
              <w:pStyle w:val="10"/>
              <w:spacing w:line="360" w:lineRule="auto"/>
              <w:rPr>
                <w:rFonts w:ascii="宋体" w:hAnsi="宋体" w:cs="宋体"/>
                <w:color w:val="000000"/>
                <w:sz w:val="21"/>
                <w:szCs w:val="21"/>
              </w:rPr>
            </w:pPr>
            <w:r>
              <w:rPr>
                <w:rFonts w:ascii="宋体" w:hAnsi="宋体" w:cs="宋体"/>
                <w:color w:val="000000"/>
                <w:sz w:val="21"/>
                <w:szCs w:val="21"/>
              </w:rPr>
              <w:t>2</w:t>
            </w:r>
            <w:r>
              <w:rPr>
                <w:rFonts w:ascii="宋体" w:hAnsi="宋体" w:cs="宋体"/>
                <w:color w:val="000000"/>
                <w:spacing w:val="-3"/>
                <w:sz w:val="21"/>
                <w:szCs w:val="21"/>
              </w:rPr>
              <w:t>、详细评审</w:t>
            </w:r>
            <w:r>
              <w:rPr>
                <w:rFonts w:ascii="宋体" w:hAnsi="宋体" w:cs="宋体"/>
                <w:color w:val="000000"/>
                <w:sz w:val="21"/>
                <w:szCs w:val="21"/>
              </w:rPr>
              <w:t>（评审打分</w:t>
            </w:r>
            <w:r>
              <w:rPr>
                <w:rFonts w:ascii="宋体" w:hAnsi="宋体" w:cs="宋体"/>
                <w:color w:val="000000"/>
                <w:spacing w:val="-3"/>
                <w:sz w:val="21"/>
                <w:szCs w:val="21"/>
              </w:rPr>
              <w:t>）：</w:t>
            </w:r>
            <w:r>
              <w:rPr>
                <w:rFonts w:ascii="宋体" w:hAnsi="宋体" w:cs="宋体"/>
                <w:color w:val="000000"/>
                <w:sz w:val="21"/>
                <w:szCs w:val="21"/>
              </w:rPr>
              <w:t>评标委员会首先对通过第一个信封</w:t>
            </w:r>
            <w:r>
              <w:rPr>
                <w:rFonts w:ascii="宋体" w:hAnsi="宋体" w:cs="宋体"/>
                <w:color w:val="000000"/>
                <w:spacing w:val="-1"/>
                <w:sz w:val="21"/>
                <w:szCs w:val="21"/>
              </w:rPr>
              <w:t>初步评审的投标文件进行详细评审，对投标人的施工组织设计、</w:t>
            </w:r>
            <w:r>
              <w:rPr>
                <w:rFonts w:ascii="宋体" w:hAnsi="宋体" w:cs="宋体"/>
                <w:color w:val="000000"/>
                <w:sz w:val="21"/>
                <w:szCs w:val="21"/>
              </w:rPr>
              <w:t>主要人员、其他因素等分别评审打分，并按照综合得分由高到低排序，排名在招标文件规定数量</w:t>
            </w:r>
            <w:r>
              <w:rPr>
                <w:rFonts w:ascii="宋体" w:hAnsi="宋体" w:cs="宋体"/>
                <w:color w:val="000000"/>
                <w:sz w:val="21"/>
                <w:szCs w:val="21"/>
                <w:u w:val="single"/>
              </w:rPr>
              <w:t>前 5 名（不少于3名但不足5名的，按</w:t>
            </w:r>
            <w:r>
              <w:rPr>
                <w:rFonts w:ascii="宋体" w:hAnsi="宋体" w:cs="宋体"/>
                <w:color w:val="000000"/>
                <w:spacing w:val="-6"/>
                <w:sz w:val="21"/>
                <w:szCs w:val="21"/>
                <w:u w:val="single"/>
              </w:rPr>
              <w:t>全部实际数量</w:t>
            </w:r>
            <w:r>
              <w:rPr>
                <w:rFonts w:ascii="宋体" w:hAnsi="宋体" w:cs="宋体"/>
                <w:color w:val="000000"/>
                <w:spacing w:val="-34"/>
                <w:sz w:val="21"/>
                <w:szCs w:val="21"/>
                <w:u w:val="single"/>
              </w:rPr>
              <w:t>）</w:t>
            </w:r>
            <w:r>
              <w:rPr>
                <w:rFonts w:ascii="宋体" w:hAnsi="宋体" w:cs="宋体"/>
                <w:color w:val="000000"/>
                <w:spacing w:val="-8"/>
                <w:sz w:val="21"/>
                <w:szCs w:val="21"/>
              </w:rPr>
              <w:t>的投标人，其投标文件第一个信封</w:t>
            </w:r>
            <w:r>
              <w:rPr>
                <w:rFonts w:ascii="宋体" w:hAnsi="宋体" w:cs="宋体"/>
                <w:color w:val="000000"/>
                <w:sz w:val="21"/>
                <w:szCs w:val="21"/>
              </w:rPr>
              <w:t>（商务及技术文件）通过详细评审。</w:t>
            </w:r>
          </w:p>
          <w:p>
            <w:pPr>
              <w:pStyle w:val="10"/>
              <w:spacing w:line="360" w:lineRule="auto"/>
              <w:rPr>
                <w:rFonts w:ascii="宋体" w:hAnsi="宋体" w:cs="宋体"/>
                <w:color w:val="000000"/>
                <w:sz w:val="21"/>
                <w:szCs w:val="21"/>
              </w:rPr>
            </w:pPr>
            <w:r>
              <w:rPr>
                <w:rFonts w:ascii="宋体" w:hAnsi="宋体" w:cs="宋体"/>
                <w:color w:val="000000"/>
                <w:sz w:val="21"/>
                <w:szCs w:val="21"/>
              </w:rPr>
              <w:t>（二）第二个信封（报价文件）：</w:t>
            </w:r>
          </w:p>
          <w:p>
            <w:pPr>
              <w:pStyle w:val="10"/>
              <w:spacing w:line="360" w:lineRule="auto"/>
              <w:rPr>
                <w:rFonts w:ascii="宋体" w:hAnsi="宋体" w:cs="宋体"/>
                <w:color w:val="000000"/>
                <w:sz w:val="21"/>
                <w:szCs w:val="21"/>
              </w:rPr>
            </w:pPr>
            <w:r>
              <w:rPr>
                <w:rFonts w:ascii="宋体" w:hAnsi="宋体" w:cs="宋体"/>
                <w:color w:val="000000"/>
                <w:sz w:val="21"/>
                <w:szCs w:val="21"/>
              </w:rPr>
              <w:t>1、初步评审：</w:t>
            </w:r>
          </w:p>
          <w:p>
            <w:pPr>
              <w:pStyle w:val="10"/>
              <w:tabs>
                <w:tab w:val="left" w:pos="710"/>
              </w:tabs>
              <w:spacing w:line="360" w:lineRule="auto"/>
              <w:jc w:val="both"/>
              <w:rPr>
                <w:rFonts w:ascii="宋体" w:hAnsi="宋体" w:cs="宋体"/>
                <w:color w:val="000000"/>
                <w:sz w:val="21"/>
                <w:szCs w:val="21"/>
              </w:rPr>
            </w:pPr>
            <w:r>
              <w:rPr>
                <w:rFonts w:hint="eastAsia" w:ascii="宋体" w:hAnsi="宋体" w:cs="宋体"/>
                <w:color w:val="000000"/>
                <w:spacing w:val="-1"/>
                <w:sz w:val="21"/>
                <w:szCs w:val="21"/>
              </w:rPr>
              <w:t>（</w:t>
            </w:r>
            <w:r>
              <w:rPr>
                <w:rFonts w:hint="eastAsia" w:ascii="宋体" w:hAnsi="宋体" w:cs="宋体"/>
                <w:color w:val="000000"/>
                <w:spacing w:val="-1"/>
                <w:sz w:val="21"/>
                <w:szCs w:val="21"/>
                <w:lang w:val="en-US"/>
              </w:rPr>
              <w:t>1</w:t>
            </w:r>
            <w:r>
              <w:rPr>
                <w:rFonts w:hint="eastAsia" w:ascii="宋体" w:hAnsi="宋体" w:cs="宋体"/>
                <w:color w:val="000000"/>
                <w:spacing w:val="-1"/>
                <w:sz w:val="21"/>
                <w:szCs w:val="21"/>
              </w:rPr>
              <w:t>）</w:t>
            </w:r>
            <w:r>
              <w:rPr>
                <w:rFonts w:ascii="宋体" w:hAnsi="宋体" w:cs="宋体"/>
                <w:color w:val="000000"/>
                <w:spacing w:val="-1"/>
                <w:sz w:val="21"/>
                <w:szCs w:val="21"/>
              </w:rPr>
              <w:t>只有对投标文件第一个信封通过详细评审的投标人的报价</w:t>
            </w:r>
            <w:r>
              <w:rPr>
                <w:rFonts w:ascii="宋体" w:hAnsi="宋体" w:cs="宋体"/>
                <w:color w:val="000000"/>
                <w:sz w:val="21"/>
                <w:szCs w:val="21"/>
              </w:rPr>
              <w:t>文件才能继续参加第二个信封报价文件的形式评审与响应性评审；</w:t>
            </w:r>
          </w:p>
          <w:p>
            <w:pPr>
              <w:pStyle w:val="10"/>
              <w:tabs>
                <w:tab w:val="left" w:pos="710"/>
              </w:tabs>
              <w:spacing w:line="360" w:lineRule="auto"/>
              <w:rPr>
                <w:rFonts w:ascii="宋体" w:hAnsi="宋体" w:cs="宋体"/>
                <w:color w:val="000000"/>
                <w:sz w:val="21"/>
                <w:szCs w:val="21"/>
              </w:rPr>
            </w:pPr>
            <w:r>
              <w:rPr>
                <w:rFonts w:hint="eastAsia" w:ascii="宋体" w:hAnsi="宋体" w:cs="宋体"/>
                <w:color w:val="000000"/>
                <w:sz w:val="21"/>
                <w:szCs w:val="21"/>
              </w:rPr>
              <w:t>（</w:t>
            </w:r>
            <w:r>
              <w:rPr>
                <w:rFonts w:hint="eastAsia" w:ascii="宋体" w:hAnsi="宋体" w:cs="宋体"/>
                <w:color w:val="000000"/>
                <w:sz w:val="21"/>
                <w:szCs w:val="21"/>
                <w:lang w:val="en-US"/>
              </w:rPr>
              <w:t>2</w:t>
            </w:r>
            <w:r>
              <w:rPr>
                <w:rFonts w:hint="eastAsia" w:ascii="宋体" w:hAnsi="宋体" w:cs="宋体"/>
                <w:color w:val="000000"/>
                <w:sz w:val="21"/>
                <w:szCs w:val="21"/>
              </w:rPr>
              <w:t>）</w:t>
            </w:r>
            <w:r>
              <w:rPr>
                <w:rFonts w:ascii="宋体" w:hAnsi="宋体" w:cs="宋体"/>
                <w:color w:val="000000"/>
                <w:sz w:val="21"/>
                <w:szCs w:val="21"/>
              </w:rPr>
              <w:t>报价算术性修正(如采用固化工程量清单，本步骤省略)。</w:t>
            </w:r>
          </w:p>
          <w:p>
            <w:pPr>
              <w:pStyle w:val="10"/>
              <w:spacing w:line="360" w:lineRule="auto"/>
              <w:rPr>
                <w:rFonts w:ascii="宋体" w:hAnsi="宋体" w:cs="宋体"/>
                <w:color w:val="000000"/>
                <w:sz w:val="21"/>
                <w:szCs w:val="21"/>
              </w:rPr>
            </w:pPr>
            <w:r>
              <w:rPr>
                <w:rFonts w:ascii="宋体" w:hAnsi="宋体" w:cs="宋体"/>
                <w:color w:val="000000"/>
                <w:sz w:val="21"/>
                <w:szCs w:val="21"/>
              </w:rPr>
              <w:t>2、详细评审：计算评标价。</w:t>
            </w:r>
          </w:p>
          <w:p>
            <w:pPr>
              <w:pStyle w:val="10"/>
              <w:spacing w:line="360" w:lineRule="auto"/>
              <w:rPr>
                <w:rFonts w:ascii="宋体" w:hAnsi="宋体" w:cs="宋体"/>
                <w:color w:val="000000"/>
                <w:sz w:val="21"/>
                <w:szCs w:val="21"/>
              </w:rPr>
            </w:pPr>
            <w:r>
              <w:rPr>
                <w:rFonts w:ascii="宋体" w:hAnsi="宋体" w:cs="宋体"/>
                <w:color w:val="000000"/>
                <w:sz w:val="21"/>
                <w:szCs w:val="21"/>
              </w:rPr>
              <w:t>（三）投标文件相关信息的核查。</w:t>
            </w:r>
          </w:p>
          <w:p>
            <w:pPr>
              <w:pStyle w:val="10"/>
              <w:spacing w:line="360" w:lineRule="auto"/>
              <w:rPr>
                <w:rFonts w:ascii="宋体" w:hAnsi="宋体" w:cs="宋体"/>
                <w:color w:val="000000"/>
                <w:sz w:val="21"/>
                <w:szCs w:val="21"/>
              </w:rPr>
            </w:pPr>
            <w:r>
              <w:rPr>
                <w:rFonts w:ascii="宋体" w:hAnsi="宋体" w:cs="宋体"/>
                <w:color w:val="000000"/>
                <w:sz w:val="21"/>
                <w:szCs w:val="21"/>
              </w:rPr>
              <w:t>（四）投标文件的澄清和说明（如有）</w:t>
            </w:r>
          </w:p>
          <w:p>
            <w:pPr>
              <w:pStyle w:val="10"/>
              <w:spacing w:line="360" w:lineRule="auto"/>
              <w:rPr>
                <w:rFonts w:ascii="宋体" w:hAnsi="宋体" w:cs="宋体"/>
                <w:color w:val="000000"/>
                <w:sz w:val="21"/>
                <w:szCs w:val="21"/>
              </w:rPr>
            </w:pPr>
            <w:r>
              <w:rPr>
                <w:rFonts w:ascii="宋体" w:hAnsi="宋体" w:cs="宋体"/>
                <w:color w:val="000000"/>
                <w:sz w:val="21"/>
                <w:szCs w:val="21"/>
              </w:rPr>
              <w:t>（五）按评标办法规定按照第二个信封的评标价由低到高的顺序推荐中标候选人，编写评标报告。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1069" w:type="dxa"/>
            <w:gridSpan w:val="2"/>
            <w:tcBorders>
              <w:right w:val="single" w:color="auto" w:sz="4" w:space="0"/>
            </w:tcBorders>
            <w:noWrap w:val="0"/>
            <w:vAlign w:val="center"/>
          </w:tcPr>
          <w:p>
            <w:pPr>
              <w:pStyle w:val="10"/>
              <w:spacing w:line="360" w:lineRule="auto"/>
              <w:jc w:val="center"/>
              <w:rPr>
                <w:rFonts w:ascii="宋体" w:hAnsi="宋体"/>
                <w:b/>
                <w:bCs/>
                <w:color w:val="000000"/>
                <w:sz w:val="21"/>
                <w:lang w:val="en-US"/>
              </w:rPr>
            </w:pPr>
            <w:r>
              <w:rPr>
                <w:rFonts w:hint="eastAsia" w:ascii="宋体" w:hAnsi="宋体"/>
                <w:b/>
                <w:bCs/>
                <w:color w:val="000000"/>
                <w:sz w:val="21"/>
                <w:lang w:val="en-US"/>
              </w:rPr>
              <w:t>3.2.2</w:t>
            </w:r>
          </w:p>
        </w:tc>
        <w:tc>
          <w:tcPr>
            <w:tcW w:w="8741" w:type="dxa"/>
            <w:gridSpan w:val="6"/>
            <w:tcBorders>
              <w:left w:val="single" w:color="auto" w:sz="4" w:space="0"/>
            </w:tcBorders>
            <w:noWrap w:val="0"/>
            <w:vAlign w:val="top"/>
          </w:tcPr>
          <w:p>
            <w:pPr>
              <w:widowControl/>
              <w:spacing w:line="400" w:lineRule="exact"/>
              <w:rPr>
                <w:rFonts w:hint="eastAsia" w:ascii="宋体" w:hAnsi="宋体" w:cs="宋体"/>
                <w:color w:val="000000"/>
                <w:szCs w:val="21"/>
                <w:lang w:bidi="ar"/>
              </w:rPr>
            </w:pPr>
            <w:r>
              <w:rPr>
                <w:rFonts w:hint="eastAsia" w:ascii="宋体" w:hAnsi="宋体" w:cs="宋体"/>
                <w:color w:val="000000"/>
                <w:szCs w:val="21"/>
                <w:lang w:bidi="ar"/>
              </w:rPr>
              <w:t>将评标办法原文第 3.2.2 项修改如下：</w:t>
            </w:r>
          </w:p>
          <w:p>
            <w:pPr>
              <w:snapToGrid w:val="0"/>
              <w:spacing w:line="360" w:lineRule="auto"/>
              <w:ind w:firstLine="210" w:firstLineChars="100"/>
              <w:jc w:val="left"/>
              <w:rPr>
                <w:rFonts w:hint="eastAsia" w:ascii="宋体" w:hAnsi="宋体" w:cs="宋体"/>
                <w:color w:val="000000"/>
                <w:szCs w:val="21"/>
              </w:rPr>
            </w:pPr>
            <w:r>
              <w:rPr>
                <w:rFonts w:hint="eastAsia" w:ascii="宋体" w:hAnsi="宋体" w:cs="宋体"/>
                <w:color w:val="000000"/>
                <w:szCs w:val="21"/>
                <w:lang w:bidi="ar"/>
              </w:rPr>
              <w:t>投标人的商务和技术得分分值计算保留小数点后三位，小数点后第四位“四舍五入”。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1069" w:type="dxa"/>
            <w:gridSpan w:val="2"/>
            <w:tcBorders>
              <w:right w:val="single" w:color="auto" w:sz="4" w:space="0"/>
            </w:tcBorders>
            <w:noWrap w:val="0"/>
            <w:vAlign w:val="center"/>
          </w:tcPr>
          <w:p>
            <w:pPr>
              <w:pStyle w:val="10"/>
              <w:spacing w:line="360" w:lineRule="auto"/>
              <w:jc w:val="center"/>
              <w:rPr>
                <w:rFonts w:ascii="宋体" w:hAnsi="宋体"/>
                <w:b/>
                <w:bCs/>
                <w:color w:val="000000"/>
                <w:sz w:val="21"/>
              </w:rPr>
            </w:pPr>
            <w:r>
              <w:rPr>
                <w:rFonts w:ascii="宋体" w:hAnsi="宋体"/>
                <w:b/>
                <w:bCs/>
                <w:color w:val="000000"/>
                <w:sz w:val="21"/>
              </w:rPr>
              <w:t>3.2.3</w:t>
            </w:r>
          </w:p>
        </w:tc>
        <w:tc>
          <w:tcPr>
            <w:tcW w:w="8741" w:type="dxa"/>
            <w:gridSpan w:val="6"/>
            <w:tcBorders>
              <w:left w:val="single" w:color="auto" w:sz="4" w:space="0"/>
            </w:tcBorders>
            <w:noWrap w:val="0"/>
            <w:vAlign w:val="top"/>
          </w:tcPr>
          <w:p>
            <w:pPr>
              <w:snapToGrid w:val="0"/>
              <w:spacing w:line="360" w:lineRule="auto"/>
              <w:ind w:firstLine="210" w:firstLineChars="100"/>
              <w:jc w:val="left"/>
              <w:rPr>
                <w:rFonts w:hint="eastAsia" w:ascii="宋体" w:hAnsi="宋体" w:cs="宋体"/>
                <w:color w:val="000000"/>
                <w:szCs w:val="21"/>
                <w:lang w:val="zh-CN"/>
              </w:rPr>
            </w:pPr>
            <w:r>
              <w:rPr>
                <w:rFonts w:hint="eastAsia" w:ascii="宋体" w:hAnsi="宋体" w:cs="宋体"/>
                <w:color w:val="000000"/>
                <w:szCs w:val="21"/>
                <w:lang w:val="zh-CN"/>
              </w:rPr>
              <w:t>将评标办法范本原文第3.2.3项细化如下：</w:t>
            </w:r>
          </w:p>
          <w:p>
            <w:pPr>
              <w:snapToGrid w:val="0"/>
              <w:spacing w:line="360" w:lineRule="auto"/>
              <w:ind w:firstLine="210" w:firstLineChars="100"/>
              <w:jc w:val="left"/>
              <w:rPr>
                <w:rFonts w:hint="eastAsia" w:ascii="宋体" w:hAnsi="宋体" w:cs="宋体"/>
                <w:color w:val="000000"/>
                <w:szCs w:val="21"/>
              </w:rPr>
            </w:pPr>
            <w:r>
              <w:rPr>
                <w:rFonts w:hint="eastAsia" w:ascii="宋体" w:hAnsi="宋体" w:cs="宋体"/>
                <w:color w:val="000000"/>
                <w:szCs w:val="21"/>
              </w:rPr>
              <w:t xml:space="preserve">投标人的商务和技术得分=A+B+C。 </w:t>
            </w:r>
          </w:p>
          <w:p>
            <w:pPr>
              <w:snapToGrid w:val="0"/>
              <w:spacing w:line="360" w:lineRule="auto"/>
              <w:ind w:firstLine="210" w:firstLineChars="100"/>
              <w:jc w:val="left"/>
              <w:rPr>
                <w:rFonts w:ascii="宋体" w:hAnsi="宋体" w:cs="宋体"/>
                <w:color w:val="000000"/>
                <w:szCs w:val="21"/>
              </w:rPr>
            </w:pPr>
            <w:r>
              <w:rPr>
                <w:rFonts w:hint="eastAsia" w:ascii="宋体" w:hAnsi="宋体" w:cs="宋体"/>
                <w:color w:val="000000"/>
                <w:szCs w:val="21"/>
              </w:rPr>
              <w:t>除履约信誉、技术能力得分外，投标文件各评分因素细分项得分均不应低于其权重分的60%，评分低于权重分值60%的，评标委员会成员应当在评标报告中作出说明。计算投标人技术得分时:对各评分因素细分项中取消一个最高、一个最低分后计算算术平均值的和为投标人的最终技术得分，平均值计算保留小数点后三位，小数点后第四位“四舍五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3" w:hRule="atLeast"/>
        </w:trPr>
        <w:tc>
          <w:tcPr>
            <w:tcW w:w="1069" w:type="dxa"/>
            <w:gridSpan w:val="2"/>
            <w:tcBorders>
              <w:right w:val="single" w:color="auto" w:sz="4" w:space="0"/>
            </w:tcBorders>
            <w:noWrap w:val="0"/>
            <w:vAlign w:val="center"/>
          </w:tcPr>
          <w:p>
            <w:pPr>
              <w:pStyle w:val="10"/>
              <w:spacing w:line="360" w:lineRule="auto"/>
              <w:jc w:val="center"/>
              <w:rPr>
                <w:rFonts w:ascii="宋体" w:hAnsi="宋体"/>
                <w:b/>
                <w:bCs/>
                <w:color w:val="000000"/>
                <w:sz w:val="21"/>
              </w:rPr>
            </w:pPr>
            <w:r>
              <w:rPr>
                <w:rFonts w:ascii="宋体" w:hAnsi="宋体"/>
                <w:b/>
                <w:bCs/>
                <w:color w:val="000000"/>
                <w:sz w:val="21"/>
              </w:rPr>
              <w:t>3.6</w:t>
            </w:r>
          </w:p>
        </w:tc>
        <w:tc>
          <w:tcPr>
            <w:tcW w:w="8741" w:type="dxa"/>
            <w:gridSpan w:val="6"/>
            <w:tcBorders>
              <w:left w:val="single" w:color="auto" w:sz="4" w:space="0"/>
            </w:tcBorders>
            <w:noWrap w:val="0"/>
            <w:vAlign w:val="top"/>
          </w:tcPr>
          <w:p>
            <w:pPr>
              <w:widowControl/>
              <w:spacing w:line="400" w:lineRule="exact"/>
              <w:rPr>
                <w:rFonts w:hint="eastAsia" w:ascii="宋体" w:hAnsi="宋体" w:cs="宋体"/>
                <w:color w:val="000000"/>
                <w:szCs w:val="21"/>
                <w:lang w:bidi="ar"/>
              </w:rPr>
            </w:pPr>
            <w:r>
              <w:rPr>
                <w:rFonts w:hint="eastAsia" w:ascii="宋体" w:hAnsi="宋体" w:cs="宋体"/>
                <w:color w:val="000000"/>
                <w:szCs w:val="21"/>
                <w:lang w:bidi="ar"/>
              </w:rPr>
              <w:t xml:space="preserve"> 3.6.2项（2）目末增加以下条款：</w:t>
            </w:r>
          </w:p>
          <w:p>
            <w:pPr>
              <w:widowControl/>
              <w:spacing w:line="400" w:lineRule="exact"/>
              <w:rPr>
                <w:rFonts w:hint="eastAsia" w:ascii="宋体" w:hAnsi="宋体" w:cs="宋体"/>
                <w:color w:val="000000"/>
                <w:szCs w:val="21"/>
                <w:lang w:bidi="ar"/>
              </w:rPr>
            </w:pPr>
            <w:r>
              <w:rPr>
                <w:rFonts w:hint="eastAsia" w:ascii="宋体" w:hAnsi="宋体" w:cs="宋体"/>
                <w:color w:val="000000"/>
                <w:szCs w:val="21"/>
                <w:lang w:bidi="ar"/>
              </w:rPr>
              <w:t xml:space="preserve">g.当一家以上投标人评标价相同时，若各投标人工程量清单细目单价也相同，视为串标（一个标段仅一工作细目报价的除外）。 </w:t>
            </w:r>
          </w:p>
          <w:p>
            <w:pPr>
              <w:widowControl/>
              <w:spacing w:line="400" w:lineRule="exact"/>
              <w:rPr>
                <w:rFonts w:hint="eastAsia" w:ascii="宋体" w:hAnsi="宋体" w:cs="宋体"/>
                <w:color w:val="000000"/>
                <w:szCs w:val="21"/>
                <w:lang w:bidi="ar"/>
              </w:rPr>
            </w:pPr>
            <w:r>
              <w:rPr>
                <w:rFonts w:hint="eastAsia" w:ascii="宋体" w:hAnsi="宋体" w:cs="宋体"/>
                <w:color w:val="000000"/>
                <w:szCs w:val="21"/>
                <w:lang w:bidi="ar"/>
              </w:rPr>
              <w:t xml:space="preserve">h.广东省实施《中华人民共和国招标投标法》办法第十六条规定的情形。 </w:t>
            </w:r>
          </w:p>
          <w:p>
            <w:pPr>
              <w:widowControl/>
              <w:spacing w:line="400" w:lineRule="exact"/>
              <w:rPr>
                <w:rFonts w:hint="eastAsia" w:ascii="宋体" w:hAnsi="宋体" w:cs="宋体"/>
                <w:color w:val="000000"/>
                <w:szCs w:val="21"/>
                <w:lang w:bidi="ar"/>
              </w:rPr>
            </w:pPr>
            <w:r>
              <w:rPr>
                <w:rFonts w:hint="eastAsia" w:ascii="宋体" w:hAnsi="宋体" w:cs="宋体"/>
                <w:color w:val="000000"/>
                <w:szCs w:val="21"/>
                <w:lang w:bidi="ar"/>
              </w:rPr>
              <w:t xml:space="preserve">增加3.6.3项： </w:t>
            </w:r>
          </w:p>
          <w:p>
            <w:pPr>
              <w:widowControl/>
              <w:spacing w:line="400" w:lineRule="exact"/>
              <w:rPr>
                <w:rFonts w:ascii="宋体" w:hAnsi="宋体" w:cs="宋体"/>
                <w:color w:val="000000"/>
                <w:szCs w:val="21"/>
              </w:rPr>
            </w:pPr>
            <w:r>
              <w:rPr>
                <w:rFonts w:hint="eastAsia" w:ascii="宋体" w:hAnsi="宋体" w:cs="宋体"/>
                <w:color w:val="000000"/>
                <w:szCs w:val="21"/>
                <w:lang w:bidi="ar"/>
              </w:rPr>
              <w:t>3.6.3依法必须进行招标的项目，除第一中标候选人或者中标人，其他投标人存在串通投标、弄虚作假、行贿情形且在评标过程中未被发现的，视为对中标结果没有造成实质性影响，招标人可以依法继续开展招标活动。投标人的违法行为由行政监督部门依法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3" w:hRule="atLeast"/>
        </w:trPr>
        <w:tc>
          <w:tcPr>
            <w:tcW w:w="1069" w:type="dxa"/>
            <w:gridSpan w:val="2"/>
            <w:tcBorders>
              <w:right w:val="single" w:color="auto" w:sz="4" w:space="0"/>
            </w:tcBorders>
            <w:noWrap w:val="0"/>
            <w:vAlign w:val="center"/>
          </w:tcPr>
          <w:p>
            <w:pPr>
              <w:tabs>
                <w:tab w:val="left" w:pos="2422"/>
              </w:tabs>
              <w:spacing w:before="48" w:beforeLines="20" w:after="48" w:afterLines="20"/>
              <w:jc w:val="center"/>
              <w:rPr>
                <w:rFonts w:ascii="宋体" w:hAnsi="宋体" w:cs="宋体"/>
                <w:color w:val="000000"/>
                <w:szCs w:val="21"/>
              </w:rPr>
            </w:pPr>
            <w:r>
              <w:rPr>
                <w:rFonts w:ascii="宋体" w:hAnsi="宋体" w:cs="宋体"/>
                <w:color w:val="000000"/>
                <w:szCs w:val="21"/>
              </w:rPr>
              <w:t>3.9</w:t>
            </w:r>
          </w:p>
        </w:tc>
        <w:tc>
          <w:tcPr>
            <w:tcW w:w="8741" w:type="dxa"/>
            <w:gridSpan w:val="6"/>
            <w:tcBorders>
              <w:left w:val="single" w:color="auto" w:sz="4" w:space="0"/>
            </w:tcBorders>
            <w:noWrap w:val="0"/>
            <w:vAlign w:val="center"/>
          </w:tcPr>
          <w:p>
            <w:pPr>
              <w:widowControl/>
              <w:spacing w:line="400" w:lineRule="exact"/>
              <w:rPr>
                <w:rFonts w:hint="eastAsia" w:ascii="宋体" w:hAnsi="宋体" w:cs="宋体"/>
                <w:color w:val="000000"/>
                <w:szCs w:val="21"/>
                <w:lang w:bidi="ar"/>
              </w:rPr>
            </w:pPr>
            <w:r>
              <w:rPr>
                <w:rFonts w:hint="eastAsia" w:ascii="宋体" w:hAnsi="宋体" w:cs="宋体"/>
                <w:color w:val="000000"/>
                <w:szCs w:val="21"/>
                <w:lang w:bidi="ar"/>
              </w:rPr>
              <w:t>增加 3.9.3-3.9.7 项：</w:t>
            </w:r>
          </w:p>
          <w:p>
            <w:pPr>
              <w:widowControl/>
              <w:spacing w:line="400" w:lineRule="exact"/>
              <w:rPr>
                <w:rFonts w:hint="eastAsia" w:ascii="宋体" w:hAnsi="宋体" w:cs="宋体"/>
                <w:color w:val="000000"/>
                <w:szCs w:val="21"/>
                <w:lang w:bidi="ar"/>
              </w:rPr>
            </w:pPr>
            <w:r>
              <w:rPr>
                <w:rFonts w:hint="eastAsia" w:ascii="宋体" w:hAnsi="宋体" w:cs="宋体"/>
                <w:color w:val="000000"/>
                <w:szCs w:val="21"/>
                <w:lang w:bidi="ar"/>
              </w:rPr>
              <w:t>3.9.3 推荐中标候选人方式：（1）已被推荐为某一标段的第一中标候选人，自动失去其在本次招标中其他标段的中标候选人资格。（2）按标段最高投标限价由高到低顺序依次选定各标段中标候选人，如果出现投标人在多个标段都排名第一，将确定该投标人为最高投标限价较高的标段的第一中标候选人，同时该投标人自动失去在本次招标中其他标段的中标候选人资格，其他标段的综合排名名次高者自动上升为中标候选人，以此类推。</w:t>
            </w:r>
          </w:p>
          <w:p>
            <w:pPr>
              <w:widowControl/>
              <w:spacing w:line="400" w:lineRule="exact"/>
              <w:rPr>
                <w:rFonts w:hint="eastAsia" w:ascii="宋体" w:hAnsi="宋体" w:cs="宋体"/>
                <w:color w:val="000000"/>
                <w:szCs w:val="21"/>
                <w:lang w:bidi="ar"/>
              </w:rPr>
            </w:pPr>
            <w:r>
              <w:rPr>
                <w:rFonts w:hint="eastAsia" w:ascii="宋体" w:hAnsi="宋体" w:cs="宋体"/>
                <w:color w:val="000000"/>
                <w:szCs w:val="21"/>
                <w:lang w:bidi="ar"/>
              </w:rPr>
              <w:t xml:space="preserve">3.9.4 通过第一信封商务及技术文件评审的投标人少于3个的，评标委员会应否决全部投标。 </w:t>
            </w:r>
          </w:p>
          <w:p>
            <w:pPr>
              <w:widowControl/>
              <w:spacing w:line="400" w:lineRule="exact"/>
              <w:rPr>
                <w:rFonts w:hint="eastAsia" w:ascii="宋体" w:hAnsi="宋体" w:cs="宋体"/>
                <w:color w:val="000000"/>
                <w:szCs w:val="21"/>
                <w:lang w:bidi="ar"/>
              </w:rPr>
            </w:pPr>
            <w:r>
              <w:rPr>
                <w:rFonts w:hint="eastAsia" w:ascii="宋体" w:hAnsi="宋体" w:cs="宋体"/>
                <w:color w:val="000000"/>
                <w:szCs w:val="21"/>
                <w:lang w:bidi="ar"/>
              </w:rPr>
              <w:t xml:space="preserve">3.9.5 通过第一信封商务及技术文件评审的投标人在3个及以上的，招标人应当按照招标文件规定的程序进行第二信封报价文件开标；在对报价文件进行评审后，有效投标不足3个的，评标委员会可以否决全部投标。未否决全部投标的，评标委员会应当在评标报告中阐明理由并推荐中标候选人。 </w:t>
            </w:r>
          </w:p>
          <w:p>
            <w:pPr>
              <w:widowControl/>
              <w:spacing w:line="400" w:lineRule="exact"/>
              <w:rPr>
                <w:rFonts w:hint="eastAsia" w:ascii="宋体" w:hAnsi="宋体" w:cs="宋体"/>
                <w:color w:val="000000"/>
                <w:szCs w:val="21"/>
                <w:lang w:bidi="ar"/>
              </w:rPr>
            </w:pPr>
            <w:r>
              <w:rPr>
                <w:rFonts w:hint="eastAsia" w:ascii="宋体" w:hAnsi="宋体" w:cs="宋体"/>
                <w:color w:val="000000"/>
                <w:szCs w:val="21"/>
                <w:lang w:bidi="ar"/>
              </w:rPr>
              <w:t>3.9.6 如果发生无法确定推荐中标候选人的其它意外情况，评标委员会可建议招标人重新招标。</w:t>
            </w:r>
          </w:p>
          <w:p>
            <w:pPr>
              <w:widowControl/>
              <w:spacing w:line="400" w:lineRule="exact"/>
              <w:rPr>
                <w:rFonts w:hint="eastAsia" w:ascii="宋体" w:hAnsi="宋体" w:cs="宋体"/>
                <w:color w:val="000000"/>
                <w:szCs w:val="21"/>
                <w:lang w:bidi="ar"/>
              </w:rPr>
            </w:pPr>
            <w:r>
              <w:rPr>
                <w:rFonts w:hint="eastAsia" w:ascii="宋体" w:hAnsi="宋体" w:cs="宋体"/>
                <w:color w:val="000000"/>
                <w:szCs w:val="21"/>
                <w:lang w:bidi="ar"/>
              </w:rPr>
              <w:t>3.9.7 本招标文件规定的否决投标条款包含在以下条款：</w:t>
            </w:r>
          </w:p>
          <w:p>
            <w:pPr>
              <w:widowControl/>
              <w:spacing w:line="400" w:lineRule="exact"/>
              <w:rPr>
                <w:rFonts w:hint="eastAsia" w:ascii="宋体" w:hAnsi="宋体" w:cs="宋体"/>
                <w:color w:val="000000"/>
                <w:szCs w:val="21"/>
                <w:lang w:bidi="ar"/>
              </w:rPr>
            </w:pPr>
            <w:r>
              <w:rPr>
                <w:rFonts w:hint="eastAsia" w:ascii="宋体" w:hAnsi="宋体" w:cs="宋体"/>
                <w:color w:val="000000"/>
                <w:szCs w:val="21"/>
                <w:lang w:bidi="ar"/>
              </w:rPr>
              <w:t xml:space="preserve">（1）招标公告第 3 点 投标人资格要求； </w:t>
            </w:r>
          </w:p>
          <w:p>
            <w:pPr>
              <w:widowControl/>
              <w:spacing w:line="400" w:lineRule="exact"/>
              <w:rPr>
                <w:rFonts w:hint="eastAsia" w:ascii="宋体" w:hAnsi="宋体" w:cs="宋体"/>
                <w:color w:val="000000"/>
                <w:szCs w:val="21"/>
                <w:lang w:bidi="ar"/>
              </w:rPr>
            </w:pPr>
            <w:r>
              <w:rPr>
                <w:rFonts w:hint="eastAsia" w:ascii="宋体" w:hAnsi="宋体" w:cs="宋体"/>
                <w:color w:val="000000"/>
                <w:szCs w:val="21"/>
                <w:lang w:bidi="ar"/>
              </w:rPr>
              <w:t xml:space="preserve">（2）投标人须知 1.4.3 项、1.4.4 项、1.4.5 项、1.12.2 项、、3.5.11 项； </w:t>
            </w:r>
          </w:p>
          <w:p>
            <w:pPr>
              <w:spacing w:before="48" w:beforeLines="20" w:after="48" w:afterLines="20"/>
              <w:rPr>
                <w:rFonts w:ascii="宋体" w:hAnsi="宋体" w:cs="宋体"/>
                <w:color w:val="000000"/>
                <w:szCs w:val="21"/>
              </w:rPr>
            </w:pPr>
            <w:r>
              <w:rPr>
                <w:rFonts w:hint="eastAsia" w:ascii="宋体" w:hAnsi="宋体" w:cs="宋体"/>
                <w:color w:val="000000"/>
                <w:szCs w:val="21"/>
                <w:lang w:bidi="ar"/>
              </w:rPr>
              <w:t>（3）本评标办法的否决条款。</w:t>
            </w:r>
          </w:p>
        </w:tc>
      </w:tr>
    </w:tbl>
    <w:p/>
    <w:sectPr>
      <w:pgSz w:w="11906" w:h="16838"/>
      <w:pgMar w:top="1440" w:right="1066"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
    <w:altName w:val="PMingLiU-ExtB"/>
    <w:panose1 w:val="02010609000101010101"/>
    <w:charset w:val="88"/>
    <w:family w:val="modern"/>
    <w:pitch w:val="default"/>
    <w:sig w:usb0="00000000" w:usb1="00000000" w:usb2="00000016" w:usb3="00000000" w:csb0="00100001" w:csb1="00000000"/>
  </w:font>
  <w:font w:name="Noto Sans CJK JP Regular">
    <w:altName w:val="Arial"/>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2</w: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1025525</wp:posOffset>
              </wp:positionH>
              <wp:positionV relativeFrom="page">
                <wp:posOffset>737235</wp:posOffset>
              </wp:positionV>
              <wp:extent cx="542480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424805" cy="0"/>
                      </a:xfrm>
                      <a:prstGeom prst="line">
                        <a:avLst/>
                      </a:prstGeom>
                      <a:ln w="6096"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80.75pt;margin-top:58.05pt;height:0pt;width:427.15pt;mso-position-horizontal-relative:page;mso-position-vertical-relative:page;z-index:-251657216;mso-width-relative:page;mso-height-relative:page;" filled="f" stroked="t" coordsize="21600,21600" o:gfxdata="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o63PxtYAAAAMAQAADwAAAAAAAAABACAAAAAiAAAAZHJzL2Rvd25yZXYueG1s&#10;UEsBAhQAFAAAAAgAh07iQFeZPtH6AQAA8gMAAA4AAAAAAAAAAQAgAAAAJQEAAGRycy9lMm9Eb2Mu&#10;eG1sUEsFBgAAAAAGAAYAWQEAAJEFAAAAAA==&#10;">
              <v:path arrowok="t"/>
              <v:fill on="f" focussize="0,0"/>
              <v:stroke weight="0.48pt"/>
              <v:imagedata o:title=""/>
              <o:lock v:ext="edit" aspectratio="f"/>
            </v:lin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1031240</wp:posOffset>
              </wp:positionH>
              <wp:positionV relativeFrom="page">
                <wp:posOffset>543560</wp:posOffset>
              </wp:positionV>
              <wp:extent cx="2577465" cy="180975"/>
              <wp:effectExtent l="0" t="0" r="0" b="0"/>
              <wp:wrapNone/>
              <wp:docPr id="6" name="文本框 6"/>
              <wp:cNvGraphicFramePr/>
              <a:graphic xmlns:a="http://schemas.openxmlformats.org/drawingml/2006/main">
                <a:graphicData uri="http://schemas.microsoft.com/office/word/2010/wordprocessingShape">
                  <wps:wsp>
                    <wps:cNvSpPr txBox="1"/>
                    <wps:spPr>
                      <a:xfrm>
                        <a:off x="0" y="0"/>
                        <a:ext cx="2577465" cy="180975"/>
                      </a:xfrm>
                      <a:prstGeom prst="rect">
                        <a:avLst/>
                      </a:prstGeom>
                      <a:noFill/>
                      <a:ln>
                        <a:noFill/>
                      </a:ln>
                      <a:effectLst/>
                    </wps:spPr>
                    <wps:txbx>
                      <w:txbxContent>
                        <w:p>
                          <w:pPr>
                            <w:spacing w:line="279" w:lineRule="exact"/>
                            <w:ind w:left="20"/>
                            <w:jc w:val="left"/>
                            <w:rPr>
                              <w:rFonts w:hint="eastAsia" w:ascii="黑体" w:eastAsia="黑体"/>
                              <w:sz w:val="22"/>
                            </w:rPr>
                          </w:pPr>
                          <w:r>
                            <w:rPr>
                              <w:rFonts w:hint="eastAsia" w:ascii="黑体" w:eastAsia="黑体"/>
                              <w:sz w:val="22"/>
                            </w:rPr>
                            <w:t>公路工程标准施工招标文件（</w:t>
                          </w:r>
                          <w:r>
                            <w:rPr>
                              <w:rFonts w:eastAsia="Times New Roman"/>
                              <w:sz w:val="22"/>
                            </w:rPr>
                            <w:t xml:space="preserve">2018 </w:t>
                          </w:r>
                          <w:r>
                            <w:rPr>
                              <w:rFonts w:hint="eastAsia" w:ascii="黑体" w:eastAsia="黑体"/>
                              <w:sz w:val="22"/>
                            </w:rPr>
                            <w:t>年版）</w:t>
                          </w:r>
                        </w:p>
                      </w:txbxContent>
                    </wps:txbx>
                    <wps:bodyPr lIns="0" tIns="0" rIns="0" bIns="0" upright="1"/>
                  </wps:wsp>
                </a:graphicData>
              </a:graphic>
            </wp:anchor>
          </w:drawing>
        </mc:Choice>
        <mc:Fallback>
          <w:pict>
            <v:shape id="_x0000_s1026" o:spid="_x0000_s1026" o:spt="202" type="#_x0000_t202" style="position:absolute;left:0pt;margin-left:81.2pt;margin-top:42.8pt;height:14.25pt;width:202.95pt;mso-position-horizontal-relative:page;mso-position-vertical-relative:page;z-index:-251656192;mso-width-relative:page;mso-height-relative:page;" filled="f" stroked="f" coordsize="21600,21600" o:gfxdata="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LKiyItgAAAAKAQAADwAAAAAAAAABACAAAAAiAAAAZHJzL2Rvd25yZXYueG1s&#10;UEsBAhQAFAAAAAgAh07iQOAYmFe/AQAAgAMAAA4AAAAAAAAAAQAgAAAAJwEAAGRycy9lMm9Eb2Mu&#10;eG1sUEsFBgAAAAAGAAYAWQEAAFgFAAAAAA==&#10;">
              <v:path/>
              <v:fill on="f" focussize="0,0"/>
              <v:stroke on="f"/>
              <v:imagedata o:title=""/>
              <o:lock v:ext="edit" aspectratio="f"/>
              <v:textbox inset="0mm,0mm,0mm,0mm">
                <w:txbxContent>
                  <w:p>
                    <w:pPr>
                      <w:spacing w:line="279" w:lineRule="exact"/>
                      <w:ind w:left="20"/>
                      <w:jc w:val="left"/>
                      <w:rPr>
                        <w:rFonts w:hint="eastAsia" w:ascii="黑体" w:eastAsia="黑体"/>
                        <w:sz w:val="22"/>
                      </w:rPr>
                    </w:pPr>
                    <w:r>
                      <w:rPr>
                        <w:rFonts w:hint="eastAsia" w:ascii="黑体" w:eastAsia="黑体"/>
                        <w:sz w:val="22"/>
                      </w:rPr>
                      <w:t>公路工程标准施工招标文件（</w:t>
                    </w:r>
                    <w:r>
                      <w:rPr>
                        <w:rFonts w:eastAsia="Times New Roman"/>
                        <w:sz w:val="22"/>
                      </w:rPr>
                      <w:t xml:space="preserve">2018 </w:t>
                    </w:r>
                    <w:r>
                      <w:rPr>
                        <w:rFonts w:hint="eastAsia" w:ascii="黑体" w:eastAsia="黑体"/>
                        <w:sz w:val="22"/>
                      </w:rPr>
                      <w:t>年版）</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B5372"/>
    <w:multiLevelType w:val="multilevel"/>
    <w:tmpl w:val="845B5372"/>
    <w:lvl w:ilvl="0" w:tentative="0">
      <w:start w:val="1"/>
      <w:numFmt w:val="decimal"/>
      <w:lvlText w:val="%1"/>
      <w:lvlJc w:val="left"/>
      <w:pPr>
        <w:ind w:left="528" w:hanging="421"/>
      </w:pPr>
      <w:rPr>
        <w:rFonts w:hint="default"/>
        <w:lang w:val="zh-CN" w:eastAsia="zh-CN" w:bidi="zh-CN"/>
      </w:rPr>
    </w:lvl>
    <w:lvl w:ilvl="1" w:tentative="0">
      <w:start w:val="2"/>
      <w:numFmt w:val="decimal"/>
      <w:lvlText w:val="%1.%2"/>
      <w:lvlJc w:val="left"/>
      <w:pPr>
        <w:ind w:left="528" w:hanging="421"/>
      </w:pPr>
      <w:rPr>
        <w:rFonts w:hint="default" w:ascii="宋体" w:hAnsi="宋体" w:eastAsia="宋体" w:cs="宋体"/>
        <w:w w:val="100"/>
        <w:sz w:val="24"/>
        <w:szCs w:val="24"/>
        <w:lang w:val="zh-CN" w:eastAsia="zh-CN" w:bidi="zh-CN"/>
      </w:rPr>
    </w:lvl>
    <w:lvl w:ilvl="2" w:tentative="0">
      <w:start w:val="1"/>
      <w:numFmt w:val="decimal"/>
      <w:lvlText w:val="%1.%2.%3"/>
      <w:lvlJc w:val="left"/>
      <w:pPr>
        <w:ind w:left="768" w:hanging="661"/>
      </w:pPr>
      <w:rPr>
        <w:rFonts w:hint="default" w:ascii="宋体" w:hAnsi="宋体" w:eastAsia="宋体" w:cs="宋体"/>
        <w:w w:val="100"/>
        <w:sz w:val="21"/>
        <w:szCs w:val="24"/>
        <w:lang w:val="zh-CN" w:eastAsia="zh-CN" w:bidi="zh-CN"/>
      </w:rPr>
    </w:lvl>
    <w:lvl w:ilvl="3" w:tentative="0">
      <w:start w:val="1"/>
      <w:numFmt w:val="decimal"/>
      <w:lvlText w:val="（%4）"/>
      <w:lvlJc w:val="left"/>
      <w:pPr>
        <w:ind w:left="949" w:hanging="601"/>
      </w:pPr>
      <w:rPr>
        <w:rFonts w:hint="default" w:ascii="宋体" w:hAnsi="宋体" w:eastAsia="宋体" w:cs="宋体"/>
        <w:w w:val="100"/>
        <w:sz w:val="21"/>
        <w:szCs w:val="22"/>
        <w:lang w:val="zh-CN" w:eastAsia="zh-CN" w:bidi="zh-CN"/>
      </w:rPr>
    </w:lvl>
    <w:lvl w:ilvl="4" w:tentative="0">
      <w:start w:val="0"/>
      <w:numFmt w:val="bullet"/>
      <w:lvlText w:val="•"/>
      <w:lvlJc w:val="left"/>
      <w:pPr>
        <w:ind w:left="2404" w:hanging="601"/>
      </w:pPr>
      <w:rPr>
        <w:rFonts w:hint="default"/>
        <w:lang w:val="zh-CN" w:eastAsia="zh-CN" w:bidi="zh-CN"/>
      </w:rPr>
    </w:lvl>
    <w:lvl w:ilvl="5" w:tentative="0">
      <w:start w:val="0"/>
      <w:numFmt w:val="bullet"/>
      <w:lvlText w:val="•"/>
      <w:lvlJc w:val="left"/>
      <w:pPr>
        <w:ind w:left="3136" w:hanging="601"/>
      </w:pPr>
      <w:rPr>
        <w:rFonts w:hint="default"/>
        <w:lang w:val="zh-CN" w:eastAsia="zh-CN" w:bidi="zh-CN"/>
      </w:rPr>
    </w:lvl>
    <w:lvl w:ilvl="6" w:tentative="0">
      <w:start w:val="0"/>
      <w:numFmt w:val="bullet"/>
      <w:lvlText w:val="•"/>
      <w:lvlJc w:val="left"/>
      <w:pPr>
        <w:ind w:left="3868" w:hanging="601"/>
      </w:pPr>
      <w:rPr>
        <w:rFonts w:hint="default"/>
        <w:lang w:val="zh-CN" w:eastAsia="zh-CN" w:bidi="zh-CN"/>
      </w:rPr>
    </w:lvl>
    <w:lvl w:ilvl="7" w:tentative="0">
      <w:start w:val="0"/>
      <w:numFmt w:val="bullet"/>
      <w:lvlText w:val="•"/>
      <w:lvlJc w:val="left"/>
      <w:pPr>
        <w:ind w:left="4600" w:hanging="601"/>
      </w:pPr>
      <w:rPr>
        <w:rFonts w:hint="default"/>
        <w:lang w:val="zh-CN" w:eastAsia="zh-CN" w:bidi="zh-CN"/>
      </w:rPr>
    </w:lvl>
    <w:lvl w:ilvl="8" w:tentative="0">
      <w:start w:val="0"/>
      <w:numFmt w:val="bullet"/>
      <w:lvlText w:val="•"/>
      <w:lvlJc w:val="left"/>
      <w:pPr>
        <w:ind w:left="5332" w:hanging="601"/>
      </w:pPr>
      <w:rPr>
        <w:rFonts w:hint="default"/>
        <w:lang w:val="zh-CN" w:eastAsia="zh-CN" w:bidi="zh-CN"/>
      </w:rPr>
    </w:lvl>
  </w:abstractNum>
  <w:abstractNum w:abstractNumId="1">
    <w:nsid w:val="D87EE38A"/>
    <w:multiLevelType w:val="singleLevel"/>
    <w:tmpl w:val="D87EE38A"/>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jMmMyNjY3MjA5NzIyODQzMDg4ZmQwNTJhZGY4MzIifQ=="/>
  </w:docVars>
  <w:rsids>
    <w:rsidRoot w:val="61EC19D9"/>
    <w:rsid w:val="61EC1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1"/>
    <w:uiPriority w:val="0"/>
    <w:pPr>
      <w:spacing w:after="120"/>
      <w:ind w:left="420" w:leftChars="200"/>
    </w:pPr>
    <w:rPr>
      <w:rFonts w:ascii="Times New Roman" w:hAnsi="Times New Roman" w:eastAsia="宋体" w:cs="Times New Roman"/>
    </w:rPr>
  </w:style>
  <w:style w:type="paragraph" w:styleId="4">
    <w:name w:val="Body Text"/>
    <w:basedOn w:val="1"/>
    <w:next w:val="5"/>
    <w:qFormat/>
    <w:uiPriority w:val="0"/>
    <w:pPr>
      <w:ind w:left="144"/>
    </w:pPr>
    <w:rPr>
      <w:rFonts w:ascii="宋体" w:hAnsi="宋体"/>
    </w:rPr>
  </w:style>
  <w:style w:type="paragraph" w:styleId="5">
    <w:name w:val="Body Text 2"/>
    <w:basedOn w:val="1"/>
    <w:qFormat/>
    <w:uiPriority w:val="99"/>
    <w:rPr>
      <w:rFonts w:ascii="宋体" w:hAnsi="宋体"/>
      <w:sz w:val="28"/>
    </w:rPr>
  </w:style>
  <w:style w:type="paragraph" w:styleId="6">
    <w:name w:val="footer"/>
    <w:basedOn w:val="1"/>
    <w:qFormat/>
    <w:uiPriority w:val="99"/>
    <w:pPr>
      <w:tabs>
        <w:tab w:val="center" w:pos="4153"/>
        <w:tab w:val="right" w:pos="8306"/>
      </w:tabs>
      <w:snapToGrid w:val="0"/>
      <w:jc w:val="left"/>
    </w:pPr>
    <w:rPr>
      <w:rFonts w:ascii="Times New Roman" w:hAnsi="Times New Roman" w:eastAsia="宋体" w:cs="Times New Roman"/>
      <w:sz w:val="18"/>
      <w:szCs w:val="18"/>
    </w:rPr>
  </w:style>
  <w:style w:type="character" w:customStyle="1" w:styleId="9">
    <w:name w:val="17"/>
    <w:qFormat/>
    <w:uiPriority w:val="0"/>
    <w:rPr>
      <w:rFonts w:hint="eastAsia" w:ascii="MingLiU" w:hAnsi="MingLiU" w:eastAsia="宋体"/>
      <w:b/>
      <w:sz w:val="42"/>
      <w:szCs w:val="42"/>
    </w:rPr>
  </w:style>
  <w:style w:type="paragraph" w:customStyle="1" w:styleId="10">
    <w:name w:val="Table Paragraph"/>
    <w:basedOn w:val="11"/>
    <w:uiPriority w:val="0"/>
    <w:pPr>
      <w:autoSpaceDE w:val="0"/>
      <w:autoSpaceDN w:val="0"/>
      <w:jc w:val="left"/>
    </w:pPr>
    <w:rPr>
      <w:rFonts w:ascii="Noto Sans CJK JP Regular" w:hAnsi="Noto Sans CJK JP Regular" w:eastAsia="宋体" w:cs="Noto Sans CJK JP Regular"/>
      <w:kern w:val="0"/>
      <w:sz w:val="22"/>
      <w:szCs w:val="22"/>
      <w:lang w:val="zh-CN"/>
    </w:rPr>
  </w:style>
  <w:style w:type="paragraph" w:customStyle="1" w:styleId="11">
    <w:name w:val="正文 New New New New"/>
    <w:next w:val="12"/>
    <w:unhideWhenUsed/>
    <w:qFormat/>
    <w:uiPriority w:val="99"/>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2">
    <w:name w:val="正文文本缩进 New New New New"/>
    <w:basedOn w:val="13"/>
    <w:unhideWhenUsed/>
    <w:qFormat/>
    <w:uiPriority w:val="99"/>
    <w:pPr>
      <w:ind w:left="420" w:leftChars="200"/>
    </w:pPr>
  </w:style>
  <w:style w:type="paragraph" w:customStyle="1" w:styleId="13">
    <w:name w:val="正文文本 New New New New"/>
    <w:basedOn w:val="14"/>
    <w:unhideWhenUsed/>
    <w:qFormat/>
    <w:uiPriority w:val="99"/>
    <w:pPr>
      <w:spacing w:before="32"/>
      <w:ind w:left="138"/>
    </w:pPr>
  </w:style>
  <w:style w:type="paragraph" w:customStyle="1" w:styleId="14">
    <w:name w:val="正文 New New New New New New"/>
    <w:next w:val="15"/>
    <w:unhideWhenUsed/>
    <w:qFormat/>
    <w:uiPriority w:val="99"/>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5">
    <w:name w:val="正文文本缩进 New New New New New New"/>
    <w:basedOn w:val="16"/>
    <w:unhideWhenUsed/>
    <w:qFormat/>
    <w:uiPriority w:val="99"/>
    <w:pPr>
      <w:ind w:left="420" w:leftChars="200"/>
    </w:pPr>
  </w:style>
  <w:style w:type="paragraph" w:customStyle="1" w:styleId="16">
    <w:name w:val="正文文本 New New New New New New New New New New"/>
    <w:basedOn w:val="17"/>
    <w:unhideWhenUsed/>
    <w:qFormat/>
    <w:uiPriority w:val="99"/>
    <w:pPr>
      <w:spacing w:before="32"/>
      <w:ind w:left="138"/>
    </w:pPr>
  </w:style>
  <w:style w:type="paragraph" w:customStyle="1" w:styleId="17">
    <w:name w:val="正文 New New New New New New New New New New New"/>
    <w:next w:val="15"/>
    <w:unhideWhenUsed/>
    <w:qFormat/>
    <w:uiPriority w:val="99"/>
    <w:pPr>
      <w:widowControl w:val="0"/>
      <w:autoSpaceDE w:val="0"/>
      <w:autoSpaceDN w:val="0"/>
      <w:adjustRightInd w:val="0"/>
    </w:pPr>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2023-07-10T07:14:00Z</dcterms:created>
  <dc:creator>23961</dc:creator>
  <cp:lastModifiedBy>23961</cp:lastModifiedBy>
  <dcterms:modified xsi:type="dcterms:W3CDTF">2023-07-10T07:15:14Z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9D667883019446E0A1368734024DAE27_11</vt:lpwstr>
  </property>
</Properties>
</file>