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44"/>
          <w:szCs w:val="44"/>
          <w:highlight w:val="none"/>
          <w:u w:val="single"/>
        </w:rPr>
      </w:pPr>
      <w:bookmarkStart w:id="0" w:name="_Toc23327310"/>
    </w:p>
    <w:p>
      <w:pPr>
        <w:spacing w:line="360" w:lineRule="auto"/>
        <w:jc w:val="center"/>
        <w:rPr>
          <w:b/>
          <w:sz w:val="52"/>
          <w:szCs w:val="52"/>
          <w:highlight w:val="none"/>
        </w:rPr>
      </w:pPr>
      <w:r>
        <w:rPr>
          <w:b/>
          <w:sz w:val="52"/>
          <w:szCs w:val="52"/>
          <w:highlight w:val="none"/>
        </w:rPr>
        <w:t xml:space="preserve"> </w:t>
      </w:r>
      <w:r>
        <w:rPr>
          <w:rFonts w:hint="eastAsia"/>
          <w:b/>
          <w:sz w:val="52"/>
          <w:szCs w:val="52"/>
          <w:highlight w:val="none"/>
        </w:rPr>
        <w:t>新华街莲塘小学扩建改造项目</w:t>
      </w:r>
    </w:p>
    <w:p>
      <w:pPr>
        <w:spacing w:line="360" w:lineRule="auto"/>
        <w:jc w:val="center"/>
        <w:rPr>
          <w:b/>
          <w:sz w:val="52"/>
          <w:szCs w:val="52"/>
          <w:highlight w:val="none"/>
        </w:rPr>
      </w:pPr>
    </w:p>
    <w:p>
      <w:pPr>
        <w:spacing w:line="360" w:lineRule="auto"/>
        <w:jc w:val="center"/>
        <w:rPr>
          <w:b/>
          <w:sz w:val="72"/>
          <w:szCs w:val="72"/>
          <w:highlight w:val="none"/>
        </w:rPr>
      </w:pPr>
      <w:r>
        <w:rPr>
          <w:b/>
          <w:sz w:val="72"/>
          <w:szCs w:val="72"/>
          <w:highlight w:val="none"/>
        </w:rPr>
        <w:t>设计施工总承包合同</w:t>
      </w:r>
      <w:bookmarkEnd w:id="0"/>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pStyle w:val="136"/>
        <w:ind w:firstLine="0" w:firstLineChars="0"/>
        <w:jc w:val="center"/>
        <w:rPr>
          <w:b/>
          <w:bCs/>
          <w:kern w:val="44"/>
          <w:sz w:val="56"/>
          <w:szCs w:val="72"/>
          <w:highlight w:val="none"/>
        </w:rPr>
      </w:pPr>
      <w:r>
        <w:rPr>
          <w:rFonts w:hint="eastAsia"/>
          <w:b/>
          <w:bCs/>
          <w:kern w:val="44"/>
          <w:sz w:val="56"/>
          <w:szCs w:val="72"/>
          <w:highlight w:val="none"/>
        </w:rPr>
        <w:t>（第一册，共二册）</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adjustRightInd w:val="0"/>
        <w:snapToGrid w:val="0"/>
        <w:spacing w:line="360" w:lineRule="auto"/>
        <w:ind w:firstLine="1275" w:firstLineChars="425"/>
        <w:rPr>
          <w:bCs/>
          <w:snapToGrid w:val="0"/>
          <w:kern w:val="0"/>
          <w:sz w:val="30"/>
          <w:szCs w:val="30"/>
          <w:highlight w:val="none"/>
        </w:rPr>
      </w:pPr>
      <w:r>
        <w:rPr>
          <w:bCs/>
          <w:snapToGrid w:val="0"/>
          <w:kern w:val="0"/>
          <w:sz w:val="30"/>
          <w:szCs w:val="30"/>
          <w:highlight w:val="none"/>
        </w:rPr>
        <w:t>发包人：</w:t>
      </w:r>
      <w:r>
        <w:rPr>
          <w:bCs/>
          <w:snapToGrid w:val="0"/>
          <w:kern w:val="0"/>
          <w:sz w:val="30"/>
          <w:szCs w:val="30"/>
          <w:highlight w:val="none"/>
          <w:u w:val="single"/>
        </w:rPr>
        <w:t>广州市花都区公共建设项目管理中心</w:t>
      </w:r>
    </w:p>
    <w:p>
      <w:pPr>
        <w:adjustRightInd w:val="0"/>
        <w:snapToGrid w:val="0"/>
        <w:spacing w:line="360" w:lineRule="auto"/>
        <w:ind w:firstLine="1275" w:firstLineChars="425"/>
        <w:rPr>
          <w:sz w:val="30"/>
          <w:szCs w:val="30"/>
          <w:highlight w:val="none"/>
          <w:u w:val="single"/>
        </w:rPr>
      </w:pPr>
      <w:r>
        <w:rPr>
          <w:bCs/>
          <w:snapToGrid w:val="0"/>
          <w:kern w:val="0"/>
          <w:sz w:val="30"/>
          <w:szCs w:val="30"/>
          <w:highlight w:val="none"/>
        </w:rPr>
        <w:t>承包人：</w:t>
      </w:r>
      <w:r>
        <w:rPr>
          <w:rFonts w:hint="eastAsia"/>
          <w:bCs/>
          <w:snapToGrid w:val="0"/>
          <w:kern w:val="0"/>
          <w:sz w:val="30"/>
          <w:szCs w:val="30"/>
          <w:highlight w:val="none"/>
          <w:u w:val="single"/>
        </w:rPr>
        <w:t xml:space="preserve"> </w:t>
      </w:r>
      <w:r>
        <w:rPr>
          <w:bCs/>
          <w:snapToGrid w:val="0"/>
          <w:kern w:val="0"/>
          <w:sz w:val="30"/>
          <w:szCs w:val="30"/>
          <w:highlight w:val="none"/>
          <w:u w:val="single"/>
        </w:rPr>
        <w:t xml:space="preserve">                               </w:t>
      </w:r>
    </w:p>
    <w:p>
      <w:pPr>
        <w:adjustRightInd w:val="0"/>
        <w:snapToGrid w:val="0"/>
        <w:spacing w:line="360" w:lineRule="auto"/>
        <w:ind w:firstLine="840" w:firstLineChars="280"/>
        <w:rPr>
          <w:bCs/>
          <w:snapToGrid w:val="0"/>
          <w:kern w:val="0"/>
          <w:sz w:val="30"/>
          <w:szCs w:val="30"/>
          <w:highlight w:val="none"/>
          <w:u w:val="single"/>
        </w:rPr>
      </w:pPr>
    </w:p>
    <w:p>
      <w:pPr>
        <w:widowControl/>
        <w:jc w:val="center"/>
        <w:rPr>
          <w:sz w:val="30"/>
          <w:szCs w:val="30"/>
          <w:highlight w:val="none"/>
        </w:rPr>
      </w:pPr>
      <w:r>
        <w:rPr>
          <w:rFonts w:hint="eastAsia"/>
          <w:sz w:val="30"/>
          <w:szCs w:val="30"/>
          <w:highlight w:val="none"/>
        </w:rPr>
        <w:t>签订日期：</w:t>
      </w:r>
      <w:r>
        <w:rPr>
          <w:sz w:val="30"/>
          <w:szCs w:val="30"/>
          <w:highlight w:val="none"/>
        </w:rPr>
        <w:t>2023</w:t>
      </w:r>
      <w:r>
        <w:rPr>
          <w:rFonts w:hint="eastAsia"/>
          <w:sz w:val="30"/>
          <w:szCs w:val="30"/>
          <w:highlight w:val="none"/>
        </w:rPr>
        <w:t>年</w:t>
      </w:r>
      <w:r>
        <w:rPr>
          <w:sz w:val="30"/>
          <w:szCs w:val="30"/>
          <w:highlight w:val="none"/>
        </w:rPr>
        <w:t xml:space="preserve">  </w:t>
      </w:r>
      <w:r>
        <w:rPr>
          <w:rFonts w:hint="eastAsia"/>
          <w:sz w:val="30"/>
          <w:szCs w:val="30"/>
          <w:highlight w:val="none"/>
        </w:rPr>
        <w:t>月</w:t>
      </w:r>
      <w:r>
        <w:rPr>
          <w:sz w:val="30"/>
          <w:szCs w:val="30"/>
          <w:highlight w:val="none"/>
        </w:rPr>
        <w:t xml:space="preserve">  </w:t>
      </w:r>
      <w:r>
        <w:rPr>
          <w:rFonts w:hint="eastAsia"/>
          <w:sz w:val="30"/>
          <w:szCs w:val="30"/>
          <w:highlight w:val="none"/>
        </w:rPr>
        <w:t>日</w:t>
      </w:r>
    </w:p>
    <w:p>
      <w:pPr>
        <w:widowControl/>
        <w:jc w:val="left"/>
        <w:rPr>
          <w:sz w:val="30"/>
          <w:szCs w:val="30"/>
          <w:highlight w:val="none"/>
        </w:rPr>
      </w:pPr>
      <w:r>
        <w:rPr>
          <w:sz w:val="30"/>
          <w:szCs w:val="30"/>
          <w:highlight w:val="none"/>
        </w:rPr>
        <w:br w:type="page"/>
      </w:r>
      <w:r>
        <w:rPr>
          <w:sz w:val="30"/>
          <w:szCs w:val="30"/>
          <w:highlight w:val="none"/>
        </w:rPr>
        <w:br w:type="page"/>
      </w:r>
    </w:p>
    <w:p>
      <w:pPr>
        <w:adjustRightInd w:val="0"/>
        <w:snapToGrid w:val="0"/>
        <w:spacing w:line="360" w:lineRule="auto"/>
        <w:jc w:val="center"/>
        <w:rPr>
          <w:b/>
          <w:bCs/>
          <w:snapToGrid w:val="0"/>
          <w:kern w:val="0"/>
          <w:sz w:val="44"/>
          <w:szCs w:val="44"/>
          <w:highlight w:val="none"/>
        </w:rPr>
        <w:sectPr>
          <w:footerReference r:id="rId3" w:type="default"/>
          <w:pgSz w:w="11907" w:h="16840"/>
          <w:pgMar w:top="1134" w:right="1418" w:bottom="1134" w:left="1418" w:header="851" w:footer="737" w:gutter="0"/>
          <w:pgNumType w:start="1"/>
          <w:cols w:space="720" w:num="1"/>
          <w:docGrid w:type="lines" w:linePitch="312" w:charSpace="0"/>
        </w:sectPr>
      </w:pPr>
    </w:p>
    <w:p>
      <w:pPr>
        <w:adjustRightInd w:val="0"/>
        <w:snapToGrid w:val="0"/>
        <w:spacing w:line="360" w:lineRule="auto"/>
        <w:jc w:val="center"/>
        <w:rPr>
          <w:b/>
          <w:bCs/>
          <w:snapToGrid w:val="0"/>
          <w:kern w:val="0"/>
          <w:sz w:val="44"/>
          <w:szCs w:val="44"/>
          <w:highlight w:val="none"/>
        </w:rPr>
      </w:pPr>
      <w:r>
        <w:rPr>
          <w:rFonts w:hint="eastAsia"/>
          <w:b/>
          <w:bCs/>
          <w:snapToGrid w:val="0"/>
          <w:kern w:val="0"/>
          <w:sz w:val="44"/>
          <w:szCs w:val="44"/>
          <w:highlight w:val="none"/>
        </w:rPr>
        <w:t>第一部分 总则</w:t>
      </w:r>
    </w:p>
    <w:p>
      <w:pPr>
        <w:adjustRightInd w:val="0"/>
        <w:snapToGrid w:val="0"/>
        <w:spacing w:line="440" w:lineRule="exact"/>
        <w:jc w:val="center"/>
        <w:rPr>
          <w:b/>
          <w:bCs/>
          <w:snapToGrid w:val="0"/>
          <w:kern w:val="0"/>
          <w:sz w:val="44"/>
          <w:szCs w:val="44"/>
          <w:highlight w:val="none"/>
        </w:rPr>
      </w:pPr>
    </w:p>
    <w:p>
      <w:pPr>
        <w:pStyle w:val="8"/>
        <w:adjustRightInd w:val="0"/>
        <w:snapToGrid w:val="0"/>
        <w:spacing w:line="440" w:lineRule="exact"/>
        <w:ind w:firstLine="0" w:firstLineChars="0"/>
        <w:rPr>
          <w:b/>
          <w:bCs/>
          <w:snapToGrid w:val="0"/>
          <w:kern w:val="0"/>
          <w:sz w:val="24"/>
          <w:szCs w:val="21"/>
          <w:highlight w:val="none"/>
        </w:rPr>
      </w:pPr>
      <w:r>
        <w:rPr>
          <w:rFonts w:hint="eastAsia"/>
          <w:b/>
          <w:bCs/>
          <w:snapToGrid w:val="0"/>
          <w:kern w:val="0"/>
          <w:sz w:val="24"/>
          <w:szCs w:val="21"/>
          <w:highlight w:val="none"/>
        </w:rPr>
        <w:t>发包人：</w:t>
      </w:r>
      <w:r>
        <w:rPr>
          <w:rFonts w:hint="eastAsia" w:asciiTheme="minorEastAsia" w:hAnsiTheme="minorEastAsia" w:eastAsiaTheme="minorEastAsia"/>
          <w:b/>
          <w:bCs/>
          <w:snapToGrid w:val="0"/>
          <w:kern w:val="0"/>
          <w:sz w:val="24"/>
          <w:szCs w:val="21"/>
          <w:highlight w:val="none"/>
          <w:u w:val="single"/>
        </w:rPr>
        <w:t>广州市花都区公共建设项目管理中心</w:t>
      </w:r>
    </w:p>
    <w:p>
      <w:pPr>
        <w:adjustRightInd w:val="0"/>
        <w:snapToGrid w:val="0"/>
        <w:spacing w:line="440" w:lineRule="exact"/>
        <w:rPr>
          <w:b/>
          <w:szCs w:val="21"/>
          <w:highlight w:val="none"/>
          <w:u w:val="single"/>
        </w:rPr>
      </w:pPr>
      <w:r>
        <w:rPr>
          <w:rFonts w:hint="eastAsia"/>
          <w:b/>
          <w:bCs/>
          <w:snapToGrid w:val="0"/>
          <w:kern w:val="0"/>
          <w:sz w:val="24"/>
          <w:szCs w:val="21"/>
          <w:highlight w:val="none"/>
        </w:rPr>
        <w:t>承包人：</w:t>
      </w:r>
      <w:r>
        <w:rPr>
          <w:rFonts w:hint="eastAsia" w:asciiTheme="minorEastAsia" w:hAnsiTheme="minorEastAsia" w:eastAsiaTheme="minorEastAsia"/>
          <w:b/>
          <w:bCs/>
          <w:snapToGrid w:val="0"/>
          <w:kern w:val="0"/>
          <w:sz w:val="24"/>
          <w:szCs w:val="21"/>
          <w:highlight w:val="none"/>
          <w:u w:val="single"/>
        </w:rPr>
        <w:t xml:space="preserve"> </w:t>
      </w:r>
      <w:r>
        <w:rPr>
          <w:rFonts w:asciiTheme="minorEastAsia" w:hAnsiTheme="minorEastAsia" w:eastAsiaTheme="minorEastAsia"/>
          <w:b/>
          <w:bCs/>
          <w:snapToGrid w:val="0"/>
          <w:kern w:val="0"/>
          <w:sz w:val="24"/>
          <w:szCs w:val="21"/>
          <w:highlight w:val="none"/>
          <w:u w:val="single"/>
        </w:rPr>
        <w:t xml:space="preserve">                               </w:t>
      </w:r>
    </w:p>
    <w:p>
      <w:pPr>
        <w:adjustRightInd w:val="0"/>
        <w:snapToGrid w:val="0"/>
        <w:spacing w:line="440" w:lineRule="exact"/>
        <w:ind w:firstLine="422" w:firstLineChars="200"/>
        <w:rPr>
          <w:b/>
          <w:szCs w:val="21"/>
          <w:highlight w:val="none"/>
          <w:u w:val="single"/>
        </w:rPr>
      </w:pPr>
    </w:p>
    <w:p>
      <w:pPr>
        <w:adjustRightInd w:val="0"/>
        <w:snapToGrid w:val="0"/>
        <w:spacing w:line="440" w:lineRule="exact"/>
        <w:ind w:firstLine="422" w:firstLineChars="200"/>
        <w:rPr>
          <w:szCs w:val="21"/>
          <w:highlight w:val="none"/>
        </w:rPr>
      </w:pPr>
      <w:r>
        <w:rPr>
          <w:rFonts w:hint="eastAsia"/>
          <w:b/>
          <w:szCs w:val="21"/>
          <w:highlight w:val="none"/>
          <w:u w:val="single"/>
        </w:rPr>
        <w:t>广州市花都区公共建设项目管理中心</w:t>
      </w:r>
      <w:r>
        <w:rPr>
          <w:szCs w:val="21"/>
          <w:highlight w:val="none"/>
        </w:rPr>
        <w:t>（以下称发包人）与</w:t>
      </w:r>
      <w:r>
        <w:rPr>
          <w:rFonts w:hint="eastAsia"/>
          <w:szCs w:val="21"/>
          <w:highlight w:val="none"/>
          <w:u w:val="single"/>
        </w:rPr>
        <w:t xml:space="preserve"> </w:t>
      </w:r>
      <w:r>
        <w:rPr>
          <w:szCs w:val="21"/>
          <w:highlight w:val="none"/>
          <w:u w:val="single"/>
        </w:rPr>
        <w:t xml:space="preserve">            </w:t>
      </w:r>
      <w:r>
        <w:rPr>
          <w:rFonts w:hint="eastAsia"/>
          <w:szCs w:val="21"/>
          <w:highlight w:val="none"/>
        </w:rPr>
        <w:t>（</w:t>
      </w:r>
      <w:r>
        <w:rPr>
          <w:szCs w:val="21"/>
          <w:highlight w:val="none"/>
        </w:rPr>
        <w:t>以下统称承包人）依照《中华人民共和国</w:t>
      </w:r>
      <w:r>
        <w:rPr>
          <w:rFonts w:hint="eastAsia"/>
          <w:szCs w:val="21"/>
          <w:highlight w:val="none"/>
        </w:rPr>
        <w:t>民</w:t>
      </w:r>
      <w:r>
        <w:rPr>
          <w:szCs w:val="21"/>
          <w:highlight w:val="none"/>
        </w:rPr>
        <w:t>法</w:t>
      </w:r>
      <w:r>
        <w:rPr>
          <w:rFonts w:hint="eastAsia"/>
          <w:szCs w:val="21"/>
          <w:highlight w:val="none"/>
        </w:rPr>
        <w:t>典</w:t>
      </w:r>
      <w:r>
        <w:rPr>
          <w:szCs w:val="21"/>
          <w:highlight w:val="none"/>
        </w:rPr>
        <w:t>》</w:t>
      </w:r>
      <w:r>
        <w:rPr>
          <w:rFonts w:hint="eastAsia"/>
          <w:szCs w:val="21"/>
          <w:highlight w:val="none"/>
        </w:rPr>
        <w:t>、</w:t>
      </w:r>
      <w:r>
        <w:rPr>
          <w:szCs w:val="21"/>
          <w:highlight w:val="none"/>
        </w:rPr>
        <w:t>《中华人民共和国建筑法》</w:t>
      </w:r>
      <w:r>
        <w:rPr>
          <w:rFonts w:hint="eastAsia"/>
          <w:szCs w:val="21"/>
          <w:highlight w:val="none"/>
        </w:rPr>
        <w:t>、</w:t>
      </w:r>
      <w:r>
        <w:rPr>
          <w:szCs w:val="21"/>
          <w:highlight w:val="none"/>
        </w:rPr>
        <w:t>《中华人民共和国招标投标法》及其它有关法律、行政法规、部门规章、地方性法规和规章，遵循平等、自愿、公平和诚实信用的原则，发包人、承包人（以下统称双方）就</w:t>
      </w:r>
      <w:r>
        <w:rPr>
          <w:rFonts w:hint="eastAsia"/>
          <w:b/>
          <w:szCs w:val="21"/>
          <w:highlight w:val="none"/>
          <w:u w:val="single"/>
        </w:rPr>
        <w:t>新华街莲塘小学扩建改造项目设计施工总承包</w:t>
      </w:r>
      <w:r>
        <w:rPr>
          <w:rFonts w:hint="eastAsia"/>
          <w:szCs w:val="21"/>
          <w:highlight w:val="none"/>
        </w:rPr>
        <w:t>（</w:t>
      </w:r>
      <w:r>
        <w:rPr>
          <w:szCs w:val="21"/>
          <w:highlight w:val="none"/>
        </w:rPr>
        <w:t>以下称本工程）事宜协商一致，</w:t>
      </w:r>
      <w:r>
        <w:rPr>
          <w:rFonts w:hint="eastAsia"/>
          <w:szCs w:val="21"/>
          <w:highlight w:val="none"/>
        </w:rPr>
        <w:t>签订以下</w:t>
      </w:r>
      <w:r>
        <w:rPr>
          <w:szCs w:val="21"/>
          <w:highlight w:val="none"/>
        </w:rPr>
        <w:t>协议。</w:t>
      </w:r>
    </w:p>
    <w:p>
      <w:pPr>
        <w:adjustRightInd w:val="0"/>
        <w:snapToGrid w:val="0"/>
        <w:spacing w:before="156" w:beforeLines="50" w:line="440" w:lineRule="exact"/>
        <w:ind w:right="11" w:firstLine="422" w:firstLineChars="200"/>
        <w:rPr>
          <w:b/>
          <w:bCs/>
          <w:snapToGrid w:val="0"/>
          <w:kern w:val="0"/>
          <w:szCs w:val="21"/>
          <w:highlight w:val="none"/>
        </w:rPr>
      </w:pPr>
      <w:r>
        <w:rPr>
          <w:rFonts w:hint="eastAsia"/>
          <w:b/>
          <w:bCs/>
          <w:snapToGrid w:val="0"/>
          <w:kern w:val="0"/>
          <w:szCs w:val="21"/>
          <w:highlight w:val="none"/>
        </w:rPr>
        <w:t>一</w:t>
      </w:r>
      <w:r>
        <w:rPr>
          <w:b/>
          <w:bCs/>
          <w:snapToGrid w:val="0"/>
          <w:kern w:val="0"/>
          <w:szCs w:val="21"/>
          <w:highlight w:val="none"/>
        </w:rPr>
        <w:t>、工程概况</w:t>
      </w:r>
    </w:p>
    <w:p>
      <w:pPr>
        <w:adjustRightInd w:val="0"/>
        <w:snapToGrid w:val="0"/>
        <w:spacing w:line="440" w:lineRule="exact"/>
        <w:ind w:right="11" w:firstLine="420" w:firstLineChars="200"/>
        <w:rPr>
          <w:bCs/>
          <w:snapToGrid w:val="0"/>
          <w:kern w:val="0"/>
          <w:szCs w:val="21"/>
          <w:highlight w:val="none"/>
          <w:u w:val="single"/>
        </w:rPr>
      </w:pPr>
      <w:r>
        <w:rPr>
          <w:bCs/>
          <w:snapToGrid w:val="0"/>
          <w:kern w:val="0"/>
          <w:szCs w:val="21"/>
          <w:highlight w:val="none"/>
        </w:rPr>
        <w:t>工程名称：</w:t>
      </w:r>
      <w:r>
        <w:rPr>
          <w:rFonts w:hint="eastAsia"/>
          <w:bCs/>
          <w:snapToGrid w:val="0"/>
          <w:kern w:val="0"/>
          <w:szCs w:val="21"/>
          <w:highlight w:val="none"/>
          <w:u w:val="single"/>
        </w:rPr>
        <w:t>新华街莲塘小学扩建改造项目设计施工总承包</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工程地点：</w:t>
      </w:r>
      <w:r>
        <w:rPr>
          <w:rFonts w:hint="eastAsia"/>
          <w:bCs/>
          <w:snapToGrid w:val="0"/>
          <w:kern w:val="0"/>
          <w:szCs w:val="21"/>
          <w:highlight w:val="none"/>
          <w:u w:val="single"/>
        </w:rPr>
        <w:t>广州市花都区新华街商业大道203号</w:t>
      </w:r>
    </w:p>
    <w:p>
      <w:pPr>
        <w:adjustRightInd w:val="0"/>
        <w:snapToGrid w:val="0"/>
        <w:spacing w:line="440" w:lineRule="exact"/>
        <w:ind w:right="11" w:firstLine="420" w:firstLineChars="200"/>
        <w:rPr>
          <w:bCs/>
          <w:snapToGrid w:val="0"/>
          <w:kern w:val="0"/>
          <w:szCs w:val="21"/>
          <w:highlight w:val="none"/>
          <w:u w:val="single"/>
        </w:rPr>
      </w:pPr>
      <w:r>
        <w:rPr>
          <w:bCs/>
          <w:snapToGrid w:val="0"/>
          <w:kern w:val="0"/>
          <w:szCs w:val="21"/>
          <w:highlight w:val="none"/>
        </w:rPr>
        <w:t>工程</w:t>
      </w:r>
      <w:r>
        <w:rPr>
          <w:rFonts w:hint="eastAsia"/>
          <w:bCs/>
          <w:snapToGrid w:val="0"/>
          <w:kern w:val="0"/>
          <w:szCs w:val="21"/>
          <w:highlight w:val="none"/>
        </w:rPr>
        <w:t>可研批</w:t>
      </w:r>
      <w:r>
        <w:rPr>
          <w:bCs/>
          <w:snapToGrid w:val="0"/>
          <w:kern w:val="0"/>
          <w:szCs w:val="21"/>
          <w:highlight w:val="none"/>
        </w:rPr>
        <w:t>准文号：</w:t>
      </w:r>
      <w:r>
        <w:rPr>
          <w:rFonts w:hint="eastAsia"/>
          <w:bCs/>
          <w:snapToGrid w:val="0"/>
          <w:kern w:val="0"/>
          <w:szCs w:val="21"/>
          <w:highlight w:val="none"/>
          <w:u w:val="single"/>
        </w:rPr>
        <w:t>穗花发改投批〔2023〕31号</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资金来源：</w:t>
      </w:r>
      <w:r>
        <w:rPr>
          <w:rFonts w:hint="eastAsia"/>
          <w:bCs/>
          <w:snapToGrid w:val="0"/>
          <w:kern w:val="0"/>
          <w:szCs w:val="21"/>
          <w:highlight w:val="none"/>
          <w:u w:val="single"/>
        </w:rPr>
        <w:t>财政资金</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工程规模：</w:t>
      </w:r>
      <w:r>
        <w:rPr>
          <w:rFonts w:hint="eastAsia"/>
          <w:szCs w:val="21"/>
          <w:highlight w:val="none"/>
          <w:u w:val="single"/>
        </w:rPr>
        <w:t>学校原办学规模18班，本项目扩建增加12班办学规模小学，总办学规模为30班小学。新建建筑面积约11957.03平方米，改造面积约1576.72平方米。本项目单体最大建筑面积约为11962平方米。建设内容包括∶拆除存在安全隐患的旧教学楼2栋约2700平方米，新建地上5层教学楼11957.03平方米；对不符合抗震要求的1栋4层教学楼进行抗震加固处理；配建停车场、绿化、道路等周边附属设施。</w:t>
      </w:r>
    </w:p>
    <w:p>
      <w:pPr>
        <w:adjustRightInd w:val="0"/>
        <w:snapToGrid w:val="0"/>
        <w:spacing w:before="156" w:beforeLines="50" w:line="440" w:lineRule="exact"/>
        <w:ind w:right="11" w:firstLine="422" w:firstLineChars="200"/>
        <w:rPr>
          <w:b/>
          <w:bCs/>
          <w:snapToGrid w:val="0"/>
          <w:kern w:val="0"/>
          <w:szCs w:val="21"/>
          <w:highlight w:val="none"/>
        </w:rPr>
      </w:pPr>
      <w:r>
        <w:rPr>
          <w:rFonts w:hint="eastAsia"/>
          <w:b/>
          <w:bCs/>
          <w:snapToGrid w:val="0"/>
          <w:kern w:val="0"/>
          <w:szCs w:val="21"/>
          <w:highlight w:val="none"/>
        </w:rPr>
        <w:t>二</w:t>
      </w:r>
      <w:r>
        <w:rPr>
          <w:b/>
          <w:bCs/>
          <w:snapToGrid w:val="0"/>
          <w:kern w:val="0"/>
          <w:szCs w:val="21"/>
          <w:highlight w:val="none"/>
        </w:rPr>
        <w:t>、工程总承包内容</w:t>
      </w:r>
      <w:r>
        <w:rPr>
          <w:rFonts w:hint="eastAsia"/>
          <w:b/>
          <w:bCs/>
          <w:snapToGrid w:val="0"/>
          <w:kern w:val="0"/>
          <w:szCs w:val="21"/>
          <w:highlight w:val="none"/>
        </w:rPr>
        <w:t>及</w:t>
      </w:r>
      <w:r>
        <w:rPr>
          <w:b/>
          <w:bCs/>
          <w:snapToGrid w:val="0"/>
          <w:kern w:val="0"/>
          <w:szCs w:val="21"/>
          <w:highlight w:val="none"/>
        </w:rPr>
        <w:t>承包方式</w:t>
      </w:r>
    </w:p>
    <w:p>
      <w:pPr>
        <w:adjustRightInd w:val="0"/>
        <w:snapToGrid w:val="0"/>
        <w:spacing w:line="440" w:lineRule="exact"/>
        <w:ind w:right="11" w:firstLine="420" w:firstLineChars="200"/>
        <w:rPr>
          <w:szCs w:val="21"/>
          <w:highlight w:val="none"/>
        </w:rPr>
      </w:pPr>
      <w:r>
        <w:rPr>
          <w:rFonts w:hint="eastAsia"/>
          <w:szCs w:val="21"/>
          <w:highlight w:val="none"/>
        </w:rPr>
        <w:t>1、承包内容：</w:t>
      </w:r>
      <w:r>
        <w:rPr>
          <w:szCs w:val="21"/>
          <w:highlight w:val="none"/>
        </w:rPr>
        <w:t>包括但不限于根据发包人基础资料、设计任务书和工程管理要求，承包人负责完成</w:t>
      </w:r>
      <w:r>
        <w:rPr>
          <w:rFonts w:hint="eastAsia" w:ascii="宋体" w:hAnsi="宋体" w:cs="宋体"/>
          <w:b/>
          <w:bCs/>
          <w:szCs w:val="32"/>
          <w:highlight w:val="none"/>
          <w:u w:val="single"/>
        </w:rPr>
        <w:t>新华街莲塘小学扩建改造项目</w:t>
      </w:r>
      <w:r>
        <w:rPr>
          <w:szCs w:val="21"/>
          <w:highlight w:val="none"/>
        </w:rPr>
        <w:t>的设计、施工（含场地准备工程）及工程竣工验收等工作</w:t>
      </w:r>
      <w:r>
        <w:rPr>
          <w:rFonts w:hint="eastAsia"/>
          <w:szCs w:val="21"/>
          <w:highlight w:val="none"/>
        </w:rPr>
        <w:t>。</w:t>
      </w:r>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2、</w:t>
      </w:r>
      <w:r>
        <w:rPr>
          <w:bCs/>
          <w:snapToGrid w:val="0"/>
          <w:kern w:val="0"/>
          <w:szCs w:val="21"/>
          <w:highlight w:val="none"/>
        </w:rPr>
        <w:t>承包方式：</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承包人根据招标文件、合同文件、有关资料及说明等对本项目实施工程总承包：包设计，包施工</w:t>
      </w:r>
      <w:r>
        <w:rPr>
          <w:rFonts w:hint="eastAsia"/>
          <w:bCs/>
          <w:snapToGrid w:val="0"/>
          <w:kern w:val="0"/>
          <w:szCs w:val="21"/>
          <w:highlight w:val="none"/>
        </w:rPr>
        <w:t>（</w:t>
      </w:r>
      <w:r>
        <w:rPr>
          <w:bCs/>
          <w:snapToGrid w:val="0"/>
          <w:kern w:val="0"/>
          <w:szCs w:val="21"/>
          <w:highlight w:val="none"/>
        </w:rPr>
        <w:t>包括但不限于</w:t>
      </w:r>
      <w:r>
        <w:rPr>
          <w:szCs w:val="21"/>
          <w:highlight w:val="none"/>
        </w:rPr>
        <w:t>包工、包料、包质量、包安全生产、包文明施工、包工期、包承包范围内工程验收通过、包通水、包通电、包通燃气、包通讯、包移交、包结算、</w:t>
      </w:r>
      <w:r>
        <w:rPr>
          <w:bCs/>
          <w:snapToGrid w:val="0"/>
          <w:kern w:val="0"/>
          <w:szCs w:val="21"/>
          <w:highlight w:val="none"/>
        </w:rPr>
        <w:t>包创优工程（如有）的组织实施工作和资料整理、包竣工资料收集整理及移交档案、包保修、包保险、包</w:t>
      </w:r>
      <w:r>
        <w:rPr>
          <w:rFonts w:hint="eastAsia"/>
          <w:szCs w:val="21"/>
          <w:highlight w:val="none"/>
        </w:rPr>
        <w:t>协助</w:t>
      </w:r>
      <w:r>
        <w:rPr>
          <w:bCs/>
          <w:snapToGrid w:val="0"/>
          <w:kern w:val="0"/>
          <w:szCs w:val="21"/>
          <w:highlight w:val="none"/>
        </w:rPr>
        <w:t>竣工图编制（须满足规划等各专项验收要求）等</w:t>
      </w:r>
      <w:r>
        <w:rPr>
          <w:rFonts w:hint="eastAsia"/>
          <w:bCs/>
          <w:snapToGrid w:val="0"/>
          <w:kern w:val="0"/>
          <w:szCs w:val="21"/>
          <w:highlight w:val="none"/>
        </w:rPr>
        <w:t>）</w:t>
      </w:r>
      <w:r>
        <w:rPr>
          <w:bCs/>
          <w:snapToGrid w:val="0"/>
          <w:kern w:val="0"/>
          <w:szCs w:val="21"/>
          <w:highlight w:val="none"/>
        </w:rPr>
        <w:t>，包控制投资、包报批报建等。合同价款根据招标文件和本合同约定的计价方式进行计价和结算。</w:t>
      </w:r>
    </w:p>
    <w:p>
      <w:pPr>
        <w:adjustRightInd w:val="0"/>
        <w:snapToGrid w:val="0"/>
        <w:spacing w:line="440" w:lineRule="exact"/>
        <w:ind w:right="11" w:firstLine="422" w:firstLineChars="200"/>
        <w:rPr>
          <w:b/>
          <w:snapToGrid w:val="0"/>
          <w:kern w:val="0"/>
          <w:szCs w:val="21"/>
          <w:highlight w:val="none"/>
        </w:rPr>
      </w:pPr>
      <w:r>
        <w:rPr>
          <w:rFonts w:hint="eastAsia"/>
          <w:b/>
          <w:snapToGrid w:val="0"/>
          <w:kern w:val="0"/>
          <w:szCs w:val="21"/>
          <w:highlight w:val="none"/>
        </w:rPr>
        <w:t>三、各阶段造价控制原则</w:t>
      </w:r>
    </w:p>
    <w:p>
      <w:pPr>
        <w:shd w:val="clear" w:color="auto" w:fill="FFFFFF"/>
        <w:adjustRightInd w:val="0"/>
        <w:snapToGrid w:val="0"/>
        <w:spacing w:line="440" w:lineRule="exact"/>
        <w:ind w:firstLine="420" w:firstLineChars="200"/>
        <w:rPr>
          <w:bCs/>
          <w:snapToGrid w:val="0"/>
          <w:kern w:val="0"/>
          <w:szCs w:val="21"/>
          <w:highlight w:val="none"/>
        </w:rPr>
      </w:pPr>
      <w:r>
        <w:rPr>
          <w:bCs/>
          <w:snapToGrid w:val="0"/>
          <w:kern w:val="0"/>
          <w:szCs w:val="21"/>
          <w:highlight w:val="none"/>
        </w:rPr>
        <w:t>1</w:t>
      </w:r>
      <w:r>
        <w:rPr>
          <w:rFonts w:hint="eastAsia"/>
          <w:bCs/>
          <w:snapToGrid w:val="0"/>
          <w:kern w:val="0"/>
          <w:szCs w:val="21"/>
          <w:highlight w:val="none"/>
        </w:rPr>
        <w:t>、本项目招标范围费用组成：工程设计费、建安工程费用（含场地准备工程、临时设施费、燃气）等总承包费用，原则上按以下要求控制造价：</w:t>
      </w:r>
      <w:r>
        <w:rPr>
          <w:rFonts w:hint="eastAsia"/>
          <w:b/>
          <w:bCs/>
          <w:snapToGrid w:val="0"/>
          <w:kern w:val="0"/>
          <w:szCs w:val="21"/>
          <w:highlight w:val="none"/>
        </w:rPr>
        <w:t>本项目的概算价≥</w:t>
      </w:r>
      <w:r>
        <w:rPr>
          <w:rFonts w:hint="eastAsia"/>
          <w:b/>
          <w:szCs w:val="21"/>
          <w:highlight w:val="none"/>
        </w:rPr>
        <w:t>中标价（暂定合同价）</w:t>
      </w:r>
      <w:r>
        <w:rPr>
          <w:rFonts w:hint="eastAsia"/>
          <w:b/>
          <w:bCs/>
          <w:snapToGrid w:val="0"/>
          <w:kern w:val="0"/>
          <w:szCs w:val="21"/>
          <w:highlight w:val="none"/>
        </w:rPr>
        <w:t>≥基于中标下浮率及施工图纸确定的预算价≥结算价。</w:t>
      </w:r>
    </w:p>
    <w:p>
      <w:pPr>
        <w:adjustRightInd w:val="0"/>
        <w:snapToGrid w:val="0"/>
        <w:spacing w:line="440" w:lineRule="exact"/>
        <w:ind w:right="11" w:firstLine="420" w:firstLineChars="200"/>
        <w:rPr>
          <w:szCs w:val="21"/>
          <w:highlight w:val="none"/>
        </w:rPr>
      </w:pPr>
      <w:r>
        <w:rPr>
          <w:bCs/>
          <w:snapToGrid w:val="0"/>
          <w:kern w:val="0"/>
          <w:szCs w:val="21"/>
          <w:highlight w:val="none"/>
        </w:rPr>
        <w:t>2</w:t>
      </w:r>
      <w:r>
        <w:rPr>
          <w:rFonts w:hint="eastAsia"/>
          <w:bCs/>
          <w:snapToGrid w:val="0"/>
          <w:kern w:val="0"/>
          <w:szCs w:val="21"/>
          <w:highlight w:val="none"/>
        </w:rPr>
        <w:t>、</w:t>
      </w:r>
      <w:r>
        <w:rPr>
          <w:rFonts w:hint="eastAsia"/>
          <w:szCs w:val="21"/>
          <w:highlight w:val="none"/>
        </w:rPr>
        <w:t>本工程实行全过程限额设计和施工，</w:t>
      </w:r>
      <w:r>
        <w:rPr>
          <w:rFonts w:hint="eastAsia"/>
          <w:bCs/>
          <w:snapToGrid w:val="0"/>
          <w:kern w:val="0"/>
          <w:szCs w:val="21"/>
          <w:highlight w:val="none"/>
        </w:rPr>
        <w:t>采用总价控制和《模拟清单》单价控制的双限价控制模式，开展“限额设计、限额施工”</w:t>
      </w:r>
      <w:r>
        <w:rPr>
          <w:rFonts w:hint="eastAsia"/>
          <w:szCs w:val="21"/>
          <w:highlight w:val="none"/>
        </w:rPr>
        <w:t>；承包人必须严格控制每阶段投资目标，原则上结算总金额应控制在中标金额内</w:t>
      </w:r>
      <w:r>
        <w:rPr>
          <w:rFonts w:hint="eastAsia"/>
          <w:b/>
          <w:bCs/>
          <w:szCs w:val="21"/>
          <w:highlight w:val="none"/>
        </w:rPr>
        <w:t>（经</w:t>
      </w:r>
      <w:r>
        <w:rPr>
          <w:rFonts w:hint="eastAsia" w:ascii="宋体" w:hAnsi="宋体"/>
          <w:b/>
          <w:bCs/>
          <w:szCs w:val="21"/>
          <w:highlight w:val="none"/>
        </w:rPr>
        <w:t>上级主管部门或建设单位批准超出原招标规模、标准而引起费用变化的</w:t>
      </w:r>
      <w:r>
        <w:rPr>
          <w:rFonts w:hint="eastAsia"/>
          <w:b/>
          <w:bCs/>
          <w:szCs w:val="21"/>
          <w:highlight w:val="none"/>
        </w:rPr>
        <w:t>除外）</w:t>
      </w:r>
      <w:r>
        <w:rPr>
          <w:rFonts w:hint="eastAsia"/>
          <w:szCs w:val="21"/>
          <w:highlight w:val="none"/>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pPr>
        <w:shd w:val="clear" w:color="auto" w:fill="FFFFFF"/>
        <w:adjustRightInd w:val="0"/>
        <w:snapToGrid w:val="0"/>
        <w:spacing w:line="440" w:lineRule="exact"/>
        <w:ind w:firstLine="420" w:firstLineChars="200"/>
        <w:rPr>
          <w:szCs w:val="21"/>
          <w:highlight w:val="none"/>
        </w:rPr>
      </w:pPr>
      <w:r>
        <w:rPr>
          <w:bCs/>
          <w:snapToGrid w:val="0"/>
          <w:kern w:val="0"/>
          <w:szCs w:val="21"/>
          <w:highlight w:val="none"/>
        </w:rPr>
        <w:t>3</w:t>
      </w:r>
      <w:r>
        <w:rPr>
          <w:rFonts w:hint="eastAsia"/>
          <w:bCs/>
          <w:snapToGrid w:val="0"/>
          <w:kern w:val="0"/>
          <w:szCs w:val="21"/>
          <w:highlight w:val="none"/>
        </w:rPr>
        <w:t>、</w:t>
      </w:r>
      <w:r>
        <w:rPr>
          <w:rFonts w:hint="eastAsia"/>
          <w:snapToGrid w:val="0"/>
          <w:kern w:val="0"/>
          <w:szCs w:val="21"/>
          <w:highlight w:val="none"/>
        </w:rPr>
        <w:t>设计费造价控制原则：</w:t>
      </w:r>
      <w:r>
        <w:rPr>
          <w:rFonts w:hint="eastAsia"/>
          <w:b/>
          <w:bCs/>
          <w:snapToGrid w:val="0"/>
          <w:kern w:val="0"/>
          <w:szCs w:val="21"/>
          <w:highlight w:val="none"/>
        </w:rPr>
        <w:t>设计费原则上不得超过其中标价，</w:t>
      </w:r>
      <w:r>
        <w:rPr>
          <w:b/>
          <w:szCs w:val="21"/>
          <w:highlight w:val="none"/>
        </w:rPr>
        <w:t>结算</w:t>
      </w:r>
      <w:r>
        <w:rPr>
          <w:rFonts w:hint="eastAsia"/>
          <w:b/>
          <w:szCs w:val="21"/>
          <w:highlight w:val="none"/>
        </w:rPr>
        <w:t>时设计费</w:t>
      </w:r>
      <w:r>
        <w:rPr>
          <w:b/>
          <w:szCs w:val="21"/>
          <w:highlight w:val="none"/>
        </w:rPr>
        <w:t>金额未超出由承包人实际实施范围所对应的中标价时，按实际结算金额支付，如有超出，承包人应</w:t>
      </w:r>
      <w:r>
        <w:rPr>
          <w:rFonts w:hint="eastAsia"/>
          <w:b/>
          <w:szCs w:val="21"/>
          <w:highlight w:val="none"/>
        </w:rPr>
        <w:t>自行消化，</w:t>
      </w:r>
      <w:r>
        <w:rPr>
          <w:b/>
          <w:szCs w:val="21"/>
          <w:highlight w:val="none"/>
        </w:rPr>
        <w:t>超出部分发包人将不予支付</w:t>
      </w:r>
      <w:r>
        <w:rPr>
          <w:szCs w:val="21"/>
          <w:highlight w:val="none"/>
        </w:rPr>
        <w:t>。</w:t>
      </w:r>
    </w:p>
    <w:p>
      <w:pPr>
        <w:shd w:val="clear" w:color="auto" w:fill="FFFFFF"/>
        <w:adjustRightInd w:val="0"/>
        <w:snapToGrid w:val="0"/>
        <w:spacing w:line="440" w:lineRule="exact"/>
        <w:ind w:firstLine="420" w:firstLineChars="200"/>
        <w:rPr>
          <w:szCs w:val="21"/>
          <w:highlight w:val="none"/>
        </w:rPr>
      </w:pPr>
      <w:r>
        <w:rPr>
          <w:rFonts w:hint="eastAsia"/>
          <w:bCs/>
          <w:snapToGrid w:val="0"/>
          <w:kern w:val="0"/>
          <w:szCs w:val="21"/>
          <w:highlight w:val="none"/>
        </w:rPr>
        <w:t>设计单位原则上应按照</w:t>
      </w:r>
      <w:r>
        <w:rPr>
          <w:rFonts w:hint="eastAsia"/>
          <w:szCs w:val="21"/>
          <w:highlight w:val="none"/>
        </w:rPr>
        <w:t>本项目</w:t>
      </w:r>
      <w:r>
        <w:rPr>
          <w:szCs w:val="21"/>
          <w:highlight w:val="none"/>
        </w:rPr>
        <w:t>的</w:t>
      </w:r>
      <w:r>
        <w:rPr>
          <w:rFonts w:hint="eastAsia"/>
          <w:b/>
          <w:szCs w:val="21"/>
          <w:highlight w:val="none"/>
        </w:rPr>
        <w:t>建安工程费中标价</w:t>
      </w:r>
      <w:r>
        <w:rPr>
          <w:rFonts w:hint="eastAsia"/>
          <w:szCs w:val="21"/>
          <w:highlight w:val="none"/>
        </w:rPr>
        <w:t>开展限额设计工作，按招标文件方案设计、初步设计（概算）、设计任务书等的要求进行限额投资、限额设计，如超出限额，设计人应及时提出优化方案以确保整个项目的限额标准。</w:t>
      </w:r>
    </w:p>
    <w:p>
      <w:pPr>
        <w:shd w:val="clear" w:color="auto" w:fill="FFFFFF"/>
        <w:adjustRightInd w:val="0"/>
        <w:snapToGrid w:val="0"/>
        <w:spacing w:line="440" w:lineRule="exact"/>
        <w:ind w:firstLine="420" w:firstLineChars="200"/>
        <w:rPr>
          <w:bCs/>
          <w:snapToGrid w:val="0"/>
          <w:kern w:val="0"/>
          <w:szCs w:val="21"/>
          <w:highlight w:val="none"/>
        </w:rPr>
      </w:pPr>
      <w:r>
        <w:rPr>
          <w:szCs w:val="21"/>
          <w:highlight w:val="none"/>
        </w:rPr>
        <w:t>4</w:t>
      </w:r>
      <w:r>
        <w:rPr>
          <w:rFonts w:hint="eastAsia"/>
          <w:szCs w:val="21"/>
          <w:highlight w:val="none"/>
        </w:rPr>
        <w:t>、</w:t>
      </w:r>
      <w:r>
        <w:rPr>
          <w:rFonts w:hint="eastAsia"/>
          <w:bCs/>
          <w:szCs w:val="21"/>
          <w:highlight w:val="none"/>
        </w:rPr>
        <w:t>施工总承包费造价控制原则：</w:t>
      </w:r>
      <w:r>
        <w:rPr>
          <w:rFonts w:hint="eastAsia"/>
          <w:bCs/>
          <w:snapToGrid w:val="0"/>
          <w:kern w:val="0"/>
          <w:szCs w:val="21"/>
          <w:highlight w:val="none"/>
        </w:rPr>
        <w:t>施工总承包费用按建安工程费中分部分项的</w:t>
      </w:r>
      <w:r>
        <w:rPr>
          <w:b/>
          <w:bCs/>
          <w:snapToGrid w:val="0"/>
          <w:kern w:val="0"/>
          <w:szCs w:val="21"/>
          <w:highlight w:val="none"/>
          <w:u w:val="single"/>
        </w:rPr>
        <w:t>10%</w:t>
      </w:r>
      <w:r>
        <w:rPr>
          <w:rFonts w:hint="eastAsia"/>
          <w:bCs/>
          <w:snapToGrid w:val="0"/>
          <w:kern w:val="0"/>
          <w:szCs w:val="21"/>
          <w:highlight w:val="none"/>
        </w:rPr>
        <w:t>设定施工总承包合同暂列金。合同暂列金属发包人可支配费用，</w:t>
      </w:r>
      <w:r>
        <w:rPr>
          <w:rFonts w:hint="eastAsia" w:eastAsiaTheme="minorEastAsia"/>
          <w:szCs w:val="21"/>
          <w:highlight w:val="none"/>
        </w:rPr>
        <w:t>主要用于业主</w:t>
      </w:r>
      <w:r>
        <w:rPr>
          <w:rFonts w:eastAsiaTheme="minorEastAsia"/>
          <w:szCs w:val="21"/>
          <w:highlight w:val="none"/>
        </w:rPr>
        <w:t>指令、</w:t>
      </w:r>
      <w:r>
        <w:rPr>
          <w:rFonts w:hint="eastAsia" w:eastAsiaTheme="minorEastAsia"/>
          <w:szCs w:val="21"/>
          <w:highlight w:val="none"/>
        </w:rPr>
        <w:t>合同约定调整因素出现时的工程价款调整、发生索赔的费用以及当项目实施过程中因政策因素引起的费用变化。</w:t>
      </w:r>
    </w:p>
    <w:p>
      <w:pPr>
        <w:shd w:val="clear" w:color="auto" w:fill="FFFFFF"/>
        <w:adjustRightInd w:val="0"/>
        <w:snapToGrid w:val="0"/>
        <w:spacing w:line="440" w:lineRule="exact"/>
        <w:ind w:firstLine="420" w:firstLineChars="200"/>
        <w:rPr>
          <w:szCs w:val="21"/>
          <w:highlight w:val="none"/>
        </w:rPr>
      </w:pPr>
      <w:r>
        <w:rPr>
          <w:rFonts w:hint="eastAsia"/>
          <w:bCs/>
          <w:snapToGrid w:val="0"/>
          <w:kern w:val="0"/>
          <w:szCs w:val="21"/>
          <w:highlight w:val="none"/>
        </w:rPr>
        <w:t>4.1、</w:t>
      </w:r>
      <w:r>
        <w:rPr>
          <w:rFonts w:hint="eastAsia"/>
          <w:szCs w:val="21"/>
          <w:highlight w:val="none"/>
        </w:rPr>
        <w:t>施工总承包费采用双控原则，即总价控制和单价控制。施工总承包费用合计</w:t>
      </w:r>
      <w:r>
        <w:rPr>
          <w:rFonts w:hint="eastAsia"/>
          <w:bCs/>
          <w:snapToGrid w:val="0"/>
          <w:kern w:val="0"/>
          <w:szCs w:val="21"/>
          <w:highlight w:val="none"/>
        </w:rPr>
        <w:t>原则上不得超过其中标价；单价按</w:t>
      </w:r>
      <w:r>
        <w:rPr>
          <w:bCs/>
          <w:snapToGrid w:val="0"/>
          <w:kern w:val="0"/>
          <w:szCs w:val="21"/>
          <w:highlight w:val="none"/>
        </w:rPr>
        <w:t>《模拟清单》</w:t>
      </w:r>
      <w:r>
        <w:rPr>
          <w:rFonts w:hint="eastAsia"/>
          <w:bCs/>
          <w:snapToGrid w:val="0"/>
          <w:kern w:val="0"/>
          <w:szCs w:val="21"/>
          <w:highlight w:val="none"/>
        </w:rPr>
        <w:t>中相应的</w:t>
      </w:r>
      <w:r>
        <w:rPr>
          <w:rFonts w:hint="eastAsia"/>
          <w:b/>
          <w:bCs/>
          <w:snapToGrid w:val="0"/>
          <w:kern w:val="0"/>
          <w:szCs w:val="21"/>
          <w:highlight w:val="none"/>
        </w:rPr>
        <w:t>单价×</w:t>
      </w:r>
      <w:r>
        <w:rPr>
          <w:rFonts w:hint="eastAsia"/>
          <w:b/>
          <w:szCs w:val="21"/>
          <w:highlight w:val="none"/>
        </w:rPr>
        <w:t>（</w:t>
      </w:r>
      <w:r>
        <w:rPr>
          <w:b/>
          <w:szCs w:val="21"/>
          <w:highlight w:val="none"/>
        </w:rPr>
        <w:t>1</w:t>
      </w:r>
      <w:r>
        <w:rPr>
          <w:rFonts w:asciiTheme="minorEastAsia" w:hAnsiTheme="minorEastAsia" w:eastAsiaTheme="minorEastAsia"/>
          <w:b/>
          <w:szCs w:val="21"/>
          <w:highlight w:val="none"/>
        </w:rPr>
        <w:t>-</w:t>
      </w:r>
      <w:r>
        <w:rPr>
          <w:rFonts w:hint="eastAsia"/>
          <w:b/>
          <w:szCs w:val="21"/>
          <w:highlight w:val="none"/>
        </w:rPr>
        <w:t>中标下浮率）</w:t>
      </w:r>
      <w:r>
        <w:rPr>
          <w:rFonts w:hint="eastAsia"/>
          <w:szCs w:val="21"/>
          <w:highlight w:val="none"/>
        </w:rPr>
        <w:t>执行。</w:t>
      </w:r>
    </w:p>
    <w:p>
      <w:pPr>
        <w:shd w:val="clear" w:color="auto" w:fill="FFFFFF"/>
        <w:adjustRightInd w:val="0"/>
        <w:snapToGrid w:val="0"/>
        <w:spacing w:line="440" w:lineRule="exact"/>
        <w:ind w:firstLine="420" w:firstLineChars="200"/>
        <w:rPr>
          <w:bCs/>
          <w:snapToGrid w:val="0"/>
          <w:kern w:val="0"/>
          <w:szCs w:val="21"/>
          <w:highlight w:val="none"/>
        </w:rPr>
      </w:pPr>
      <w:r>
        <w:rPr>
          <w:bCs/>
          <w:snapToGrid w:val="0"/>
          <w:kern w:val="0"/>
          <w:szCs w:val="21"/>
          <w:highlight w:val="none"/>
        </w:rPr>
        <w:t>本工程应严格按照《模拟清单》开展单价</w:t>
      </w:r>
      <w:r>
        <w:rPr>
          <w:rFonts w:hint="eastAsia"/>
          <w:bCs/>
          <w:snapToGrid w:val="0"/>
          <w:kern w:val="0"/>
          <w:szCs w:val="21"/>
          <w:highlight w:val="none"/>
        </w:rPr>
        <w:t>控制</w:t>
      </w:r>
      <w:r>
        <w:rPr>
          <w:bCs/>
          <w:snapToGrid w:val="0"/>
          <w:kern w:val="0"/>
          <w:szCs w:val="21"/>
          <w:highlight w:val="none"/>
        </w:rPr>
        <w:t>的限价投资控制模式，原则上施工图预算及竣工结算，均以《模拟清单》（详见附件）为综合单价编制依据，</w:t>
      </w:r>
      <w:r>
        <w:rPr>
          <w:b/>
          <w:bCs/>
          <w:snapToGrid w:val="0"/>
          <w:kern w:val="0"/>
          <w:szCs w:val="21"/>
          <w:highlight w:val="none"/>
        </w:rPr>
        <w:t>综合单价=模拟清单综合单价</w:t>
      </w:r>
      <w:r>
        <w:rPr>
          <w:rFonts w:hint="eastAsia"/>
          <w:b/>
          <w:bCs/>
          <w:snapToGrid w:val="0"/>
          <w:kern w:val="0"/>
          <w:szCs w:val="21"/>
          <w:highlight w:val="none"/>
        </w:rPr>
        <w:t>×（1</w:t>
      </w:r>
      <w:r>
        <w:rPr>
          <w:rFonts w:hint="eastAsia" w:ascii="宋体" w:hAnsi="宋体"/>
          <w:b/>
          <w:bCs/>
          <w:snapToGrid w:val="0"/>
          <w:kern w:val="0"/>
          <w:szCs w:val="21"/>
          <w:highlight w:val="none"/>
        </w:rPr>
        <w:t>-</w:t>
      </w:r>
      <w:r>
        <w:rPr>
          <w:b/>
          <w:bCs/>
          <w:snapToGrid w:val="0"/>
          <w:kern w:val="0"/>
          <w:szCs w:val="21"/>
          <w:highlight w:val="none"/>
        </w:rPr>
        <w:t>中标下浮率</w:t>
      </w:r>
      <w:r>
        <w:rPr>
          <w:rFonts w:hint="eastAsia"/>
          <w:b/>
          <w:bCs/>
          <w:snapToGrid w:val="0"/>
          <w:kern w:val="0"/>
          <w:szCs w:val="21"/>
          <w:highlight w:val="none"/>
        </w:rPr>
        <w:t>）</w:t>
      </w:r>
      <w:r>
        <w:rPr>
          <w:rFonts w:hint="eastAsia"/>
          <w:bCs/>
          <w:snapToGrid w:val="0"/>
          <w:kern w:val="0"/>
          <w:szCs w:val="21"/>
          <w:highlight w:val="none"/>
        </w:rPr>
        <w:t>执行</w:t>
      </w:r>
      <w:r>
        <w:rPr>
          <w:bCs/>
          <w:snapToGrid w:val="0"/>
          <w:kern w:val="0"/>
          <w:szCs w:val="21"/>
          <w:highlight w:val="none"/>
        </w:rPr>
        <w:t>。</w:t>
      </w:r>
      <w:bookmarkStart w:id="1" w:name="_Toc421274405"/>
      <w:bookmarkStart w:id="2" w:name="_Toc372815046"/>
      <w:bookmarkStart w:id="3" w:name="_Toc514663866"/>
      <w:bookmarkStart w:id="4" w:name="_Toc365320145"/>
      <w:bookmarkStart w:id="5" w:name="_Toc365380285"/>
    </w:p>
    <w:p>
      <w:pPr>
        <w:adjustRightInd w:val="0"/>
        <w:snapToGrid w:val="0"/>
        <w:spacing w:line="440" w:lineRule="exact"/>
        <w:ind w:firstLine="420" w:firstLineChars="200"/>
        <w:rPr>
          <w:bCs/>
          <w:snapToGrid w:val="0"/>
          <w:kern w:val="0"/>
          <w:szCs w:val="21"/>
          <w:highlight w:val="none"/>
        </w:rPr>
      </w:pPr>
      <w:r>
        <w:rPr>
          <w:bCs/>
          <w:snapToGrid w:val="0"/>
          <w:kern w:val="0"/>
          <w:szCs w:val="21"/>
          <w:highlight w:val="none"/>
        </w:rPr>
        <w:t>《模拟清单》未有的综合单价或综合单价调整，按以下方法执行：</w:t>
      </w:r>
      <w:bookmarkEnd w:id="1"/>
      <w:bookmarkEnd w:id="2"/>
      <w:bookmarkEnd w:id="3"/>
      <w:bookmarkEnd w:id="4"/>
      <w:bookmarkEnd w:id="5"/>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（1）</w:t>
      </w:r>
      <w:r>
        <w:rPr>
          <w:bCs/>
          <w:snapToGrid w:val="0"/>
          <w:kern w:val="0"/>
          <w:szCs w:val="21"/>
          <w:highlight w:val="none"/>
        </w:rPr>
        <w:t>《模拟清单》</w:t>
      </w:r>
      <w:r>
        <w:rPr>
          <w:rFonts w:hint="eastAsia"/>
          <w:bCs/>
          <w:snapToGrid w:val="0"/>
          <w:kern w:val="0"/>
          <w:szCs w:val="21"/>
          <w:highlight w:val="none"/>
        </w:rPr>
        <w:t>中已有类似项目的综合单价，则按类似项目的综合单价对相应子目、消耗量、单价等进行调整换算，原管理费、利润水平不变，中标下浮率不变。</w:t>
      </w:r>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（2）</w:t>
      </w:r>
      <w:r>
        <w:rPr>
          <w:bCs/>
          <w:snapToGrid w:val="0"/>
          <w:kern w:val="0"/>
          <w:szCs w:val="21"/>
          <w:highlight w:val="none"/>
        </w:rPr>
        <w:t>《模拟清单》中没有</w:t>
      </w:r>
      <w:r>
        <w:rPr>
          <w:rFonts w:hint="eastAsia"/>
          <w:bCs/>
          <w:snapToGrid w:val="0"/>
          <w:kern w:val="0"/>
          <w:szCs w:val="21"/>
          <w:highlight w:val="none"/>
        </w:rPr>
        <w:t>类似</w:t>
      </w:r>
      <w:r>
        <w:rPr>
          <w:bCs/>
          <w:snapToGrid w:val="0"/>
          <w:kern w:val="0"/>
          <w:szCs w:val="21"/>
          <w:highlight w:val="none"/>
        </w:rPr>
        <w:t>项目的</w:t>
      </w:r>
      <w:r>
        <w:rPr>
          <w:rFonts w:hint="eastAsia"/>
          <w:bCs/>
          <w:snapToGrid w:val="0"/>
          <w:kern w:val="0"/>
          <w:szCs w:val="21"/>
          <w:highlight w:val="none"/>
        </w:rPr>
        <w:t>综合单价</w:t>
      </w:r>
      <w:r>
        <w:rPr>
          <w:bCs/>
          <w:snapToGrid w:val="0"/>
          <w:kern w:val="0"/>
          <w:szCs w:val="21"/>
          <w:highlight w:val="none"/>
        </w:rPr>
        <w:t>，可套取相关定额，以相关定额为基数</w:t>
      </w:r>
      <w:r>
        <w:rPr>
          <w:rFonts w:hint="eastAsia"/>
          <w:bCs/>
          <w:snapToGrid w:val="0"/>
          <w:kern w:val="0"/>
          <w:szCs w:val="21"/>
          <w:highlight w:val="none"/>
        </w:rPr>
        <w:t>乘以</w:t>
      </w:r>
      <w:r>
        <w:rPr>
          <w:rFonts w:hint="eastAsia"/>
          <w:b/>
          <w:bCs/>
          <w:snapToGrid w:val="0"/>
          <w:kern w:val="0"/>
          <w:szCs w:val="21"/>
          <w:highlight w:val="none"/>
        </w:rPr>
        <w:t>（1</w:t>
      </w:r>
      <w:r>
        <w:rPr>
          <w:rFonts w:hint="eastAsia" w:asciiTheme="minorEastAsia" w:hAnsiTheme="minorEastAsia" w:eastAsiaTheme="minorEastAsia"/>
          <w:b/>
          <w:bCs/>
          <w:snapToGrid w:val="0"/>
          <w:kern w:val="0"/>
          <w:szCs w:val="21"/>
          <w:highlight w:val="none"/>
        </w:rPr>
        <w:t>-</w:t>
      </w:r>
      <w:r>
        <w:rPr>
          <w:b/>
          <w:bCs/>
          <w:snapToGrid w:val="0"/>
          <w:kern w:val="0"/>
          <w:szCs w:val="21"/>
          <w:highlight w:val="none"/>
        </w:rPr>
        <w:t>中标下浮率</w:t>
      </w:r>
      <w:r>
        <w:rPr>
          <w:rFonts w:hint="eastAsia"/>
          <w:b/>
          <w:bCs/>
          <w:snapToGrid w:val="0"/>
          <w:kern w:val="0"/>
          <w:szCs w:val="21"/>
          <w:highlight w:val="none"/>
        </w:rPr>
        <w:t>）</w:t>
      </w:r>
      <w:r>
        <w:rPr>
          <w:bCs/>
          <w:snapToGrid w:val="0"/>
          <w:kern w:val="0"/>
          <w:szCs w:val="21"/>
          <w:highlight w:val="none"/>
        </w:rPr>
        <w:t>计算</w:t>
      </w:r>
      <w:r>
        <w:rPr>
          <w:rFonts w:hint="eastAsia"/>
          <w:bCs/>
          <w:snapToGrid w:val="0"/>
          <w:kern w:val="0"/>
          <w:szCs w:val="21"/>
          <w:highlight w:val="none"/>
        </w:rPr>
        <w:t>清单</w:t>
      </w:r>
      <w:r>
        <w:rPr>
          <w:bCs/>
          <w:snapToGrid w:val="0"/>
          <w:kern w:val="0"/>
          <w:szCs w:val="21"/>
          <w:highlight w:val="none"/>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Pr>
          <w:rFonts w:hint="eastAsia"/>
          <w:bCs/>
          <w:snapToGrid w:val="0"/>
          <w:kern w:val="0"/>
          <w:szCs w:val="21"/>
          <w:highlight w:val="none"/>
        </w:rPr>
        <w:t>，无法提供发票的材料参考建设单位委托第三方咨询单位审核的材料单价计算。</w:t>
      </w:r>
      <w:r>
        <w:rPr>
          <w:bCs/>
          <w:snapToGrid w:val="0"/>
          <w:kern w:val="0"/>
          <w:szCs w:val="21"/>
          <w:highlight w:val="none"/>
        </w:rPr>
        <w:t>计费标准按粤建市函[2016]1113号文（计费程序表出现上下限的,按其平均值计）。</w:t>
      </w:r>
    </w:p>
    <w:p>
      <w:pPr>
        <w:adjustRightInd w:val="0"/>
        <w:snapToGrid w:val="0"/>
        <w:spacing w:line="440" w:lineRule="exact"/>
        <w:ind w:right="11" w:firstLine="420" w:firstLineChars="200"/>
        <w:rPr>
          <w:szCs w:val="21"/>
          <w:highlight w:val="none"/>
        </w:rPr>
      </w:pPr>
      <w:r>
        <w:rPr>
          <w:rFonts w:hint="eastAsia"/>
          <w:szCs w:val="21"/>
          <w:highlight w:val="none"/>
        </w:rPr>
        <w:t>5、</w:t>
      </w:r>
      <w:r>
        <w:rPr>
          <w:szCs w:val="21"/>
          <w:highlight w:val="none"/>
        </w:rPr>
        <w:t>承包人承诺在不降低设计任务书、方案设计文件、材料设备技术需求书中的主要设计指标（建筑高度、建筑面积等）、</w:t>
      </w:r>
      <w:r>
        <w:rPr>
          <w:snapToGrid w:val="0"/>
          <w:kern w:val="0"/>
          <w:szCs w:val="21"/>
          <w:highlight w:val="none"/>
        </w:rPr>
        <w:t>材料设备品牌档次的前提下开展施工图设计</w:t>
      </w:r>
      <w:r>
        <w:rPr>
          <w:rFonts w:hint="eastAsia"/>
          <w:snapToGrid w:val="0"/>
          <w:kern w:val="0"/>
          <w:szCs w:val="21"/>
          <w:highlight w:val="none"/>
        </w:rPr>
        <w:t>，</w:t>
      </w:r>
      <w:r>
        <w:rPr>
          <w:szCs w:val="21"/>
          <w:highlight w:val="none"/>
        </w:rPr>
        <w:t>确保施工图预算不超过批复概算中的建安工程费总额。</w:t>
      </w:r>
    </w:p>
    <w:p>
      <w:pPr>
        <w:adjustRightInd w:val="0"/>
        <w:snapToGrid w:val="0"/>
        <w:spacing w:line="440" w:lineRule="exact"/>
        <w:ind w:right="11" w:firstLine="420" w:firstLineChars="200"/>
        <w:rPr>
          <w:szCs w:val="21"/>
          <w:highlight w:val="none"/>
        </w:rPr>
      </w:pPr>
      <w:r>
        <w:rPr>
          <w:rFonts w:hint="eastAsia"/>
          <w:szCs w:val="21"/>
          <w:highlight w:val="none"/>
        </w:rPr>
        <w:t>6、</w:t>
      </w:r>
      <w:r>
        <w:rPr>
          <w:szCs w:val="21"/>
          <w:highlight w:val="none"/>
        </w:rPr>
        <w:t>承包人在</w:t>
      </w:r>
      <w:r>
        <w:rPr>
          <w:szCs w:val="21"/>
          <w:highlight w:val="none"/>
          <w:u w:val="single"/>
        </w:rPr>
        <w:t>施工图设计完成</w:t>
      </w:r>
      <w:r>
        <w:rPr>
          <w:szCs w:val="21"/>
          <w:highlight w:val="none"/>
        </w:rPr>
        <w:t>（</w:t>
      </w:r>
      <w:r>
        <w:rPr>
          <w:snapToGrid w:val="0"/>
          <w:kern w:val="0"/>
          <w:szCs w:val="21"/>
          <w:highlight w:val="none"/>
        </w:rPr>
        <w:t>技术需求</w:t>
      </w:r>
      <w:r>
        <w:rPr>
          <w:rFonts w:hint="eastAsia"/>
          <w:snapToGrid w:val="0"/>
          <w:kern w:val="0"/>
          <w:szCs w:val="21"/>
          <w:highlight w:val="none"/>
        </w:rPr>
        <w:t>&lt;</w:t>
      </w:r>
      <w:r>
        <w:rPr>
          <w:snapToGrid w:val="0"/>
          <w:kern w:val="0"/>
          <w:szCs w:val="21"/>
          <w:highlight w:val="none"/>
        </w:rPr>
        <w:t>含材料设备档次</w:t>
      </w:r>
      <w:r>
        <w:rPr>
          <w:rFonts w:hint="eastAsia"/>
          <w:snapToGrid w:val="0"/>
          <w:kern w:val="0"/>
          <w:szCs w:val="21"/>
          <w:highlight w:val="none"/>
        </w:rPr>
        <w:t>&gt;）</w:t>
      </w:r>
      <w:r>
        <w:rPr>
          <w:snapToGrid w:val="0"/>
          <w:kern w:val="0"/>
          <w:szCs w:val="21"/>
          <w:highlight w:val="none"/>
        </w:rPr>
        <w:t>稳定</w:t>
      </w:r>
      <w:r>
        <w:rPr>
          <w:szCs w:val="21"/>
          <w:highlight w:val="none"/>
        </w:rPr>
        <w:t>后</w:t>
      </w:r>
      <w:r>
        <w:rPr>
          <w:szCs w:val="21"/>
          <w:highlight w:val="none"/>
          <w:u w:val="single"/>
        </w:rPr>
        <w:t>20天</w:t>
      </w:r>
      <w:r>
        <w:rPr>
          <w:szCs w:val="21"/>
          <w:highlight w:val="none"/>
        </w:rPr>
        <w:t>内完成</w:t>
      </w:r>
      <w:r>
        <w:rPr>
          <w:rFonts w:hint="eastAsia"/>
          <w:szCs w:val="21"/>
          <w:highlight w:val="none"/>
        </w:rPr>
        <w:t>预</w:t>
      </w:r>
      <w:r>
        <w:rPr>
          <w:szCs w:val="21"/>
          <w:highlight w:val="none"/>
        </w:rPr>
        <w:t>算编制并送发包人审核，由</w:t>
      </w:r>
      <w:r>
        <w:rPr>
          <w:rFonts w:hint="eastAsia"/>
          <w:szCs w:val="21"/>
          <w:highlight w:val="none"/>
        </w:rPr>
        <w:t>发包人委托的第三方审核单位</w:t>
      </w:r>
      <w:r>
        <w:rPr>
          <w:szCs w:val="21"/>
          <w:highlight w:val="none"/>
        </w:rPr>
        <w:t>进行审核。因承包人</w:t>
      </w:r>
      <w:r>
        <w:rPr>
          <w:rFonts w:hint="eastAsia"/>
          <w:szCs w:val="21"/>
          <w:highlight w:val="none"/>
        </w:rPr>
        <w:t>预</w:t>
      </w:r>
      <w:r>
        <w:rPr>
          <w:szCs w:val="21"/>
          <w:highlight w:val="none"/>
        </w:rPr>
        <w:t>算送审延迟或对数造成时间延误产生的后果由承包人承担。</w:t>
      </w:r>
    </w:p>
    <w:p>
      <w:pPr>
        <w:adjustRightInd w:val="0"/>
        <w:snapToGrid w:val="0"/>
        <w:spacing w:line="440" w:lineRule="exact"/>
        <w:ind w:right="11" w:firstLine="422" w:firstLineChars="200"/>
        <w:rPr>
          <w:snapToGrid w:val="0"/>
          <w:kern w:val="0"/>
          <w:szCs w:val="21"/>
          <w:highlight w:val="none"/>
        </w:rPr>
      </w:pPr>
      <w:r>
        <w:rPr>
          <w:b/>
          <w:szCs w:val="21"/>
          <w:highlight w:val="none"/>
        </w:rPr>
        <w:t>7</w:t>
      </w:r>
      <w:r>
        <w:rPr>
          <w:rFonts w:hint="eastAsia"/>
          <w:snapToGrid w:val="0"/>
          <w:kern w:val="0"/>
          <w:szCs w:val="21"/>
          <w:highlight w:val="none"/>
        </w:rPr>
        <w:t>、承包人编制的各阶段的造价文件需满足对应阶段造价文件深度要求。</w:t>
      </w:r>
      <w:r>
        <w:rPr>
          <w:rFonts w:hint="eastAsia"/>
          <w:b/>
          <w:snapToGrid w:val="0"/>
          <w:kern w:val="0"/>
          <w:szCs w:val="21"/>
          <w:highlight w:val="none"/>
        </w:rPr>
        <w:t>编制预算、工程结算等建设工程造价文件的质量偏差率，以有权审定部门审定价为参照，分别不得超过规定的</w:t>
      </w:r>
      <w:r>
        <w:rPr>
          <w:b/>
          <w:snapToGrid w:val="0"/>
          <w:kern w:val="0"/>
          <w:szCs w:val="21"/>
          <w:highlight w:val="none"/>
        </w:rPr>
        <w:t>5%</w:t>
      </w:r>
      <w:r>
        <w:rPr>
          <w:rFonts w:hint="eastAsia"/>
          <w:b/>
          <w:snapToGrid w:val="0"/>
          <w:kern w:val="0"/>
          <w:szCs w:val="21"/>
          <w:highlight w:val="none"/>
        </w:rPr>
        <w:t>、</w:t>
      </w:r>
      <w:r>
        <w:rPr>
          <w:b/>
          <w:snapToGrid w:val="0"/>
          <w:kern w:val="0"/>
          <w:szCs w:val="21"/>
          <w:highlight w:val="none"/>
        </w:rPr>
        <w:t>5%</w:t>
      </w:r>
      <w:r>
        <w:rPr>
          <w:rFonts w:hint="eastAsia"/>
          <w:b/>
          <w:snapToGrid w:val="0"/>
          <w:kern w:val="0"/>
          <w:szCs w:val="21"/>
          <w:highlight w:val="none"/>
        </w:rPr>
        <w:t>。</w:t>
      </w:r>
    </w:p>
    <w:p>
      <w:pPr>
        <w:adjustRightInd w:val="0"/>
        <w:snapToGrid w:val="0"/>
        <w:spacing w:line="440" w:lineRule="exact"/>
        <w:ind w:right="11" w:firstLine="422" w:firstLineChars="200"/>
        <w:rPr>
          <w:b/>
          <w:bCs/>
          <w:snapToGrid w:val="0"/>
          <w:kern w:val="0"/>
          <w:szCs w:val="21"/>
          <w:highlight w:val="none"/>
        </w:rPr>
      </w:pPr>
      <w:r>
        <w:rPr>
          <w:rFonts w:hint="eastAsia"/>
          <w:b/>
          <w:bCs/>
          <w:snapToGrid w:val="0"/>
          <w:kern w:val="0"/>
          <w:szCs w:val="21"/>
          <w:highlight w:val="none"/>
        </w:rPr>
        <w:t>四</w:t>
      </w:r>
      <w:r>
        <w:rPr>
          <w:b/>
          <w:bCs/>
          <w:snapToGrid w:val="0"/>
          <w:kern w:val="0"/>
          <w:szCs w:val="21"/>
          <w:highlight w:val="none"/>
        </w:rPr>
        <w:t>、合同工期</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1、总工期：</w:t>
      </w:r>
      <w:r>
        <w:rPr>
          <w:rFonts w:hint="eastAsia"/>
          <w:bCs/>
          <w:snapToGrid w:val="0"/>
          <w:kern w:val="0"/>
          <w:szCs w:val="21"/>
          <w:highlight w:val="none"/>
        </w:rPr>
        <w:t>暂定</w:t>
      </w:r>
      <w:r>
        <w:rPr>
          <w:bCs/>
          <w:snapToGrid w:val="0"/>
          <w:kern w:val="0"/>
          <w:szCs w:val="21"/>
          <w:highlight w:val="none"/>
          <w:u w:val="single"/>
        </w:rPr>
        <w:t>348</w:t>
      </w:r>
      <w:r>
        <w:rPr>
          <w:rFonts w:hint="eastAsia"/>
          <w:bCs/>
          <w:snapToGrid w:val="0"/>
          <w:kern w:val="0"/>
          <w:szCs w:val="21"/>
          <w:highlight w:val="none"/>
        </w:rPr>
        <w:t>个日历天（其中设计工期60天，施工工期</w:t>
      </w:r>
      <w:r>
        <w:rPr>
          <w:bCs/>
          <w:snapToGrid w:val="0"/>
          <w:kern w:val="0"/>
          <w:szCs w:val="21"/>
          <w:highlight w:val="none"/>
        </w:rPr>
        <w:t>278</w:t>
      </w:r>
      <w:r>
        <w:rPr>
          <w:rFonts w:hint="eastAsia"/>
          <w:bCs/>
          <w:snapToGrid w:val="0"/>
          <w:kern w:val="0"/>
          <w:szCs w:val="21"/>
          <w:highlight w:val="none"/>
        </w:rPr>
        <w:t>天，拆除</w:t>
      </w:r>
      <w:r>
        <w:rPr>
          <w:bCs/>
          <w:snapToGrid w:val="0"/>
          <w:kern w:val="0"/>
          <w:szCs w:val="21"/>
          <w:highlight w:val="none"/>
        </w:rPr>
        <w:t>工程</w:t>
      </w:r>
      <w:r>
        <w:rPr>
          <w:rFonts w:hint="eastAsia"/>
          <w:bCs/>
          <w:snapToGrid w:val="0"/>
          <w:kern w:val="0"/>
          <w:szCs w:val="21"/>
          <w:highlight w:val="none"/>
        </w:rPr>
        <w:t>10天）。</w:t>
      </w:r>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2、设计具体开工日期以收到本项目中标通知书为准，施工具体开工日期以总监理工程师发出的开工令为准</w:t>
      </w:r>
      <w:r>
        <w:rPr>
          <w:bCs/>
          <w:snapToGrid w:val="0"/>
          <w:kern w:val="0"/>
          <w:szCs w:val="21"/>
          <w:highlight w:val="none"/>
        </w:rPr>
        <w:t>。</w:t>
      </w:r>
    </w:p>
    <w:p>
      <w:pPr>
        <w:adjustRightInd w:val="0"/>
        <w:snapToGrid w:val="0"/>
        <w:spacing w:line="440" w:lineRule="exact"/>
        <w:ind w:right="11" w:firstLine="422" w:firstLineChars="200"/>
        <w:rPr>
          <w:b/>
          <w:bCs/>
          <w:snapToGrid w:val="0"/>
          <w:kern w:val="0"/>
          <w:szCs w:val="21"/>
          <w:highlight w:val="none"/>
        </w:rPr>
      </w:pPr>
      <w:r>
        <w:rPr>
          <w:rFonts w:hint="eastAsia"/>
          <w:b/>
          <w:bCs/>
          <w:snapToGrid w:val="0"/>
          <w:kern w:val="0"/>
          <w:szCs w:val="21"/>
          <w:highlight w:val="none"/>
        </w:rPr>
        <w:t>五</w:t>
      </w:r>
      <w:r>
        <w:rPr>
          <w:b/>
          <w:bCs/>
          <w:snapToGrid w:val="0"/>
          <w:kern w:val="0"/>
          <w:szCs w:val="21"/>
          <w:highlight w:val="none"/>
        </w:rPr>
        <w:t>、合同价款</w:t>
      </w:r>
      <w:r>
        <w:rPr>
          <w:rFonts w:hint="eastAsia"/>
          <w:b/>
          <w:bCs/>
          <w:snapToGrid w:val="0"/>
          <w:kern w:val="0"/>
          <w:szCs w:val="21"/>
          <w:highlight w:val="none"/>
        </w:rPr>
        <w:t xml:space="preserve">及支付 </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1、本合同以人民币为报价和结算货币，除非发包人、承包人双方另有约定。</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2</w:t>
      </w:r>
      <w:r>
        <w:rPr>
          <w:rFonts w:hint="eastAsia"/>
          <w:bCs/>
          <w:snapToGrid w:val="0"/>
          <w:kern w:val="0"/>
          <w:szCs w:val="21"/>
          <w:highlight w:val="none"/>
        </w:rPr>
        <w:t>、中标下浮率和中标费率</w:t>
      </w:r>
      <w:r>
        <w:rPr>
          <w:bCs/>
          <w:snapToGrid w:val="0"/>
          <w:kern w:val="0"/>
          <w:szCs w:val="21"/>
          <w:highlight w:val="none"/>
        </w:rPr>
        <w:t>计</w:t>
      </w:r>
      <w:r>
        <w:rPr>
          <w:rFonts w:hint="eastAsia"/>
          <w:bCs/>
          <w:snapToGrid w:val="0"/>
          <w:kern w:val="0"/>
          <w:szCs w:val="21"/>
          <w:highlight w:val="none"/>
        </w:rPr>
        <w:t>算</w:t>
      </w:r>
      <w:r>
        <w:rPr>
          <w:bCs/>
          <w:snapToGrid w:val="0"/>
          <w:kern w:val="0"/>
          <w:szCs w:val="21"/>
          <w:highlight w:val="none"/>
        </w:rPr>
        <w:t>方式如下：</w:t>
      </w:r>
    </w:p>
    <w:p>
      <w:pPr>
        <w:adjustRightInd w:val="0"/>
        <w:snapToGrid w:val="0"/>
        <w:spacing w:line="440" w:lineRule="exact"/>
        <w:ind w:right="11" w:firstLine="403" w:firstLineChars="192"/>
        <w:rPr>
          <w:bCs/>
          <w:snapToGrid w:val="0"/>
          <w:kern w:val="0"/>
          <w:szCs w:val="21"/>
          <w:highlight w:val="none"/>
        </w:rPr>
      </w:pPr>
      <w:r>
        <w:rPr>
          <w:rFonts w:hint="eastAsia"/>
          <w:bCs/>
          <w:snapToGrid w:val="0"/>
          <w:kern w:val="0"/>
          <w:szCs w:val="21"/>
          <w:highlight w:val="none"/>
        </w:rPr>
        <w:t>（1）中标下浮率</w:t>
      </w:r>
      <w:r>
        <w:rPr>
          <w:rFonts w:hint="eastAsia" w:ascii="宋体" w:hAnsi="宋体"/>
          <w:bCs/>
          <w:snapToGrid w:val="0"/>
          <w:kern w:val="0"/>
          <w:szCs w:val="21"/>
          <w:highlight w:val="none"/>
        </w:rPr>
        <w:t>=</w:t>
      </w:r>
      <w:r>
        <w:rPr>
          <w:rFonts w:hint="eastAsia"/>
          <w:bCs/>
          <w:snapToGrid w:val="0"/>
          <w:kern w:val="0"/>
          <w:szCs w:val="21"/>
          <w:highlight w:val="none"/>
        </w:rPr>
        <w:t>（建安费招标控制价</w:t>
      </w:r>
      <w:r>
        <w:rPr>
          <w:rFonts w:hint="eastAsia" w:asciiTheme="minorEastAsia" w:hAnsiTheme="minorEastAsia" w:eastAsiaTheme="minorEastAsia"/>
          <w:bCs/>
          <w:snapToGrid w:val="0"/>
          <w:kern w:val="0"/>
          <w:szCs w:val="21"/>
          <w:highlight w:val="none"/>
        </w:rPr>
        <w:t>-建安费</w:t>
      </w:r>
      <w:r>
        <w:rPr>
          <w:rFonts w:hint="eastAsia"/>
          <w:bCs/>
          <w:snapToGrid w:val="0"/>
          <w:kern w:val="0"/>
          <w:szCs w:val="21"/>
          <w:highlight w:val="none"/>
        </w:rPr>
        <w:t>中标价）</w:t>
      </w:r>
      <w:r>
        <w:rPr>
          <w:rFonts w:hint="eastAsia" w:asciiTheme="majorEastAsia" w:hAnsiTheme="majorEastAsia" w:eastAsiaTheme="majorEastAsia"/>
          <w:bCs/>
          <w:snapToGrid w:val="0"/>
          <w:kern w:val="0"/>
          <w:szCs w:val="21"/>
          <w:highlight w:val="none"/>
        </w:rPr>
        <w:t>/</w:t>
      </w:r>
      <w:r>
        <w:rPr>
          <w:rFonts w:asciiTheme="majorEastAsia" w:hAnsiTheme="majorEastAsia" w:eastAsiaTheme="majorEastAsia"/>
          <w:bCs/>
          <w:snapToGrid w:val="0"/>
          <w:kern w:val="0"/>
          <w:szCs w:val="21"/>
          <w:highlight w:val="none"/>
        </w:rPr>
        <w:t xml:space="preserve"> </w:t>
      </w:r>
      <w:r>
        <w:rPr>
          <w:rFonts w:hint="eastAsia" w:asciiTheme="majorEastAsia" w:hAnsiTheme="majorEastAsia" w:eastAsiaTheme="majorEastAsia"/>
          <w:bCs/>
          <w:snapToGrid w:val="0"/>
          <w:kern w:val="0"/>
          <w:szCs w:val="21"/>
          <w:highlight w:val="none"/>
        </w:rPr>
        <w:t>建安费</w:t>
      </w:r>
      <w:r>
        <w:rPr>
          <w:rFonts w:hint="eastAsia"/>
          <w:bCs/>
          <w:snapToGrid w:val="0"/>
          <w:kern w:val="0"/>
          <w:szCs w:val="21"/>
          <w:highlight w:val="none"/>
        </w:rPr>
        <w:t>招标控制价×1</w:t>
      </w:r>
      <w:r>
        <w:rPr>
          <w:bCs/>
          <w:snapToGrid w:val="0"/>
          <w:kern w:val="0"/>
          <w:szCs w:val="21"/>
          <w:highlight w:val="none"/>
        </w:rPr>
        <w:t>00</w:t>
      </w:r>
      <w:r>
        <w:rPr>
          <w:rFonts w:hint="eastAsia"/>
          <w:bCs/>
          <w:snapToGrid w:val="0"/>
          <w:kern w:val="0"/>
          <w:szCs w:val="21"/>
          <w:highlight w:val="none"/>
        </w:rPr>
        <w:t>%；</w:t>
      </w:r>
    </w:p>
    <w:p>
      <w:pPr>
        <w:adjustRightInd w:val="0"/>
        <w:snapToGrid w:val="0"/>
        <w:spacing w:line="440" w:lineRule="exact"/>
        <w:ind w:right="11" w:firstLine="403" w:firstLineChars="192"/>
        <w:rPr>
          <w:bCs/>
          <w:snapToGrid w:val="0"/>
          <w:kern w:val="0"/>
          <w:szCs w:val="21"/>
          <w:highlight w:val="none"/>
        </w:rPr>
      </w:pPr>
      <w:r>
        <w:rPr>
          <w:rFonts w:hint="eastAsia"/>
          <w:bCs/>
          <w:snapToGrid w:val="0"/>
          <w:kern w:val="0"/>
          <w:szCs w:val="21"/>
          <w:highlight w:val="none"/>
        </w:rPr>
        <w:t>（2）中标费率</w:t>
      </w:r>
      <w:r>
        <w:rPr>
          <w:rFonts w:hint="eastAsia" w:ascii="宋体" w:hAnsi="宋体"/>
          <w:bCs/>
          <w:snapToGrid w:val="0"/>
          <w:kern w:val="0"/>
          <w:szCs w:val="21"/>
          <w:highlight w:val="none"/>
        </w:rPr>
        <w:t>=</w:t>
      </w:r>
      <w:r>
        <w:rPr>
          <w:rFonts w:hint="eastAsia"/>
          <w:bCs/>
          <w:snapToGrid w:val="0"/>
          <w:kern w:val="0"/>
          <w:szCs w:val="21"/>
          <w:highlight w:val="none"/>
        </w:rPr>
        <w:t xml:space="preserve">（设计费中标价 </w:t>
      </w:r>
      <w:r>
        <w:rPr>
          <w:rFonts w:hint="eastAsia" w:asciiTheme="majorEastAsia" w:hAnsiTheme="majorEastAsia" w:eastAsiaTheme="majorEastAsia"/>
          <w:bCs/>
          <w:snapToGrid w:val="0"/>
          <w:kern w:val="0"/>
          <w:szCs w:val="21"/>
          <w:highlight w:val="none"/>
        </w:rPr>
        <w:t>/</w:t>
      </w:r>
      <w:r>
        <w:rPr>
          <w:rFonts w:asciiTheme="majorEastAsia" w:hAnsiTheme="majorEastAsia" w:eastAsiaTheme="majorEastAsia"/>
          <w:bCs/>
          <w:snapToGrid w:val="0"/>
          <w:kern w:val="0"/>
          <w:szCs w:val="21"/>
          <w:highlight w:val="none"/>
        </w:rPr>
        <w:t xml:space="preserve"> </w:t>
      </w:r>
      <w:r>
        <w:rPr>
          <w:rFonts w:hint="eastAsia" w:asciiTheme="majorEastAsia" w:hAnsiTheme="majorEastAsia" w:eastAsiaTheme="majorEastAsia"/>
          <w:bCs/>
          <w:snapToGrid w:val="0"/>
          <w:kern w:val="0"/>
          <w:szCs w:val="21"/>
          <w:highlight w:val="none"/>
        </w:rPr>
        <w:t>建安费中标价</w:t>
      </w:r>
      <w:r>
        <w:rPr>
          <w:rFonts w:hint="eastAsia"/>
          <w:bCs/>
          <w:snapToGrid w:val="0"/>
          <w:kern w:val="0"/>
          <w:szCs w:val="21"/>
          <w:highlight w:val="none"/>
        </w:rPr>
        <w:t>）×1</w:t>
      </w:r>
      <w:r>
        <w:rPr>
          <w:bCs/>
          <w:snapToGrid w:val="0"/>
          <w:kern w:val="0"/>
          <w:szCs w:val="21"/>
          <w:highlight w:val="none"/>
        </w:rPr>
        <w:t>00</w:t>
      </w:r>
      <w:r>
        <w:rPr>
          <w:rFonts w:hint="eastAsia"/>
          <w:bCs/>
          <w:snapToGrid w:val="0"/>
          <w:kern w:val="0"/>
          <w:szCs w:val="21"/>
          <w:highlight w:val="none"/>
        </w:rPr>
        <w:t>%；</w:t>
      </w:r>
    </w:p>
    <w:p>
      <w:pPr>
        <w:adjustRightInd w:val="0"/>
        <w:snapToGrid w:val="0"/>
        <w:spacing w:line="440" w:lineRule="exact"/>
        <w:ind w:right="11" w:firstLine="422" w:firstLineChars="200"/>
        <w:rPr>
          <w:b/>
          <w:bCs/>
          <w:snapToGrid w:val="0"/>
          <w:kern w:val="0"/>
          <w:szCs w:val="21"/>
          <w:highlight w:val="none"/>
        </w:rPr>
      </w:pPr>
      <w:r>
        <w:rPr>
          <w:b/>
          <w:bCs/>
          <w:snapToGrid w:val="0"/>
          <w:kern w:val="0"/>
          <w:szCs w:val="21"/>
          <w:highlight w:val="none"/>
        </w:rPr>
        <w:t>3、本</w:t>
      </w:r>
      <w:r>
        <w:rPr>
          <w:rFonts w:hint="eastAsia"/>
          <w:b/>
          <w:bCs/>
          <w:snapToGrid w:val="0"/>
          <w:kern w:val="0"/>
          <w:szCs w:val="21"/>
          <w:highlight w:val="none"/>
        </w:rPr>
        <w:t>项目</w:t>
      </w:r>
      <w:r>
        <w:rPr>
          <w:b/>
          <w:bCs/>
          <w:snapToGrid w:val="0"/>
          <w:kern w:val="0"/>
          <w:szCs w:val="21"/>
          <w:highlight w:val="none"/>
        </w:rPr>
        <w:t>合同价暂定为</w:t>
      </w:r>
      <w:r>
        <w:rPr>
          <w:b/>
          <w:bCs/>
          <w:snapToGrid w:val="0"/>
          <w:kern w:val="0"/>
          <w:szCs w:val="21"/>
          <w:highlight w:val="none"/>
          <w:u w:val="single"/>
        </w:rPr>
        <w:t>￥</w:t>
      </w:r>
      <w:r>
        <w:rPr>
          <w:rFonts w:eastAsiaTheme="minorEastAsia"/>
          <w:b/>
          <w:bCs/>
          <w:snapToGrid w:val="0"/>
          <w:kern w:val="0"/>
          <w:szCs w:val="21"/>
          <w:highlight w:val="none"/>
          <w:u w:val="single"/>
        </w:rPr>
        <w:t xml:space="preserve">            </w:t>
      </w:r>
      <w:r>
        <w:rPr>
          <w:b/>
          <w:bCs/>
          <w:snapToGrid w:val="0"/>
          <w:kern w:val="0"/>
          <w:szCs w:val="21"/>
          <w:highlight w:val="none"/>
        </w:rPr>
        <w:t>元（大写：</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b/>
          <w:bCs/>
          <w:snapToGrid w:val="0"/>
          <w:kern w:val="0"/>
          <w:szCs w:val="21"/>
          <w:highlight w:val="none"/>
        </w:rPr>
        <w:t>），由以下费用组成：</w:t>
      </w:r>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w:t>
      </w:r>
      <w:r>
        <w:rPr>
          <w:bCs/>
          <w:snapToGrid w:val="0"/>
          <w:kern w:val="0"/>
          <w:szCs w:val="21"/>
          <w:highlight w:val="none"/>
        </w:rPr>
        <w:t>1</w:t>
      </w:r>
      <w:r>
        <w:rPr>
          <w:rFonts w:hint="eastAsia"/>
          <w:bCs/>
          <w:snapToGrid w:val="0"/>
          <w:kern w:val="0"/>
          <w:szCs w:val="21"/>
          <w:highlight w:val="none"/>
        </w:rPr>
        <w:t>）工程设计费合同暂定价为</w:t>
      </w:r>
      <w:r>
        <w:rPr>
          <w:rFonts w:hint="eastAsia" w:ascii="宋体" w:hAnsi="宋体"/>
          <w:bCs/>
          <w:snapToGrid w:val="0"/>
          <w:kern w:val="0"/>
          <w:szCs w:val="21"/>
          <w:highlight w:val="none"/>
          <w:u w:val="single"/>
        </w:rPr>
        <w:t>￥</w:t>
      </w:r>
      <w:r>
        <w:rPr>
          <w:bCs/>
          <w:snapToGrid w:val="0"/>
          <w:kern w:val="0"/>
          <w:szCs w:val="21"/>
          <w:highlight w:val="none"/>
          <w:u w:val="single"/>
        </w:rPr>
        <w:t xml:space="preserve">     </w:t>
      </w:r>
      <w:r>
        <w:rPr>
          <w:rFonts w:hint="eastAsia"/>
          <w:bCs/>
          <w:snapToGrid w:val="0"/>
          <w:kern w:val="0"/>
          <w:szCs w:val="21"/>
          <w:highlight w:val="none"/>
        </w:rPr>
        <w:t>元，中标下浮率为</w:t>
      </w:r>
      <w:r>
        <w:rPr>
          <w:rFonts w:asciiTheme="minorEastAsia" w:hAnsiTheme="minorEastAsia" w:eastAsiaTheme="minorEastAsia"/>
          <w:bCs/>
          <w:snapToGrid w:val="0"/>
          <w:kern w:val="0"/>
          <w:szCs w:val="21"/>
          <w:highlight w:val="none"/>
          <w:u w:val="single"/>
        </w:rPr>
        <w:t xml:space="preserve">  </w:t>
      </w:r>
      <w:r>
        <w:rPr>
          <w:bCs/>
          <w:snapToGrid w:val="0"/>
          <w:kern w:val="0"/>
          <w:szCs w:val="21"/>
          <w:highlight w:val="none"/>
        </w:rPr>
        <w:t>%</w:t>
      </w:r>
      <w:r>
        <w:rPr>
          <w:rFonts w:hint="eastAsia"/>
          <w:bCs/>
          <w:snapToGrid w:val="0"/>
          <w:kern w:val="0"/>
          <w:szCs w:val="21"/>
          <w:highlight w:val="none"/>
        </w:rPr>
        <w:t>；中标费率为</w:t>
      </w:r>
      <w:r>
        <w:rPr>
          <w:bCs/>
          <w:snapToGrid w:val="0"/>
          <w:kern w:val="0"/>
          <w:szCs w:val="21"/>
          <w:highlight w:val="none"/>
          <w:u w:val="single"/>
        </w:rPr>
        <w:t xml:space="preserve">    </w:t>
      </w:r>
      <w:r>
        <w:rPr>
          <w:rFonts w:hint="eastAsia"/>
          <w:bCs/>
          <w:snapToGrid w:val="0"/>
          <w:kern w:val="0"/>
          <w:szCs w:val="21"/>
          <w:highlight w:val="none"/>
        </w:rPr>
        <w:t>%。</w:t>
      </w:r>
    </w:p>
    <w:p>
      <w:pPr>
        <w:adjustRightInd w:val="0"/>
        <w:snapToGrid w:val="0"/>
        <w:spacing w:line="440" w:lineRule="exact"/>
        <w:ind w:right="11" w:firstLine="420" w:firstLineChars="200"/>
        <w:rPr>
          <w:b/>
          <w:bCs/>
          <w:snapToGrid w:val="0"/>
          <w:kern w:val="0"/>
          <w:szCs w:val="21"/>
          <w:highlight w:val="none"/>
        </w:rPr>
      </w:pPr>
      <w:r>
        <w:rPr>
          <w:rFonts w:hint="eastAsia"/>
          <w:bCs/>
          <w:snapToGrid w:val="0"/>
          <w:kern w:val="0"/>
          <w:szCs w:val="21"/>
          <w:highlight w:val="none"/>
        </w:rPr>
        <w:t>（2）</w:t>
      </w:r>
      <w:r>
        <w:rPr>
          <w:bCs/>
          <w:snapToGrid w:val="0"/>
          <w:kern w:val="0"/>
          <w:szCs w:val="21"/>
          <w:highlight w:val="none"/>
        </w:rPr>
        <w:t>施工</w:t>
      </w:r>
      <w:r>
        <w:rPr>
          <w:rFonts w:hint="eastAsia"/>
          <w:bCs/>
          <w:snapToGrid w:val="0"/>
          <w:kern w:val="0"/>
          <w:szCs w:val="21"/>
          <w:highlight w:val="none"/>
        </w:rPr>
        <w:t>总承包</w:t>
      </w:r>
      <w:r>
        <w:rPr>
          <w:bCs/>
          <w:snapToGrid w:val="0"/>
          <w:kern w:val="0"/>
          <w:szCs w:val="21"/>
          <w:highlight w:val="none"/>
        </w:rPr>
        <w:t>合同暂定价为</w:t>
      </w:r>
      <w:r>
        <w:rPr>
          <w:rFonts w:hint="eastAsia"/>
          <w:bCs/>
          <w:snapToGrid w:val="0"/>
          <w:kern w:val="0"/>
          <w:szCs w:val="21"/>
          <w:highlight w:val="none"/>
          <w:u w:val="single"/>
        </w:rPr>
        <w:t>￥</w:t>
      </w:r>
      <w:r>
        <w:rPr>
          <w:bCs/>
          <w:snapToGrid w:val="0"/>
          <w:kern w:val="0"/>
          <w:szCs w:val="21"/>
          <w:highlight w:val="none"/>
          <w:u w:val="single"/>
        </w:rPr>
        <w:t xml:space="preserve">      </w:t>
      </w:r>
      <w:r>
        <w:rPr>
          <w:bCs/>
          <w:snapToGrid w:val="0"/>
          <w:kern w:val="0"/>
          <w:szCs w:val="21"/>
          <w:highlight w:val="none"/>
        </w:rPr>
        <w:t>元，中标下浮率为</w:t>
      </w:r>
      <w:r>
        <w:rPr>
          <w:bCs/>
          <w:snapToGrid w:val="0"/>
          <w:kern w:val="0"/>
          <w:szCs w:val="21"/>
          <w:highlight w:val="none"/>
          <w:u w:val="single"/>
        </w:rPr>
        <w:t xml:space="preserve">      </w:t>
      </w:r>
      <w:r>
        <w:rPr>
          <w:bCs/>
          <w:snapToGrid w:val="0"/>
          <w:kern w:val="0"/>
          <w:szCs w:val="21"/>
          <w:highlight w:val="none"/>
        </w:rPr>
        <w:t>%</w:t>
      </w:r>
      <w:r>
        <w:rPr>
          <w:rFonts w:hint="eastAsia"/>
          <w:bCs/>
          <w:snapToGrid w:val="0"/>
          <w:kern w:val="0"/>
          <w:szCs w:val="21"/>
          <w:highlight w:val="none"/>
        </w:rPr>
        <w:t>，其中：暂列金为</w:t>
      </w:r>
      <w:r>
        <w:rPr>
          <w:rFonts w:hint="eastAsia"/>
          <w:bCs/>
          <w:snapToGrid w:val="0"/>
          <w:kern w:val="0"/>
          <w:szCs w:val="21"/>
          <w:highlight w:val="none"/>
          <w:u w:val="single"/>
        </w:rPr>
        <w:t>￥</w:t>
      </w:r>
      <w:r>
        <w:rPr>
          <w:bCs/>
          <w:snapToGrid w:val="0"/>
          <w:kern w:val="0"/>
          <w:szCs w:val="21"/>
          <w:highlight w:val="none"/>
          <w:u w:val="single"/>
        </w:rPr>
        <w:t xml:space="preserve">       </w:t>
      </w:r>
      <w:r>
        <w:rPr>
          <w:bCs/>
          <w:snapToGrid w:val="0"/>
          <w:kern w:val="0"/>
          <w:szCs w:val="21"/>
          <w:highlight w:val="none"/>
        </w:rPr>
        <w:t>元</w:t>
      </w:r>
      <w:r>
        <w:rPr>
          <w:rFonts w:hint="eastAsia"/>
          <w:bCs/>
          <w:snapToGrid w:val="0"/>
          <w:kern w:val="0"/>
          <w:szCs w:val="21"/>
          <w:highlight w:val="none"/>
        </w:rPr>
        <w:t>。（上述暂列金为</w:t>
      </w:r>
      <w:r>
        <w:rPr>
          <w:rFonts w:hint="eastAsia"/>
          <w:snapToGrid w:val="0"/>
          <w:kern w:val="0"/>
          <w:szCs w:val="21"/>
          <w:highlight w:val="none"/>
        </w:rPr>
        <w:t>暂定价，最终按施工图预算建安工程费中分部分项的</w:t>
      </w:r>
      <w:r>
        <w:rPr>
          <w:b/>
          <w:snapToGrid w:val="0"/>
          <w:kern w:val="0"/>
          <w:szCs w:val="21"/>
          <w:highlight w:val="none"/>
          <w:u w:val="single"/>
        </w:rPr>
        <w:t>10</w:t>
      </w:r>
      <w:r>
        <w:rPr>
          <w:b/>
          <w:snapToGrid w:val="0"/>
          <w:kern w:val="0"/>
          <w:szCs w:val="21"/>
          <w:highlight w:val="none"/>
        </w:rPr>
        <w:t>%</w:t>
      </w:r>
      <w:r>
        <w:rPr>
          <w:rFonts w:hint="eastAsia"/>
          <w:snapToGrid w:val="0"/>
          <w:kern w:val="0"/>
          <w:szCs w:val="21"/>
          <w:highlight w:val="none"/>
        </w:rPr>
        <w:t>设定施工总承包合同暂列金</w:t>
      </w:r>
      <w:r>
        <w:rPr>
          <w:rFonts w:hint="eastAsia"/>
          <w:bCs/>
          <w:snapToGrid w:val="0"/>
          <w:kern w:val="0"/>
          <w:szCs w:val="21"/>
          <w:highlight w:val="none"/>
        </w:rPr>
        <w:t>）。</w:t>
      </w:r>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4、</w:t>
      </w:r>
      <w:r>
        <w:rPr>
          <w:bCs/>
          <w:snapToGrid w:val="0"/>
          <w:kern w:val="0"/>
          <w:szCs w:val="21"/>
          <w:highlight w:val="none"/>
        </w:rPr>
        <w:t>承包人提供的图纸须按招标文件方案设计、初步设计（概算）、设计任务书等的要求进行限额投资、限额设计、限额施工。</w:t>
      </w:r>
    </w:p>
    <w:p>
      <w:pPr>
        <w:numPr>
          <w:ilvl w:val="255"/>
          <w:numId w:val="0"/>
        </w:numPr>
        <w:adjustRightInd w:val="0"/>
        <w:snapToGrid w:val="0"/>
        <w:spacing w:line="440" w:lineRule="exact"/>
        <w:ind w:right="11" w:firstLine="422" w:firstLineChars="200"/>
        <w:rPr>
          <w:bCs/>
          <w:snapToGrid w:val="0"/>
          <w:kern w:val="0"/>
          <w:szCs w:val="21"/>
          <w:highlight w:val="none"/>
        </w:rPr>
      </w:pPr>
      <w:r>
        <w:rPr>
          <w:rFonts w:hint="eastAsia"/>
          <w:b/>
          <w:szCs w:val="21"/>
          <w:highlight w:val="none"/>
        </w:rPr>
        <w:t>5、合同价款（即承包人的中标价）仅作为签约合同价。甲方委托的审核单位审定本项目工程预算后，发包人与承包人在预算审定后</w:t>
      </w:r>
      <w:r>
        <w:rPr>
          <w:b/>
          <w:szCs w:val="21"/>
          <w:highlight w:val="none"/>
        </w:rPr>
        <w:t>15</w:t>
      </w:r>
      <w:r>
        <w:rPr>
          <w:rFonts w:hint="eastAsia"/>
          <w:b/>
          <w:szCs w:val="21"/>
          <w:highlight w:val="none"/>
        </w:rPr>
        <w:t>天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w:t>
      </w:r>
      <w:r>
        <w:rPr>
          <w:b/>
          <w:szCs w:val="21"/>
          <w:highlight w:val="none"/>
        </w:rPr>
        <w:t>1</w:t>
      </w:r>
      <w:r>
        <w:rPr>
          <w:rFonts w:asciiTheme="minorEastAsia" w:hAnsiTheme="minorEastAsia" w:eastAsiaTheme="minorEastAsia"/>
          <w:b/>
          <w:szCs w:val="21"/>
          <w:highlight w:val="none"/>
        </w:rPr>
        <w:t>-</w:t>
      </w:r>
      <w:r>
        <w:rPr>
          <w:rFonts w:hint="eastAsia"/>
          <w:b/>
          <w:szCs w:val="21"/>
          <w:highlight w:val="none"/>
        </w:rPr>
        <w:t>中标下浮率）为依据支付工程进度款。工程结算</w:t>
      </w:r>
      <w:r>
        <w:rPr>
          <w:rFonts w:hint="eastAsia"/>
          <w:b/>
          <w:bCs/>
          <w:snapToGrid w:val="0"/>
          <w:kern w:val="0"/>
          <w:szCs w:val="21"/>
          <w:highlight w:val="none"/>
        </w:rPr>
        <w:t>价最终以有甲方委托的结算审核单位审定为准。</w:t>
      </w:r>
    </w:p>
    <w:p>
      <w:pPr>
        <w:numPr>
          <w:ilvl w:val="255"/>
          <w:numId w:val="0"/>
        </w:numPr>
        <w:adjustRightInd w:val="0"/>
        <w:snapToGrid w:val="0"/>
        <w:spacing w:line="440" w:lineRule="exact"/>
        <w:ind w:right="11" w:firstLine="420" w:firstLineChars="200"/>
        <w:rPr>
          <w:bCs/>
          <w:snapToGrid w:val="0"/>
          <w:kern w:val="0"/>
          <w:szCs w:val="21"/>
          <w:highlight w:val="none"/>
        </w:rPr>
      </w:pPr>
    </w:p>
    <w:p>
      <w:pPr>
        <w:adjustRightInd w:val="0"/>
        <w:snapToGrid w:val="0"/>
        <w:spacing w:line="440" w:lineRule="exact"/>
        <w:ind w:right="11" w:firstLine="422" w:firstLineChars="200"/>
        <w:rPr>
          <w:b/>
          <w:snapToGrid w:val="0"/>
          <w:szCs w:val="21"/>
          <w:highlight w:val="none"/>
        </w:rPr>
      </w:pPr>
      <w:r>
        <w:rPr>
          <w:rFonts w:hint="eastAsia"/>
          <w:b/>
          <w:snapToGrid w:val="0"/>
          <w:szCs w:val="21"/>
          <w:highlight w:val="none"/>
        </w:rPr>
        <w:t>六</w:t>
      </w:r>
      <w:r>
        <w:rPr>
          <w:b/>
          <w:snapToGrid w:val="0"/>
          <w:szCs w:val="21"/>
          <w:highlight w:val="none"/>
        </w:rPr>
        <w:t>、履约担保</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中标通知书发出之日起</w:t>
      </w:r>
      <w:r>
        <w:rPr>
          <w:bCs/>
          <w:snapToGrid w:val="0"/>
          <w:kern w:val="0"/>
          <w:szCs w:val="21"/>
          <w:highlight w:val="none"/>
          <w:u w:val="single"/>
        </w:rPr>
        <w:t>25</w:t>
      </w:r>
      <w:r>
        <w:rPr>
          <w:bCs/>
          <w:snapToGrid w:val="0"/>
          <w:kern w:val="0"/>
          <w:szCs w:val="21"/>
          <w:highlight w:val="none"/>
        </w:rPr>
        <w:t>日内，承包人</w:t>
      </w:r>
      <w:r>
        <w:rPr>
          <w:rFonts w:hint="eastAsia"/>
          <w:bCs/>
          <w:snapToGrid w:val="0"/>
          <w:kern w:val="0"/>
          <w:szCs w:val="21"/>
          <w:highlight w:val="none"/>
        </w:rPr>
        <w:t>须</w:t>
      </w:r>
      <w:r>
        <w:rPr>
          <w:bCs/>
          <w:snapToGrid w:val="0"/>
          <w:kern w:val="0"/>
          <w:szCs w:val="21"/>
          <w:highlight w:val="none"/>
        </w:rPr>
        <w:t>向发包人提交</w:t>
      </w:r>
      <w:r>
        <w:rPr>
          <w:rFonts w:hint="eastAsia"/>
          <w:bCs/>
          <w:snapToGrid w:val="0"/>
          <w:kern w:val="0"/>
          <w:szCs w:val="21"/>
          <w:highlight w:val="none"/>
        </w:rPr>
        <w:t xml:space="preserve">履约担保，履约担保金额为中标价的 </w:t>
      </w:r>
      <w:r>
        <w:rPr>
          <w:bCs/>
          <w:snapToGrid w:val="0"/>
          <w:kern w:val="0"/>
          <w:szCs w:val="21"/>
          <w:highlight w:val="none"/>
        </w:rPr>
        <w:t>10</w:t>
      </w:r>
      <w:r>
        <w:rPr>
          <w:rFonts w:hint="eastAsia"/>
          <w:bCs/>
          <w:snapToGrid w:val="0"/>
          <w:kern w:val="0"/>
          <w:szCs w:val="21"/>
          <w:highlight w:val="none"/>
        </w:rPr>
        <w:t>%，若为联合体承包人应按施工费中标价的1</w:t>
      </w:r>
      <w:r>
        <w:rPr>
          <w:bCs/>
          <w:snapToGrid w:val="0"/>
          <w:kern w:val="0"/>
          <w:szCs w:val="21"/>
          <w:highlight w:val="none"/>
        </w:rPr>
        <w:t>0</w:t>
      </w:r>
      <w:r>
        <w:rPr>
          <w:rFonts w:hint="eastAsia"/>
          <w:bCs/>
          <w:snapToGrid w:val="0"/>
          <w:kern w:val="0"/>
          <w:szCs w:val="21"/>
          <w:highlight w:val="none"/>
        </w:rPr>
        <w:t>%和设计费中标价的1</w:t>
      </w:r>
      <w:r>
        <w:rPr>
          <w:bCs/>
          <w:snapToGrid w:val="0"/>
          <w:kern w:val="0"/>
          <w:szCs w:val="21"/>
          <w:highlight w:val="none"/>
        </w:rPr>
        <w:t>0</w:t>
      </w:r>
      <w:r>
        <w:rPr>
          <w:rFonts w:hint="eastAsia"/>
          <w:bCs/>
          <w:snapToGrid w:val="0"/>
          <w:kern w:val="0"/>
          <w:szCs w:val="21"/>
          <w:highlight w:val="none"/>
        </w:rPr>
        <w:t>%，由联合体的施工方和设计方分别提交履约担保。承包人以银行履约保函的方式提交履约担保。</w:t>
      </w:r>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银行履约保函为</w:t>
      </w:r>
      <w:r>
        <w:rPr>
          <w:bCs/>
          <w:snapToGrid w:val="0"/>
          <w:kern w:val="0"/>
          <w:szCs w:val="21"/>
          <w:highlight w:val="none"/>
        </w:rPr>
        <w:t>由在中华人民共和国注册且营业地点在广州市行政辖区内的银行开出的《银行履约保函》原件</w:t>
      </w:r>
      <w:r>
        <w:rPr>
          <w:rFonts w:hint="eastAsia"/>
          <w:bCs/>
          <w:snapToGrid w:val="0"/>
          <w:kern w:val="0"/>
          <w:szCs w:val="21"/>
          <w:highlight w:val="none"/>
        </w:rPr>
        <w:t>，</w:t>
      </w:r>
      <w:r>
        <w:rPr>
          <w:bCs/>
          <w:snapToGrid w:val="0"/>
          <w:kern w:val="0"/>
          <w:szCs w:val="21"/>
          <w:highlight w:val="none"/>
        </w:rPr>
        <w:t>保函</w:t>
      </w:r>
      <w:r>
        <w:rPr>
          <w:rFonts w:hint="eastAsia"/>
          <w:bCs/>
          <w:snapToGrid w:val="0"/>
          <w:kern w:val="0"/>
          <w:szCs w:val="21"/>
          <w:highlight w:val="none"/>
        </w:rPr>
        <w:t>有效期</w:t>
      </w:r>
      <w:r>
        <w:rPr>
          <w:bCs/>
          <w:snapToGrid w:val="0"/>
          <w:kern w:val="0"/>
          <w:szCs w:val="21"/>
          <w:highlight w:val="none"/>
        </w:rPr>
        <w:t>应根据合同规定工期加</w:t>
      </w:r>
      <w:r>
        <w:rPr>
          <w:rFonts w:hint="eastAsia"/>
          <w:bCs/>
          <w:snapToGrid w:val="0"/>
          <w:kern w:val="0"/>
          <w:szCs w:val="21"/>
          <w:highlight w:val="none"/>
        </w:rPr>
        <w:t>1</w:t>
      </w:r>
      <w:r>
        <w:rPr>
          <w:bCs/>
          <w:snapToGrid w:val="0"/>
          <w:kern w:val="0"/>
          <w:szCs w:val="21"/>
          <w:highlight w:val="none"/>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Pr>
          <w:rFonts w:hint="eastAsia"/>
          <w:snapToGrid w:val="0"/>
          <w:kern w:val="0"/>
          <w:szCs w:val="21"/>
          <w:highlight w:val="none"/>
        </w:rPr>
        <w:t>承包人</w:t>
      </w:r>
      <w:r>
        <w:rPr>
          <w:bCs/>
          <w:snapToGrid w:val="0"/>
          <w:kern w:val="0"/>
          <w:szCs w:val="21"/>
          <w:highlight w:val="none"/>
        </w:rPr>
        <w:t>提交完整符合要求的竣工档案和完整的结算资料28天后作为保函失效时间。承包人如未能在上述约定的时间内提交</w:t>
      </w:r>
      <w:r>
        <w:rPr>
          <w:rFonts w:hint="eastAsia"/>
          <w:bCs/>
          <w:snapToGrid w:val="0"/>
          <w:kern w:val="0"/>
          <w:szCs w:val="21"/>
          <w:highlight w:val="none"/>
        </w:rPr>
        <w:t>履约担保的</w:t>
      </w:r>
      <w:r>
        <w:rPr>
          <w:bCs/>
          <w:snapToGrid w:val="0"/>
          <w:kern w:val="0"/>
          <w:szCs w:val="21"/>
          <w:highlight w:val="none"/>
        </w:rPr>
        <w:t>，视为自动放弃中标资格，其所提交的投标保证金不予退还。</w:t>
      </w:r>
    </w:p>
    <w:p>
      <w:pPr>
        <w:adjustRightInd w:val="0"/>
        <w:snapToGrid w:val="0"/>
        <w:spacing w:line="440" w:lineRule="exact"/>
        <w:ind w:right="11" w:firstLine="422" w:firstLineChars="200"/>
        <w:rPr>
          <w:snapToGrid w:val="0"/>
          <w:szCs w:val="21"/>
          <w:highlight w:val="none"/>
        </w:rPr>
      </w:pPr>
      <w:r>
        <w:rPr>
          <w:rFonts w:hint="eastAsia"/>
          <w:b/>
          <w:szCs w:val="21"/>
          <w:highlight w:val="none"/>
        </w:rPr>
        <w:t>七</w:t>
      </w:r>
      <w:r>
        <w:rPr>
          <w:b/>
          <w:snapToGrid w:val="0"/>
          <w:szCs w:val="21"/>
          <w:highlight w:val="none"/>
        </w:rPr>
        <w:t>、</w:t>
      </w:r>
      <w:r>
        <w:rPr>
          <w:rFonts w:hint="eastAsia"/>
          <w:b/>
          <w:snapToGrid w:val="0"/>
          <w:szCs w:val="21"/>
          <w:highlight w:val="none"/>
        </w:rPr>
        <w:t>承包人联合体</w:t>
      </w:r>
    </w:p>
    <w:p>
      <w:pPr>
        <w:adjustRightInd w:val="0"/>
        <w:snapToGrid w:val="0"/>
        <w:spacing w:line="440" w:lineRule="exact"/>
        <w:ind w:right="11" w:firstLine="420" w:firstLineChars="200"/>
        <w:rPr>
          <w:snapToGrid w:val="0"/>
          <w:szCs w:val="21"/>
          <w:highlight w:val="none"/>
        </w:rPr>
      </w:pPr>
      <w:r>
        <w:rPr>
          <w:snapToGrid w:val="0"/>
          <w:szCs w:val="21"/>
          <w:highlight w:val="none"/>
        </w:rPr>
        <w:t>联合体主办方</w:t>
      </w:r>
      <w:r>
        <w:rPr>
          <w:rFonts w:hint="eastAsia"/>
          <w:snapToGrid w:val="0"/>
          <w:szCs w:val="21"/>
          <w:highlight w:val="none"/>
          <w:u w:val="single"/>
        </w:rPr>
        <w:t xml:space="preserve"> </w:t>
      </w:r>
      <w:r>
        <w:rPr>
          <w:snapToGrid w:val="0"/>
          <w:szCs w:val="21"/>
          <w:highlight w:val="none"/>
          <w:u w:val="single"/>
        </w:rPr>
        <w:t xml:space="preserve">                      </w:t>
      </w:r>
      <w:r>
        <w:rPr>
          <w:szCs w:val="21"/>
          <w:highlight w:val="none"/>
        </w:rPr>
        <w:t>作为本项目总负责单位，对本项目的进度、质量、安全、投资控制、管理、协调等负总责；</w:t>
      </w:r>
      <w:r>
        <w:rPr>
          <w:rFonts w:hint="eastAsia"/>
          <w:szCs w:val="21"/>
          <w:highlight w:val="none"/>
        </w:rPr>
        <w:t>同时，</w:t>
      </w:r>
      <w:r>
        <w:rPr>
          <w:rFonts w:hint="eastAsia"/>
          <w:snapToGrid w:val="0"/>
          <w:szCs w:val="21"/>
          <w:highlight w:val="none"/>
        </w:rPr>
        <w:t>联合体各成员应当共同与发包人签订合同，并</w:t>
      </w:r>
      <w:r>
        <w:rPr>
          <w:snapToGrid w:val="0"/>
          <w:szCs w:val="21"/>
          <w:highlight w:val="none"/>
        </w:rPr>
        <w:t>就合同项下彼此的责任和义务，包括</w:t>
      </w:r>
      <w:r>
        <w:rPr>
          <w:rFonts w:hint="eastAsia"/>
          <w:snapToGrid w:val="0"/>
          <w:szCs w:val="21"/>
          <w:highlight w:val="none"/>
        </w:rPr>
        <w:t>但</w:t>
      </w:r>
      <w:r>
        <w:rPr>
          <w:snapToGrid w:val="0"/>
          <w:szCs w:val="21"/>
          <w:highlight w:val="none"/>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pPr>
        <w:adjustRightInd w:val="0"/>
        <w:snapToGrid w:val="0"/>
        <w:spacing w:line="440" w:lineRule="exact"/>
        <w:ind w:right="11" w:firstLine="422" w:firstLineChars="200"/>
        <w:rPr>
          <w:b/>
          <w:bCs/>
          <w:snapToGrid w:val="0"/>
          <w:kern w:val="0"/>
          <w:szCs w:val="21"/>
          <w:highlight w:val="none"/>
        </w:rPr>
      </w:pPr>
      <w:r>
        <w:rPr>
          <w:rFonts w:hint="eastAsia"/>
          <w:b/>
          <w:bCs/>
          <w:snapToGrid w:val="0"/>
          <w:kern w:val="0"/>
          <w:szCs w:val="21"/>
          <w:highlight w:val="none"/>
        </w:rPr>
        <w:t>八</w:t>
      </w:r>
      <w:r>
        <w:rPr>
          <w:b/>
          <w:bCs/>
          <w:snapToGrid w:val="0"/>
          <w:kern w:val="0"/>
          <w:szCs w:val="21"/>
          <w:highlight w:val="none"/>
        </w:rPr>
        <w:t>、承包人承诺</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（1）按合同约定承担</w:t>
      </w:r>
      <w:r>
        <w:rPr>
          <w:rFonts w:hint="eastAsia"/>
          <w:bCs/>
          <w:snapToGrid w:val="0"/>
          <w:kern w:val="0"/>
          <w:szCs w:val="21"/>
          <w:highlight w:val="none"/>
        </w:rPr>
        <w:t>本项目</w:t>
      </w:r>
      <w:r>
        <w:rPr>
          <w:bCs/>
          <w:snapToGrid w:val="0"/>
          <w:kern w:val="0"/>
          <w:szCs w:val="21"/>
          <w:highlight w:val="none"/>
        </w:rPr>
        <w:t>的设计、采购、实施、竣工、缺陷修复及质量保修等。</w:t>
      </w:r>
    </w:p>
    <w:p>
      <w:pPr>
        <w:adjustRightInd w:val="0"/>
        <w:snapToGrid w:val="0"/>
        <w:spacing w:line="440" w:lineRule="exact"/>
        <w:ind w:right="11" w:firstLine="420" w:firstLineChars="200"/>
        <w:rPr>
          <w:snapToGrid w:val="0"/>
          <w:kern w:val="0"/>
          <w:szCs w:val="21"/>
          <w:highlight w:val="none"/>
        </w:rPr>
      </w:pPr>
      <w:r>
        <w:rPr>
          <w:bCs/>
          <w:snapToGrid w:val="0"/>
          <w:kern w:val="0"/>
          <w:szCs w:val="21"/>
          <w:highlight w:val="none"/>
        </w:rPr>
        <w:t>（2）</w:t>
      </w:r>
      <w:r>
        <w:rPr>
          <w:snapToGrid w:val="0"/>
          <w:kern w:val="0"/>
          <w:szCs w:val="21"/>
          <w:highlight w:val="none"/>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pPr>
        <w:adjustRightInd w:val="0"/>
        <w:snapToGrid w:val="0"/>
        <w:spacing w:line="440" w:lineRule="exact"/>
        <w:ind w:right="11" w:firstLine="420" w:firstLineChars="200"/>
        <w:rPr>
          <w:strike/>
          <w:snapToGrid w:val="0"/>
          <w:kern w:val="0"/>
          <w:szCs w:val="21"/>
          <w:highlight w:val="none"/>
        </w:rPr>
      </w:pPr>
      <w:r>
        <w:rPr>
          <w:snapToGrid w:val="0"/>
          <w:kern w:val="0"/>
          <w:szCs w:val="21"/>
          <w:highlight w:val="none"/>
        </w:rPr>
        <w:t>（3）</w:t>
      </w:r>
      <w:r>
        <w:rPr>
          <w:snapToGrid w:val="0"/>
          <w:szCs w:val="21"/>
          <w:highlight w:val="none"/>
        </w:rPr>
        <w:t>承包人应保证发包人免于受到或承担应由承包人负责的因承包人现场施工所引起的或与之有关的索赔、诉讼以及其它开支；</w:t>
      </w:r>
      <w:r>
        <w:rPr>
          <w:snapToGrid w:val="0"/>
          <w:kern w:val="0"/>
          <w:szCs w:val="21"/>
          <w:highlight w:val="none"/>
        </w:rPr>
        <w:t>因承包人原因导致发包人参与诉讼、仲裁事项的，承包人应据实赔偿发包人的经济损失，以及承担由此支出的所有诉讼费、仲裁费、律师费及其他费用，并且在收到发包人赔付通知后立即支付，否则，每逾期1天应按逾付款项总额的5‰向发包人</w:t>
      </w:r>
      <w:r>
        <w:rPr>
          <w:rFonts w:hint="eastAsia"/>
          <w:snapToGrid w:val="0"/>
          <w:kern w:val="0"/>
          <w:szCs w:val="21"/>
          <w:highlight w:val="none"/>
        </w:rPr>
        <w:t>索偿</w:t>
      </w:r>
      <w:r>
        <w:rPr>
          <w:snapToGrid w:val="0"/>
          <w:kern w:val="0"/>
          <w:szCs w:val="21"/>
          <w:highlight w:val="none"/>
        </w:rPr>
        <w:t>违约责任。</w:t>
      </w:r>
    </w:p>
    <w:p>
      <w:pPr>
        <w:adjustRightInd w:val="0"/>
        <w:snapToGrid w:val="0"/>
        <w:spacing w:line="440" w:lineRule="exact"/>
        <w:ind w:right="11" w:firstLine="422" w:firstLineChars="200"/>
        <w:rPr>
          <w:b/>
          <w:bCs/>
          <w:snapToGrid w:val="0"/>
          <w:kern w:val="0"/>
          <w:szCs w:val="21"/>
          <w:highlight w:val="none"/>
        </w:rPr>
      </w:pPr>
      <w:r>
        <w:rPr>
          <w:rFonts w:hint="eastAsia"/>
          <w:b/>
          <w:bCs/>
          <w:snapToGrid w:val="0"/>
          <w:kern w:val="0"/>
          <w:szCs w:val="21"/>
          <w:highlight w:val="none"/>
        </w:rPr>
        <w:t>九</w:t>
      </w:r>
      <w:r>
        <w:rPr>
          <w:b/>
          <w:bCs/>
          <w:snapToGrid w:val="0"/>
          <w:kern w:val="0"/>
          <w:szCs w:val="21"/>
          <w:highlight w:val="none"/>
        </w:rPr>
        <w:t>、</w:t>
      </w:r>
      <w:r>
        <w:rPr>
          <w:rFonts w:hint="eastAsia"/>
          <w:b/>
          <w:bCs/>
          <w:snapToGrid w:val="0"/>
          <w:kern w:val="0"/>
          <w:szCs w:val="21"/>
          <w:highlight w:val="none"/>
        </w:rPr>
        <w:t>发包人承诺</w:t>
      </w:r>
    </w:p>
    <w:p>
      <w:pPr>
        <w:adjustRightInd w:val="0"/>
        <w:snapToGrid w:val="0"/>
        <w:spacing w:line="440" w:lineRule="exact"/>
        <w:ind w:right="11" w:firstLine="420" w:firstLineChars="200"/>
        <w:rPr>
          <w:bCs/>
          <w:snapToGrid w:val="0"/>
          <w:kern w:val="0"/>
          <w:szCs w:val="21"/>
          <w:highlight w:val="none"/>
        </w:rPr>
      </w:pPr>
      <w:r>
        <w:rPr>
          <w:bCs/>
          <w:snapToGrid w:val="0"/>
          <w:kern w:val="0"/>
          <w:szCs w:val="21"/>
          <w:highlight w:val="none"/>
        </w:rPr>
        <w:t>发包人承诺按合同约定的条件、时间和方式向承包人支付合同价款。</w:t>
      </w:r>
    </w:p>
    <w:p>
      <w:pPr>
        <w:adjustRightInd w:val="0"/>
        <w:snapToGrid w:val="0"/>
        <w:spacing w:line="440" w:lineRule="exact"/>
        <w:ind w:right="11" w:firstLine="422" w:firstLineChars="200"/>
        <w:rPr>
          <w:b/>
          <w:bCs/>
          <w:snapToGrid w:val="0"/>
          <w:szCs w:val="21"/>
          <w:highlight w:val="none"/>
        </w:rPr>
      </w:pPr>
      <w:r>
        <w:rPr>
          <w:rFonts w:hint="eastAsia"/>
          <w:b/>
          <w:snapToGrid w:val="0"/>
          <w:szCs w:val="21"/>
          <w:highlight w:val="none"/>
        </w:rPr>
        <w:t>十</w:t>
      </w:r>
      <w:r>
        <w:rPr>
          <w:b/>
          <w:snapToGrid w:val="0"/>
          <w:szCs w:val="21"/>
          <w:highlight w:val="none"/>
        </w:rPr>
        <w:t>、</w:t>
      </w:r>
      <w:r>
        <w:rPr>
          <w:b/>
          <w:bCs/>
          <w:snapToGrid w:val="0"/>
          <w:szCs w:val="21"/>
          <w:highlight w:val="none"/>
        </w:rPr>
        <w:t>在出现以下情况时，发包人有权拒绝承包人参与发包人后续招标项目的投标：</w:t>
      </w:r>
    </w:p>
    <w:p>
      <w:pPr>
        <w:adjustRightInd w:val="0"/>
        <w:snapToGrid w:val="0"/>
        <w:spacing w:line="440" w:lineRule="exact"/>
        <w:ind w:right="11" w:firstLine="420" w:firstLineChars="200"/>
        <w:rPr>
          <w:bCs/>
          <w:snapToGrid w:val="0"/>
          <w:szCs w:val="21"/>
          <w:highlight w:val="none"/>
        </w:rPr>
      </w:pPr>
      <w:r>
        <w:rPr>
          <w:bCs/>
          <w:snapToGrid w:val="0"/>
          <w:szCs w:val="21"/>
          <w:highlight w:val="none"/>
        </w:rPr>
        <w:t>（1）承包人因过错行为被生效法律文书认定承担违约或侵权责任的；</w:t>
      </w:r>
    </w:p>
    <w:p>
      <w:pPr>
        <w:adjustRightInd w:val="0"/>
        <w:snapToGrid w:val="0"/>
        <w:spacing w:line="440" w:lineRule="exact"/>
        <w:ind w:right="11" w:firstLine="420" w:firstLineChars="200"/>
        <w:rPr>
          <w:bCs/>
          <w:snapToGrid w:val="0"/>
          <w:szCs w:val="21"/>
          <w:highlight w:val="none"/>
        </w:rPr>
      </w:pPr>
      <w:r>
        <w:rPr>
          <w:bCs/>
          <w:snapToGrid w:val="0"/>
          <w:szCs w:val="21"/>
          <w:highlight w:val="none"/>
        </w:rPr>
        <w:t>（2）承包人就其与发包人之间的争议问题向人民法院提起诉讼或向仲裁机构提请仲裁，且该诉讼（或仲裁）案件尚未审理终结的；</w:t>
      </w:r>
    </w:p>
    <w:p>
      <w:pPr>
        <w:adjustRightInd w:val="0"/>
        <w:snapToGrid w:val="0"/>
        <w:spacing w:line="440" w:lineRule="exact"/>
        <w:ind w:right="11" w:firstLine="420" w:firstLineChars="200"/>
        <w:rPr>
          <w:bCs/>
          <w:snapToGrid w:val="0"/>
          <w:szCs w:val="21"/>
          <w:highlight w:val="none"/>
        </w:rPr>
      </w:pPr>
      <w:r>
        <w:rPr>
          <w:bCs/>
          <w:snapToGrid w:val="0"/>
          <w:szCs w:val="21"/>
          <w:highlight w:val="none"/>
        </w:rPr>
        <w:t>（3）承包人不按合同及有关规定按时、足额支付分包单位合同价款及工人工资被投诉，经发包人查证属实的，或因此致使工人集体上访、集聚围阻而造成社会不良影响的；</w:t>
      </w:r>
    </w:p>
    <w:p>
      <w:pPr>
        <w:adjustRightInd w:val="0"/>
        <w:snapToGrid w:val="0"/>
        <w:spacing w:line="440" w:lineRule="exact"/>
        <w:ind w:right="11" w:firstLine="420" w:firstLineChars="200"/>
        <w:rPr>
          <w:snapToGrid w:val="0"/>
          <w:szCs w:val="21"/>
          <w:highlight w:val="none"/>
        </w:rPr>
      </w:pPr>
      <w:r>
        <w:rPr>
          <w:bCs/>
          <w:snapToGrid w:val="0"/>
          <w:szCs w:val="21"/>
          <w:highlight w:val="none"/>
        </w:rPr>
        <w:t>（4）</w:t>
      </w:r>
      <w:r>
        <w:rPr>
          <w:snapToGrid w:val="0"/>
          <w:szCs w:val="21"/>
          <w:highlight w:val="none"/>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440" w:lineRule="exact"/>
        <w:ind w:right="11" w:firstLine="420" w:firstLineChars="200"/>
        <w:outlineLvl w:val="1"/>
        <w:rPr>
          <w:snapToGrid w:val="0"/>
          <w:szCs w:val="21"/>
          <w:highlight w:val="none"/>
        </w:rPr>
      </w:pPr>
      <w:bookmarkStart w:id="6" w:name="_Toc23256769"/>
      <w:bookmarkStart w:id="7" w:name="_Toc23327311"/>
      <w:bookmarkStart w:id="8" w:name="_Toc132813101"/>
      <w:bookmarkStart w:id="9" w:name="_Toc23323707"/>
      <w:r>
        <w:rPr>
          <w:snapToGrid w:val="0"/>
          <w:szCs w:val="21"/>
          <w:highlight w:val="none"/>
        </w:rPr>
        <w:t>（5）承包人违反合同约定应承担两次以上严重违约责任的；</w:t>
      </w:r>
      <w:bookmarkEnd w:id="6"/>
      <w:bookmarkEnd w:id="7"/>
      <w:bookmarkEnd w:id="8"/>
      <w:bookmarkEnd w:id="9"/>
      <w:bookmarkStart w:id="10" w:name="_Toc23256770"/>
      <w:bookmarkStart w:id="11" w:name="_Toc23323708"/>
    </w:p>
    <w:p>
      <w:pPr>
        <w:adjustRightInd w:val="0"/>
        <w:snapToGrid w:val="0"/>
        <w:spacing w:line="440" w:lineRule="exact"/>
        <w:ind w:right="11" w:firstLine="420" w:firstLineChars="200"/>
        <w:outlineLvl w:val="1"/>
        <w:rPr>
          <w:snapToGrid w:val="0"/>
          <w:szCs w:val="21"/>
          <w:highlight w:val="none"/>
        </w:rPr>
      </w:pPr>
      <w:bookmarkStart w:id="12" w:name="_Toc132813102"/>
      <w:bookmarkStart w:id="13" w:name="_Toc23327312"/>
      <w:r>
        <w:rPr>
          <w:snapToGrid w:val="0"/>
          <w:szCs w:val="21"/>
          <w:highlight w:val="none"/>
        </w:rPr>
        <w:t>（6）承包人自行调换或未按照发包人要求及时更换项目经理的。经发包人同意撤换的项目经理，该项目经理自撤换之日起半年内不允许其参加发包人后续招标项目的投标；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pPr>
        <w:adjustRightInd w:val="0"/>
        <w:snapToGrid w:val="0"/>
        <w:spacing w:line="440" w:lineRule="exact"/>
        <w:ind w:right="11" w:firstLine="420" w:firstLineChars="200"/>
        <w:outlineLvl w:val="1"/>
        <w:rPr>
          <w:snapToGrid w:val="0"/>
          <w:szCs w:val="21"/>
          <w:highlight w:val="none"/>
        </w:rPr>
      </w:pPr>
      <w:bookmarkStart w:id="14" w:name="_Toc132813103"/>
      <w:bookmarkStart w:id="15" w:name="_Toc23327313"/>
      <w:r>
        <w:rPr>
          <w:snapToGrid w:val="0"/>
          <w:szCs w:val="21"/>
          <w:highlight w:val="none"/>
        </w:rPr>
        <w:t>（7）承包人委派的项目经理长期不到位的（即连续三个月或以上达不到合同约定的出勤率）。</w:t>
      </w:r>
      <w:bookmarkEnd w:id="14"/>
      <w:bookmarkEnd w:id="15"/>
    </w:p>
    <w:p>
      <w:pPr>
        <w:adjustRightInd w:val="0"/>
        <w:snapToGrid w:val="0"/>
        <w:spacing w:line="440" w:lineRule="exact"/>
        <w:ind w:right="11" w:firstLine="422" w:firstLineChars="200"/>
        <w:rPr>
          <w:b/>
          <w:bCs/>
          <w:snapToGrid w:val="0"/>
          <w:kern w:val="0"/>
          <w:szCs w:val="21"/>
          <w:highlight w:val="none"/>
        </w:rPr>
      </w:pPr>
      <w:r>
        <w:rPr>
          <w:rFonts w:hint="eastAsia"/>
          <w:b/>
          <w:snapToGrid w:val="0"/>
          <w:szCs w:val="21"/>
          <w:highlight w:val="none"/>
        </w:rPr>
        <w:t>十一</w:t>
      </w:r>
      <w:r>
        <w:rPr>
          <w:b/>
          <w:bCs/>
          <w:snapToGrid w:val="0"/>
          <w:szCs w:val="21"/>
          <w:highlight w:val="none"/>
        </w:rPr>
        <w:t>、</w:t>
      </w:r>
      <w:r>
        <w:rPr>
          <w:b/>
          <w:bCs/>
          <w:snapToGrid w:val="0"/>
          <w:kern w:val="0"/>
          <w:szCs w:val="21"/>
          <w:highlight w:val="none"/>
        </w:rPr>
        <w:t>合同生效</w:t>
      </w:r>
      <w:bookmarkStart w:id="750" w:name="_GoBack"/>
      <w:bookmarkEnd w:id="750"/>
    </w:p>
    <w:p>
      <w:pPr>
        <w:adjustRightInd w:val="0"/>
        <w:snapToGrid w:val="0"/>
        <w:spacing w:line="440" w:lineRule="exact"/>
        <w:ind w:right="11" w:firstLine="420" w:firstLineChars="200"/>
        <w:rPr>
          <w:szCs w:val="21"/>
          <w:highlight w:val="none"/>
        </w:rPr>
      </w:pPr>
      <w:r>
        <w:rPr>
          <w:snapToGrid w:val="0"/>
          <w:szCs w:val="21"/>
          <w:highlight w:val="none"/>
        </w:rPr>
        <w:t>（1）</w:t>
      </w:r>
      <w:r>
        <w:rPr>
          <w:szCs w:val="21"/>
          <w:highlight w:val="none"/>
        </w:rPr>
        <w:t>由于不可抗力因素致使合同无法履行时，双方应及时协商解决。重大事项按程序上报区政府审定。</w:t>
      </w:r>
    </w:p>
    <w:p>
      <w:pPr>
        <w:adjustRightInd w:val="0"/>
        <w:snapToGrid w:val="0"/>
        <w:spacing w:line="440" w:lineRule="exact"/>
        <w:rPr>
          <w:snapToGrid w:val="0"/>
          <w:szCs w:val="21"/>
          <w:highlight w:val="none"/>
        </w:rPr>
      </w:pPr>
      <w:r>
        <w:rPr>
          <w:szCs w:val="21"/>
          <w:highlight w:val="none"/>
        </w:rPr>
        <w:t xml:space="preserve">    （2）双方认可的来往传真、电报、邮件、会议纪要、承诺书等，以及本合同签订后，双方就本合同约定具体项目签订的</w:t>
      </w:r>
      <w:r>
        <w:rPr>
          <w:rFonts w:hint="eastAsia"/>
          <w:szCs w:val="21"/>
          <w:highlight w:val="none"/>
        </w:rPr>
        <w:t>补充协议</w:t>
      </w:r>
      <w:r>
        <w:rPr>
          <w:szCs w:val="21"/>
          <w:highlight w:val="none"/>
        </w:rPr>
        <w:t>，均为合同的组成部分，与本合同具有同等法律效力。</w:t>
      </w:r>
    </w:p>
    <w:p>
      <w:pPr>
        <w:adjustRightInd w:val="0"/>
        <w:snapToGrid w:val="0"/>
        <w:spacing w:line="440" w:lineRule="exact"/>
        <w:ind w:right="11" w:firstLine="420" w:firstLineChars="200"/>
        <w:rPr>
          <w:snapToGrid w:val="0"/>
          <w:szCs w:val="21"/>
          <w:highlight w:val="none"/>
        </w:rPr>
      </w:pPr>
      <w:r>
        <w:rPr>
          <w:snapToGrid w:val="0"/>
          <w:szCs w:val="21"/>
          <w:highlight w:val="none"/>
        </w:rPr>
        <w:t>（3）本合同自双方</w:t>
      </w:r>
      <w:r>
        <w:rPr>
          <w:rFonts w:hint="eastAsia"/>
          <w:snapToGrid w:val="0"/>
          <w:szCs w:val="21"/>
          <w:highlight w:val="none"/>
        </w:rPr>
        <w:t>法定代表人或其委托代理人签字</w:t>
      </w:r>
      <w:r>
        <w:rPr>
          <w:snapToGrid w:val="0"/>
          <w:szCs w:val="21"/>
          <w:highlight w:val="none"/>
        </w:rPr>
        <w:t>签字盖章（公章或合同专用章）之日起生效。本合同有效期至本工程质量保修期满且竣工结算满60日及双方的责任、义务履行完毕时终止。</w:t>
      </w:r>
    </w:p>
    <w:p>
      <w:pPr>
        <w:adjustRightInd w:val="0"/>
        <w:snapToGrid w:val="0"/>
        <w:spacing w:line="440" w:lineRule="exact"/>
        <w:ind w:right="11" w:firstLine="422" w:firstLineChars="200"/>
        <w:rPr>
          <w:b/>
          <w:bCs/>
          <w:snapToGrid w:val="0"/>
          <w:kern w:val="0"/>
          <w:szCs w:val="21"/>
          <w:highlight w:val="none"/>
        </w:rPr>
      </w:pPr>
      <w:r>
        <w:rPr>
          <w:rFonts w:hint="eastAsia"/>
          <w:b/>
          <w:bCs/>
          <w:snapToGrid w:val="0"/>
          <w:kern w:val="0"/>
          <w:szCs w:val="21"/>
          <w:highlight w:val="none"/>
        </w:rPr>
        <w:t>十二、合同组成</w:t>
      </w:r>
    </w:p>
    <w:p>
      <w:pPr>
        <w:adjustRightInd w:val="0"/>
        <w:snapToGrid w:val="0"/>
        <w:spacing w:line="440" w:lineRule="exact"/>
        <w:ind w:firstLine="420" w:firstLineChars="200"/>
        <w:rPr>
          <w:bCs/>
          <w:snapToGrid w:val="0"/>
          <w:kern w:val="0"/>
          <w:szCs w:val="21"/>
          <w:highlight w:val="none"/>
        </w:rPr>
      </w:pPr>
      <w:r>
        <w:rPr>
          <w:rFonts w:hint="eastAsia"/>
          <w:bCs/>
          <w:snapToGrid w:val="0"/>
          <w:kern w:val="0"/>
          <w:szCs w:val="21"/>
          <w:highlight w:val="none"/>
        </w:rPr>
        <w:t>本项目设计施工总承包合同由以下部分组成：</w:t>
      </w:r>
    </w:p>
    <w:p>
      <w:pPr>
        <w:adjustRightInd w:val="0"/>
        <w:snapToGrid w:val="0"/>
        <w:spacing w:line="440" w:lineRule="exact"/>
        <w:ind w:firstLine="420" w:firstLineChars="200"/>
        <w:rPr>
          <w:bCs/>
          <w:snapToGrid w:val="0"/>
          <w:kern w:val="0"/>
          <w:szCs w:val="21"/>
          <w:highlight w:val="none"/>
        </w:rPr>
      </w:pPr>
      <w:r>
        <w:rPr>
          <w:rFonts w:hint="eastAsia"/>
          <w:bCs/>
          <w:snapToGrid w:val="0"/>
          <w:kern w:val="0"/>
          <w:szCs w:val="21"/>
          <w:highlight w:val="none"/>
        </w:rPr>
        <w:t>（</w:t>
      </w:r>
      <w:r>
        <w:rPr>
          <w:bCs/>
          <w:snapToGrid w:val="0"/>
          <w:kern w:val="0"/>
          <w:szCs w:val="21"/>
          <w:highlight w:val="none"/>
        </w:rPr>
        <w:t>1</w:t>
      </w:r>
      <w:r>
        <w:rPr>
          <w:rFonts w:hint="eastAsia"/>
          <w:bCs/>
          <w:snapToGrid w:val="0"/>
          <w:kern w:val="0"/>
          <w:szCs w:val="21"/>
          <w:highlight w:val="none"/>
        </w:rPr>
        <w:t>）第一部分：</w:t>
      </w:r>
      <w:r>
        <w:rPr>
          <w:rFonts w:hint="eastAsia"/>
          <w:b/>
          <w:bCs/>
          <w:snapToGrid w:val="0"/>
          <w:kern w:val="0"/>
          <w:szCs w:val="21"/>
          <w:highlight w:val="none"/>
        </w:rPr>
        <w:t>总则</w:t>
      </w:r>
    </w:p>
    <w:p>
      <w:pPr>
        <w:adjustRightInd w:val="0"/>
        <w:snapToGrid w:val="0"/>
        <w:spacing w:line="440" w:lineRule="exact"/>
        <w:ind w:firstLine="420" w:firstLineChars="200"/>
        <w:rPr>
          <w:bCs/>
          <w:snapToGrid w:val="0"/>
          <w:kern w:val="0"/>
          <w:szCs w:val="21"/>
          <w:highlight w:val="none"/>
        </w:rPr>
      </w:pPr>
      <w:r>
        <w:rPr>
          <w:rFonts w:hint="eastAsia"/>
          <w:bCs/>
          <w:snapToGrid w:val="0"/>
          <w:kern w:val="0"/>
          <w:szCs w:val="21"/>
          <w:highlight w:val="none"/>
        </w:rPr>
        <w:t>（2）第二部分：</w:t>
      </w:r>
      <w:r>
        <w:rPr>
          <w:rFonts w:hint="eastAsia"/>
          <w:b/>
          <w:bCs/>
          <w:snapToGrid w:val="0"/>
          <w:kern w:val="0"/>
          <w:szCs w:val="21"/>
          <w:highlight w:val="none"/>
        </w:rPr>
        <w:t>施工总承包合同</w:t>
      </w:r>
    </w:p>
    <w:p>
      <w:pPr>
        <w:adjustRightInd w:val="0"/>
        <w:snapToGrid w:val="0"/>
        <w:spacing w:line="440" w:lineRule="exact"/>
        <w:ind w:firstLine="420" w:firstLineChars="200"/>
        <w:rPr>
          <w:bCs/>
          <w:snapToGrid w:val="0"/>
          <w:kern w:val="0"/>
          <w:szCs w:val="21"/>
          <w:highlight w:val="none"/>
        </w:rPr>
      </w:pPr>
      <w:r>
        <w:rPr>
          <w:rFonts w:hint="eastAsia"/>
          <w:bCs/>
          <w:snapToGrid w:val="0"/>
          <w:kern w:val="0"/>
          <w:szCs w:val="21"/>
          <w:highlight w:val="none"/>
        </w:rPr>
        <w:t>（3）第三部分：</w:t>
      </w:r>
      <w:r>
        <w:rPr>
          <w:rFonts w:hint="eastAsia"/>
          <w:b/>
          <w:bCs/>
          <w:snapToGrid w:val="0"/>
          <w:kern w:val="0"/>
          <w:szCs w:val="21"/>
          <w:highlight w:val="none"/>
        </w:rPr>
        <w:t>设计合同</w:t>
      </w:r>
    </w:p>
    <w:p>
      <w:pPr>
        <w:adjustRightInd w:val="0"/>
        <w:snapToGrid w:val="0"/>
        <w:spacing w:line="440" w:lineRule="exact"/>
        <w:ind w:right="11" w:firstLine="422" w:firstLineChars="200"/>
        <w:rPr>
          <w:b/>
          <w:bCs/>
          <w:snapToGrid w:val="0"/>
          <w:kern w:val="0"/>
          <w:szCs w:val="21"/>
          <w:highlight w:val="none"/>
        </w:rPr>
      </w:pPr>
      <w:r>
        <w:rPr>
          <w:rFonts w:hint="eastAsia"/>
          <w:b/>
          <w:bCs/>
          <w:snapToGrid w:val="0"/>
          <w:kern w:val="0"/>
          <w:szCs w:val="21"/>
          <w:highlight w:val="none"/>
        </w:rPr>
        <w:t>十三、合同份数</w:t>
      </w:r>
    </w:p>
    <w:p>
      <w:pPr>
        <w:adjustRightInd w:val="0"/>
        <w:snapToGrid w:val="0"/>
        <w:spacing w:line="440" w:lineRule="exact"/>
        <w:ind w:right="11" w:firstLine="420" w:firstLineChars="200"/>
        <w:rPr>
          <w:bCs/>
          <w:snapToGrid w:val="0"/>
          <w:kern w:val="0"/>
          <w:szCs w:val="21"/>
          <w:highlight w:val="none"/>
        </w:rPr>
      </w:pPr>
      <w:r>
        <w:rPr>
          <w:rFonts w:hint="eastAsia"/>
          <w:bCs/>
          <w:snapToGrid w:val="0"/>
          <w:kern w:val="0"/>
          <w:szCs w:val="21"/>
          <w:highlight w:val="none"/>
        </w:rPr>
        <w:t>本合同一式</w:t>
      </w:r>
      <w:r>
        <w:rPr>
          <w:bCs/>
          <w:snapToGrid w:val="0"/>
          <w:kern w:val="0"/>
          <w:szCs w:val="21"/>
          <w:highlight w:val="none"/>
          <w:u w:val="single"/>
        </w:rPr>
        <w:t xml:space="preserve">   </w:t>
      </w:r>
      <w:r>
        <w:rPr>
          <w:rFonts w:hint="eastAsia"/>
          <w:bCs/>
          <w:snapToGrid w:val="0"/>
          <w:kern w:val="0"/>
          <w:szCs w:val="21"/>
          <w:highlight w:val="none"/>
        </w:rPr>
        <w:t>份，发包人、承包人各执</w:t>
      </w:r>
      <w:r>
        <w:rPr>
          <w:bCs/>
          <w:snapToGrid w:val="0"/>
          <w:kern w:val="0"/>
          <w:szCs w:val="21"/>
          <w:highlight w:val="none"/>
          <w:u w:val="single"/>
        </w:rPr>
        <w:t xml:space="preserve">   </w:t>
      </w:r>
      <w:r>
        <w:rPr>
          <w:rFonts w:hint="eastAsia"/>
          <w:bCs/>
          <w:snapToGrid w:val="0"/>
          <w:kern w:val="0"/>
          <w:szCs w:val="21"/>
          <w:highlight w:val="none"/>
        </w:rPr>
        <w:t>份。</w:t>
      </w:r>
    </w:p>
    <w:p>
      <w:pPr>
        <w:adjustRightInd w:val="0"/>
        <w:snapToGrid w:val="0"/>
        <w:spacing w:line="440" w:lineRule="exact"/>
        <w:ind w:right="11"/>
        <w:rPr>
          <w:bCs/>
          <w:snapToGrid w:val="0"/>
          <w:kern w:val="0"/>
          <w:szCs w:val="21"/>
          <w:highlight w:val="none"/>
        </w:rPr>
      </w:pPr>
    </w:p>
    <w:p>
      <w:pPr>
        <w:adjustRightInd w:val="0"/>
        <w:snapToGrid w:val="0"/>
        <w:spacing w:line="440" w:lineRule="exact"/>
        <w:ind w:right="11" w:firstLine="422" w:firstLineChars="200"/>
        <w:rPr>
          <w:b/>
          <w:bCs/>
          <w:snapToGrid w:val="0"/>
          <w:kern w:val="0"/>
          <w:szCs w:val="21"/>
          <w:highlight w:val="none"/>
        </w:rPr>
      </w:pPr>
      <w:r>
        <w:rPr>
          <w:rFonts w:hint="eastAsia"/>
          <w:b/>
          <w:szCs w:val="21"/>
          <w:highlight w:val="none"/>
        </w:rPr>
        <w:t>附件</w:t>
      </w:r>
      <w:r>
        <w:rPr>
          <w:b/>
          <w:szCs w:val="21"/>
          <w:highlight w:val="none"/>
        </w:rPr>
        <w:t>1</w:t>
      </w:r>
      <w:r>
        <w:rPr>
          <w:rFonts w:hint="eastAsia"/>
          <w:b/>
          <w:szCs w:val="21"/>
          <w:highlight w:val="none"/>
        </w:rPr>
        <w:t>：</w:t>
      </w:r>
      <w:r>
        <w:rPr>
          <w:rFonts w:hint="eastAsia"/>
          <w:b/>
          <w:bCs/>
          <w:snapToGrid w:val="0"/>
          <w:kern w:val="0"/>
          <w:szCs w:val="21"/>
          <w:highlight w:val="none"/>
        </w:rPr>
        <w:t>中标通知书</w:t>
      </w:r>
    </w:p>
    <w:p>
      <w:pPr>
        <w:adjustRightInd w:val="0"/>
        <w:snapToGrid w:val="0"/>
        <w:spacing w:line="440" w:lineRule="exact"/>
        <w:ind w:right="11" w:firstLine="422" w:firstLineChars="200"/>
        <w:rPr>
          <w:b/>
          <w:bCs/>
          <w:snapToGrid w:val="0"/>
          <w:kern w:val="0"/>
          <w:szCs w:val="21"/>
          <w:highlight w:val="none"/>
        </w:rPr>
      </w:pPr>
      <w:r>
        <w:rPr>
          <w:rFonts w:hint="eastAsia"/>
          <w:b/>
          <w:szCs w:val="21"/>
          <w:highlight w:val="none"/>
        </w:rPr>
        <w:t>附件</w:t>
      </w:r>
      <w:r>
        <w:rPr>
          <w:b/>
          <w:szCs w:val="21"/>
          <w:highlight w:val="none"/>
        </w:rPr>
        <w:t>2</w:t>
      </w:r>
      <w:r>
        <w:rPr>
          <w:rFonts w:hint="eastAsia"/>
          <w:b/>
          <w:szCs w:val="21"/>
          <w:highlight w:val="none"/>
        </w:rPr>
        <w:t>：</w:t>
      </w:r>
      <w:r>
        <w:rPr>
          <w:rFonts w:hint="eastAsia"/>
          <w:b/>
          <w:bCs/>
          <w:snapToGrid w:val="0"/>
          <w:kern w:val="0"/>
          <w:szCs w:val="21"/>
          <w:highlight w:val="none"/>
        </w:rPr>
        <w:t>招标答疑及澄清文件</w:t>
      </w:r>
    </w:p>
    <w:p>
      <w:pPr>
        <w:adjustRightInd w:val="0"/>
        <w:snapToGrid w:val="0"/>
        <w:spacing w:line="440" w:lineRule="exact"/>
        <w:ind w:right="11" w:firstLine="422" w:firstLineChars="200"/>
        <w:rPr>
          <w:b/>
          <w:bCs/>
          <w:snapToGrid w:val="0"/>
          <w:kern w:val="0"/>
          <w:szCs w:val="21"/>
          <w:highlight w:val="none"/>
        </w:rPr>
      </w:pPr>
      <w:r>
        <w:rPr>
          <w:rFonts w:hint="eastAsia"/>
          <w:b/>
          <w:bCs/>
          <w:snapToGrid w:val="0"/>
          <w:kern w:val="0"/>
          <w:szCs w:val="21"/>
          <w:highlight w:val="none"/>
        </w:rPr>
        <w:t>附件</w:t>
      </w:r>
      <w:r>
        <w:rPr>
          <w:b/>
          <w:bCs/>
          <w:snapToGrid w:val="0"/>
          <w:kern w:val="0"/>
          <w:szCs w:val="21"/>
          <w:highlight w:val="none"/>
        </w:rPr>
        <w:t>3</w:t>
      </w:r>
      <w:r>
        <w:rPr>
          <w:rFonts w:hint="eastAsia"/>
          <w:b/>
          <w:bCs/>
          <w:snapToGrid w:val="0"/>
          <w:kern w:val="0"/>
          <w:szCs w:val="21"/>
          <w:highlight w:val="none"/>
        </w:rPr>
        <w:t>：联合体共同投标协议书</w:t>
      </w:r>
    </w:p>
    <w:p>
      <w:pPr>
        <w:adjustRightInd w:val="0"/>
        <w:snapToGrid w:val="0"/>
        <w:spacing w:line="440" w:lineRule="exact"/>
        <w:ind w:right="11" w:firstLine="422" w:firstLineChars="200"/>
        <w:rPr>
          <w:b/>
          <w:snapToGrid w:val="0"/>
          <w:szCs w:val="21"/>
          <w:highlight w:val="none"/>
        </w:rPr>
      </w:pPr>
    </w:p>
    <w:p>
      <w:pPr>
        <w:adjustRightInd w:val="0"/>
        <w:snapToGrid w:val="0"/>
        <w:spacing w:line="440" w:lineRule="exact"/>
        <w:ind w:right="11" w:firstLine="420" w:firstLineChars="200"/>
        <w:rPr>
          <w:snapToGrid w:val="0"/>
          <w:szCs w:val="21"/>
          <w:highlight w:val="none"/>
        </w:rPr>
      </w:pPr>
      <w:r>
        <w:rPr>
          <w:rFonts w:hint="eastAsia"/>
          <w:snapToGrid w:val="0"/>
          <w:szCs w:val="21"/>
          <w:highlight w:val="none"/>
        </w:rPr>
        <w:t>（本页以下无正文）</w:t>
      </w:r>
    </w:p>
    <w:p>
      <w:pPr>
        <w:widowControl/>
        <w:spacing w:line="440" w:lineRule="exact"/>
        <w:jc w:val="left"/>
        <w:rPr>
          <w:b/>
          <w:snapToGrid w:val="0"/>
          <w:szCs w:val="21"/>
          <w:highlight w:val="none"/>
        </w:rPr>
      </w:pPr>
      <w:r>
        <w:rPr>
          <w:b/>
          <w:snapToGrid w:val="0"/>
          <w:szCs w:val="21"/>
          <w:highlight w:val="none"/>
        </w:rPr>
        <w:br w:type="page"/>
      </w:r>
    </w:p>
    <w:p>
      <w:pPr>
        <w:widowControl/>
        <w:jc w:val="left"/>
        <w:rPr>
          <w:szCs w:val="21"/>
          <w:highlight w:val="none"/>
        </w:rPr>
      </w:pPr>
      <w:r>
        <w:rPr>
          <w:rFonts w:hint="eastAsia"/>
          <w:szCs w:val="21"/>
          <w:highlight w:val="none"/>
        </w:rPr>
        <w:t>（本页无正文）</w:t>
      </w:r>
    </w:p>
    <w:p>
      <w:pPr>
        <w:widowControl/>
        <w:jc w:val="left"/>
        <w:rPr>
          <w:szCs w:val="21"/>
          <w:highlight w:val="none"/>
        </w:rPr>
      </w:pPr>
    </w:p>
    <w:p>
      <w:pPr>
        <w:widowControl/>
        <w:jc w:val="left"/>
        <w:rPr>
          <w:szCs w:val="21"/>
          <w:highlight w:val="none"/>
        </w:rPr>
      </w:pPr>
    </w:p>
    <w:p>
      <w:pPr>
        <w:widowControl/>
        <w:jc w:val="left"/>
        <w:rPr>
          <w:szCs w:val="21"/>
          <w:highlight w:val="none"/>
        </w:rPr>
      </w:pPr>
    </w:p>
    <w:tbl>
      <w:tblPr>
        <w:tblStyle w:val="77"/>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rFonts w:hAnsi="宋体"/>
                <w:highlight w:val="none"/>
                <w:lang w:val="zh-CN"/>
              </w:rPr>
            </w:pPr>
            <w:r>
              <w:rPr>
                <w:rFonts w:hint="eastAsia" w:hAnsi="宋体"/>
                <w:snapToGrid w:val="0"/>
                <w:highlight w:val="none"/>
              </w:rPr>
              <w:t>发包人（甲方）：</w:t>
            </w:r>
          </w:p>
        </w:tc>
        <w:tc>
          <w:tcPr>
            <w:tcW w:w="284" w:type="dxa"/>
            <w:vAlign w:val="center"/>
          </w:tcPr>
          <w:p>
            <w:pPr>
              <w:pStyle w:val="8"/>
              <w:ind w:firstLine="0" w:firstLineChars="0"/>
              <w:jc w:val="center"/>
              <w:rPr>
                <w:rFonts w:hAnsi="宋体"/>
                <w:snapToGrid w:val="0"/>
                <w:highlight w:val="none"/>
              </w:rPr>
            </w:pPr>
          </w:p>
        </w:tc>
        <w:tc>
          <w:tcPr>
            <w:tcW w:w="4678" w:type="dxa"/>
            <w:vAlign w:val="center"/>
          </w:tcPr>
          <w:p>
            <w:pPr>
              <w:pStyle w:val="8"/>
              <w:ind w:firstLine="0" w:firstLineChars="0"/>
              <w:rPr>
                <w:rFonts w:hAnsi="宋体"/>
                <w:highlight w:val="none"/>
                <w:lang w:val="zh-CN"/>
              </w:rPr>
            </w:pPr>
            <w:r>
              <w:rPr>
                <w:rFonts w:hint="eastAsia" w:hAnsi="宋体"/>
                <w:snapToGrid w:val="0"/>
                <w:highlight w:val="none"/>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z w:val="24"/>
                <w:highlight w:val="none"/>
                <w:lang w:val="zh-CN"/>
              </w:rPr>
            </w:pPr>
            <w:r>
              <w:rPr>
                <w:rFonts w:hint="eastAsia" w:hAnsi="宋体"/>
                <w:b/>
                <w:snapToGrid w:val="0"/>
                <w:sz w:val="24"/>
                <w:highlight w:val="none"/>
                <w:u w:val="single"/>
              </w:rPr>
              <w:t>广州市花都区公共建设项目管理中心</w:t>
            </w:r>
          </w:p>
        </w:tc>
        <w:tc>
          <w:tcPr>
            <w:tcW w:w="284" w:type="dxa"/>
            <w:vAlign w:val="center"/>
          </w:tcPr>
          <w:p>
            <w:pPr>
              <w:pStyle w:val="8"/>
              <w:ind w:firstLine="0" w:firstLineChars="0"/>
              <w:jc w:val="center"/>
              <w:rPr>
                <w:rFonts w:hAnsi="宋体"/>
                <w:b/>
                <w:snapToGrid w:val="0"/>
                <w:sz w:val="24"/>
                <w:highlight w:val="none"/>
                <w:u w:val="single"/>
              </w:rPr>
            </w:pPr>
          </w:p>
        </w:tc>
        <w:tc>
          <w:tcPr>
            <w:tcW w:w="4678" w:type="dxa"/>
            <w:vAlign w:val="center"/>
          </w:tcPr>
          <w:p>
            <w:pPr>
              <w:pStyle w:val="8"/>
              <w:ind w:firstLine="0" w:firstLineChars="0"/>
              <w:rPr>
                <w:rFonts w:hAnsi="宋体"/>
                <w:b/>
                <w:sz w:val="24"/>
                <w:highlight w:val="none"/>
                <w:u w:val="single"/>
                <w:lang w:val="zh-CN"/>
              </w:rPr>
            </w:pPr>
            <w:r>
              <w:rPr>
                <w:rFonts w:hint="eastAsia" w:hAnsi="宋体"/>
                <w:b/>
                <w:sz w:val="24"/>
                <w:highlight w:val="none"/>
                <w:u w:val="single"/>
                <w:lang w:val="zh-CN"/>
              </w:rPr>
              <w:t xml:space="preserve"> </w:t>
            </w:r>
            <w:r>
              <w:rPr>
                <w:rFonts w:hAnsi="宋体"/>
                <w:b/>
                <w:sz w:val="24"/>
                <w:highlight w:val="none"/>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rFonts w:hAnsi="宋体"/>
                <w:highlight w:val="none"/>
                <w:lang w:val="zh-CN"/>
              </w:rPr>
            </w:pPr>
          </w:p>
          <w:p>
            <w:pPr>
              <w:pStyle w:val="8"/>
              <w:ind w:firstLine="0" w:firstLineChars="0"/>
              <w:rPr>
                <w:rFonts w:hAnsi="宋体"/>
                <w:highlight w:val="none"/>
                <w:lang w:val="zh-CN"/>
              </w:rPr>
            </w:pPr>
          </w:p>
          <w:p>
            <w:pPr>
              <w:pStyle w:val="8"/>
              <w:ind w:firstLine="0" w:firstLineChars="0"/>
              <w:rPr>
                <w:rFonts w:hAnsi="宋体"/>
                <w:highlight w:val="none"/>
                <w:lang w:val="zh-CN"/>
              </w:rPr>
            </w:pPr>
            <w:r>
              <w:rPr>
                <w:rFonts w:hint="eastAsia" w:hAnsi="宋体"/>
                <w:highlight w:val="none"/>
                <w:lang w:val="zh-CN"/>
              </w:rPr>
              <w:t>法定代表人：</w:t>
            </w:r>
          </w:p>
          <w:p>
            <w:pPr>
              <w:pStyle w:val="8"/>
              <w:ind w:firstLine="0" w:firstLineChars="0"/>
              <w:rPr>
                <w:rFonts w:hAnsi="宋体"/>
                <w:highlight w:val="none"/>
                <w:lang w:val="zh-CN"/>
              </w:rPr>
            </w:pPr>
            <w:r>
              <w:rPr>
                <w:rFonts w:hint="eastAsia" w:hAnsi="宋体"/>
                <w:highlight w:val="none"/>
                <w:lang w:val="zh-CN"/>
              </w:rPr>
              <w:t>或委托代理人：</w:t>
            </w: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firstLine="0" w:firstLineChars="0"/>
              <w:rPr>
                <w:rFonts w:hAnsi="宋体"/>
                <w:highlight w:val="none"/>
                <w:lang w:val="zh-CN"/>
              </w:rPr>
            </w:pPr>
          </w:p>
          <w:p>
            <w:pPr>
              <w:pStyle w:val="8"/>
              <w:ind w:firstLine="0" w:firstLineChars="0"/>
              <w:rPr>
                <w:rFonts w:hAnsi="宋体"/>
                <w:highlight w:val="none"/>
                <w:lang w:val="zh-CN"/>
              </w:rPr>
            </w:pPr>
          </w:p>
          <w:p>
            <w:pPr>
              <w:pStyle w:val="8"/>
              <w:ind w:firstLine="0" w:firstLineChars="0"/>
              <w:rPr>
                <w:rFonts w:hAnsi="宋体"/>
                <w:highlight w:val="none"/>
                <w:lang w:val="zh-CN"/>
              </w:rPr>
            </w:pPr>
            <w:r>
              <w:rPr>
                <w:rFonts w:hint="eastAsia" w:hAnsi="宋体"/>
                <w:highlight w:val="none"/>
                <w:lang w:val="zh-CN"/>
              </w:rPr>
              <w:t>法定代表人：</w:t>
            </w:r>
          </w:p>
          <w:p>
            <w:pPr>
              <w:pStyle w:val="8"/>
              <w:ind w:firstLine="0" w:firstLineChars="0"/>
              <w:rPr>
                <w:rFonts w:hAnsi="宋体"/>
                <w:highlight w:val="none"/>
                <w:lang w:val="zh-CN"/>
              </w:rPr>
            </w:pPr>
            <w:r>
              <w:rPr>
                <w:rFonts w:hint="eastAsia" w:hAnsi="宋体"/>
                <w:highlight w:val="none"/>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rFonts w:hAnsi="宋体"/>
                <w:snapToGrid w:val="0"/>
                <w:highlight w:val="none"/>
              </w:rPr>
            </w:pPr>
            <w:r>
              <w:rPr>
                <w:rFonts w:hint="eastAsia" w:hAnsi="宋体"/>
                <w:snapToGrid w:val="0"/>
                <w:highlight w:val="none"/>
              </w:rPr>
              <w:t>地址：广州市花都区公益路3</w:t>
            </w:r>
            <w:r>
              <w:rPr>
                <w:rFonts w:hAnsi="宋体"/>
                <w:snapToGrid w:val="0"/>
                <w:highlight w:val="none"/>
              </w:rPr>
              <w:t>9</w:t>
            </w:r>
            <w:r>
              <w:rPr>
                <w:rFonts w:hint="eastAsia" w:hAnsi="宋体"/>
                <w:snapToGrid w:val="0"/>
                <w:highlight w:val="none"/>
              </w:rPr>
              <w:t>号</w:t>
            </w:r>
          </w:p>
        </w:tc>
        <w:tc>
          <w:tcPr>
            <w:tcW w:w="284" w:type="dxa"/>
            <w:vAlign w:val="center"/>
          </w:tcPr>
          <w:p>
            <w:pPr>
              <w:pStyle w:val="8"/>
              <w:ind w:firstLine="0" w:firstLineChars="0"/>
              <w:jc w:val="center"/>
              <w:rPr>
                <w:rFonts w:hAnsi="宋体"/>
                <w:snapToGrid w:val="0"/>
                <w:highlight w:val="none"/>
              </w:rPr>
            </w:pPr>
          </w:p>
        </w:tc>
        <w:tc>
          <w:tcPr>
            <w:tcW w:w="4678" w:type="dxa"/>
            <w:vAlign w:val="center"/>
          </w:tcPr>
          <w:p>
            <w:pPr>
              <w:pStyle w:val="8"/>
              <w:ind w:left="630" w:hanging="630" w:hangingChars="300"/>
              <w:rPr>
                <w:rFonts w:hAnsi="宋体"/>
                <w:snapToGrid w:val="0"/>
                <w:highlight w:val="none"/>
              </w:rPr>
            </w:pPr>
            <w:r>
              <w:rPr>
                <w:rFonts w:hint="eastAsia" w:hAnsi="宋体"/>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highlight w:val="none"/>
                <w:lang w:val="zh-CN"/>
              </w:rPr>
            </w:pPr>
            <w:r>
              <w:rPr>
                <w:rFonts w:hint="eastAsia" w:hAnsi="宋体"/>
                <w:snapToGrid w:val="0"/>
                <w:highlight w:val="none"/>
              </w:rPr>
              <w:t>电话：0</w:t>
            </w:r>
            <w:r>
              <w:rPr>
                <w:rFonts w:hAnsi="宋体"/>
                <w:snapToGrid w:val="0"/>
                <w:highlight w:val="none"/>
              </w:rPr>
              <w:t>20</w:t>
            </w:r>
            <w:r>
              <w:rPr>
                <w:rFonts w:hint="eastAsia" w:hAnsi="宋体"/>
                <w:snapToGrid w:val="0"/>
                <w:highlight w:val="none"/>
              </w:rPr>
              <w:t>-</w:t>
            </w:r>
            <w:r>
              <w:rPr>
                <w:rFonts w:hAnsi="宋体"/>
                <w:snapToGrid w:val="0"/>
                <w:highlight w:val="none"/>
              </w:rPr>
              <w:t>37760912</w:t>
            </w: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firstLine="0" w:firstLineChars="0"/>
              <w:rPr>
                <w:rFonts w:hAnsi="宋体"/>
                <w:highlight w:val="none"/>
                <w:lang w:val="zh-CN"/>
              </w:rPr>
            </w:pPr>
            <w:r>
              <w:rPr>
                <w:rFonts w:hint="eastAsia" w:hAnsi="宋体"/>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r>
              <w:rPr>
                <w:rFonts w:hint="eastAsia" w:hAnsi="宋体"/>
                <w:snapToGrid w:val="0"/>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r>
              <w:rPr>
                <w:rFonts w:hint="eastAsia" w:hAnsi="宋体"/>
                <w:snapToGrid w:val="0"/>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r>
              <w:rPr>
                <w:rFonts w:hint="eastAsia" w:hAnsi="宋体"/>
                <w:snapToGrid w:val="0"/>
                <w:highlight w:val="none"/>
              </w:rPr>
              <w:t>统一社会信用代码：</w:t>
            </w:r>
            <w:r>
              <w:rPr>
                <w:rFonts w:hAnsi="宋体"/>
                <w:bCs/>
                <w:snapToGrid w:val="0"/>
                <w:highlight w:val="none"/>
              </w:rPr>
              <w:t>12440114567901846M</w:t>
            </w: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r>
              <w:rPr>
                <w:rFonts w:hint="eastAsia" w:hAnsi="宋体"/>
                <w:snapToGrid w:val="0"/>
                <w:highlight w:val="none"/>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rFonts w:hAnsi="宋体"/>
                <w:snapToGrid w:val="0"/>
                <w:highlight w:val="none"/>
              </w:rPr>
            </w:pPr>
            <w:r>
              <w:rPr>
                <w:rFonts w:hint="eastAsia" w:hAnsi="宋体"/>
                <w:snapToGrid w:val="0"/>
                <w:highlight w:val="none"/>
              </w:rPr>
              <w:t>签订时间：</w:t>
            </w:r>
            <w:r>
              <w:rPr>
                <w:rFonts w:hAnsi="宋体"/>
                <w:snapToGrid w:val="0"/>
                <w:highlight w:val="none"/>
              </w:rPr>
              <w:t xml:space="preserve"> 2023</w:t>
            </w:r>
            <w:r>
              <w:rPr>
                <w:rFonts w:hint="eastAsia" w:hAnsi="宋体"/>
                <w:snapToGrid w:val="0"/>
                <w:highlight w:val="none"/>
              </w:rPr>
              <w:t>年</w:t>
            </w:r>
            <w:r>
              <w:rPr>
                <w:rFonts w:hAnsi="宋体"/>
                <w:snapToGrid w:val="0"/>
                <w:highlight w:val="none"/>
              </w:rPr>
              <w:t xml:space="preserve">   </w:t>
            </w:r>
            <w:r>
              <w:rPr>
                <w:rFonts w:hint="eastAsia" w:hAnsi="宋体"/>
                <w:snapToGrid w:val="0"/>
                <w:highlight w:val="none"/>
              </w:rPr>
              <w:t>月</w:t>
            </w:r>
            <w:r>
              <w:rPr>
                <w:rFonts w:hAnsi="宋体"/>
                <w:snapToGrid w:val="0"/>
                <w:highlight w:val="none"/>
              </w:rPr>
              <w:t xml:space="preserve">    </w:t>
            </w:r>
            <w:r>
              <w:rPr>
                <w:rFonts w:hint="eastAsia" w:hAnsi="宋体"/>
                <w:snapToGrid w:val="0"/>
                <w:highlight w:val="none"/>
              </w:rPr>
              <w:t>日</w:t>
            </w: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r>
              <w:rPr>
                <w:rFonts w:hint="eastAsia" w:hAnsi="宋体"/>
                <w:snapToGrid w:val="0"/>
                <w:highlight w:val="none"/>
              </w:rPr>
              <w:t>签订时间：</w:t>
            </w:r>
            <w:r>
              <w:rPr>
                <w:rFonts w:hAnsi="宋体"/>
                <w:snapToGrid w:val="0"/>
                <w:highlight w:val="none"/>
              </w:rPr>
              <w:t>2023</w:t>
            </w:r>
            <w:r>
              <w:rPr>
                <w:rFonts w:hint="eastAsia" w:hAnsi="宋体"/>
                <w:snapToGrid w:val="0"/>
                <w:highlight w:val="none"/>
              </w:rPr>
              <w:t>年</w:t>
            </w:r>
            <w:r>
              <w:rPr>
                <w:rFonts w:hAnsi="宋体"/>
                <w:snapToGrid w:val="0"/>
                <w:highlight w:val="none"/>
              </w:rPr>
              <w:t xml:space="preserve">   </w:t>
            </w:r>
            <w:r>
              <w:rPr>
                <w:rFonts w:hint="eastAsia" w:hAnsi="宋体"/>
                <w:snapToGrid w:val="0"/>
                <w:highlight w:val="none"/>
              </w:rPr>
              <w:t>月</w:t>
            </w:r>
            <w:r>
              <w:rPr>
                <w:rFonts w:hAnsi="宋体"/>
                <w:snapToGrid w:val="0"/>
                <w:highlight w:val="none"/>
              </w:rPr>
              <w:t xml:space="preserve">    </w:t>
            </w:r>
            <w:r>
              <w:rPr>
                <w:rFonts w:hint="eastAsia" w:hAnsi="宋体"/>
                <w:snapToGrid w:val="0"/>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rFonts w:hAnsi="宋体"/>
                <w:snapToGrid w:val="0"/>
                <w:highlight w:val="none"/>
              </w:rPr>
            </w:pPr>
            <w:r>
              <w:rPr>
                <w:rFonts w:hAnsi="宋体"/>
                <w:snapToGrid w:val="0"/>
                <w:highlight w:val="none"/>
              </w:rPr>
              <w:t>-------------------------------------------------------</w:t>
            </w: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r>
              <w:rPr>
                <w:rFonts w:hAnsi="宋体"/>
                <w:snapToGrid w:val="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rFonts w:hAnsi="宋体"/>
                <w:highlight w:val="none"/>
                <w:lang w:val="zh-CN"/>
              </w:rPr>
            </w:pPr>
          </w:p>
        </w:tc>
        <w:tc>
          <w:tcPr>
            <w:tcW w:w="284" w:type="dxa"/>
            <w:vAlign w:val="center"/>
          </w:tcPr>
          <w:p>
            <w:pPr>
              <w:pStyle w:val="8"/>
              <w:ind w:firstLine="0" w:firstLineChars="0"/>
              <w:jc w:val="center"/>
              <w:rPr>
                <w:rFonts w:hAnsi="宋体"/>
                <w:snapToGrid w:val="0"/>
                <w:highlight w:val="none"/>
              </w:rPr>
            </w:pPr>
          </w:p>
        </w:tc>
        <w:tc>
          <w:tcPr>
            <w:tcW w:w="4678" w:type="dxa"/>
            <w:vAlign w:val="center"/>
          </w:tcPr>
          <w:p>
            <w:pPr>
              <w:pStyle w:val="8"/>
              <w:ind w:firstLine="0" w:firstLineChars="0"/>
              <w:rPr>
                <w:rFonts w:hAnsi="宋体"/>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z w:val="24"/>
                <w:highlight w:val="none"/>
                <w:lang w:val="zh-CN"/>
              </w:rPr>
            </w:pPr>
          </w:p>
        </w:tc>
        <w:tc>
          <w:tcPr>
            <w:tcW w:w="284" w:type="dxa"/>
            <w:vAlign w:val="center"/>
          </w:tcPr>
          <w:p>
            <w:pPr>
              <w:pStyle w:val="8"/>
              <w:ind w:firstLine="0" w:firstLineChars="0"/>
              <w:jc w:val="center"/>
              <w:rPr>
                <w:rFonts w:hAnsi="宋体"/>
                <w:b/>
                <w:snapToGrid w:val="0"/>
                <w:sz w:val="24"/>
                <w:highlight w:val="none"/>
                <w:u w:val="single"/>
              </w:rPr>
            </w:pPr>
          </w:p>
        </w:tc>
        <w:tc>
          <w:tcPr>
            <w:tcW w:w="4678" w:type="dxa"/>
            <w:vAlign w:val="center"/>
          </w:tcPr>
          <w:p>
            <w:pPr>
              <w:pStyle w:val="8"/>
              <w:ind w:firstLine="0" w:firstLineChars="0"/>
              <w:rPr>
                <w:rFonts w:hAnsi="宋体"/>
                <w:b/>
                <w:sz w:val="24"/>
                <w:highlight w:val="none"/>
                <w:u w:val="singl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rFonts w:hAnsi="宋体"/>
                <w:highlight w:val="none"/>
                <w:lang w:val="zh-CN"/>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firstLine="0" w:firstLineChars="0"/>
              <w:rPr>
                <w:rFonts w:hAnsi="宋体"/>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snapToGrid w:val="0"/>
                <w:highlight w:val="none"/>
              </w:rPr>
            </w:pPr>
          </w:p>
        </w:tc>
        <w:tc>
          <w:tcPr>
            <w:tcW w:w="4678" w:type="dxa"/>
            <w:vAlign w:val="center"/>
          </w:tcPr>
          <w:p>
            <w:pPr>
              <w:pStyle w:val="8"/>
              <w:ind w:left="630" w:hanging="630" w:hangingChars="300"/>
              <w:rPr>
                <w:rFonts w:hAnsi="宋体"/>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highlight w:val="none"/>
                <w:lang w:val="zh-CN"/>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firstLine="0" w:firstLineChars="0"/>
              <w:rPr>
                <w:rFonts w:hAnsi="宋体"/>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rFonts w:hAnsi="宋体"/>
                <w:snapToGrid w:val="0"/>
                <w:highlight w:val="none"/>
              </w:rPr>
            </w:pPr>
          </w:p>
        </w:tc>
        <w:tc>
          <w:tcPr>
            <w:tcW w:w="284" w:type="dxa"/>
            <w:vAlign w:val="center"/>
          </w:tcPr>
          <w:p>
            <w:pPr>
              <w:pStyle w:val="8"/>
              <w:ind w:firstLine="0" w:firstLineChars="0"/>
              <w:jc w:val="center"/>
              <w:rPr>
                <w:rFonts w:hAnsi="宋体"/>
                <w:highlight w:val="none"/>
                <w:lang w:val="zh-CN"/>
              </w:rPr>
            </w:pPr>
          </w:p>
        </w:tc>
        <w:tc>
          <w:tcPr>
            <w:tcW w:w="4678" w:type="dxa"/>
            <w:vAlign w:val="center"/>
          </w:tcPr>
          <w:p>
            <w:pPr>
              <w:pStyle w:val="8"/>
              <w:ind w:left="1050" w:hanging="1050" w:hangingChars="500"/>
              <w:rPr>
                <w:rFonts w:hAnsi="宋体"/>
                <w:snapToGrid w:val="0"/>
                <w:highlight w:val="none"/>
              </w:rPr>
            </w:pPr>
          </w:p>
        </w:tc>
      </w:tr>
    </w:tbl>
    <w:p>
      <w:pPr>
        <w:adjustRightInd w:val="0"/>
        <w:snapToGrid w:val="0"/>
        <w:spacing w:line="440" w:lineRule="exact"/>
        <w:ind w:right="11"/>
        <w:jc w:val="center"/>
        <w:rPr>
          <w:b/>
          <w:snapToGrid w:val="0"/>
          <w:szCs w:val="21"/>
          <w:highlight w:val="none"/>
        </w:rPr>
      </w:pPr>
      <w:r>
        <w:rPr>
          <w:rFonts w:hint="eastAsia"/>
          <w:snapToGrid w:val="0"/>
          <w:kern w:val="0"/>
          <w:szCs w:val="21"/>
          <w:highlight w:val="none"/>
        </w:rPr>
        <w:t>本合同签订于广东省广州市花都区</w:t>
      </w:r>
    </w:p>
    <w:p>
      <w:pPr>
        <w:widowControl/>
        <w:jc w:val="left"/>
        <w:rPr>
          <w:b/>
          <w:szCs w:val="21"/>
          <w:highlight w:val="none"/>
        </w:rPr>
      </w:pPr>
      <w:r>
        <w:rPr>
          <w:b/>
          <w:szCs w:val="21"/>
          <w:highlight w:val="none"/>
        </w:rPr>
        <w:br w:type="page"/>
      </w:r>
    </w:p>
    <w:p>
      <w:pPr>
        <w:adjustRightInd w:val="0"/>
        <w:snapToGrid w:val="0"/>
        <w:spacing w:line="460" w:lineRule="exact"/>
        <w:ind w:right="11" w:firstLine="422" w:firstLineChars="200"/>
        <w:rPr>
          <w:b/>
          <w:szCs w:val="21"/>
          <w:highlight w:val="none"/>
        </w:rPr>
      </w:pPr>
      <w:r>
        <w:rPr>
          <w:rFonts w:hint="eastAsia"/>
          <w:b/>
          <w:szCs w:val="21"/>
          <w:highlight w:val="none"/>
        </w:rPr>
        <w:t>附件1</w:t>
      </w:r>
      <w:r>
        <w:rPr>
          <w:b/>
          <w:szCs w:val="21"/>
          <w:highlight w:val="none"/>
        </w:rPr>
        <w:t xml:space="preserve"> </w:t>
      </w:r>
      <w:r>
        <w:rPr>
          <w:rFonts w:hint="eastAsia"/>
          <w:b/>
          <w:szCs w:val="21"/>
          <w:highlight w:val="none"/>
        </w:rPr>
        <w:t>中标通知书</w:t>
      </w:r>
    </w:p>
    <w:p>
      <w:pPr>
        <w:widowControl/>
        <w:jc w:val="left"/>
        <w:rPr>
          <w:b/>
          <w:szCs w:val="21"/>
          <w:highlight w:val="none"/>
        </w:rPr>
      </w:pPr>
    </w:p>
    <w:p>
      <w:pPr>
        <w:adjustRightInd w:val="0"/>
        <w:snapToGrid w:val="0"/>
        <w:spacing w:line="460" w:lineRule="exact"/>
        <w:ind w:right="11" w:firstLine="422" w:firstLineChars="200"/>
        <w:rPr>
          <w:b/>
          <w:bCs/>
          <w:snapToGrid w:val="0"/>
          <w:kern w:val="0"/>
          <w:szCs w:val="21"/>
          <w:highlight w:val="none"/>
        </w:rPr>
      </w:pPr>
      <w:r>
        <w:rPr>
          <w:rFonts w:hint="eastAsia"/>
          <w:b/>
          <w:szCs w:val="21"/>
          <w:highlight w:val="none"/>
        </w:rPr>
        <w:t>附件2</w:t>
      </w:r>
      <w:r>
        <w:rPr>
          <w:b/>
          <w:szCs w:val="21"/>
          <w:highlight w:val="none"/>
        </w:rPr>
        <w:t xml:space="preserve"> </w:t>
      </w:r>
      <w:r>
        <w:rPr>
          <w:rFonts w:hint="eastAsia"/>
          <w:b/>
          <w:bCs/>
          <w:snapToGrid w:val="0"/>
          <w:kern w:val="0"/>
          <w:szCs w:val="21"/>
          <w:highlight w:val="none"/>
        </w:rPr>
        <w:t>招标答疑及澄清文件</w:t>
      </w:r>
    </w:p>
    <w:p>
      <w:pPr>
        <w:widowControl/>
        <w:jc w:val="left"/>
        <w:rPr>
          <w:b/>
          <w:szCs w:val="21"/>
          <w:highlight w:val="none"/>
        </w:rPr>
      </w:pPr>
    </w:p>
    <w:p>
      <w:pPr>
        <w:adjustRightInd w:val="0"/>
        <w:snapToGrid w:val="0"/>
        <w:spacing w:line="460" w:lineRule="exact"/>
        <w:ind w:right="11" w:firstLine="422" w:firstLineChars="200"/>
        <w:rPr>
          <w:b/>
          <w:szCs w:val="21"/>
          <w:highlight w:val="none"/>
        </w:rPr>
      </w:pPr>
      <w:r>
        <w:rPr>
          <w:rFonts w:hint="eastAsia"/>
          <w:b/>
          <w:szCs w:val="21"/>
          <w:highlight w:val="none"/>
        </w:rPr>
        <w:t>附件3</w:t>
      </w:r>
      <w:r>
        <w:rPr>
          <w:b/>
          <w:szCs w:val="21"/>
          <w:highlight w:val="none"/>
        </w:rPr>
        <w:t xml:space="preserve"> </w:t>
      </w:r>
      <w:r>
        <w:rPr>
          <w:rFonts w:hint="eastAsia"/>
          <w:b/>
          <w:bCs/>
          <w:snapToGrid w:val="0"/>
          <w:kern w:val="0"/>
          <w:szCs w:val="21"/>
          <w:highlight w:val="none"/>
        </w:rPr>
        <w:t>联合体共同投标协议书</w:t>
      </w:r>
    </w:p>
    <w:p>
      <w:pPr>
        <w:adjustRightInd w:val="0"/>
        <w:snapToGrid w:val="0"/>
        <w:spacing w:line="460" w:lineRule="exact"/>
        <w:ind w:right="11" w:firstLine="422" w:firstLineChars="200"/>
        <w:rPr>
          <w:b/>
          <w:szCs w:val="21"/>
          <w:highlight w:val="none"/>
        </w:rPr>
      </w:pPr>
    </w:p>
    <w:p>
      <w:pPr>
        <w:adjustRightInd w:val="0"/>
        <w:snapToGrid w:val="0"/>
        <w:spacing w:line="460" w:lineRule="exact"/>
        <w:ind w:right="11" w:firstLine="422" w:firstLineChars="200"/>
        <w:rPr>
          <w:b/>
          <w:szCs w:val="21"/>
          <w:highlight w:val="none"/>
        </w:rPr>
      </w:pPr>
    </w:p>
    <w:p>
      <w:pPr>
        <w:adjustRightInd w:val="0"/>
        <w:snapToGrid w:val="0"/>
        <w:spacing w:line="460" w:lineRule="exact"/>
        <w:ind w:right="11" w:firstLine="422" w:firstLineChars="200"/>
        <w:rPr>
          <w:b/>
          <w:szCs w:val="21"/>
          <w:highlight w:val="none"/>
        </w:rPr>
      </w:pPr>
    </w:p>
    <w:p>
      <w:pPr>
        <w:adjustRightInd w:val="0"/>
        <w:snapToGrid w:val="0"/>
        <w:spacing w:line="460" w:lineRule="exact"/>
        <w:ind w:right="11" w:firstLine="422" w:firstLineChars="200"/>
        <w:rPr>
          <w:b/>
          <w:szCs w:val="21"/>
          <w:highlight w:val="none"/>
        </w:rPr>
      </w:pPr>
    </w:p>
    <w:p>
      <w:pPr>
        <w:widowControl/>
        <w:jc w:val="left"/>
        <w:rPr>
          <w:szCs w:val="21"/>
          <w:highlight w:val="none"/>
        </w:rPr>
      </w:pPr>
      <w:r>
        <w:rPr>
          <w:szCs w:val="21"/>
          <w:highlight w:val="none"/>
        </w:rPr>
        <w:br w:type="page"/>
      </w:r>
    </w:p>
    <w:p>
      <w:pPr>
        <w:adjustRightInd w:val="0"/>
        <w:snapToGrid w:val="0"/>
        <w:spacing w:line="360" w:lineRule="auto"/>
        <w:jc w:val="center"/>
        <w:rPr>
          <w:b/>
          <w:bCs/>
          <w:snapToGrid w:val="0"/>
          <w:kern w:val="0"/>
          <w:sz w:val="44"/>
          <w:szCs w:val="44"/>
          <w:highlight w:val="none"/>
        </w:rPr>
      </w:pPr>
    </w:p>
    <w:p>
      <w:pPr>
        <w:adjustRightInd w:val="0"/>
        <w:snapToGrid w:val="0"/>
        <w:spacing w:line="360" w:lineRule="auto"/>
        <w:jc w:val="center"/>
        <w:rPr>
          <w:b/>
          <w:bCs/>
          <w:snapToGrid w:val="0"/>
          <w:kern w:val="0"/>
          <w:sz w:val="44"/>
          <w:szCs w:val="44"/>
          <w:highlight w:val="none"/>
        </w:rPr>
      </w:pPr>
      <w:r>
        <w:rPr>
          <w:rFonts w:hint="eastAsia"/>
          <w:b/>
          <w:bCs/>
          <w:snapToGrid w:val="0"/>
          <w:kern w:val="0"/>
          <w:sz w:val="44"/>
          <w:szCs w:val="44"/>
          <w:highlight w:val="none"/>
        </w:rPr>
        <w:t xml:space="preserve">第二部分  </w:t>
      </w:r>
      <w:r>
        <w:rPr>
          <w:rFonts w:hint="eastAsia"/>
          <w:b/>
          <w:bCs/>
          <w:snapToGrid w:val="0"/>
          <w:sz w:val="44"/>
          <w:szCs w:val="44"/>
          <w:highlight w:val="none"/>
        </w:rPr>
        <w:t>施工总承包合同</w:t>
      </w: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spacing w:line="360" w:lineRule="auto"/>
        <w:jc w:val="center"/>
        <w:rPr>
          <w:b/>
          <w:sz w:val="72"/>
          <w:szCs w:val="72"/>
          <w:highlight w:val="none"/>
        </w:rPr>
      </w:pPr>
      <w:r>
        <w:rPr>
          <w:rFonts w:hint="eastAsia"/>
          <w:b/>
          <w:sz w:val="72"/>
          <w:szCs w:val="72"/>
          <w:highlight w:val="none"/>
        </w:rPr>
        <w:t>施工总承包</w:t>
      </w:r>
      <w:r>
        <w:rPr>
          <w:b/>
          <w:sz w:val="72"/>
          <w:szCs w:val="72"/>
          <w:highlight w:val="none"/>
        </w:rPr>
        <w:t>合同</w:t>
      </w:r>
    </w:p>
    <w:p>
      <w:pPr>
        <w:widowControl/>
        <w:jc w:val="left"/>
        <w:rPr>
          <w:b/>
          <w:sz w:val="72"/>
          <w:szCs w:val="72"/>
          <w:highlight w:val="none"/>
        </w:rPr>
      </w:pPr>
      <w:r>
        <w:rPr>
          <w:b/>
          <w:sz w:val="72"/>
          <w:szCs w:val="72"/>
          <w:highlight w:val="none"/>
        </w:rPr>
        <w:br w:type="page"/>
      </w:r>
    </w:p>
    <w:p>
      <w:pPr>
        <w:adjustRightInd w:val="0"/>
        <w:snapToGrid w:val="0"/>
        <w:spacing w:line="360" w:lineRule="auto"/>
        <w:jc w:val="center"/>
        <w:rPr>
          <w:rFonts w:ascii="宋体" w:hAnsi="宋体" w:cs="宋体"/>
          <w:b/>
          <w:bCs/>
          <w:snapToGrid w:val="0"/>
          <w:kern w:val="0"/>
          <w:sz w:val="48"/>
          <w:szCs w:val="48"/>
          <w:highlight w:val="none"/>
          <w:u w:val="single"/>
        </w:rPr>
      </w:pPr>
      <w:r>
        <w:rPr>
          <w:rFonts w:hint="eastAsia" w:ascii="宋体" w:hAnsi="宋体" w:cs="宋体"/>
          <w:b/>
          <w:bCs/>
          <w:snapToGrid w:val="0"/>
          <w:kern w:val="0"/>
          <w:sz w:val="48"/>
          <w:szCs w:val="48"/>
          <w:highlight w:val="none"/>
          <w:u w:val="single"/>
        </w:rPr>
        <w:t>重要提示</w:t>
      </w:r>
    </w:p>
    <w:p>
      <w:pPr>
        <w:adjustRightInd w:val="0"/>
        <w:snapToGrid w:val="0"/>
        <w:spacing w:line="360" w:lineRule="auto"/>
        <w:rPr>
          <w:rFonts w:ascii="宋体" w:hAnsi="宋体" w:cs="宋体"/>
          <w:b/>
          <w:snapToGrid w:val="0"/>
          <w:kern w:val="0"/>
          <w:sz w:val="24"/>
          <w:highlight w:val="none"/>
        </w:rPr>
      </w:pPr>
    </w:p>
    <w:p>
      <w:pPr>
        <w:ind w:firstLine="562" w:firstLineChars="200"/>
        <w:rPr>
          <w:rFonts w:ascii="宋体" w:hAnsi="宋体" w:cs="宋体"/>
          <w:b/>
          <w:bCs/>
          <w:sz w:val="28"/>
          <w:szCs w:val="28"/>
          <w:highlight w:val="none"/>
        </w:rPr>
      </w:pPr>
      <w:r>
        <w:rPr>
          <w:rFonts w:hint="eastAsia" w:ascii="宋体" w:hAnsi="宋体" w:cs="宋体"/>
          <w:b/>
          <w:snapToGrid w:val="0"/>
          <w:kern w:val="0"/>
          <w:sz w:val="28"/>
          <w:szCs w:val="28"/>
          <w:highlight w:val="none"/>
        </w:rPr>
        <w:t>本合同由合同协议书、合同专用条款、合同通用条款和合同附件四大部分组成。</w:t>
      </w:r>
      <w:r>
        <w:rPr>
          <w:rFonts w:hint="eastAsia" w:ascii="宋体" w:hAnsi="宋体" w:cs="宋体"/>
          <w:b/>
          <w:bCs/>
          <w:sz w:val="28"/>
          <w:szCs w:val="28"/>
          <w:highlight w:val="none"/>
        </w:rPr>
        <w:t>合同中方框</w:t>
      </w:r>
      <w:r>
        <w:rPr>
          <w:rFonts w:ascii="Wingdings 2" w:hAnsi="Wingdings 2" w:cs="宋体"/>
          <w:b/>
          <w:bCs/>
          <w:snapToGrid w:val="0"/>
          <w:kern w:val="0"/>
          <w:sz w:val="30"/>
          <w:szCs w:val="30"/>
          <w:highlight w:val="none"/>
        </w:rPr>
        <w:t></w:t>
      </w:r>
      <w:r>
        <w:rPr>
          <w:rFonts w:hint="eastAsia" w:ascii="宋体" w:hAnsi="宋体" w:cs="宋体"/>
          <w:b/>
          <w:bCs/>
          <w:sz w:val="28"/>
          <w:szCs w:val="28"/>
          <w:highlight w:val="none"/>
        </w:rPr>
        <w:t>部分选项为本</w:t>
      </w:r>
      <w:r>
        <w:rPr>
          <w:rFonts w:hint="eastAsia" w:ascii="宋体" w:hAnsi="宋体" w:cs="宋体"/>
          <w:b/>
          <w:bCs/>
          <w:snapToGrid w:val="0"/>
          <w:kern w:val="0"/>
          <w:sz w:val="28"/>
          <w:szCs w:val="28"/>
          <w:highlight w:val="none"/>
        </w:rPr>
        <w:t>合同协议书、合同专用条款和合同附件的选定内容，本合同的</w:t>
      </w:r>
      <w:r>
        <w:rPr>
          <w:rFonts w:hint="eastAsia" w:ascii="宋体" w:hAnsi="宋体" w:cs="宋体"/>
          <w:b/>
          <w:bCs/>
          <w:sz w:val="28"/>
          <w:szCs w:val="28"/>
          <w:highlight w:val="none"/>
        </w:rPr>
        <w:t>《合同通用条款》约定的内容与《合同专用条款》约定的内容相冲突时，以《专用条款》所约定的内容为准。</w:t>
      </w:r>
    </w:p>
    <w:p>
      <w:pPr>
        <w:widowControl/>
        <w:jc w:val="left"/>
        <w:rPr>
          <w:rFonts w:ascii="宋体" w:hAnsi="宋体" w:cs="宋体"/>
          <w:b/>
          <w:bCs/>
          <w:sz w:val="28"/>
          <w:szCs w:val="28"/>
          <w:highlight w:val="none"/>
        </w:rPr>
      </w:pPr>
      <w:r>
        <w:rPr>
          <w:rFonts w:ascii="宋体" w:hAnsi="宋体" w:cs="宋体"/>
          <w:b/>
          <w:bCs/>
          <w:sz w:val="28"/>
          <w:szCs w:val="28"/>
          <w:highlight w:val="none"/>
        </w:rPr>
        <w:br w:type="page"/>
      </w:r>
    </w:p>
    <w:p>
      <w:pPr>
        <w:ind w:firstLine="562" w:firstLineChars="200"/>
        <w:rPr>
          <w:rFonts w:ascii="宋体" w:hAnsi="宋体" w:cs="宋体"/>
          <w:b/>
          <w:bCs/>
          <w:sz w:val="28"/>
          <w:szCs w:val="28"/>
          <w:highlight w:val="none"/>
        </w:rPr>
        <w:sectPr>
          <w:footerReference r:id="rId4" w:type="default"/>
          <w:type w:val="continuous"/>
          <w:pgSz w:w="11907" w:h="16840"/>
          <w:pgMar w:top="1134" w:right="1418" w:bottom="1134" w:left="1418" w:header="851" w:footer="737" w:gutter="0"/>
          <w:pgNumType w:start="1"/>
          <w:cols w:space="720" w:num="1"/>
          <w:docGrid w:type="lines" w:linePitch="312" w:charSpace="0"/>
        </w:sectPr>
      </w:pPr>
    </w:p>
    <w:p>
      <w:pPr>
        <w:pStyle w:val="143"/>
        <w:jc w:val="center"/>
        <w:rPr>
          <w:color w:val="auto"/>
          <w:sz w:val="36"/>
          <w:szCs w:val="36"/>
          <w:highlight w:val="none"/>
        </w:rPr>
      </w:pPr>
      <w:r>
        <w:rPr>
          <w:color w:val="auto"/>
          <w:sz w:val="36"/>
          <w:szCs w:val="36"/>
          <w:highlight w:val="none"/>
          <w:lang w:val="zh-CN"/>
        </w:rPr>
        <w:t>目</w:t>
      </w:r>
      <w:r>
        <w:rPr>
          <w:rFonts w:hint="eastAsia"/>
          <w:color w:val="auto"/>
          <w:sz w:val="36"/>
          <w:szCs w:val="36"/>
          <w:highlight w:val="none"/>
          <w:lang w:val="zh-CN"/>
        </w:rPr>
        <w:t xml:space="preserve">   </w:t>
      </w:r>
      <w:r>
        <w:rPr>
          <w:color w:val="auto"/>
          <w:sz w:val="36"/>
          <w:szCs w:val="36"/>
          <w:highlight w:val="none"/>
          <w:lang w:val="zh-CN"/>
        </w:rPr>
        <w:t>录</w:t>
      </w:r>
    </w:p>
    <w:p>
      <w:pPr>
        <w:pStyle w:val="62"/>
        <w:tabs>
          <w:tab w:val="right" w:leader="dot" w:pos="9061"/>
        </w:tabs>
        <w:rPr>
          <w:rFonts w:asciiTheme="minorHAnsi" w:hAnsiTheme="minorHAnsi" w:eastAsiaTheme="minorEastAsia" w:cstheme="minorBidi"/>
          <w:smallCaps w:val="0"/>
          <w:sz w:val="21"/>
          <w:szCs w:val="22"/>
          <w:highlight w:val="none"/>
        </w:rPr>
      </w:pPr>
      <w:r>
        <w:rPr>
          <w:b/>
          <w:bCs/>
          <w:caps/>
          <w:highlight w:val="none"/>
        </w:rPr>
        <w:fldChar w:fldCharType="begin"/>
      </w:r>
      <w:r>
        <w:rPr>
          <w:highlight w:val="none"/>
        </w:rPr>
        <w:instrText xml:space="preserve"> TOC \o "1-3" \h \z \u </w:instrText>
      </w:r>
      <w:r>
        <w:rPr>
          <w:b/>
          <w:bCs/>
          <w:caps/>
          <w:highlight w:val="none"/>
        </w:rPr>
        <w:fldChar w:fldCharType="separate"/>
      </w:r>
    </w:p>
    <w:p>
      <w:pPr>
        <w:pStyle w:val="52"/>
        <w:tabs>
          <w:tab w:val="right" w:leader="dot" w:pos="9061"/>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"_Toc132813104" </w:instrText>
      </w:r>
      <w:r>
        <w:rPr>
          <w:highlight w:val="none"/>
        </w:rPr>
        <w:fldChar w:fldCharType="separate"/>
      </w:r>
      <w:r>
        <w:rPr>
          <w:rStyle w:val="88"/>
          <w:snapToGrid w:val="0"/>
          <w:color w:val="auto"/>
          <w:kern w:val="0"/>
          <w:highlight w:val="none"/>
        </w:rPr>
        <w:t>第一篇  合同协议书</w:t>
      </w:r>
      <w:r>
        <w:rPr>
          <w:highlight w:val="none"/>
        </w:rPr>
        <w:tab/>
      </w:r>
      <w:r>
        <w:rPr>
          <w:highlight w:val="none"/>
        </w:rPr>
        <w:t>15</w:t>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"_Toc132813105" </w:instrText>
      </w:r>
      <w:r>
        <w:rPr>
          <w:highlight w:val="none"/>
        </w:rPr>
        <w:fldChar w:fldCharType="separate"/>
      </w:r>
      <w:r>
        <w:rPr>
          <w:rStyle w:val="88"/>
          <w:snapToGrid w:val="0"/>
          <w:color w:val="auto"/>
          <w:kern w:val="0"/>
          <w:highlight w:val="none"/>
        </w:rPr>
        <w:t>一、工程概况</w:t>
      </w:r>
      <w:r>
        <w:rPr>
          <w:highlight w:val="none"/>
        </w:rPr>
        <w:tab/>
      </w:r>
      <w:r>
        <w:rPr>
          <w:highlight w:val="none"/>
        </w:rPr>
        <w:fldChar w:fldCharType="begin"/>
      </w:r>
      <w:r>
        <w:rPr>
          <w:highlight w:val="none"/>
        </w:rPr>
        <w:instrText xml:space="preserve"> PAGEREF _Toc132813105 \h </w:instrText>
      </w:r>
      <w:r>
        <w:rPr>
          <w:highlight w:val="none"/>
        </w:rPr>
        <w:fldChar w:fldCharType="separate"/>
      </w:r>
      <w:r>
        <w:rPr>
          <w:highlight w:val="none"/>
        </w:rPr>
        <w:t>15</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"_Toc132813106" </w:instrText>
      </w:r>
      <w:r>
        <w:rPr>
          <w:highlight w:val="none"/>
        </w:rPr>
        <w:fldChar w:fldCharType="separate"/>
      </w:r>
      <w:r>
        <w:rPr>
          <w:rStyle w:val="88"/>
          <w:snapToGrid w:val="0"/>
          <w:color w:val="auto"/>
          <w:kern w:val="0"/>
          <w:highlight w:val="none"/>
        </w:rPr>
        <w:t>二、工程内容、承包范围和承包方式</w:t>
      </w:r>
      <w:r>
        <w:rPr>
          <w:highlight w:val="none"/>
        </w:rPr>
        <w:tab/>
      </w:r>
      <w:r>
        <w:rPr>
          <w:highlight w:val="none"/>
        </w:rPr>
        <w:fldChar w:fldCharType="begin"/>
      </w:r>
      <w:r>
        <w:rPr>
          <w:highlight w:val="none"/>
        </w:rPr>
        <w:instrText xml:space="preserve"> PAGEREF _Toc132813106 \h </w:instrText>
      </w:r>
      <w:r>
        <w:rPr>
          <w:highlight w:val="none"/>
        </w:rPr>
        <w:fldChar w:fldCharType="separate"/>
      </w:r>
      <w:r>
        <w:rPr>
          <w:highlight w:val="none"/>
        </w:rPr>
        <w:t>15</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"_Toc132813107" </w:instrText>
      </w:r>
      <w:r>
        <w:rPr>
          <w:highlight w:val="none"/>
        </w:rPr>
        <w:fldChar w:fldCharType="separate"/>
      </w:r>
      <w:r>
        <w:rPr>
          <w:rStyle w:val="88"/>
          <w:snapToGrid w:val="0"/>
          <w:color w:val="auto"/>
          <w:kern w:val="0"/>
          <w:highlight w:val="none"/>
        </w:rPr>
        <w:t>三、合同工期</w:t>
      </w:r>
      <w:r>
        <w:rPr>
          <w:highlight w:val="none"/>
        </w:rPr>
        <w:tab/>
      </w:r>
      <w:r>
        <w:rPr>
          <w:highlight w:val="none"/>
        </w:rPr>
        <w:fldChar w:fldCharType="begin"/>
      </w:r>
      <w:r>
        <w:rPr>
          <w:highlight w:val="none"/>
        </w:rPr>
        <w:instrText xml:space="preserve"> PAGEREF _Toc132813107 \h </w:instrText>
      </w:r>
      <w:r>
        <w:rPr>
          <w:highlight w:val="none"/>
        </w:rPr>
        <w:fldChar w:fldCharType="separate"/>
      </w:r>
      <w:r>
        <w:rPr>
          <w:highlight w:val="none"/>
        </w:rPr>
        <w:t>16</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"_Toc132813108" </w:instrText>
      </w:r>
      <w:r>
        <w:rPr>
          <w:highlight w:val="none"/>
        </w:rPr>
        <w:fldChar w:fldCharType="separate"/>
      </w:r>
      <w:r>
        <w:rPr>
          <w:rStyle w:val="88"/>
          <w:snapToGrid w:val="0"/>
          <w:color w:val="auto"/>
          <w:kern w:val="0"/>
          <w:highlight w:val="none"/>
        </w:rPr>
        <w:t>四、质量标准和目标</w:t>
      </w:r>
      <w:r>
        <w:rPr>
          <w:highlight w:val="none"/>
        </w:rPr>
        <w:tab/>
      </w:r>
      <w:r>
        <w:rPr>
          <w:highlight w:val="none"/>
        </w:rPr>
        <w:fldChar w:fldCharType="begin"/>
      </w:r>
      <w:r>
        <w:rPr>
          <w:highlight w:val="none"/>
        </w:rPr>
        <w:instrText xml:space="preserve"> PAGEREF _Toc132813108 \h </w:instrText>
      </w:r>
      <w:r>
        <w:rPr>
          <w:highlight w:val="none"/>
        </w:rPr>
        <w:fldChar w:fldCharType="separate"/>
      </w:r>
      <w:r>
        <w:rPr>
          <w:highlight w:val="none"/>
        </w:rPr>
        <w:t>17</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"_Toc132813109" </w:instrText>
      </w:r>
      <w:r>
        <w:rPr>
          <w:highlight w:val="none"/>
        </w:rPr>
        <w:fldChar w:fldCharType="separate"/>
      </w:r>
      <w:r>
        <w:rPr>
          <w:rStyle w:val="88"/>
          <w:snapToGrid w:val="0"/>
          <w:color w:val="auto"/>
          <w:kern w:val="0"/>
          <w:highlight w:val="none"/>
        </w:rPr>
        <w:t>五、职业健康安全管理目标和环境管理目标</w:t>
      </w:r>
      <w:r>
        <w:rPr>
          <w:highlight w:val="none"/>
        </w:rPr>
        <w:tab/>
      </w:r>
      <w:r>
        <w:rPr>
          <w:highlight w:val="none"/>
        </w:rPr>
        <w:fldChar w:fldCharType="begin"/>
      </w:r>
      <w:r>
        <w:rPr>
          <w:highlight w:val="none"/>
        </w:rPr>
        <w:instrText xml:space="preserve"> PAGEREF _Toc132813109 \h </w:instrText>
      </w:r>
      <w:r>
        <w:rPr>
          <w:highlight w:val="none"/>
        </w:rPr>
        <w:fldChar w:fldCharType="separate"/>
      </w:r>
      <w:r>
        <w:rPr>
          <w:highlight w:val="none"/>
        </w:rPr>
        <w:t>18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"_Toc132813110" </w:instrText>
      </w:r>
      <w:r>
        <w:rPr>
          <w:highlight w:val="none"/>
        </w:rPr>
        <w:fldChar w:fldCharType="separate"/>
      </w:r>
      <w:r>
        <w:rPr>
          <w:rStyle w:val="88"/>
          <w:snapToGrid w:val="0"/>
          <w:color w:val="auto"/>
          <w:kern w:val="0"/>
          <w:highlight w:val="none"/>
        </w:rPr>
        <w:t>六、合同价款</w:t>
      </w:r>
      <w:r>
        <w:rPr>
          <w:highlight w:val="none"/>
        </w:rPr>
        <w:tab/>
      </w:r>
      <w:r>
        <w:rPr>
          <w:highlight w:val="none"/>
        </w:rPr>
        <w:fldChar w:fldCharType="begin"/>
      </w:r>
      <w:r>
        <w:rPr>
          <w:highlight w:val="none"/>
        </w:rPr>
        <w:instrText xml:space="preserve"> PAGEREF _Toc132813110 \h </w:instrText>
      </w:r>
      <w:r>
        <w:rPr>
          <w:highlight w:val="none"/>
        </w:rPr>
        <w:fldChar w:fldCharType="separate"/>
      </w:r>
      <w:r>
        <w:rPr>
          <w:highlight w:val="none"/>
        </w:rPr>
        <w:t>18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"_Toc132813111" </w:instrText>
      </w:r>
      <w:r>
        <w:rPr>
          <w:highlight w:val="none"/>
        </w:rPr>
        <w:fldChar w:fldCharType="separate"/>
      </w:r>
      <w:r>
        <w:rPr>
          <w:rStyle w:val="88"/>
          <w:snapToGrid w:val="0"/>
          <w:color w:val="auto"/>
          <w:kern w:val="0"/>
          <w:highlight w:val="none"/>
        </w:rPr>
        <w:t>七、组成合同的文件</w:t>
      </w:r>
      <w:r>
        <w:rPr>
          <w:highlight w:val="none"/>
        </w:rPr>
        <w:tab/>
      </w:r>
      <w:r>
        <w:rPr>
          <w:highlight w:val="none"/>
        </w:rPr>
        <w:fldChar w:fldCharType="begin"/>
      </w:r>
      <w:r>
        <w:rPr>
          <w:highlight w:val="none"/>
        </w:rPr>
        <w:instrText xml:space="preserve"> PAGEREF _Toc132813111 \h </w:instrText>
      </w:r>
      <w:r>
        <w:rPr>
          <w:highlight w:val="none"/>
        </w:rPr>
        <w:fldChar w:fldCharType="separate"/>
      </w:r>
      <w:r>
        <w:rPr>
          <w:highlight w:val="none"/>
        </w:rPr>
        <w:t>18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"_Toc132813112" </w:instrText>
      </w:r>
      <w:r>
        <w:rPr>
          <w:highlight w:val="none"/>
        </w:rPr>
        <w:fldChar w:fldCharType="separate"/>
      </w:r>
      <w:r>
        <w:rPr>
          <w:rStyle w:val="88"/>
          <w:snapToGrid w:val="0"/>
          <w:color w:val="auto"/>
          <w:kern w:val="0"/>
          <w:highlight w:val="none"/>
        </w:rPr>
        <w:t>八、承诺</w:t>
      </w:r>
      <w:r>
        <w:rPr>
          <w:highlight w:val="none"/>
        </w:rPr>
        <w:tab/>
      </w:r>
      <w:r>
        <w:rPr>
          <w:highlight w:val="none"/>
        </w:rPr>
        <w:fldChar w:fldCharType="begin"/>
      </w:r>
      <w:r>
        <w:rPr>
          <w:highlight w:val="none"/>
        </w:rPr>
        <w:instrText xml:space="preserve"> PAGEREF _Toc132813112 \h </w:instrText>
      </w:r>
      <w:r>
        <w:rPr>
          <w:highlight w:val="none"/>
        </w:rPr>
        <w:fldChar w:fldCharType="separate"/>
      </w:r>
      <w:r>
        <w:rPr>
          <w:highlight w:val="none"/>
        </w:rPr>
        <w:t>19</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"_Toc132813113" </w:instrText>
      </w:r>
      <w:r>
        <w:rPr>
          <w:highlight w:val="none"/>
        </w:rPr>
        <w:fldChar w:fldCharType="separate"/>
      </w:r>
      <w:r>
        <w:rPr>
          <w:rStyle w:val="88"/>
          <w:snapToGrid w:val="0"/>
          <w:color w:val="auto"/>
          <w:kern w:val="0"/>
          <w:highlight w:val="none"/>
        </w:rPr>
        <w:t>九、合同生效</w:t>
      </w:r>
      <w:r>
        <w:rPr>
          <w:highlight w:val="none"/>
        </w:rPr>
        <w:tab/>
      </w:r>
      <w:r>
        <w:rPr>
          <w:highlight w:val="none"/>
        </w:rPr>
        <w:fldChar w:fldCharType="begin"/>
      </w:r>
      <w:r>
        <w:rPr>
          <w:highlight w:val="none"/>
        </w:rPr>
        <w:instrText xml:space="preserve"> PAGEREF _Toc132813113 \h </w:instrText>
      </w:r>
      <w:r>
        <w:rPr>
          <w:highlight w:val="none"/>
        </w:rPr>
        <w:fldChar w:fldCharType="separate"/>
      </w:r>
      <w:r>
        <w:rPr>
          <w:highlight w:val="none"/>
        </w:rPr>
        <w:t>19</w:t>
      </w:r>
      <w:r>
        <w:rPr>
          <w:highlight w:val="none"/>
        </w:rPr>
        <w:fldChar w:fldCharType="end"/>
      </w:r>
      <w:r>
        <w:rPr>
          <w:highlight w:val="none"/>
        </w:rPr>
        <w:fldChar w:fldCharType="end"/>
      </w:r>
    </w:p>
    <w:p>
      <w:pPr>
        <w:pStyle w:val="52"/>
        <w:tabs>
          <w:tab w:val="right" w:leader="dot" w:pos="9061"/>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"_Toc132813114" </w:instrText>
      </w:r>
      <w:r>
        <w:rPr>
          <w:highlight w:val="none"/>
        </w:rPr>
        <w:fldChar w:fldCharType="separate"/>
      </w:r>
      <w:r>
        <w:rPr>
          <w:rStyle w:val="88"/>
          <w:color w:val="auto"/>
          <w:highlight w:val="none"/>
        </w:rPr>
        <w:t>第二篇  合同专用条款</w:t>
      </w:r>
      <w:r>
        <w:rPr>
          <w:highlight w:val="none"/>
        </w:rPr>
        <w:tab/>
      </w:r>
      <w:r>
        <w:rPr>
          <w:highlight w:val="none"/>
        </w:rPr>
        <w:fldChar w:fldCharType="begin"/>
      </w:r>
      <w:r>
        <w:rPr>
          <w:highlight w:val="none"/>
        </w:rPr>
        <w:instrText xml:space="preserve"> PAGEREF _Toc132813114 \h </w:instrText>
      </w:r>
      <w:r>
        <w:rPr>
          <w:highlight w:val="none"/>
        </w:rPr>
        <w:fldChar w:fldCharType="separate"/>
      </w:r>
      <w:r>
        <w:rPr>
          <w:highlight w:val="none"/>
        </w:rPr>
        <w:t>21</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"_Toc132813115" </w:instrText>
      </w:r>
      <w:r>
        <w:rPr>
          <w:highlight w:val="none"/>
        </w:rPr>
        <w:fldChar w:fldCharType="separate"/>
      </w:r>
      <w:r>
        <w:rPr>
          <w:rStyle w:val="88"/>
          <w:snapToGrid w:val="0"/>
          <w:color w:val="auto"/>
          <w:kern w:val="0"/>
          <w:highlight w:val="none"/>
        </w:rPr>
        <w:t>总  则</w:t>
      </w:r>
      <w:r>
        <w:rPr>
          <w:highlight w:val="none"/>
        </w:rPr>
        <w:tab/>
      </w:r>
      <w:r>
        <w:rPr>
          <w:highlight w:val="none"/>
        </w:rPr>
        <w:fldChar w:fldCharType="begin"/>
      </w:r>
      <w:r>
        <w:rPr>
          <w:highlight w:val="none"/>
        </w:rPr>
        <w:instrText xml:space="preserve"> PAGEREF _Toc132813115 \h </w:instrText>
      </w:r>
      <w:r>
        <w:rPr>
          <w:highlight w:val="none"/>
        </w:rPr>
        <w:fldChar w:fldCharType="separate"/>
      </w:r>
      <w:r>
        <w:rPr>
          <w:highlight w:val="none"/>
        </w:rPr>
        <w:t>21</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"_Toc132813116" </w:instrText>
      </w:r>
      <w:r>
        <w:rPr>
          <w:highlight w:val="none"/>
        </w:rPr>
        <w:fldChar w:fldCharType="separate"/>
      </w:r>
      <w:r>
        <w:rPr>
          <w:rStyle w:val="88"/>
          <w:color w:val="auto"/>
          <w:highlight w:val="none"/>
        </w:rPr>
        <w:t>一、词语定义及合同文件</w:t>
      </w:r>
      <w:r>
        <w:rPr>
          <w:highlight w:val="none"/>
        </w:rPr>
        <w:tab/>
      </w:r>
      <w:r>
        <w:rPr>
          <w:highlight w:val="none"/>
        </w:rPr>
        <w:fldChar w:fldCharType="begin"/>
      </w:r>
      <w:r>
        <w:rPr>
          <w:highlight w:val="none"/>
        </w:rPr>
        <w:instrText xml:space="preserve"> PAGEREF _Toc132813116 \h </w:instrText>
      </w:r>
      <w:r>
        <w:rPr>
          <w:highlight w:val="none"/>
        </w:rPr>
        <w:fldChar w:fldCharType="separate"/>
      </w:r>
      <w:r>
        <w:rPr>
          <w:highlight w:val="none"/>
        </w:rPr>
        <w:t>21</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"_Toc132813117" </w:instrText>
      </w:r>
      <w:r>
        <w:rPr>
          <w:highlight w:val="none"/>
        </w:rPr>
        <w:fldChar w:fldCharType="separate"/>
      </w:r>
      <w:r>
        <w:rPr>
          <w:rStyle w:val="88"/>
          <w:snapToGrid w:val="0"/>
          <w:color w:val="auto"/>
          <w:kern w:val="0"/>
          <w:highlight w:val="none"/>
        </w:rPr>
        <w:t>二、双方一般权利和义务</w:t>
      </w:r>
      <w:r>
        <w:rPr>
          <w:highlight w:val="none"/>
        </w:rPr>
        <w:tab/>
      </w:r>
      <w:r>
        <w:rPr>
          <w:highlight w:val="none"/>
        </w:rPr>
        <w:fldChar w:fldCharType="begin"/>
      </w:r>
      <w:r>
        <w:rPr>
          <w:highlight w:val="none"/>
        </w:rPr>
        <w:instrText xml:space="preserve"> PAGEREF _Toc132813117 \h </w:instrText>
      </w:r>
      <w:r>
        <w:rPr>
          <w:highlight w:val="none"/>
        </w:rPr>
        <w:fldChar w:fldCharType="separate"/>
      </w:r>
      <w:r>
        <w:rPr>
          <w:highlight w:val="none"/>
        </w:rPr>
        <w:t>25</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"_Toc132813118" </w:instrText>
      </w:r>
      <w:r>
        <w:rPr>
          <w:highlight w:val="none"/>
        </w:rPr>
        <w:fldChar w:fldCharType="separate"/>
      </w:r>
      <w:r>
        <w:rPr>
          <w:rStyle w:val="88"/>
          <w:snapToGrid w:val="0"/>
          <w:color w:val="auto"/>
          <w:kern w:val="0"/>
          <w:highlight w:val="none"/>
        </w:rPr>
        <w:t>三、施工组织设计和工期</w:t>
      </w:r>
      <w:r>
        <w:rPr>
          <w:highlight w:val="none"/>
        </w:rPr>
        <w:tab/>
      </w:r>
      <w:r>
        <w:rPr>
          <w:highlight w:val="none"/>
        </w:rPr>
        <w:fldChar w:fldCharType="begin"/>
      </w:r>
      <w:r>
        <w:rPr>
          <w:highlight w:val="none"/>
        </w:rPr>
        <w:instrText xml:space="preserve"> PAGEREF _Toc132813118 \h </w:instrText>
      </w:r>
      <w:r>
        <w:rPr>
          <w:highlight w:val="none"/>
        </w:rPr>
        <w:fldChar w:fldCharType="separate"/>
      </w:r>
      <w:r>
        <w:rPr>
          <w:highlight w:val="none"/>
        </w:rPr>
        <w:t>32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"_Toc132813119" </w:instrText>
      </w:r>
      <w:r>
        <w:rPr>
          <w:highlight w:val="none"/>
        </w:rPr>
        <w:fldChar w:fldCharType="separate"/>
      </w:r>
      <w:r>
        <w:rPr>
          <w:rStyle w:val="88"/>
          <w:snapToGrid w:val="0"/>
          <w:color w:val="auto"/>
          <w:kern w:val="0"/>
          <w:highlight w:val="none"/>
        </w:rPr>
        <w:t>四、质量与检验</w:t>
      </w:r>
      <w:r>
        <w:rPr>
          <w:highlight w:val="none"/>
        </w:rPr>
        <w:tab/>
      </w:r>
      <w:r>
        <w:rPr>
          <w:highlight w:val="none"/>
        </w:rPr>
        <w:fldChar w:fldCharType="begin"/>
      </w:r>
      <w:r>
        <w:rPr>
          <w:highlight w:val="none"/>
        </w:rPr>
        <w:instrText xml:space="preserve"> PAGEREF _Toc132813119 \h </w:instrText>
      </w:r>
      <w:r>
        <w:rPr>
          <w:highlight w:val="none"/>
        </w:rPr>
        <w:fldChar w:fldCharType="separate"/>
      </w:r>
      <w:r>
        <w:rPr>
          <w:highlight w:val="none"/>
        </w:rPr>
        <w:t>36</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"_Toc132813120" </w:instrText>
      </w:r>
      <w:r>
        <w:rPr>
          <w:highlight w:val="none"/>
        </w:rPr>
        <w:fldChar w:fldCharType="separate"/>
      </w:r>
      <w:r>
        <w:rPr>
          <w:rStyle w:val="88"/>
          <w:snapToGrid w:val="0"/>
          <w:color w:val="auto"/>
          <w:kern w:val="0"/>
          <w:highlight w:val="none"/>
        </w:rPr>
        <w:t>五、绿色施工安全防护</w:t>
      </w:r>
      <w:r>
        <w:rPr>
          <w:highlight w:val="none"/>
        </w:rPr>
        <w:tab/>
      </w:r>
      <w:r>
        <w:rPr>
          <w:highlight w:val="none"/>
        </w:rPr>
        <w:fldChar w:fldCharType="begin"/>
      </w:r>
      <w:r>
        <w:rPr>
          <w:highlight w:val="none"/>
        </w:rPr>
        <w:instrText xml:space="preserve"> PAGEREF _Toc132813120 \h </w:instrText>
      </w:r>
      <w:r>
        <w:rPr>
          <w:highlight w:val="none"/>
        </w:rPr>
        <w:fldChar w:fldCharType="separate"/>
      </w:r>
      <w:r>
        <w:rPr>
          <w:highlight w:val="none"/>
        </w:rPr>
        <w:t>39</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"_Toc132813121" </w:instrText>
      </w:r>
      <w:r>
        <w:rPr>
          <w:highlight w:val="none"/>
        </w:rPr>
        <w:fldChar w:fldCharType="separate"/>
      </w:r>
      <w:r>
        <w:rPr>
          <w:rStyle w:val="88"/>
          <w:snapToGrid w:val="0"/>
          <w:color w:val="auto"/>
          <w:kern w:val="0"/>
          <w:highlight w:val="none"/>
        </w:rPr>
        <w:t>六、合同价款与支付</w:t>
      </w:r>
      <w:r>
        <w:rPr>
          <w:highlight w:val="none"/>
        </w:rPr>
        <w:tab/>
      </w:r>
      <w:r>
        <w:rPr>
          <w:highlight w:val="none"/>
        </w:rPr>
        <w:fldChar w:fldCharType="begin"/>
      </w:r>
      <w:r>
        <w:rPr>
          <w:highlight w:val="none"/>
        </w:rPr>
        <w:instrText xml:space="preserve"> PAGEREF _Toc132813121 \h </w:instrText>
      </w:r>
      <w:r>
        <w:rPr>
          <w:highlight w:val="none"/>
        </w:rPr>
        <w:fldChar w:fldCharType="separate"/>
      </w:r>
      <w:r>
        <w:rPr>
          <w:highlight w:val="none"/>
        </w:rPr>
        <w:t>42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"_Toc132813122" </w:instrText>
      </w:r>
      <w:r>
        <w:rPr>
          <w:highlight w:val="none"/>
        </w:rPr>
        <w:fldChar w:fldCharType="separate"/>
      </w:r>
      <w:r>
        <w:rPr>
          <w:rStyle w:val="88"/>
          <w:snapToGrid w:val="0"/>
          <w:color w:val="auto"/>
          <w:highlight w:val="none"/>
        </w:rPr>
        <w:t>七、材料设备供应</w:t>
      </w:r>
      <w:r>
        <w:rPr>
          <w:highlight w:val="none"/>
        </w:rPr>
        <w:tab/>
      </w:r>
      <w:r>
        <w:rPr>
          <w:highlight w:val="none"/>
        </w:rPr>
        <w:fldChar w:fldCharType="begin"/>
      </w:r>
      <w:r>
        <w:rPr>
          <w:highlight w:val="none"/>
        </w:rPr>
        <w:instrText xml:space="preserve"> PAGEREF _Toc132813122 \h </w:instrText>
      </w:r>
      <w:r>
        <w:rPr>
          <w:highlight w:val="none"/>
        </w:rPr>
        <w:fldChar w:fldCharType="separate"/>
      </w:r>
      <w:r>
        <w:rPr>
          <w:highlight w:val="none"/>
        </w:rPr>
        <w:t>48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"_Toc132813123" </w:instrText>
      </w:r>
      <w:r>
        <w:rPr>
          <w:highlight w:val="none"/>
        </w:rPr>
        <w:fldChar w:fldCharType="separate"/>
      </w:r>
      <w:r>
        <w:rPr>
          <w:rStyle w:val="88"/>
          <w:snapToGrid w:val="0"/>
          <w:color w:val="auto"/>
          <w:kern w:val="0"/>
          <w:highlight w:val="none"/>
        </w:rPr>
        <w:t>八、工程计价原则</w:t>
      </w:r>
      <w:r>
        <w:rPr>
          <w:highlight w:val="none"/>
        </w:rPr>
        <w:tab/>
      </w:r>
      <w:r>
        <w:rPr>
          <w:highlight w:val="none"/>
        </w:rPr>
        <w:fldChar w:fldCharType="begin"/>
      </w:r>
      <w:r>
        <w:rPr>
          <w:highlight w:val="none"/>
        </w:rPr>
        <w:instrText xml:space="preserve"> PAGEREF _Toc132813123 \h </w:instrText>
      </w:r>
      <w:r>
        <w:rPr>
          <w:highlight w:val="none"/>
        </w:rPr>
        <w:fldChar w:fldCharType="separate"/>
      </w:r>
      <w:r>
        <w:rPr>
          <w:highlight w:val="none"/>
        </w:rPr>
        <w:t>50</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"_Toc132813124" </w:instrText>
      </w:r>
      <w:r>
        <w:rPr>
          <w:highlight w:val="none"/>
        </w:rPr>
        <w:fldChar w:fldCharType="separate"/>
      </w:r>
      <w:r>
        <w:rPr>
          <w:rStyle w:val="88"/>
          <w:snapToGrid w:val="0"/>
          <w:color w:val="auto"/>
          <w:kern w:val="0"/>
          <w:highlight w:val="none"/>
        </w:rPr>
        <w:t>九、竣工验收与结算</w:t>
      </w:r>
      <w:r>
        <w:rPr>
          <w:highlight w:val="none"/>
        </w:rPr>
        <w:tab/>
      </w:r>
      <w:r>
        <w:rPr>
          <w:highlight w:val="none"/>
        </w:rPr>
        <w:fldChar w:fldCharType="begin"/>
      </w:r>
      <w:r>
        <w:rPr>
          <w:highlight w:val="none"/>
        </w:rPr>
        <w:instrText xml:space="preserve"> PAGEREF _Toc132813124 \h </w:instrText>
      </w:r>
      <w:r>
        <w:rPr>
          <w:highlight w:val="none"/>
        </w:rPr>
        <w:fldChar w:fldCharType="separate"/>
      </w:r>
      <w:r>
        <w:rPr>
          <w:highlight w:val="none"/>
        </w:rPr>
        <w:t>53</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"_Toc132813125" </w:instrText>
      </w:r>
      <w:r>
        <w:rPr>
          <w:highlight w:val="none"/>
        </w:rPr>
        <w:fldChar w:fldCharType="separate"/>
      </w:r>
      <w:r>
        <w:rPr>
          <w:rStyle w:val="88"/>
          <w:snapToGrid w:val="0"/>
          <w:color w:val="auto"/>
          <w:kern w:val="0"/>
          <w:highlight w:val="none"/>
        </w:rPr>
        <w:t>十、违约、索赔和争议</w:t>
      </w:r>
      <w:r>
        <w:rPr>
          <w:highlight w:val="none"/>
        </w:rPr>
        <w:tab/>
      </w:r>
      <w:r>
        <w:rPr>
          <w:highlight w:val="none"/>
        </w:rPr>
        <w:fldChar w:fldCharType="begin"/>
      </w:r>
      <w:r>
        <w:rPr>
          <w:highlight w:val="none"/>
        </w:rPr>
        <w:instrText xml:space="preserve"> PAGEREF _Toc132813125 \h </w:instrText>
      </w:r>
      <w:r>
        <w:rPr>
          <w:highlight w:val="none"/>
        </w:rPr>
        <w:fldChar w:fldCharType="separate"/>
      </w:r>
      <w:r>
        <w:rPr>
          <w:highlight w:val="none"/>
        </w:rPr>
        <w:t>58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"_Toc132813126" </w:instrText>
      </w:r>
      <w:r>
        <w:rPr>
          <w:highlight w:val="none"/>
        </w:rPr>
        <w:fldChar w:fldCharType="separate"/>
      </w:r>
      <w:r>
        <w:rPr>
          <w:rStyle w:val="88"/>
          <w:snapToGrid w:val="0"/>
          <w:color w:val="auto"/>
          <w:kern w:val="0"/>
          <w:highlight w:val="none"/>
        </w:rPr>
        <w:t>十一、其他</w:t>
      </w:r>
      <w:r>
        <w:rPr>
          <w:highlight w:val="none"/>
        </w:rPr>
        <w:tab/>
      </w:r>
      <w:r>
        <w:rPr>
          <w:highlight w:val="none"/>
        </w:rPr>
        <w:fldChar w:fldCharType="begin"/>
      </w:r>
      <w:r>
        <w:rPr>
          <w:highlight w:val="none"/>
        </w:rPr>
        <w:instrText xml:space="preserve"> PAGEREF _Toc132813126 \h </w:instrText>
      </w:r>
      <w:r>
        <w:rPr>
          <w:highlight w:val="none"/>
        </w:rPr>
        <w:fldChar w:fldCharType="separate"/>
      </w:r>
      <w:r>
        <w:rPr>
          <w:highlight w:val="none"/>
        </w:rPr>
        <w:t>66</w:t>
      </w:r>
      <w:r>
        <w:rPr>
          <w:highlight w:val="none"/>
        </w:rPr>
        <w:fldChar w:fldCharType="end"/>
      </w:r>
      <w:r>
        <w:rPr>
          <w:highlight w:val="none"/>
        </w:rPr>
        <w:fldChar w:fldCharType="end"/>
      </w:r>
    </w:p>
    <w:p>
      <w:pPr>
        <w:pStyle w:val="52"/>
        <w:tabs>
          <w:tab w:val="right" w:leader="dot" w:pos="9061"/>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"_Toc132813127" </w:instrText>
      </w:r>
      <w:r>
        <w:rPr>
          <w:highlight w:val="none"/>
        </w:rPr>
        <w:fldChar w:fldCharType="separate"/>
      </w:r>
      <w:r>
        <w:rPr>
          <w:rStyle w:val="88"/>
          <w:snapToGrid w:val="0"/>
          <w:color w:val="auto"/>
          <w:kern w:val="0"/>
          <w:highlight w:val="none"/>
        </w:rPr>
        <w:t>第三篇  合同通用条款</w:t>
      </w:r>
      <w:r>
        <w:rPr>
          <w:highlight w:val="none"/>
        </w:rPr>
        <w:tab/>
      </w:r>
      <w:r>
        <w:rPr>
          <w:highlight w:val="none"/>
        </w:rPr>
        <w:fldChar w:fldCharType="begin"/>
      </w:r>
      <w:r>
        <w:rPr>
          <w:highlight w:val="none"/>
        </w:rPr>
        <w:instrText xml:space="preserve"> PAGEREF _Toc132813127 \h </w:instrText>
      </w:r>
      <w:r>
        <w:rPr>
          <w:highlight w:val="none"/>
        </w:rPr>
        <w:fldChar w:fldCharType="separate"/>
      </w:r>
      <w:r>
        <w:rPr>
          <w:highlight w:val="none"/>
        </w:rPr>
        <w:t>72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"_Toc132813128" </w:instrText>
      </w:r>
      <w:r>
        <w:rPr>
          <w:highlight w:val="none"/>
        </w:rPr>
        <w:fldChar w:fldCharType="separate"/>
      </w:r>
      <w:r>
        <w:rPr>
          <w:rStyle w:val="88"/>
          <w:snapToGrid w:val="0"/>
          <w:color w:val="auto"/>
          <w:kern w:val="0"/>
          <w:highlight w:val="none"/>
        </w:rPr>
        <w:t>一、词语定义及合同文件</w:t>
      </w:r>
      <w:r>
        <w:rPr>
          <w:highlight w:val="none"/>
        </w:rPr>
        <w:tab/>
      </w:r>
      <w:r>
        <w:rPr>
          <w:highlight w:val="none"/>
        </w:rPr>
        <w:fldChar w:fldCharType="begin"/>
      </w:r>
      <w:r>
        <w:rPr>
          <w:highlight w:val="none"/>
        </w:rPr>
        <w:instrText xml:space="preserve"> PAGEREF _Toc132813128 \h </w:instrText>
      </w:r>
      <w:r>
        <w:rPr>
          <w:highlight w:val="none"/>
        </w:rPr>
        <w:fldChar w:fldCharType="separate"/>
      </w:r>
      <w:r>
        <w:rPr>
          <w:highlight w:val="none"/>
        </w:rPr>
        <w:t>72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"_Toc132813129" </w:instrText>
      </w:r>
      <w:r>
        <w:rPr>
          <w:highlight w:val="none"/>
        </w:rPr>
        <w:fldChar w:fldCharType="separate"/>
      </w:r>
      <w:r>
        <w:rPr>
          <w:rStyle w:val="88"/>
          <w:snapToGrid w:val="0"/>
          <w:color w:val="auto"/>
          <w:kern w:val="0"/>
          <w:highlight w:val="none"/>
        </w:rPr>
        <w:t>二、双方一般权利和义务</w:t>
      </w:r>
      <w:r>
        <w:rPr>
          <w:highlight w:val="none"/>
        </w:rPr>
        <w:tab/>
      </w:r>
      <w:r>
        <w:rPr>
          <w:highlight w:val="none"/>
        </w:rPr>
        <w:fldChar w:fldCharType="begin"/>
      </w:r>
      <w:r>
        <w:rPr>
          <w:highlight w:val="none"/>
        </w:rPr>
        <w:instrText xml:space="preserve"> PAGEREF _Toc132813129 \h </w:instrText>
      </w:r>
      <w:r>
        <w:rPr>
          <w:highlight w:val="none"/>
        </w:rPr>
        <w:fldChar w:fldCharType="separate"/>
      </w:r>
      <w:r>
        <w:rPr>
          <w:highlight w:val="none"/>
        </w:rPr>
        <w:t>74</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"_Toc132813130" </w:instrText>
      </w:r>
      <w:r>
        <w:rPr>
          <w:highlight w:val="none"/>
        </w:rPr>
        <w:fldChar w:fldCharType="separate"/>
      </w:r>
      <w:r>
        <w:rPr>
          <w:rStyle w:val="88"/>
          <w:snapToGrid w:val="0"/>
          <w:color w:val="auto"/>
          <w:kern w:val="0"/>
          <w:highlight w:val="none"/>
        </w:rPr>
        <w:t>三、施工组织设计和工期</w:t>
      </w:r>
      <w:r>
        <w:rPr>
          <w:highlight w:val="none"/>
        </w:rPr>
        <w:tab/>
      </w:r>
      <w:r>
        <w:rPr>
          <w:highlight w:val="none"/>
        </w:rPr>
        <w:fldChar w:fldCharType="begin"/>
      </w:r>
      <w:r>
        <w:rPr>
          <w:highlight w:val="none"/>
        </w:rPr>
        <w:instrText xml:space="preserve"> PAGEREF _Toc132813130 \h </w:instrText>
      </w:r>
      <w:r>
        <w:rPr>
          <w:highlight w:val="none"/>
        </w:rPr>
        <w:fldChar w:fldCharType="separate"/>
      </w:r>
      <w:r>
        <w:rPr>
          <w:highlight w:val="none"/>
        </w:rPr>
        <w:t>77</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"_Toc132813131" </w:instrText>
      </w:r>
      <w:r>
        <w:rPr>
          <w:highlight w:val="none"/>
        </w:rPr>
        <w:fldChar w:fldCharType="separate"/>
      </w:r>
      <w:r>
        <w:rPr>
          <w:rStyle w:val="88"/>
          <w:snapToGrid w:val="0"/>
          <w:color w:val="auto"/>
          <w:kern w:val="0"/>
          <w:highlight w:val="none"/>
        </w:rPr>
        <w:t>四、质量与检验</w:t>
      </w:r>
      <w:r>
        <w:rPr>
          <w:highlight w:val="none"/>
        </w:rPr>
        <w:tab/>
      </w:r>
      <w:r>
        <w:rPr>
          <w:highlight w:val="none"/>
        </w:rPr>
        <w:fldChar w:fldCharType="begin"/>
      </w:r>
      <w:r>
        <w:rPr>
          <w:highlight w:val="none"/>
        </w:rPr>
        <w:instrText xml:space="preserve"> PAGEREF _Toc132813131 \h </w:instrText>
      </w:r>
      <w:r>
        <w:rPr>
          <w:highlight w:val="none"/>
        </w:rPr>
        <w:fldChar w:fldCharType="separate"/>
      </w:r>
      <w:r>
        <w:rPr>
          <w:highlight w:val="none"/>
        </w:rPr>
        <w:t>78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"_Toc132813132" </w:instrText>
      </w:r>
      <w:r>
        <w:rPr>
          <w:highlight w:val="none"/>
        </w:rPr>
        <w:fldChar w:fldCharType="separate"/>
      </w:r>
      <w:r>
        <w:rPr>
          <w:rStyle w:val="88"/>
          <w:snapToGrid w:val="0"/>
          <w:color w:val="auto"/>
          <w:kern w:val="0"/>
          <w:highlight w:val="none"/>
        </w:rPr>
        <w:t>五、安全文明施工</w:t>
      </w:r>
      <w:r>
        <w:rPr>
          <w:highlight w:val="none"/>
        </w:rPr>
        <w:tab/>
      </w:r>
      <w:r>
        <w:rPr>
          <w:highlight w:val="none"/>
        </w:rPr>
        <w:fldChar w:fldCharType="begin"/>
      </w:r>
      <w:r>
        <w:rPr>
          <w:highlight w:val="none"/>
        </w:rPr>
        <w:instrText xml:space="preserve"> PAGEREF _Toc132813132 \h </w:instrText>
      </w:r>
      <w:r>
        <w:rPr>
          <w:highlight w:val="none"/>
        </w:rPr>
        <w:fldChar w:fldCharType="separate"/>
      </w:r>
      <w:r>
        <w:rPr>
          <w:highlight w:val="none"/>
        </w:rPr>
        <w:t>80</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"_Toc132813133" </w:instrText>
      </w:r>
      <w:r>
        <w:rPr>
          <w:highlight w:val="none"/>
        </w:rPr>
        <w:fldChar w:fldCharType="separate"/>
      </w:r>
      <w:r>
        <w:rPr>
          <w:rStyle w:val="88"/>
          <w:snapToGrid w:val="0"/>
          <w:color w:val="auto"/>
          <w:kern w:val="0"/>
          <w:highlight w:val="none"/>
        </w:rPr>
        <w:t>六、合同价款与支付</w:t>
      </w:r>
      <w:r>
        <w:rPr>
          <w:highlight w:val="none"/>
        </w:rPr>
        <w:tab/>
      </w:r>
      <w:r>
        <w:rPr>
          <w:highlight w:val="none"/>
        </w:rPr>
        <w:fldChar w:fldCharType="begin"/>
      </w:r>
      <w:r>
        <w:rPr>
          <w:highlight w:val="none"/>
        </w:rPr>
        <w:instrText xml:space="preserve"> PAGEREF _Toc132813133 \h </w:instrText>
      </w:r>
      <w:r>
        <w:rPr>
          <w:highlight w:val="none"/>
        </w:rPr>
        <w:fldChar w:fldCharType="separate"/>
      </w:r>
      <w:r>
        <w:rPr>
          <w:highlight w:val="none"/>
        </w:rPr>
        <w:t>81</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"_Toc132813134" </w:instrText>
      </w:r>
      <w:r>
        <w:rPr>
          <w:highlight w:val="none"/>
        </w:rPr>
        <w:fldChar w:fldCharType="separate"/>
      </w:r>
      <w:r>
        <w:rPr>
          <w:rStyle w:val="88"/>
          <w:snapToGrid w:val="0"/>
          <w:color w:val="auto"/>
          <w:kern w:val="0"/>
          <w:highlight w:val="none"/>
        </w:rPr>
        <w:t>七、材料设备供应</w:t>
      </w:r>
      <w:r>
        <w:rPr>
          <w:highlight w:val="none"/>
        </w:rPr>
        <w:tab/>
      </w:r>
      <w:r>
        <w:rPr>
          <w:highlight w:val="none"/>
        </w:rPr>
        <w:fldChar w:fldCharType="begin"/>
      </w:r>
      <w:r>
        <w:rPr>
          <w:highlight w:val="none"/>
        </w:rPr>
        <w:instrText xml:space="preserve"> PAGEREF _Toc132813134 \h </w:instrText>
      </w:r>
      <w:r>
        <w:rPr>
          <w:highlight w:val="none"/>
        </w:rPr>
        <w:fldChar w:fldCharType="separate"/>
      </w:r>
      <w:r>
        <w:rPr>
          <w:highlight w:val="none"/>
        </w:rPr>
        <w:t>83</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"_Toc132813135" </w:instrText>
      </w:r>
      <w:r>
        <w:rPr>
          <w:highlight w:val="none"/>
        </w:rPr>
        <w:fldChar w:fldCharType="separate"/>
      </w:r>
      <w:r>
        <w:rPr>
          <w:rStyle w:val="88"/>
          <w:snapToGrid w:val="0"/>
          <w:color w:val="auto"/>
          <w:kern w:val="0"/>
          <w:highlight w:val="none"/>
        </w:rPr>
        <w:t>八、工程变更</w:t>
      </w:r>
      <w:r>
        <w:rPr>
          <w:highlight w:val="none"/>
        </w:rPr>
        <w:tab/>
      </w:r>
      <w:r>
        <w:rPr>
          <w:highlight w:val="none"/>
        </w:rPr>
        <w:fldChar w:fldCharType="begin"/>
      </w:r>
      <w:r>
        <w:rPr>
          <w:highlight w:val="none"/>
        </w:rPr>
        <w:instrText xml:space="preserve"> PAGEREF _Toc132813135 \h </w:instrText>
      </w:r>
      <w:r>
        <w:rPr>
          <w:highlight w:val="none"/>
        </w:rPr>
        <w:fldChar w:fldCharType="separate"/>
      </w:r>
      <w:r>
        <w:rPr>
          <w:highlight w:val="none"/>
        </w:rPr>
        <w:t>84</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"_Toc132813136" </w:instrText>
      </w:r>
      <w:r>
        <w:rPr>
          <w:highlight w:val="none"/>
        </w:rPr>
        <w:fldChar w:fldCharType="separate"/>
      </w:r>
      <w:r>
        <w:rPr>
          <w:rStyle w:val="88"/>
          <w:snapToGrid w:val="0"/>
          <w:color w:val="auto"/>
          <w:kern w:val="0"/>
          <w:highlight w:val="none"/>
        </w:rPr>
        <w:t>九、竣工验收与结算</w:t>
      </w:r>
      <w:r>
        <w:rPr>
          <w:highlight w:val="none"/>
        </w:rPr>
        <w:tab/>
      </w:r>
      <w:r>
        <w:rPr>
          <w:highlight w:val="none"/>
        </w:rPr>
        <w:fldChar w:fldCharType="begin"/>
      </w:r>
      <w:r>
        <w:rPr>
          <w:highlight w:val="none"/>
        </w:rPr>
        <w:instrText xml:space="preserve"> PAGEREF _Toc132813136 \h </w:instrText>
      </w:r>
      <w:r>
        <w:rPr>
          <w:highlight w:val="none"/>
        </w:rPr>
        <w:fldChar w:fldCharType="separate"/>
      </w:r>
      <w:r>
        <w:rPr>
          <w:highlight w:val="none"/>
        </w:rPr>
        <w:t>85</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"_Toc132813137" </w:instrText>
      </w:r>
      <w:r>
        <w:rPr>
          <w:highlight w:val="none"/>
        </w:rPr>
        <w:fldChar w:fldCharType="separate"/>
      </w:r>
      <w:r>
        <w:rPr>
          <w:rStyle w:val="88"/>
          <w:snapToGrid w:val="0"/>
          <w:color w:val="auto"/>
          <w:kern w:val="0"/>
          <w:highlight w:val="none"/>
        </w:rPr>
        <w:t>十、违约、索赔和争议</w:t>
      </w:r>
      <w:r>
        <w:rPr>
          <w:highlight w:val="none"/>
        </w:rPr>
        <w:tab/>
      </w:r>
      <w:r>
        <w:rPr>
          <w:highlight w:val="none"/>
        </w:rPr>
        <w:fldChar w:fldCharType="begin"/>
      </w:r>
      <w:r>
        <w:rPr>
          <w:highlight w:val="none"/>
        </w:rPr>
        <w:instrText xml:space="preserve"> PAGEREF _Toc132813137 \h </w:instrText>
      </w:r>
      <w:r>
        <w:rPr>
          <w:highlight w:val="none"/>
        </w:rPr>
        <w:fldChar w:fldCharType="separate"/>
      </w:r>
      <w:r>
        <w:rPr>
          <w:highlight w:val="none"/>
        </w:rPr>
        <w:t>86</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"_Toc132813138" </w:instrText>
      </w:r>
      <w:r>
        <w:rPr>
          <w:highlight w:val="none"/>
        </w:rPr>
        <w:fldChar w:fldCharType="separate"/>
      </w:r>
      <w:r>
        <w:rPr>
          <w:rStyle w:val="88"/>
          <w:snapToGrid w:val="0"/>
          <w:color w:val="auto"/>
          <w:kern w:val="0"/>
          <w:highlight w:val="none"/>
        </w:rPr>
        <w:t>十一、其他</w:t>
      </w:r>
      <w:r>
        <w:rPr>
          <w:highlight w:val="none"/>
        </w:rPr>
        <w:tab/>
      </w:r>
      <w:r>
        <w:rPr>
          <w:highlight w:val="none"/>
        </w:rPr>
        <w:fldChar w:fldCharType="begin"/>
      </w:r>
      <w:r>
        <w:rPr>
          <w:highlight w:val="none"/>
        </w:rPr>
        <w:instrText xml:space="preserve"> PAGEREF _Toc132813138 \h </w:instrText>
      </w:r>
      <w:r>
        <w:rPr>
          <w:highlight w:val="none"/>
        </w:rPr>
        <w:fldChar w:fldCharType="separate"/>
      </w:r>
      <w:r>
        <w:rPr>
          <w:highlight w:val="none"/>
        </w:rPr>
        <w:t>88</w:t>
      </w:r>
      <w:r>
        <w:rPr>
          <w:highlight w:val="none"/>
        </w:rPr>
        <w:fldChar w:fldCharType="end"/>
      </w:r>
      <w:r>
        <w:rPr>
          <w:highlight w:val="none"/>
        </w:rPr>
        <w:fldChar w:fldCharType="end"/>
      </w:r>
    </w:p>
    <w:p>
      <w:pPr>
        <w:pStyle w:val="52"/>
        <w:tabs>
          <w:tab w:val="right" w:leader="dot" w:pos="9061"/>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"_Toc132813139" </w:instrText>
      </w:r>
      <w:r>
        <w:rPr>
          <w:highlight w:val="none"/>
        </w:rPr>
        <w:fldChar w:fldCharType="separate"/>
      </w:r>
      <w:r>
        <w:rPr>
          <w:rStyle w:val="88"/>
          <w:snapToGrid w:val="0"/>
          <w:color w:val="auto"/>
          <w:kern w:val="0"/>
          <w:highlight w:val="none"/>
        </w:rPr>
        <w:t>第四篇  合同附件</w:t>
      </w:r>
      <w:r>
        <w:rPr>
          <w:highlight w:val="none"/>
        </w:rPr>
        <w:tab/>
      </w:r>
      <w:r>
        <w:rPr>
          <w:highlight w:val="none"/>
        </w:rPr>
        <w:fldChar w:fldCharType="begin"/>
      </w:r>
      <w:r>
        <w:rPr>
          <w:highlight w:val="none"/>
        </w:rPr>
        <w:instrText xml:space="preserve"> PAGEREF _Toc132813139 \h </w:instrText>
      </w:r>
      <w:r>
        <w:rPr>
          <w:highlight w:val="none"/>
        </w:rPr>
        <w:fldChar w:fldCharType="separate"/>
      </w:r>
      <w:r>
        <w:rPr>
          <w:highlight w:val="none"/>
        </w:rPr>
        <w:t>91</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"_Toc132813140" </w:instrText>
      </w:r>
      <w:r>
        <w:rPr>
          <w:highlight w:val="none"/>
        </w:rPr>
        <w:fldChar w:fldCharType="separate"/>
      </w:r>
      <w:r>
        <w:rPr>
          <w:rStyle w:val="88"/>
          <w:rFonts w:ascii="宋体" w:hAnsi="宋体"/>
          <w:snapToGrid w:val="0"/>
          <w:color w:val="auto"/>
          <w:kern w:val="0"/>
          <w:highlight w:val="none"/>
        </w:rPr>
        <w:t>附件1：工程质量保修书</w:t>
      </w:r>
      <w:r>
        <w:rPr>
          <w:highlight w:val="none"/>
        </w:rPr>
        <w:tab/>
      </w:r>
      <w:r>
        <w:rPr>
          <w:highlight w:val="none"/>
        </w:rPr>
        <w:fldChar w:fldCharType="begin"/>
      </w:r>
      <w:r>
        <w:rPr>
          <w:highlight w:val="none"/>
        </w:rPr>
        <w:instrText xml:space="preserve"> PAGEREF _Toc132813140 \h </w:instrText>
      </w:r>
      <w:r>
        <w:rPr>
          <w:highlight w:val="none"/>
        </w:rPr>
        <w:fldChar w:fldCharType="separate"/>
      </w:r>
      <w:r>
        <w:rPr>
          <w:highlight w:val="none"/>
        </w:rPr>
        <w:t>91</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"_Toc132813141" </w:instrText>
      </w:r>
      <w:r>
        <w:rPr>
          <w:highlight w:val="none"/>
        </w:rPr>
        <w:fldChar w:fldCharType="separate"/>
      </w:r>
      <w:r>
        <w:rPr>
          <w:rStyle w:val="88"/>
          <w:rFonts w:ascii="宋体" w:hAnsi="宋体"/>
          <w:snapToGrid w:val="0"/>
          <w:color w:val="auto"/>
          <w:kern w:val="0"/>
          <w:highlight w:val="none"/>
        </w:rPr>
        <w:t>附件2：工程建设廉洁协议书</w:t>
      </w:r>
      <w:r>
        <w:rPr>
          <w:highlight w:val="none"/>
        </w:rPr>
        <w:tab/>
      </w:r>
      <w:r>
        <w:rPr>
          <w:highlight w:val="none"/>
        </w:rPr>
        <w:fldChar w:fldCharType="begin"/>
      </w:r>
      <w:r>
        <w:rPr>
          <w:highlight w:val="none"/>
        </w:rPr>
        <w:instrText xml:space="preserve"> PAGEREF _Toc132813141 \h </w:instrText>
      </w:r>
      <w:r>
        <w:rPr>
          <w:highlight w:val="none"/>
        </w:rPr>
        <w:fldChar w:fldCharType="separate"/>
      </w:r>
      <w:r>
        <w:rPr>
          <w:highlight w:val="none"/>
        </w:rPr>
        <w:t>94</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"_Toc132813142" </w:instrText>
      </w:r>
      <w:r>
        <w:rPr>
          <w:highlight w:val="none"/>
        </w:rPr>
        <w:fldChar w:fldCharType="separate"/>
      </w:r>
      <w:r>
        <w:rPr>
          <w:rStyle w:val="88"/>
          <w:rFonts w:ascii="宋体" w:hAnsi="宋体"/>
          <w:snapToGrid w:val="0"/>
          <w:color w:val="auto"/>
          <w:kern w:val="0"/>
          <w:highlight w:val="none"/>
        </w:rPr>
        <w:t>附件3：安全生产合同</w:t>
      </w:r>
      <w:r>
        <w:rPr>
          <w:highlight w:val="none"/>
        </w:rPr>
        <w:tab/>
      </w:r>
      <w:r>
        <w:rPr>
          <w:highlight w:val="none"/>
        </w:rPr>
        <w:fldChar w:fldCharType="begin"/>
      </w:r>
      <w:r>
        <w:rPr>
          <w:highlight w:val="none"/>
        </w:rPr>
        <w:instrText xml:space="preserve"> PAGEREF _Toc132813142 \h </w:instrText>
      </w:r>
      <w:r>
        <w:rPr>
          <w:highlight w:val="none"/>
        </w:rPr>
        <w:fldChar w:fldCharType="separate"/>
      </w:r>
      <w:r>
        <w:rPr>
          <w:highlight w:val="none"/>
        </w:rPr>
        <w:t>97</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"_Toc132813143" </w:instrText>
      </w:r>
      <w:r>
        <w:rPr>
          <w:highlight w:val="none"/>
        </w:rPr>
        <w:fldChar w:fldCharType="separate"/>
      </w:r>
      <w:r>
        <w:rPr>
          <w:rStyle w:val="88"/>
          <w:rFonts w:ascii="宋体" w:hAnsi="宋体"/>
          <w:snapToGrid w:val="0"/>
          <w:color w:val="auto"/>
          <w:kern w:val="0"/>
          <w:highlight w:val="none"/>
        </w:rPr>
        <w:t>附件4：结算工作协议书</w:t>
      </w:r>
      <w:r>
        <w:rPr>
          <w:highlight w:val="none"/>
        </w:rPr>
        <w:tab/>
      </w:r>
      <w:r>
        <w:rPr>
          <w:highlight w:val="none"/>
        </w:rPr>
        <w:fldChar w:fldCharType="begin"/>
      </w:r>
      <w:r>
        <w:rPr>
          <w:highlight w:val="none"/>
        </w:rPr>
        <w:instrText xml:space="preserve"> PAGEREF _Toc132813143 \h </w:instrText>
      </w:r>
      <w:r>
        <w:rPr>
          <w:highlight w:val="none"/>
        </w:rPr>
        <w:fldChar w:fldCharType="separate"/>
      </w:r>
      <w:r>
        <w:rPr>
          <w:highlight w:val="none"/>
        </w:rPr>
        <w:t>99</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"_Toc132813144" </w:instrText>
      </w:r>
      <w:r>
        <w:rPr>
          <w:highlight w:val="none"/>
        </w:rPr>
        <w:fldChar w:fldCharType="separate"/>
      </w:r>
      <w:r>
        <w:rPr>
          <w:rStyle w:val="88"/>
          <w:rFonts w:ascii="宋体" w:hAnsi="宋体"/>
          <w:snapToGrid w:val="0"/>
          <w:color w:val="auto"/>
          <w:kern w:val="0"/>
          <w:highlight w:val="none"/>
        </w:rPr>
        <w:t>附件5：履约银行保函及承诺书</w:t>
      </w:r>
      <w:r>
        <w:rPr>
          <w:highlight w:val="none"/>
        </w:rPr>
        <w:tab/>
      </w:r>
      <w:r>
        <w:rPr>
          <w:highlight w:val="none"/>
        </w:rPr>
        <w:fldChar w:fldCharType="begin"/>
      </w:r>
      <w:r>
        <w:rPr>
          <w:highlight w:val="none"/>
        </w:rPr>
        <w:instrText xml:space="preserve"> PAGEREF _Toc132813144 \h </w:instrText>
      </w:r>
      <w:r>
        <w:rPr>
          <w:highlight w:val="none"/>
        </w:rPr>
        <w:fldChar w:fldCharType="separate"/>
      </w:r>
      <w:r>
        <w:rPr>
          <w:highlight w:val="none"/>
        </w:rPr>
        <w:t>100</w:t>
      </w:r>
      <w:r>
        <w:rPr>
          <w:highlight w:val="none"/>
        </w:rPr>
        <w:fldChar w:fldCharType="end"/>
      </w:r>
      <w:r>
        <w:rPr>
          <w:highlight w:val="none"/>
        </w:rPr>
        <w:fldChar w:fldCharType="end"/>
      </w:r>
    </w:p>
    <w:p>
      <w:pPr>
        <w:pStyle w:val="52"/>
        <w:tabs>
          <w:tab w:val="right" w:leader="dot" w:pos="9061"/>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"_Toc132813145" </w:instrText>
      </w:r>
      <w:r>
        <w:rPr>
          <w:highlight w:val="none"/>
        </w:rPr>
        <w:fldChar w:fldCharType="separate"/>
      </w:r>
      <w:r>
        <w:rPr>
          <w:rStyle w:val="88"/>
          <w:color w:val="auto"/>
          <w:highlight w:val="none"/>
        </w:rPr>
        <w:t>第五篇  施工总承包承诺书</w:t>
      </w:r>
      <w:r>
        <w:rPr>
          <w:highlight w:val="none"/>
        </w:rPr>
        <w:tab/>
      </w:r>
      <w:r>
        <w:rPr>
          <w:highlight w:val="none"/>
        </w:rPr>
        <w:fldChar w:fldCharType="begin"/>
      </w:r>
      <w:r>
        <w:rPr>
          <w:highlight w:val="none"/>
        </w:rPr>
        <w:instrText xml:space="preserve"> PAGEREF _Toc132813145 \h </w:instrText>
      </w:r>
      <w:r>
        <w:rPr>
          <w:highlight w:val="none"/>
        </w:rPr>
        <w:fldChar w:fldCharType="separate"/>
      </w:r>
      <w:r>
        <w:rPr>
          <w:highlight w:val="none"/>
        </w:rPr>
        <w:t>102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"_Toc132813146" </w:instrText>
      </w:r>
      <w:r>
        <w:rPr>
          <w:highlight w:val="none"/>
        </w:rPr>
        <w:fldChar w:fldCharType="separate"/>
      </w:r>
      <w:r>
        <w:rPr>
          <w:rStyle w:val="88"/>
          <w:rFonts w:ascii="宋体" w:hAnsi="宋体"/>
          <w:color w:val="auto"/>
          <w:highlight w:val="none"/>
        </w:rPr>
        <w:t>附件1：拟投入本项目主要人员承诺书</w:t>
      </w:r>
      <w:r>
        <w:rPr>
          <w:highlight w:val="none"/>
        </w:rPr>
        <w:tab/>
      </w:r>
      <w:r>
        <w:rPr>
          <w:highlight w:val="none"/>
        </w:rPr>
        <w:fldChar w:fldCharType="begin"/>
      </w:r>
      <w:r>
        <w:rPr>
          <w:highlight w:val="none"/>
        </w:rPr>
        <w:instrText xml:space="preserve"> PAGEREF _Toc132813146 \h </w:instrText>
      </w:r>
      <w:r>
        <w:rPr>
          <w:highlight w:val="none"/>
        </w:rPr>
        <w:fldChar w:fldCharType="separate"/>
      </w:r>
      <w:r>
        <w:rPr>
          <w:highlight w:val="none"/>
        </w:rPr>
        <w:t>102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"_Toc132813147" </w:instrText>
      </w:r>
      <w:r>
        <w:rPr>
          <w:highlight w:val="none"/>
        </w:rPr>
        <w:fldChar w:fldCharType="separate"/>
      </w:r>
      <w:r>
        <w:rPr>
          <w:rStyle w:val="88"/>
          <w:rFonts w:ascii="宋体" w:hAnsi="宋体"/>
          <w:color w:val="auto"/>
          <w:highlight w:val="none"/>
        </w:rPr>
        <w:t>附件2：材料设备投入承诺书</w:t>
      </w:r>
      <w:r>
        <w:rPr>
          <w:highlight w:val="none"/>
        </w:rPr>
        <w:tab/>
      </w:r>
      <w:r>
        <w:rPr>
          <w:highlight w:val="none"/>
        </w:rPr>
        <w:fldChar w:fldCharType="begin"/>
      </w:r>
      <w:r>
        <w:rPr>
          <w:highlight w:val="none"/>
        </w:rPr>
        <w:instrText xml:space="preserve"> PAGEREF _Toc132813147 \h </w:instrText>
      </w:r>
      <w:r>
        <w:rPr>
          <w:highlight w:val="none"/>
        </w:rPr>
        <w:fldChar w:fldCharType="separate"/>
      </w:r>
      <w:r>
        <w:rPr>
          <w:highlight w:val="none"/>
        </w:rPr>
        <w:t>108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"_Toc132813148" </w:instrText>
      </w:r>
      <w:r>
        <w:rPr>
          <w:highlight w:val="none"/>
        </w:rPr>
        <w:fldChar w:fldCharType="separate"/>
      </w:r>
      <w:r>
        <w:rPr>
          <w:rStyle w:val="88"/>
          <w:rFonts w:ascii="宋体" w:hAnsi="宋体"/>
          <w:color w:val="auto"/>
          <w:highlight w:val="none"/>
        </w:rPr>
        <w:t>附件3：主要施工机械及周转材料投入承诺书</w:t>
      </w:r>
      <w:r>
        <w:rPr>
          <w:highlight w:val="none"/>
        </w:rPr>
        <w:tab/>
      </w:r>
      <w:r>
        <w:rPr>
          <w:highlight w:val="none"/>
        </w:rPr>
        <w:fldChar w:fldCharType="begin"/>
      </w:r>
      <w:r>
        <w:rPr>
          <w:highlight w:val="none"/>
        </w:rPr>
        <w:instrText xml:space="preserve"> PAGEREF _Toc132813148 \h </w:instrText>
      </w:r>
      <w:r>
        <w:rPr>
          <w:highlight w:val="none"/>
        </w:rPr>
        <w:fldChar w:fldCharType="separate"/>
      </w:r>
      <w:r>
        <w:rPr>
          <w:highlight w:val="none"/>
        </w:rPr>
        <w:t>136</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"_Toc132813149" </w:instrText>
      </w:r>
      <w:r>
        <w:rPr>
          <w:highlight w:val="none"/>
        </w:rPr>
        <w:fldChar w:fldCharType="separate"/>
      </w:r>
      <w:r>
        <w:rPr>
          <w:rStyle w:val="88"/>
          <w:rFonts w:ascii="宋体" w:hAnsi="宋体"/>
          <w:color w:val="auto"/>
          <w:highlight w:val="none"/>
        </w:rPr>
        <w:t>附件4：工期承诺书</w:t>
      </w:r>
      <w:r>
        <w:rPr>
          <w:highlight w:val="none"/>
        </w:rPr>
        <w:tab/>
      </w:r>
      <w:r>
        <w:rPr>
          <w:highlight w:val="none"/>
        </w:rPr>
        <w:fldChar w:fldCharType="begin"/>
      </w:r>
      <w:r>
        <w:rPr>
          <w:highlight w:val="none"/>
        </w:rPr>
        <w:instrText xml:space="preserve"> PAGEREF _Toc132813149 \h </w:instrText>
      </w:r>
      <w:r>
        <w:rPr>
          <w:highlight w:val="none"/>
        </w:rPr>
        <w:fldChar w:fldCharType="separate"/>
      </w:r>
      <w:r>
        <w:rPr>
          <w:highlight w:val="none"/>
        </w:rPr>
        <w:t>137</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"_Toc132813150" </w:instrText>
      </w:r>
      <w:r>
        <w:rPr>
          <w:highlight w:val="none"/>
        </w:rPr>
        <w:fldChar w:fldCharType="separate"/>
      </w:r>
      <w:r>
        <w:rPr>
          <w:rStyle w:val="88"/>
          <w:rFonts w:ascii="宋体" w:hAnsi="宋体"/>
          <w:color w:val="auto"/>
          <w:highlight w:val="none"/>
        </w:rPr>
        <w:t>附件5：施工交叉作业承诺书</w:t>
      </w:r>
      <w:r>
        <w:rPr>
          <w:highlight w:val="none"/>
        </w:rPr>
        <w:tab/>
      </w:r>
      <w:r>
        <w:rPr>
          <w:highlight w:val="none"/>
        </w:rPr>
        <w:fldChar w:fldCharType="begin"/>
      </w:r>
      <w:r>
        <w:rPr>
          <w:highlight w:val="none"/>
        </w:rPr>
        <w:instrText xml:space="preserve"> PAGEREF _Toc132813150 \h </w:instrText>
      </w:r>
      <w:r>
        <w:rPr>
          <w:highlight w:val="none"/>
        </w:rPr>
        <w:fldChar w:fldCharType="separate"/>
      </w:r>
      <w:r>
        <w:rPr>
          <w:highlight w:val="none"/>
        </w:rPr>
        <w:t>138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"_Toc132813151" </w:instrText>
      </w:r>
      <w:r>
        <w:rPr>
          <w:highlight w:val="none"/>
        </w:rPr>
        <w:fldChar w:fldCharType="separate"/>
      </w:r>
      <w:r>
        <w:rPr>
          <w:rStyle w:val="88"/>
          <w:rFonts w:ascii="宋体" w:hAnsi="宋体"/>
          <w:color w:val="auto"/>
          <w:highlight w:val="none"/>
        </w:rPr>
        <w:t>附件6：施工投入承诺书</w:t>
      </w:r>
      <w:r>
        <w:rPr>
          <w:highlight w:val="none"/>
        </w:rPr>
        <w:tab/>
      </w:r>
      <w:r>
        <w:rPr>
          <w:highlight w:val="none"/>
        </w:rPr>
        <w:fldChar w:fldCharType="begin"/>
      </w:r>
      <w:r>
        <w:rPr>
          <w:highlight w:val="none"/>
        </w:rPr>
        <w:instrText xml:space="preserve"> PAGEREF _Toc132813151 \h </w:instrText>
      </w:r>
      <w:r>
        <w:rPr>
          <w:highlight w:val="none"/>
        </w:rPr>
        <w:fldChar w:fldCharType="separate"/>
      </w:r>
      <w:r>
        <w:rPr>
          <w:highlight w:val="none"/>
        </w:rPr>
        <w:t>139</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"_Toc132813152" </w:instrText>
      </w:r>
      <w:r>
        <w:rPr>
          <w:highlight w:val="none"/>
        </w:rPr>
        <w:fldChar w:fldCharType="separate"/>
      </w:r>
      <w:r>
        <w:rPr>
          <w:rStyle w:val="88"/>
          <w:rFonts w:ascii="宋体" w:hAnsi="宋体"/>
          <w:color w:val="auto"/>
          <w:highlight w:val="none"/>
        </w:rPr>
        <w:t>附件7：土石方运输承诺书</w:t>
      </w:r>
      <w:r>
        <w:rPr>
          <w:highlight w:val="none"/>
        </w:rPr>
        <w:tab/>
      </w:r>
      <w:r>
        <w:rPr>
          <w:highlight w:val="none"/>
        </w:rPr>
        <w:fldChar w:fldCharType="begin"/>
      </w:r>
      <w:r>
        <w:rPr>
          <w:highlight w:val="none"/>
        </w:rPr>
        <w:instrText xml:space="preserve"> PAGEREF _Toc132813152 \h </w:instrText>
      </w:r>
      <w:r>
        <w:rPr>
          <w:highlight w:val="none"/>
        </w:rPr>
        <w:fldChar w:fldCharType="separate"/>
      </w:r>
      <w:r>
        <w:rPr>
          <w:highlight w:val="none"/>
        </w:rPr>
        <w:t>142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"_Toc132813153" </w:instrText>
      </w:r>
      <w:r>
        <w:rPr>
          <w:highlight w:val="none"/>
        </w:rPr>
        <w:fldChar w:fldCharType="separate"/>
      </w:r>
      <w:r>
        <w:rPr>
          <w:rStyle w:val="88"/>
          <w:rFonts w:ascii="宋体" w:hAnsi="宋体"/>
          <w:color w:val="auto"/>
          <w:highlight w:val="none"/>
        </w:rPr>
        <w:t>附件8：检测配合承诺书</w:t>
      </w:r>
      <w:r>
        <w:rPr>
          <w:highlight w:val="none"/>
        </w:rPr>
        <w:tab/>
      </w:r>
      <w:r>
        <w:rPr>
          <w:highlight w:val="none"/>
        </w:rPr>
        <w:fldChar w:fldCharType="begin"/>
      </w:r>
      <w:r>
        <w:rPr>
          <w:highlight w:val="none"/>
        </w:rPr>
        <w:instrText xml:space="preserve"> PAGEREF _Toc132813153 \h </w:instrText>
      </w:r>
      <w:r>
        <w:rPr>
          <w:highlight w:val="none"/>
        </w:rPr>
        <w:fldChar w:fldCharType="separate"/>
      </w:r>
      <w:r>
        <w:rPr>
          <w:highlight w:val="none"/>
        </w:rPr>
        <w:t>144</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"_Toc132813154" </w:instrText>
      </w:r>
      <w:r>
        <w:rPr>
          <w:highlight w:val="none"/>
        </w:rPr>
        <w:fldChar w:fldCharType="separate"/>
      </w:r>
      <w:r>
        <w:rPr>
          <w:rStyle w:val="88"/>
          <w:rFonts w:ascii="宋体" w:hAnsi="宋体"/>
          <w:color w:val="auto"/>
          <w:highlight w:val="none"/>
        </w:rPr>
        <w:t>附件9：CFG桩、预制管桩处理承诺书</w:t>
      </w:r>
      <w:r>
        <w:rPr>
          <w:highlight w:val="none"/>
        </w:rPr>
        <w:tab/>
      </w:r>
      <w:r>
        <w:rPr>
          <w:highlight w:val="none"/>
        </w:rPr>
        <w:fldChar w:fldCharType="begin"/>
      </w:r>
      <w:r>
        <w:rPr>
          <w:highlight w:val="none"/>
        </w:rPr>
        <w:instrText xml:space="preserve"> PAGEREF _Toc132813154 \h </w:instrText>
      </w:r>
      <w:r>
        <w:rPr>
          <w:highlight w:val="none"/>
        </w:rPr>
        <w:fldChar w:fldCharType="separate"/>
      </w:r>
      <w:r>
        <w:rPr>
          <w:highlight w:val="none"/>
        </w:rPr>
        <w:t>145</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"_Toc132813155" </w:instrText>
      </w:r>
      <w:r>
        <w:rPr>
          <w:highlight w:val="none"/>
        </w:rPr>
        <w:fldChar w:fldCharType="separate"/>
      </w:r>
      <w:r>
        <w:rPr>
          <w:rStyle w:val="88"/>
          <w:rFonts w:ascii="宋体" w:hAnsi="宋体"/>
          <w:color w:val="auto"/>
          <w:highlight w:val="none"/>
        </w:rPr>
        <w:t>附件10：防水工程质量问题处理承诺书</w:t>
      </w:r>
      <w:r>
        <w:rPr>
          <w:highlight w:val="none"/>
        </w:rPr>
        <w:tab/>
      </w:r>
      <w:r>
        <w:rPr>
          <w:highlight w:val="none"/>
        </w:rPr>
        <w:fldChar w:fldCharType="begin"/>
      </w:r>
      <w:r>
        <w:rPr>
          <w:highlight w:val="none"/>
        </w:rPr>
        <w:instrText xml:space="preserve"> PAGEREF _Toc132813155 \h </w:instrText>
      </w:r>
      <w:r>
        <w:rPr>
          <w:highlight w:val="none"/>
        </w:rPr>
        <w:fldChar w:fldCharType="separate"/>
      </w:r>
      <w:r>
        <w:rPr>
          <w:highlight w:val="none"/>
        </w:rPr>
        <w:t>146</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"_Toc132813156" </w:instrText>
      </w:r>
      <w:r>
        <w:rPr>
          <w:highlight w:val="none"/>
        </w:rPr>
        <w:fldChar w:fldCharType="separate"/>
      </w:r>
      <w:r>
        <w:rPr>
          <w:rStyle w:val="88"/>
          <w:rFonts w:ascii="宋体" w:hAnsi="宋体"/>
          <w:color w:val="auto"/>
          <w:highlight w:val="none"/>
        </w:rPr>
        <w:t>附件11：成品保护及卫生保洁承诺书</w:t>
      </w:r>
      <w:r>
        <w:rPr>
          <w:highlight w:val="none"/>
        </w:rPr>
        <w:tab/>
      </w:r>
      <w:r>
        <w:rPr>
          <w:highlight w:val="none"/>
        </w:rPr>
        <w:fldChar w:fldCharType="begin"/>
      </w:r>
      <w:r>
        <w:rPr>
          <w:highlight w:val="none"/>
        </w:rPr>
        <w:instrText xml:space="preserve"> PAGEREF _Toc132813156 \h </w:instrText>
      </w:r>
      <w:r>
        <w:rPr>
          <w:highlight w:val="none"/>
        </w:rPr>
        <w:fldChar w:fldCharType="separate"/>
      </w:r>
      <w:r>
        <w:rPr>
          <w:highlight w:val="none"/>
        </w:rPr>
        <w:t>147</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"_Toc132813157" </w:instrText>
      </w:r>
      <w:r>
        <w:rPr>
          <w:highlight w:val="none"/>
        </w:rPr>
        <w:fldChar w:fldCharType="separate"/>
      </w:r>
      <w:r>
        <w:rPr>
          <w:rStyle w:val="88"/>
          <w:rFonts w:asciiTheme="minorEastAsia" w:hAnsiTheme="minorEastAsia"/>
          <w:color w:val="auto"/>
          <w:highlight w:val="none"/>
        </w:rPr>
        <w:t>附件12：周边管线及地下管线保护承诺书</w:t>
      </w:r>
      <w:r>
        <w:rPr>
          <w:highlight w:val="none"/>
        </w:rPr>
        <w:tab/>
      </w:r>
      <w:r>
        <w:rPr>
          <w:highlight w:val="none"/>
        </w:rPr>
        <w:fldChar w:fldCharType="begin"/>
      </w:r>
      <w:r>
        <w:rPr>
          <w:highlight w:val="none"/>
        </w:rPr>
        <w:instrText xml:space="preserve"> PAGEREF _Toc132813157 \h </w:instrText>
      </w:r>
      <w:r>
        <w:rPr>
          <w:highlight w:val="none"/>
        </w:rPr>
        <w:fldChar w:fldCharType="separate"/>
      </w:r>
      <w:r>
        <w:rPr>
          <w:highlight w:val="none"/>
        </w:rPr>
        <w:t>148</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"_Toc132813158" </w:instrText>
      </w:r>
      <w:r>
        <w:rPr>
          <w:highlight w:val="none"/>
        </w:rPr>
        <w:fldChar w:fldCharType="separate"/>
      </w:r>
      <w:r>
        <w:rPr>
          <w:rStyle w:val="88"/>
          <w:rFonts w:ascii="宋体" w:hAnsi="宋体"/>
          <w:color w:val="auto"/>
          <w:highlight w:val="none"/>
        </w:rPr>
        <w:t>附件13：施工班组投入承诺书</w:t>
      </w:r>
      <w:r>
        <w:rPr>
          <w:highlight w:val="none"/>
        </w:rPr>
        <w:tab/>
      </w:r>
      <w:r>
        <w:rPr>
          <w:highlight w:val="none"/>
        </w:rPr>
        <w:fldChar w:fldCharType="begin"/>
      </w:r>
      <w:r>
        <w:rPr>
          <w:highlight w:val="none"/>
        </w:rPr>
        <w:instrText xml:space="preserve"> PAGEREF _Toc132813158 \h </w:instrText>
      </w:r>
      <w:r>
        <w:rPr>
          <w:highlight w:val="none"/>
        </w:rPr>
        <w:fldChar w:fldCharType="separate"/>
      </w:r>
      <w:r>
        <w:rPr>
          <w:highlight w:val="none"/>
        </w:rPr>
        <w:t>149</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"_Toc132813159" </w:instrText>
      </w:r>
      <w:r>
        <w:rPr>
          <w:highlight w:val="none"/>
        </w:rPr>
        <w:fldChar w:fldCharType="separate"/>
      </w:r>
      <w:r>
        <w:rPr>
          <w:rStyle w:val="88"/>
          <w:rFonts w:ascii="宋体" w:hAnsi="宋体"/>
          <w:color w:val="auto"/>
          <w:highlight w:val="none"/>
        </w:rPr>
        <w:t>附件14：周边管线（建筑物、构筑物等）变形监测及其保护承诺书</w:t>
      </w:r>
      <w:r>
        <w:rPr>
          <w:highlight w:val="none"/>
        </w:rPr>
        <w:tab/>
      </w:r>
      <w:r>
        <w:rPr>
          <w:highlight w:val="none"/>
        </w:rPr>
        <w:fldChar w:fldCharType="begin"/>
      </w:r>
      <w:r>
        <w:rPr>
          <w:highlight w:val="none"/>
        </w:rPr>
        <w:instrText xml:space="preserve"> PAGEREF _Toc132813159 \h </w:instrText>
      </w:r>
      <w:r>
        <w:rPr>
          <w:highlight w:val="none"/>
        </w:rPr>
        <w:fldChar w:fldCharType="separate"/>
      </w:r>
      <w:r>
        <w:rPr>
          <w:highlight w:val="none"/>
        </w:rPr>
        <w:t>150</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"_Toc132813160" </w:instrText>
      </w:r>
      <w:r>
        <w:rPr>
          <w:highlight w:val="none"/>
        </w:rPr>
        <w:fldChar w:fldCharType="separate"/>
      </w:r>
      <w:r>
        <w:rPr>
          <w:rStyle w:val="88"/>
          <w:rFonts w:ascii="宋体" w:hAnsi="宋体"/>
          <w:color w:val="auto"/>
          <w:highlight w:val="none"/>
        </w:rPr>
        <w:t>附件15：基坑、高支模、主体沉降监测承诺书</w:t>
      </w:r>
      <w:r>
        <w:rPr>
          <w:highlight w:val="none"/>
        </w:rPr>
        <w:tab/>
      </w:r>
      <w:r>
        <w:rPr>
          <w:highlight w:val="none"/>
        </w:rPr>
        <w:fldChar w:fldCharType="begin"/>
      </w:r>
      <w:r>
        <w:rPr>
          <w:highlight w:val="none"/>
        </w:rPr>
        <w:instrText xml:space="preserve"> PAGEREF _Toc132813160 \h </w:instrText>
      </w:r>
      <w:r>
        <w:rPr>
          <w:highlight w:val="none"/>
        </w:rPr>
        <w:fldChar w:fldCharType="separate"/>
      </w:r>
      <w:r>
        <w:rPr>
          <w:highlight w:val="none"/>
        </w:rPr>
        <w:t>151</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"_Toc132813161" </w:instrText>
      </w:r>
      <w:r>
        <w:rPr>
          <w:highlight w:val="none"/>
        </w:rPr>
        <w:fldChar w:fldCharType="separate"/>
      </w:r>
      <w:r>
        <w:rPr>
          <w:rStyle w:val="88"/>
          <w:rFonts w:ascii="宋体" w:hAnsi="宋体"/>
          <w:color w:val="auto"/>
          <w:highlight w:val="none"/>
        </w:rPr>
        <w:t>附件16：工程检测承诺书</w:t>
      </w:r>
      <w:r>
        <w:rPr>
          <w:highlight w:val="none"/>
        </w:rPr>
        <w:tab/>
      </w:r>
      <w:r>
        <w:rPr>
          <w:highlight w:val="none"/>
        </w:rPr>
        <w:fldChar w:fldCharType="begin"/>
      </w:r>
      <w:r>
        <w:rPr>
          <w:highlight w:val="none"/>
        </w:rPr>
        <w:instrText xml:space="preserve"> PAGEREF _Toc132813161 \h </w:instrText>
      </w:r>
      <w:r>
        <w:rPr>
          <w:highlight w:val="none"/>
        </w:rPr>
        <w:fldChar w:fldCharType="separate"/>
      </w:r>
      <w:r>
        <w:rPr>
          <w:highlight w:val="none"/>
        </w:rPr>
        <w:t>152</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"_Toc132813162" </w:instrText>
      </w:r>
      <w:r>
        <w:rPr>
          <w:highlight w:val="none"/>
        </w:rPr>
        <w:fldChar w:fldCharType="separate"/>
      </w:r>
      <w:r>
        <w:rPr>
          <w:rStyle w:val="88"/>
          <w:rFonts w:ascii="宋体" w:hAnsi="宋体"/>
          <w:color w:val="auto"/>
          <w:highlight w:val="none"/>
        </w:rPr>
        <w:t>附件17：关于及时支付劳动者报酬的承诺函</w:t>
      </w:r>
      <w:r>
        <w:rPr>
          <w:highlight w:val="none"/>
        </w:rPr>
        <w:tab/>
      </w:r>
      <w:r>
        <w:rPr>
          <w:highlight w:val="none"/>
        </w:rPr>
        <w:fldChar w:fldCharType="begin"/>
      </w:r>
      <w:r>
        <w:rPr>
          <w:highlight w:val="none"/>
        </w:rPr>
        <w:instrText xml:space="preserve"> PAGEREF _Toc132813162 \h </w:instrText>
      </w:r>
      <w:r>
        <w:rPr>
          <w:highlight w:val="none"/>
        </w:rPr>
        <w:fldChar w:fldCharType="separate"/>
      </w:r>
      <w:r>
        <w:rPr>
          <w:highlight w:val="none"/>
        </w:rPr>
        <w:t>153</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"_Toc132813163" </w:instrText>
      </w:r>
      <w:r>
        <w:rPr>
          <w:highlight w:val="none"/>
        </w:rPr>
        <w:fldChar w:fldCharType="separate"/>
      </w:r>
      <w:r>
        <w:rPr>
          <w:rStyle w:val="88"/>
          <w:rFonts w:ascii="宋体" w:hAnsi="宋体"/>
          <w:color w:val="auto"/>
          <w:highlight w:val="none"/>
        </w:rPr>
        <w:t>附件18：专业工程深化设计承诺书</w:t>
      </w:r>
      <w:r>
        <w:rPr>
          <w:highlight w:val="none"/>
        </w:rPr>
        <w:tab/>
      </w:r>
      <w:r>
        <w:rPr>
          <w:highlight w:val="none"/>
        </w:rPr>
        <w:fldChar w:fldCharType="begin"/>
      </w:r>
      <w:r>
        <w:rPr>
          <w:highlight w:val="none"/>
        </w:rPr>
        <w:instrText xml:space="preserve"> PAGEREF _Toc132813163 \h </w:instrText>
      </w:r>
      <w:r>
        <w:rPr>
          <w:highlight w:val="none"/>
        </w:rPr>
        <w:fldChar w:fldCharType="separate"/>
      </w:r>
      <w:r>
        <w:rPr>
          <w:highlight w:val="none"/>
        </w:rPr>
        <w:t>154</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"_Toc132813164" </w:instrText>
      </w:r>
      <w:r>
        <w:rPr>
          <w:highlight w:val="none"/>
        </w:rPr>
        <w:fldChar w:fldCharType="separate"/>
      </w:r>
      <w:r>
        <w:rPr>
          <w:rStyle w:val="88"/>
          <w:rFonts w:ascii="宋体" w:hAnsi="宋体"/>
          <w:color w:val="auto"/>
          <w:highlight w:val="none"/>
        </w:rPr>
        <w:t>附件19：水电空转承诺书</w:t>
      </w:r>
      <w:r>
        <w:rPr>
          <w:highlight w:val="none"/>
        </w:rPr>
        <w:tab/>
      </w:r>
      <w:r>
        <w:rPr>
          <w:highlight w:val="none"/>
        </w:rPr>
        <w:fldChar w:fldCharType="begin"/>
      </w:r>
      <w:r>
        <w:rPr>
          <w:highlight w:val="none"/>
        </w:rPr>
        <w:instrText xml:space="preserve"> PAGEREF _Toc132813164 \h </w:instrText>
      </w:r>
      <w:r>
        <w:rPr>
          <w:highlight w:val="none"/>
        </w:rPr>
        <w:fldChar w:fldCharType="separate"/>
      </w:r>
      <w:r>
        <w:rPr>
          <w:highlight w:val="none"/>
        </w:rPr>
        <w:t>155</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"_Toc132813165" </w:instrText>
      </w:r>
      <w:r>
        <w:rPr>
          <w:highlight w:val="none"/>
        </w:rPr>
        <w:fldChar w:fldCharType="separate"/>
      </w:r>
      <w:r>
        <w:rPr>
          <w:rStyle w:val="88"/>
          <w:rFonts w:ascii="宋体" w:hAnsi="宋体"/>
          <w:color w:val="auto"/>
          <w:highlight w:val="none"/>
        </w:rPr>
        <w:t>附件20：文明施工与环境保护承诺书</w:t>
      </w:r>
      <w:r>
        <w:rPr>
          <w:highlight w:val="none"/>
        </w:rPr>
        <w:tab/>
      </w:r>
      <w:r>
        <w:rPr>
          <w:highlight w:val="none"/>
        </w:rPr>
        <w:fldChar w:fldCharType="begin"/>
      </w:r>
      <w:r>
        <w:rPr>
          <w:highlight w:val="none"/>
        </w:rPr>
        <w:instrText xml:space="preserve"> PAGEREF _Toc132813165 \h </w:instrText>
      </w:r>
      <w:r>
        <w:rPr>
          <w:highlight w:val="none"/>
        </w:rPr>
        <w:fldChar w:fldCharType="separate"/>
      </w:r>
      <w:r>
        <w:rPr>
          <w:highlight w:val="none"/>
        </w:rPr>
        <w:t>156</w:t>
      </w:r>
      <w:r>
        <w:rPr>
          <w:highlight w:val="none"/>
        </w:rPr>
        <w:fldChar w:fldCharType="end"/>
      </w:r>
      <w:r>
        <w:rPr>
          <w:highlight w:val="none"/>
        </w:rPr>
        <w:fldChar w:fldCharType="end"/>
      </w:r>
    </w:p>
    <w:p>
      <w:pPr>
        <w:pStyle w:val="62"/>
        <w:tabs>
          <w:tab w:val="right" w:leader="dot" w:pos="9061"/>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"_Toc132813166" </w:instrText>
      </w:r>
      <w:r>
        <w:rPr>
          <w:highlight w:val="none"/>
        </w:rPr>
        <w:fldChar w:fldCharType="separate"/>
      </w:r>
      <w:r>
        <w:rPr>
          <w:rStyle w:val="88"/>
          <w:rFonts w:ascii="宋体" w:hAnsi="宋体"/>
          <w:color w:val="auto"/>
          <w:highlight w:val="none"/>
        </w:rPr>
        <w:t>附件21：工程量模拟清单</w:t>
      </w:r>
      <w:r>
        <w:rPr>
          <w:highlight w:val="none"/>
        </w:rPr>
        <w:tab/>
      </w:r>
      <w:r>
        <w:rPr>
          <w:highlight w:val="none"/>
        </w:rPr>
        <w:fldChar w:fldCharType="begin"/>
      </w:r>
      <w:r>
        <w:rPr>
          <w:highlight w:val="none"/>
        </w:rPr>
        <w:instrText xml:space="preserve"> PAGEREF _Toc132813166 \h </w:instrText>
      </w:r>
      <w:r>
        <w:rPr>
          <w:highlight w:val="none"/>
        </w:rPr>
        <w:fldChar w:fldCharType="separate"/>
      </w:r>
      <w:r>
        <w:rPr>
          <w:highlight w:val="none"/>
        </w:rPr>
        <w:t>158</w:t>
      </w:r>
      <w:r>
        <w:rPr>
          <w:highlight w:val="none"/>
        </w:rPr>
        <w:fldChar w:fldCharType="end"/>
      </w:r>
      <w:r>
        <w:rPr>
          <w:highlight w:val="none"/>
        </w:rPr>
        <w:fldChar w:fldCharType="end"/>
      </w:r>
    </w:p>
    <w:p>
      <w:pPr>
        <w:rPr>
          <w:highlight w:val="none"/>
        </w:rPr>
      </w:pPr>
      <w:r>
        <w:rPr>
          <w:highlight w:val="none"/>
        </w:rPr>
        <w:fldChar w:fldCharType="end"/>
      </w:r>
    </w:p>
    <w:p>
      <w:pPr>
        <w:tabs>
          <w:tab w:val="left" w:pos="3675"/>
        </w:tabs>
        <w:rPr>
          <w:highlight w:val="none"/>
        </w:rPr>
      </w:pPr>
      <w:r>
        <w:rPr>
          <w:highlight w:val="none"/>
        </w:rPr>
        <w:tab/>
      </w:r>
    </w:p>
    <w:p>
      <w:pPr>
        <w:tabs>
          <w:tab w:val="left" w:pos="3675"/>
        </w:tabs>
        <w:rPr>
          <w:highlight w:val="none"/>
        </w:rPr>
        <w:sectPr>
          <w:footerReference r:id="rId5" w:type="default"/>
          <w:type w:val="continuous"/>
          <w:pgSz w:w="11907" w:h="16840"/>
          <w:pgMar w:top="1134" w:right="1418" w:bottom="1134" w:left="1418" w:header="851" w:footer="992" w:gutter="0"/>
          <w:cols w:space="720" w:num="1"/>
          <w:docGrid w:type="lines" w:linePitch="312" w:charSpace="0"/>
        </w:sectPr>
      </w:pPr>
      <w:r>
        <w:rPr>
          <w:highlight w:val="none"/>
        </w:rPr>
        <w:tab/>
      </w:r>
    </w:p>
    <w:p>
      <w:pPr>
        <w:pStyle w:val="3"/>
        <w:jc w:val="center"/>
        <w:rPr>
          <w:snapToGrid w:val="0"/>
          <w:kern w:val="0"/>
          <w:highlight w:val="none"/>
        </w:rPr>
      </w:pPr>
      <w:bookmarkStart w:id="16" w:name="_Toc132813104"/>
      <w:r>
        <w:rPr>
          <w:rFonts w:hint="eastAsia"/>
          <w:snapToGrid w:val="0"/>
          <w:kern w:val="0"/>
          <w:highlight w:val="none"/>
        </w:rPr>
        <w:t>第一篇  合同协议书</w:t>
      </w:r>
      <w:bookmarkEnd w:id="16"/>
    </w:p>
    <w:p>
      <w:pPr>
        <w:spacing w:line="360" w:lineRule="auto"/>
        <w:ind w:firstLine="422" w:firstLineChars="200"/>
        <w:rPr>
          <w:rFonts w:ascii="宋体" w:hAnsi="宋体" w:cs="宋体"/>
          <w:szCs w:val="21"/>
          <w:highlight w:val="none"/>
        </w:rPr>
      </w:pPr>
      <w:r>
        <w:rPr>
          <w:rFonts w:hint="eastAsia" w:ascii="宋体" w:hAnsi="宋体" w:cs="宋体"/>
          <w:b/>
          <w:szCs w:val="21"/>
          <w:highlight w:val="none"/>
          <w:u w:val="single"/>
        </w:rPr>
        <w:t>广州市花都区公共建设项目管理中心</w:t>
      </w:r>
      <w:r>
        <w:rPr>
          <w:rFonts w:hint="eastAsia" w:ascii="宋体" w:hAnsi="宋体" w:cs="宋体"/>
          <w:szCs w:val="21"/>
          <w:highlight w:val="none"/>
        </w:rPr>
        <w:t>（以下称发包人）与</w:t>
      </w:r>
      <w:r>
        <w:rPr>
          <w:rFonts w:hint="eastAsia" w:ascii="宋体" w:hAnsi="宋体" w:cs="宋体"/>
          <w:b/>
          <w:szCs w:val="21"/>
          <w:highlight w:val="none"/>
          <w:u w:val="single"/>
        </w:rPr>
        <w:t xml:space="preserve"> </w:t>
      </w:r>
      <w:r>
        <w:rPr>
          <w:rFonts w:ascii="宋体" w:hAnsi="宋体" w:cs="宋体"/>
          <w:b/>
          <w:szCs w:val="21"/>
          <w:highlight w:val="none"/>
          <w:u w:val="single"/>
        </w:rPr>
        <w:t xml:space="preserve">          </w:t>
      </w:r>
      <w:r>
        <w:rPr>
          <w:rFonts w:hint="eastAsia" w:ascii="宋体" w:hAnsi="宋体" w:cs="宋体"/>
          <w:szCs w:val="21"/>
          <w:highlight w:val="none"/>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Fonts w:hint="eastAsia" w:ascii="宋体" w:hAnsi="宋体" w:cs="宋体"/>
          <w:b/>
          <w:szCs w:val="21"/>
          <w:highlight w:val="none"/>
          <w:u w:val="single"/>
        </w:rPr>
        <w:t>新华街莲塘小学扩建改造项目施工总承包</w:t>
      </w:r>
      <w:r>
        <w:rPr>
          <w:rFonts w:hint="eastAsia" w:ascii="宋体" w:hAnsi="宋体" w:cs="宋体"/>
          <w:szCs w:val="21"/>
          <w:highlight w:val="none"/>
        </w:rPr>
        <w:t>（以下称本工程）事宜协商一致，订立本合同。</w:t>
      </w:r>
    </w:p>
    <w:p>
      <w:pPr>
        <w:pStyle w:val="4"/>
        <w:tabs>
          <w:tab w:val="left" w:pos="6015"/>
        </w:tabs>
        <w:jc w:val="left"/>
        <w:rPr>
          <w:snapToGrid w:val="0"/>
          <w:kern w:val="0"/>
          <w:highlight w:val="none"/>
        </w:rPr>
      </w:pPr>
      <w:bookmarkStart w:id="17" w:name="_Toc520358042"/>
      <w:bookmarkStart w:id="18" w:name="_Toc517774548"/>
      <w:bookmarkStart w:id="19" w:name="_Toc514681751"/>
      <w:bookmarkStart w:id="20" w:name="_Toc519502238"/>
      <w:bookmarkStart w:id="21" w:name="_Toc520358218"/>
      <w:bookmarkStart w:id="22" w:name="_Toc520902593"/>
      <w:bookmarkStart w:id="23" w:name="_Toc514663846"/>
      <w:bookmarkStart w:id="24" w:name="_Toc519503068"/>
      <w:bookmarkStart w:id="25" w:name="_Toc514665270"/>
      <w:bookmarkStart w:id="26" w:name="_Toc520901448"/>
      <w:bookmarkStart w:id="27" w:name="_Toc132813105"/>
      <w:bookmarkStart w:id="28" w:name="_Toc514666961"/>
      <w:bookmarkStart w:id="29" w:name="_Toc514665131"/>
      <w:bookmarkStart w:id="30" w:name="_Toc520902815"/>
      <w:bookmarkStart w:id="31" w:name="_Toc520902744"/>
      <w:bookmarkStart w:id="32" w:name="_Toc517954561"/>
      <w:bookmarkStart w:id="33" w:name="_Toc514664848"/>
      <w:bookmarkStart w:id="34" w:name="_Toc514681170"/>
      <w:bookmarkStart w:id="35" w:name="_Toc516495964"/>
      <w:bookmarkStart w:id="36" w:name="_Toc518481720"/>
      <w:r>
        <w:rPr>
          <w:rFonts w:hint="eastAsia"/>
          <w:snapToGrid w:val="0"/>
          <w:kern w:val="0"/>
          <w:highlight w:val="none"/>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snapToGrid w:val="0"/>
          <w:kern w:val="0"/>
          <w:highlight w:val="none"/>
        </w:rPr>
        <w:tab/>
      </w:r>
    </w:p>
    <w:p>
      <w:pPr>
        <w:wordWrap w:val="0"/>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（1）工程名称：</w:t>
      </w:r>
      <w:r>
        <w:rPr>
          <w:rFonts w:hint="eastAsia"/>
          <w:bCs/>
          <w:snapToGrid w:val="0"/>
          <w:kern w:val="0"/>
          <w:szCs w:val="21"/>
          <w:highlight w:val="none"/>
          <w:u w:val="single"/>
        </w:rPr>
        <w:t>新华街莲塘小学扩建改造项目施工总承包</w:t>
      </w:r>
    </w:p>
    <w:p>
      <w:pPr>
        <w:wordWrap w:val="0"/>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（2）工程地点：</w:t>
      </w:r>
      <w:r>
        <w:rPr>
          <w:rFonts w:hint="eastAsia"/>
          <w:bCs/>
          <w:snapToGrid w:val="0"/>
          <w:kern w:val="0"/>
          <w:szCs w:val="21"/>
          <w:highlight w:val="none"/>
          <w:u w:val="single"/>
        </w:rPr>
        <w:t>广州市花都区新华街道商业大道203号</w:t>
      </w:r>
    </w:p>
    <w:p>
      <w:pPr>
        <w:wordWrap w:val="0"/>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（3）工程可研批准文号：</w:t>
      </w:r>
      <w:r>
        <w:rPr>
          <w:rFonts w:hint="eastAsia"/>
          <w:bCs/>
          <w:snapToGrid w:val="0"/>
          <w:kern w:val="0"/>
          <w:szCs w:val="21"/>
          <w:highlight w:val="none"/>
          <w:u w:val="single"/>
        </w:rPr>
        <w:t>穗花发改投批〔2023〕31号</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（4）资金来源：</w:t>
      </w:r>
      <w:r>
        <w:rPr>
          <w:bCs/>
          <w:snapToGrid w:val="0"/>
          <w:kern w:val="0"/>
          <w:szCs w:val="21"/>
          <w:highlight w:val="none"/>
          <w:u w:val="single"/>
        </w:rPr>
        <w:t>财政资金</w:t>
      </w:r>
    </w:p>
    <w:p>
      <w:pPr>
        <w:pStyle w:val="4"/>
        <w:jc w:val="left"/>
        <w:rPr>
          <w:snapToGrid w:val="0"/>
          <w:kern w:val="0"/>
          <w:highlight w:val="none"/>
        </w:rPr>
      </w:pPr>
      <w:bookmarkStart w:id="37" w:name="_Toc517954562"/>
      <w:bookmarkStart w:id="38" w:name="_Toc519502239"/>
      <w:bookmarkStart w:id="39" w:name="_Toc519503069"/>
      <w:bookmarkStart w:id="40" w:name="_Toc514663847"/>
      <w:bookmarkStart w:id="41" w:name="_Toc520358219"/>
      <w:bookmarkStart w:id="42" w:name="_Toc516495965"/>
      <w:bookmarkStart w:id="43" w:name="_Toc520902816"/>
      <w:bookmarkStart w:id="44" w:name="_Toc132813106"/>
      <w:bookmarkStart w:id="45" w:name="_Toc518481721"/>
      <w:bookmarkStart w:id="46" w:name="_Toc517774549"/>
      <w:bookmarkStart w:id="47" w:name="_Toc520358043"/>
      <w:bookmarkStart w:id="48" w:name="_Toc514665271"/>
      <w:bookmarkStart w:id="49" w:name="_Toc514666962"/>
      <w:bookmarkStart w:id="50" w:name="_Toc514681752"/>
      <w:bookmarkStart w:id="51" w:name="_Toc520901449"/>
      <w:bookmarkStart w:id="52" w:name="_Toc520902745"/>
      <w:bookmarkStart w:id="53" w:name="_Toc514681171"/>
      <w:bookmarkStart w:id="54" w:name="_Toc514665132"/>
      <w:bookmarkStart w:id="55" w:name="_Toc520902594"/>
      <w:bookmarkStart w:id="56" w:name="_Toc514664849"/>
      <w:r>
        <w:rPr>
          <w:rFonts w:hint="eastAsia"/>
          <w:snapToGrid w:val="0"/>
          <w:kern w:val="0"/>
          <w:highlight w:val="none"/>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9"/>
        <w:adjustRightInd w:val="0"/>
        <w:snapToGrid w:val="0"/>
        <w:spacing w:line="360" w:lineRule="auto"/>
        <w:ind w:right="132" w:rightChars="63" w:firstLine="420" w:firstLineChars="200"/>
        <w:rPr>
          <w:rFonts w:ascii="Times New Roman" w:hAnsi="Times New Roman" w:eastAsia="宋体"/>
          <w:bCs/>
          <w:snapToGrid w:val="0"/>
          <w:kern w:val="0"/>
          <w:szCs w:val="21"/>
          <w:highlight w:val="none"/>
        </w:rPr>
      </w:pPr>
      <w:r>
        <w:rPr>
          <w:rFonts w:ascii="Times New Roman" w:hAnsi="Times New Roman" w:eastAsia="宋体"/>
          <w:bCs/>
          <w:snapToGrid w:val="0"/>
          <w:kern w:val="0"/>
          <w:szCs w:val="21"/>
          <w:highlight w:val="none"/>
        </w:rPr>
        <w:t>2.1工程内容、规模：</w:t>
      </w:r>
      <w:r>
        <w:rPr>
          <w:rFonts w:hint="eastAsia" w:ascii="Times New Roman" w:hAnsi="Times New Roman" w:eastAsia="宋体"/>
          <w:bCs/>
          <w:snapToGrid w:val="0"/>
          <w:kern w:val="0"/>
          <w:szCs w:val="21"/>
          <w:highlight w:val="none"/>
          <w:u w:val="single"/>
        </w:rPr>
        <w:t>学校原办学规模18班，本项目扩建增加12班办学规模小学，总办学规模为30班小学。新建建筑面积约11957.03平方米，改造面积约1576.72平方米。本项目单体最大建筑面积约为11962平方米。建设内容包括∶拆除存在安全隐患的旧教学楼2栋约2700平方米，新建地上5层教学楼11957.03平方米；对不符合抗震要求的1栋4层教学楼进行抗震加固处理；配建停车场、绿化、道路等周边附属设施。包括室外景观、园建、道路等。</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2.2承包范围：</w:t>
      </w:r>
      <w:r>
        <w:rPr>
          <w:bCs/>
          <w:snapToGrid w:val="0"/>
          <w:kern w:val="0"/>
          <w:szCs w:val="21"/>
          <w:highlight w:val="none"/>
          <w:u w:val="single"/>
        </w:rPr>
        <w:t>包括但不仅限于：</w:t>
      </w:r>
      <w:r>
        <w:rPr>
          <w:rFonts w:hint="eastAsia"/>
          <w:bCs/>
          <w:snapToGrid w:val="0"/>
          <w:kern w:val="0"/>
          <w:szCs w:val="21"/>
          <w:highlight w:val="none"/>
          <w:u w:val="single"/>
        </w:rPr>
        <w:t>拆除工程</w:t>
      </w:r>
      <w:r>
        <w:rPr>
          <w:bCs/>
          <w:snapToGrid w:val="0"/>
          <w:kern w:val="0"/>
          <w:szCs w:val="21"/>
          <w:highlight w:val="none"/>
          <w:u w:val="single"/>
        </w:rPr>
        <w:t>、桩基础工程、土方工程、建筑工程、</w:t>
      </w:r>
      <w:r>
        <w:rPr>
          <w:rFonts w:hint="eastAsia"/>
          <w:bCs/>
          <w:snapToGrid w:val="0"/>
          <w:kern w:val="0"/>
          <w:szCs w:val="21"/>
          <w:highlight w:val="none"/>
          <w:u w:val="single"/>
        </w:rPr>
        <w:t>装配式工程、</w:t>
      </w:r>
      <w:r>
        <w:rPr>
          <w:bCs/>
          <w:snapToGrid w:val="0"/>
          <w:kern w:val="0"/>
          <w:szCs w:val="21"/>
          <w:highlight w:val="none"/>
          <w:u w:val="single"/>
        </w:rPr>
        <w:t>装饰装修工程、电气工程、智能化工程、暖通工程、给排水工程、</w:t>
      </w:r>
      <w:r>
        <w:rPr>
          <w:rFonts w:hint="eastAsia"/>
          <w:bCs/>
          <w:snapToGrid w:val="0"/>
          <w:kern w:val="0"/>
          <w:szCs w:val="21"/>
          <w:highlight w:val="none"/>
          <w:u w:val="single"/>
        </w:rPr>
        <w:t>消防工程、电梯工程、人防工程、</w:t>
      </w:r>
      <w:r>
        <w:rPr>
          <w:bCs/>
          <w:snapToGrid w:val="0"/>
          <w:kern w:val="0"/>
          <w:szCs w:val="21"/>
          <w:highlight w:val="none"/>
          <w:u w:val="single"/>
        </w:rPr>
        <w:t>燃气工程、临时用水</w:t>
      </w:r>
      <w:r>
        <w:rPr>
          <w:rFonts w:hint="eastAsia"/>
          <w:bCs/>
          <w:snapToGrid w:val="0"/>
          <w:kern w:val="0"/>
          <w:szCs w:val="21"/>
          <w:highlight w:val="none"/>
          <w:u w:val="single"/>
        </w:rPr>
        <w:t>、临时用电</w:t>
      </w:r>
      <w:r>
        <w:rPr>
          <w:bCs/>
          <w:snapToGrid w:val="0"/>
          <w:kern w:val="0"/>
          <w:szCs w:val="21"/>
          <w:highlight w:val="none"/>
          <w:u w:val="single"/>
        </w:rPr>
        <w:t>、白蚁防治、</w:t>
      </w:r>
      <w:r>
        <w:rPr>
          <w:rFonts w:hint="eastAsia"/>
          <w:bCs/>
          <w:snapToGrid w:val="0"/>
          <w:kern w:val="0"/>
          <w:szCs w:val="21"/>
          <w:highlight w:val="none"/>
          <w:u w:val="single"/>
        </w:rPr>
        <w:t>永久用</w:t>
      </w:r>
      <w:r>
        <w:rPr>
          <w:bCs/>
          <w:snapToGrid w:val="0"/>
          <w:kern w:val="0"/>
          <w:szCs w:val="21"/>
          <w:highlight w:val="none"/>
          <w:u w:val="single"/>
        </w:rPr>
        <w:t>水</w:t>
      </w:r>
      <w:r>
        <w:rPr>
          <w:rFonts w:hint="eastAsia"/>
          <w:bCs/>
          <w:snapToGrid w:val="0"/>
          <w:kern w:val="0"/>
          <w:szCs w:val="21"/>
          <w:highlight w:val="none"/>
          <w:u w:val="single"/>
        </w:rPr>
        <w:t>、</w:t>
      </w:r>
      <w:r>
        <w:rPr>
          <w:bCs/>
          <w:snapToGrid w:val="0"/>
          <w:kern w:val="0"/>
          <w:szCs w:val="21"/>
          <w:highlight w:val="none"/>
          <w:u w:val="single"/>
        </w:rPr>
        <w:t>室外工程（包括绿化、室外管网、室外园建、临时道路等）及配套</w:t>
      </w:r>
      <w:r>
        <w:rPr>
          <w:rFonts w:hint="eastAsia"/>
          <w:bCs/>
          <w:snapToGrid w:val="0"/>
          <w:kern w:val="0"/>
          <w:szCs w:val="21"/>
          <w:highlight w:val="none"/>
          <w:u w:val="single"/>
        </w:rPr>
        <w:t>设施</w:t>
      </w:r>
      <w:r>
        <w:rPr>
          <w:bCs/>
          <w:snapToGrid w:val="0"/>
          <w:kern w:val="0"/>
          <w:szCs w:val="21"/>
          <w:highlight w:val="none"/>
          <w:u w:val="single"/>
        </w:rPr>
        <w:t>工程等（具体以施工图纸、工程量清单及相关资料为准）</w:t>
      </w:r>
      <w:r>
        <w:rPr>
          <w:szCs w:val="21"/>
          <w:highlight w:val="none"/>
          <w:u w:val="single"/>
        </w:rPr>
        <w:t>。</w:t>
      </w:r>
    </w:p>
    <w:p>
      <w:pPr>
        <w:adjustRightInd w:val="0"/>
        <w:snapToGrid w:val="0"/>
        <w:spacing w:line="360" w:lineRule="auto"/>
        <w:ind w:right="11" w:firstLine="420" w:firstLineChars="200"/>
        <w:rPr>
          <w:szCs w:val="21"/>
          <w:highlight w:val="none"/>
        </w:rPr>
      </w:pPr>
      <w:r>
        <w:rPr>
          <w:szCs w:val="21"/>
          <w:highlight w:val="none"/>
        </w:rPr>
        <w:t>对于承接主体施工资质不能涵盖的人防工程等特殊专业工程，在保证项目完整性的前提下，经发包人同意，可依法分包。</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2.3承包方式：</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pPr>
        <w:adjustRightInd w:val="0"/>
        <w:snapToGrid w:val="0"/>
        <w:spacing w:line="360" w:lineRule="auto"/>
        <w:ind w:right="11" w:firstLine="420" w:firstLineChars="200"/>
        <w:rPr>
          <w:bCs/>
          <w:snapToGrid w:val="0"/>
          <w:kern w:val="0"/>
          <w:szCs w:val="21"/>
          <w:highlight w:val="none"/>
        </w:rPr>
      </w:pPr>
      <w:r>
        <w:rPr>
          <w:snapToGrid w:val="0"/>
          <w:szCs w:val="21"/>
          <w:highlight w:val="none"/>
        </w:rPr>
        <w:sym w:font="Wingdings 2" w:char="00A3"/>
      </w:r>
      <w:r>
        <w:rPr>
          <w:bCs/>
          <w:snapToGrid w:val="0"/>
          <w:kern w:val="0"/>
          <w:szCs w:val="21"/>
          <w:highlight w:val="none"/>
        </w:rPr>
        <w:t>（1）合同价款固定不变，结算价即为合同价（暂列金额除外）。</w:t>
      </w:r>
    </w:p>
    <w:p>
      <w:pPr>
        <w:adjustRightInd w:val="0"/>
        <w:snapToGrid w:val="0"/>
        <w:spacing w:line="360" w:lineRule="auto"/>
        <w:ind w:right="11" w:firstLine="420" w:firstLineChars="200"/>
        <w:rPr>
          <w:bCs/>
          <w:snapToGrid w:val="0"/>
          <w:kern w:val="0"/>
          <w:szCs w:val="21"/>
          <w:highlight w:val="none"/>
        </w:rPr>
      </w:pPr>
      <w:r>
        <w:rPr>
          <w:snapToGrid w:val="0"/>
          <w:szCs w:val="21"/>
          <w:highlight w:val="none"/>
        </w:rPr>
        <w:sym w:font="Wingdings 2" w:char="00A3"/>
      </w:r>
      <w:r>
        <w:rPr>
          <w:bCs/>
          <w:snapToGrid w:val="0"/>
          <w:kern w:val="0"/>
          <w:szCs w:val="21"/>
          <w:highlight w:val="none"/>
        </w:rPr>
        <w:t>（2）合同价款总价包干，若招标范围和承包内容不发生变化，则本工程结算价即为合同价（招标文件及本合同另有约定可以调整的项目除外）。</w:t>
      </w:r>
    </w:p>
    <w:p>
      <w:pPr>
        <w:adjustRightInd w:val="0"/>
        <w:snapToGrid w:val="0"/>
        <w:spacing w:line="360" w:lineRule="auto"/>
        <w:ind w:firstLine="424" w:firstLineChars="177"/>
        <w:rPr>
          <w:szCs w:val="21"/>
          <w:highlight w:val="none"/>
          <w:u w:val="single"/>
        </w:rPr>
      </w:pPr>
      <w:r>
        <w:rPr>
          <w:rFonts w:ascii="Wingdings 2" w:hAnsi="Wingdings 2"/>
          <w:snapToGrid w:val="0"/>
          <w:kern w:val="0"/>
          <w:sz w:val="24"/>
          <w:highlight w:val="none"/>
          <w:u w:val="single"/>
        </w:rPr>
        <w:t></w:t>
      </w:r>
      <w:r>
        <w:rPr>
          <w:bCs/>
          <w:snapToGrid w:val="0"/>
          <w:kern w:val="0"/>
          <w:szCs w:val="21"/>
          <w:highlight w:val="none"/>
          <w:u w:val="single"/>
        </w:rPr>
        <w:t>（3）单价</w:t>
      </w:r>
      <w:r>
        <w:rPr>
          <w:rFonts w:hint="eastAsia"/>
          <w:bCs/>
          <w:snapToGrid w:val="0"/>
          <w:kern w:val="0"/>
          <w:szCs w:val="21"/>
          <w:highlight w:val="none"/>
          <w:u w:val="single"/>
        </w:rPr>
        <w:t>（即《模拟清单》综合单价×（1</w:t>
      </w:r>
      <w:r>
        <w:rPr>
          <w:rFonts w:hint="eastAsia" w:asciiTheme="minorEastAsia" w:hAnsiTheme="minorEastAsia" w:eastAsiaTheme="minorEastAsia"/>
          <w:bCs/>
          <w:snapToGrid w:val="0"/>
          <w:kern w:val="0"/>
          <w:szCs w:val="21"/>
          <w:highlight w:val="none"/>
          <w:u w:val="single"/>
        </w:rPr>
        <w:t>-</w:t>
      </w:r>
      <w:r>
        <w:rPr>
          <w:rFonts w:hint="eastAsia"/>
          <w:bCs/>
          <w:snapToGrid w:val="0"/>
          <w:kern w:val="0"/>
          <w:szCs w:val="21"/>
          <w:highlight w:val="none"/>
          <w:u w:val="single"/>
        </w:rPr>
        <w:t>中标下浮率））</w:t>
      </w:r>
      <w:r>
        <w:rPr>
          <w:bCs/>
          <w:snapToGrid w:val="0"/>
          <w:kern w:val="0"/>
          <w:szCs w:val="21"/>
          <w:highlight w:val="none"/>
          <w:u w:val="single"/>
        </w:rPr>
        <w:t>包干，如施工期间内，</w:t>
      </w:r>
      <w:r>
        <w:rPr>
          <w:szCs w:val="21"/>
          <w:highlight w:val="none"/>
          <w:u w:val="single"/>
        </w:rPr>
        <w:t>工机料价格涨落幅度超过合同基准期（指递交投标文件截止日期前28天）价格</w:t>
      </w:r>
      <w:r>
        <w:rPr>
          <w:bCs/>
          <w:szCs w:val="21"/>
          <w:highlight w:val="none"/>
          <w:u w:val="single"/>
        </w:rPr>
        <w:t>5%时</w:t>
      </w:r>
      <w:r>
        <w:rPr>
          <w:szCs w:val="21"/>
          <w:highlight w:val="none"/>
          <w:u w:val="single"/>
        </w:rPr>
        <w:t>，由承包人承担涨落5%的部分，超出5%的部分由发包人补偿给承包人。</w:t>
      </w:r>
      <w:r>
        <w:rPr>
          <w:rFonts w:hint="eastAsia"/>
          <w:szCs w:val="21"/>
          <w:highlight w:val="none"/>
          <w:u w:val="single"/>
        </w:rPr>
        <w:t>价差调整原则详见本合同专用条款第33款。</w:t>
      </w:r>
    </w:p>
    <w:p>
      <w:pPr>
        <w:adjustRightInd w:val="0"/>
        <w:snapToGrid w:val="0"/>
        <w:spacing w:line="360" w:lineRule="auto"/>
        <w:ind w:firstLine="420" w:firstLineChars="200"/>
        <w:rPr>
          <w:szCs w:val="21"/>
          <w:highlight w:val="none"/>
        </w:rPr>
      </w:pPr>
      <w:r>
        <w:rPr>
          <w:szCs w:val="21"/>
          <w:highlight w:val="none"/>
        </w:rPr>
        <w:t>前款所称价格涨落幅度按工程造价管理机构发布的价格信息计算，价格调整基数为相应人材机投标价格。工程结算价最终以</w:t>
      </w:r>
      <w:r>
        <w:rPr>
          <w:rFonts w:hint="eastAsia"/>
          <w:szCs w:val="21"/>
          <w:highlight w:val="none"/>
        </w:rPr>
        <w:t>发包人委托的终审单位</w:t>
      </w:r>
      <w:r>
        <w:rPr>
          <w:szCs w:val="21"/>
          <w:highlight w:val="none"/>
        </w:rPr>
        <w:t>审定为准。</w:t>
      </w:r>
    </w:p>
    <w:p>
      <w:pPr>
        <w:adjustRightInd w:val="0"/>
        <w:snapToGrid w:val="0"/>
        <w:spacing w:line="360" w:lineRule="auto"/>
        <w:ind w:firstLine="424" w:firstLineChars="177"/>
        <w:rPr>
          <w:strike/>
          <w:snapToGrid w:val="0"/>
          <w:kern w:val="0"/>
          <w:szCs w:val="21"/>
          <w:highlight w:val="none"/>
        </w:rPr>
      </w:pPr>
      <w:r>
        <w:rPr>
          <w:rFonts w:ascii="Wingdings 2" w:hAnsi="Wingdings 2"/>
          <w:snapToGrid w:val="0"/>
          <w:kern w:val="0"/>
          <w:sz w:val="24"/>
          <w:highlight w:val="none"/>
        </w:rPr>
        <w:t></w:t>
      </w:r>
      <w:r>
        <w:rPr>
          <w:bCs/>
          <w:snapToGrid w:val="0"/>
          <w:kern w:val="0"/>
          <w:szCs w:val="21"/>
          <w:highlight w:val="none"/>
        </w:rPr>
        <w:t>（4）</w:t>
      </w:r>
      <w:r>
        <w:rPr>
          <w:bCs/>
          <w:snapToGrid w:val="0"/>
          <w:kern w:val="0"/>
          <w:szCs w:val="21"/>
          <w:highlight w:val="none"/>
          <w:u w:val="single"/>
        </w:rPr>
        <w:t>承包人应在本工程开工前按《广州市建筑业职工参加工伤保险实施办法》（穗人社发</w:t>
      </w:r>
      <w:r>
        <w:rPr>
          <w:rFonts w:hint="eastAsia" w:ascii="宋体" w:hAnsi="宋体"/>
          <w:bCs/>
          <w:snapToGrid w:val="0"/>
          <w:kern w:val="0"/>
          <w:szCs w:val="21"/>
          <w:highlight w:val="none"/>
          <w:u w:val="single"/>
        </w:rPr>
        <w:t>〔</w:t>
      </w:r>
      <w:r>
        <w:rPr>
          <w:bCs/>
          <w:snapToGrid w:val="0"/>
          <w:kern w:val="0"/>
          <w:szCs w:val="21"/>
          <w:highlight w:val="none"/>
          <w:u w:val="single"/>
        </w:rPr>
        <w:t>2015</w:t>
      </w:r>
      <w:r>
        <w:rPr>
          <w:rFonts w:hint="eastAsia" w:ascii="宋体" w:hAnsi="宋体"/>
          <w:bCs/>
          <w:snapToGrid w:val="0"/>
          <w:kern w:val="0"/>
          <w:szCs w:val="21"/>
          <w:highlight w:val="none"/>
          <w:u w:val="single"/>
        </w:rPr>
        <w:t>〕</w:t>
      </w:r>
      <w:r>
        <w:rPr>
          <w:bCs/>
          <w:snapToGrid w:val="0"/>
          <w:kern w:val="0"/>
          <w:szCs w:val="21"/>
          <w:highlight w:val="none"/>
          <w:u w:val="single"/>
        </w:rPr>
        <w:t>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2.4</w:t>
      </w:r>
      <w:r>
        <w:rPr>
          <w:rFonts w:hint="eastAsia"/>
          <w:bCs/>
          <w:snapToGrid w:val="0"/>
          <w:kern w:val="0"/>
          <w:szCs w:val="21"/>
          <w:highlight w:val="none"/>
        </w:rPr>
        <w:t>发包人根据工程实施情况，有权对承包人的承包范围及内容进行适当调整，承包人必须无条件服从。</w:t>
      </w:r>
    </w:p>
    <w:p>
      <w:pPr>
        <w:pStyle w:val="4"/>
        <w:jc w:val="left"/>
        <w:rPr>
          <w:snapToGrid w:val="0"/>
          <w:kern w:val="0"/>
          <w:highlight w:val="none"/>
        </w:rPr>
      </w:pPr>
      <w:bookmarkStart w:id="57" w:name="_Toc520902595"/>
      <w:bookmarkStart w:id="58" w:name="_Toc516495966"/>
      <w:bookmarkStart w:id="59" w:name="_Toc514663848"/>
      <w:bookmarkStart w:id="60" w:name="_Toc520902817"/>
      <w:bookmarkStart w:id="61" w:name="_Toc517774550"/>
      <w:bookmarkStart w:id="62" w:name="_Toc132813107"/>
      <w:bookmarkStart w:id="63" w:name="_Toc518481722"/>
      <w:bookmarkStart w:id="64" w:name="_Toc514665272"/>
      <w:bookmarkStart w:id="65" w:name="_Toc514681753"/>
      <w:bookmarkStart w:id="66" w:name="_Toc514681172"/>
      <w:bookmarkStart w:id="67" w:name="_Toc520358220"/>
      <w:bookmarkStart w:id="68" w:name="_Toc520902746"/>
      <w:bookmarkStart w:id="69" w:name="_Toc520358044"/>
      <w:bookmarkStart w:id="70" w:name="_Toc519503070"/>
      <w:bookmarkStart w:id="71" w:name="_Toc514664850"/>
      <w:bookmarkStart w:id="72" w:name="_Toc520901450"/>
      <w:bookmarkStart w:id="73" w:name="_Toc517954563"/>
      <w:bookmarkStart w:id="74" w:name="_Toc514666963"/>
      <w:bookmarkStart w:id="75" w:name="_Toc514665133"/>
      <w:bookmarkStart w:id="76" w:name="_Toc519502240"/>
      <w:r>
        <w:rPr>
          <w:rFonts w:hint="eastAsia"/>
          <w:snapToGrid w:val="0"/>
          <w:kern w:val="0"/>
          <w:highlight w:val="none"/>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adjustRightInd w:val="0"/>
        <w:snapToGrid w:val="0"/>
        <w:spacing w:line="460" w:lineRule="exact"/>
        <w:ind w:right="11" w:firstLine="420" w:firstLineChars="200"/>
        <w:rPr>
          <w:bCs/>
          <w:snapToGrid w:val="0"/>
          <w:kern w:val="0"/>
          <w:szCs w:val="21"/>
          <w:highlight w:val="none"/>
        </w:rPr>
      </w:pPr>
      <w:bookmarkStart w:id="77" w:name="_Toc514681754"/>
      <w:bookmarkStart w:id="78" w:name="_Toc514663849"/>
      <w:bookmarkStart w:id="79" w:name="_Toc520902747"/>
      <w:bookmarkStart w:id="80" w:name="_Toc516495967"/>
      <w:bookmarkStart w:id="81" w:name="_Toc520901451"/>
      <w:bookmarkStart w:id="82" w:name="_Toc520358045"/>
      <w:bookmarkStart w:id="83" w:name="_Toc518481723"/>
      <w:bookmarkStart w:id="84" w:name="_Toc519503071"/>
      <w:bookmarkStart w:id="85" w:name="_Toc520902818"/>
      <w:bookmarkStart w:id="86" w:name="_Toc514666964"/>
      <w:bookmarkStart w:id="87" w:name="_Toc514681173"/>
      <w:bookmarkStart w:id="88" w:name="_Toc520358221"/>
      <w:bookmarkStart w:id="89" w:name="_Toc520902596"/>
      <w:bookmarkStart w:id="90" w:name="_Toc514665134"/>
      <w:bookmarkStart w:id="91" w:name="_Toc517954564"/>
      <w:bookmarkStart w:id="92" w:name="_Toc514664851"/>
      <w:bookmarkStart w:id="93" w:name="_Toc514665273"/>
      <w:bookmarkStart w:id="94" w:name="_Toc517774551"/>
      <w:bookmarkStart w:id="95" w:name="_Toc519502241"/>
      <w:r>
        <w:rPr>
          <w:bCs/>
          <w:snapToGrid w:val="0"/>
          <w:kern w:val="0"/>
          <w:szCs w:val="21"/>
          <w:highlight w:val="none"/>
        </w:rPr>
        <w:t>3.1</w:t>
      </w:r>
      <w:r>
        <w:rPr>
          <w:rFonts w:hint="eastAsia"/>
          <w:bCs/>
          <w:snapToGrid w:val="0"/>
          <w:kern w:val="0"/>
          <w:szCs w:val="21"/>
          <w:highlight w:val="none"/>
        </w:rPr>
        <w:t>本项目施工</w:t>
      </w:r>
      <w:r>
        <w:rPr>
          <w:bCs/>
          <w:snapToGrid w:val="0"/>
          <w:kern w:val="0"/>
          <w:szCs w:val="21"/>
          <w:highlight w:val="none"/>
        </w:rPr>
        <w:t>总工期：</w:t>
      </w:r>
      <w:r>
        <w:rPr>
          <w:bCs/>
          <w:snapToGrid w:val="0"/>
          <w:kern w:val="0"/>
          <w:szCs w:val="21"/>
          <w:highlight w:val="none"/>
          <w:u w:val="single"/>
        </w:rPr>
        <w:t>278</w:t>
      </w:r>
      <w:r>
        <w:rPr>
          <w:bCs/>
          <w:snapToGrid w:val="0"/>
          <w:kern w:val="0"/>
          <w:szCs w:val="21"/>
          <w:highlight w:val="none"/>
        </w:rPr>
        <w:t>天</w:t>
      </w:r>
      <w:r>
        <w:rPr>
          <w:rFonts w:hint="eastAsia"/>
          <w:bCs/>
          <w:snapToGrid w:val="0"/>
          <w:kern w:val="0"/>
          <w:szCs w:val="21"/>
          <w:highlight w:val="none"/>
        </w:rPr>
        <w:t>。</w:t>
      </w:r>
    </w:p>
    <w:p>
      <w:pPr>
        <w:adjustRightInd w:val="0"/>
        <w:snapToGrid w:val="0"/>
        <w:spacing w:line="460" w:lineRule="exact"/>
        <w:ind w:right="11" w:firstLine="424" w:firstLineChars="202"/>
        <w:rPr>
          <w:bCs/>
          <w:snapToGrid w:val="0"/>
          <w:kern w:val="0"/>
          <w:szCs w:val="21"/>
          <w:highlight w:val="none"/>
        </w:rPr>
      </w:pPr>
      <w:r>
        <w:rPr>
          <w:rFonts w:hint="eastAsia"/>
          <w:bCs/>
          <w:snapToGrid w:val="0"/>
          <w:kern w:val="0"/>
          <w:szCs w:val="21"/>
          <w:highlight w:val="none"/>
        </w:rPr>
        <w:t>具体开工日期以总监理工程师发出的开工令为准。</w:t>
      </w:r>
    </w:p>
    <w:p>
      <w:pPr>
        <w:adjustRightInd w:val="0"/>
        <w:snapToGrid w:val="0"/>
        <w:spacing w:line="460" w:lineRule="exact"/>
        <w:ind w:right="11" w:firstLine="420" w:firstLineChars="200"/>
        <w:rPr>
          <w:bCs/>
          <w:snapToGrid w:val="0"/>
          <w:kern w:val="0"/>
          <w:szCs w:val="21"/>
          <w:highlight w:val="none"/>
        </w:rPr>
      </w:pPr>
      <w:r>
        <w:rPr>
          <w:bCs/>
          <w:snapToGrid w:val="0"/>
          <w:kern w:val="0"/>
          <w:szCs w:val="21"/>
          <w:highlight w:val="none"/>
        </w:rPr>
        <w:t>3.2</w:t>
      </w:r>
      <w:r>
        <w:rPr>
          <w:rFonts w:hint="eastAsia"/>
          <w:bCs/>
          <w:snapToGrid w:val="0"/>
          <w:kern w:val="0"/>
          <w:szCs w:val="21"/>
          <w:highlight w:val="none"/>
        </w:rPr>
        <w:t>施工阶段</w:t>
      </w:r>
      <w:r>
        <w:rPr>
          <w:bCs/>
          <w:snapToGrid w:val="0"/>
          <w:kern w:val="0"/>
          <w:szCs w:val="21"/>
          <w:highlight w:val="none"/>
        </w:rPr>
        <w:t>关键节点工期：</w:t>
      </w:r>
    </w:p>
    <w:p>
      <w:pPr>
        <w:adjustRightInd w:val="0"/>
        <w:snapToGrid w:val="0"/>
        <w:spacing w:line="460" w:lineRule="exact"/>
        <w:ind w:right="11" w:firstLine="420" w:firstLineChars="200"/>
        <w:rPr>
          <w:bCs/>
          <w:snapToGrid w:val="0"/>
          <w:kern w:val="0"/>
          <w:szCs w:val="21"/>
          <w:highlight w:val="none"/>
        </w:rPr>
      </w:pPr>
      <w:r>
        <w:rPr>
          <w:bCs/>
          <w:snapToGrid w:val="0"/>
          <w:kern w:val="0"/>
          <w:szCs w:val="21"/>
          <w:highlight w:val="none"/>
        </w:rPr>
        <w:t>在计划总工期和关键工期节点不变前提下，其他节点工期由承包人自行拟定，并经监理人、发包人审核同意后实施。承包人应当严格按设计图纸、经批准的施工方案及发包人指令进行施工。</w:t>
      </w:r>
      <w:r>
        <w:rPr>
          <w:rFonts w:hint="eastAsia"/>
          <w:bCs/>
          <w:snapToGrid w:val="0"/>
          <w:kern w:val="0"/>
          <w:szCs w:val="21"/>
          <w:highlight w:val="none"/>
        </w:rPr>
        <w:t>施工阶段</w:t>
      </w:r>
      <w:r>
        <w:rPr>
          <w:bCs/>
          <w:snapToGrid w:val="0"/>
          <w:kern w:val="0"/>
          <w:szCs w:val="21"/>
          <w:highlight w:val="none"/>
        </w:rPr>
        <w:t>关键节点工期暂定如下：</w:t>
      </w:r>
      <w:r>
        <w:rPr>
          <w:rFonts w:hint="eastAsia"/>
          <w:bCs/>
          <w:snapToGrid w:val="0"/>
          <w:kern w:val="0"/>
          <w:szCs w:val="21"/>
          <w:highlight w:val="none"/>
        </w:rPr>
        <w:t>（以下时间均为暂定时间）</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086"/>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highlight w:val="none"/>
              </w:rPr>
            </w:pPr>
            <w:r>
              <w:rPr>
                <w:b/>
                <w:szCs w:val="21"/>
                <w:highlight w:val="none"/>
              </w:rPr>
              <w:t>序号</w:t>
            </w:r>
          </w:p>
        </w:tc>
        <w:tc>
          <w:tcPr>
            <w:tcW w:w="4086" w:type="dxa"/>
            <w:vAlign w:val="center"/>
          </w:tcPr>
          <w:p>
            <w:pPr>
              <w:adjustRightInd w:val="0"/>
              <w:snapToGrid w:val="0"/>
              <w:jc w:val="center"/>
              <w:rPr>
                <w:b/>
                <w:szCs w:val="21"/>
                <w:highlight w:val="none"/>
              </w:rPr>
            </w:pPr>
            <w:r>
              <w:rPr>
                <w:rFonts w:hint="eastAsia"/>
                <w:b/>
                <w:szCs w:val="21"/>
                <w:highlight w:val="none"/>
              </w:rPr>
              <w:t>施工阶段</w:t>
            </w:r>
            <w:r>
              <w:rPr>
                <w:b/>
                <w:szCs w:val="21"/>
                <w:highlight w:val="none"/>
              </w:rPr>
              <w:t>关键工期节点</w:t>
            </w:r>
          </w:p>
        </w:tc>
        <w:tc>
          <w:tcPr>
            <w:tcW w:w="3470" w:type="dxa"/>
            <w:vAlign w:val="center"/>
          </w:tcPr>
          <w:p>
            <w:pPr>
              <w:adjustRightInd w:val="0"/>
              <w:snapToGrid w:val="0"/>
              <w:ind w:hanging="15"/>
              <w:jc w:val="center"/>
              <w:rPr>
                <w:b/>
                <w:szCs w:val="21"/>
                <w:highlight w:val="none"/>
              </w:rPr>
            </w:pPr>
            <w:r>
              <w:rPr>
                <w:rFonts w:hint="eastAsia"/>
                <w:b/>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rFonts w:hint="eastAsia"/>
                <w:highlight w:val="none"/>
              </w:rPr>
              <w:t>1</w:t>
            </w:r>
          </w:p>
        </w:tc>
        <w:tc>
          <w:tcPr>
            <w:tcW w:w="4086" w:type="dxa"/>
          </w:tcPr>
          <w:p>
            <w:pPr>
              <w:jc w:val="center"/>
              <w:rPr>
                <w:highlight w:val="none"/>
              </w:rPr>
            </w:pPr>
            <w:r>
              <w:rPr>
                <w:rFonts w:hint="eastAsia"/>
                <w:highlight w:val="none"/>
              </w:rPr>
              <w:t>完成桩基础</w:t>
            </w:r>
          </w:p>
        </w:tc>
        <w:tc>
          <w:tcPr>
            <w:tcW w:w="3470" w:type="dxa"/>
          </w:tcPr>
          <w:p>
            <w:pPr>
              <w:jc w:val="center"/>
              <w:rPr>
                <w:highlight w:val="none"/>
              </w:rPr>
            </w:pPr>
            <w:r>
              <w:rPr>
                <w:rFonts w:hint="eastAsia"/>
                <w:highlight w:val="none"/>
              </w:rPr>
              <w:t>发出开工令</w:t>
            </w:r>
            <w:r>
              <w:rPr>
                <w:rFonts w:hint="eastAsia"/>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rFonts w:hint="eastAsia"/>
                <w:highlight w:val="none"/>
              </w:rPr>
              <w:t>2</w:t>
            </w:r>
          </w:p>
        </w:tc>
        <w:tc>
          <w:tcPr>
            <w:tcW w:w="4086" w:type="dxa"/>
          </w:tcPr>
          <w:p>
            <w:pPr>
              <w:jc w:val="center"/>
              <w:rPr>
                <w:highlight w:val="none"/>
              </w:rPr>
            </w:pPr>
            <w:r>
              <w:rPr>
                <w:rFonts w:hint="eastAsia"/>
                <w:highlight w:val="none"/>
              </w:rPr>
              <w:t>完成基坑支护</w:t>
            </w:r>
          </w:p>
        </w:tc>
        <w:tc>
          <w:tcPr>
            <w:tcW w:w="3470" w:type="dxa"/>
          </w:tcPr>
          <w:p>
            <w:pPr>
              <w:jc w:val="center"/>
              <w:rPr>
                <w:highlight w:val="none"/>
              </w:rPr>
            </w:pPr>
            <w:r>
              <w:rPr>
                <w:rFonts w:hint="eastAsia"/>
                <w:highlight w:val="none"/>
              </w:rPr>
              <w:t>发出开工令</w:t>
            </w:r>
            <w:r>
              <w:rPr>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rFonts w:hint="eastAsia"/>
                <w:highlight w:val="none"/>
              </w:rPr>
              <w:t>3</w:t>
            </w:r>
          </w:p>
        </w:tc>
        <w:tc>
          <w:tcPr>
            <w:tcW w:w="4086" w:type="dxa"/>
          </w:tcPr>
          <w:p>
            <w:pPr>
              <w:jc w:val="center"/>
              <w:rPr>
                <w:highlight w:val="none"/>
              </w:rPr>
            </w:pPr>
            <w:r>
              <w:rPr>
                <w:rFonts w:hint="eastAsia"/>
                <w:highlight w:val="none"/>
              </w:rPr>
              <w:t>完成地下室结构</w:t>
            </w:r>
          </w:p>
        </w:tc>
        <w:tc>
          <w:tcPr>
            <w:tcW w:w="3470" w:type="dxa"/>
          </w:tcPr>
          <w:p>
            <w:pPr>
              <w:jc w:val="center"/>
              <w:rPr>
                <w:highlight w:val="none"/>
              </w:rPr>
            </w:pPr>
            <w:r>
              <w:rPr>
                <w:rFonts w:hint="eastAsia"/>
                <w:highlight w:val="none"/>
              </w:rPr>
              <w:t>发出开工令</w:t>
            </w:r>
            <w:r>
              <w:rPr>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rFonts w:hint="eastAsia"/>
                <w:highlight w:val="none"/>
              </w:rPr>
              <w:t>4</w:t>
            </w:r>
          </w:p>
        </w:tc>
        <w:tc>
          <w:tcPr>
            <w:tcW w:w="4086" w:type="dxa"/>
          </w:tcPr>
          <w:p>
            <w:pPr>
              <w:jc w:val="center"/>
              <w:rPr>
                <w:highlight w:val="none"/>
              </w:rPr>
            </w:pPr>
            <w:r>
              <w:rPr>
                <w:rFonts w:hint="eastAsia"/>
                <w:highlight w:val="none"/>
              </w:rPr>
              <w:t>完成主体封顶</w:t>
            </w:r>
          </w:p>
        </w:tc>
        <w:tc>
          <w:tcPr>
            <w:tcW w:w="3470" w:type="dxa"/>
          </w:tcPr>
          <w:p>
            <w:pPr>
              <w:jc w:val="center"/>
              <w:rPr>
                <w:highlight w:val="none"/>
              </w:rPr>
            </w:pPr>
            <w:r>
              <w:rPr>
                <w:rFonts w:hint="eastAsia"/>
                <w:highlight w:val="none"/>
              </w:rPr>
              <w:t>发出开工令</w:t>
            </w:r>
            <w:r>
              <w:rPr>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rFonts w:hint="eastAsia"/>
                <w:highlight w:val="none"/>
              </w:rPr>
              <w:t>5</w:t>
            </w:r>
          </w:p>
        </w:tc>
        <w:tc>
          <w:tcPr>
            <w:tcW w:w="4086" w:type="dxa"/>
          </w:tcPr>
          <w:p>
            <w:pPr>
              <w:jc w:val="center"/>
              <w:rPr>
                <w:highlight w:val="none"/>
              </w:rPr>
            </w:pPr>
            <w:r>
              <w:rPr>
                <w:rFonts w:hint="eastAsia"/>
                <w:highlight w:val="none"/>
              </w:rPr>
              <w:t>完成砌体工程</w:t>
            </w:r>
          </w:p>
        </w:tc>
        <w:tc>
          <w:tcPr>
            <w:tcW w:w="3470" w:type="dxa"/>
          </w:tcPr>
          <w:p>
            <w:pPr>
              <w:jc w:val="center"/>
              <w:rPr>
                <w:highlight w:val="none"/>
              </w:rPr>
            </w:pPr>
            <w:r>
              <w:rPr>
                <w:rFonts w:hint="eastAsia"/>
                <w:highlight w:val="none"/>
              </w:rPr>
              <w:t>发出开工令</w:t>
            </w:r>
            <w:r>
              <w:rPr>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rFonts w:hint="eastAsia"/>
                <w:highlight w:val="none"/>
              </w:rPr>
              <w:t>6</w:t>
            </w:r>
          </w:p>
        </w:tc>
        <w:tc>
          <w:tcPr>
            <w:tcW w:w="4086" w:type="dxa"/>
          </w:tcPr>
          <w:p>
            <w:pPr>
              <w:jc w:val="center"/>
              <w:rPr>
                <w:highlight w:val="none"/>
              </w:rPr>
            </w:pPr>
            <w:r>
              <w:rPr>
                <w:rFonts w:hint="eastAsia"/>
                <w:highlight w:val="none"/>
              </w:rPr>
              <w:t>完成外装饰工程及外脚手架拆除</w:t>
            </w:r>
          </w:p>
        </w:tc>
        <w:tc>
          <w:tcPr>
            <w:tcW w:w="3470" w:type="dxa"/>
          </w:tcPr>
          <w:p>
            <w:pPr>
              <w:jc w:val="center"/>
              <w:rPr>
                <w:highlight w:val="none"/>
              </w:rPr>
            </w:pPr>
            <w:r>
              <w:rPr>
                <w:rFonts w:hint="eastAsia"/>
                <w:highlight w:val="none"/>
              </w:rPr>
              <w:t>发出开工令</w:t>
            </w:r>
            <w:r>
              <w:rPr>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highlight w:val="none"/>
              </w:rPr>
              <w:t>7</w:t>
            </w:r>
          </w:p>
        </w:tc>
        <w:tc>
          <w:tcPr>
            <w:tcW w:w="4086" w:type="dxa"/>
          </w:tcPr>
          <w:p>
            <w:pPr>
              <w:jc w:val="center"/>
              <w:rPr>
                <w:highlight w:val="none"/>
              </w:rPr>
            </w:pPr>
            <w:r>
              <w:rPr>
                <w:rFonts w:hint="eastAsia"/>
                <w:highlight w:val="none"/>
              </w:rPr>
              <w:t>完成室内装饰装修工程</w:t>
            </w:r>
          </w:p>
        </w:tc>
        <w:tc>
          <w:tcPr>
            <w:tcW w:w="3470" w:type="dxa"/>
          </w:tcPr>
          <w:p>
            <w:pPr>
              <w:jc w:val="center"/>
              <w:rPr>
                <w:highlight w:val="none"/>
              </w:rPr>
            </w:pPr>
            <w:r>
              <w:rPr>
                <w:rFonts w:hint="eastAsia"/>
                <w:highlight w:val="none"/>
              </w:rPr>
              <w:t>发出开工令</w:t>
            </w:r>
            <w:r>
              <w:rPr>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highlight w:val="none"/>
              </w:rPr>
              <w:t>8</w:t>
            </w:r>
          </w:p>
        </w:tc>
        <w:tc>
          <w:tcPr>
            <w:tcW w:w="4086" w:type="dxa"/>
          </w:tcPr>
          <w:p>
            <w:pPr>
              <w:jc w:val="center"/>
              <w:rPr>
                <w:highlight w:val="none"/>
              </w:rPr>
            </w:pPr>
            <w:r>
              <w:rPr>
                <w:rFonts w:hint="eastAsia"/>
                <w:highlight w:val="none"/>
              </w:rPr>
              <w:t>完成机电安装、室外配套工程</w:t>
            </w:r>
          </w:p>
        </w:tc>
        <w:tc>
          <w:tcPr>
            <w:tcW w:w="3470" w:type="dxa"/>
          </w:tcPr>
          <w:p>
            <w:pPr>
              <w:jc w:val="center"/>
              <w:rPr>
                <w:highlight w:val="none"/>
              </w:rPr>
            </w:pPr>
            <w:r>
              <w:rPr>
                <w:rFonts w:hint="eastAsia"/>
                <w:highlight w:val="none"/>
              </w:rPr>
              <w:t>发出开工令</w:t>
            </w:r>
            <w:r>
              <w:rPr>
                <w:highlight w:val="none"/>
                <w:u w:val="single"/>
              </w:rPr>
              <w:t xml:space="preserve">    </w:t>
            </w:r>
            <w:r>
              <w:rPr>
                <w:rFonts w:hint="eastAsia"/>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highlight w:val="none"/>
              </w:rPr>
            </w:pPr>
            <w:r>
              <w:rPr>
                <w:highlight w:val="none"/>
              </w:rPr>
              <w:t>9</w:t>
            </w:r>
          </w:p>
        </w:tc>
        <w:tc>
          <w:tcPr>
            <w:tcW w:w="4086" w:type="dxa"/>
          </w:tcPr>
          <w:p>
            <w:pPr>
              <w:jc w:val="center"/>
              <w:rPr>
                <w:highlight w:val="none"/>
              </w:rPr>
            </w:pPr>
            <w:r>
              <w:rPr>
                <w:rFonts w:hint="eastAsia"/>
                <w:highlight w:val="none"/>
              </w:rPr>
              <w:t>完成竣工验收</w:t>
            </w:r>
          </w:p>
        </w:tc>
        <w:tc>
          <w:tcPr>
            <w:tcW w:w="3470" w:type="dxa"/>
          </w:tcPr>
          <w:p>
            <w:pPr>
              <w:jc w:val="center"/>
              <w:rPr>
                <w:highlight w:val="none"/>
              </w:rPr>
            </w:pPr>
            <w:r>
              <w:rPr>
                <w:rFonts w:hint="eastAsia"/>
                <w:highlight w:val="none"/>
              </w:rPr>
              <w:t>发出开工令</w:t>
            </w:r>
            <w:r>
              <w:rPr>
                <w:rFonts w:hint="eastAsia"/>
                <w:highlight w:val="none"/>
                <w:u w:val="single"/>
              </w:rPr>
              <w:t xml:space="preserve"> </w:t>
            </w:r>
            <w:r>
              <w:rPr>
                <w:highlight w:val="none"/>
                <w:u w:val="single"/>
              </w:rPr>
              <w:t xml:space="preserve">   </w:t>
            </w:r>
            <w:r>
              <w:rPr>
                <w:rFonts w:hint="eastAsia"/>
                <w:highlight w:val="none"/>
              </w:rPr>
              <w:t>日历天内</w:t>
            </w:r>
          </w:p>
        </w:tc>
      </w:tr>
    </w:tbl>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3.3本工程的合同工期已包括</w:t>
      </w:r>
      <w:r>
        <w:rPr>
          <w:rFonts w:hint="eastAsia"/>
          <w:bCs/>
          <w:snapToGrid w:val="0"/>
          <w:kern w:val="0"/>
          <w:szCs w:val="21"/>
          <w:highlight w:val="none"/>
        </w:rPr>
        <w:t>由于承包</w:t>
      </w:r>
      <w:r>
        <w:rPr>
          <w:bCs/>
          <w:snapToGrid w:val="0"/>
          <w:kern w:val="0"/>
          <w:szCs w:val="21"/>
          <w:highlight w:val="none"/>
        </w:rPr>
        <w:t>人</w:t>
      </w:r>
      <w:r>
        <w:rPr>
          <w:rFonts w:hint="eastAsia"/>
          <w:bCs/>
          <w:snapToGrid w:val="0"/>
          <w:kern w:val="0"/>
          <w:szCs w:val="21"/>
          <w:highlight w:val="none"/>
        </w:rPr>
        <w:t>原因</w:t>
      </w:r>
      <w:r>
        <w:rPr>
          <w:bCs/>
          <w:snapToGrid w:val="0"/>
          <w:kern w:val="0"/>
          <w:szCs w:val="21"/>
          <w:highlight w:val="none"/>
        </w:rPr>
        <w:t>未能达到发包人及相关政府部门的要求而需要</w:t>
      </w:r>
      <w:r>
        <w:rPr>
          <w:rFonts w:hint="eastAsia"/>
          <w:bCs/>
          <w:snapToGrid w:val="0"/>
          <w:kern w:val="0"/>
          <w:szCs w:val="21"/>
          <w:highlight w:val="none"/>
        </w:rPr>
        <w:t>整改</w:t>
      </w:r>
      <w:r>
        <w:rPr>
          <w:bCs/>
          <w:snapToGrid w:val="0"/>
          <w:kern w:val="0"/>
          <w:szCs w:val="21"/>
          <w:highlight w:val="none"/>
        </w:rPr>
        <w:t>或重新施工所涉及的额外工程期限，承包人确认已对上述审批时间作出考虑和预留。</w:t>
      </w:r>
    </w:p>
    <w:p>
      <w:pPr>
        <w:adjustRightInd w:val="0"/>
        <w:snapToGrid w:val="0"/>
        <w:spacing w:line="460" w:lineRule="exact"/>
        <w:ind w:firstLine="411" w:firstLineChars="196"/>
        <w:rPr>
          <w:bCs/>
          <w:snapToGrid w:val="0"/>
          <w:kern w:val="0"/>
          <w:szCs w:val="21"/>
          <w:highlight w:val="none"/>
        </w:rPr>
      </w:pPr>
      <w:r>
        <w:rPr>
          <w:bCs/>
          <w:snapToGrid w:val="0"/>
          <w:kern w:val="0"/>
          <w:szCs w:val="21"/>
          <w:highlight w:val="none"/>
        </w:rPr>
        <w:t>3.4发包人根据工程实施情况，有权对本工程工期（包括节点工期和竣工日期）进行适当调整，承包人需服从发包人对本项目建设工期的要求。</w:t>
      </w:r>
    </w:p>
    <w:p>
      <w:pPr>
        <w:adjustRightInd w:val="0"/>
        <w:snapToGrid w:val="0"/>
        <w:spacing w:line="460" w:lineRule="exact"/>
        <w:ind w:firstLine="411" w:firstLineChars="196"/>
        <w:rPr>
          <w:highlight w:val="none"/>
        </w:rPr>
      </w:pPr>
      <w:r>
        <w:rPr>
          <w:highlight w:val="none"/>
        </w:rPr>
        <w:t>3.5工期控制与调整</w:t>
      </w:r>
    </w:p>
    <w:p>
      <w:pPr>
        <w:adjustRightInd w:val="0"/>
        <w:snapToGrid w:val="0"/>
        <w:spacing w:line="460" w:lineRule="exact"/>
        <w:ind w:firstLine="411" w:firstLineChars="196"/>
        <w:rPr>
          <w:snapToGrid w:val="0"/>
          <w:kern w:val="0"/>
          <w:szCs w:val="21"/>
          <w:highlight w:val="none"/>
        </w:rPr>
      </w:pPr>
      <w:r>
        <w:rPr>
          <w:snapToGrid w:val="0"/>
          <w:kern w:val="0"/>
          <w:szCs w:val="21"/>
          <w:highlight w:val="none"/>
        </w:rPr>
        <w:t>3.5.1</w:t>
      </w:r>
      <w:r>
        <w:rPr>
          <w:rFonts w:hint="eastAsia"/>
          <w:highlight w:val="none"/>
        </w:rPr>
        <w:t>本工程工期分为关键节点工期和一般节点工期两类，承包人必须在承包人文件中分专业详细区分和列明本工程总体及各单体工程的关键节点工期和一般节点工期，并报监理人和发包人批准后实施。</w:t>
      </w:r>
    </w:p>
    <w:p>
      <w:pPr>
        <w:adjustRightInd w:val="0"/>
        <w:snapToGrid w:val="0"/>
        <w:spacing w:line="460" w:lineRule="exact"/>
        <w:ind w:firstLine="411" w:firstLineChars="196"/>
        <w:rPr>
          <w:snapToGrid w:val="0"/>
          <w:kern w:val="0"/>
          <w:szCs w:val="21"/>
          <w:highlight w:val="none"/>
        </w:rPr>
      </w:pPr>
      <w:r>
        <w:rPr>
          <w:snapToGrid w:val="0"/>
          <w:kern w:val="0"/>
          <w:szCs w:val="21"/>
          <w:highlight w:val="none"/>
        </w:rPr>
        <w:t>3.5.2</w:t>
      </w:r>
      <w:r>
        <w:rPr>
          <w:rFonts w:hint="eastAsia"/>
          <w:highlight w:val="none"/>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pPr>
        <w:pStyle w:val="4"/>
        <w:spacing w:after="0"/>
        <w:jc w:val="left"/>
        <w:rPr>
          <w:snapToGrid w:val="0"/>
          <w:kern w:val="0"/>
          <w:highlight w:val="none"/>
        </w:rPr>
      </w:pPr>
      <w:bookmarkStart w:id="96" w:name="_Toc132813108"/>
      <w:r>
        <w:rPr>
          <w:rFonts w:hint="eastAsia"/>
          <w:snapToGrid w:val="0"/>
          <w:kern w:val="0"/>
          <w:highlight w:val="none"/>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（1）质量标准：</w:t>
      </w:r>
    </w:p>
    <w:p>
      <w:pPr>
        <w:adjustRightInd w:val="0"/>
        <w:snapToGrid w:val="0"/>
        <w:spacing w:line="360" w:lineRule="auto"/>
        <w:ind w:right="11" w:firstLine="480" w:firstLineChars="200"/>
        <w:rPr>
          <w:bCs/>
          <w:snapToGrid w:val="0"/>
          <w:kern w:val="0"/>
          <w:szCs w:val="21"/>
          <w:highlight w:val="none"/>
        </w:rPr>
      </w:pPr>
      <w:r>
        <w:rPr>
          <w:rFonts w:ascii="Wingdings 2" w:hAnsi="Wingdings 2"/>
          <w:snapToGrid w:val="0"/>
          <w:kern w:val="0"/>
          <w:sz w:val="24"/>
          <w:highlight w:val="none"/>
        </w:rPr>
        <w:t></w:t>
      </w:r>
      <w:r>
        <w:rPr>
          <w:snapToGrid w:val="0"/>
          <w:kern w:val="0"/>
          <w:szCs w:val="21"/>
          <w:highlight w:val="none"/>
        </w:rPr>
        <w:t>1）</w:t>
      </w:r>
      <w:r>
        <w:rPr>
          <w:bCs/>
          <w:snapToGrid w:val="0"/>
          <w:kern w:val="0"/>
          <w:szCs w:val="21"/>
          <w:highlight w:val="none"/>
        </w:rPr>
        <w:t>《建筑工程施工质量验收统一标准》（GB50300-2013）及相应配套的各专业验收规范等。</w:t>
      </w:r>
    </w:p>
    <w:p>
      <w:pPr>
        <w:adjustRightInd w:val="0"/>
        <w:snapToGrid w:val="0"/>
        <w:spacing w:line="360" w:lineRule="auto"/>
        <w:ind w:right="11" w:firstLine="480" w:firstLineChars="200"/>
        <w:rPr>
          <w:bCs/>
          <w:snapToGrid w:val="0"/>
          <w:kern w:val="0"/>
          <w:szCs w:val="21"/>
          <w:highlight w:val="none"/>
        </w:rPr>
      </w:pPr>
      <w:r>
        <w:rPr>
          <w:rFonts w:ascii="Wingdings 2" w:hAnsi="Wingdings 2"/>
          <w:snapToGrid w:val="0"/>
          <w:kern w:val="0"/>
          <w:sz w:val="24"/>
          <w:highlight w:val="none"/>
        </w:rPr>
        <w:t></w:t>
      </w:r>
      <w:r>
        <w:rPr>
          <w:bCs/>
          <w:snapToGrid w:val="0"/>
          <w:kern w:val="0"/>
          <w:szCs w:val="21"/>
          <w:highlight w:val="none"/>
        </w:rPr>
        <w:t>2）《城镇道路工程施工与质量验收规范》（CJJ1-2008）、《给水排水管道工程施工及验收规范》（GB50268-2008）及相应配套的各专业验收规范等。</w:t>
      </w:r>
    </w:p>
    <w:p>
      <w:pPr>
        <w:adjustRightInd w:val="0"/>
        <w:snapToGrid w:val="0"/>
        <w:spacing w:line="360" w:lineRule="auto"/>
        <w:ind w:right="11" w:firstLine="480" w:firstLineChars="200"/>
        <w:rPr>
          <w:snapToGrid w:val="0"/>
          <w:kern w:val="0"/>
          <w:szCs w:val="21"/>
          <w:highlight w:val="none"/>
        </w:rPr>
      </w:pPr>
      <w:r>
        <w:rPr>
          <w:rFonts w:ascii="Wingdings 2" w:hAnsi="Wingdings 2"/>
          <w:snapToGrid w:val="0"/>
          <w:kern w:val="0"/>
          <w:sz w:val="24"/>
          <w:highlight w:val="none"/>
        </w:rPr>
        <w:t></w:t>
      </w:r>
      <w:r>
        <w:rPr>
          <w:snapToGrid w:val="0"/>
          <w:kern w:val="0"/>
          <w:szCs w:val="21"/>
          <w:highlight w:val="none"/>
        </w:rPr>
        <w:t>3）《园林绿化工程施工及验收规范》（CJJ82-2012）、《城市绿化工程施工及验收规范》（DB440100/T114-2007）及相应配套的各专业验收规范等。</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（2）质量目标：</w:t>
      </w:r>
    </w:p>
    <w:p>
      <w:pPr>
        <w:adjustRightInd w:val="0"/>
        <w:snapToGrid w:val="0"/>
        <w:spacing w:line="360" w:lineRule="auto"/>
        <w:ind w:right="11" w:firstLine="420" w:firstLineChars="200"/>
        <w:rPr>
          <w:b/>
          <w:snapToGrid w:val="0"/>
          <w:kern w:val="0"/>
          <w:szCs w:val="21"/>
          <w:highlight w:val="none"/>
        </w:rPr>
      </w:pPr>
      <w:r>
        <w:rPr>
          <w:rFonts w:eastAsia="新宋体"/>
          <w:szCs w:val="21"/>
          <w:highlight w:val="none"/>
        </w:rPr>
        <w:t>一次验收合格，分部工程验收合格率100%，项目所涉及的政府专项验收全部通过，单位工程一次竣工验收合格</w:t>
      </w:r>
      <w:r>
        <w:rPr>
          <w:bCs/>
          <w:snapToGrid w:val="0"/>
          <w:kern w:val="0"/>
          <w:szCs w:val="21"/>
          <w:highlight w:val="none"/>
        </w:rPr>
        <w:t>，且</w:t>
      </w:r>
    </w:p>
    <w:p>
      <w:pPr>
        <w:adjustRightInd w:val="0"/>
        <w:snapToGrid w:val="0"/>
        <w:spacing w:line="360" w:lineRule="auto"/>
        <w:ind w:right="11" w:firstLine="600" w:firstLineChars="250"/>
        <w:rPr>
          <w:bCs/>
          <w:snapToGrid w:val="0"/>
          <w:kern w:val="0"/>
          <w:szCs w:val="21"/>
          <w:highlight w:val="none"/>
        </w:rPr>
      </w:pPr>
      <w:r>
        <w:rPr>
          <w:rFonts w:ascii="Wingdings 2" w:hAnsi="Wingdings 2"/>
          <w:snapToGrid w:val="0"/>
          <w:kern w:val="0"/>
          <w:sz w:val="24"/>
          <w:highlight w:val="none"/>
        </w:rPr>
        <w:t></w:t>
      </w:r>
      <w:r>
        <w:rPr>
          <w:snapToGrid w:val="0"/>
          <w:szCs w:val="21"/>
          <w:highlight w:val="none"/>
        </w:rPr>
        <w:t xml:space="preserve"> </w:t>
      </w:r>
      <w:r>
        <w:rPr>
          <w:bCs/>
          <w:snapToGrid w:val="0"/>
          <w:kern w:val="0"/>
          <w:szCs w:val="21"/>
          <w:highlight w:val="none"/>
        </w:rPr>
        <w:t>必须取得广州市优良样板工程奖。</w:t>
      </w:r>
    </w:p>
    <w:p>
      <w:pPr>
        <w:adjustRightInd w:val="0"/>
        <w:snapToGrid w:val="0"/>
        <w:spacing w:line="360" w:lineRule="auto"/>
        <w:ind w:right="11" w:firstLine="567" w:firstLineChars="270"/>
        <w:rPr>
          <w:bCs/>
          <w:snapToGrid w:val="0"/>
          <w:kern w:val="0"/>
          <w:szCs w:val="21"/>
          <w:highlight w:val="none"/>
        </w:rPr>
      </w:pPr>
      <w:r>
        <w:rPr>
          <w:snapToGrid w:val="0"/>
          <w:szCs w:val="21"/>
          <w:highlight w:val="none"/>
        </w:rPr>
        <w:sym w:font="Wingdings 2" w:char="00A3"/>
      </w:r>
      <w:r>
        <w:rPr>
          <w:b/>
          <w:bCs/>
          <w:snapToGrid w:val="0"/>
          <w:kern w:val="0"/>
          <w:szCs w:val="21"/>
          <w:highlight w:val="none"/>
        </w:rPr>
        <w:t xml:space="preserve"> </w:t>
      </w:r>
      <w:r>
        <w:rPr>
          <w:bCs/>
          <w:snapToGrid w:val="0"/>
          <w:kern w:val="0"/>
          <w:szCs w:val="21"/>
          <w:highlight w:val="none"/>
        </w:rPr>
        <w:t>必须取得广州市优良样板工程奖，争创广东省优良样板工程奖。</w:t>
      </w:r>
    </w:p>
    <w:p>
      <w:pPr>
        <w:adjustRightInd w:val="0"/>
        <w:snapToGrid w:val="0"/>
        <w:spacing w:line="360" w:lineRule="auto"/>
        <w:ind w:right="11" w:firstLine="567" w:firstLineChars="270"/>
        <w:rPr>
          <w:rFonts w:eastAsia="新宋体"/>
          <w:szCs w:val="21"/>
          <w:highlight w:val="none"/>
        </w:rPr>
      </w:pPr>
      <w:r>
        <w:rPr>
          <w:snapToGrid w:val="0"/>
          <w:szCs w:val="21"/>
          <w:highlight w:val="none"/>
        </w:rPr>
        <w:sym w:font="Wingdings 2" w:char="00A3"/>
      </w:r>
      <w:r>
        <w:rPr>
          <w:b/>
          <w:bCs/>
          <w:snapToGrid w:val="0"/>
          <w:kern w:val="0"/>
          <w:szCs w:val="21"/>
          <w:highlight w:val="none"/>
        </w:rPr>
        <w:t xml:space="preserve"> </w:t>
      </w:r>
      <w:r>
        <w:rPr>
          <w:bCs/>
          <w:snapToGrid w:val="0"/>
          <w:kern w:val="0"/>
          <w:szCs w:val="21"/>
          <w:highlight w:val="none"/>
        </w:rPr>
        <w:t>必须获得省级（广东省建设工程优质奖“省优质工程奖”）或同等级或省级以上工程质量奖项。</w:t>
      </w:r>
    </w:p>
    <w:p>
      <w:pPr>
        <w:adjustRightInd w:val="0"/>
        <w:snapToGrid w:val="0"/>
        <w:spacing w:line="360" w:lineRule="auto"/>
        <w:ind w:right="11" w:firstLine="567" w:firstLineChars="270"/>
        <w:rPr>
          <w:b/>
          <w:bCs/>
          <w:snapToGrid w:val="0"/>
          <w:kern w:val="0"/>
          <w:szCs w:val="21"/>
          <w:highlight w:val="none"/>
          <w:lang w:val="zh-CN"/>
        </w:rPr>
      </w:pPr>
      <w:r>
        <w:rPr>
          <w:snapToGrid w:val="0"/>
          <w:szCs w:val="21"/>
          <w:highlight w:val="none"/>
        </w:rPr>
        <w:sym w:font="Wingdings 2" w:char="00A3"/>
      </w:r>
      <w:r>
        <w:rPr>
          <w:snapToGrid w:val="0"/>
          <w:szCs w:val="21"/>
          <w:highlight w:val="none"/>
        </w:rPr>
        <w:t xml:space="preserve"> </w:t>
      </w:r>
      <w:r>
        <w:rPr>
          <w:bCs/>
          <w:snapToGrid w:val="0"/>
          <w:kern w:val="0"/>
          <w:szCs w:val="21"/>
          <w:highlight w:val="none"/>
        </w:rPr>
        <w:t>其他</w:t>
      </w:r>
      <w:r>
        <w:rPr>
          <w:snapToGrid w:val="0"/>
          <w:kern w:val="0"/>
          <w:szCs w:val="21"/>
          <w:highlight w:val="none"/>
          <w:lang w:val="zh-CN"/>
        </w:rPr>
        <w:t>：</w:t>
      </w:r>
      <w:r>
        <w:rPr>
          <w:rFonts w:hint="eastAsia"/>
          <w:b/>
          <w:bCs/>
          <w:snapToGrid w:val="0"/>
          <w:kern w:val="0"/>
          <w:szCs w:val="21"/>
          <w:highlight w:val="none"/>
          <w:u w:val="single"/>
          <w:lang w:val="zh-CN"/>
        </w:rPr>
        <w:t xml:space="preserve"> </w:t>
      </w:r>
      <w:r>
        <w:rPr>
          <w:b/>
          <w:bCs/>
          <w:snapToGrid w:val="0"/>
          <w:kern w:val="0"/>
          <w:szCs w:val="21"/>
          <w:highlight w:val="none"/>
          <w:u w:val="single"/>
          <w:lang w:val="zh-CN"/>
        </w:rPr>
        <w:t xml:space="preserve">     </w:t>
      </w:r>
      <w:r>
        <w:rPr>
          <w:rFonts w:hint="eastAsia"/>
          <w:b/>
          <w:bCs/>
          <w:snapToGrid w:val="0"/>
          <w:kern w:val="0"/>
          <w:szCs w:val="21"/>
          <w:highlight w:val="none"/>
          <w:u w:val="single"/>
          <w:lang w:val="zh-CN"/>
        </w:rPr>
        <w:t>无</w:t>
      </w:r>
      <w:r>
        <w:rPr>
          <w:b/>
          <w:bCs/>
          <w:snapToGrid w:val="0"/>
          <w:kern w:val="0"/>
          <w:szCs w:val="21"/>
          <w:highlight w:val="none"/>
          <w:u w:val="single"/>
          <w:lang w:val="zh-CN"/>
        </w:rPr>
        <w:t xml:space="preserve">     </w:t>
      </w:r>
      <w:r>
        <w:rPr>
          <w:b/>
          <w:bCs/>
          <w:snapToGrid w:val="0"/>
          <w:kern w:val="0"/>
          <w:szCs w:val="21"/>
          <w:highlight w:val="none"/>
          <w:lang w:val="zh-CN"/>
        </w:rPr>
        <w:t>。</w:t>
      </w:r>
    </w:p>
    <w:p>
      <w:pPr>
        <w:adjustRightInd w:val="0"/>
        <w:snapToGrid w:val="0"/>
        <w:spacing w:line="360" w:lineRule="auto"/>
        <w:ind w:right="11" w:firstLine="422" w:firstLineChars="200"/>
        <w:rPr>
          <w:b/>
          <w:bCs/>
          <w:snapToGrid w:val="0"/>
          <w:kern w:val="0"/>
          <w:szCs w:val="21"/>
          <w:highlight w:val="none"/>
          <w:lang w:val="zh-CN"/>
        </w:rPr>
      </w:pPr>
      <w:r>
        <w:rPr>
          <w:b/>
          <w:bCs/>
          <w:snapToGrid w:val="0"/>
          <w:kern w:val="0"/>
          <w:szCs w:val="21"/>
          <w:highlight w:val="none"/>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pPr>
        <w:pStyle w:val="4"/>
        <w:spacing w:after="0"/>
        <w:jc w:val="left"/>
        <w:rPr>
          <w:snapToGrid w:val="0"/>
          <w:kern w:val="0"/>
          <w:highlight w:val="none"/>
        </w:rPr>
      </w:pPr>
      <w:bookmarkStart w:id="97" w:name="_Toc514665135"/>
      <w:bookmarkStart w:id="98" w:name="_Toc514664852"/>
      <w:bookmarkStart w:id="99" w:name="_Toc518481724"/>
      <w:bookmarkStart w:id="100" w:name="_Toc514681755"/>
      <w:bookmarkStart w:id="101" w:name="_Toc514663850"/>
      <w:bookmarkStart w:id="102" w:name="_Toc514666965"/>
      <w:bookmarkStart w:id="103" w:name="_Toc520902748"/>
      <w:bookmarkStart w:id="104" w:name="_Toc519502242"/>
      <w:bookmarkStart w:id="105" w:name="_Toc520902597"/>
      <w:bookmarkStart w:id="106" w:name="_Toc520358046"/>
      <w:bookmarkStart w:id="107" w:name="_Toc517954565"/>
      <w:bookmarkStart w:id="108" w:name="_Toc520901452"/>
      <w:bookmarkStart w:id="109" w:name="_Toc520358222"/>
      <w:bookmarkStart w:id="110" w:name="_Toc514665274"/>
      <w:bookmarkStart w:id="111" w:name="_Toc132813109"/>
      <w:bookmarkStart w:id="112" w:name="_Toc516495968"/>
      <w:bookmarkStart w:id="113" w:name="_Toc520902819"/>
      <w:bookmarkStart w:id="114" w:name="_Toc519503072"/>
      <w:bookmarkStart w:id="115" w:name="_Toc514681174"/>
      <w:bookmarkStart w:id="116" w:name="_Toc517774552"/>
      <w:r>
        <w:rPr>
          <w:rFonts w:hint="eastAsia"/>
          <w:snapToGrid w:val="0"/>
          <w:kern w:val="0"/>
          <w:highlight w:val="none"/>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（1）职业健康安全管理目标：</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1）杜绝发生一般事故等级及以上的伤亡事故且工伤责任事故死亡人数为零。</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2）确保</w:t>
      </w:r>
    </w:p>
    <w:p>
      <w:pPr>
        <w:pStyle w:val="136"/>
        <w:ind w:firstLine="480"/>
        <w:rPr>
          <w:bCs/>
          <w:spacing w:val="0"/>
          <w:sz w:val="21"/>
          <w:szCs w:val="21"/>
          <w:highlight w:val="none"/>
        </w:rPr>
      </w:pPr>
      <w:r>
        <w:rPr>
          <w:szCs w:val="21"/>
          <w:highlight w:val="none"/>
        </w:rPr>
        <w:sym w:font="Wingdings 2" w:char="00A3"/>
      </w:r>
      <w:r>
        <w:rPr>
          <w:szCs w:val="21"/>
          <w:highlight w:val="none"/>
        </w:rPr>
        <w:t xml:space="preserve"> </w:t>
      </w:r>
      <w:r>
        <w:rPr>
          <w:bCs/>
          <w:spacing w:val="0"/>
          <w:sz w:val="21"/>
          <w:szCs w:val="21"/>
          <w:highlight w:val="none"/>
        </w:rPr>
        <w:t>达到广州市安全文明样板工地标准。</w:t>
      </w:r>
    </w:p>
    <w:p>
      <w:pPr>
        <w:pStyle w:val="136"/>
        <w:ind w:firstLine="480"/>
        <w:rPr>
          <w:b/>
          <w:sz w:val="21"/>
          <w:szCs w:val="21"/>
          <w:highlight w:val="none"/>
        </w:rPr>
      </w:pPr>
      <w:r>
        <w:rPr>
          <w:szCs w:val="21"/>
          <w:highlight w:val="none"/>
        </w:rPr>
        <w:sym w:font="Wingdings 2" w:char="00A3"/>
      </w:r>
      <w:r>
        <w:rPr>
          <w:szCs w:val="21"/>
          <w:highlight w:val="none"/>
        </w:rPr>
        <w:t xml:space="preserve"> </w:t>
      </w:r>
      <w:r>
        <w:rPr>
          <w:bCs/>
          <w:sz w:val="21"/>
          <w:szCs w:val="21"/>
          <w:highlight w:val="none"/>
        </w:rPr>
        <w:t>广东省安全文明样板工地。</w:t>
      </w:r>
    </w:p>
    <w:p>
      <w:pPr>
        <w:adjustRightInd w:val="0"/>
        <w:snapToGrid w:val="0"/>
        <w:spacing w:line="360" w:lineRule="auto"/>
        <w:ind w:right="11" w:firstLine="480" w:firstLineChars="200"/>
        <w:rPr>
          <w:bCs/>
          <w:snapToGrid w:val="0"/>
          <w:kern w:val="0"/>
          <w:szCs w:val="21"/>
          <w:highlight w:val="none"/>
        </w:rPr>
      </w:pPr>
      <w:r>
        <w:rPr>
          <w:snapToGrid w:val="0"/>
          <w:sz w:val="24"/>
          <w:highlight w:val="none"/>
        </w:rPr>
        <w:sym w:font="Wingdings 2" w:char="00A3"/>
      </w:r>
      <w:r>
        <w:rPr>
          <w:snapToGrid w:val="0"/>
          <w:szCs w:val="21"/>
          <w:highlight w:val="none"/>
        </w:rPr>
        <w:t xml:space="preserve"> </w:t>
      </w:r>
      <w:r>
        <w:rPr>
          <w:bCs/>
          <w:snapToGrid w:val="0"/>
          <w:kern w:val="0"/>
          <w:szCs w:val="21"/>
          <w:highlight w:val="none"/>
        </w:rPr>
        <w:t>其他：</w:t>
      </w:r>
      <w:r>
        <w:rPr>
          <w:rFonts w:hint="eastAsia"/>
          <w:bCs/>
          <w:snapToGrid w:val="0"/>
          <w:kern w:val="0"/>
          <w:szCs w:val="21"/>
          <w:highlight w:val="none"/>
          <w:u w:val="single"/>
        </w:rPr>
        <w:t xml:space="preserve"> </w:t>
      </w:r>
      <w:r>
        <w:rPr>
          <w:bCs/>
          <w:snapToGrid w:val="0"/>
          <w:kern w:val="0"/>
          <w:szCs w:val="21"/>
          <w:highlight w:val="none"/>
          <w:u w:val="single"/>
        </w:rPr>
        <w:t xml:space="preserve">                          。</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（2）环境管理目标：</w:t>
      </w:r>
    </w:p>
    <w:p>
      <w:pPr>
        <w:adjustRightInd w:val="0"/>
        <w:snapToGrid w:val="0"/>
        <w:spacing w:line="360" w:lineRule="auto"/>
        <w:ind w:right="11" w:firstLine="420" w:firstLineChars="200"/>
        <w:rPr>
          <w:bCs/>
          <w:snapToGrid w:val="0"/>
          <w:kern w:val="0"/>
          <w:szCs w:val="21"/>
          <w:highlight w:val="none"/>
        </w:rPr>
      </w:pPr>
      <w:r>
        <w:rPr>
          <w:snapToGrid w:val="0"/>
          <w:kern w:val="0"/>
          <w:szCs w:val="21"/>
          <w:highlight w:val="none"/>
        </w:rPr>
        <w:t>严格执行</w:t>
      </w:r>
      <w:r>
        <w:rPr>
          <w:bCs/>
          <w:snapToGrid w:val="0"/>
          <w:kern w:val="0"/>
          <w:szCs w:val="21"/>
          <w:highlight w:val="none"/>
        </w:rPr>
        <w:t>《广州市建设工程现场文明施工管理办法》（穗建质〔2008〕937号）、《关于进一步规范建设工程施工现场围蔽的通知》（穗建质〔2008〕1008号）。</w:t>
      </w:r>
    </w:p>
    <w:p>
      <w:pPr>
        <w:pStyle w:val="4"/>
        <w:spacing w:after="0"/>
        <w:rPr>
          <w:snapToGrid w:val="0"/>
          <w:kern w:val="0"/>
          <w:highlight w:val="none"/>
        </w:rPr>
      </w:pPr>
      <w:bookmarkStart w:id="117" w:name="_Toc132813110"/>
      <w:bookmarkStart w:id="118" w:name="_Toc518481725"/>
      <w:bookmarkStart w:id="119" w:name="_Toc514666966"/>
      <w:bookmarkStart w:id="120" w:name="_Toc520358047"/>
      <w:bookmarkStart w:id="121" w:name="_Toc517774553"/>
      <w:bookmarkStart w:id="122" w:name="_Toc520902598"/>
      <w:bookmarkStart w:id="123" w:name="_Toc520902749"/>
      <w:bookmarkStart w:id="124" w:name="_Toc514664853"/>
      <w:bookmarkStart w:id="125" w:name="_Toc520902820"/>
      <w:bookmarkStart w:id="126" w:name="_Toc520358223"/>
      <w:bookmarkStart w:id="127" w:name="_Toc519503073"/>
      <w:bookmarkStart w:id="128" w:name="_Toc520901453"/>
      <w:bookmarkStart w:id="129" w:name="_Toc514665275"/>
      <w:bookmarkStart w:id="130" w:name="_Toc516495969"/>
      <w:bookmarkStart w:id="131" w:name="_Toc519502243"/>
      <w:bookmarkStart w:id="132" w:name="_Toc514681175"/>
      <w:bookmarkStart w:id="133" w:name="_Toc517954566"/>
      <w:bookmarkStart w:id="134" w:name="_Toc514663851"/>
      <w:bookmarkStart w:id="135" w:name="_Toc514681756"/>
      <w:bookmarkStart w:id="136" w:name="_Toc514665136"/>
      <w:r>
        <w:rPr>
          <w:rFonts w:hint="eastAsia"/>
          <w:snapToGrid w:val="0"/>
          <w:kern w:val="0"/>
          <w:highlight w:val="none"/>
        </w:rPr>
        <w:t>六、合同价款</w:t>
      </w:r>
      <w:bookmarkEnd w:id="117"/>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6.1本合同以人民币为报价和结算货币，除非发包人、承包人双方另有约定。</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6.2</w:t>
      </w:r>
      <w:r>
        <w:rPr>
          <w:b/>
          <w:bCs/>
          <w:snapToGrid w:val="0"/>
          <w:kern w:val="0"/>
          <w:szCs w:val="21"/>
          <w:highlight w:val="none"/>
        </w:rPr>
        <w:t>施工</w:t>
      </w:r>
      <w:r>
        <w:rPr>
          <w:rFonts w:hint="eastAsia"/>
          <w:b/>
          <w:bCs/>
          <w:snapToGrid w:val="0"/>
          <w:kern w:val="0"/>
          <w:szCs w:val="21"/>
          <w:highlight w:val="none"/>
        </w:rPr>
        <w:t>总承包合同</w:t>
      </w:r>
      <w:r>
        <w:rPr>
          <w:b/>
          <w:bCs/>
          <w:snapToGrid w:val="0"/>
          <w:kern w:val="0"/>
          <w:szCs w:val="21"/>
          <w:highlight w:val="none"/>
        </w:rPr>
        <w:t>暂定</w:t>
      </w:r>
      <w:r>
        <w:rPr>
          <w:rFonts w:hint="eastAsia"/>
          <w:b/>
          <w:bCs/>
          <w:snapToGrid w:val="0"/>
          <w:kern w:val="0"/>
          <w:szCs w:val="21"/>
          <w:highlight w:val="none"/>
        </w:rPr>
        <w:t>价</w:t>
      </w:r>
      <w:r>
        <w:rPr>
          <w:b/>
          <w:bCs/>
          <w:snapToGrid w:val="0"/>
          <w:kern w:val="0"/>
          <w:szCs w:val="21"/>
          <w:highlight w:val="none"/>
        </w:rPr>
        <w:t>为</w:t>
      </w:r>
      <w:r>
        <w:rPr>
          <w:rFonts w:hint="eastAsia"/>
          <w:b/>
          <w:bCs/>
          <w:snapToGrid w:val="0"/>
          <w:kern w:val="0"/>
          <w:szCs w:val="21"/>
          <w:highlight w:val="none"/>
        </w:rPr>
        <w:t>￥</w:t>
      </w:r>
      <w:r>
        <w:rPr>
          <w:b/>
          <w:bCs/>
          <w:snapToGrid w:val="0"/>
          <w:kern w:val="0"/>
          <w:szCs w:val="21"/>
          <w:highlight w:val="none"/>
          <w:u w:val="single"/>
        </w:rPr>
        <w:t xml:space="preserve">          </w:t>
      </w:r>
      <w:r>
        <w:rPr>
          <w:b/>
          <w:bCs/>
          <w:snapToGrid w:val="0"/>
          <w:kern w:val="0"/>
          <w:szCs w:val="21"/>
          <w:highlight w:val="none"/>
        </w:rPr>
        <w:t>元，</w:t>
      </w:r>
      <w:r>
        <w:rPr>
          <w:rFonts w:hint="eastAsia"/>
          <w:b/>
          <w:snapToGrid w:val="0"/>
          <w:kern w:val="0"/>
          <w:szCs w:val="21"/>
          <w:highlight w:val="none"/>
        </w:rPr>
        <w:t>其中：</w:t>
      </w:r>
      <w:r>
        <w:rPr>
          <w:rFonts w:hint="eastAsia"/>
          <w:b/>
          <w:bCs/>
          <w:snapToGrid w:val="0"/>
          <w:kern w:val="0"/>
          <w:szCs w:val="21"/>
          <w:highlight w:val="none"/>
        </w:rPr>
        <w:t>不含税价为￥</w:t>
      </w:r>
      <w:r>
        <w:rPr>
          <w:b/>
          <w:bCs/>
          <w:snapToGrid w:val="0"/>
          <w:kern w:val="0"/>
          <w:szCs w:val="21"/>
          <w:highlight w:val="none"/>
          <w:u w:val="single"/>
        </w:rPr>
        <w:t xml:space="preserve">          </w:t>
      </w:r>
      <w:r>
        <w:rPr>
          <w:b/>
          <w:bCs/>
          <w:snapToGrid w:val="0"/>
          <w:kern w:val="0"/>
          <w:szCs w:val="21"/>
          <w:highlight w:val="none"/>
        </w:rPr>
        <w:t>元</w:t>
      </w:r>
      <w:r>
        <w:rPr>
          <w:rFonts w:hint="eastAsia"/>
          <w:b/>
          <w:bCs/>
          <w:snapToGrid w:val="0"/>
          <w:kern w:val="0"/>
          <w:szCs w:val="21"/>
          <w:highlight w:val="none"/>
        </w:rPr>
        <w:t>，</w:t>
      </w:r>
      <w:r>
        <w:rPr>
          <w:rFonts w:hint="eastAsia"/>
          <w:b/>
          <w:snapToGrid w:val="0"/>
          <w:kern w:val="0"/>
          <w:szCs w:val="21"/>
          <w:highlight w:val="none"/>
        </w:rPr>
        <w:t>暂列金为￥</w:t>
      </w:r>
      <w:r>
        <w:rPr>
          <w:b/>
          <w:snapToGrid w:val="0"/>
          <w:kern w:val="0"/>
          <w:szCs w:val="21"/>
          <w:highlight w:val="none"/>
          <w:u w:val="single"/>
        </w:rPr>
        <w:t xml:space="preserve">       </w:t>
      </w:r>
      <w:r>
        <w:rPr>
          <w:rFonts w:hint="eastAsia"/>
          <w:b/>
          <w:snapToGrid w:val="0"/>
          <w:kern w:val="0"/>
          <w:szCs w:val="21"/>
          <w:highlight w:val="none"/>
        </w:rPr>
        <w:t>元，中标下浮率为</w:t>
      </w:r>
      <w:r>
        <w:rPr>
          <w:b/>
          <w:snapToGrid w:val="0"/>
          <w:kern w:val="0"/>
          <w:szCs w:val="21"/>
          <w:highlight w:val="none"/>
          <w:u w:val="single"/>
        </w:rPr>
        <w:t xml:space="preserve">    </w:t>
      </w:r>
      <w:r>
        <w:rPr>
          <w:b/>
          <w:snapToGrid w:val="0"/>
          <w:kern w:val="0"/>
          <w:szCs w:val="21"/>
          <w:highlight w:val="none"/>
        </w:rPr>
        <w:t>%</w:t>
      </w:r>
      <w:r>
        <w:rPr>
          <w:rFonts w:hint="eastAsia"/>
          <w:b/>
          <w:snapToGrid w:val="0"/>
          <w:kern w:val="0"/>
          <w:szCs w:val="21"/>
          <w:highlight w:val="none"/>
        </w:rPr>
        <w:t>，</w:t>
      </w:r>
      <w:r>
        <w:rPr>
          <w:rFonts w:hint="eastAsia"/>
          <w:bCs/>
          <w:snapToGrid w:val="0"/>
          <w:kern w:val="0"/>
          <w:szCs w:val="21"/>
          <w:highlight w:val="none"/>
        </w:rPr>
        <w:t>本项目增值税暂按《住房和城乡建设部办公厅关于重新调整建设工程计价依据增值税率的通知(建办标函</w:t>
      </w:r>
      <w:r>
        <w:rPr>
          <w:bCs/>
          <w:snapToGrid w:val="0"/>
          <w:kern w:val="0"/>
          <w:szCs w:val="21"/>
          <w:highlight w:val="none"/>
        </w:rPr>
        <w:t>〔20</w:t>
      </w:r>
      <w:r>
        <w:rPr>
          <w:rFonts w:hint="eastAsia"/>
          <w:bCs/>
          <w:snapToGrid w:val="0"/>
          <w:kern w:val="0"/>
          <w:szCs w:val="21"/>
          <w:highlight w:val="none"/>
        </w:rPr>
        <w:t>19</w:t>
      </w:r>
      <w:r>
        <w:rPr>
          <w:bCs/>
          <w:snapToGrid w:val="0"/>
          <w:kern w:val="0"/>
          <w:szCs w:val="21"/>
          <w:highlight w:val="none"/>
        </w:rPr>
        <w:t>〕193</w:t>
      </w:r>
      <w:r>
        <w:rPr>
          <w:rFonts w:hint="eastAsia"/>
          <w:bCs/>
          <w:snapToGrid w:val="0"/>
          <w:kern w:val="0"/>
          <w:szCs w:val="21"/>
          <w:highlight w:val="none"/>
        </w:rPr>
        <w:t>号文）》，《广东省住房和城乡建设厅关于调整广东省建设工程计价依据增值税税率的通知》为（粤建标函</w:t>
      </w:r>
      <w:r>
        <w:rPr>
          <w:bCs/>
          <w:snapToGrid w:val="0"/>
          <w:kern w:val="0"/>
          <w:szCs w:val="21"/>
          <w:highlight w:val="none"/>
        </w:rPr>
        <w:t>〔20</w:t>
      </w:r>
      <w:r>
        <w:rPr>
          <w:rFonts w:hint="eastAsia"/>
          <w:bCs/>
          <w:snapToGrid w:val="0"/>
          <w:kern w:val="0"/>
          <w:szCs w:val="21"/>
          <w:highlight w:val="none"/>
        </w:rPr>
        <w:t>19</w:t>
      </w:r>
      <w:r>
        <w:rPr>
          <w:bCs/>
          <w:snapToGrid w:val="0"/>
          <w:kern w:val="0"/>
          <w:szCs w:val="21"/>
          <w:highlight w:val="none"/>
        </w:rPr>
        <w:t>〕</w:t>
      </w:r>
      <w:r>
        <w:rPr>
          <w:rFonts w:hint="eastAsia"/>
          <w:bCs/>
          <w:snapToGrid w:val="0"/>
          <w:kern w:val="0"/>
          <w:szCs w:val="21"/>
          <w:highlight w:val="none"/>
        </w:rPr>
        <w:t>819 号）增值税税率 9%计取规定，采用一般计税方法计算，如遇国家税务政第法规变化，合同不含税价款部分保持不变，税款部分按相关规定进行调整。</w:t>
      </w:r>
    </w:p>
    <w:p>
      <w:pPr>
        <w:adjustRightInd w:val="0"/>
        <w:snapToGrid w:val="0"/>
        <w:spacing w:line="360" w:lineRule="auto"/>
        <w:ind w:right="11" w:firstLine="420" w:firstLineChars="200"/>
        <w:rPr>
          <w:bCs/>
          <w:snapToGrid w:val="0"/>
          <w:kern w:val="0"/>
          <w:szCs w:val="21"/>
          <w:highlight w:val="none"/>
        </w:rPr>
      </w:pPr>
      <w:r>
        <w:rPr>
          <w:rFonts w:hint="eastAsia"/>
          <w:bCs/>
          <w:snapToGrid w:val="0"/>
          <w:kern w:val="0"/>
          <w:szCs w:val="21"/>
          <w:highlight w:val="none"/>
        </w:rPr>
        <w:t>（上述暂列金为暂定价，最终按施工图预算建安工程费中分部分项的</w:t>
      </w:r>
      <w:r>
        <w:rPr>
          <w:rFonts w:hint="eastAsia"/>
          <w:bCs/>
          <w:snapToGrid w:val="0"/>
          <w:kern w:val="0"/>
          <w:szCs w:val="21"/>
          <w:highlight w:val="none"/>
          <w:u w:val="single"/>
        </w:rPr>
        <w:t>10</w:t>
      </w:r>
      <w:r>
        <w:rPr>
          <w:bCs/>
          <w:snapToGrid w:val="0"/>
          <w:kern w:val="0"/>
          <w:szCs w:val="21"/>
          <w:highlight w:val="none"/>
        </w:rPr>
        <w:t>%</w:t>
      </w:r>
      <w:r>
        <w:rPr>
          <w:rFonts w:hint="eastAsia"/>
          <w:bCs/>
          <w:snapToGrid w:val="0"/>
          <w:kern w:val="0"/>
          <w:szCs w:val="21"/>
          <w:highlight w:val="none"/>
        </w:rPr>
        <w:t>设定施工总承包合同暂列金）。</w:t>
      </w:r>
    </w:p>
    <w:p>
      <w:pPr>
        <w:adjustRightInd w:val="0"/>
        <w:snapToGrid w:val="0"/>
        <w:spacing w:line="360" w:lineRule="auto"/>
        <w:ind w:right="11" w:firstLine="420" w:firstLineChars="200"/>
        <w:rPr>
          <w:bCs/>
          <w:snapToGrid w:val="0"/>
          <w:kern w:val="0"/>
          <w:szCs w:val="21"/>
          <w:highlight w:val="none"/>
        </w:rPr>
      </w:pPr>
      <w:r>
        <w:rPr>
          <w:rFonts w:hint="eastAsia"/>
          <w:bCs/>
          <w:snapToGrid w:val="0"/>
          <w:kern w:val="0"/>
          <w:szCs w:val="21"/>
          <w:highlight w:val="none"/>
        </w:rPr>
        <w:t>注：合同价款（即承包人的投标中标价格）仅作为签约合同价。甲方委托的审核单位审定本项目工程预算后，双方可在预算审定后</w:t>
      </w:r>
      <w:r>
        <w:rPr>
          <w:bCs/>
          <w:snapToGrid w:val="0"/>
          <w:kern w:val="0"/>
          <w:szCs w:val="21"/>
          <w:highlight w:val="none"/>
        </w:rPr>
        <w:t>15</w:t>
      </w:r>
      <w:r>
        <w:rPr>
          <w:rFonts w:hint="eastAsia"/>
          <w:bCs/>
          <w:snapToGrid w:val="0"/>
          <w:kern w:val="0"/>
          <w:szCs w:val="21"/>
          <w:highlight w:val="none"/>
        </w:rPr>
        <w:t>天内根据合同约定结合中标下浮率调整合同价并签订补充协议（补充协议确定的金额为调整合同价），以此作为后续工程进度款拨付的依据。</w:t>
      </w:r>
    </w:p>
    <w:p>
      <w:pPr>
        <w:adjustRightInd w:val="0"/>
        <w:snapToGrid w:val="0"/>
        <w:spacing w:line="360" w:lineRule="auto"/>
        <w:ind w:right="11" w:firstLine="420" w:firstLineChars="200"/>
        <w:rPr>
          <w:bCs/>
          <w:snapToGrid w:val="0"/>
          <w:kern w:val="0"/>
          <w:szCs w:val="21"/>
          <w:highlight w:val="none"/>
        </w:rPr>
      </w:pP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pStyle w:val="4"/>
        <w:spacing w:after="0"/>
        <w:jc w:val="left"/>
        <w:rPr>
          <w:snapToGrid w:val="0"/>
          <w:kern w:val="0"/>
          <w:highlight w:val="none"/>
        </w:rPr>
      </w:pPr>
      <w:bookmarkStart w:id="137" w:name="_Toc132813111"/>
      <w:bookmarkStart w:id="138" w:name="_Toc516495970"/>
      <w:bookmarkStart w:id="139" w:name="_Toc520358224"/>
      <w:bookmarkStart w:id="140" w:name="_Toc514665276"/>
      <w:bookmarkStart w:id="141" w:name="_Toc514681757"/>
      <w:bookmarkStart w:id="142" w:name="_Toc518481726"/>
      <w:bookmarkStart w:id="143" w:name="_Toc520902599"/>
      <w:bookmarkStart w:id="144" w:name="_Toc514681176"/>
      <w:bookmarkStart w:id="145" w:name="_Toc514665137"/>
      <w:bookmarkStart w:id="146" w:name="_Toc520902821"/>
      <w:bookmarkStart w:id="147" w:name="_Toc514666967"/>
      <w:bookmarkStart w:id="148" w:name="_Toc514664854"/>
      <w:bookmarkStart w:id="149" w:name="_Toc519503074"/>
      <w:bookmarkStart w:id="150" w:name="_Toc514663852"/>
      <w:bookmarkStart w:id="151" w:name="_Toc520358048"/>
      <w:bookmarkStart w:id="152" w:name="_Toc520901454"/>
      <w:bookmarkStart w:id="153" w:name="_Toc517954567"/>
      <w:bookmarkStart w:id="154" w:name="_Toc517774554"/>
      <w:bookmarkStart w:id="155" w:name="_Toc520902750"/>
      <w:bookmarkStart w:id="156" w:name="_Toc519502244"/>
      <w:r>
        <w:rPr>
          <w:rFonts w:hint="eastAsia"/>
          <w:snapToGrid w:val="0"/>
          <w:kern w:val="0"/>
          <w:highlight w:val="none"/>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下列文件应被认为是组成本合同的一部分，并互为补充和解释，如各文件存在冲突之处，以如下排列次序在前者优先适用：</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（1）相关政府主管部门关于本工程的有关文件；</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（2）本合同履行期间发包人与承包人双方签订的补充合同（协议）或修正文件；</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（3）合同协议书；</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（4）中标通知书；</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（5）合同专用条款；</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（6）发包人针对本工程管理的各项制度、规定；</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（7）合同附件[属本条第（1）项和第（6）项内容的除外]；</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（8）合同通用条款；</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（9）招标文件[含招标文件补充文件、澄清文件、答疑文件、招标图等，属本条第（7）项内容的除外]；</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（10）承包人投标文件及其附件[含投标文件澄清等，属本条第（7）项内容的除外]；</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（11）国家及广东省、广州市的标准、规范及有关技术文件；</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（12）组成合同的其他文件。</w:t>
      </w:r>
    </w:p>
    <w:p>
      <w:pPr>
        <w:adjustRightInd w:val="0"/>
        <w:snapToGrid w:val="0"/>
        <w:spacing w:line="360" w:lineRule="auto"/>
        <w:ind w:firstLine="420" w:firstLineChars="200"/>
        <w:rPr>
          <w:bCs/>
          <w:snapToGrid w:val="0"/>
          <w:kern w:val="0"/>
          <w:szCs w:val="21"/>
          <w:highlight w:val="none"/>
        </w:rPr>
      </w:pPr>
      <w:r>
        <w:rPr>
          <w:snapToGrid w:val="0"/>
          <w:kern w:val="0"/>
          <w:szCs w:val="21"/>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bCs/>
          <w:snapToGrid w:val="0"/>
          <w:kern w:val="0"/>
          <w:szCs w:val="21"/>
          <w:highlight w:val="none"/>
        </w:rPr>
        <w:t>承包人</w:t>
      </w:r>
      <w:r>
        <w:rPr>
          <w:snapToGrid w:val="0"/>
          <w:kern w:val="0"/>
          <w:szCs w:val="21"/>
          <w:highlight w:val="none"/>
        </w:rPr>
        <w:t>还不服的，可按</w:t>
      </w:r>
      <w:r>
        <w:rPr>
          <w:bCs/>
          <w:snapToGrid w:val="0"/>
          <w:kern w:val="0"/>
          <w:szCs w:val="21"/>
          <w:highlight w:val="none"/>
        </w:rPr>
        <w:t>合同专用条款第40条的约定处理，但在有关部门没有作出正式裁决之前，承包人必须无条件先行执行发包人的决定。</w:t>
      </w:r>
    </w:p>
    <w:p>
      <w:pPr>
        <w:pStyle w:val="4"/>
        <w:spacing w:after="0"/>
        <w:jc w:val="left"/>
        <w:rPr>
          <w:snapToGrid w:val="0"/>
          <w:kern w:val="0"/>
          <w:highlight w:val="none"/>
        </w:rPr>
      </w:pPr>
      <w:bookmarkStart w:id="157" w:name="_Toc520901455"/>
      <w:bookmarkStart w:id="158" w:name="_Toc514666968"/>
      <w:bookmarkStart w:id="159" w:name="_Toc514665277"/>
      <w:bookmarkStart w:id="160" w:name="_Toc514663853"/>
      <w:bookmarkStart w:id="161" w:name="_Toc519502245"/>
      <w:bookmarkStart w:id="162" w:name="_Toc514665138"/>
      <w:bookmarkStart w:id="163" w:name="_Toc514664855"/>
      <w:bookmarkStart w:id="164" w:name="_Toc520358049"/>
      <w:bookmarkStart w:id="165" w:name="_Toc520902822"/>
      <w:bookmarkStart w:id="166" w:name="_Toc514681758"/>
      <w:bookmarkStart w:id="167" w:name="_Toc520358225"/>
      <w:bookmarkStart w:id="168" w:name="_Toc520902600"/>
      <w:bookmarkStart w:id="169" w:name="_Toc517774555"/>
      <w:bookmarkStart w:id="170" w:name="_Toc516495971"/>
      <w:bookmarkStart w:id="171" w:name="_Toc132813112"/>
      <w:bookmarkStart w:id="172" w:name="_Toc518481727"/>
      <w:bookmarkStart w:id="173" w:name="_Toc519503075"/>
      <w:bookmarkStart w:id="174" w:name="_Toc517954568"/>
      <w:bookmarkStart w:id="175" w:name="_Toc520902751"/>
      <w:bookmarkStart w:id="176" w:name="_Toc514681177"/>
      <w:r>
        <w:rPr>
          <w:rFonts w:hint="eastAsia"/>
          <w:snapToGrid w:val="0"/>
          <w:kern w:val="0"/>
          <w:highlight w:val="none"/>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8.1承包人应在收到中标通知书之日起5日内以书面形式向发包人提交其法定代表人、本工程指挥长、项目经理（项目负责人）的姓名、身份证复印件、职务、职称、联系方式（包括办公电话、手机、传真号码）、通信地址等信息。</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8.2在本合同有效期内，承包人的单位名称变更的，应及时以书面形式通知发包人并附上变更登记资料；法定代表人变更的，应在变更后15日内向发包人以书面形式提交新法定代表人的姓名、身份证复印件、职务、职称、联系电话、通信地址等信息。</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8.3在本合同有效期内，承包人更换本工程指挥长、项目经理（项目负责人）的，除按合同专用条款的有关约定承担违约责任外，还应在更换后7日内将新指挥长、新项目经理（项目负责人）的姓名、身份证复印件、职务、职称、联系电话、通信地址等信息以书面形式提交给发包人。</w:t>
      </w:r>
    </w:p>
    <w:p>
      <w:pPr>
        <w:adjustRightInd w:val="0"/>
        <w:snapToGrid w:val="0"/>
        <w:spacing w:line="360" w:lineRule="auto"/>
        <w:ind w:right="11" w:firstLine="420" w:firstLineChars="200"/>
        <w:rPr>
          <w:b/>
          <w:bCs/>
          <w:snapToGrid w:val="0"/>
          <w:kern w:val="0"/>
          <w:szCs w:val="21"/>
          <w:highlight w:val="none"/>
        </w:rPr>
      </w:pPr>
      <w:r>
        <w:rPr>
          <w:bCs/>
          <w:snapToGrid w:val="0"/>
          <w:kern w:val="0"/>
          <w:szCs w:val="21"/>
          <w:highlight w:val="none"/>
        </w:rPr>
        <w:t>8.4承包人应投入足够的人员并配备足够的设备，确保及时准确地与发包人进行信息沟通及管理。</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8.5合同协议书中有关词语含义与合同通用条款、合同专用条款中分别赋予它们的定义相同。</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8.6承包人向发包人承诺按照合同约定进行采购、施工、竣工验收、移交、结算、管理及配合服务，并在质量保修期内承担工程质量保修责任。</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8.7发包人向承包人承诺按照合同约定的期限和方式支付合同价款及按合同约定应支付的其他款项。</w:t>
      </w:r>
    </w:p>
    <w:p>
      <w:pPr>
        <w:pStyle w:val="4"/>
        <w:spacing w:after="0"/>
        <w:jc w:val="left"/>
        <w:rPr>
          <w:snapToGrid w:val="0"/>
          <w:kern w:val="0"/>
          <w:highlight w:val="none"/>
        </w:rPr>
      </w:pPr>
      <w:bookmarkStart w:id="177" w:name="_Toc520358226"/>
      <w:bookmarkStart w:id="178" w:name="_Toc514665278"/>
      <w:bookmarkStart w:id="179" w:name="_Toc514666969"/>
      <w:bookmarkStart w:id="180" w:name="_Toc520358050"/>
      <w:bookmarkStart w:id="181" w:name="_Toc520902601"/>
      <w:bookmarkStart w:id="182" w:name="_Toc519503076"/>
      <w:bookmarkStart w:id="183" w:name="_Toc514664856"/>
      <w:bookmarkStart w:id="184" w:name="_Toc520902752"/>
      <w:bookmarkStart w:id="185" w:name="_Toc518481728"/>
      <w:bookmarkStart w:id="186" w:name="_Toc514681759"/>
      <w:bookmarkStart w:id="187" w:name="_Toc517774556"/>
      <w:bookmarkStart w:id="188" w:name="_Toc132813113"/>
      <w:bookmarkStart w:id="189" w:name="_Toc517954569"/>
      <w:bookmarkStart w:id="190" w:name="_Toc514681178"/>
      <w:bookmarkStart w:id="191" w:name="_Toc520902823"/>
      <w:bookmarkStart w:id="192" w:name="_Toc514665139"/>
      <w:bookmarkStart w:id="193" w:name="_Toc519502246"/>
      <w:bookmarkStart w:id="194" w:name="_Toc516495972"/>
      <w:bookmarkStart w:id="195" w:name="_Toc514663854"/>
      <w:bookmarkStart w:id="196" w:name="_Toc520901456"/>
      <w:r>
        <w:rPr>
          <w:rFonts w:hint="eastAsia"/>
          <w:snapToGrid w:val="0"/>
          <w:kern w:val="0"/>
          <w:highlight w:val="none"/>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合同订立地点：</w:t>
      </w:r>
      <w:r>
        <w:rPr>
          <w:b/>
          <w:snapToGrid w:val="0"/>
          <w:kern w:val="0"/>
          <w:szCs w:val="21"/>
          <w:highlight w:val="none"/>
          <w:u w:val="single"/>
        </w:rPr>
        <w:t>广州市花都区</w:t>
      </w:r>
      <w:r>
        <w:rPr>
          <w:bCs/>
          <w:snapToGrid w:val="0"/>
          <w:kern w:val="0"/>
          <w:szCs w:val="21"/>
          <w:highlight w:val="none"/>
        </w:rPr>
        <w:t>。</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本合同自发包人、承包人法定代表人或签约代表人签字并加盖公章且</w:t>
      </w:r>
      <w:r>
        <w:rPr>
          <w:rFonts w:hint="eastAsia"/>
          <w:bCs/>
          <w:snapToGrid w:val="0"/>
          <w:kern w:val="0"/>
          <w:szCs w:val="21"/>
          <w:highlight w:val="none"/>
        </w:rPr>
        <w:t>发包人</w:t>
      </w:r>
      <w:r>
        <w:rPr>
          <w:bCs/>
          <w:snapToGrid w:val="0"/>
          <w:kern w:val="0"/>
          <w:szCs w:val="21"/>
          <w:highlight w:val="none"/>
        </w:rPr>
        <w:t>收到</w:t>
      </w:r>
      <w:r>
        <w:rPr>
          <w:rFonts w:hint="eastAsia"/>
          <w:bCs/>
          <w:snapToGrid w:val="0"/>
          <w:kern w:val="0"/>
          <w:szCs w:val="21"/>
          <w:highlight w:val="none"/>
        </w:rPr>
        <w:t>承包人按招标文件要求</w:t>
      </w:r>
      <w:r>
        <w:rPr>
          <w:bCs/>
          <w:snapToGrid w:val="0"/>
          <w:kern w:val="0"/>
          <w:szCs w:val="21"/>
          <w:highlight w:val="none"/>
        </w:rPr>
        <w:t>提交足额的履约担保之日起生效，委托签约代表人签字的需经法定代表人书面同意。本合同有效期至本工程质量保修期满且竣工结算满60日及双方的责任、义务履行完毕时终止。</w:t>
      </w:r>
    </w:p>
    <w:p>
      <w:pPr>
        <w:adjustRightInd w:val="0"/>
        <w:snapToGrid w:val="0"/>
        <w:spacing w:line="276" w:lineRule="auto"/>
        <w:ind w:right="11"/>
        <w:rPr>
          <w:bCs/>
          <w:snapToGrid w:val="0"/>
          <w:kern w:val="0"/>
          <w:szCs w:val="21"/>
          <w:highlight w:val="none"/>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highlight w:val="none"/>
                <w:lang w:val="zh-CN"/>
              </w:rPr>
            </w:pPr>
            <w:r>
              <w:rPr>
                <w:rFonts w:hAnsi="宋体"/>
                <w:bCs/>
                <w:sz w:val="24"/>
                <w:szCs w:val="21"/>
                <w:highlight w:val="none"/>
              </w:rPr>
              <w:t>甲方</w:t>
            </w:r>
            <w:r>
              <w:rPr>
                <w:rFonts w:hint="eastAsia" w:hAnsi="宋体"/>
                <w:bCs/>
                <w:sz w:val="24"/>
                <w:szCs w:val="21"/>
                <w:highlight w:val="none"/>
              </w:rPr>
              <w:t>（发包人）</w:t>
            </w:r>
            <w:r>
              <w:rPr>
                <w:rFonts w:hAnsi="宋体"/>
                <w:bCs/>
                <w:snapToGrid w:val="0"/>
                <w:sz w:val="24"/>
                <w:highlight w:val="none"/>
              </w:rPr>
              <w:t>：</w:t>
            </w:r>
          </w:p>
        </w:tc>
        <w:tc>
          <w:tcPr>
            <w:tcW w:w="283" w:type="dxa"/>
            <w:vAlign w:val="center"/>
          </w:tcPr>
          <w:p>
            <w:pPr>
              <w:rPr>
                <w:rFonts w:hAnsi="宋体"/>
                <w:bCs/>
                <w:snapToGrid w:val="0"/>
                <w:sz w:val="24"/>
                <w:highlight w:val="none"/>
              </w:rPr>
            </w:pPr>
          </w:p>
        </w:tc>
        <w:tc>
          <w:tcPr>
            <w:tcW w:w="4395" w:type="dxa"/>
            <w:vAlign w:val="center"/>
          </w:tcPr>
          <w:p>
            <w:pPr>
              <w:rPr>
                <w:rFonts w:hAnsi="宋体"/>
                <w:bCs/>
                <w:sz w:val="24"/>
                <w:highlight w:val="none"/>
                <w:lang w:val="zh-CN"/>
              </w:rPr>
            </w:pPr>
            <w:r>
              <w:rPr>
                <w:rFonts w:hAnsi="宋体"/>
                <w:bCs/>
                <w:sz w:val="24"/>
                <w:szCs w:val="21"/>
                <w:highlight w:val="none"/>
              </w:rPr>
              <w:t>乙方</w:t>
            </w:r>
            <w:r>
              <w:rPr>
                <w:rFonts w:hint="eastAsia" w:hAnsi="宋体"/>
                <w:bCs/>
                <w:sz w:val="24"/>
                <w:szCs w:val="21"/>
                <w:highlight w:val="none"/>
              </w:rPr>
              <w:t>（承包人）</w:t>
            </w:r>
            <w:r>
              <w:rPr>
                <w:rFonts w:hAnsi="宋体"/>
                <w:bCs/>
                <w:snapToGrid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highlight w:val="none"/>
              </w:rPr>
            </w:pPr>
            <w:r>
              <w:rPr>
                <w:rFonts w:hint="eastAsia" w:ascii="宋体" w:hAnsi="宋体"/>
                <w:b/>
                <w:bCs/>
                <w:sz w:val="24"/>
                <w:highlight w:val="none"/>
                <w:u w:val="single"/>
              </w:rPr>
              <w:t>广州市花都区公共建设项目管理中心</w:t>
            </w:r>
          </w:p>
        </w:tc>
        <w:tc>
          <w:tcPr>
            <w:tcW w:w="283" w:type="dxa"/>
            <w:vAlign w:val="center"/>
          </w:tcPr>
          <w:p>
            <w:pPr>
              <w:rPr>
                <w:rFonts w:hAnsi="宋体"/>
                <w:bCs/>
                <w:snapToGrid w:val="0"/>
                <w:sz w:val="24"/>
                <w:highlight w:val="none"/>
              </w:rPr>
            </w:pPr>
          </w:p>
        </w:tc>
        <w:tc>
          <w:tcPr>
            <w:tcW w:w="4395" w:type="dxa"/>
            <w:vAlign w:val="center"/>
          </w:tcPr>
          <w:p>
            <w:pPr>
              <w:rPr>
                <w:rFonts w:ascii="宋体" w:hAnsi="宋体"/>
                <w:b/>
                <w:bCs/>
                <w:snapToGrid w:val="0"/>
                <w:sz w:val="24"/>
                <w:highlight w:val="none"/>
                <w:u w:val="single"/>
              </w:rPr>
            </w:pPr>
            <w:r>
              <w:rPr>
                <w:rFonts w:hint="eastAsia" w:ascii="宋体" w:hAnsi="宋体"/>
                <w:b/>
                <w:bCs/>
                <w:snapToGrid w:val="0"/>
                <w:sz w:val="24"/>
                <w:highlight w:val="none"/>
                <w:u w:val="single"/>
              </w:rPr>
              <w:t xml:space="preserve"> </w:t>
            </w:r>
            <w:r>
              <w:rPr>
                <w:rFonts w:ascii="宋体" w:hAnsi="宋体"/>
                <w:b/>
                <w:bCs/>
                <w:snapToGrid w:val="0"/>
                <w:sz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c>
          <w:tcPr>
            <w:tcW w:w="283" w:type="dxa"/>
            <w:vAlign w:val="center"/>
          </w:tcPr>
          <w:p>
            <w:pPr>
              <w:rPr>
                <w:rFonts w:hAnsi="宋体"/>
                <w:bCs/>
                <w:snapToGrid w:val="0"/>
                <w:highlight w:val="none"/>
              </w:rPr>
            </w:pPr>
          </w:p>
        </w:tc>
        <w:tc>
          <w:tcPr>
            <w:tcW w:w="4395"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highlight w:val="none"/>
              </w:rPr>
            </w:pPr>
            <w:r>
              <w:rPr>
                <w:rFonts w:hint="eastAsia" w:hAnsi="宋体"/>
                <w:bCs/>
                <w:snapToGrid w:val="0"/>
                <w:highlight w:val="none"/>
              </w:rPr>
              <w:t>地址：广州市花都区公益路3</w:t>
            </w:r>
            <w:r>
              <w:rPr>
                <w:rFonts w:hAnsi="宋体"/>
                <w:bCs/>
                <w:snapToGrid w:val="0"/>
                <w:highlight w:val="none"/>
              </w:rPr>
              <w:t>9</w:t>
            </w:r>
            <w:r>
              <w:rPr>
                <w:rFonts w:hint="eastAsia" w:hAnsi="宋体"/>
                <w:bCs/>
                <w:snapToGrid w:val="0"/>
                <w:highlight w:val="none"/>
              </w:rPr>
              <w:t>号</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Ansi="宋体"/>
                <w:bCs/>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highlight w:val="none"/>
              </w:rPr>
            </w:pPr>
            <w:r>
              <w:rPr>
                <w:rFonts w:hint="eastAsia" w:hAnsi="宋体"/>
                <w:bCs/>
                <w:snapToGrid w:val="0"/>
                <w:highlight w:val="none"/>
              </w:rPr>
              <w:t>电话：0</w:t>
            </w:r>
            <w:r>
              <w:rPr>
                <w:rFonts w:hAnsi="宋体"/>
                <w:bCs/>
                <w:snapToGrid w:val="0"/>
                <w:highlight w:val="none"/>
              </w:rPr>
              <w:t>20</w:t>
            </w:r>
            <w:r>
              <w:rPr>
                <w:rFonts w:hint="eastAsia" w:hAnsi="宋体"/>
                <w:bCs/>
                <w:snapToGrid w:val="0"/>
                <w:highlight w:val="none"/>
              </w:rPr>
              <w:t>-</w:t>
            </w:r>
            <w:r>
              <w:rPr>
                <w:rFonts w:hAnsi="宋体"/>
                <w:bCs/>
                <w:snapToGrid w:val="0"/>
                <w:highlight w:val="none"/>
              </w:rPr>
              <w:t>37760912</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int="eastAsia" w:hAnsi="宋体"/>
                <w:bCs/>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int="eastAsia" w:hAnsi="宋体"/>
                <w:bCs/>
                <w:snapToGrid w:val="0"/>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int="eastAsia" w:hAnsi="宋体"/>
                <w:bCs/>
                <w:snapToGrid w:val="0"/>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8"/>
              <w:ind w:firstLine="0" w:firstLineChars="0"/>
              <w:rPr>
                <w:rFonts w:hAnsi="宋体"/>
                <w:snapToGrid w:val="0"/>
                <w:highlight w:val="none"/>
              </w:rPr>
            </w:pPr>
            <w:r>
              <w:rPr>
                <w:rFonts w:hint="eastAsia" w:hAnsi="宋体"/>
                <w:snapToGrid w:val="0"/>
                <w:highlight w:val="none"/>
              </w:rPr>
              <w:t>统一社会信用代码：</w:t>
            </w:r>
            <w:r>
              <w:rPr>
                <w:rFonts w:hAnsi="宋体"/>
                <w:bCs/>
                <w:snapToGrid w:val="0"/>
                <w:highlight w:val="none"/>
              </w:rPr>
              <w:t>12440114567901846M</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int="eastAsia" w:hAnsi="宋体"/>
                <w:bCs/>
                <w:snapToGrid w:val="0"/>
                <w:highlight w:val="none"/>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8"/>
              <w:ind w:firstLine="0" w:firstLineChars="0"/>
              <w:rPr>
                <w:rFonts w:hAnsi="宋体"/>
                <w:snapToGrid w:val="0"/>
                <w:highlight w:val="none"/>
              </w:rPr>
            </w:pPr>
            <w:r>
              <w:rPr>
                <w:rFonts w:hint="eastAsia" w:hAnsi="宋体"/>
                <w:snapToGrid w:val="0"/>
                <w:highlight w:val="none"/>
              </w:rPr>
              <w:t>签订时间：</w:t>
            </w:r>
            <w:r>
              <w:rPr>
                <w:rFonts w:hAnsi="宋体"/>
                <w:snapToGrid w:val="0"/>
                <w:highlight w:val="none"/>
              </w:rPr>
              <w:t xml:space="preserve"> 2023</w:t>
            </w:r>
            <w:r>
              <w:rPr>
                <w:rFonts w:hint="eastAsia" w:hAnsi="宋体"/>
                <w:snapToGrid w:val="0"/>
                <w:highlight w:val="none"/>
              </w:rPr>
              <w:t>年</w:t>
            </w:r>
            <w:r>
              <w:rPr>
                <w:rFonts w:hAnsi="宋体"/>
                <w:snapToGrid w:val="0"/>
                <w:highlight w:val="none"/>
              </w:rPr>
              <w:t xml:space="preserve">   </w:t>
            </w:r>
            <w:r>
              <w:rPr>
                <w:rFonts w:hint="eastAsia" w:hAnsi="宋体"/>
                <w:snapToGrid w:val="0"/>
                <w:highlight w:val="none"/>
              </w:rPr>
              <w:t>月</w:t>
            </w:r>
            <w:r>
              <w:rPr>
                <w:rFonts w:hAnsi="宋体"/>
                <w:snapToGrid w:val="0"/>
                <w:highlight w:val="none"/>
              </w:rPr>
              <w:t xml:space="preserve">    </w:t>
            </w:r>
            <w:r>
              <w:rPr>
                <w:rFonts w:hint="eastAsia" w:hAnsi="宋体"/>
                <w:snapToGrid w:val="0"/>
                <w:highlight w:val="none"/>
              </w:rPr>
              <w:t>日</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r>
    </w:tbl>
    <w:p>
      <w:pPr>
        <w:spacing w:line="360" w:lineRule="auto"/>
        <w:jc w:val="center"/>
        <w:rPr>
          <w:b/>
          <w:sz w:val="52"/>
          <w:szCs w:val="52"/>
          <w:highlight w:val="none"/>
        </w:rPr>
      </w:pPr>
    </w:p>
    <w:p>
      <w:pPr>
        <w:widowControl/>
        <w:jc w:val="left"/>
        <w:rPr>
          <w:b/>
          <w:sz w:val="52"/>
          <w:szCs w:val="52"/>
          <w:highlight w:val="none"/>
        </w:rPr>
      </w:pPr>
      <w:r>
        <w:rPr>
          <w:b/>
          <w:sz w:val="52"/>
          <w:szCs w:val="52"/>
          <w:highlight w:val="none"/>
        </w:rPr>
        <w:br w:type="page"/>
      </w:r>
    </w:p>
    <w:p>
      <w:pPr>
        <w:pStyle w:val="3"/>
        <w:jc w:val="center"/>
        <w:rPr>
          <w:highlight w:val="none"/>
        </w:rPr>
      </w:pPr>
      <w:bookmarkStart w:id="197" w:name="_Toc132813114"/>
      <w:r>
        <w:rPr>
          <w:rFonts w:hint="eastAsia"/>
          <w:highlight w:val="none"/>
        </w:rPr>
        <w:t>第二篇  合同专用条款</w:t>
      </w:r>
      <w:bookmarkEnd w:id="197"/>
    </w:p>
    <w:p>
      <w:pPr>
        <w:pStyle w:val="43"/>
        <w:adjustRightInd w:val="0"/>
        <w:snapToGrid w:val="0"/>
        <w:spacing w:line="360" w:lineRule="auto"/>
        <w:ind w:firstLine="420" w:firstLineChars="200"/>
        <w:jc w:val="left"/>
        <w:rPr>
          <w:rFonts w:ascii="宋体" w:hAnsi="宋体" w:cs="宋体"/>
          <w:snapToGrid w:val="0"/>
          <w:kern w:val="0"/>
          <w:sz w:val="21"/>
          <w:szCs w:val="21"/>
          <w:highlight w:val="none"/>
        </w:rPr>
      </w:pPr>
      <w:r>
        <w:rPr>
          <w:rFonts w:hint="eastAsia" w:ascii="宋体" w:hAnsi="宋体" w:cs="宋体"/>
          <w:snapToGrid w:val="0"/>
          <w:kern w:val="0"/>
          <w:sz w:val="21"/>
          <w:szCs w:val="21"/>
          <w:highlight w:val="none"/>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pPr>
        <w:pStyle w:val="4"/>
        <w:jc w:val="center"/>
        <w:rPr>
          <w:snapToGrid w:val="0"/>
          <w:kern w:val="0"/>
          <w:highlight w:val="none"/>
        </w:rPr>
      </w:pPr>
      <w:bookmarkStart w:id="198" w:name="_Toc519502249"/>
      <w:bookmarkStart w:id="199" w:name="_Toc514663857"/>
      <w:bookmarkStart w:id="200" w:name="_Toc520902604"/>
      <w:bookmarkStart w:id="201" w:name="_Toc516495975"/>
      <w:bookmarkStart w:id="202" w:name="_Toc520902755"/>
      <w:bookmarkStart w:id="203" w:name="_Toc514665142"/>
      <w:bookmarkStart w:id="204" w:name="_Toc514681181"/>
      <w:bookmarkStart w:id="205" w:name="_Toc520358229"/>
      <w:bookmarkStart w:id="206" w:name="_Toc514665281"/>
      <w:bookmarkStart w:id="207" w:name="_Toc514664859"/>
      <w:bookmarkStart w:id="208" w:name="_Toc520358053"/>
      <w:bookmarkStart w:id="209" w:name="_Toc514666972"/>
      <w:bookmarkStart w:id="210" w:name="_Toc518481731"/>
      <w:bookmarkStart w:id="211" w:name="_Toc520902826"/>
      <w:bookmarkStart w:id="212" w:name="_Toc514681762"/>
      <w:bookmarkStart w:id="213" w:name="_Toc517774559"/>
      <w:bookmarkStart w:id="214" w:name="_Toc519503079"/>
      <w:bookmarkStart w:id="215" w:name="_Toc132813115"/>
      <w:bookmarkStart w:id="216" w:name="_Toc520901459"/>
      <w:bookmarkStart w:id="217" w:name="_Toc517954572"/>
      <w:r>
        <w:rPr>
          <w:rFonts w:hint="eastAsia"/>
          <w:snapToGrid w:val="0"/>
          <w:kern w:val="0"/>
          <w:highlight w:val="none"/>
        </w:rPr>
        <w:t>总  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2、发包人通过监理单位下达指令，监督承包人履约行为，承包人所有请求事项由监理单位协调并一般均通过监理单位接受或提出处理意见（发包人有特别要求和规定的除外）。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3、考虑到本工程的重要性，发包人将采取较为严密的组织管理形式，承包人需投入有别于其他项目的人力、物力，以满足本工程施工需要。</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4、发包人根据工程推进实际情况，有权要求承包人的分管生产安全的副总经理必须常驻施工现场，协调各种事项。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6、承包人承诺遵守发包人所制定的针对本工程管理的各项制度、规定，这些管理制度、规定必须符合下列原则：</w:t>
      </w:r>
    </w:p>
    <w:p>
      <w:pPr>
        <w:adjustRightInd w:val="0"/>
        <w:snapToGrid w:val="0"/>
        <w:spacing w:line="360" w:lineRule="auto"/>
        <w:ind w:firstLine="283" w:firstLineChars="135"/>
        <w:rPr>
          <w:snapToGrid w:val="0"/>
          <w:kern w:val="0"/>
          <w:szCs w:val="21"/>
          <w:highlight w:val="none"/>
        </w:rPr>
      </w:pPr>
      <w:r>
        <w:rPr>
          <w:snapToGrid w:val="0"/>
          <w:kern w:val="0"/>
          <w:szCs w:val="21"/>
          <w:highlight w:val="none"/>
        </w:rPr>
        <w:t>（1）符合国家、广东省、广州市的有关法律法规、规范和标准；</w:t>
      </w:r>
    </w:p>
    <w:p>
      <w:pPr>
        <w:adjustRightInd w:val="0"/>
        <w:snapToGrid w:val="0"/>
        <w:spacing w:line="360" w:lineRule="auto"/>
        <w:ind w:firstLine="283" w:firstLineChars="135"/>
        <w:rPr>
          <w:snapToGrid w:val="0"/>
          <w:kern w:val="0"/>
          <w:szCs w:val="21"/>
          <w:highlight w:val="none"/>
        </w:rPr>
      </w:pPr>
      <w:r>
        <w:rPr>
          <w:snapToGrid w:val="0"/>
          <w:kern w:val="0"/>
          <w:szCs w:val="21"/>
          <w:highlight w:val="none"/>
        </w:rPr>
        <w:t>（2）符合对本工程进行有效管理的基本精神和要求；</w:t>
      </w:r>
    </w:p>
    <w:p>
      <w:pPr>
        <w:adjustRightInd w:val="0"/>
        <w:snapToGrid w:val="0"/>
        <w:spacing w:line="360" w:lineRule="auto"/>
        <w:ind w:firstLine="283" w:firstLineChars="135"/>
        <w:rPr>
          <w:snapToGrid w:val="0"/>
          <w:kern w:val="0"/>
          <w:szCs w:val="21"/>
          <w:highlight w:val="none"/>
        </w:rPr>
      </w:pPr>
      <w:r>
        <w:rPr>
          <w:snapToGrid w:val="0"/>
          <w:kern w:val="0"/>
          <w:szCs w:val="21"/>
          <w:highlight w:val="none"/>
        </w:rPr>
        <w:t>（3）为确保工程质量、进度、安全文明施工管理所必须；</w:t>
      </w:r>
    </w:p>
    <w:p>
      <w:pPr>
        <w:adjustRightInd w:val="0"/>
        <w:snapToGrid w:val="0"/>
        <w:spacing w:line="360" w:lineRule="auto"/>
        <w:ind w:firstLine="283" w:firstLineChars="135"/>
        <w:rPr>
          <w:snapToGrid w:val="0"/>
          <w:kern w:val="0"/>
          <w:szCs w:val="21"/>
          <w:highlight w:val="none"/>
        </w:rPr>
      </w:pPr>
      <w:r>
        <w:rPr>
          <w:snapToGrid w:val="0"/>
          <w:kern w:val="0"/>
          <w:szCs w:val="21"/>
          <w:highlight w:val="none"/>
        </w:rPr>
        <w:t>（4）不是针对某一特定的承包人。</w:t>
      </w:r>
    </w:p>
    <w:p>
      <w:pPr>
        <w:pStyle w:val="4"/>
        <w:jc w:val="left"/>
        <w:rPr>
          <w:highlight w:val="none"/>
        </w:rPr>
      </w:pPr>
      <w:bookmarkStart w:id="218" w:name="_Toc520902605"/>
      <w:bookmarkStart w:id="219" w:name="_Toc520902756"/>
      <w:bookmarkStart w:id="220" w:name="_Toc517954573"/>
      <w:bookmarkStart w:id="221" w:name="_Toc514665143"/>
      <w:bookmarkStart w:id="222" w:name="_Toc519503080"/>
      <w:bookmarkStart w:id="223" w:name="_Toc520901460"/>
      <w:bookmarkStart w:id="224" w:name="_Toc519502250"/>
      <w:bookmarkStart w:id="225" w:name="_Toc514663858"/>
      <w:bookmarkStart w:id="226" w:name="_Toc132813116"/>
      <w:bookmarkStart w:id="227" w:name="_Toc514681182"/>
      <w:bookmarkStart w:id="228" w:name="_Toc518481732"/>
      <w:bookmarkStart w:id="229" w:name="_Toc517774560"/>
      <w:bookmarkStart w:id="230" w:name="_Toc520358054"/>
      <w:bookmarkStart w:id="231" w:name="_Toc514664860"/>
      <w:bookmarkStart w:id="232" w:name="_Toc520358230"/>
      <w:bookmarkStart w:id="233" w:name="_Toc514665282"/>
      <w:bookmarkStart w:id="234" w:name="_Toc514681763"/>
      <w:bookmarkStart w:id="235" w:name="_Toc514666973"/>
      <w:bookmarkStart w:id="236" w:name="_Toc516495976"/>
      <w:bookmarkStart w:id="237" w:name="_Toc520902827"/>
      <w:r>
        <w:rPr>
          <w:rFonts w:hint="eastAsia"/>
          <w:highlight w:val="none"/>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1、词语定义</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1.3发包人</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（1）发包人</w:t>
      </w:r>
      <w:r>
        <w:rPr>
          <w:snapToGrid w:val="0"/>
          <w:kern w:val="0"/>
          <w:szCs w:val="21"/>
          <w:highlight w:val="none"/>
        </w:rPr>
        <w:t>：在本合同中特指</w:t>
      </w:r>
      <w:r>
        <w:rPr>
          <w:rFonts w:hint="eastAsia"/>
          <w:b/>
          <w:bCs/>
          <w:snapToGrid w:val="0"/>
          <w:kern w:val="0"/>
          <w:szCs w:val="21"/>
          <w:highlight w:val="none"/>
          <w:u w:val="single"/>
        </w:rPr>
        <w:t>广州市花都区公共建设项目管理中心</w:t>
      </w:r>
      <w:r>
        <w:rPr>
          <w:snapToGrid w:val="0"/>
          <w:kern w:val="0"/>
          <w:szCs w:val="21"/>
          <w:highlight w:val="none"/>
        </w:rPr>
        <w:t>。</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（2）</w:t>
      </w:r>
      <w:r>
        <w:rPr>
          <w:snapToGrid w:val="0"/>
          <w:kern w:val="0"/>
          <w:szCs w:val="21"/>
          <w:highlight w:val="none"/>
        </w:rPr>
        <w:t>合法继承人：指工程竣工验收合格后，发包人依据相关合同（协议）约定，将工程移交给其承接使用的产权管理单位。在继承生效后，合法继承人享有发包人在本合同中的一切权利及承担相应的义务。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1.6设计单位</w:t>
      </w:r>
    </w:p>
    <w:p>
      <w:pPr>
        <w:pStyle w:val="367"/>
        <w:adjustRightInd w:val="0"/>
        <w:snapToGrid w:val="0"/>
        <w:spacing w:line="360" w:lineRule="auto"/>
        <w:ind w:firstLine="420" w:firstLineChars="200"/>
        <w:rPr>
          <w:highlight w:val="none"/>
        </w:rPr>
      </w:pPr>
      <w:r>
        <w:rPr>
          <w:snapToGrid w:val="0"/>
          <w:kern w:val="0"/>
          <w:highlight w:val="none"/>
        </w:rPr>
        <w:t>本工程的设计单位是：</w:t>
      </w:r>
      <w:r>
        <w:rPr>
          <w:rFonts w:hint="eastAsia"/>
          <w:b/>
          <w:bCs/>
          <w:highlight w:val="none"/>
          <w:u w:val="single"/>
        </w:rPr>
        <w:t xml:space="preserve"> </w:t>
      </w:r>
      <w:r>
        <w:rPr>
          <w:b/>
          <w:bCs/>
          <w:highlight w:val="none"/>
          <w:u w:val="single"/>
        </w:rPr>
        <w:t xml:space="preserve">                    </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1.7监理单位</w:t>
      </w:r>
    </w:p>
    <w:p>
      <w:pPr>
        <w:adjustRightInd w:val="0"/>
        <w:snapToGrid w:val="0"/>
        <w:spacing w:line="360" w:lineRule="auto"/>
        <w:ind w:firstLine="420" w:firstLineChars="200"/>
        <w:rPr>
          <w:b/>
          <w:bCs/>
          <w:snapToGrid w:val="0"/>
          <w:kern w:val="0"/>
          <w:szCs w:val="21"/>
          <w:highlight w:val="none"/>
          <w:u w:val="single"/>
        </w:rPr>
      </w:pPr>
      <w:r>
        <w:rPr>
          <w:snapToGrid w:val="0"/>
          <w:kern w:val="0"/>
          <w:szCs w:val="21"/>
          <w:highlight w:val="none"/>
        </w:rPr>
        <w:t>本工程的</w:t>
      </w:r>
      <w:r>
        <w:rPr>
          <w:bCs/>
          <w:snapToGrid w:val="0"/>
          <w:kern w:val="0"/>
          <w:szCs w:val="21"/>
          <w:highlight w:val="none"/>
        </w:rPr>
        <w:t>监理单位</w:t>
      </w:r>
      <w:r>
        <w:rPr>
          <w:snapToGrid w:val="0"/>
          <w:kern w:val="0"/>
          <w:szCs w:val="21"/>
          <w:highlight w:val="none"/>
        </w:rPr>
        <w:t>是：</w:t>
      </w:r>
      <w:r>
        <w:rPr>
          <w:rFonts w:hint="eastAsia"/>
          <w:b/>
          <w:bCs/>
          <w:snapToGrid w:val="0"/>
          <w:kern w:val="0"/>
          <w:szCs w:val="21"/>
          <w:highlight w:val="none"/>
          <w:u w:val="single"/>
        </w:rPr>
        <w:t xml:space="preserve"> </w:t>
      </w:r>
      <w:r>
        <w:rPr>
          <w:b/>
          <w:bCs/>
          <w:snapToGrid w:val="0"/>
          <w:kern w:val="0"/>
          <w:szCs w:val="21"/>
          <w:highlight w:val="none"/>
          <w:u w:val="single"/>
        </w:rPr>
        <w:t xml:space="preserve">                    </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1.8工程师</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合同通用条款中的工程师，如无特别注明，均是指监理等单位派驻本工程施工场地的现场工作机构的负责人。</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1.9工程造价管理部门</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发包人委托的全过程造价咨询单位，负责工程建设工程中出现的相关造价审核工作。</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1.14工期</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节点工期：指在经发包人和总监理工程师批准的施工组织设计或者工程工期网络计划中载明的承包人按总日历天数（包括法定节假日）计算完成某一阶段或某一工序的承包天数。</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1.20违约责任：指合同任何一方不履行或不完全履行合同约定的义务或者履行义务不符合合同约定所应承担的责任。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（1）一般违约责任：指虽然违反本合同的约定，但其违约行为不对本合同的履行造成严重影响而应承担的责任。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（2）严重违约责任：指违反本合同的约定且其违约行为足以对本合同的履行造成严重或实质性的影响而应承担的责任。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1.24通知：指合同中所提及的各方之间传达意思表示的方式，包括但不限于申请、报告、同意、答复、批准、指令、证书、决定等。除合同专用条款有特别约定外，只有采用书面形式的通知才有效。</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1.25安全事故等级[《关于进一步规范房屋建筑和市政工程生产安全事故报告和调查处理工作的若干意见》（建质[2007]257号）]：</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（1）特别重大事故，是指造成30人以</w:t>
      </w:r>
      <w:bookmarkStart w:id="238" w:name="修改1"/>
      <w:bookmarkEnd w:id="238"/>
      <w:r>
        <w:rPr>
          <w:bCs/>
          <w:snapToGrid w:val="0"/>
          <w:kern w:val="0"/>
          <w:szCs w:val="21"/>
          <w:highlight w:val="none"/>
        </w:rPr>
        <w:t>上死亡，或者100人以上重伤，或者1亿元以上直接经济损失的事故；</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（2）重大事故，是指造成10人以上30人以下死亡，或者50人以上100人以下重伤，或者5000万元以上1亿元以下直接经济损失的事故；</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（3）较大事故，是指造成3人以上10人以下死亡，或者10人以上50人以下重伤，或者1000万元以上5000万元以下直接经济损失的事故；</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上述所称的“以上”包括本数，所称的“以下”不包括本数。</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1.26质量事故等级[《关于做好房屋建筑和市政基础设施工程质量事故报告和调查处理工作的通知》（建质[2010]111号）]：</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根据工程质量事故造成的人员伤亡或者直接经济损失，工程质量事故分为4个等级：</w:t>
      </w:r>
    </w:p>
    <w:p>
      <w:pPr>
        <w:adjustRightInd w:val="0"/>
        <w:snapToGrid w:val="0"/>
        <w:spacing w:line="360" w:lineRule="auto"/>
        <w:ind w:firstLine="315" w:firstLineChars="150"/>
        <w:rPr>
          <w:bCs/>
          <w:snapToGrid w:val="0"/>
          <w:kern w:val="0"/>
          <w:szCs w:val="21"/>
          <w:highlight w:val="none"/>
        </w:rPr>
      </w:pPr>
      <w:r>
        <w:rPr>
          <w:bCs/>
          <w:snapToGrid w:val="0"/>
          <w:kern w:val="0"/>
          <w:szCs w:val="21"/>
          <w:highlight w:val="none"/>
        </w:rPr>
        <w:t xml:space="preserve">（1）特别重大事故，是指造成30人以上死亡，或者100人以上重伤，或者1亿元以上直接经济损失的事故； </w:t>
      </w:r>
    </w:p>
    <w:p>
      <w:pPr>
        <w:adjustRightInd w:val="0"/>
        <w:snapToGrid w:val="0"/>
        <w:spacing w:line="360" w:lineRule="auto"/>
        <w:ind w:firstLine="315" w:firstLineChars="150"/>
        <w:rPr>
          <w:bCs/>
          <w:snapToGrid w:val="0"/>
          <w:kern w:val="0"/>
          <w:szCs w:val="21"/>
          <w:highlight w:val="none"/>
        </w:rPr>
      </w:pPr>
      <w:r>
        <w:rPr>
          <w:bCs/>
          <w:snapToGrid w:val="0"/>
          <w:kern w:val="0"/>
          <w:szCs w:val="21"/>
          <w:highlight w:val="none"/>
        </w:rPr>
        <w:t>（2）重大事故，是指造成10人以上30人以下死亡，或者50人以上100人以下重伤，或者5000万元以上1亿元以下直接经济损失的事故；</w:t>
      </w:r>
    </w:p>
    <w:p>
      <w:pPr>
        <w:adjustRightInd w:val="0"/>
        <w:snapToGrid w:val="0"/>
        <w:spacing w:line="360" w:lineRule="auto"/>
        <w:ind w:firstLine="315" w:firstLineChars="150"/>
        <w:rPr>
          <w:bCs/>
          <w:snapToGrid w:val="0"/>
          <w:kern w:val="0"/>
          <w:szCs w:val="21"/>
          <w:highlight w:val="none"/>
        </w:rPr>
      </w:pPr>
      <w:r>
        <w:rPr>
          <w:bCs/>
          <w:snapToGrid w:val="0"/>
          <w:kern w:val="0"/>
          <w:szCs w:val="21"/>
          <w:highlight w:val="none"/>
        </w:rPr>
        <w:t>（3）较大事故，是指造成3人以上10人以下死亡，或者10人以上50人以下重伤，或者1000万元以上5000万元以下直接经济损失的事故；</w:t>
      </w:r>
    </w:p>
    <w:p>
      <w:pPr>
        <w:adjustRightInd w:val="0"/>
        <w:snapToGrid w:val="0"/>
        <w:spacing w:line="360" w:lineRule="auto"/>
        <w:ind w:firstLine="315" w:firstLineChars="150"/>
        <w:rPr>
          <w:bCs/>
          <w:snapToGrid w:val="0"/>
          <w:kern w:val="0"/>
          <w:szCs w:val="21"/>
          <w:highlight w:val="none"/>
        </w:rPr>
      </w:pPr>
      <w:r>
        <w:rPr>
          <w:bCs/>
          <w:snapToGrid w:val="0"/>
          <w:kern w:val="0"/>
          <w:szCs w:val="21"/>
          <w:highlight w:val="none"/>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本等级划分所称的“以上”包括本数，所称的“以下”不包括本数。</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1.27“综合单价（合价）包干项目”、“分部分项工程量清单计价”、“措施项目清单计价”、“其他项目清单计价”、“安全防护、文明施工措施费”、“暂列金额”等费用项目以招标文件的定义为准。</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1.28元：指人民币元。</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1.29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1.30单项工程：指具备独立施工条件并能形成独立使用功能的建筑物及构筑物。</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1.31单位工程：指一个独立建筑物或构筑物中的每个专业工程，如：建筑工程、土建工程、安装工程等。</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1.32专业承包单位：指与发包人直接签订专业工程施工承包合同具有相应施工承包资格和资质的承包单位。</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1.33施工图审查单位</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本工程的施工图审查单位是：</w:t>
      </w:r>
      <w:r>
        <w:rPr>
          <w:rFonts w:hint="eastAsia"/>
          <w:b/>
          <w:bCs/>
          <w:szCs w:val="21"/>
          <w:highlight w:val="none"/>
          <w:u w:val="single"/>
        </w:rPr>
        <w:t xml:space="preserve"> </w:t>
      </w:r>
      <w:r>
        <w:rPr>
          <w:b/>
          <w:bCs/>
          <w:szCs w:val="21"/>
          <w:highlight w:val="none"/>
          <w:u w:val="single"/>
        </w:rPr>
        <w:t xml:space="preserve">                             </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1.34设计咨询单位</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本工程的设计咨询单位是：</w:t>
      </w:r>
      <w:r>
        <w:rPr>
          <w:rFonts w:hint="eastAsia"/>
          <w:b/>
          <w:bCs/>
          <w:szCs w:val="21"/>
          <w:highlight w:val="none"/>
          <w:u w:val="single"/>
        </w:rPr>
        <w:t xml:space="preserve"> </w:t>
      </w:r>
      <w:r>
        <w:rPr>
          <w:b/>
          <w:bCs/>
          <w:szCs w:val="21"/>
          <w:highlight w:val="none"/>
          <w:u w:val="single"/>
        </w:rPr>
        <w:t xml:space="preserve">                               </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1.35技术督导单位</w:t>
      </w:r>
    </w:p>
    <w:p>
      <w:pPr>
        <w:adjustRightInd w:val="0"/>
        <w:snapToGrid w:val="0"/>
        <w:spacing w:line="360" w:lineRule="auto"/>
        <w:ind w:firstLine="420" w:firstLineChars="200"/>
        <w:rPr>
          <w:rFonts w:hint="eastAsia"/>
          <w:snapToGrid w:val="0"/>
          <w:kern w:val="0"/>
          <w:szCs w:val="21"/>
          <w:highlight w:val="none"/>
        </w:rPr>
      </w:pPr>
      <w:r>
        <w:rPr>
          <w:snapToGrid w:val="0"/>
          <w:kern w:val="0"/>
          <w:szCs w:val="21"/>
          <w:highlight w:val="none"/>
        </w:rPr>
        <w:t>本工程的技术督导单位是：</w:t>
      </w:r>
      <w:r>
        <w:rPr>
          <w:snapToGrid w:val="0"/>
          <w:kern w:val="0"/>
          <w:szCs w:val="21"/>
          <w:highlight w:val="none"/>
          <w:u w:val="single"/>
        </w:rPr>
        <w:t xml:space="preserve">                /                </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1.36施工总承包管理单位：在本合同中特指承包人。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1.37施工总承包管理和配合服务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指施工总承包单位根据发包人的要求和合同约定对发包人另行发包的各专业承包单位进行统一管理和配合服务，包括施工总承包管理和专业工程配合服务。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1.38施工总承包管理和配合服务费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指施工总承包单位根据发包人的要求和合同约定对发包人另行发包的各专业承包单位进行统一管理和配合服务所发生的费用，包括施工总承包管理费和专业工程配合服务费。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施工总承包管理费包括但不限于：</w:t>
      </w:r>
      <w:r>
        <w:rPr>
          <w:rFonts w:hint="eastAsia"/>
          <w:snapToGrid w:val="0"/>
          <w:kern w:val="0"/>
          <w:szCs w:val="21"/>
          <w:highlight w:val="none"/>
        </w:rPr>
        <w:t>桩基检测配合（配合检测所需措施、恢复等）、设备安装配合、永久用电施工配合、</w:t>
      </w:r>
      <w:r>
        <w:rPr>
          <w:snapToGrid w:val="0"/>
          <w:kern w:val="0"/>
          <w:szCs w:val="21"/>
          <w:highlight w:val="none"/>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1.41暂列金额：指发包人在工程量清单中暂定并包括在合同价款中的一笔款项，</w:t>
      </w:r>
      <w:r>
        <w:rPr>
          <w:rFonts w:hint="eastAsia"/>
          <w:bCs/>
          <w:snapToGrid w:val="0"/>
          <w:kern w:val="0"/>
          <w:szCs w:val="21"/>
          <w:highlight w:val="none"/>
        </w:rPr>
        <w:t>主要用于合同约定调整因素出现时的业主指令</w:t>
      </w:r>
      <w:r>
        <w:rPr>
          <w:bCs/>
          <w:snapToGrid w:val="0"/>
          <w:kern w:val="0"/>
          <w:szCs w:val="21"/>
          <w:highlight w:val="none"/>
        </w:rPr>
        <w:t>、</w:t>
      </w:r>
      <w:r>
        <w:rPr>
          <w:rFonts w:hint="eastAsia"/>
          <w:bCs/>
          <w:snapToGrid w:val="0"/>
          <w:kern w:val="0"/>
          <w:szCs w:val="21"/>
          <w:highlight w:val="none"/>
        </w:rPr>
        <w:t>工程价款调整、发生索赔的费用</w:t>
      </w:r>
      <w:r>
        <w:rPr>
          <w:bCs/>
          <w:snapToGrid w:val="0"/>
          <w:kern w:val="0"/>
          <w:szCs w:val="21"/>
          <w:highlight w:val="none"/>
        </w:rPr>
        <w:t>、现场签证确认</w:t>
      </w:r>
      <w:r>
        <w:rPr>
          <w:rFonts w:hint="eastAsia"/>
          <w:bCs/>
          <w:snapToGrid w:val="0"/>
          <w:kern w:val="0"/>
          <w:szCs w:val="21"/>
          <w:highlight w:val="none"/>
        </w:rPr>
        <w:t>以及当项目实施过程中因政策因素引起的费用变化。</w:t>
      </w:r>
      <w:r>
        <w:rPr>
          <w:bCs/>
          <w:snapToGrid w:val="0"/>
          <w:kern w:val="0"/>
          <w:szCs w:val="21"/>
          <w:highlight w:val="none"/>
        </w:rPr>
        <w:t>计量支付时，以合同计列的暂列金额为限额。暂列金额按合同约定和承包人实际完成的工作量依据合同计价原则计量支付、结算，未使用部分仍归发包人所有</w:t>
      </w:r>
      <w:r>
        <w:rPr>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szCs w:val="21"/>
          <w:highlight w:val="none"/>
        </w:rPr>
        <w:sym w:font="Wingdings 2" w:char="00A3"/>
      </w:r>
      <w:r>
        <w:rPr>
          <w:snapToGrid w:val="0"/>
          <w:kern w:val="0"/>
          <w:szCs w:val="21"/>
          <w:highlight w:val="none"/>
        </w:rPr>
        <w:t xml:space="preserve"> </w:t>
      </w:r>
      <w:r>
        <w:rPr>
          <w:bCs/>
          <w:snapToGrid w:val="0"/>
          <w:kern w:val="0"/>
          <w:szCs w:val="21"/>
          <w:highlight w:val="none"/>
        </w:rPr>
        <w:t>1.42本工程综合考评委员会：指在本工程建设期间，由发包人组建的、代表发包人对各参建单位合同履约情况进行考核的机构。</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1.43工程量清单计价说明</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工程量清单计价说明以</w:t>
      </w:r>
      <w:r>
        <w:rPr>
          <w:rFonts w:hint="eastAsia"/>
          <w:bCs/>
          <w:snapToGrid w:val="0"/>
          <w:kern w:val="0"/>
          <w:szCs w:val="21"/>
          <w:highlight w:val="none"/>
        </w:rPr>
        <w:t>招标挂网</w:t>
      </w:r>
      <w:r>
        <w:rPr>
          <w:bCs/>
          <w:snapToGrid w:val="0"/>
          <w:kern w:val="0"/>
          <w:szCs w:val="21"/>
          <w:highlight w:val="none"/>
        </w:rPr>
        <w:t>文件为准。</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2、合同文件及解释顺序</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按合同协议书第7条执行。</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3、语言文字和适用法律、标准及规范</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3.2适用法律和法规</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适用于本合同的法律法规是中华人民共和国法律、法规，合同约定的部门规章及工程所在地的地方法规。</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需要明示的法律、行政法规：《中华人民共和国民法典》、《中华人民共和国建筑法》、《中华人民共和国招</w:t>
      </w:r>
      <w:r>
        <w:rPr>
          <w:rFonts w:hint="eastAsia"/>
          <w:snapToGrid w:val="0"/>
          <w:kern w:val="0"/>
          <w:szCs w:val="21"/>
          <w:highlight w:val="none"/>
        </w:rPr>
        <w:t>标</w:t>
      </w:r>
      <w:r>
        <w:rPr>
          <w:snapToGrid w:val="0"/>
          <w:kern w:val="0"/>
          <w:szCs w:val="21"/>
          <w:highlight w:val="none"/>
        </w:rPr>
        <w:t>投标法》、《建设工程质量管理条例》。</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3.3适用标准、规范</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4、图纸</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4.1发包人在开工前向承包人</w:t>
      </w:r>
      <w:r>
        <w:rPr>
          <w:rFonts w:hint="eastAsia"/>
          <w:bCs/>
          <w:snapToGrid w:val="0"/>
          <w:kern w:val="0"/>
          <w:szCs w:val="21"/>
          <w:highlight w:val="none"/>
        </w:rPr>
        <w:t>发出</w:t>
      </w:r>
      <w:r>
        <w:rPr>
          <w:bCs/>
          <w:snapToGrid w:val="0"/>
          <w:kern w:val="0"/>
          <w:szCs w:val="21"/>
          <w:highlight w:val="none"/>
        </w:rPr>
        <w:t>8套图纸（其中4套为编制竣工图所需），同时提供电子文档。承包人确需增加图纸套数的，应当取得发包人的同意，所需费用由承包人自行承担。</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4.2对图纸的保密要求：由发包人提供的图纸、文件等，未经发包人许可，承包人不得用于本工程以外的项目或者转借、出让、泄露给第三方。保密措施费用由承包人自行承担。</w:t>
      </w:r>
    </w:p>
    <w:p>
      <w:pPr>
        <w:pStyle w:val="4"/>
        <w:jc w:val="left"/>
        <w:rPr>
          <w:snapToGrid w:val="0"/>
          <w:kern w:val="0"/>
          <w:highlight w:val="none"/>
        </w:rPr>
      </w:pPr>
      <w:bookmarkStart w:id="239" w:name="_Toc514681764"/>
      <w:bookmarkStart w:id="240" w:name="_Toc514664861"/>
      <w:bookmarkStart w:id="241" w:name="_Toc517774561"/>
      <w:bookmarkStart w:id="242" w:name="_Toc514665144"/>
      <w:bookmarkStart w:id="243" w:name="_Toc520358055"/>
      <w:bookmarkStart w:id="244" w:name="_Toc520902828"/>
      <w:bookmarkStart w:id="245" w:name="_Toc519503081"/>
      <w:bookmarkStart w:id="246" w:name="_Toc514663859"/>
      <w:bookmarkStart w:id="247" w:name="_Toc514666974"/>
      <w:bookmarkStart w:id="248" w:name="_Toc520358231"/>
      <w:bookmarkStart w:id="249" w:name="_Toc520902606"/>
      <w:bookmarkStart w:id="250" w:name="_Toc520902757"/>
      <w:bookmarkStart w:id="251" w:name="_Toc518481733"/>
      <w:bookmarkStart w:id="252" w:name="_Toc514665283"/>
      <w:bookmarkStart w:id="253" w:name="_Toc516495977"/>
      <w:bookmarkStart w:id="254" w:name="_Toc520901461"/>
      <w:bookmarkStart w:id="255" w:name="_Toc514681183"/>
      <w:bookmarkStart w:id="256" w:name="_Toc519502251"/>
      <w:bookmarkStart w:id="257" w:name="_Toc132813117"/>
      <w:bookmarkStart w:id="258" w:name="_Toc517954574"/>
      <w:r>
        <w:rPr>
          <w:rFonts w:hint="eastAsia"/>
          <w:snapToGrid w:val="0"/>
          <w:kern w:val="0"/>
          <w:highlight w:val="none"/>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5、工程师</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5.1监理单位</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发包人委托</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rPr>
        <w:t>为</w:t>
      </w:r>
      <w:r>
        <w:rPr>
          <w:bCs/>
          <w:snapToGrid w:val="0"/>
          <w:kern w:val="0"/>
          <w:szCs w:val="21"/>
          <w:highlight w:val="none"/>
        </w:rPr>
        <w:t>本工程的监理单位，总监理工程师为</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bCs/>
          <w:snapToGrid w:val="0"/>
          <w:kern w:val="0"/>
          <w:szCs w:val="21"/>
          <w:highlight w:val="none"/>
        </w:rPr>
        <w:t>。监理单位的职责以发包人与监理单位签订的《委托监理合同》为准。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5.2技术督导单位</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发包人委托</w:t>
      </w:r>
      <w:r>
        <w:rPr>
          <w:snapToGrid w:val="0"/>
          <w:kern w:val="0"/>
          <w:szCs w:val="21"/>
          <w:highlight w:val="none"/>
          <w:u w:val="single"/>
        </w:rPr>
        <w:t xml:space="preserve">     /         </w:t>
      </w:r>
      <w:r>
        <w:rPr>
          <w:snapToGrid w:val="0"/>
          <w:kern w:val="0"/>
          <w:szCs w:val="21"/>
          <w:highlight w:val="none"/>
        </w:rPr>
        <w:t>为本工程的技术督导单位，总督导工程师</w:t>
      </w:r>
      <w:r>
        <w:rPr>
          <w:bCs/>
          <w:snapToGrid w:val="0"/>
          <w:kern w:val="0"/>
          <w:szCs w:val="21"/>
          <w:highlight w:val="none"/>
        </w:rPr>
        <w:t>为</w:t>
      </w:r>
      <w:r>
        <w:rPr>
          <w:snapToGrid w:val="0"/>
          <w:kern w:val="0"/>
          <w:szCs w:val="21"/>
          <w:highlight w:val="none"/>
          <w:u w:val="single"/>
        </w:rPr>
        <w:t xml:space="preserve">       /      </w:t>
      </w:r>
      <w:r>
        <w:rPr>
          <w:snapToGrid w:val="0"/>
          <w:kern w:val="0"/>
          <w:szCs w:val="21"/>
          <w:highlight w:val="none"/>
        </w:rPr>
        <w:t>。技术督导单位</w:t>
      </w:r>
      <w:r>
        <w:rPr>
          <w:bCs/>
          <w:snapToGrid w:val="0"/>
          <w:kern w:val="0"/>
          <w:szCs w:val="21"/>
          <w:highlight w:val="none"/>
        </w:rPr>
        <w:t>的职责以发包人与</w:t>
      </w:r>
      <w:r>
        <w:rPr>
          <w:snapToGrid w:val="0"/>
          <w:kern w:val="0"/>
          <w:szCs w:val="21"/>
          <w:highlight w:val="none"/>
        </w:rPr>
        <w:t>技术督导单位</w:t>
      </w:r>
      <w:r>
        <w:rPr>
          <w:bCs/>
          <w:snapToGrid w:val="0"/>
          <w:kern w:val="0"/>
          <w:szCs w:val="21"/>
          <w:highlight w:val="none"/>
        </w:rPr>
        <w:t>签订的</w:t>
      </w:r>
      <w:r>
        <w:rPr>
          <w:snapToGrid w:val="0"/>
          <w:kern w:val="0"/>
          <w:szCs w:val="21"/>
          <w:highlight w:val="none"/>
        </w:rPr>
        <w:t>《技术督导（管理）合同》</w:t>
      </w:r>
      <w:r>
        <w:rPr>
          <w:bCs/>
          <w:snapToGrid w:val="0"/>
          <w:kern w:val="0"/>
          <w:szCs w:val="21"/>
          <w:highlight w:val="none"/>
        </w:rPr>
        <w:t>为准。</w:t>
      </w:r>
    </w:p>
    <w:p>
      <w:pPr>
        <w:adjustRightInd w:val="0"/>
        <w:snapToGrid w:val="0"/>
        <w:spacing w:line="360" w:lineRule="auto"/>
        <w:ind w:right="11" w:firstLine="420" w:firstLineChars="200"/>
        <w:rPr>
          <w:snapToGrid w:val="0"/>
          <w:kern w:val="0"/>
          <w:szCs w:val="21"/>
          <w:highlight w:val="none"/>
        </w:rPr>
      </w:pPr>
      <w:r>
        <w:rPr>
          <w:bCs/>
          <w:snapToGrid w:val="0"/>
          <w:kern w:val="0"/>
          <w:szCs w:val="21"/>
          <w:highlight w:val="none"/>
        </w:rPr>
        <w:t>5.3</w:t>
      </w:r>
      <w:r>
        <w:rPr>
          <w:snapToGrid w:val="0"/>
          <w:kern w:val="0"/>
          <w:szCs w:val="21"/>
          <w:highlight w:val="none"/>
        </w:rPr>
        <w:t>发包人代表</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发包人派驻施工场地履行合同的代表在本合同中称为发包人代表。其姓名、职务如下：</w:t>
      </w:r>
    </w:p>
    <w:p>
      <w:pPr>
        <w:adjustRightInd w:val="0"/>
        <w:snapToGrid w:val="0"/>
        <w:spacing w:line="360" w:lineRule="auto"/>
        <w:ind w:right="11" w:firstLine="403" w:firstLineChars="192"/>
        <w:rPr>
          <w:bCs/>
          <w:strike/>
          <w:snapToGrid w:val="0"/>
          <w:kern w:val="0"/>
          <w:szCs w:val="21"/>
          <w:highlight w:val="none"/>
          <w:u w:val="single"/>
        </w:rPr>
      </w:pPr>
      <w:r>
        <w:rPr>
          <w:rFonts w:hint="eastAsia"/>
          <w:bCs/>
          <w:snapToGrid w:val="0"/>
          <w:kern w:val="0"/>
          <w:szCs w:val="21"/>
          <w:highlight w:val="none"/>
        </w:rPr>
        <w:t>联系人</w:t>
      </w:r>
      <w:r>
        <w:rPr>
          <w:bCs/>
          <w:snapToGrid w:val="0"/>
          <w:kern w:val="0"/>
          <w:szCs w:val="21"/>
          <w:highlight w:val="none"/>
        </w:rPr>
        <w:t>：</w:t>
      </w:r>
      <w:r>
        <w:rPr>
          <w:rFonts w:hint="eastAsia"/>
          <w:bCs/>
          <w:snapToGrid w:val="0"/>
          <w:kern w:val="0"/>
          <w:szCs w:val="21"/>
          <w:highlight w:val="none"/>
          <w:u w:val="single"/>
        </w:rPr>
        <w:t xml:space="preserve"> </w:t>
      </w:r>
      <w:r>
        <w:rPr>
          <w:bCs/>
          <w:snapToGrid w:val="0"/>
          <w:kern w:val="0"/>
          <w:szCs w:val="21"/>
          <w:highlight w:val="none"/>
          <w:u w:val="single"/>
        </w:rPr>
        <w:t xml:space="preserve">      </w:t>
      </w:r>
      <w:r>
        <w:rPr>
          <w:bCs/>
          <w:snapToGrid w:val="0"/>
          <w:kern w:val="0"/>
          <w:szCs w:val="21"/>
          <w:highlight w:val="none"/>
        </w:rPr>
        <w:t>。    职务：</w:t>
      </w:r>
      <w:r>
        <w:rPr>
          <w:rFonts w:hint="eastAsia"/>
          <w:bCs/>
          <w:snapToGrid w:val="0"/>
          <w:kern w:val="0"/>
          <w:szCs w:val="21"/>
          <w:highlight w:val="none"/>
          <w:u w:val="single"/>
        </w:rPr>
        <w:t xml:space="preserve"> </w:t>
      </w:r>
      <w:r>
        <w:rPr>
          <w:bCs/>
          <w:snapToGrid w:val="0"/>
          <w:kern w:val="0"/>
          <w:szCs w:val="21"/>
          <w:highlight w:val="none"/>
          <w:u w:val="single"/>
        </w:rPr>
        <w:t xml:space="preserve">     </w:t>
      </w:r>
      <w:r>
        <w:rPr>
          <w:snapToGrid w:val="0"/>
          <w:kern w:val="0"/>
          <w:szCs w:val="21"/>
          <w:highlight w:val="none"/>
          <w:u w:val="single"/>
        </w:rPr>
        <w:t xml:space="preserve"> </w:t>
      </w:r>
      <w:r>
        <w:rPr>
          <w:bCs/>
          <w:snapToGrid w:val="0"/>
          <w:kern w:val="0"/>
          <w:szCs w:val="21"/>
          <w:highlight w:val="none"/>
        </w:rPr>
        <w:t>。</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6、工程师的委派和指令</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承包人与发包人一致同意增加6.5、6.6：</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6.5除特别指明外，总监理工程师对承包人的任何工作、工程或其采用的材料和设备未提出否定意见的，不应视为已获批准，也不影响总监理工程师在以后拒绝该项工作、工程、材料设备的权利。</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6.6总监理工程师的指令应该有总监理工程师的签字，并加盖监理单位驻施工场地机构印章。</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7、项目经理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7.1本工程项目经理</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姓名：</w:t>
      </w:r>
      <w:r>
        <w:rPr>
          <w:rFonts w:hint="eastAsia"/>
          <w:b/>
          <w:snapToGrid w:val="0"/>
          <w:kern w:val="0"/>
          <w:szCs w:val="21"/>
          <w:highlight w:val="none"/>
          <w:u w:val="single"/>
        </w:rPr>
        <w:t xml:space="preserve"> </w:t>
      </w:r>
      <w:r>
        <w:rPr>
          <w:b/>
          <w:snapToGrid w:val="0"/>
          <w:kern w:val="0"/>
          <w:szCs w:val="21"/>
          <w:highlight w:val="none"/>
          <w:u w:val="single"/>
        </w:rPr>
        <w:t xml:space="preserve">         </w:t>
      </w:r>
      <w:r>
        <w:rPr>
          <w:b/>
          <w:snapToGrid w:val="0"/>
          <w:kern w:val="0"/>
          <w:szCs w:val="21"/>
          <w:highlight w:val="none"/>
        </w:rPr>
        <w:t>。    职务：</w:t>
      </w:r>
      <w:r>
        <w:rPr>
          <w:b/>
          <w:snapToGrid w:val="0"/>
          <w:kern w:val="0"/>
          <w:szCs w:val="21"/>
          <w:highlight w:val="none"/>
          <w:u w:val="single"/>
        </w:rPr>
        <w:t xml:space="preserve"> </w:t>
      </w:r>
      <w:r>
        <w:rPr>
          <w:rFonts w:hint="eastAsia"/>
          <w:b/>
          <w:snapToGrid w:val="0"/>
          <w:kern w:val="0"/>
          <w:szCs w:val="21"/>
          <w:highlight w:val="none"/>
          <w:u w:val="single"/>
        </w:rPr>
        <w:t xml:space="preserve"> </w:t>
      </w:r>
      <w:r>
        <w:rPr>
          <w:b/>
          <w:snapToGrid w:val="0"/>
          <w:kern w:val="0"/>
          <w:szCs w:val="21"/>
          <w:highlight w:val="none"/>
          <w:u w:val="single"/>
        </w:rPr>
        <w:t xml:space="preserve">       </w:t>
      </w:r>
      <w:r>
        <w:rPr>
          <w:b/>
          <w:bCs/>
          <w:snapToGrid w:val="0"/>
          <w:kern w:val="0"/>
          <w:szCs w:val="21"/>
          <w:highlight w:val="none"/>
          <w:u w:val="single"/>
        </w:rPr>
        <w:t xml:space="preserve"> </w:t>
      </w:r>
      <w:r>
        <w:rPr>
          <w:b/>
          <w:snapToGrid w:val="0"/>
          <w:kern w:val="0"/>
          <w:szCs w:val="21"/>
          <w:highlight w:val="none"/>
        </w:rPr>
        <w:t>。</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7.3合同通用条款第7.3款所提及的工期顺延情形只适用于一般节点工期。</w:t>
      </w:r>
    </w:p>
    <w:p>
      <w:pPr>
        <w:adjustRightInd w:val="0"/>
        <w:snapToGrid w:val="0"/>
        <w:spacing w:line="360" w:lineRule="auto"/>
        <w:ind w:firstLine="426"/>
        <w:rPr>
          <w:snapToGrid w:val="0"/>
          <w:kern w:val="0"/>
          <w:szCs w:val="21"/>
          <w:highlight w:val="none"/>
        </w:rPr>
      </w:pPr>
      <w:r>
        <w:rPr>
          <w:b/>
          <w:bCs/>
          <w:snapToGrid w:val="0"/>
          <w:kern w:val="0"/>
          <w:szCs w:val="21"/>
          <w:highlight w:val="none"/>
        </w:rPr>
        <w:t>承包人与发包人一致同意增加7.6至7.9：</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7.6现场管理机构及人员投入</w:t>
      </w:r>
    </w:p>
    <w:p>
      <w:pPr>
        <w:numPr>
          <w:ilvl w:val="0"/>
          <w:numId w:val="14"/>
        </w:numPr>
        <w:adjustRightInd w:val="0"/>
        <w:snapToGrid w:val="0"/>
        <w:spacing w:line="360" w:lineRule="auto"/>
        <w:ind w:firstLine="420" w:firstLineChars="200"/>
        <w:rPr>
          <w:snapToGrid w:val="0"/>
          <w:kern w:val="0"/>
          <w:szCs w:val="21"/>
          <w:highlight w:val="none"/>
        </w:rPr>
      </w:pPr>
      <w:r>
        <w:rPr>
          <w:snapToGrid w:val="0"/>
          <w:kern w:val="0"/>
          <w:szCs w:val="21"/>
          <w:highlight w:val="none"/>
        </w:rPr>
        <w:t>承包人必须按照投标文件的承诺建立现场管理机构，严格执行《建设工程项目管理规范》（GB/T50326-2017），并积极主动接受建设行政主管部门的监督和检查。</w:t>
      </w:r>
    </w:p>
    <w:p>
      <w:pPr>
        <w:numPr>
          <w:ilvl w:val="0"/>
          <w:numId w:val="14"/>
        </w:numPr>
        <w:adjustRightInd w:val="0"/>
        <w:snapToGrid w:val="0"/>
        <w:spacing w:line="360" w:lineRule="auto"/>
        <w:ind w:firstLine="420"/>
        <w:rPr>
          <w:snapToGrid w:val="0"/>
          <w:kern w:val="0"/>
          <w:szCs w:val="21"/>
          <w:highlight w:val="none"/>
        </w:rPr>
      </w:pPr>
      <w:r>
        <w:rPr>
          <w:bCs/>
          <w:snapToGrid w:val="0"/>
          <w:kern w:val="0"/>
          <w:szCs w:val="21"/>
          <w:highlight w:val="none"/>
        </w:rPr>
        <w:t>本工程</w:t>
      </w:r>
      <w:r>
        <w:rPr>
          <w:szCs w:val="21"/>
          <w:highlight w:val="none"/>
        </w:rPr>
        <w:t>项目经理、项目技术负责人和五大员（</w:t>
      </w:r>
      <w:r>
        <w:rPr>
          <w:szCs w:val="21"/>
          <w:highlight w:val="none"/>
          <w:shd w:val="clear" w:color="auto" w:fill="FFFFFF"/>
        </w:rPr>
        <w:t>施工员、质检员、安全员、材料员、预算员）必须持证上岗及驻现场办公；</w:t>
      </w:r>
      <w:r>
        <w:rPr>
          <w:rFonts w:hint="eastAsia"/>
          <w:szCs w:val="21"/>
          <w:highlight w:val="none"/>
          <w:shd w:val="clear" w:color="auto" w:fill="FFFFFF"/>
        </w:rPr>
        <w:t>项目经理、项目技术负责人应符合招标文件要求；</w:t>
      </w:r>
      <w:r>
        <w:rPr>
          <w:szCs w:val="21"/>
          <w:highlight w:val="none"/>
          <w:shd w:val="clear" w:color="auto" w:fill="FFFFFF"/>
        </w:rPr>
        <w:t>技术负责人、安全负责人、质量负责人和五大员上岗应有企业授权书，其余主要管理人员要有类似工程的管理经验。</w:t>
      </w:r>
    </w:p>
    <w:p>
      <w:pPr>
        <w:numPr>
          <w:ilvl w:val="0"/>
          <w:numId w:val="14"/>
        </w:numPr>
        <w:adjustRightInd w:val="0"/>
        <w:snapToGrid w:val="0"/>
        <w:spacing w:line="360" w:lineRule="auto"/>
        <w:ind w:firstLine="420" w:firstLineChars="200"/>
        <w:rPr>
          <w:snapToGrid w:val="0"/>
          <w:kern w:val="0"/>
          <w:szCs w:val="21"/>
          <w:highlight w:val="none"/>
        </w:rPr>
      </w:pPr>
      <w:r>
        <w:rPr>
          <w:snapToGrid w:val="0"/>
          <w:kern w:val="0"/>
          <w:szCs w:val="21"/>
          <w:highlight w:val="none"/>
        </w:rPr>
        <w:t>现场管理机构各</w:t>
      </w:r>
      <w:r>
        <w:rPr>
          <w:bCs/>
          <w:snapToGrid w:val="0"/>
          <w:kern w:val="0"/>
          <w:szCs w:val="21"/>
          <w:highlight w:val="none"/>
        </w:rPr>
        <w:t>部</w:t>
      </w:r>
      <w:r>
        <w:rPr>
          <w:snapToGrid w:val="0"/>
          <w:kern w:val="0"/>
          <w:szCs w:val="21"/>
          <w:highlight w:val="none"/>
        </w:rPr>
        <w:t>主要组织管理人员在开工前必须全部到位，并接受总监理工程师和发包人代表的查验。</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承包人委派的现场管理机构各部主要组织管理人员不得有兼职情况存在，并需接受监理单位的监督。</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38.7（3）款的约定承担违反投标承诺的违约责任，若更换项目经理而未征得发包人同意的，</w:t>
      </w:r>
      <w:r>
        <w:rPr>
          <w:rFonts w:hint="eastAsia"/>
          <w:snapToGrid w:val="0"/>
          <w:kern w:val="0"/>
          <w:szCs w:val="21"/>
          <w:highlight w:val="none"/>
        </w:rPr>
        <w:t>发包人有权按合同专用条款第38.7执行。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更换人员必须履行建设行政主管部门规定的人员变更手续，后任人员继续行使前任的职权，履行前任的义务。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7.8现场管理机构各部主要组织管理人员的</w:t>
      </w:r>
      <w:r>
        <w:rPr>
          <w:iCs/>
          <w:snapToGrid w:val="0"/>
          <w:kern w:val="0"/>
          <w:szCs w:val="21"/>
          <w:highlight w:val="none"/>
        </w:rPr>
        <w:t>实际工作能力和工作效果达不到招标文件的明确要求</w:t>
      </w:r>
      <w:r>
        <w:rPr>
          <w:snapToGrid w:val="0"/>
          <w:kern w:val="0"/>
          <w:szCs w:val="21"/>
          <w:highlight w:val="none"/>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7天内无条件撤换，并按合同专用条款第38.7（3）款的约定承担违约责任。所调换来人员的资质、资历、学历、职称、业绩、实际工作能力不低于投标文件中所承诺人员的素质，否则，按合同专用条款第38.7（3）款的约定承担违反投标承诺的违约责任。</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发包人要求承包人撤换不合格人员，如承包人既不立即撤换，也不在</w:t>
      </w:r>
      <w:r>
        <w:rPr>
          <w:snapToGrid w:val="0"/>
          <w:kern w:val="0"/>
          <w:szCs w:val="21"/>
          <w:highlight w:val="none"/>
          <w:u w:val="single"/>
        </w:rPr>
        <w:t>3</w:t>
      </w:r>
      <w:r>
        <w:rPr>
          <w:snapToGrid w:val="0"/>
          <w:kern w:val="0"/>
          <w:szCs w:val="21"/>
          <w:highlight w:val="none"/>
        </w:rPr>
        <w:t>天内提出整改意见，则视同拒绝执行发包人的指令，承包人需按合同专用条款第38.7（1）款的约定承担违约责任。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pPr>
        <w:adjustRightInd w:val="0"/>
        <w:snapToGrid w:val="0"/>
        <w:spacing w:line="360" w:lineRule="auto"/>
        <w:ind w:right="11" w:firstLine="420" w:firstLineChars="200"/>
        <w:rPr>
          <w:bCs/>
          <w:snapToGrid w:val="0"/>
          <w:kern w:val="0"/>
          <w:szCs w:val="21"/>
          <w:highlight w:val="none"/>
        </w:rPr>
      </w:pPr>
      <w:r>
        <w:rPr>
          <w:iCs/>
          <w:snapToGrid w:val="0"/>
          <w:kern w:val="0"/>
          <w:szCs w:val="21"/>
          <w:highlight w:val="none"/>
        </w:rPr>
        <w:t>7.9</w:t>
      </w:r>
      <w:r>
        <w:rPr>
          <w:bCs/>
          <w:snapToGrid w:val="0"/>
          <w:kern w:val="0"/>
          <w:szCs w:val="21"/>
          <w:highlight w:val="none"/>
        </w:rPr>
        <w:t xml:space="preserve">现场管理机构各部主要组织管理人员必须全职在现场办公，不得兼职或者擅自离岗。因特殊情况需短暂离岗的，应当事先报总监理工程师及发包人批准，且须妥善安排工作交接，并按以下约定执行： </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（1）离场半天或当天累计</w:t>
      </w:r>
      <w:r>
        <w:rPr>
          <w:bCs/>
          <w:snapToGrid w:val="0"/>
          <w:kern w:val="0"/>
          <w:szCs w:val="21"/>
          <w:highlight w:val="none"/>
          <w:u w:val="single"/>
        </w:rPr>
        <w:t>12</w:t>
      </w:r>
      <w:r>
        <w:rPr>
          <w:bCs/>
          <w:snapToGrid w:val="0"/>
          <w:kern w:val="0"/>
          <w:szCs w:val="21"/>
          <w:highlight w:val="none"/>
        </w:rPr>
        <w:t>小时内，须经总监理工程师批准同意；</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（2）离场1天或当天累计</w:t>
      </w:r>
      <w:r>
        <w:rPr>
          <w:bCs/>
          <w:snapToGrid w:val="0"/>
          <w:kern w:val="0"/>
          <w:szCs w:val="21"/>
          <w:highlight w:val="none"/>
          <w:u w:val="single"/>
        </w:rPr>
        <w:t>24</w:t>
      </w:r>
      <w:r>
        <w:rPr>
          <w:bCs/>
          <w:snapToGrid w:val="0"/>
          <w:kern w:val="0"/>
          <w:szCs w:val="21"/>
          <w:highlight w:val="none"/>
        </w:rPr>
        <w:t>小时内，须经总监理工程师同意，并经发包人代表批准；</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（3）离场2天以上（含2天）或当月累计</w:t>
      </w:r>
      <w:r>
        <w:rPr>
          <w:bCs/>
          <w:snapToGrid w:val="0"/>
          <w:kern w:val="0"/>
          <w:szCs w:val="21"/>
          <w:highlight w:val="none"/>
          <w:u w:val="single"/>
        </w:rPr>
        <w:t>48</w:t>
      </w:r>
      <w:r>
        <w:rPr>
          <w:bCs/>
          <w:snapToGrid w:val="0"/>
          <w:kern w:val="0"/>
          <w:szCs w:val="21"/>
          <w:highlight w:val="none"/>
        </w:rPr>
        <w:t>小时，须经总监理工程师及发包人代表同意，并经发包人主管部门领导批准；</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（4）一个月内累计离场时间不得超过5天（经发包人分管领导批准的除外）或当月累计</w:t>
      </w:r>
      <w:r>
        <w:rPr>
          <w:bCs/>
          <w:snapToGrid w:val="0"/>
          <w:kern w:val="0"/>
          <w:szCs w:val="21"/>
          <w:highlight w:val="none"/>
          <w:u w:val="single"/>
        </w:rPr>
        <w:t>120</w:t>
      </w:r>
      <w:r>
        <w:rPr>
          <w:bCs/>
          <w:snapToGrid w:val="0"/>
          <w:kern w:val="0"/>
          <w:szCs w:val="21"/>
          <w:highlight w:val="none"/>
        </w:rPr>
        <w:t>小时；</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（5）项目经理不论离场多久，均应经发包人分管领导批准。</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承包人若违反上述约定，应按照合同专用条款第38.7款的相关约定承担违约责任。</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本合同所称现场办公，是指在工程实施过程中，现场管理机构各部主要组织管理人员必须在施工场地全职上班，履行各自的职责。</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现场管理机构各部主要组织管理人员现场办公天数，由总监理工程师及发包人现场管理负责人按实计量。</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8、发包人工作</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8.1发包人应按约定的时间和要求完成以下工作：</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（1）施工场地具备施工条件的要求及完成的时间：发包人负责在开工前完成施工场地的征地拆迁工作，具备按设计要求进行场地平整施工的条件（合同及招标文件另有约定的除外）。</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（2）将施工所需的水、电接至施工场地的时间、地点和供应要求：发包人提供水、电驳接点。</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（3）施工场地与公共道路通道的开通时间和要求：结合现场实际情况考虑。</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（4）工程地质和地下管线资料的提供时间：开工前提供。</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（5）由发包人办理的施工所需证件、批件的名称和完成时间：发包人负责办理本工程立项许可证、建设用地规划许可证、建设工程规划许可证、报建审核书、建设用地通知书</w:t>
      </w:r>
      <w:r>
        <w:rPr>
          <w:bCs/>
          <w:iCs/>
          <w:snapToGrid w:val="0"/>
          <w:kern w:val="0"/>
          <w:szCs w:val="21"/>
          <w:highlight w:val="none"/>
        </w:rPr>
        <w:t>。</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（6）水准点与坐标控制点交验要求：发包人负责在施工现场将已施测的水准点高程与平面控制点坐标以书面形式提供给承包人，由承包人做好交验记录。</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（7）图纸会审和设计交底时间：承包人接到施工图纸后7天内进行。</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（8）协调施工场地周围地下管线和邻近建筑物、构筑物（含文物保护建筑）、古树名木的保护工作。</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8.2发包人委托承包人办理的工作：包括但不限于办理施工许可证和工程质量安全监督报建手续等工作。</w:t>
      </w:r>
    </w:p>
    <w:p>
      <w:pPr>
        <w:adjustRightInd w:val="0"/>
        <w:snapToGrid w:val="0"/>
        <w:spacing w:line="360" w:lineRule="auto"/>
        <w:ind w:right="11" w:firstLine="405" w:firstLineChars="192"/>
        <w:rPr>
          <w:bCs/>
          <w:snapToGrid w:val="0"/>
          <w:kern w:val="0"/>
          <w:szCs w:val="21"/>
          <w:highlight w:val="none"/>
        </w:rPr>
      </w:pPr>
      <w:r>
        <w:rPr>
          <w:b/>
          <w:snapToGrid w:val="0"/>
          <w:kern w:val="0"/>
          <w:szCs w:val="21"/>
          <w:highlight w:val="none"/>
        </w:rPr>
        <w:t>承包人和发包人一致同意增加8.4：</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8.4经发包人与承包人双方协商一致，发包人保留下列权利：</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（1）对用于本合同工程的材料设备的品质、质量提交质量监督检验机构（包括本合同约定的质量监督检验机构和法律法规规定的质量监督检验机构）审查确认的权利。</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（2）保留对主要材料设备的分类及采购方式进行调整的权利，承包人不得拒绝或要求调整任何单价及收费，招标文件及本合同另有约定的除外。</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9、承包人工作</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9.1承包人按合同约定的内容和时间完成以下工作：</w:t>
      </w:r>
    </w:p>
    <w:p>
      <w:pPr>
        <w:numPr>
          <w:ilvl w:val="0"/>
          <w:numId w:val="15"/>
        </w:num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pPr>
        <w:numPr>
          <w:ilvl w:val="0"/>
          <w:numId w:val="15"/>
        </w:num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BIM技术运用：发包人有权要求本项目充分运用BIM，利用BIM模块进行施工模拟、方案优化、施工安全、进度控制、造价分析、实时反馈、工程自动化、供应链管理、场地布局规划、建筑垃圾处理等等。承包人应当按发包人要求提交成果文件，包括但不限于：符合施工要求的BIM模型；根据监理单位及发包人要求完成的碰撞检测报告和阶段成果报告。项目结束时中标人应向发包人提交真实准确的竣工BIM文件，包括BIM模型、BIM应用资料和相关数据文本等。项目中的BIM模型成果及过程中产生的数据（含BIM模型软硬件）都归本项目业主单位所有。</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（3）根据工程需要，承包人提供和维修白天或夜间施工使用的照明、围栏设施，并负责安全保卫。若承包人未履行上述义务造成工程、财产、人身损害等，由承包人承担责任及因此所发生的一切费用。</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（4）</w:t>
      </w:r>
      <w:r>
        <w:rPr>
          <w:snapToGrid w:val="0"/>
          <w:kern w:val="0"/>
          <w:szCs w:val="21"/>
          <w:highlight w:val="none"/>
        </w:rPr>
        <w:t>遵守政府有关主管部门对施工场地交通、余泥排放、污水排放、节假日施工、夜间施工噪音以及环境保护和安全生产等的管理规定，</w:t>
      </w:r>
      <w:r>
        <w:rPr>
          <w:bCs/>
          <w:snapToGrid w:val="0"/>
          <w:kern w:val="0"/>
          <w:szCs w:val="21"/>
          <w:highlight w:val="none"/>
        </w:rPr>
        <w:t>按工程所在地政府主管部门的规定办理并承担由此发生的费用，并在开工之日起2个月内以书面形式知会发包人。</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（5）未移交后续施工单位或发包人使用前，对已完工工程的保护工作及费用均由承包人负责，发生损坏由承包人自费修复。</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（6）承包人应对施工场地及周围的地下管线、建筑物、构筑物（含文物保护建筑）、古树名木之状况进行勘察，根据勘察结果确定具体的保护措施并承担有关费用。若</w:t>
      </w:r>
      <w:r>
        <w:rPr>
          <w:snapToGrid w:val="0"/>
          <w:kern w:val="0"/>
          <w:szCs w:val="21"/>
          <w:highlight w:val="none"/>
        </w:rPr>
        <w:t>发现正常施工措施及现有条件已不能达到保护目的的，承包人应及时报告，经总监理工程师、发包人批准采取特殊保护处理的，发包人承担不包含在招投标内容中的额外保护费用。</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承包人应对所采取的保护措施进行监测，并应根据监测结果及时反馈信息指导施工，以确保上述受保护物件及作业人员、居民的安全。因承包人原因，受保护物件发生损坏的，由承包人承担责任并负责赔偿。</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7）承包人须按发包人批准的施工组织设计进行施工现场布置、放置材料机械及其他设施，开工前积极配合施工许可证查勘要求布置施工现场，因承包人原因造成施工许可证办理延误,发包人视情节严重程度有权要求其承担1次一般违约责任,及时将施工垃圾、余泥运出场外，保证施工场地清洁符合环境卫生管理的有关规定，达到合同协议书约定的安全生产及文明施工目标。</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施工过程中，承包人应按合同约定及时清理施工垃圾，做到工完料清，并在工程竣工验收之日起10天内完成对施工场地进行全面清理。</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（8）承包人应做的其他工作</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1）进场后每日按审定格式申报人材机投入量及实物工程量完成量，以此作为工程款（进度款）支付的依据。</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2）</w:t>
      </w:r>
      <w:r>
        <w:rPr>
          <w:snapToGrid w:val="0"/>
          <w:kern w:val="0"/>
          <w:szCs w:val="21"/>
          <w:highlight w:val="none"/>
        </w:rPr>
        <w:t>保证执行投标文件所承诺的施工组织设计中的资源投入计划，将工程施工所需的机械设备、人员、材料等资源，根据工程进度计划按时、按标准、足额投入；否则，应按</w:t>
      </w:r>
      <w:r>
        <w:rPr>
          <w:bCs/>
          <w:snapToGrid w:val="0"/>
          <w:kern w:val="0"/>
          <w:szCs w:val="21"/>
          <w:highlight w:val="none"/>
        </w:rPr>
        <w:t>合同专用条款第</w:t>
      </w:r>
      <w:r>
        <w:rPr>
          <w:snapToGrid w:val="0"/>
          <w:kern w:val="0"/>
          <w:szCs w:val="21"/>
          <w:highlight w:val="none"/>
        </w:rPr>
        <w:t>38.7（3）款的约定承担违反投标承诺的违约责任。</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施工过程中，承包人因特殊原因需变更资源投入计划或者对已投入的资源进行调整的，应当提前7天提出书面申请，报总监理工程师和发包人批准。</w:t>
      </w:r>
      <w:r>
        <w:rPr>
          <w:snapToGrid w:val="0"/>
          <w:kern w:val="0"/>
          <w:szCs w:val="21"/>
          <w:highlight w:val="none"/>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kern w:val="0"/>
          <w:szCs w:val="21"/>
          <w:highlight w:val="none"/>
        </w:rPr>
        <w:t>未经发包人许可，承包人开工后已进场的机械设备在</w:t>
      </w:r>
      <w:r>
        <w:rPr>
          <w:snapToGrid w:val="0"/>
          <w:kern w:val="0"/>
          <w:szCs w:val="21"/>
          <w:highlight w:val="none"/>
        </w:rPr>
        <w:t>任何情况下都</w:t>
      </w:r>
      <w:r>
        <w:rPr>
          <w:bCs/>
          <w:snapToGrid w:val="0"/>
          <w:kern w:val="0"/>
          <w:szCs w:val="21"/>
          <w:highlight w:val="none"/>
        </w:rPr>
        <w:t>不得在计划使用期间撤出现场。若施工机械、设备在施工过程中发生损坏，承包人必须在3天内完成修复或更换。</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因设计变更、施工现场情况变化造成工程内容、工程量变化，须调整机械、设备的规格、数量的，承包人须在变更或变化确定之日起3天内，提出完整的更新施工方案和资源投入计划，报总监理工程师和发包人批准后实施。</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3）对施工图、技术资料认真地复核和检查，有预见性地发现和指正设计缺陷和错误，应提出能实质性地节约资金和缩短工期的建议和措施。</w:t>
      </w:r>
    </w:p>
    <w:p>
      <w:pPr>
        <w:adjustRightInd w:val="0"/>
        <w:snapToGrid w:val="0"/>
        <w:spacing w:line="360" w:lineRule="auto"/>
        <w:ind w:right="11" w:firstLine="420" w:firstLineChars="200"/>
        <w:rPr>
          <w:iCs/>
          <w:snapToGrid w:val="0"/>
          <w:kern w:val="0"/>
          <w:szCs w:val="21"/>
          <w:highlight w:val="none"/>
        </w:rPr>
      </w:pPr>
      <w:bookmarkStart w:id="259" w:name="_Toc535252420"/>
      <w:bookmarkStart w:id="260" w:name="_Toc519583858"/>
      <w:r>
        <w:rPr>
          <w:iCs/>
          <w:snapToGrid w:val="0"/>
          <w:kern w:val="0"/>
          <w:szCs w:val="21"/>
          <w:highlight w:val="none"/>
        </w:rPr>
        <w:t>4）</w:t>
      </w:r>
      <w:bookmarkEnd w:id="259"/>
      <w:bookmarkEnd w:id="260"/>
      <w:r>
        <w:rPr>
          <w:iCs/>
          <w:snapToGrid w:val="0"/>
          <w:kern w:val="0"/>
          <w:szCs w:val="21"/>
          <w:highlight w:val="none"/>
        </w:rPr>
        <w:t>承包人应当清楚地预计到施工期间对外界可能产生的不可避免的干扰，并保证主动努力减少这些干扰对外界的影响，积极主动与外界进行协调。</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5）承包人应努力创建节能减排和节约型工地。</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6）承包人无偿安装地磅，开工前完成。</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7）承包人配合业主单位的优化智能化工程的管线预埋工作。</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8）承包人无条件配合桩基础工程检测（详见50.7其他约定事项）。</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9）承包人在合同签订后30天内向发包人提交10套投标文件（复印件加盖公章）存档。</w:t>
      </w:r>
    </w:p>
    <w:p>
      <w:pPr>
        <w:adjustRightInd w:val="0"/>
        <w:snapToGrid w:val="0"/>
        <w:spacing w:line="360" w:lineRule="auto"/>
        <w:ind w:right="11" w:firstLine="422" w:firstLineChars="200"/>
        <w:rPr>
          <w:b/>
          <w:iCs/>
          <w:snapToGrid w:val="0"/>
          <w:kern w:val="0"/>
          <w:szCs w:val="21"/>
          <w:highlight w:val="none"/>
        </w:rPr>
      </w:pPr>
      <w:r>
        <w:rPr>
          <w:b/>
          <w:iCs/>
          <w:snapToGrid w:val="0"/>
          <w:kern w:val="0"/>
          <w:szCs w:val="21"/>
          <w:highlight w:val="none"/>
        </w:rPr>
        <w:t>承包人与发包人一致同意增加9.3至9.10：</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9.3网络视频监控要求（</w:t>
      </w:r>
      <w:r>
        <w:rPr>
          <w:rFonts w:ascii="Wingdings 2" w:hAnsi="Wingdings 2"/>
          <w:snapToGrid w:val="0"/>
          <w:kern w:val="0"/>
          <w:sz w:val="24"/>
          <w:highlight w:val="none"/>
        </w:rPr>
        <w:t></w:t>
      </w:r>
      <w:r>
        <w:rPr>
          <w:snapToGrid w:val="0"/>
          <w:kern w:val="0"/>
          <w:szCs w:val="21"/>
          <w:highlight w:val="none"/>
        </w:rPr>
        <w:t xml:space="preserve"> 需满足花都区建设工程安全监督站要求的视频监控；</w:t>
      </w:r>
      <w:r>
        <w:rPr>
          <w:szCs w:val="21"/>
          <w:highlight w:val="none"/>
        </w:rPr>
        <w:sym w:font="Wingdings 2" w:char="00A3"/>
      </w:r>
      <w:r>
        <w:rPr>
          <w:snapToGrid w:val="0"/>
          <w:kern w:val="0"/>
          <w:szCs w:val="21"/>
          <w:highlight w:val="none"/>
        </w:rPr>
        <w:t xml:space="preserve"> 及需满足发包人调度使用的远程工地视频监控系统）</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1）承包人必须遵照《关于广州市建筑工地安装视频监控装置的通知》（穗建筑</w:t>
      </w:r>
      <w:r>
        <w:rPr>
          <w:rFonts w:hint="eastAsia" w:ascii="宋体" w:hAnsi="宋体"/>
          <w:bCs/>
          <w:iCs/>
          <w:snapToGrid w:val="0"/>
          <w:kern w:val="0"/>
          <w:szCs w:val="21"/>
          <w:highlight w:val="none"/>
        </w:rPr>
        <w:t>〔</w:t>
      </w:r>
      <w:r>
        <w:rPr>
          <w:bCs/>
          <w:iCs/>
          <w:snapToGrid w:val="0"/>
          <w:kern w:val="0"/>
          <w:szCs w:val="21"/>
          <w:highlight w:val="none"/>
        </w:rPr>
        <w:t>2006</w:t>
      </w:r>
      <w:r>
        <w:rPr>
          <w:rFonts w:hint="eastAsia" w:ascii="宋体" w:hAnsi="宋体"/>
          <w:bCs/>
          <w:iCs/>
          <w:snapToGrid w:val="0"/>
          <w:kern w:val="0"/>
          <w:szCs w:val="21"/>
          <w:highlight w:val="none"/>
        </w:rPr>
        <w:t>〕</w:t>
      </w:r>
      <w:r>
        <w:rPr>
          <w:bCs/>
          <w:iCs/>
          <w:snapToGrid w:val="0"/>
          <w:kern w:val="0"/>
          <w:szCs w:val="21"/>
          <w:highlight w:val="none"/>
        </w:rPr>
        <w:t>551号）和《关于全面启动广州市社会治安视频监控系统建设有关问题的通知》（穗视频建字</w:t>
      </w:r>
      <w:r>
        <w:rPr>
          <w:rFonts w:hint="eastAsia" w:ascii="宋体" w:hAnsi="宋体"/>
          <w:bCs/>
          <w:iCs/>
          <w:snapToGrid w:val="0"/>
          <w:kern w:val="0"/>
          <w:szCs w:val="21"/>
          <w:highlight w:val="none"/>
        </w:rPr>
        <w:t>〔</w:t>
      </w:r>
      <w:r>
        <w:rPr>
          <w:bCs/>
          <w:iCs/>
          <w:snapToGrid w:val="0"/>
          <w:kern w:val="0"/>
          <w:szCs w:val="21"/>
          <w:highlight w:val="none"/>
        </w:rPr>
        <w:t>2006</w:t>
      </w:r>
      <w:r>
        <w:rPr>
          <w:rFonts w:hint="eastAsia" w:ascii="宋体" w:hAnsi="宋体"/>
          <w:bCs/>
          <w:iCs/>
          <w:snapToGrid w:val="0"/>
          <w:kern w:val="0"/>
          <w:szCs w:val="21"/>
          <w:highlight w:val="none"/>
        </w:rPr>
        <w:t>〕</w:t>
      </w:r>
      <w:r>
        <w:rPr>
          <w:bCs/>
          <w:iCs/>
          <w:snapToGrid w:val="0"/>
          <w:kern w:val="0"/>
          <w:szCs w:val="21"/>
          <w:highlight w:val="none"/>
        </w:rPr>
        <w:t>1号）的要求，建立满足隐蔽工程和关键工序质量监控、安全文明施工监控、验收监控等需要的视频监控系统（以通过发包人验收为准）。</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2）施工现场视频监控的部位应当覆盖以下基本部位：大门及围墙、临时用电设施、深基坑、高支摸体系、附着式升降脚手架（整体提升架或爬架）、外用电梯、塔吊、物料提升机（龙门架、井字架）等。</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3）承包人应建立视频监控系统资料的收集、查阅、检索等档案系统，并安排专人负责。</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9.4承包人应在签订本合同的同时按招标文件提供的格式与发包人签订《工程质量保修书》、《工程建设廉洁协议书》、《安全生产合同》、《工程结算工作协议书》、《施工总承包承诺书》等文件。</w:t>
      </w:r>
    </w:p>
    <w:p>
      <w:pPr>
        <w:adjustRightInd w:val="0"/>
        <w:snapToGrid w:val="0"/>
        <w:spacing w:line="360" w:lineRule="auto"/>
        <w:ind w:right="11" w:firstLine="420" w:firstLineChars="200"/>
        <w:rPr>
          <w:snapToGrid w:val="0"/>
          <w:kern w:val="0"/>
          <w:szCs w:val="21"/>
          <w:highlight w:val="none"/>
        </w:rPr>
      </w:pPr>
      <w:r>
        <w:rPr>
          <w:bCs/>
          <w:iCs/>
          <w:snapToGrid w:val="0"/>
          <w:kern w:val="0"/>
          <w:szCs w:val="21"/>
          <w:highlight w:val="none"/>
        </w:rPr>
        <w:t>9.5</w:t>
      </w:r>
      <w:r>
        <w:rPr>
          <w:snapToGrid w:val="0"/>
          <w:kern w:val="0"/>
          <w:szCs w:val="21"/>
          <w:highlight w:val="none"/>
        </w:rPr>
        <w:t>承包人应当按照国家及广东省、广州市的有关规定和本合同的有关约定加强其参与本工程建设人员（包括施工人员）的管理。</w:t>
      </w:r>
    </w:p>
    <w:p>
      <w:pPr>
        <w:adjustRightInd w:val="0"/>
        <w:snapToGrid w:val="0"/>
        <w:spacing w:line="360" w:lineRule="auto"/>
        <w:ind w:right="11" w:firstLine="420" w:firstLineChars="200"/>
        <w:rPr>
          <w:snapToGrid w:val="0"/>
          <w:kern w:val="0"/>
          <w:szCs w:val="21"/>
          <w:highlight w:val="none"/>
        </w:rPr>
      </w:pPr>
      <w:r>
        <w:rPr>
          <w:bCs/>
          <w:iCs/>
          <w:snapToGrid w:val="0"/>
          <w:kern w:val="0"/>
          <w:szCs w:val="21"/>
          <w:highlight w:val="none"/>
        </w:rPr>
        <w:t>（1）</w:t>
      </w:r>
      <w:r>
        <w:rPr>
          <w:snapToGrid w:val="0"/>
          <w:kern w:val="0"/>
          <w:szCs w:val="21"/>
          <w:highlight w:val="none"/>
        </w:rPr>
        <w:t>实行平安卡管理制度</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1）承包人应按广州市的有关规定，对其参与本工程建设的所有管理人员和作业人员（包括施工人员）实行平安卡管理制度，上岗时一律佩带平安卡，并统一服装。</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2）承包人应牵头负责其管理范围内所有专业承包单位和分包单位实行平安卡管理制度的工作并予以落实。</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3）发包人及监理单位将不定期抽查承包人及其所管辖的专业承包单位和分包单位实行平安卡管理制度的情况，如发现违反本合同有关约定的，由承包人按</w:t>
      </w:r>
      <w:r>
        <w:rPr>
          <w:bCs/>
          <w:snapToGrid w:val="0"/>
          <w:kern w:val="0"/>
          <w:szCs w:val="21"/>
          <w:highlight w:val="none"/>
        </w:rPr>
        <w:t>合同专用条款第</w:t>
      </w:r>
      <w:r>
        <w:rPr>
          <w:snapToGrid w:val="0"/>
          <w:kern w:val="0"/>
          <w:szCs w:val="21"/>
          <w:highlight w:val="none"/>
        </w:rPr>
        <w:t>38.7（4）款的约定承担违约责任。如发现有冒名顶替或人不到场而代为刷卡等弄虚作假现象的，由承包人按</w:t>
      </w:r>
      <w:r>
        <w:rPr>
          <w:bCs/>
          <w:snapToGrid w:val="0"/>
          <w:kern w:val="0"/>
          <w:szCs w:val="21"/>
          <w:highlight w:val="none"/>
        </w:rPr>
        <w:t>合同专用条款第</w:t>
      </w:r>
      <w:r>
        <w:rPr>
          <w:snapToGrid w:val="0"/>
          <w:kern w:val="0"/>
          <w:szCs w:val="21"/>
          <w:highlight w:val="none"/>
        </w:rPr>
        <w:t>38.7（3）款的约定承担违约责任。</w:t>
      </w:r>
    </w:p>
    <w:p>
      <w:pPr>
        <w:adjustRightInd w:val="0"/>
        <w:snapToGrid w:val="0"/>
        <w:spacing w:line="360" w:lineRule="auto"/>
        <w:ind w:right="11" w:firstLine="420" w:firstLineChars="200"/>
        <w:rPr>
          <w:snapToGrid w:val="0"/>
          <w:kern w:val="0"/>
          <w:szCs w:val="21"/>
          <w:highlight w:val="none"/>
        </w:rPr>
      </w:pPr>
      <w:r>
        <w:rPr>
          <w:bCs/>
          <w:iCs/>
          <w:snapToGrid w:val="0"/>
          <w:kern w:val="0"/>
          <w:szCs w:val="21"/>
          <w:highlight w:val="none"/>
        </w:rPr>
        <w:t>（2）</w:t>
      </w:r>
      <w:r>
        <w:rPr>
          <w:snapToGrid w:val="0"/>
          <w:kern w:val="0"/>
          <w:szCs w:val="21"/>
          <w:highlight w:val="none"/>
        </w:rPr>
        <w:t>按时足额支付施工人员工资</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1）承包人应当根据劳动合同约定的施工人员工资标准等内容，按照依法签订的集体合同或劳动合同约定的日期按月支付工资，并不得低于当地最低工资标准。</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2）承包人应每月编制</w:t>
      </w:r>
      <w:r>
        <w:rPr>
          <w:snapToGrid w:val="0"/>
          <w:kern w:val="0"/>
          <w:szCs w:val="21"/>
          <w:highlight w:val="none"/>
        </w:rPr>
        <w:t>施工人员</w:t>
      </w:r>
      <w:r>
        <w:rPr>
          <w:bCs/>
          <w:iCs/>
          <w:snapToGrid w:val="0"/>
          <w:kern w:val="0"/>
          <w:szCs w:val="21"/>
          <w:highlight w:val="none"/>
        </w:rPr>
        <w:t>工资支付表，如实记录支付时间、支付对象、支付金额等工资支付情况，并于每月底在其现场管理机构办公场所显眼位置公示，接受监督。</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3）承包人应对其专业分包或劳务分包单位工资支付进行监督，督促其依法支付施工人员工资。</w:t>
      </w:r>
    </w:p>
    <w:p>
      <w:pPr>
        <w:adjustRightInd w:val="0"/>
        <w:snapToGrid w:val="0"/>
        <w:spacing w:line="360" w:lineRule="auto"/>
        <w:ind w:right="11" w:firstLine="420" w:firstLineChars="200"/>
        <w:rPr>
          <w:snapToGrid w:val="0"/>
          <w:kern w:val="0"/>
          <w:szCs w:val="21"/>
          <w:highlight w:val="none"/>
        </w:rPr>
      </w:pPr>
      <w:r>
        <w:rPr>
          <w:bCs/>
          <w:iCs/>
          <w:snapToGrid w:val="0"/>
          <w:kern w:val="0"/>
          <w:szCs w:val="21"/>
          <w:highlight w:val="none"/>
        </w:rPr>
        <w:t>4）承包人</w:t>
      </w:r>
      <w:r>
        <w:rPr>
          <w:snapToGrid w:val="0"/>
          <w:kern w:val="0"/>
          <w:szCs w:val="21"/>
          <w:highlight w:val="none"/>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kern w:val="0"/>
          <w:szCs w:val="21"/>
          <w:highlight w:val="none"/>
        </w:rPr>
        <w:t>承包人</w:t>
      </w:r>
      <w:r>
        <w:rPr>
          <w:snapToGrid w:val="0"/>
          <w:kern w:val="0"/>
          <w:szCs w:val="21"/>
          <w:highlight w:val="none"/>
        </w:rPr>
        <w:t>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5）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pPr>
        <w:adjustRightInd w:val="0"/>
        <w:snapToGrid w:val="0"/>
        <w:spacing w:line="360" w:lineRule="auto"/>
        <w:ind w:right="11" w:firstLine="420" w:firstLineChars="200"/>
        <w:rPr>
          <w:bCs/>
          <w:iCs/>
          <w:snapToGrid w:val="0"/>
          <w:kern w:val="0"/>
          <w:szCs w:val="21"/>
          <w:highlight w:val="none"/>
        </w:rPr>
      </w:pPr>
      <w:r>
        <w:rPr>
          <w:snapToGrid w:val="0"/>
          <w:kern w:val="0"/>
          <w:szCs w:val="21"/>
          <w:highlight w:val="none"/>
        </w:rPr>
        <w:t>6）</w:t>
      </w:r>
      <w:r>
        <w:rPr>
          <w:bCs/>
          <w:iCs/>
          <w:snapToGrid w:val="0"/>
          <w:kern w:val="0"/>
          <w:szCs w:val="21"/>
          <w:highlight w:val="none"/>
        </w:rPr>
        <w:t>承包人必须</w:t>
      </w:r>
      <w:r>
        <w:rPr>
          <w:snapToGrid w:val="0"/>
          <w:kern w:val="0"/>
          <w:szCs w:val="21"/>
          <w:highlight w:val="none"/>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（3）成立处理劳资纠纷的协调机构</w:t>
      </w:r>
    </w:p>
    <w:p>
      <w:pPr>
        <w:adjustRightInd w:val="0"/>
        <w:snapToGrid w:val="0"/>
        <w:spacing w:line="360" w:lineRule="auto"/>
        <w:ind w:firstLine="420" w:firstLineChars="200"/>
        <w:rPr>
          <w:bCs/>
          <w:iCs/>
          <w:snapToGrid w:val="0"/>
          <w:kern w:val="0"/>
          <w:szCs w:val="21"/>
          <w:highlight w:val="none"/>
        </w:rPr>
      </w:pPr>
      <w:r>
        <w:rPr>
          <w:bCs/>
          <w:iCs/>
          <w:snapToGrid w:val="0"/>
          <w:kern w:val="0"/>
          <w:szCs w:val="21"/>
          <w:highlight w:val="none"/>
        </w:rPr>
        <w:t>承包人</w:t>
      </w:r>
      <w:r>
        <w:rPr>
          <w:snapToGrid w:val="0"/>
          <w:kern w:val="0"/>
          <w:szCs w:val="21"/>
          <w:highlight w:val="none"/>
        </w:rPr>
        <w:t>必须成立处理劳资纠纷的协调机构，</w:t>
      </w:r>
      <w:r>
        <w:rPr>
          <w:bCs/>
          <w:iCs/>
          <w:snapToGrid w:val="0"/>
          <w:kern w:val="0"/>
          <w:szCs w:val="21"/>
          <w:highlight w:val="none"/>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djustRightInd w:val="0"/>
        <w:snapToGrid w:val="0"/>
        <w:spacing w:line="360" w:lineRule="auto"/>
        <w:ind w:firstLine="480" w:firstLineChars="200"/>
        <w:rPr>
          <w:snapToGrid w:val="0"/>
          <w:kern w:val="0"/>
          <w:szCs w:val="21"/>
          <w:highlight w:val="none"/>
        </w:rPr>
      </w:pPr>
      <w:r>
        <w:rPr>
          <w:rFonts w:ascii="Wingdings 2" w:hAnsi="Wingdings 2"/>
          <w:snapToGrid w:val="0"/>
          <w:kern w:val="0"/>
          <w:sz w:val="24"/>
          <w:highlight w:val="none"/>
        </w:rPr>
        <w:t></w:t>
      </w:r>
      <w:r>
        <w:rPr>
          <w:bCs/>
          <w:iCs/>
          <w:snapToGrid w:val="0"/>
          <w:kern w:val="0"/>
          <w:szCs w:val="21"/>
          <w:highlight w:val="none"/>
        </w:rPr>
        <w:t xml:space="preserve"> 9.6承包人须按照本合同约定履行施工管理和配合服务，包括但不限于下列工作内容：</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（1）项目进度管理；</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（2）施工现场临时设施搭建和管理；</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（3）文明施工和安全生产管理；</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（4）综合管理；</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（5）成品保护；</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（6）设计配合与技术督导配合；</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（7）竣工验收、竣工资料（含竣工图）管理；</w:t>
      </w:r>
    </w:p>
    <w:p>
      <w:pPr>
        <w:adjustRightInd w:val="0"/>
        <w:snapToGrid w:val="0"/>
        <w:spacing w:line="360" w:lineRule="auto"/>
        <w:ind w:right="11" w:firstLine="420" w:firstLineChars="200"/>
        <w:rPr>
          <w:bCs/>
          <w:iCs/>
          <w:snapToGrid w:val="0"/>
          <w:kern w:val="0"/>
          <w:szCs w:val="21"/>
          <w:highlight w:val="none"/>
        </w:rPr>
      </w:pPr>
      <w:r>
        <w:rPr>
          <w:bCs/>
          <w:iCs/>
          <w:snapToGrid w:val="0"/>
          <w:kern w:val="0"/>
          <w:szCs w:val="21"/>
          <w:highlight w:val="none"/>
        </w:rPr>
        <w:t>（8）发包人交办的其他任务。</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9.7承包人须于每月最后一日前向总监理工程师提供综合报表（内容包括但不限于如下计划、报表或报告），经总监理工程师审核，并报发包人批准后实施：</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上月工程进度款《资金使用反馈表》（统计时段从上上月25日至上月24日），并提交已支付分包及材料设备供货单位价款凭证复印件，由总监理工程师核实确认资金落实情况并报发包人，以保证承包人将工程进度款专用于本工程。</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snapToGrid w:val="0"/>
          <w:kern w:val="0"/>
          <w:szCs w:val="21"/>
          <w:highlight w:val="none"/>
        </w:rPr>
        <w:t>其管理范围内各专业间的组织管理、协调、配合等方面情况及所出现问题的专项报告</w:t>
      </w:r>
      <w:r>
        <w:rPr>
          <w:bCs/>
          <w:snapToGrid w:val="0"/>
          <w:kern w:val="0"/>
          <w:szCs w:val="21"/>
          <w:highlight w:val="none"/>
        </w:rPr>
        <w:t>（统计时段从上月25日至当月24日）。</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（3）下月资金使用计划，下月施工进度计划，下月施工拟投入设备、劳动力计划（统计时段从本月25日至下月24日）。</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所有计划、报表及报告的具体格式，应按照发包人信息采集办法要求，填报发包人工程管理系统可识别的电子文件。</w:t>
      </w:r>
    </w:p>
    <w:p>
      <w:pPr>
        <w:adjustRightInd w:val="0"/>
        <w:snapToGrid w:val="0"/>
        <w:spacing w:line="360" w:lineRule="auto"/>
        <w:ind w:firstLine="420" w:firstLineChars="200"/>
        <w:rPr>
          <w:snapToGrid w:val="0"/>
          <w:kern w:val="0"/>
          <w:szCs w:val="21"/>
          <w:highlight w:val="none"/>
        </w:rPr>
      </w:pPr>
      <w:r>
        <w:rPr>
          <w:szCs w:val="21"/>
          <w:highlight w:val="none"/>
        </w:rPr>
        <w:sym w:font="Wingdings 2" w:char="00A3"/>
      </w:r>
      <w:r>
        <w:rPr>
          <w:bCs/>
          <w:snapToGrid w:val="0"/>
          <w:kern w:val="0"/>
          <w:szCs w:val="21"/>
          <w:highlight w:val="none"/>
        </w:rPr>
        <w:t xml:space="preserve"> 9.8分部验收工作计划的提交要求</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pPr>
        <w:adjustRightInd w:val="0"/>
        <w:snapToGrid w:val="0"/>
        <w:spacing w:line="360" w:lineRule="auto"/>
        <w:ind w:firstLine="420" w:firstLineChars="200"/>
        <w:rPr>
          <w:snapToGrid w:val="0"/>
          <w:kern w:val="0"/>
          <w:szCs w:val="21"/>
          <w:highlight w:val="none"/>
        </w:rPr>
      </w:pPr>
      <w:r>
        <w:rPr>
          <w:szCs w:val="21"/>
          <w:highlight w:val="none"/>
        </w:rPr>
        <w:sym w:font="Wingdings 2" w:char="00A3"/>
      </w:r>
      <w:r>
        <w:rPr>
          <w:bCs/>
          <w:snapToGrid w:val="0"/>
          <w:kern w:val="0"/>
          <w:szCs w:val="21"/>
          <w:highlight w:val="none"/>
        </w:rPr>
        <w:t xml:space="preserve"> 9.9分段结算工作计划的提交要求</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承包人须于进场之日起15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（1）如本工程仅由一个单项工程组成，则分段结算原则上应以单位工程为界面来划分。特殊情况下，经发包人批准的，也可以分部工程为界面来划分。</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（2）如本工程由两个或两个以上单项工程组成，则分段结算原则上应以单项工程为界面来划分。特殊情况下，经发包人批准的，也可以各单项工程中的单位工程或分部工程为界面来划分。</w:t>
      </w:r>
    </w:p>
    <w:p>
      <w:pPr>
        <w:adjustRightInd w:val="0"/>
        <w:snapToGrid w:val="0"/>
        <w:spacing w:line="360" w:lineRule="auto"/>
        <w:ind w:firstLine="420" w:firstLineChars="200"/>
        <w:rPr>
          <w:snapToGrid w:val="0"/>
          <w:kern w:val="0"/>
          <w:szCs w:val="21"/>
          <w:highlight w:val="none"/>
        </w:rPr>
      </w:pPr>
      <w:r>
        <w:rPr>
          <w:szCs w:val="21"/>
          <w:highlight w:val="none"/>
        </w:rPr>
        <w:sym w:font="Wingdings 2" w:char="00A3"/>
      </w:r>
      <w:r>
        <w:rPr>
          <w:bCs/>
          <w:snapToGrid w:val="0"/>
          <w:kern w:val="0"/>
          <w:szCs w:val="21"/>
          <w:highlight w:val="none"/>
        </w:rPr>
        <w:t xml:space="preserve"> 9.10分段结算资料提交要求</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推行分段结算的工程，承包人应当按审定的分段结算工作计划按时向发包人提交如下分段结算涉及到的资料（包括但不限于）：</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（1）结算书；</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（2）工程量计算书（即计算底稿）；</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（3）钢筋抽料表（建筑、市政、园林景观等工程适用）；</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（4）图纸会审记录；</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（5）设计变更单；</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（6）工程洽商记录；</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（7）总监理工程师通知或发包人施工指令；</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（8）会议纪要；</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（9）工程签证；</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（10）材料设备单价呈批审核单；</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（11）综合单价呈批审核单；</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（12）发包人供应材料收货验收签收单；</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（13）验收记录或验收报告；</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（14）其他分段结算资料；</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（15）移交资料签收表。</w:t>
      </w:r>
    </w:p>
    <w:p>
      <w:pPr>
        <w:pStyle w:val="4"/>
        <w:jc w:val="left"/>
        <w:rPr>
          <w:snapToGrid w:val="0"/>
          <w:kern w:val="0"/>
          <w:highlight w:val="none"/>
        </w:rPr>
      </w:pPr>
      <w:bookmarkStart w:id="261" w:name="_Toc520358056"/>
      <w:bookmarkStart w:id="262" w:name="_Toc520902829"/>
      <w:bookmarkStart w:id="263" w:name="_Toc517774562"/>
      <w:bookmarkStart w:id="264" w:name="_Toc519502252"/>
      <w:bookmarkStart w:id="265" w:name="_Toc514681184"/>
      <w:bookmarkStart w:id="266" w:name="_Toc517954575"/>
      <w:bookmarkStart w:id="267" w:name="_Toc514664862"/>
      <w:bookmarkStart w:id="268" w:name="_Toc514663860"/>
      <w:bookmarkStart w:id="269" w:name="_Toc518481734"/>
      <w:bookmarkStart w:id="270" w:name="_Toc514665284"/>
      <w:bookmarkStart w:id="271" w:name="_Toc520902607"/>
      <w:bookmarkStart w:id="272" w:name="_Toc516495978"/>
      <w:bookmarkStart w:id="273" w:name="_Toc514666975"/>
      <w:bookmarkStart w:id="274" w:name="_Toc514681765"/>
      <w:bookmarkStart w:id="275" w:name="_Toc514665145"/>
      <w:bookmarkStart w:id="276" w:name="_Toc520358232"/>
      <w:bookmarkStart w:id="277" w:name="_Toc520902758"/>
      <w:bookmarkStart w:id="278" w:name="_Toc132813118"/>
      <w:bookmarkStart w:id="279" w:name="_Toc520901462"/>
      <w:bookmarkStart w:id="280" w:name="_Toc519503082"/>
      <w:r>
        <w:rPr>
          <w:snapToGrid w:val="0"/>
          <w:kern w:val="0"/>
          <w:highlight w:val="none"/>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10、进度计划</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10.1计划的提交和确认</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（1）承包人应于收到总监理工程师的进场通知之日起7天内向总监理工程师提交项目及单位工程的施工组织设计与进度计划。</w:t>
      </w:r>
    </w:p>
    <w:p>
      <w:pPr>
        <w:adjustRightInd w:val="0"/>
        <w:snapToGrid w:val="0"/>
        <w:spacing w:line="360" w:lineRule="auto"/>
        <w:ind w:firstLine="480"/>
        <w:rPr>
          <w:snapToGrid w:val="0"/>
          <w:kern w:val="0"/>
          <w:szCs w:val="21"/>
          <w:highlight w:val="none"/>
        </w:rPr>
      </w:pPr>
      <w:r>
        <w:rPr>
          <w:snapToGrid w:val="0"/>
          <w:kern w:val="0"/>
          <w:szCs w:val="21"/>
          <w:highlight w:val="none"/>
        </w:rPr>
        <w:t>承包人提交的施工组织设计应当载明如下内容</w:t>
      </w:r>
      <w:r>
        <w:rPr>
          <w:bCs/>
          <w:snapToGrid w:val="0"/>
          <w:kern w:val="0"/>
          <w:szCs w:val="21"/>
          <w:highlight w:val="none"/>
        </w:rPr>
        <w:t>（包括但不限于）</w:t>
      </w:r>
      <w:r>
        <w:rPr>
          <w:snapToGrid w:val="0"/>
          <w:kern w:val="0"/>
          <w:szCs w:val="21"/>
          <w:highlight w:val="none"/>
        </w:rPr>
        <w:t>：</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1）各分部分项工程完整的施工方案；</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2）施工资源投入计划，包括：机械设备详细清单、进场计划、工程材料和物料进场及仓储计划、项目架构及人员进场计划等；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3）施工现场平面布置图（包括施工道路平面图、各种临时设施、施工用水、监控设施、施工机具、材料构配件存放位置）；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4）季节性施工措施；</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5）地下管线及其他地下设施的处理措施；</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6）保证工期、质量的措施；</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7）保证安全生产、文明施工、减少扰民，且满足环境保护要求的措施；</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8）妥善处理与相邻施工作业现场关系的措施；</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9）其他与工程施工有关的管理方案、措施。</w:t>
      </w:r>
    </w:p>
    <w:p>
      <w:pPr>
        <w:adjustRightInd w:val="0"/>
        <w:snapToGrid w:val="0"/>
        <w:spacing w:line="360" w:lineRule="auto"/>
        <w:ind w:right="11" w:firstLine="403" w:firstLineChars="192"/>
        <w:rPr>
          <w:snapToGrid w:val="0"/>
          <w:kern w:val="0"/>
          <w:szCs w:val="21"/>
          <w:highlight w:val="none"/>
        </w:rPr>
      </w:pPr>
      <w:r>
        <w:rPr>
          <w:bCs/>
          <w:snapToGrid w:val="0"/>
          <w:kern w:val="0"/>
          <w:szCs w:val="21"/>
          <w:highlight w:val="none"/>
        </w:rPr>
        <w:t>承包人编制的</w:t>
      </w:r>
      <w:r>
        <w:rPr>
          <w:snapToGrid w:val="0"/>
          <w:kern w:val="0"/>
          <w:szCs w:val="21"/>
          <w:highlight w:val="none"/>
        </w:rPr>
        <w:t>工程进度计划内容应全面详实，且应针对本工程施工承包范围内的施工作业和特点提出，并在各节点位置标注相应的工程量、资金使用计划、人力机械组织及材料消耗量。</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基坑支护、脚手架、高支模等专项施工方案，），则应按政府有关规定召开专家评审会评审。</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承包人和发包人一致同意增加10.4：</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10.4计划的执行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（1）承包人应当加强计划管理，严格按照总监理工程师确认的工程进度计划组织施工，并接受总监理工程师对工程进度的检查、监督。</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（2）为便于总监理工程师掌握和控制工期，承包人应于每月底向总监理工程师填报当月工程进度计划完成情况（没完成计划的必须说明原因），</w:t>
      </w:r>
      <w:r>
        <w:rPr>
          <w:bCs/>
          <w:snapToGrid w:val="0"/>
          <w:kern w:val="0"/>
          <w:szCs w:val="21"/>
          <w:highlight w:val="none"/>
        </w:rPr>
        <w:t>并在此基础上更新工程进度计划、</w:t>
      </w:r>
      <w:r>
        <w:rPr>
          <w:snapToGrid w:val="0"/>
          <w:kern w:val="0"/>
          <w:szCs w:val="21"/>
          <w:highlight w:val="none"/>
        </w:rPr>
        <w:t>资金计划和其他工作计划。总监理工程师在接到报告后应当予以确认或提出书面意见，承包人必须按照总监理工程师的确认或者书面意见执行。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kern w:val="0"/>
          <w:szCs w:val="21"/>
          <w:highlight w:val="none"/>
        </w:rPr>
        <w:t>之日起10天内采取有效措施，工程进度仍然无明显改</w:t>
      </w:r>
      <w:r>
        <w:rPr>
          <w:snapToGrid w:val="0"/>
          <w:kern w:val="0"/>
          <w:szCs w:val="21"/>
          <w:highlight w:val="none"/>
        </w:rPr>
        <w:t>进，发包人有权部分或全部解除合同，将未完工程另行发包给其他有能力的施工单位；承包人必须无条件服从，由此所造成的损失全部由承包人承担。</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承包人和发包人一致同意不适用合同通用条款第11条的约定，代之以：</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11、开工及延期开工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承包人必须在收到发包人进场通知的次日进入施工场地，做好施工准备工作，尽快开工。在工程已具备开工条件，但因</w:t>
      </w:r>
      <w:r>
        <w:rPr>
          <w:bCs/>
          <w:snapToGrid w:val="0"/>
          <w:kern w:val="0"/>
          <w:szCs w:val="21"/>
          <w:highlight w:val="none"/>
        </w:rPr>
        <w:t>承包人自身的原因（包括但不限于项目经理及现场管理机构其他人员尚未到位）而无法实际开工</w:t>
      </w:r>
      <w:r>
        <w:rPr>
          <w:snapToGrid w:val="0"/>
          <w:kern w:val="0"/>
          <w:szCs w:val="21"/>
          <w:highlight w:val="none"/>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38.8款的有关约定处理。</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承包人和发包人一致同意不适用合同通用条款第12条的约定，代之以：</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12、暂停施工</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12.1</w:t>
      </w:r>
      <w:r>
        <w:rPr>
          <w:snapToGrid w:val="0"/>
          <w:kern w:val="0"/>
          <w:szCs w:val="21"/>
          <w:highlight w:val="none"/>
        </w:rPr>
        <w:t>因下列原因，总监理工程师报经发包人同意，可通知承包人暂停施工：</w:t>
      </w:r>
    </w:p>
    <w:p>
      <w:pPr>
        <w:adjustRightInd w:val="0"/>
        <w:snapToGrid w:val="0"/>
        <w:spacing w:line="360" w:lineRule="auto"/>
        <w:ind w:left="420"/>
        <w:rPr>
          <w:snapToGrid w:val="0"/>
          <w:kern w:val="0"/>
          <w:szCs w:val="21"/>
          <w:highlight w:val="none"/>
        </w:rPr>
      </w:pPr>
      <w:r>
        <w:rPr>
          <w:snapToGrid w:val="0"/>
          <w:kern w:val="0"/>
          <w:szCs w:val="21"/>
          <w:highlight w:val="none"/>
        </w:rPr>
        <w:t>（1）工程设计发生重大变更；</w:t>
      </w:r>
    </w:p>
    <w:p>
      <w:pPr>
        <w:adjustRightInd w:val="0"/>
        <w:snapToGrid w:val="0"/>
        <w:spacing w:line="360" w:lineRule="auto"/>
        <w:ind w:left="420"/>
        <w:rPr>
          <w:snapToGrid w:val="0"/>
          <w:kern w:val="0"/>
          <w:szCs w:val="21"/>
          <w:highlight w:val="none"/>
        </w:rPr>
      </w:pPr>
      <w:r>
        <w:rPr>
          <w:snapToGrid w:val="0"/>
          <w:kern w:val="0"/>
          <w:szCs w:val="21"/>
          <w:highlight w:val="none"/>
        </w:rPr>
        <w:t>（2）不可抗力；</w:t>
      </w:r>
    </w:p>
    <w:p>
      <w:pPr>
        <w:adjustRightInd w:val="0"/>
        <w:snapToGrid w:val="0"/>
        <w:spacing w:line="360" w:lineRule="auto"/>
        <w:ind w:left="420"/>
        <w:rPr>
          <w:snapToGrid w:val="0"/>
          <w:kern w:val="0"/>
          <w:szCs w:val="21"/>
          <w:highlight w:val="none"/>
        </w:rPr>
      </w:pPr>
      <w:r>
        <w:rPr>
          <w:snapToGrid w:val="0"/>
          <w:kern w:val="0"/>
          <w:szCs w:val="21"/>
          <w:highlight w:val="none"/>
        </w:rPr>
        <w:t>（3）质量事故；</w:t>
      </w:r>
    </w:p>
    <w:p>
      <w:pPr>
        <w:adjustRightInd w:val="0"/>
        <w:snapToGrid w:val="0"/>
        <w:spacing w:line="360" w:lineRule="auto"/>
        <w:ind w:left="420"/>
        <w:rPr>
          <w:snapToGrid w:val="0"/>
          <w:kern w:val="0"/>
          <w:szCs w:val="21"/>
          <w:highlight w:val="none"/>
        </w:rPr>
      </w:pPr>
      <w:r>
        <w:rPr>
          <w:snapToGrid w:val="0"/>
          <w:kern w:val="0"/>
          <w:szCs w:val="21"/>
          <w:highlight w:val="none"/>
        </w:rPr>
        <w:t>（4）安全生产事故。</w:t>
      </w:r>
    </w:p>
    <w:p>
      <w:pPr>
        <w:adjustRightInd w:val="0"/>
        <w:snapToGrid w:val="0"/>
        <w:spacing w:line="360" w:lineRule="auto"/>
        <w:ind w:firstLine="420" w:firstLineChars="200"/>
        <w:rPr>
          <w:snapToGrid w:val="0"/>
          <w:kern w:val="0"/>
          <w:szCs w:val="21"/>
          <w:highlight w:val="none"/>
          <w:shd w:val="clear" w:color="auto" w:fill="999999"/>
        </w:rPr>
      </w:pPr>
      <w:r>
        <w:rPr>
          <w:snapToGrid w:val="0"/>
          <w:kern w:val="0"/>
          <w:szCs w:val="21"/>
          <w:highlight w:val="none"/>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pPr>
        <w:adjustRightInd w:val="0"/>
        <w:snapToGrid w:val="0"/>
        <w:spacing w:line="360" w:lineRule="auto"/>
        <w:ind w:firstLine="420" w:firstLineChars="200"/>
        <w:rPr>
          <w:snapToGrid w:val="0"/>
          <w:kern w:val="0"/>
          <w:szCs w:val="21"/>
          <w:highlight w:val="none"/>
          <w:shd w:val="clear" w:color="auto" w:fill="999999"/>
        </w:rPr>
      </w:pPr>
      <w:r>
        <w:rPr>
          <w:snapToGrid w:val="0"/>
          <w:kern w:val="0"/>
          <w:szCs w:val="21"/>
          <w:highlight w:val="none"/>
        </w:rPr>
        <w:t>承包人不得以与发包人有争议或争议未解决为由而单方面停工，否则，按照合同专用条款第38.8（2）款的约定承担违约责任。</w:t>
      </w:r>
    </w:p>
    <w:p>
      <w:pPr>
        <w:adjustRightInd w:val="0"/>
        <w:snapToGrid w:val="0"/>
        <w:spacing w:line="360" w:lineRule="auto"/>
        <w:ind w:firstLine="420" w:firstLineChars="200"/>
        <w:rPr>
          <w:snapToGrid w:val="0"/>
          <w:kern w:val="0"/>
          <w:szCs w:val="21"/>
          <w:highlight w:val="none"/>
          <w:shd w:val="clear" w:color="auto" w:fill="999999"/>
        </w:rPr>
      </w:pPr>
      <w:r>
        <w:rPr>
          <w:snapToGrid w:val="0"/>
          <w:kern w:val="0"/>
          <w:szCs w:val="21"/>
          <w:highlight w:val="none"/>
        </w:rPr>
        <w:t>12.2为了保证工程质量安全，凡出现下列情况之一（不限于此）的，总监理工程师有权下达停工令，责令承包人停工整改，由此造成的损失由承包人自行负责，造成工期延误的由承包人按合同专用条款第38.8款的有关约定承担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（1）拒绝监理等单位管理；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（2）施工组织设计（方案）未获总监理工程师批准而进行施工；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（3）未经监理单位检验而进行下一道工序作业；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（4）擅自采用未经监理单位及发包人认可或批准的材料，或者使用的原材料、构配件不合格或未经检查确认，或者擅自采用未经认可的代用材料；</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（5）擅自变更设计图纸的要求；</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（6）转包工程；</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（7）擅自让未经发包人批准的分包单位进场作业；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（8）存在安全隐患，未按监理单位要求及时进行整改；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（9）未按双方约定的要求上报所需的资料。</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承包人和发包人一致同意不适用合同通用条款第13条的约定，代之以：</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13、工期延误</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13.1工期控制与调整</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w:t>
      </w:r>
      <w:r>
        <w:rPr>
          <w:rFonts w:hint="eastAsia"/>
          <w:snapToGrid w:val="0"/>
          <w:kern w:val="0"/>
          <w:szCs w:val="21"/>
          <w:highlight w:val="none"/>
        </w:rPr>
        <w:t>承包人在进场后（原则上7天内）需提交符合项目总工期要求的进度计划，报总监理工程师及发包人审批。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（2）工期调整的原则：对于承包人原因造成的工期延误，工期一概不得顺延；对于非承包人原因造成的工期延误，执行本合同专用条款第13.3条。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kern w:val="0"/>
          <w:szCs w:val="21"/>
          <w:highlight w:val="none"/>
        </w:rPr>
        <w:t>承包人必须按照调整后的工期计划执行。</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13.2工期延误的原因及其处理</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（1）</w:t>
      </w:r>
      <w:r>
        <w:rPr>
          <w:snapToGrid w:val="0"/>
          <w:kern w:val="0"/>
          <w:szCs w:val="21"/>
          <w:highlight w:val="none"/>
        </w:rPr>
        <w:t>非承包人原因造成的工期延误，是指有确凿证据证实因下列原因</w:t>
      </w:r>
      <w:r>
        <w:rPr>
          <w:rFonts w:hint="eastAsia"/>
          <w:snapToGrid w:val="0"/>
          <w:kern w:val="0"/>
          <w:szCs w:val="21"/>
          <w:highlight w:val="none"/>
        </w:rPr>
        <w:t>（包括但不限于）</w:t>
      </w:r>
      <w:r>
        <w:rPr>
          <w:snapToGrid w:val="0"/>
          <w:kern w:val="0"/>
          <w:szCs w:val="21"/>
          <w:highlight w:val="none"/>
        </w:rPr>
        <w:t>而直接造成承包人的原定工期计划延误：</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1）不可抗力；</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2）工程设计变更</w:t>
      </w:r>
      <w:r>
        <w:rPr>
          <w:rFonts w:hint="eastAsia"/>
          <w:snapToGrid w:val="0"/>
          <w:kern w:val="0"/>
          <w:szCs w:val="21"/>
          <w:highlight w:val="none"/>
        </w:rPr>
        <w:t>、地质原因等</w:t>
      </w:r>
      <w:r>
        <w:rPr>
          <w:snapToGrid w:val="0"/>
          <w:kern w:val="0"/>
          <w:szCs w:val="21"/>
          <w:highlight w:val="none"/>
        </w:rPr>
        <w:t>，并经总监理工程师确认会造成工期延误的；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3）发包人延期交付施工场地，并经总监理工程师确认的；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4）施工图纸供应时间影响工期进度，并经总监理工程师确认的；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5）发包人</w:t>
      </w:r>
      <w:r>
        <w:rPr>
          <w:iCs/>
          <w:snapToGrid w:val="0"/>
          <w:kern w:val="0"/>
          <w:szCs w:val="21"/>
          <w:highlight w:val="none"/>
        </w:rPr>
        <w:t>不按合同约定</w:t>
      </w:r>
      <w:r>
        <w:rPr>
          <w:snapToGrid w:val="0"/>
          <w:kern w:val="0"/>
          <w:szCs w:val="21"/>
          <w:highlight w:val="none"/>
        </w:rPr>
        <w:t>支付工程款而影响工期进度，并经总监理工程师确认的；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6）发包人（或政府职能部门）指令（非承包人原因）引起的停工；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7）发包人其他违约行为造成工期延误并经总监理工程师确认的</w:t>
      </w:r>
      <w:r>
        <w:rPr>
          <w:rFonts w:hint="eastAsia"/>
          <w:snapToGrid w:val="0"/>
          <w:kern w:val="0"/>
          <w:szCs w:val="21"/>
          <w:highlight w:val="none"/>
        </w:rPr>
        <w:t>；</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8）重污染天气、重大活动保障等原因影响工期进度，并经总监理工程师及发包人确认的；</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9）总监理</w:t>
      </w:r>
      <w:r>
        <w:rPr>
          <w:snapToGrid w:val="0"/>
          <w:kern w:val="0"/>
          <w:szCs w:val="21"/>
          <w:highlight w:val="none"/>
        </w:rPr>
        <w:t>工程师</w:t>
      </w:r>
      <w:r>
        <w:rPr>
          <w:rFonts w:hint="eastAsia"/>
          <w:snapToGrid w:val="0"/>
          <w:kern w:val="0"/>
          <w:szCs w:val="21"/>
          <w:highlight w:val="none"/>
        </w:rPr>
        <w:t>及发包人</w:t>
      </w:r>
      <w:r>
        <w:rPr>
          <w:snapToGrid w:val="0"/>
          <w:kern w:val="0"/>
          <w:szCs w:val="21"/>
          <w:highlight w:val="none"/>
        </w:rPr>
        <w:t>同意工期顺延的其他情况。</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除上述原因之外，其他所有工期延误均为承包人原因造成的延误。</w:t>
      </w:r>
    </w:p>
    <w:p>
      <w:pPr>
        <w:adjustRightInd w:val="0"/>
        <w:snapToGrid w:val="0"/>
        <w:spacing w:line="360" w:lineRule="auto"/>
        <w:ind w:right="11" w:firstLine="403" w:firstLineChars="192"/>
        <w:rPr>
          <w:snapToGrid w:val="0"/>
          <w:kern w:val="0"/>
          <w:szCs w:val="21"/>
          <w:highlight w:val="none"/>
        </w:rPr>
      </w:pPr>
      <w:r>
        <w:rPr>
          <w:bCs/>
          <w:snapToGrid w:val="0"/>
          <w:kern w:val="0"/>
          <w:szCs w:val="21"/>
          <w:highlight w:val="none"/>
        </w:rPr>
        <w:t>（2）</w:t>
      </w:r>
      <w:r>
        <w:rPr>
          <w:snapToGrid w:val="0"/>
          <w:kern w:val="0"/>
          <w:szCs w:val="21"/>
          <w:highlight w:val="none"/>
        </w:rPr>
        <w:t>因承包人原因造成的工期延误，工期一概不得顺延。承包人还应当按照合同专用条款第38.8款的有关约定承担违约责任。</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（3）因承包人对</w:t>
      </w:r>
      <w:r>
        <w:rPr>
          <w:bCs/>
          <w:snapToGrid w:val="0"/>
          <w:kern w:val="0"/>
          <w:szCs w:val="21"/>
          <w:highlight w:val="none"/>
        </w:rPr>
        <w:t>现场组织管理不力或未能提供协调、配合服务，以致专业工程的进度影响工期，承包人不得以此为由提出延长工期的要求。</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13.3</w:t>
      </w:r>
      <w:r>
        <w:rPr>
          <w:rFonts w:hint="eastAsia" w:ascii="宋体" w:hAnsi="宋体" w:cs="宋体"/>
          <w:snapToGrid w:val="0"/>
          <w:kern w:val="0"/>
          <w:szCs w:val="21"/>
          <w:highlight w:val="none"/>
        </w:rPr>
        <w:t>非因承包人原因造成工期延误，经总监理工程师及发包人审批通过确认后，按审批通过确认的工期执行，最终以总监及发包人签发的工期审批意见为准。</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13.4对于非因承包人原因发生的工期延误，承包人应当在工期延误发生之日起及时（原则上为1</w:t>
      </w:r>
      <w:r>
        <w:rPr>
          <w:rFonts w:hint="eastAsia"/>
          <w:bCs/>
          <w:snapToGrid w:val="0"/>
          <w:kern w:val="0"/>
          <w:szCs w:val="21"/>
          <w:highlight w:val="none"/>
        </w:rPr>
        <w:t>4</w:t>
      </w:r>
      <w:r>
        <w:rPr>
          <w:bCs/>
          <w:snapToGrid w:val="0"/>
          <w:kern w:val="0"/>
          <w:szCs w:val="21"/>
          <w:highlight w:val="none"/>
        </w:rPr>
        <w:t>天内）就延误的内容和因此发生的经济支出向</w:t>
      </w:r>
      <w:r>
        <w:rPr>
          <w:snapToGrid w:val="0"/>
          <w:kern w:val="0"/>
          <w:szCs w:val="21"/>
          <w:highlight w:val="none"/>
        </w:rPr>
        <w:t>总监理工程师及</w:t>
      </w:r>
      <w:r>
        <w:rPr>
          <w:bCs/>
          <w:snapToGrid w:val="0"/>
          <w:kern w:val="0"/>
          <w:szCs w:val="21"/>
          <w:highlight w:val="none"/>
        </w:rPr>
        <w:t>发包人提出书面报告及申请，</w:t>
      </w:r>
      <w:r>
        <w:rPr>
          <w:snapToGrid w:val="0"/>
          <w:kern w:val="0"/>
          <w:szCs w:val="21"/>
          <w:highlight w:val="none"/>
        </w:rPr>
        <w:t>总监理工程师及</w:t>
      </w:r>
      <w:r>
        <w:rPr>
          <w:bCs/>
          <w:snapToGrid w:val="0"/>
          <w:kern w:val="0"/>
          <w:szCs w:val="21"/>
          <w:highlight w:val="none"/>
        </w:rPr>
        <w:t>发包人按程序审批。</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14、工程竣工</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14.1承包人必须采取一切有效措施保证按照合同协议书约定或者</w:t>
      </w:r>
      <w:r>
        <w:rPr>
          <w:bCs/>
          <w:snapToGrid w:val="0"/>
          <w:kern w:val="0"/>
          <w:szCs w:val="21"/>
          <w:highlight w:val="none"/>
        </w:rPr>
        <w:t>发包人根据工程实施情况调整</w:t>
      </w:r>
      <w:r>
        <w:rPr>
          <w:snapToGrid w:val="0"/>
          <w:kern w:val="0"/>
          <w:szCs w:val="21"/>
          <w:highlight w:val="none"/>
        </w:rPr>
        <w:t>的竣工日期竣工，不得延误，除非发生了以下情形：</w:t>
      </w:r>
    </w:p>
    <w:p>
      <w:pPr>
        <w:adjustRightInd w:val="0"/>
        <w:snapToGrid w:val="0"/>
        <w:spacing w:line="360" w:lineRule="auto"/>
        <w:ind w:left="461" w:right="11"/>
        <w:rPr>
          <w:snapToGrid w:val="0"/>
          <w:kern w:val="0"/>
          <w:szCs w:val="21"/>
          <w:highlight w:val="none"/>
        </w:rPr>
      </w:pPr>
      <w:r>
        <w:rPr>
          <w:snapToGrid w:val="0"/>
          <w:kern w:val="0"/>
          <w:szCs w:val="21"/>
          <w:highlight w:val="none"/>
        </w:rPr>
        <w:t>（1）政府对本工程建设项目作出停建、缓建的决定；</w:t>
      </w:r>
    </w:p>
    <w:p>
      <w:pPr>
        <w:adjustRightInd w:val="0"/>
        <w:snapToGrid w:val="0"/>
        <w:spacing w:line="360" w:lineRule="auto"/>
        <w:ind w:left="461" w:right="11"/>
        <w:rPr>
          <w:snapToGrid w:val="0"/>
          <w:kern w:val="0"/>
          <w:szCs w:val="21"/>
          <w:highlight w:val="none"/>
        </w:rPr>
      </w:pPr>
      <w:r>
        <w:rPr>
          <w:snapToGrid w:val="0"/>
          <w:kern w:val="0"/>
          <w:szCs w:val="21"/>
          <w:highlight w:val="none"/>
        </w:rPr>
        <w:t>（2）重大设计变更导致本工程在规划、使用、功能方面有重大调整；</w:t>
      </w:r>
    </w:p>
    <w:p>
      <w:pPr>
        <w:adjustRightInd w:val="0"/>
        <w:snapToGrid w:val="0"/>
        <w:spacing w:line="360" w:lineRule="auto"/>
        <w:ind w:left="461" w:right="11"/>
        <w:rPr>
          <w:snapToGrid w:val="0"/>
          <w:kern w:val="0"/>
          <w:szCs w:val="21"/>
          <w:highlight w:val="none"/>
        </w:rPr>
      </w:pPr>
      <w:r>
        <w:rPr>
          <w:snapToGrid w:val="0"/>
          <w:kern w:val="0"/>
          <w:szCs w:val="21"/>
          <w:highlight w:val="none"/>
        </w:rPr>
        <w:t>（3）非因承包人原因造成关键节点工期延误达到30天以上；</w:t>
      </w:r>
    </w:p>
    <w:p>
      <w:pPr>
        <w:adjustRightInd w:val="0"/>
        <w:snapToGrid w:val="0"/>
        <w:spacing w:line="360" w:lineRule="auto"/>
        <w:ind w:left="461" w:right="11"/>
        <w:rPr>
          <w:snapToGrid w:val="0"/>
          <w:kern w:val="0"/>
          <w:szCs w:val="21"/>
          <w:highlight w:val="none"/>
        </w:rPr>
      </w:pPr>
      <w:r>
        <w:rPr>
          <w:snapToGrid w:val="0"/>
          <w:kern w:val="0"/>
          <w:szCs w:val="21"/>
          <w:highlight w:val="none"/>
        </w:rPr>
        <w:t>（4）其他非因承包人原因造成的竣工日期延误。</w:t>
      </w:r>
    </w:p>
    <w:p>
      <w:pPr>
        <w:pStyle w:val="4"/>
        <w:jc w:val="left"/>
        <w:rPr>
          <w:snapToGrid w:val="0"/>
          <w:kern w:val="0"/>
          <w:highlight w:val="none"/>
        </w:rPr>
      </w:pPr>
      <w:bookmarkStart w:id="281" w:name="_Toc517774563"/>
      <w:bookmarkStart w:id="282" w:name="_Toc520901463"/>
      <w:bookmarkStart w:id="283" w:name="_Toc514665146"/>
      <w:bookmarkStart w:id="284" w:name="_Toc518481735"/>
      <w:bookmarkStart w:id="285" w:name="_Toc520358233"/>
      <w:bookmarkStart w:id="286" w:name="_Toc519503083"/>
      <w:bookmarkStart w:id="287" w:name="_Toc132813119"/>
      <w:bookmarkStart w:id="288" w:name="_Toc520902830"/>
      <w:bookmarkStart w:id="289" w:name="_Toc520902608"/>
      <w:bookmarkStart w:id="290" w:name="_Toc514663861"/>
      <w:bookmarkStart w:id="291" w:name="_Toc514664863"/>
      <w:bookmarkStart w:id="292" w:name="_Toc520358057"/>
      <w:bookmarkStart w:id="293" w:name="_Toc517954576"/>
      <w:bookmarkStart w:id="294" w:name="_Toc519502253"/>
      <w:bookmarkStart w:id="295" w:name="_Toc514666976"/>
      <w:bookmarkStart w:id="296" w:name="_Toc514681766"/>
      <w:bookmarkStart w:id="297" w:name="_Toc520902759"/>
      <w:bookmarkStart w:id="298" w:name="_Toc514665285"/>
      <w:bookmarkStart w:id="299" w:name="_Toc514681185"/>
      <w:bookmarkStart w:id="300" w:name="_Toc516495979"/>
      <w:r>
        <w:rPr>
          <w:rFonts w:hint="eastAsia"/>
          <w:snapToGrid w:val="0"/>
          <w:kern w:val="0"/>
          <w:highlight w:val="none"/>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15、工程质量</w:t>
      </w:r>
    </w:p>
    <w:p>
      <w:pPr>
        <w:adjustRightInd w:val="0"/>
        <w:snapToGrid w:val="0"/>
        <w:spacing w:line="360" w:lineRule="auto"/>
        <w:ind w:firstLine="367" w:firstLineChars="175"/>
        <w:rPr>
          <w:bCs/>
          <w:snapToGrid w:val="0"/>
          <w:kern w:val="0"/>
          <w:szCs w:val="21"/>
          <w:highlight w:val="none"/>
        </w:rPr>
      </w:pPr>
      <w:r>
        <w:rPr>
          <w:bCs/>
          <w:snapToGrid w:val="0"/>
          <w:kern w:val="0"/>
          <w:szCs w:val="21"/>
          <w:highlight w:val="none"/>
        </w:rPr>
        <w:t>15.1工程质量标准</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（1）本合同工程质量标准按合同协议书第4条的约定执行。</w:t>
      </w:r>
    </w:p>
    <w:p>
      <w:pPr>
        <w:adjustRightInd w:val="0"/>
        <w:snapToGrid w:val="0"/>
        <w:spacing w:line="360" w:lineRule="auto"/>
        <w:ind w:firstLine="403" w:firstLineChars="192"/>
        <w:rPr>
          <w:bCs/>
          <w:snapToGrid w:val="0"/>
          <w:kern w:val="0"/>
          <w:szCs w:val="21"/>
          <w:highlight w:val="none"/>
        </w:rPr>
      </w:pPr>
      <w:r>
        <w:rPr>
          <w:bCs/>
          <w:snapToGrid w:val="0"/>
          <w:kern w:val="0"/>
          <w:szCs w:val="21"/>
          <w:highlight w:val="none"/>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38.8（5）款的约定承担违约责任。</w:t>
      </w:r>
    </w:p>
    <w:p>
      <w:pPr>
        <w:adjustRightInd w:val="0"/>
        <w:snapToGrid w:val="0"/>
        <w:spacing w:line="360" w:lineRule="auto"/>
        <w:ind w:firstLine="420" w:firstLineChars="200"/>
        <w:rPr>
          <w:snapToGrid w:val="0"/>
          <w:kern w:val="0"/>
          <w:szCs w:val="21"/>
          <w:highlight w:val="none"/>
        </w:rPr>
      </w:pPr>
      <w:r>
        <w:rPr>
          <w:szCs w:val="21"/>
          <w:highlight w:val="none"/>
        </w:rPr>
        <w:sym w:font="Wingdings 2" w:char="00A3"/>
      </w:r>
      <w:r>
        <w:rPr>
          <w:bCs/>
          <w:snapToGrid w:val="0"/>
          <w:kern w:val="0"/>
          <w:szCs w:val="21"/>
          <w:highlight w:val="none"/>
        </w:rPr>
        <w:t>（3）本工程推行分段结算，为配合分段结算工作，本工程的分部验收工作应按经发包人审定的分部验收工作计划执行。</w:t>
      </w:r>
    </w:p>
    <w:p>
      <w:pPr>
        <w:adjustRightInd w:val="0"/>
        <w:snapToGrid w:val="0"/>
        <w:spacing w:line="360" w:lineRule="auto"/>
        <w:ind w:firstLine="403" w:firstLineChars="192"/>
        <w:rPr>
          <w:bCs/>
          <w:snapToGrid w:val="0"/>
          <w:kern w:val="0"/>
          <w:szCs w:val="21"/>
          <w:highlight w:val="none"/>
        </w:rPr>
      </w:pPr>
      <w:r>
        <w:rPr>
          <w:bCs/>
          <w:snapToGrid w:val="0"/>
          <w:kern w:val="0"/>
          <w:szCs w:val="21"/>
          <w:highlight w:val="none"/>
        </w:rPr>
        <w:t>15.2工程质量争议与鉴定</w:t>
      </w:r>
    </w:p>
    <w:p>
      <w:pPr>
        <w:adjustRightInd w:val="0"/>
        <w:snapToGrid w:val="0"/>
        <w:spacing w:line="360" w:lineRule="auto"/>
        <w:ind w:firstLine="403" w:firstLineChars="192"/>
        <w:rPr>
          <w:bCs/>
          <w:snapToGrid w:val="0"/>
          <w:kern w:val="0"/>
          <w:szCs w:val="21"/>
          <w:highlight w:val="none"/>
        </w:rPr>
      </w:pPr>
      <w:r>
        <w:rPr>
          <w:bCs/>
          <w:snapToGrid w:val="0"/>
          <w:kern w:val="0"/>
          <w:szCs w:val="21"/>
          <w:highlight w:val="none"/>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承包人和发包人一致同意增加15.3：</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15.3工程质量保证体系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应当完善质量管理制度，建立质量控制流程，进行全面质量管理（TQC），以《质量管理体系标准要求》（GB/T19000-2016）为标准，建立并保持一个有效的工程质量管理体系。为此，承包人必须做到（不限于）：</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（1）建立完整的质量保证体系，委派专人负责工程质量管理，现场管理机构、工区（段）设有专职质检人员，班组设质检员，必须附有项目架构人员名单，各类人员必须持有上岗资格证，于本合同签订</w:t>
      </w:r>
      <w:r>
        <w:rPr>
          <w:bCs/>
          <w:snapToGrid w:val="0"/>
          <w:kern w:val="0"/>
          <w:szCs w:val="21"/>
          <w:highlight w:val="none"/>
        </w:rPr>
        <w:t>之日起</w:t>
      </w:r>
      <w:r>
        <w:rPr>
          <w:snapToGrid w:val="0"/>
          <w:kern w:val="0"/>
          <w:szCs w:val="21"/>
          <w:highlight w:val="none"/>
        </w:rPr>
        <w:t>5天内将上述人员报总监理工程师备查。承包人还应建立并完善各项目质量管理检查制度及企业质量管理文件等。</w:t>
      </w:r>
      <w:r>
        <w:rPr>
          <w:bCs/>
          <w:snapToGrid w:val="0"/>
          <w:kern w:val="0"/>
          <w:szCs w:val="21"/>
          <w:highlight w:val="none"/>
        </w:rPr>
        <w:t>同时，承包人应积极配合工程质量第三方检测工作，并积极采用新材料、新工艺、新技术。</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（3）单项工程开工前，承包人必须按要求对职工分级进行技术交底，组织学习有关规程、标准、规范和工艺要求（规程包括但不限于施工企业标准和作业指导书），在施工中必须按规程及工艺进行操作。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按照《广州市住房和城乡建设委员会关于加强房屋建筑和市政基础设施工程混凝土试件标准养护管理的通知》穗建规字[2018]14号和《关于加强房屋建筑和市政基础设施工程混凝土试件标准养护管理的通知》（穗建质[2011]941号）和《广州市建设工程材料进场检验管理规定》（穗建质[2010]1084号）第十五条的要求，在建房屋建筑和市政基础设施工程，现场有混凝土结构施工部位的，必须在施工现场建立混凝土试件标准养护室或放置标准养护箱，而且监督见证检验次数不少于同类材料进场检验频次的10%且不少于一次。</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16、检查和返工</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承包人和发包人一致同意增加16.5至16.10：</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16.5对承包人采购的工程材料、设备及采用的工艺的查验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pPr>
        <w:adjustRightInd w:val="0"/>
        <w:snapToGrid w:val="0"/>
        <w:spacing w:line="360" w:lineRule="auto"/>
        <w:ind w:firstLine="403" w:firstLineChars="192"/>
        <w:rPr>
          <w:snapToGrid w:val="0"/>
          <w:kern w:val="0"/>
          <w:szCs w:val="21"/>
          <w:highlight w:val="none"/>
        </w:rPr>
      </w:pPr>
      <w:r>
        <w:rPr>
          <w:bCs/>
          <w:snapToGrid w:val="0"/>
          <w:kern w:val="0"/>
          <w:szCs w:val="21"/>
          <w:highlight w:val="none"/>
        </w:rPr>
        <w:t>发包人和总监理工程师认为有必要的，有权对已检查、检验过的材料、设备进行重复检查、检验，承包人应遵照执行。重复检查、检验的程序和内容适用前述约定。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（3）在施工过程中，总监理工程师有权随时对工程材料、设备的使用进行抽查。抽查范围、比例、数量、批次及检查深度可比国家现行施工质量验收规范和相关规定有所提高。</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工程材料、设备的质量依据下列顺序之标准认定（排序在前者优先）：</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1）本工程设计图纸规定的设计标准和发包人制定的材料标准及技术要求[不符合下列第4）项标准要求的除外]；</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2）招投标时确定的规格、技术指标、质量标准、品牌等[不符合下列第4）项标准要求的除外]；</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3）经设计单位、监理单位、承包人、发包人共同认定的产品封样、样板[不符合下列第4）项标准要求的除外]；</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4）国家或行业强制执行的技术标准、技术规范。</w:t>
      </w:r>
    </w:p>
    <w:p>
      <w:pPr>
        <w:pStyle w:val="186"/>
        <w:rPr>
          <w:color w:val="auto"/>
          <w:highlight w:val="none"/>
        </w:rPr>
      </w:pPr>
      <w:r>
        <w:rPr>
          <w:color w:val="auto"/>
          <w:highlight w:val="none"/>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pPr>
        <w:adjustRightInd w:val="0"/>
        <w:snapToGrid w:val="0"/>
        <w:spacing w:line="360" w:lineRule="auto"/>
        <w:ind w:firstLine="403" w:firstLineChars="192"/>
        <w:rPr>
          <w:bCs/>
          <w:snapToGrid w:val="0"/>
          <w:kern w:val="0"/>
          <w:szCs w:val="21"/>
          <w:highlight w:val="none"/>
        </w:rPr>
      </w:pPr>
      <w:r>
        <w:rPr>
          <w:iCs/>
          <w:snapToGrid w:val="0"/>
          <w:kern w:val="0"/>
          <w:szCs w:val="21"/>
          <w:highlight w:val="none"/>
        </w:rPr>
        <w:t>（4）总监理工程师或发包人或相关职能部门对材料、设备或工程进行检查、检验的费用由发包人负担。如果检测不合格，总监理工程师或发包人或相关职能部门要求进</w:t>
      </w:r>
      <w:r>
        <w:rPr>
          <w:snapToGrid w:val="0"/>
          <w:kern w:val="0"/>
          <w:szCs w:val="21"/>
          <w:highlight w:val="none"/>
        </w:rPr>
        <w:t>行</w:t>
      </w:r>
      <w:r>
        <w:rPr>
          <w:bCs/>
          <w:snapToGrid w:val="0"/>
          <w:kern w:val="0"/>
          <w:szCs w:val="21"/>
          <w:highlight w:val="none"/>
        </w:rPr>
        <w:t>重复检查、检验的，费用由承包人承担。</w:t>
      </w:r>
    </w:p>
    <w:p>
      <w:pPr>
        <w:pStyle w:val="186"/>
        <w:rPr>
          <w:bCs/>
          <w:color w:val="auto"/>
          <w:highlight w:val="none"/>
        </w:rPr>
      </w:pPr>
      <w:r>
        <w:rPr>
          <w:bCs/>
          <w:color w:val="auto"/>
          <w:highlight w:val="none"/>
        </w:rPr>
        <w:t>16.6承包人应当</w:t>
      </w:r>
      <w:r>
        <w:rPr>
          <w:color w:val="auto"/>
          <w:highlight w:val="none"/>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bCs/>
          <w:color w:val="auto"/>
          <w:highlight w:val="none"/>
        </w:rPr>
        <w:t>由此所产生的工期延误和费用增加等全部损失由承包人承担，并由承包人按照</w:t>
      </w:r>
      <w:r>
        <w:rPr>
          <w:color w:val="auto"/>
          <w:highlight w:val="none"/>
        </w:rPr>
        <w:t>合同专用条款第38</w:t>
      </w:r>
      <w:r>
        <w:rPr>
          <w:bCs/>
          <w:color w:val="auto"/>
          <w:highlight w:val="none"/>
        </w:rPr>
        <w:t>.10（1）款的约定承担违约责任。</w:t>
      </w:r>
    </w:p>
    <w:p>
      <w:pPr>
        <w:adjustRightInd w:val="0"/>
        <w:snapToGrid w:val="0"/>
        <w:spacing w:line="360" w:lineRule="auto"/>
        <w:ind w:firstLine="403" w:firstLineChars="192"/>
        <w:rPr>
          <w:bCs/>
          <w:snapToGrid w:val="0"/>
          <w:kern w:val="0"/>
          <w:szCs w:val="21"/>
          <w:highlight w:val="none"/>
        </w:rPr>
      </w:pPr>
      <w:r>
        <w:rPr>
          <w:bCs/>
          <w:snapToGrid w:val="0"/>
          <w:kern w:val="0"/>
          <w:szCs w:val="21"/>
          <w:highlight w:val="none"/>
        </w:rPr>
        <w:t>16.7总监理工程师发现工程存在重大质量问题时，必须立即下达停工整改令。承包人必须在总监理工程师下达整改令之日起5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pStyle w:val="186"/>
        <w:rPr>
          <w:color w:val="auto"/>
          <w:highlight w:val="none"/>
        </w:rPr>
      </w:pPr>
      <w:r>
        <w:rPr>
          <w:color w:val="auto"/>
          <w:highlight w:val="none"/>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pPr>
        <w:pStyle w:val="186"/>
        <w:rPr>
          <w:color w:val="auto"/>
          <w:highlight w:val="none"/>
        </w:rPr>
      </w:pPr>
      <w:r>
        <w:rPr>
          <w:color w:val="auto"/>
          <w:highlight w:val="none"/>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17、隐蔽工程和中间验收</w:t>
      </w:r>
    </w:p>
    <w:p>
      <w:pPr>
        <w:adjustRightInd w:val="0"/>
        <w:snapToGrid w:val="0"/>
        <w:spacing w:line="360" w:lineRule="auto"/>
        <w:ind w:firstLine="403" w:firstLineChars="192"/>
        <w:rPr>
          <w:bCs/>
          <w:iCs/>
          <w:snapToGrid w:val="0"/>
          <w:kern w:val="0"/>
          <w:szCs w:val="21"/>
          <w:highlight w:val="none"/>
        </w:rPr>
      </w:pPr>
      <w:r>
        <w:rPr>
          <w:bCs/>
          <w:snapToGrid w:val="0"/>
          <w:kern w:val="0"/>
          <w:szCs w:val="21"/>
          <w:highlight w:val="none"/>
        </w:rPr>
        <w:t>17.1双方约定，中间验收部位按穗建监字（2001）068号文执行，验收程序按合同通用条款第17条执行。验收人员组成：发包人、监理单位、承包</w:t>
      </w:r>
      <w:r>
        <w:rPr>
          <w:bCs/>
          <w:iCs/>
          <w:snapToGrid w:val="0"/>
          <w:kern w:val="0"/>
          <w:szCs w:val="21"/>
          <w:highlight w:val="none"/>
        </w:rPr>
        <w:t>人及其他有关单位。</w:t>
      </w:r>
    </w:p>
    <w:p>
      <w:pPr>
        <w:adjustRightInd w:val="0"/>
        <w:snapToGrid w:val="0"/>
        <w:spacing w:line="360" w:lineRule="auto"/>
        <w:ind w:firstLine="405" w:firstLineChars="192"/>
        <w:rPr>
          <w:bCs/>
          <w:snapToGrid w:val="0"/>
          <w:kern w:val="0"/>
          <w:szCs w:val="21"/>
          <w:highlight w:val="none"/>
        </w:rPr>
      </w:pPr>
      <w:r>
        <w:rPr>
          <w:b/>
          <w:snapToGrid w:val="0"/>
          <w:kern w:val="0"/>
          <w:szCs w:val="21"/>
          <w:highlight w:val="none"/>
        </w:rPr>
        <w:t>承包人和发包人一致同意增加17.4：</w:t>
      </w:r>
    </w:p>
    <w:p>
      <w:pPr>
        <w:adjustRightInd w:val="0"/>
        <w:snapToGrid w:val="0"/>
        <w:spacing w:line="360" w:lineRule="auto"/>
        <w:ind w:firstLine="403" w:firstLineChars="192"/>
        <w:rPr>
          <w:rFonts w:ascii="宋体" w:hAnsi="宋体" w:cs="宋体"/>
          <w:bCs/>
          <w:snapToGrid w:val="0"/>
          <w:kern w:val="0"/>
          <w:sz w:val="24"/>
          <w:highlight w:val="none"/>
        </w:rPr>
      </w:pPr>
      <w:r>
        <w:rPr>
          <w:bCs/>
          <w:snapToGrid w:val="0"/>
          <w:kern w:val="0"/>
          <w:szCs w:val="21"/>
          <w:highlight w:val="none"/>
        </w:rPr>
        <w:t>17.4</w:t>
      </w:r>
      <w:r>
        <w:rPr>
          <w:snapToGrid w:val="0"/>
          <w:kern w:val="0"/>
          <w:szCs w:val="21"/>
          <w:highlight w:val="none"/>
        </w:rPr>
        <w:t>隐蔽工程或中间验收部位未经专业监理工程师验收合格，不得隐蔽或继续施工，否则该部分工程被视为不合格，</w:t>
      </w:r>
      <w:r>
        <w:rPr>
          <w:bCs/>
          <w:snapToGrid w:val="0"/>
          <w:kern w:val="0"/>
          <w:szCs w:val="21"/>
          <w:highlight w:val="none"/>
        </w:rPr>
        <w:t>由此所产生的返工费用由承包人承担。</w:t>
      </w:r>
    </w:p>
    <w:p>
      <w:pPr>
        <w:pStyle w:val="4"/>
        <w:jc w:val="left"/>
        <w:rPr>
          <w:snapToGrid w:val="0"/>
          <w:kern w:val="0"/>
          <w:highlight w:val="none"/>
        </w:rPr>
      </w:pPr>
      <w:bookmarkStart w:id="301" w:name="_Toc514665147"/>
      <w:bookmarkStart w:id="302" w:name="_Toc519503084"/>
      <w:bookmarkStart w:id="303" w:name="_Toc516495980"/>
      <w:bookmarkStart w:id="304" w:name="_Toc517774564"/>
      <w:bookmarkStart w:id="305" w:name="_Toc514663862"/>
      <w:bookmarkStart w:id="306" w:name="_Toc514665286"/>
      <w:bookmarkStart w:id="307" w:name="_Toc520358234"/>
      <w:bookmarkStart w:id="308" w:name="_Toc520902831"/>
      <w:bookmarkStart w:id="309" w:name="_Toc520902609"/>
      <w:bookmarkStart w:id="310" w:name="_Toc514664864"/>
      <w:bookmarkStart w:id="311" w:name="_Toc520902760"/>
      <w:bookmarkStart w:id="312" w:name="_Toc520358058"/>
      <w:bookmarkStart w:id="313" w:name="_Toc520901464"/>
      <w:bookmarkStart w:id="314" w:name="_Toc132813120"/>
      <w:bookmarkStart w:id="315" w:name="_Toc514666977"/>
      <w:bookmarkStart w:id="316" w:name="_Toc514681767"/>
      <w:bookmarkStart w:id="317" w:name="_Toc518481736"/>
      <w:bookmarkStart w:id="318" w:name="_Toc517954577"/>
      <w:bookmarkStart w:id="319" w:name="_Toc514681186"/>
      <w:bookmarkStart w:id="320" w:name="_Toc519502254"/>
      <w:r>
        <w:rPr>
          <w:rFonts w:hint="eastAsia"/>
          <w:snapToGrid w:val="0"/>
          <w:kern w:val="0"/>
          <w:highlight w:val="none"/>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20、施工场地的占用与管理</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20.2</w:t>
      </w:r>
      <w:r>
        <w:rPr>
          <w:snapToGrid w:val="0"/>
          <w:kern w:val="0"/>
          <w:szCs w:val="21"/>
          <w:highlight w:val="none"/>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20.3承包人必须在工程竣工初验</w:t>
      </w:r>
      <w:r>
        <w:rPr>
          <w:bCs/>
          <w:snapToGrid w:val="0"/>
          <w:kern w:val="0"/>
          <w:szCs w:val="21"/>
          <w:highlight w:val="none"/>
        </w:rPr>
        <w:t>之日起</w:t>
      </w:r>
      <w:r>
        <w:rPr>
          <w:snapToGrid w:val="0"/>
          <w:kern w:val="0"/>
          <w:szCs w:val="21"/>
          <w:highlight w:val="none"/>
        </w:rPr>
        <w:t>30天内或发包人规定的时间内（发包人将提前通知承包人），无条件清退所有施工场地。拒不清退的，发包人除向承包人收取租金（租金为每天人民币1元/m</w:t>
      </w:r>
      <w:r>
        <w:rPr>
          <w:snapToGrid w:val="0"/>
          <w:kern w:val="0"/>
          <w:szCs w:val="21"/>
          <w:highlight w:val="none"/>
          <w:vertAlign w:val="superscript"/>
        </w:rPr>
        <w:t>2</w:t>
      </w:r>
      <w:r>
        <w:rPr>
          <w:snapToGrid w:val="0"/>
          <w:kern w:val="0"/>
          <w:szCs w:val="21"/>
          <w:highlight w:val="none"/>
        </w:rPr>
        <w:t>）外，还有权暂停计价支付、工程结算、工程验收等工作，并由承包人承担由此而产生的一切后果（包括发包人因此而被第三方索赔所产生的损失）。</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对于临时房屋及设施，发包人认为有必要保留的，承包人在清退场地时应无条件保持完好并移交给发包人使用，并不得提出任何费用要求及其他要求。</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20.4承包人必须服从政府主管部门的执法检查和处罚，并按照检查结果进行整改。</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21、安全施工与检查</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21.1</w:t>
      </w:r>
      <w:r>
        <w:rPr>
          <w:snapToGrid w:val="0"/>
          <w:kern w:val="0"/>
          <w:szCs w:val="21"/>
          <w:highlight w:val="none"/>
        </w:rPr>
        <w:t>承包人应建立健全建筑施工</w:t>
      </w:r>
      <w:r>
        <w:rPr>
          <w:bCs/>
          <w:snapToGrid w:val="0"/>
          <w:kern w:val="0"/>
          <w:szCs w:val="21"/>
          <w:highlight w:val="none"/>
        </w:rPr>
        <w:t>安全生产组织机构和</w:t>
      </w:r>
      <w:r>
        <w:rPr>
          <w:snapToGrid w:val="0"/>
          <w:kern w:val="0"/>
          <w:szCs w:val="21"/>
          <w:highlight w:val="none"/>
        </w:rPr>
        <w:t>安全保证体系，</w:t>
      </w:r>
      <w:r>
        <w:rPr>
          <w:bCs/>
          <w:snapToGrid w:val="0"/>
          <w:kern w:val="0"/>
          <w:szCs w:val="21"/>
          <w:highlight w:val="none"/>
        </w:rPr>
        <w:t>落实安全生产责任制，</w:t>
      </w:r>
      <w:r>
        <w:rPr>
          <w:snapToGrid w:val="0"/>
          <w:kern w:val="0"/>
          <w:szCs w:val="21"/>
          <w:highlight w:val="none"/>
        </w:rPr>
        <w:t>按照工程建设安全生产的有关管理规定，采取相应措施，负责现场全部作业的安全，并对此承担全部责任。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21.2</w:t>
      </w:r>
      <w:r>
        <w:rPr>
          <w:snapToGrid w:val="0"/>
          <w:kern w:val="0"/>
          <w:szCs w:val="21"/>
          <w:highlight w:val="none"/>
        </w:rPr>
        <w:t>承包人在施工中必须制定定期检查制度，加强对自身管理范围内各专业单位在安全施工方面的检查、监督管理；若被发现存在严重安全隐患的，应按照合同专用条款第38.11（1）、（2）款的约定承担违约责任。</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22、安全防护</w:t>
      </w:r>
    </w:p>
    <w:p>
      <w:pPr>
        <w:adjustRightInd w:val="0"/>
        <w:snapToGrid w:val="0"/>
        <w:spacing w:line="360" w:lineRule="auto"/>
        <w:ind w:right="11" w:firstLine="405" w:firstLineChars="192"/>
        <w:rPr>
          <w:bCs/>
          <w:snapToGrid w:val="0"/>
          <w:kern w:val="0"/>
          <w:szCs w:val="21"/>
          <w:highlight w:val="none"/>
        </w:rPr>
      </w:pPr>
      <w:r>
        <w:rPr>
          <w:b/>
          <w:snapToGrid w:val="0"/>
          <w:kern w:val="0"/>
          <w:szCs w:val="21"/>
          <w:highlight w:val="none"/>
        </w:rPr>
        <w:t>承包人和发包人一致同意增加22.3、22.4：</w:t>
      </w:r>
    </w:p>
    <w:p>
      <w:pPr>
        <w:adjustRightInd w:val="0"/>
        <w:snapToGrid w:val="0"/>
        <w:spacing w:line="360" w:lineRule="auto"/>
        <w:ind w:firstLine="480"/>
        <w:rPr>
          <w:bCs/>
          <w:snapToGrid w:val="0"/>
          <w:kern w:val="0"/>
          <w:szCs w:val="21"/>
          <w:highlight w:val="none"/>
        </w:rPr>
      </w:pPr>
      <w:r>
        <w:rPr>
          <w:bCs/>
          <w:snapToGrid w:val="0"/>
          <w:kern w:val="0"/>
          <w:szCs w:val="21"/>
          <w:highlight w:val="none"/>
        </w:rPr>
        <w:t>22.3本工程的安全防护及文明施工措施费包括但不限于合同通用条款第22.1款、第22.2款所列明的费用，所有安全防护及文明施工措施费已包含在合同价款之中。</w:t>
      </w:r>
    </w:p>
    <w:p>
      <w:pPr>
        <w:adjustRightInd w:val="0"/>
        <w:snapToGrid w:val="0"/>
        <w:spacing w:line="360" w:lineRule="auto"/>
        <w:ind w:firstLine="480"/>
        <w:rPr>
          <w:bCs/>
          <w:snapToGrid w:val="0"/>
          <w:kern w:val="0"/>
          <w:szCs w:val="21"/>
          <w:highlight w:val="none"/>
        </w:rPr>
      </w:pPr>
      <w:r>
        <w:rPr>
          <w:bCs/>
          <w:snapToGrid w:val="0"/>
          <w:kern w:val="0"/>
          <w:szCs w:val="21"/>
          <w:highlight w:val="none"/>
        </w:rPr>
        <w:t>22.4措施项目的实施要求须满足《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和《关于进一步规范建设工程施工现场围蔽的通知》（穗建质[2008]1008号）及发包人制定的相关规定的要求，并应当做到：</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（1）加强对职业健康安全应急预案、安全技术方案的审查管理工作。</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（2）保护所有在现场人员的安全，保护其管辖范围内的现场以及尚未完</w:t>
      </w:r>
      <w:r>
        <w:rPr>
          <w:snapToGrid w:val="0"/>
          <w:kern w:val="0"/>
          <w:szCs w:val="21"/>
          <w:highlight w:val="none"/>
        </w:rPr>
        <w:t>工的和发包人尚未占用的工程处于良好的安全状态。</w:t>
      </w:r>
    </w:p>
    <w:p>
      <w:pPr>
        <w:adjustRightInd w:val="0"/>
        <w:snapToGrid w:val="0"/>
        <w:spacing w:line="360" w:lineRule="auto"/>
        <w:ind w:right="11" w:firstLine="420" w:firstLineChars="200"/>
        <w:rPr>
          <w:bCs/>
          <w:snapToGrid w:val="0"/>
          <w:kern w:val="0"/>
          <w:szCs w:val="21"/>
          <w:highlight w:val="none"/>
        </w:rPr>
      </w:pPr>
      <w:r>
        <w:rPr>
          <w:snapToGrid w:val="0"/>
          <w:kern w:val="0"/>
          <w:szCs w:val="21"/>
          <w:highlight w:val="none"/>
        </w:rPr>
        <w:t>（3）在需要的时间和地点，根据总监理工程师、发包人或者当地政府的要求，提供和维持所有的照明灯光、护板、围墙、栅栏、警告信号标志和值班人员，对工程进行保护和为公众提供安全和方便。</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23、事故处理</w:t>
      </w:r>
    </w:p>
    <w:p>
      <w:pPr>
        <w:adjustRightInd w:val="0"/>
        <w:snapToGrid w:val="0"/>
        <w:spacing w:line="360" w:lineRule="auto"/>
        <w:ind w:right="11" w:firstLine="405" w:firstLineChars="192"/>
        <w:rPr>
          <w:bCs/>
          <w:snapToGrid w:val="0"/>
          <w:kern w:val="0"/>
          <w:szCs w:val="21"/>
          <w:highlight w:val="none"/>
        </w:rPr>
      </w:pPr>
      <w:r>
        <w:rPr>
          <w:b/>
          <w:snapToGrid w:val="0"/>
          <w:kern w:val="0"/>
          <w:szCs w:val="21"/>
          <w:highlight w:val="none"/>
        </w:rPr>
        <w:t>承包人和发包人一致同意增加23.3、23.4：</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23.3因承包人责任过失造成安全事故的，除按照国家规定由行政主管部门给予承包人处罚外，承包人还应负责赔偿发包人的损失，并按照合同专用条款第38.11（3）款的约定承担违约责任。</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23.4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pPr>
        <w:numPr>
          <w:ilvl w:val="0"/>
          <w:numId w:val="16"/>
        </w:num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绿色文明施工与环境保护</w:t>
      </w:r>
    </w:p>
    <w:p>
      <w:pPr>
        <w:adjustRightInd w:val="0"/>
        <w:snapToGrid w:val="0"/>
        <w:spacing w:line="360" w:lineRule="auto"/>
        <w:ind w:right="11"/>
        <w:rPr>
          <w:b/>
          <w:snapToGrid w:val="0"/>
          <w:kern w:val="0"/>
          <w:szCs w:val="21"/>
          <w:highlight w:val="none"/>
        </w:rPr>
      </w:pPr>
      <w:r>
        <w:rPr>
          <w:b/>
          <w:snapToGrid w:val="0"/>
          <w:kern w:val="0"/>
          <w:szCs w:val="21"/>
          <w:highlight w:val="none"/>
        </w:rPr>
        <w:t xml:space="preserve">    承包人和发包人一致同意增加24.3、24.4、24.5、24.6：</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24.3承包人应严格落实文明施工措施，否则按合同专用条款第38.12款的约定承担违约责任。</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24.4</w:t>
      </w:r>
      <w:r>
        <w:rPr>
          <w:snapToGrid w:val="0"/>
          <w:kern w:val="0"/>
          <w:szCs w:val="21"/>
          <w:highlight w:val="none"/>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承包人应</w:t>
      </w:r>
      <w:r>
        <w:rPr>
          <w:snapToGrid w:val="0"/>
          <w:kern w:val="0"/>
          <w:szCs w:val="21"/>
          <w:highlight w:val="none"/>
        </w:rPr>
        <w:t>明确扬尘污染防治责任，</w:t>
      </w:r>
      <w:r>
        <w:rPr>
          <w:bCs/>
          <w:snapToGrid w:val="0"/>
          <w:kern w:val="0"/>
          <w:szCs w:val="21"/>
          <w:highlight w:val="none"/>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pPr>
        <w:adjustRightInd w:val="0"/>
        <w:snapToGrid w:val="0"/>
        <w:spacing w:line="360" w:lineRule="auto"/>
        <w:ind w:right="11"/>
        <w:rPr>
          <w:bCs/>
          <w:snapToGrid w:val="0"/>
          <w:kern w:val="0"/>
          <w:szCs w:val="21"/>
          <w:highlight w:val="none"/>
        </w:rPr>
      </w:pPr>
      <w:r>
        <w:rPr>
          <w:bCs/>
          <w:snapToGrid w:val="0"/>
          <w:kern w:val="0"/>
          <w:szCs w:val="21"/>
          <w:highlight w:val="none"/>
        </w:rPr>
        <w:t xml:space="preserve">   （1）对施工现场实行封闭管理。城市范围内主要路段的施工工地应设置高度不小于2.5m的封闭围挡，一般路段的施工工地应设置高度不小于1.8m的封闭围挡。施工工地的封闭围挡应坚固、稳定、整洁、美观。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rPr>
          <w:bCs/>
          <w:snapToGrid w:val="0"/>
          <w:kern w:val="0"/>
          <w:szCs w:val="21"/>
          <w:highlight w:val="none"/>
        </w:rPr>
      </w:pPr>
      <w:r>
        <w:rPr>
          <w:bCs/>
          <w:snapToGrid w:val="0"/>
          <w:kern w:val="0"/>
          <w:szCs w:val="21"/>
          <w:highlight w:val="none"/>
        </w:rPr>
        <w:t xml:space="preserve">   （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rPr>
          <w:bCs/>
          <w:snapToGrid w:val="0"/>
          <w:kern w:val="0"/>
          <w:szCs w:val="21"/>
          <w:highlight w:val="none"/>
        </w:rPr>
      </w:pPr>
      <w:r>
        <w:rPr>
          <w:bCs/>
          <w:snapToGrid w:val="0"/>
          <w:kern w:val="0"/>
          <w:szCs w:val="21"/>
          <w:highlight w:val="none"/>
        </w:rPr>
        <w:t xml:space="preserve">   （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rPr>
          <w:bCs/>
          <w:snapToGrid w:val="0"/>
          <w:kern w:val="0"/>
          <w:szCs w:val="21"/>
          <w:highlight w:val="none"/>
        </w:rPr>
      </w:pPr>
      <w:r>
        <w:rPr>
          <w:bCs/>
          <w:snapToGrid w:val="0"/>
          <w:kern w:val="0"/>
          <w:szCs w:val="21"/>
          <w:highlight w:val="none"/>
        </w:rPr>
        <w:t xml:space="preserve">   （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rPr>
          <w:bCs/>
          <w:snapToGrid w:val="0"/>
          <w:kern w:val="0"/>
          <w:szCs w:val="21"/>
          <w:highlight w:val="none"/>
        </w:rPr>
      </w:pPr>
      <w:r>
        <w:rPr>
          <w:bCs/>
          <w:snapToGrid w:val="0"/>
          <w:kern w:val="0"/>
          <w:szCs w:val="21"/>
          <w:highlight w:val="none"/>
        </w:rPr>
        <w:t xml:space="preserve">   （5）清运建筑垃圾。土方和建筑垃圾的运输应采用封闭式运输车辆或采取覆盖措施。建筑物内施工垃圾的清运，应采用器具或管道运输，严禁随意抛掷。施工现场严禁焚烧各类废弃物。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rPr>
          <w:bCs/>
          <w:snapToGrid w:val="0"/>
          <w:kern w:val="0"/>
          <w:szCs w:val="21"/>
          <w:highlight w:val="none"/>
        </w:rPr>
      </w:pPr>
      <w:r>
        <w:rPr>
          <w:bCs/>
          <w:snapToGrid w:val="0"/>
          <w:kern w:val="0"/>
          <w:szCs w:val="21"/>
          <w:highlight w:val="none"/>
        </w:rPr>
        <w:t xml:space="preserve">   （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w:t>
      </w:r>
      <w:r>
        <w:rPr>
          <w:b/>
          <w:snapToGrid w:val="0"/>
          <w:kern w:val="0"/>
          <w:szCs w:val="21"/>
          <w:highlight w:val="none"/>
        </w:rPr>
        <w:t xml:space="preserve">□ </w:t>
      </w:r>
      <w:r>
        <w:rPr>
          <w:snapToGrid w:val="0"/>
          <w:kern w:val="0"/>
          <w:szCs w:val="21"/>
          <w:highlight w:val="none"/>
        </w:rPr>
        <w:t>和第38.7（6）款]的约定承担相应的违约责任。</w:t>
      </w:r>
    </w:p>
    <w:p>
      <w:pPr>
        <w:adjustRightInd w:val="0"/>
        <w:snapToGrid w:val="0"/>
        <w:spacing w:line="360" w:lineRule="auto"/>
        <w:ind w:right="11" w:firstLine="403" w:firstLineChars="192"/>
        <w:rPr>
          <w:bCs/>
          <w:snapToGrid w:val="0"/>
          <w:kern w:val="0"/>
          <w:szCs w:val="21"/>
          <w:highlight w:val="none"/>
        </w:rPr>
      </w:pPr>
      <w:r>
        <w:rPr>
          <w:bCs/>
          <w:snapToGrid w:val="0"/>
          <w:kern w:val="0"/>
          <w:szCs w:val="21"/>
          <w:highlight w:val="none"/>
        </w:rPr>
        <w:t>24.5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adjustRightInd w:val="0"/>
        <w:snapToGrid w:val="0"/>
        <w:spacing w:line="360" w:lineRule="auto"/>
        <w:ind w:right="11" w:firstLine="403" w:firstLineChars="192"/>
        <w:rPr>
          <w:snapToGrid w:val="0"/>
          <w:kern w:val="0"/>
          <w:szCs w:val="21"/>
          <w:highlight w:val="none"/>
        </w:rPr>
      </w:pPr>
      <w:r>
        <w:rPr>
          <w:bCs/>
          <w:snapToGrid w:val="0"/>
          <w:kern w:val="0"/>
          <w:szCs w:val="21"/>
          <w:highlight w:val="none"/>
        </w:rPr>
        <w:t>在合同工期内，发包人、总监理工程师对承包人的安全文明施工及环境保护措施</w:t>
      </w:r>
      <w:r>
        <w:rPr>
          <w:snapToGrid w:val="0"/>
          <w:kern w:val="0"/>
          <w:szCs w:val="21"/>
          <w:highlight w:val="none"/>
        </w:rPr>
        <w:t>进行定期检查，并按招标文件规定的项目和款项执行奖罚。</w:t>
      </w:r>
    </w:p>
    <w:p>
      <w:pPr>
        <w:pStyle w:val="39"/>
        <w:adjustRightInd w:val="0"/>
        <w:snapToGrid w:val="0"/>
        <w:spacing w:line="360" w:lineRule="auto"/>
        <w:ind w:firstLine="422" w:firstLineChars="200"/>
        <w:rPr>
          <w:rFonts w:ascii="Times New Roman" w:hAnsi="Times New Roman" w:eastAsia="宋体"/>
          <w:b/>
          <w:iCs/>
          <w:snapToGrid w:val="0"/>
          <w:kern w:val="0"/>
          <w:szCs w:val="21"/>
          <w:highlight w:val="none"/>
        </w:rPr>
      </w:pPr>
      <w:r>
        <w:rPr>
          <w:rFonts w:ascii="Times New Roman" w:hAnsi="Times New Roman" w:eastAsia="宋体"/>
          <w:b/>
          <w:iCs/>
          <w:snapToGrid w:val="0"/>
          <w:kern w:val="0"/>
          <w:szCs w:val="21"/>
          <w:highlight w:val="none"/>
        </w:rPr>
        <w:t>24.6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地下水降排水费用、设计要求的抗浮降排水费用、地下水的排除费用（包括降水井、排水明沟、暗沟等设施及水泵台班等全部费用。</w:t>
      </w:r>
      <w:r>
        <w:rPr>
          <w:rFonts w:hint="eastAsia" w:ascii="Times New Roman" w:hAnsi="Times New Roman" w:eastAsia="宋体"/>
          <w:b/>
          <w:iCs/>
          <w:snapToGrid w:val="0"/>
          <w:kern w:val="0"/>
          <w:szCs w:val="21"/>
          <w:highlight w:val="none"/>
        </w:rPr>
        <w:t>预算包干费中未包含的施工排水及降水工作量按实签证，以监理工程师及建设单位确认为准。</w:t>
      </w:r>
    </w:p>
    <w:p>
      <w:pPr>
        <w:pStyle w:val="39"/>
        <w:adjustRightInd w:val="0"/>
        <w:snapToGrid w:val="0"/>
        <w:spacing w:line="360" w:lineRule="auto"/>
        <w:ind w:firstLine="422" w:firstLineChars="200"/>
        <w:rPr>
          <w:rFonts w:ascii="Times New Roman" w:hAnsi="Times New Roman" w:eastAsia="宋体"/>
          <w:b/>
          <w:iCs/>
          <w:snapToGrid w:val="0"/>
          <w:kern w:val="0"/>
          <w:szCs w:val="21"/>
          <w:highlight w:val="none"/>
        </w:rPr>
      </w:pPr>
      <w:r>
        <w:rPr>
          <w:rFonts w:ascii="Times New Roman" w:hAnsi="Times New Roman" w:eastAsia="宋体"/>
          <w:b/>
          <w:iCs/>
          <w:snapToGrid w:val="0"/>
          <w:kern w:val="0"/>
          <w:szCs w:val="21"/>
          <w:highlight w:val="none"/>
        </w:rPr>
        <w:t>24.7用工实名管理</w:t>
      </w:r>
    </w:p>
    <w:p>
      <w:pPr>
        <w:pStyle w:val="39"/>
        <w:adjustRightInd w:val="0"/>
        <w:snapToGrid w:val="0"/>
        <w:spacing w:line="360" w:lineRule="auto"/>
        <w:ind w:firstLine="420" w:firstLineChars="200"/>
        <w:rPr>
          <w:rFonts w:ascii="Times New Roman" w:hAnsi="Times New Roman" w:eastAsia="宋体"/>
          <w:b/>
          <w:iCs/>
          <w:snapToGrid w:val="0"/>
          <w:kern w:val="0"/>
          <w:szCs w:val="21"/>
          <w:highlight w:val="none"/>
        </w:rPr>
      </w:pPr>
      <w:r>
        <w:rPr>
          <w:rFonts w:ascii="Times New Roman" w:hAnsi="Times New Roman" w:eastAsia="宋体"/>
          <w:bCs/>
          <w:iCs/>
          <w:snapToGrid w:val="0"/>
          <w:kern w:val="0"/>
          <w:szCs w:val="21"/>
          <w:highlight w:val="none"/>
        </w:rPr>
        <w:t>24.7.1承包人应利用信息技术手段，建立用工实名管理制度，对施工现场人员登记并进行监管，开展实名管理所需数据的提取、登记、审核、报送和档案管理等工作；</w:t>
      </w:r>
    </w:p>
    <w:p>
      <w:pPr>
        <w:pStyle w:val="39"/>
        <w:adjustRightInd w:val="0"/>
        <w:snapToGrid w:val="0"/>
        <w:spacing w:line="360" w:lineRule="auto"/>
        <w:ind w:firstLine="420" w:firstLineChars="200"/>
        <w:rPr>
          <w:rFonts w:ascii="Times New Roman" w:hAnsi="Times New Roman" w:eastAsia="宋体"/>
          <w:bCs/>
          <w:iCs/>
          <w:snapToGrid w:val="0"/>
          <w:kern w:val="0"/>
          <w:szCs w:val="21"/>
          <w:highlight w:val="none"/>
        </w:rPr>
      </w:pPr>
      <w:r>
        <w:rPr>
          <w:rFonts w:ascii="Times New Roman" w:hAnsi="Times New Roman" w:eastAsia="宋体"/>
          <w:bCs/>
          <w:iCs/>
          <w:snapToGrid w:val="0"/>
          <w:kern w:val="0"/>
          <w:szCs w:val="21"/>
          <w:highlight w:val="none"/>
        </w:rPr>
        <w:t>24.7.2在施工区域安装电子信息卡等门禁设施，用于施工现场人员的日常考勤和工作情况记录；</w:t>
      </w:r>
    </w:p>
    <w:p>
      <w:pPr>
        <w:pStyle w:val="39"/>
        <w:adjustRightInd w:val="0"/>
        <w:snapToGrid w:val="0"/>
        <w:spacing w:line="360" w:lineRule="auto"/>
        <w:ind w:firstLine="420" w:firstLineChars="200"/>
        <w:rPr>
          <w:rFonts w:ascii="Times New Roman" w:hAnsi="Times New Roman" w:eastAsia="宋体"/>
          <w:bCs/>
          <w:iCs/>
          <w:snapToGrid w:val="0"/>
          <w:kern w:val="0"/>
          <w:szCs w:val="21"/>
          <w:highlight w:val="none"/>
        </w:rPr>
      </w:pPr>
      <w:r>
        <w:rPr>
          <w:rFonts w:ascii="Times New Roman" w:hAnsi="Times New Roman" w:eastAsia="宋体"/>
          <w:bCs/>
          <w:iCs/>
          <w:snapToGrid w:val="0"/>
          <w:kern w:val="0"/>
          <w:szCs w:val="21"/>
          <w:highlight w:val="none"/>
        </w:rPr>
        <w:t>24.7.3在项目现场设置公示牌，将每月考勤、工资支付等信息在公示牌上进行公示。</w:t>
      </w:r>
    </w:p>
    <w:p>
      <w:pPr>
        <w:pStyle w:val="39"/>
        <w:adjustRightInd w:val="0"/>
        <w:snapToGrid w:val="0"/>
        <w:spacing w:line="360" w:lineRule="auto"/>
        <w:ind w:firstLine="420" w:firstLineChars="200"/>
        <w:rPr>
          <w:rFonts w:ascii="Times New Roman" w:hAnsi="Times New Roman" w:eastAsia="宋体"/>
          <w:bCs/>
          <w:iCs/>
          <w:snapToGrid w:val="0"/>
          <w:kern w:val="0"/>
          <w:szCs w:val="21"/>
          <w:highlight w:val="none"/>
        </w:rPr>
      </w:pPr>
      <w:r>
        <w:rPr>
          <w:rFonts w:ascii="Times New Roman" w:hAnsi="Times New Roman" w:eastAsia="宋体"/>
          <w:bCs/>
          <w:iCs/>
          <w:snapToGrid w:val="0"/>
          <w:kern w:val="0"/>
          <w:szCs w:val="21"/>
          <w:highlight w:val="none"/>
        </w:rPr>
        <w:t>24.7.4落实工程建设领域人工费用与其他工程款分账管理制度，设立工资支付专用账户，同意为已实名信息采集的施工现场人员办理银行卡，并通过银行卡足额发放工资；</w:t>
      </w:r>
    </w:p>
    <w:p>
      <w:pPr>
        <w:pStyle w:val="39"/>
        <w:adjustRightInd w:val="0"/>
        <w:snapToGrid w:val="0"/>
        <w:spacing w:line="360" w:lineRule="auto"/>
        <w:ind w:firstLine="420" w:firstLineChars="200"/>
        <w:rPr>
          <w:rFonts w:ascii="Times New Roman" w:hAnsi="Times New Roman" w:eastAsia="宋体"/>
          <w:bCs/>
          <w:iCs/>
          <w:snapToGrid w:val="0"/>
          <w:kern w:val="0"/>
          <w:szCs w:val="21"/>
          <w:highlight w:val="none"/>
        </w:rPr>
      </w:pPr>
      <w:r>
        <w:rPr>
          <w:rFonts w:ascii="Times New Roman" w:hAnsi="Times New Roman" w:eastAsia="宋体"/>
          <w:bCs/>
          <w:iCs/>
          <w:snapToGrid w:val="0"/>
          <w:kern w:val="0"/>
          <w:szCs w:val="21"/>
          <w:highlight w:val="none"/>
        </w:rPr>
        <w:t>24.7.5自行或提请银行将银行卡发放信息、工资支付信息归集后上传至实名监督系统，并想施工现场人员反馈其工资收入信息；</w:t>
      </w:r>
    </w:p>
    <w:p>
      <w:pPr>
        <w:pStyle w:val="39"/>
        <w:adjustRightInd w:val="0"/>
        <w:snapToGrid w:val="0"/>
        <w:spacing w:line="360" w:lineRule="auto"/>
        <w:ind w:firstLine="465"/>
        <w:rPr>
          <w:rFonts w:ascii="Times New Roman" w:hAnsi="Times New Roman" w:eastAsia="宋体"/>
          <w:snapToGrid w:val="0"/>
          <w:kern w:val="0"/>
          <w:szCs w:val="21"/>
          <w:highlight w:val="none"/>
        </w:rPr>
      </w:pPr>
      <w:r>
        <w:rPr>
          <w:rFonts w:ascii="Times New Roman" w:hAnsi="Times New Roman" w:eastAsia="宋体"/>
          <w:bCs/>
          <w:iCs/>
          <w:snapToGrid w:val="0"/>
          <w:kern w:val="0"/>
          <w:szCs w:val="21"/>
          <w:highlight w:val="none"/>
        </w:rPr>
        <w:t>24.7.6施工现场人员退场时，为其办理退场登记。</w:t>
      </w:r>
    </w:p>
    <w:p>
      <w:pPr>
        <w:pStyle w:val="4"/>
        <w:jc w:val="left"/>
        <w:rPr>
          <w:snapToGrid w:val="0"/>
          <w:kern w:val="0"/>
          <w:highlight w:val="none"/>
        </w:rPr>
      </w:pPr>
      <w:bookmarkStart w:id="321" w:name="_Toc517774565"/>
      <w:bookmarkStart w:id="322" w:name="_Toc520902610"/>
      <w:bookmarkStart w:id="323" w:name="_Toc518481737"/>
      <w:bookmarkStart w:id="324" w:name="_Toc519502255"/>
      <w:bookmarkStart w:id="325" w:name="_Toc132813121"/>
      <w:bookmarkStart w:id="326" w:name="_Toc514664865"/>
      <w:bookmarkStart w:id="327" w:name="_Toc514681768"/>
      <w:bookmarkStart w:id="328" w:name="_Toc519503085"/>
      <w:bookmarkStart w:id="329" w:name="_Toc514665287"/>
      <w:bookmarkStart w:id="330" w:name="_Toc517954578"/>
      <w:bookmarkStart w:id="331" w:name="_Toc514681187"/>
      <w:bookmarkStart w:id="332" w:name="_Toc514665148"/>
      <w:bookmarkStart w:id="333" w:name="_Toc520358059"/>
      <w:bookmarkStart w:id="334" w:name="_Toc514663863"/>
      <w:bookmarkStart w:id="335" w:name="_Toc520901465"/>
      <w:bookmarkStart w:id="336" w:name="_Toc520902832"/>
      <w:bookmarkStart w:id="337" w:name="_Toc520358235"/>
      <w:bookmarkStart w:id="338" w:name="_Toc514666978"/>
      <w:bookmarkStart w:id="339" w:name="_Toc520902761"/>
      <w:bookmarkStart w:id="340" w:name="_Toc516495981"/>
      <w:r>
        <w:rPr>
          <w:rFonts w:hint="eastAsia"/>
          <w:snapToGrid w:val="0"/>
          <w:kern w:val="0"/>
          <w:highlight w:val="none"/>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25、合同价款及调整</w:t>
      </w:r>
    </w:p>
    <w:p>
      <w:pPr>
        <w:autoSpaceDE w:val="0"/>
        <w:autoSpaceDN w:val="0"/>
        <w:adjustRightInd w:val="0"/>
        <w:snapToGrid w:val="0"/>
        <w:spacing w:line="360" w:lineRule="auto"/>
        <w:ind w:right="11" w:firstLine="461"/>
        <w:rPr>
          <w:snapToGrid w:val="0"/>
          <w:kern w:val="0"/>
          <w:szCs w:val="21"/>
          <w:highlight w:val="none"/>
          <w:lang w:val="zh-CN"/>
        </w:rPr>
      </w:pPr>
      <w:r>
        <w:rPr>
          <w:snapToGrid w:val="0"/>
          <w:kern w:val="0"/>
          <w:szCs w:val="21"/>
          <w:highlight w:val="none"/>
          <w:lang w:val="zh-CN"/>
        </w:rPr>
        <w:t>25.1 合同价款按照合同协议书第6条和本条第25.2款的约定执行。</w:t>
      </w:r>
    </w:p>
    <w:p>
      <w:pPr>
        <w:autoSpaceDE w:val="0"/>
        <w:autoSpaceDN w:val="0"/>
        <w:adjustRightInd w:val="0"/>
        <w:snapToGrid w:val="0"/>
        <w:spacing w:line="360" w:lineRule="auto"/>
        <w:ind w:right="11" w:firstLine="461"/>
        <w:rPr>
          <w:snapToGrid w:val="0"/>
          <w:kern w:val="0"/>
          <w:szCs w:val="21"/>
          <w:highlight w:val="none"/>
        </w:rPr>
      </w:pPr>
      <w:r>
        <w:rPr>
          <w:snapToGrid w:val="0"/>
          <w:kern w:val="0"/>
          <w:szCs w:val="21"/>
          <w:highlight w:val="none"/>
        </w:rPr>
        <w:t xml:space="preserve">25.2 </w:t>
      </w:r>
      <w:r>
        <w:rPr>
          <w:snapToGrid w:val="0"/>
          <w:kern w:val="0"/>
          <w:szCs w:val="21"/>
          <w:highlight w:val="none"/>
          <w:lang w:val="zh-CN"/>
        </w:rPr>
        <w:t>确定合同价款的方式</w:t>
      </w:r>
      <w:r>
        <w:rPr>
          <w:snapToGrid w:val="0"/>
          <w:kern w:val="0"/>
          <w:szCs w:val="21"/>
          <w:highlight w:val="none"/>
        </w:rPr>
        <w:t>：</w:t>
      </w:r>
    </w:p>
    <w:p>
      <w:pPr>
        <w:adjustRightInd w:val="0"/>
        <w:snapToGrid w:val="0"/>
        <w:spacing w:line="360" w:lineRule="auto"/>
        <w:ind w:right="11" w:firstLine="420" w:firstLineChars="200"/>
        <w:rPr>
          <w:bCs/>
          <w:snapToGrid w:val="0"/>
          <w:kern w:val="0"/>
          <w:szCs w:val="21"/>
          <w:highlight w:val="none"/>
        </w:rPr>
      </w:pPr>
      <w:r>
        <w:rPr>
          <w:szCs w:val="21"/>
          <w:highlight w:val="none"/>
        </w:rPr>
        <w:sym w:font="Wingdings 2" w:char="00A3"/>
      </w:r>
      <w:r>
        <w:rPr>
          <w:bCs/>
          <w:snapToGrid w:val="0"/>
          <w:kern w:val="0"/>
          <w:szCs w:val="21"/>
          <w:highlight w:val="none"/>
        </w:rPr>
        <w:t>（1）</w:t>
      </w:r>
      <w:r>
        <w:rPr>
          <w:snapToGrid w:val="0"/>
          <w:kern w:val="0"/>
          <w:szCs w:val="21"/>
          <w:highlight w:val="none"/>
          <w:lang w:val="zh-CN"/>
        </w:rPr>
        <w:t>采用合同协议书第</w:t>
      </w:r>
      <w:r>
        <w:rPr>
          <w:bCs/>
          <w:snapToGrid w:val="0"/>
          <w:kern w:val="0"/>
          <w:szCs w:val="21"/>
          <w:highlight w:val="none"/>
        </w:rPr>
        <w:t>2.3</w:t>
      </w:r>
      <w:r>
        <w:rPr>
          <w:snapToGrid w:val="0"/>
          <w:kern w:val="0"/>
          <w:szCs w:val="21"/>
          <w:highlight w:val="none"/>
          <w:lang w:val="zh-CN"/>
        </w:rPr>
        <w:t>款约定的</w:t>
      </w:r>
      <w:r>
        <w:rPr>
          <w:bCs/>
          <w:snapToGrid w:val="0"/>
          <w:kern w:val="0"/>
          <w:szCs w:val="21"/>
          <w:highlight w:val="none"/>
        </w:rPr>
        <w:t>合同价款固定不变。</w:t>
      </w:r>
    </w:p>
    <w:p>
      <w:pPr>
        <w:adjustRightInd w:val="0"/>
        <w:snapToGrid w:val="0"/>
        <w:spacing w:line="360" w:lineRule="auto"/>
        <w:ind w:right="11" w:firstLine="420" w:firstLineChars="200"/>
        <w:rPr>
          <w:bCs/>
          <w:snapToGrid w:val="0"/>
          <w:kern w:val="0"/>
          <w:szCs w:val="21"/>
          <w:highlight w:val="none"/>
        </w:rPr>
      </w:pPr>
      <w:r>
        <w:rPr>
          <w:szCs w:val="21"/>
          <w:highlight w:val="none"/>
        </w:rPr>
        <w:sym w:font="Wingdings 2" w:char="00A3"/>
      </w:r>
      <w:r>
        <w:rPr>
          <w:bCs/>
          <w:snapToGrid w:val="0"/>
          <w:kern w:val="0"/>
          <w:szCs w:val="21"/>
          <w:highlight w:val="none"/>
        </w:rPr>
        <w:t>（2）合同价款总价包干，若招标范围和承包内容不发生变化，则本工程结算价即为合同价（招标文件及本合同另有约定可以调整的项目除外）。</w:t>
      </w:r>
    </w:p>
    <w:p>
      <w:pPr>
        <w:adjustRightInd w:val="0"/>
        <w:snapToGrid w:val="0"/>
        <w:spacing w:line="360" w:lineRule="auto"/>
        <w:ind w:right="11" w:firstLine="420" w:firstLineChars="200"/>
        <w:rPr>
          <w:bCs/>
          <w:snapToGrid w:val="0"/>
          <w:kern w:val="0"/>
          <w:szCs w:val="21"/>
          <w:highlight w:val="none"/>
        </w:rPr>
      </w:pPr>
      <w:r>
        <w:rPr>
          <w:szCs w:val="21"/>
          <w:highlight w:val="none"/>
        </w:rPr>
        <w:sym w:font="Wingdings 2" w:char="00A3"/>
      </w:r>
      <w:r>
        <w:rPr>
          <w:bCs/>
          <w:snapToGrid w:val="0"/>
          <w:kern w:val="0"/>
          <w:szCs w:val="21"/>
          <w:highlight w:val="none"/>
        </w:rPr>
        <w:t>（3）</w:t>
      </w:r>
      <w:r>
        <w:rPr>
          <w:snapToGrid w:val="0"/>
          <w:kern w:val="0"/>
          <w:szCs w:val="21"/>
          <w:highlight w:val="none"/>
          <w:lang w:val="zh-CN"/>
        </w:rPr>
        <w:t>采用合同协议书第2.3款约定的</w:t>
      </w:r>
      <w:r>
        <w:rPr>
          <w:bCs/>
          <w:snapToGrid w:val="0"/>
          <w:kern w:val="0"/>
          <w:szCs w:val="21"/>
          <w:highlight w:val="none"/>
        </w:rPr>
        <w:t>工程量清单综合单价包干及综合合价项目包干并按</w:t>
      </w:r>
      <w:r>
        <w:rPr>
          <w:snapToGrid w:val="0"/>
          <w:kern w:val="0"/>
          <w:szCs w:val="21"/>
          <w:highlight w:val="none"/>
        </w:rPr>
        <w:t>本条第25.3款的约定执行（即：工程量清单项目综合单价包干，项目措施费合价包干）</w:t>
      </w:r>
      <w:r>
        <w:rPr>
          <w:bCs/>
          <w:snapToGrid w:val="0"/>
          <w:kern w:val="0"/>
          <w:szCs w:val="21"/>
          <w:highlight w:val="none"/>
        </w:rPr>
        <w:t>，最终按</w:t>
      </w:r>
      <w:r>
        <w:rPr>
          <w:szCs w:val="21"/>
          <w:highlight w:val="none"/>
        </w:rPr>
        <w:t>以</w:t>
      </w:r>
      <w:r>
        <w:rPr>
          <w:rFonts w:hint="eastAsia"/>
          <w:szCs w:val="21"/>
          <w:highlight w:val="none"/>
        </w:rPr>
        <w:t>发包人委托的终审单位</w:t>
      </w:r>
      <w:r>
        <w:rPr>
          <w:bCs/>
          <w:snapToGrid w:val="0"/>
          <w:kern w:val="0"/>
          <w:szCs w:val="21"/>
          <w:highlight w:val="none"/>
        </w:rPr>
        <w:t>审定价结算。</w:t>
      </w:r>
    </w:p>
    <w:p>
      <w:pPr>
        <w:autoSpaceDE w:val="0"/>
        <w:autoSpaceDN w:val="0"/>
        <w:adjustRightInd w:val="0"/>
        <w:snapToGrid w:val="0"/>
        <w:spacing w:line="360" w:lineRule="auto"/>
        <w:ind w:right="11" w:firstLine="461"/>
        <w:rPr>
          <w:snapToGrid w:val="0"/>
          <w:kern w:val="0"/>
          <w:szCs w:val="21"/>
          <w:highlight w:val="none"/>
          <w:lang w:val="zh-CN"/>
        </w:rPr>
      </w:pPr>
      <w:r>
        <w:rPr>
          <w:rFonts w:ascii="Wingdings 2" w:hAnsi="Wingdings 2"/>
          <w:snapToGrid w:val="0"/>
          <w:kern w:val="0"/>
          <w:sz w:val="24"/>
          <w:highlight w:val="none"/>
        </w:rPr>
        <w:t></w:t>
      </w:r>
      <w:r>
        <w:rPr>
          <w:snapToGrid w:val="0"/>
          <w:kern w:val="0"/>
          <w:szCs w:val="21"/>
          <w:highlight w:val="none"/>
        </w:rPr>
        <w:t>（4）</w:t>
      </w:r>
      <w:r>
        <w:rPr>
          <w:snapToGrid w:val="0"/>
          <w:kern w:val="0"/>
          <w:szCs w:val="21"/>
          <w:highlight w:val="none"/>
          <w:lang w:val="zh-CN"/>
        </w:rPr>
        <w:t>其他</w:t>
      </w:r>
      <w:r>
        <w:rPr>
          <w:snapToGrid w:val="0"/>
          <w:kern w:val="0"/>
          <w:szCs w:val="21"/>
          <w:highlight w:val="none"/>
        </w:rPr>
        <w:t>：</w:t>
      </w:r>
      <w:r>
        <w:rPr>
          <w:b/>
          <w:bCs/>
          <w:snapToGrid w:val="0"/>
          <w:kern w:val="0"/>
          <w:szCs w:val="21"/>
          <w:highlight w:val="none"/>
          <w:u w:val="single"/>
        </w:rPr>
        <w:t>按</w:t>
      </w:r>
      <w:r>
        <w:rPr>
          <w:b/>
          <w:bCs/>
          <w:snapToGrid w:val="0"/>
          <w:kern w:val="0"/>
          <w:szCs w:val="21"/>
          <w:highlight w:val="none"/>
          <w:u w:val="single"/>
          <w:lang w:val="zh-CN"/>
        </w:rPr>
        <w:t>合同协议书第2.3款约定执行</w:t>
      </w:r>
      <w:r>
        <w:rPr>
          <w:snapToGrid w:val="0"/>
          <w:kern w:val="0"/>
          <w:szCs w:val="21"/>
          <w:highlight w:val="none"/>
          <w:lang w:val="zh-CN"/>
        </w:rPr>
        <w:t>。</w:t>
      </w:r>
    </w:p>
    <w:p>
      <w:pPr>
        <w:adjustRightInd w:val="0"/>
        <w:snapToGrid w:val="0"/>
        <w:spacing w:line="360" w:lineRule="auto"/>
        <w:ind w:right="11" w:firstLine="405" w:firstLineChars="192"/>
        <w:rPr>
          <w:b/>
          <w:snapToGrid w:val="0"/>
          <w:kern w:val="0"/>
          <w:szCs w:val="21"/>
          <w:highlight w:val="none"/>
        </w:rPr>
      </w:pPr>
      <w:r>
        <w:rPr>
          <w:b/>
          <w:snapToGrid w:val="0"/>
          <w:kern w:val="0"/>
          <w:szCs w:val="21"/>
          <w:highlight w:val="none"/>
        </w:rPr>
        <w:t>承包人与发包人一致同意不适用合同通用条款第25.3、25.4款的约定，代之以：</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25.3合同价款的调整</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合同价款的</w:t>
      </w:r>
      <w:r>
        <w:rPr>
          <w:rFonts w:hint="eastAsia"/>
          <w:snapToGrid w:val="0"/>
          <w:kern w:val="0"/>
          <w:szCs w:val="21"/>
          <w:highlight w:val="none"/>
        </w:rPr>
        <w:t>造价控制、调整</w:t>
      </w:r>
      <w:r>
        <w:rPr>
          <w:snapToGrid w:val="0"/>
          <w:kern w:val="0"/>
          <w:szCs w:val="21"/>
          <w:highlight w:val="none"/>
        </w:rPr>
        <w:t>按照如下约定执行：</w:t>
      </w:r>
    </w:p>
    <w:p>
      <w:pPr>
        <w:adjustRightInd w:val="0"/>
        <w:snapToGrid w:val="0"/>
        <w:spacing w:line="360" w:lineRule="auto"/>
        <w:ind w:right="11" w:firstLine="405" w:firstLineChars="192"/>
        <w:rPr>
          <w:b/>
          <w:snapToGrid w:val="0"/>
          <w:kern w:val="0"/>
          <w:szCs w:val="21"/>
          <w:highlight w:val="none"/>
        </w:rPr>
      </w:pPr>
      <w:r>
        <w:rPr>
          <w:rFonts w:hint="eastAsia"/>
          <w:b/>
          <w:snapToGrid w:val="0"/>
          <w:kern w:val="0"/>
          <w:szCs w:val="21"/>
          <w:highlight w:val="none"/>
        </w:rPr>
        <w:t>本项目的中标价（暂定合同价）≥基于中标下浮率及施工图纸确定的预算价≥结算价。</w:t>
      </w:r>
    </w:p>
    <w:p>
      <w:pPr>
        <w:adjustRightInd w:val="0"/>
        <w:snapToGrid w:val="0"/>
        <w:spacing w:line="360" w:lineRule="auto"/>
        <w:ind w:right="11" w:firstLine="403" w:firstLineChars="192"/>
        <w:rPr>
          <w:snapToGrid w:val="0"/>
          <w:kern w:val="0"/>
          <w:szCs w:val="21"/>
          <w:highlight w:val="none"/>
        </w:rPr>
      </w:pPr>
      <w:r>
        <w:rPr>
          <w:rFonts w:hint="eastAsia"/>
          <w:snapToGrid w:val="0"/>
          <w:kern w:val="0"/>
          <w:szCs w:val="21"/>
          <w:highlight w:val="none"/>
        </w:rPr>
        <w:t>以上合同价款的调整以不超过中标合同价（即￥</w:t>
      </w:r>
      <w:r>
        <w:rPr>
          <w:rFonts w:hint="eastAsia"/>
          <w:highlight w:val="none"/>
          <w:u w:val="single"/>
        </w:rPr>
        <w:t xml:space="preserve">           </w:t>
      </w:r>
      <w:r>
        <w:rPr>
          <w:rFonts w:hint="eastAsia"/>
          <w:snapToGrid w:val="0"/>
          <w:kern w:val="0"/>
          <w:szCs w:val="21"/>
          <w:highlight w:val="none"/>
        </w:rPr>
        <w:t>元）为上限，如有超出，承包人应当及时优化设计，超出部分发包人将不予支付。</w:t>
      </w:r>
      <w:r>
        <w:rPr>
          <w:snapToGrid w:val="0"/>
          <w:kern w:val="0"/>
          <w:szCs w:val="21"/>
          <w:highlight w:val="none"/>
        </w:rPr>
        <w:t>经上级主管部门或建设单位批准超出原招标规模、标准而引起费用变化</w:t>
      </w:r>
      <w:r>
        <w:rPr>
          <w:rFonts w:hint="eastAsia"/>
          <w:snapToGrid w:val="0"/>
          <w:kern w:val="0"/>
          <w:szCs w:val="21"/>
          <w:highlight w:val="none"/>
        </w:rPr>
        <w:t>除外</w:t>
      </w:r>
      <w:r>
        <w:rPr>
          <w:snapToGrid w:val="0"/>
          <w:kern w:val="0"/>
          <w:szCs w:val="21"/>
          <w:highlight w:val="none"/>
        </w:rPr>
        <w:t>。</w:t>
      </w:r>
    </w:p>
    <w:p>
      <w:pPr>
        <w:adjustRightInd w:val="0"/>
        <w:snapToGrid w:val="0"/>
        <w:spacing w:line="360" w:lineRule="auto"/>
        <w:ind w:right="11" w:firstLine="403" w:firstLineChars="192"/>
        <w:rPr>
          <w:bCs/>
          <w:snapToGrid w:val="0"/>
          <w:kern w:val="0"/>
          <w:szCs w:val="21"/>
          <w:highlight w:val="none"/>
        </w:rPr>
      </w:pPr>
      <w:r>
        <w:rPr>
          <w:snapToGrid w:val="0"/>
          <w:kern w:val="0"/>
          <w:szCs w:val="21"/>
          <w:highlight w:val="none"/>
        </w:rPr>
        <w:t>25.4承包人应在本条第25.3（1）款情况发生之日起5天内将调整原因、金额以书面形式通知监理单位，经监理单位和发包人批准后作为调整合同价款及工程结算的依据。监理单位收到后3天内审核并签署意见，发包人在10天内审定并批准执行。</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承包人与发包人一致同意增加25.5至25.8：</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25.5工程签证及新增工程的计价</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25.5.1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时工程签证的计价以结算终审部门的审定为准。</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25.5.2 合同外的新增项目需由承包人根据方案编制预算，执行发包人（或本项目建设管理单位）的变更管理流程，报相关部门、单位审核。结算时新增工程的计价以结算终审部门的审定为准。</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25.7承包人承诺：在整个合同执行期间发包人如发现有招标文件规定的不合理投标报价的，发包人有权按有关规定和合同约定进行调整，同时书面通知承包人，并以此作为结算依据。</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25.8 土方工程的计价</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25.8.1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pPr>
        <w:adjustRightInd w:val="0"/>
        <w:snapToGrid w:val="0"/>
        <w:spacing w:line="360" w:lineRule="auto"/>
        <w:ind w:right="11" w:firstLine="405" w:firstLineChars="192"/>
        <w:rPr>
          <w:b/>
          <w:bCs/>
          <w:snapToGrid w:val="0"/>
          <w:kern w:val="0"/>
          <w:szCs w:val="21"/>
          <w:highlight w:val="none"/>
        </w:rPr>
      </w:pPr>
      <w:r>
        <w:rPr>
          <w:rFonts w:hint="eastAsia"/>
          <w:b/>
          <w:bCs/>
          <w:snapToGrid w:val="0"/>
          <w:kern w:val="0"/>
          <w:szCs w:val="21"/>
          <w:highlight w:val="none"/>
        </w:rPr>
        <w:t>本项目的弃土、取土优先选择区国有消纳场，运距按实计取，纳土费及取土费的计量及支付以区国有消纳场出具的相关凭证为准，单价按余方弃置和外购土方（区国有消纳场）清单相应的综合单价执行，运距按实按清单计价。如区国有消纳场无法承接本项目的土方消纳，则经发包人同意后，本项目的弃土、取土可选择其他合法堆土点，费用按综合单价包干计算，运距综合考虑。承包人需根据财政结算要求，提供合法弃土点的余泥详细凭证。</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25.8.2本项目的余方弃置和外购土方如区国有消纳场无法承接本项目的土方消纳，经发包人同意后:</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25.8.2.1本项目的余方弃置和外购土方承包人自行选择合法消纳场纳土、取土，弃置和外购按清单相应的综合单价包干计算，</w:t>
      </w:r>
      <w:r>
        <w:rPr>
          <w:szCs w:val="21"/>
          <w:highlight w:val="none"/>
        </w:rPr>
        <w:t>结算时综合单价不另作调整；</w:t>
      </w:r>
      <w:r>
        <w:rPr>
          <w:snapToGrid w:val="0"/>
          <w:kern w:val="0"/>
          <w:szCs w:val="21"/>
          <w:highlight w:val="none"/>
        </w:rPr>
        <w:t>包括但不限于挖土、运输、纳土费、不可预见费、运距增加等一切费用；</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25.8.2.2承包人应严格按照经监理单位及本项目建设管理单位审批的土方转堆方案处置土方堆放及外运，发包人对本工程范围内多余土方拥有优先处置权，本工程与其它工程间的土方的调配要服从发包人安排。</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25.8.2.3 发包人有权根据现场实际情况调整现场临时堆土方量及外运土方量</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25.9</w:t>
      </w:r>
      <w:r>
        <w:rPr>
          <w:rFonts w:hint="eastAsia"/>
          <w:snapToGrid w:val="0"/>
          <w:sz w:val="21"/>
          <w:szCs w:val="21"/>
          <w:highlight w:val="none"/>
        </w:rPr>
        <w:t>如项目实施过程中需使用发电机组发电，该费用由承包人根据现场实际自行考虑，不再另行计算。</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承包人与发包人一致同意不适用合同通用条款第26条的约定，代之以：</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26、工程预付款</w:t>
      </w:r>
    </w:p>
    <w:p>
      <w:pPr>
        <w:adjustRightInd w:val="0"/>
        <w:snapToGrid w:val="0"/>
        <w:spacing w:line="360" w:lineRule="auto"/>
        <w:ind w:firstLine="420" w:firstLineChars="200"/>
        <w:rPr>
          <w:b/>
          <w:snapToGrid w:val="0"/>
          <w:szCs w:val="21"/>
          <w:highlight w:val="none"/>
          <w:u w:val="single"/>
        </w:rPr>
      </w:pPr>
      <w:r>
        <w:rPr>
          <w:snapToGrid w:val="0"/>
          <w:kern w:val="0"/>
          <w:szCs w:val="21"/>
          <w:highlight w:val="none"/>
        </w:rPr>
        <w:t>26.1</w:t>
      </w:r>
      <w:r>
        <w:rPr>
          <w:rFonts w:hint="eastAsia"/>
          <w:snapToGrid w:val="0"/>
          <w:kern w:val="0"/>
          <w:szCs w:val="21"/>
          <w:highlight w:val="none"/>
        </w:rPr>
        <w:t>承包人按招标文件及合同专用条款第</w:t>
      </w:r>
      <w:r>
        <w:rPr>
          <w:snapToGrid w:val="0"/>
          <w:kern w:val="0"/>
          <w:szCs w:val="21"/>
          <w:highlight w:val="none"/>
        </w:rPr>
        <w:t>44</w:t>
      </w:r>
      <w:r>
        <w:rPr>
          <w:rFonts w:hint="eastAsia"/>
          <w:snapToGrid w:val="0"/>
          <w:kern w:val="0"/>
          <w:szCs w:val="21"/>
          <w:highlight w:val="none"/>
        </w:rPr>
        <w:t>条的要求提交履约银行保函且本合同签订后，承包人提交工程预付款申请书，发包人在收到工程预付款申请书</w:t>
      </w:r>
      <w:r>
        <w:rPr>
          <w:snapToGrid w:val="0"/>
          <w:kern w:val="0"/>
          <w:szCs w:val="21"/>
          <w:highlight w:val="none"/>
        </w:rPr>
        <w:t>15</w:t>
      </w:r>
      <w:r>
        <w:rPr>
          <w:rFonts w:hint="eastAsia"/>
          <w:snapToGrid w:val="0"/>
          <w:kern w:val="0"/>
          <w:szCs w:val="21"/>
          <w:highlight w:val="none"/>
        </w:rPr>
        <w:t>个工作日内支付中标</w:t>
      </w:r>
      <w:r>
        <w:rPr>
          <w:snapToGrid w:val="0"/>
          <w:kern w:val="0"/>
          <w:szCs w:val="21"/>
          <w:highlight w:val="none"/>
        </w:rPr>
        <w:t>合同价</w:t>
      </w:r>
      <w:r>
        <w:rPr>
          <w:rFonts w:hint="eastAsia"/>
          <w:snapToGrid w:val="0"/>
          <w:kern w:val="0"/>
          <w:szCs w:val="21"/>
          <w:highlight w:val="none"/>
        </w:rPr>
        <w:t>的</w:t>
      </w:r>
      <w:r>
        <w:rPr>
          <w:b/>
          <w:snapToGrid w:val="0"/>
          <w:kern w:val="0"/>
          <w:szCs w:val="21"/>
          <w:highlight w:val="none"/>
          <w:u w:val="single"/>
        </w:rPr>
        <w:t>10%</w:t>
      </w:r>
      <w:r>
        <w:rPr>
          <w:rFonts w:hint="eastAsia"/>
          <w:snapToGrid w:val="0"/>
          <w:kern w:val="0"/>
          <w:szCs w:val="21"/>
          <w:highlight w:val="none"/>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Pr>
          <w:snapToGrid w:val="0"/>
          <w:kern w:val="0"/>
          <w:szCs w:val="21"/>
          <w:highlight w:val="none"/>
        </w:rPr>
        <w:t>“</w:t>
      </w:r>
      <w:r>
        <w:rPr>
          <w:rFonts w:hint="eastAsia"/>
          <w:snapToGrid w:val="0"/>
          <w:kern w:val="0"/>
          <w:szCs w:val="21"/>
          <w:highlight w:val="none"/>
        </w:rPr>
        <w:t>现场组织实施管理费</w:t>
      </w:r>
      <w:r>
        <w:rPr>
          <w:snapToGrid w:val="0"/>
          <w:kern w:val="0"/>
          <w:szCs w:val="21"/>
          <w:highlight w:val="none"/>
        </w:rPr>
        <w:t>”</w:t>
      </w:r>
      <w:r>
        <w:rPr>
          <w:rFonts w:hint="eastAsia"/>
          <w:snapToGrid w:val="0"/>
          <w:kern w:val="0"/>
          <w:szCs w:val="21"/>
          <w:highlight w:val="none"/>
        </w:rPr>
        <w:t>）。（</w:t>
      </w:r>
      <w:r>
        <w:rPr>
          <w:snapToGrid w:val="0"/>
          <w:kern w:val="0"/>
          <w:szCs w:val="21"/>
          <w:highlight w:val="none"/>
        </w:rPr>
        <w:sym w:font="Wingdings 2" w:char="00A3"/>
      </w:r>
      <w:r>
        <w:rPr>
          <w:snapToGrid w:val="0"/>
          <w:kern w:val="0"/>
          <w:szCs w:val="21"/>
          <w:highlight w:val="none"/>
        </w:rPr>
        <w:t xml:space="preserve"> </w:t>
      </w:r>
      <w:r>
        <w:rPr>
          <w:rFonts w:hint="eastAsia"/>
          <w:snapToGrid w:val="0"/>
          <w:kern w:val="0"/>
          <w:szCs w:val="21"/>
          <w:highlight w:val="none"/>
        </w:rPr>
        <w:t>若有</w:t>
      </w:r>
      <w:r>
        <w:rPr>
          <w:snapToGrid w:val="0"/>
          <w:kern w:val="0"/>
          <w:szCs w:val="21"/>
          <w:highlight w:val="none"/>
        </w:rPr>
        <w:t xml:space="preserve"> </w:t>
      </w:r>
      <w:r>
        <w:rPr>
          <w:snapToGrid w:val="0"/>
          <w:kern w:val="0"/>
          <w:szCs w:val="21"/>
          <w:highlight w:val="none"/>
        </w:rPr>
        <w:sym w:font="Wingdings 2" w:char="00A3"/>
      </w:r>
      <w:r>
        <w:rPr>
          <w:snapToGrid w:val="0"/>
          <w:kern w:val="0"/>
          <w:szCs w:val="21"/>
          <w:highlight w:val="none"/>
        </w:rPr>
        <w:t xml:space="preserve"> </w:t>
      </w:r>
      <w:r>
        <w:rPr>
          <w:rFonts w:hint="eastAsia"/>
          <w:snapToGrid w:val="0"/>
          <w:kern w:val="0"/>
          <w:szCs w:val="21"/>
          <w:highlight w:val="none"/>
        </w:rPr>
        <w:t>甲招乙供材料设备和</w:t>
      </w:r>
      <w:r>
        <w:rPr>
          <w:snapToGrid w:val="0"/>
          <w:kern w:val="0"/>
          <w:szCs w:val="21"/>
          <w:highlight w:val="none"/>
        </w:rPr>
        <w:t xml:space="preserve"> </w:t>
      </w:r>
      <w:r>
        <w:rPr>
          <w:snapToGrid w:val="0"/>
          <w:kern w:val="0"/>
          <w:szCs w:val="21"/>
          <w:highlight w:val="none"/>
        </w:rPr>
        <w:sym w:font="Wingdings 2" w:char="00A3"/>
      </w:r>
      <w:r>
        <w:rPr>
          <w:snapToGrid w:val="0"/>
          <w:kern w:val="0"/>
          <w:szCs w:val="21"/>
          <w:highlight w:val="none"/>
        </w:rPr>
        <w:t xml:space="preserve"> </w:t>
      </w:r>
      <w:r>
        <w:rPr>
          <w:rFonts w:hint="eastAsia"/>
          <w:snapToGrid w:val="0"/>
          <w:kern w:val="0"/>
          <w:szCs w:val="21"/>
          <w:highlight w:val="none"/>
        </w:rPr>
        <w:t>甲管乙供材料设备的，工程预付款已包含甲招乙供材料设备和甲管乙供材料设备款，并须按本条第</w:t>
      </w:r>
      <w:r>
        <w:rPr>
          <w:snapToGrid w:val="0"/>
          <w:kern w:val="0"/>
          <w:szCs w:val="21"/>
          <w:highlight w:val="none"/>
        </w:rPr>
        <w:t>26.2</w:t>
      </w:r>
      <w:r>
        <w:rPr>
          <w:rFonts w:hint="eastAsia"/>
          <w:snapToGrid w:val="0"/>
          <w:kern w:val="0"/>
          <w:szCs w:val="21"/>
          <w:highlight w:val="none"/>
        </w:rPr>
        <w:t>款及</w:t>
      </w:r>
      <w:r>
        <w:rPr>
          <w:snapToGrid w:val="0"/>
          <w:kern w:val="0"/>
          <w:szCs w:val="21"/>
          <w:highlight w:val="none"/>
        </w:rPr>
        <w:t>26.3款的约定一并考虑执行）。</w:t>
      </w:r>
      <w:r>
        <w:rPr>
          <w:rFonts w:hint="eastAsia"/>
          <w:snapToGrid w:val="0"/>
          <w:kern w:val="0"/>
          <w:szCs w:val="21"/>
          <w:highlight w:val="none"/>
        </w:rPr>
        <w:t>建筑业职工工伤保险费已包含在中标合同价中，发包人不另行支付。</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snapToGrid w:val="0"/>
          <w:szCs w:val="21"/>
          <w:highlight w:val="none"/>
        </w:rPr>
        <w:sym w:font="Wingdings 2" w:char="00A3"/>
      </w:r>
      <w:r>
        <w:rPr>
          <w:rFonts w:ascii="Times New Roman" w:hAnsi="Times New Roman" w:eastAsia="宋体"/>
          <w:b/>
          <w:snapToGrid w:val="0"/>
          <w:szCs w:val="21"/>
          <w:highlight w:val="none"/>
        </w:rPr>
        <w:t xml:space="preserve"> </w:t>
      </w:r>
      <w:r>
        <w:rPr>
          <w:rFonts w:ascii="Times New Roman" w:hAnsi="Times New Roman" w:eastAsia="宋体"/>
          <w:snapToGrid w:val="0"/>
          <w:kern w:val="0"/>
          <w:szCs w:val="21"/>
          <w:highlight w:val="none"/>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p>
      <w:pPr>
        <w:pStyle w:val="39"/>
        <w:adjustRightInd w:val="0"/>
        <w:snapToGrid w:val="0"/>
        <w:spacing w:line="360" w:lineRule="auto"/>
        <w:ind w:firstLine="465"/>
        <w:rPr>
          <w:rFonts w:ascii="Times New Roman" w:hAnsi="Times New Roman" w:eastAsia="宋体"/>
          <w:b/>
          <w:snapToGrid w:val="0"/>
          <w:kern w:val="0"/>
          <w:szCs w:val="21"/>
          <w:highlight w:val="none"/>
        </w:rPr>
      </w:pPr>
      <w:r>
        <w:rPr>
          <w:snapToGrid w:val="0"/>
          <w:szCs w:val="21"/>
          <w:highlight w:val="none"/>
        </w:rPr>
        <w:sym w:font="Wingdings 2" w:char="00A3"/>
      </w:r>
      <w:r>
        <w:rPr>
          <w:rFonts w:ascii="Times New Roman" w:hAnsi="Times New Roman" w:eastAsia="宋体"/>
          <w:b/>
          <w:snapToGrid w:val="0"/>
          <w:szCs w:val="21"/>
          <w:highlight w:val="none"/>
        </w:rPr>
        <w:t xml:space="preserve"> </w:t>
      </w:r>
      <w:r>
        <w:rPr>
          <w:rFonts w:ascii="Times New Roman" w:hAnsi="Times New Roman" w:eastAsia="宋体"/>
          <w:snapToGrid w:val="0"/>
          <w:kern w:val="0"/>
          <w:szCs w:val="21"/>
          <w:highlight w:val="none"/>
        </w:rPr>
        <w:t>26.3如本工程含有甲管乙供材料设备，承包人应严格按照本合同、</w:t>
      </w:r>
      <w:r>
        <w:rPr>
          <w:rFonts w:ascii="Times New Roman" w:hAnsi="Times New Roman" w:eastAsia="宋体"/>
          <w:snapToGrid w:val="0"/>
          <w:szCs w:val="21"/>
          <w:highlight w:val="none"/>
        </w:rPr>
        <w:t>招标文件或</w:t>
      </w:r>
      <w:r>
        <w:rPr>
          <w:rFonts w:ascii="Times New Roman" w:hAnsi="Times New Roman" w:eastAsia="宋体"/>
          <w:snapToGrid w:val="0"/>
          <w:kern w:val="0"/>
          <w:szCs w:val="21"/>
          <w:highlight w:val="none"/>
        </w:rPr>
        <w:t>公开择优竞价文件及与甲管乙供材料设备供应商所签合同的约定及时审核、申请支付甲管乙供材料设备预付款，且在收到发包人支付的款项</w:t>
      </w:r>
      <w:r>
        <w:rPr>
          <w:rFonts w:ascii="Times New Roman" w:hAnsi="Times New Roman" w:eastAsia="宋体"/>
          <w:bCs/>
          <w:snapToGrid w:val="0"/>
          <w:kern w:val="0"/>
          <w:szCs w:val="21"/>
          <w:highlight w:val="none"/>
        </w:rPr>
        <w:t>之日起</w:t>
      </w:r>
      <w:r>
        <w:rPr>
          <w:rFonts w:ascii="Times New Roman" w:hAnsi="Times New Roman" w:eastAsia="宋体"/>
          <w:snapToGrid w:val="0"/>
          <w:kern w:val="0"/>
          <w:szCs w:val="21"/>
          <w:highlight w:val="none"/>
        </w:rPr>
        <w:t>三个工作日内将该款项支付给甲管乙供材料设备供应商，并在下一次申请付款时向发包人提交本次支付凭证复印件作为支持材料，否则应按合同专用条款第38.15款承担违约责任。</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pPr>
        <w:spacing w:line="440" w:lineRule="exact"/>
        <w:ind w:firstLine="420" w:firstLineChars="200"/>
        <w:rPr>
          <w:kern w:val="0"/>
          <w:szCs w:val="21"/>
          <w:highlight w:val="none"/>
        </w:rPr>
      </w:pPr>
      <w:r>
        <w:rPr>
          <w:snapToGrid w:val="0"/>
          <w:kern w:val="0"/>
          <w:szCs w:val="21"/>
          <w:highlight w:val="none"/>
        </w:rPr>
        <w:t>26.5</w:t>
      </w:r>
      <w:r>
        <w:rPr>
          <w:kern w:val="0"/>
          <w:szCs w:val="21"/>
          <w:highlight w:val="none"/>
        </w:rPr>
        <w:t>预付款按</w:t>
      </w:r>
      <w:r>
        <w:rPr>
          <w:szCs w:val="21"/>
          <w:highlight w:val="none"/>
        </w:rPr>
        <w:t>已完的工程量，按比例扣回，扣回比例按《预付款扣回比例表》执行：</w:t>
      </w:r>
      <w:r>
        <w:rPr>
          <w:b/>
          <w:bCs/>
          <w:szCs w:val="21"/>
          <w:highlight w:val="none"/>
        </w:rPr>
        <w:t xml:space="preserve">      </w:t>
      </w:r>
    </w:p>
    <w:p>
      <w:pPr>
        <w:shd w:val="clear" w:color="auto" w:fill="FFFFFF"/>
        <w:adjustRightInd w:val="0"/>
        <w:spacing w:line="360" w:lineRule="auto"/>
        <w:jc w:val="center"/>
        <w:rPr>
          <w:b/>
          <w:bCs/>
          <w:szCs w:val="21"/>
          <w:highlight w:val="none"/>
        </w:rPr>
      </w:pPr>
      <w:r>
        <w:rPr>
          <w:b/>
          <w:bCs/>
          <w:szCs w:val="21"/>
          <w:highlight w:val="none"/>
        </w:rPr>
        <w:t>预付款扣回比例表</w:t>
      </w:r>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szCs w:val="21"/>
                <w:highlight w:val="none"/>
              </w:rPr>
              <w:t>已完工作量与合同</w:t>
            </w:r>
            <w:r>
              <w:rPr>
                <w:rFonts w:hint="eastAsia"/>
                <w:szCs w:val="21"/>
                <w:highlight w:val="none"/>
              </w:rPr>
              <w:t>暂定</w:t>
            </w:r>
            <w:r>
              <w:rPr>
                <w:szCs w:val="21"/>
                <w:highlight w:val="none"/>
              </w:rPr>
              <w:t>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szCs w:val="21"/>
                <w:highlight w:val="none"/>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szCs w:val="21"/>
                <w:highlight w:val="none"/>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szCs w:val="21"/>
                <w:highlight w:val="none"/>
              </w:rPr>
              <w:t>10%≤a＜20％</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szCs w:val="21"/>
                <w:highlight w:val="none"/>
              </w:rPr>
              <w:t>10％</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szCs w:val="21"/>
                <w:highlight w:val="none"/>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20%≤a＜40％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20％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40%≤a＜50％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30％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50%≤a≤60％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40％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highlight w:val="none"/>
              </w:rPr>
            </w:pPr>
            <w:r>
              <w:rPr>
                <w:szCs w:val="21"/>
                <w:highlight w:val="none"/>
              </w:rPr>
              <w:t>100％</w:t>
            </w:r>
          </w:p>
        </w:tc>
      </w:tr>
    </w:tbl>
    <w:p>
      <w:pPr>
        <w:adjustRightInd w:val="0"/>
        <w:snapToGrid w:val="0"/>
        <w:spacing w:line="460" w:lineRule="exact"/>
        <w:ind w:right="11" w:firstLine="420" w:firstLineChars="200"/>
        <w:rPr>
          <w:szCs w:val="21"/>
          <w:highlight w:val="none"/>
        </w:rPr>
      </w:pP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27、工程量的确认</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27.1承包人每次申请工程进度款时应提交已完工程进度款申请报表。</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已完工程进度款申请报表的提交应按发包人工程项目信息管理的要求执行。</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27.3不予计量的情况：</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（1）隐蔽工程无验收记录表的；</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（2）施工图之外未经批准的工作量；</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（3）因承包人责任而增加的工作量；</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（4）未经发包人批准的分包单位施工的工程；</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（5）不符合合同约定或设计要求的工程。</w:t>
      </w:r>
    </w:p>
    <w:p>
      <w:pPr>
        <w:adjustRightInd w:val="0"/>
        <w:snapToGrid w:val="0"/>
        <w:spacing w:line="360" w:lineRule="auto"/>
        <w:ind w:right="11" w:firstLine="405" w:firstLineChars="192"/>
        <w:rPr>
          <w:bCs/>
          <w:snapToGrid w:val="0"/>
          <w:kern w:val="0"/>
          <w:szCs w:val="21"/>
          <w:highlight w:val="none"/>
        </w:rPr>
      </w:pPr>
      <w:r>
        <w:rPr>
          <w:b/>
          <w:snapToGrid w:val="0"/>
          <w:kern w:val="0"/>
          <w:szCs w:val="21"/>
          <w:highlight w:val="none"/>
        </w:rPr>
        <w:t>承包人和发包人一致同意增加27.4、27.5：</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adjustRightInd w:val="0"/>
        <w:snapToGrid w:val="0"/>
        <w:spacing w:line="360" w:lineRule="auto"/>
        <w:ind w:right="11" w:firstLine="420" w:firstLineChars="200"/>
        <w:rPr>
          <w:b/>
          <w:snapToGrid w:val="0"/>
          <w:kern w:val="0"/>
          <w:szCs w:val="21"/>
          <w:highlight w:val="none"/>
        </w:rPr>
      </w:pPr>
      <w:r>
        <w:rPr>
          <w:snapToGrid w:val="0"/>
          <w:kern w:val="0"/>
          <w:szCs w:val="21"/>
          <w:highlight w:val="none"/>
        </w:rPr>
        <w:t>27.5工程的计量应以合同约定为准，双方另有约定的除外。</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承包人与发包人一致同意不适用合同通用条款第28条的约定，代之以：</w:t>
      </w:r>
    </w:p>
    <w:p>
      <w:pPr>
        <w:numPr>
          <w:ilvl w:val="0"/>
          <w:numId w:val="17"/>
        </w:num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工程款（进度款）支付</w:t>
      </w:r>
    </w:p>
    <w:p>
      <w:pPr>
        <w:adjustRightInd w:val="0"/>
        <w:snapToGrid w:val="0"/>
        <w:spacing w:line="360" w:lineRule="auto"/>
        <w:ind w:right="11" w:firstLine="403" w:firstLineChars="192"/>
        <w:rPr>
          <w:snapToGrid w:val="0"/>
          <w:kern w:val="0"/>
          <w:szCs w:val="21"/>
          <w:highlight w:val="none"/>
          <w:lang w:val="zh-CN"/>
        </w:rPr>
      </w:pPr>
      <w:r>
        <w:rPr>
          <w:snapToGrid w:val="0"/>
          <w:kern w:val="0"/>
          <w:szCs w:val="21"/>
          <w:highlight w:val="none"/>
        </w:rPr>
        <w:t>28.1双方约定的工程进度款支付</w:t>
      </w:r>
      <w:r>
        <w:rPr>
          <w:snapToGrid w:val="0"/>
          <w:kern w:val="0"/>
          <w:szCs w:val="21"/>
          <w:highlight w:val="none"/>
          <w:lang w:val="zh-CN"/>
        </w:rPr>
        <w:t>方式</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（1）按月支付。</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（2）任何项目的计量与支付必须按合同约定的技术条件、发包人批准的施工图有关要求及规定完成，包括合同约定的与项目计量有关且必须完成的责任和义务。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shd w:val="clear" w:color="auto" w:fill="FFFFFF"/>
        <w:adjustRightInd w:val="0"/>
        <w:snapToGrid w:val="0"/>
        <w:spacing w:line="360" w:lineRule="auto"/>
        <w:ind w:firstLine="465"/>
        <w:jc w:val="left"/>
        <w:rPr>
          <w:kern w:val="0"/>
          <w:szCs w:val="21"/>
          <w:highlight w:val="none"/>
        </w:rPr>
      </w:pPr>
      <w:r>
        <w:rPr>
          <w:kern w:val="0"/>
          <w:szCs w:val="21"/>
          <w:highlight w:val="none"/>
        </w:rPr>
        <w:t>（4）</w:t>
      </w:r>
      <w:r>
        <w:rPr>
          <w:rFonts w:hint="eastAsia"/>
          <w:kern w:val="0"/>
          <w:szCs w:val="21"/>
          <w:highlight w:val="none"/>
        </w:rPr>
        <w:t>当月实际完成工程量：月工程款=当月完成的工程量清单范围内的工程造价×支付比例％</w:t>
      </w:r>
      <w:r>
        <w:rPr>
          <w:rFonts w:hint="eastAsia" w:ascii="宋体" w:hAnsi="宋体"/>
          <w:kern w:val="0"/>
          <w:szCs w:val="21"/>
          <w:highlight w:val="none"/>
        </w:rPr>
        <w:t>-</w:t>
      </w:r>
      <w:r>
        <w:rPr>
          <w:rFonts w:hint="eastAsia"/>
          <w:kern w:val="0"/>
          <w:szCs w:val="21"/>
          <w:highlight w:val="none"/>
        </w:rPr>
        <w:t>当月应扣款</w:t>
      </w:r>
      <w:r>
        <w:rPr>
          <w:kern w:val="0"/>
          <w:szCs w:val="21"/>
          <w:highlight w:val="none"/>
        </w:rPr>
        <w:t>。</w:t>
      </w:r>
    </w:p>
    <w:p>
      <w:pPr>
        <w:shd w:val="clear" w:color="auto" w:fill="FFFFFF"/>
        <w:adjustRightInd w:val="0"/>
        <w:snapToGrid w:val="0"/>
        <w:spacing w:line="360" w:lineRule="auto"/>
        <w:ind w:firstLine="465"/>
        <w:jc w:val="left"/>
        <w:rPr>
          <w:bCs/>
          <w:snapToGrid w:val="0"/>
          <w:kern w:val="0"/>
          <w:szCs w:val="21"/>
          <w:highlight w:val="none"/>
        </w:rPr>
      </w:pPr>
      <w:r>
        <w:rPr>
          <w:rFonts w:hint="eastAsia"/>
          <w:bCs/>
          <w:snapToGrid w:val="0"/>
          <w:kern w:val="0"/>
          <w:szCs w:val="21"/>
          <w:highlight w:val="none"/>
        </w:rPr>
        <w:t>支付比例：根据每月完成工程量×确定的合同综合单价支付每期工程款（进度款），具体如下：</w:t>
      </w:r>
    </w:p>
    <w:p>
      <w:pPr>
        <w:shd w:val="clear" w:color="auto" w:fill="FFFFFF"/>
        <w:adjustRightInd w:val="0"/>
        <w:snapToGrid w:val="0"/>
        <w:spacing w:line="360" w:lineRule="auto"/>
        <w:ind w:firstLine="465"/>
        <w:jc w:val="left"/>
        <w:rPr>
          <w:bCs/>
          <w:snapToGrid w:val="0"/>
          <w:kern w:val="0"/>
          <w:szCs w:val="21"/>
          <w:highlight w:val="none"/>
        </w:rPr>
      </w:pPr>
      <w:r>
        <w:rPr>
          <w:rFonts w:hint="eastAsia"/>
          <w:bCs/>
          <w:snapToGrid w:val="0"/>
          <w:kern w:val="0"/>
          <w:szCs w:val="21"/>
          <w:highlight w:val="none"/>
        </w:rPr>
        <w:t>① 在施工图预算完成且签订补充协议前，以《模拟清单》×（1-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Pr>
          <w:b/>
          <w:snapToGrid w:val="0"/>
          <w:kern w:val="0"/>
          <w:szCs w:val="21"/>
          <w:highlight w:val="none"/>
        </w:rPr>
        <w:t>50 %</w:t>
      </w:r>
      <w:r>
        <w:rPr>
          <w:rFonts w:hint="eastAsia"/>
          <w:bCs/>
          <w:snapToGrid w:val="0"/>
          <w:kern w:val="0"/>
          <w:szCs w:val="21"/>
          <w:highlight w:val="none"/>
        </w:rPr>
        <w:t>支付；</w:t>
      </w:r>
    </w:p>
    <w:p>
      <w:pPr>
        <w:shd w:val="clear" w:color="auto" w:fill="FFFFFF"/>
        <w:adjustRightInd w:val="0"/>
        <w:snapToGrid w:val="0"/>
        <w:spacing w:line="360" w:lineRule="auto"/>
        <w:ind w:firstLine="465"/>
        <w:jc w:val="left"/>
        <w:rPr>
          <w:bCs/>
          <w:snapToGrid w:val="0"/>
          <w:kern w:val="0"/>
          <w:szCs w:val="21"/>
          <w:highlight w:val="none"/>
        </w:rPr>
      </w:pPr>
      <w:r>
        <w:rPr>
          <w:rFonts w:hint="eastAsia"/>
          <w:bCs/>
          <w:snapToGrid w:val="0"/>
          <w:kern w:val="0"/>
          <w:szCs w:val="21"/>
          <w:highlight w:val="none"/>
        </w:rPr>
        <w:t>② 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Pr>
          <w:rFonts w:hint="eastAsia"/>
          <w:b/>
          <w:snapToGrid w:val="0"/>
          <w:kern w:val="0"/>
          <w:szCs w:val="21"/>
          <w:highlight w:val="none"/>
        </w:rPr>
        <w:t>60%</w:t>
      </w:r>
      <w:r>
        <w:rPr>
          <w:rFonts w:hint="eastAsia"/>
          <w:bCs/>
          <w:snapToGrid w:val="0"/>
          <w:kern w:val="0"/>
          <w:szCs w:val="21"/>
          <w:highlight w:val="none"/>
        </w:rPr>
        <w:t>支付。如有预付款，则按上述第</w:t>
      </w:r>
      <w:r>
        <w:rPr>
          <w:bCs/>
          <w:snapToGrid w:val="0"/>
          <w:kern w:val="0"/>
          <w:szCs w:val="21"/>
          <w:highlight w:val="none"/>
        </w:rPr>
        <w:t>26.5</w:t>
      </w:r>
      <w:r>
        <w:rPr>
          <w:rFonts w:hint="eastAsia"/>
          <w:bCs/>
          <w:snapToGrid w:val="0"/>
          <w:kern w:val="0"/>
          <w:szCs w:val="21"/>
          <w:highlight w:val="none"/>
        </w:rPr>
        <w:t>项规定的时间和比例在进度款中扣回</w:t>
      </w:r>
      <w:r>
        <w:rPr>
          <w:bCs/>
          <w:snapToGrid w:val="0"/>
          <w:kern w:val="0"/>
          <w:szCs w:val="21"/>
          <w:highlight w:val="none"/>
        </w:rPr>
        <w:t>。</w:t>
      </w:r>
    </w:p>
    <w:p>
      <w:pPr>
        <w:shd w:val="clear" w:color="auto" w:fill="FFFFFF"/>
        <w:adjustRightInd w:val="0"/>
        <w:snapToGrid w:val="0"/>
        <w:spacing w:line="360" w:lineRule="auto"/>
        <w:ind w:firstLine="465"/>
        <w:jc w:val="left"/>
        <w:rPr>
          <w:bCs/>
          <w:snapToGrid w:val="0"/>
          <w:kern w:val="0"/>
          <w:szCs w:val="21"/>
          <w:highlight w:val="none"/>
        </w:rPr>
      </w:pPr>
      <w:r>
        <w:rPr>
          <w:rFonts w:hint="eastAsia"/>
          <w:bCs/>
          <w:snapToGrid w:val="0"/>
          <w:kern w:val="0"/>
          <w:szCs w:val="21"/>
          <w:highlight w:val="none"/>
        </w:rPr>
        <w:t>③ 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Pr>
          <w:b/>
          <w:snapToGrid w:val="0"/>
          <w:kern w:val="0"/>
          <w:szCs w:val="21"/>
          <w:highlight w:val="none"/>
        </w:rPr>
        <w:t>80%</w:t>
      </w:r>
      <w:r>
        <w:rPr>
          <w:rFonts w:hint="eastAsia"/>
          <w:bCs/>
          <w:snapToGrid w:val="0"/>
          <w:kern w:val="0"/>
          <w:szCs w:val="21"/>
          <w:highlight w:val="none"/>
        </w:rPr>
        <w:t>支付。如有预付款，则按上述第</w:t>
      </w:r>
      <w:r>
        <w:rPr>
          <w:bCs/>
          <w:snapToGrid w:val="0"/>
          <w:kern w:val="0"/>
          <w:szCs w:val="21"/>
          <w:highlight w:val="none"/>
        </w:rPr>
        <w:t>26.5</w:t>
      </w:r>
      <w:r>
        <w:rPr>
          <w:rFonts w:hint="eastAsia"/>
          <w:bCs/>
          <w:snapToGrid w:val="0"/>
          <w:kern w:val="0"/>
          <w:szCs w:val="21"/>
          <w:highlight w:val="none"/>
        </w:rPr>
        <w:t>项规定的时间和比例在进度款中扣回。</w:t>
      </w:r>
    </w:p>
    <w:p>
      <w:pPr>
        <w:autoSpaceDE w:val="0"/>
        <w:autoSpaceDN w:val="0"/>
        <w:adjustRightInd w:val="0"/>
        <w:snapToGrid w:val="0"/>
        <w:spacing w:line="360" w:lineRule="auto"/>
        <w:ind w:right="11" w:firstLine="480"/>
        <w:rPr>
          <w:szCs w:val="21"/>
          <w:highlight w:val="none"/>
        </w:rPr>
      </w:pPr>
      <w:r>
        <w:rPr>
          <w:kern w:val="0"/>
          <w:szCs w:val="21"/>
          <w:highlight w:val="none"/>
        </w:rPr>
        <w:t>（5）</w:t>
      </w:r>
      <w:r>
        <w:rPr>
          <w:rFonts w:hint="eastAsia"/>
          <w:kern w:val="0"/>
          <w:szCs w:val="21"/>
          <w:highlight w:val="none"/>
        </w:rPr>
        <w:t>月</w:t>
      </w:r>
      <w:r>
        <w:rPr>
          <w:rFonts w:hint="eastAsia"/>
          <w:szCs w:val="21"/>
          <w:highlight w:val="none"/>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Pr>
          <w:szCs w:val="21"/>
          <w:highlight w:val="none"/>
        </w:rPr>
        <w:t>。</w:t>
      </w:r>
    </w:p>
    <w:p>
      <w:pPr>
        <w:autoSpaceDE w:val="0"/>
        <w:autoSpaceDN w:val="0"/>
        <w:adjustRightInd w:val="0"/>
        <w:snapToGrid w:val="0"/>
        <w:spacing w:line="360" w:lineRule="auto"/>
        <w:ind w:right="11" w:firstLine="480"/>
        <w:rPr>
          <w:szCs w:val="21"/>
          <w:highlight w:val="none"/>
          <w:lang w:val="zh-CN"/>
        </w:rPr>
      </w:pPr>
      <w:r>
        <w:rPr>
          <w:szCs w:val="21"/>
          <w:highlight w:val="none"/>
          <w:lang w:val="zh-CN"/>
        </w:rPr>
        <w:t>（</w:t>
      </w:r>
      <w:r>
        <w:rPr>
          <w:szCs w:val="21"/>
          <w:highlight w:val="none"/>
        </w:rPr>
        <w:t>6</w:t>
      </w:r>
      <w:r>
        <w:rPr>
          <w:szCs w:val="21"/>
          <w:highlight w:val="none"/>
          <w:lang w:val="zh-CN"/>
        </w:rPr>
        <w:t>）</w:t>
      </w:r>
      <w:r>
        <w:rPr>
          <w:rFonts w:hint="eastAsia"/>
          <w:szCs w:val="21"/>
          <w:highlight w:val="none"/>
        </w:rPr>
        <w:t xml:space="preserve"> </w:t>
      </w:r>
      <w:r>
        <w:rPr>
          <w:szCs w:val="21"/>
          <w:highlight w:val="none"/>
          <w:lang w:val="zh-CN"/>
        </w:rPr>
        <w:t>承包人完成建设工程竣工验收且实体移交后，</w:t>
      </w:r>
      <w:r>
        <w:rPr>
          <w:szCs w:val="21"/>
          <w:highlight w:val="none"/>
        </w:rPr>
        <w:t>发包人累计支付至合同内完成工程量的80%。</w:t>
      </w:r>
    </w:p>
    <w:p>
      <w:pPr>
        <w:autoSpaceDE w:val="0"/>
        <w:autoSpaceDN w:val="0"/>
        <w:adjustRightInd w:val="0"/>
        <w:snapToGrid w:val="0"/>
        <w:spacing w:line="360" w:lineRule="auto"/>
        <w:ind w:right="11" w:firstLine="480"/>
        <w:rPr>
          <w:snapToGrid w:val="0"/>
          <w:kern w:val="0"/>
          <w:szCs w:val="21"/>
          <w:highlight w:val="none"/>
          <w:lang w:val="zh-CN"/>
        </w:rPr>
      </w:pPr>
      <w:r>
        <w:rPr>
          <w:szCs w:val="21"/>
          <w:highlight w:val="none"/>
        </w:rPr>
        <w:t>（7）本工程需取得竣工验收报告后方可办理工程结算，当工程结算经以</w:t>
      </w:r>
      <w:r>
        <w:rPr>
          <w:rFonts w:hint="eastAsia"/>
          <w:szCs w:val="21"/>
          <w:highlight w:val="none"/>
        </w:rPr>
        <w:t>发包人委托的终审单位审定</w:t>
      </w:r>
      <w:r>
        <w:rPr>
          <w:szCs w:val="21"/>
          <w:highlight w:val="none"/>
        </w:rPr>
        <w:t>通过后，</w:t>
      </w:r>
      <w:r>
        <w:rPr>
          <w:rFonts w:hint="eastAsia"/>
          <w:szCs w:val="21"/>
          <w:highlight w:val="none"/>
        </w:rPr>
        <w:t>承包人</w:t>
      </w:r>
      <w:r>
        <w:rPr>
          <w:szCs w:val="21"/>
          <w:highlight w:val="none"/>
        </w:rPr>
        <w:t>提交请款资料，向发包人申请</w:t>
      </w:r>
      <w:r>
        <w:rPr>
          <w:rFonts w:hint="eastAsia"/>
          <w:szCs w:val="21"/>
          <w:highlight w:val="none"/>
        </w:rPr>
        <w:t>支</w:t>
      </w:r>
      <w:r>
        <w:rPr>
          <w:szCs w:val="21"/>
          <w:highlight w:val="none"/>
        </w:rPr>
        <w:t>付至结算总价的97%。如工程已具备结算条件而因承包人原因两年内不结算的，监理单位与发包人有权根据已有工程资料送</w:t>
      </w:r>
      <w:r>
        <w:rPr>
          <w:rFonts w:hint="eastAsia"/>
          <w:szCs w:val="21"/>
          <w:highlight w:val="none"/>
        </w:rPr>
        <w:t>发包人委托的终审单位</w:t>
      </w:r>
      <w:r>
        <w:rPr>
          <w:szCs w:val="21"/>
          <w:highlight w:val="none"/>
        </w:rPr>
        <w:t>结算本项目，</w:t>
      </w:r>
      <w:r>
        <w:rPr>
          <w:rFonts w:hint="eastAsia"/>
          <w:szCs w:val="21"/>
          <w:highlight w:val="none"/>
        </w:rPr>
        <w:t>发包人有权扣除最终结算金额的3‰作为违约金</w:t>
      </w:r>
      <w:r>
        <w:rPr>
          <w:szCs w:val="21"/>
          <w:highlight w:val="none"/>
        </w:rPr>
        <w:t>。</w:t>
      </w:r>
    </w:p>
    <w:p>
      <w:pPr>
        <w:autoSpaceDE w:val="0"/>
        <w:autoSpaceDN w:val="0"/>
        <w:adjustRightInd w:val="0"/>
        <w:snapToGrid w:val="0"/>
        <w:spacing w:line="360" w:lineRule="auto"/>
        <w:ind w:right="11" w:firstLine="461"/>
        <w:rPr>
          <w:snapToGrid w:val="0"/>
          <w:kern w:val="0"/>
          <w:szCs w:val="21"/>
          <w:highlight w:val="none"/>
          <w:lang w:val="zh-CN"/>
        </w:rPr>
      </w:pPr>
      <w:r>
        <w:rPr>
          <w:snapToGrid w:val="0"/>
          <w:kern w:val="0"/>
          <w:szCs w:val="21"/>
          <w:highlight w:val="none"/>
        </w:rPr>
        <w:t>（8）本合同工程结算经终审部门定审、承包人按合同专用条款第35条约定完整移交工程且不发生</w:t>
      </w:r>
      <w:r>
        <w:rPr>
          <w:snapToGrid w:val="0"/>
          <w:kern w:val="0"/>
          <w:szCs w:val="21"/>
          <w:highlight w:val="none"/>
          <w:lang w:val="zh-CN"/>
        </w:rPr>
        <w:t>合同专用条款第38.10（3）、（4）款</w:t>
      </w:r>
      <w:r>
        <w:rPr>
          <w:snapToGrid w:val="0"/>
          <w:kern w:val="0"/>
          <w:szCs w:val="21"/>
          <w:highlight w:val="none"/>
        </w:rPr>
        <w:t>的违约情形的，发包人累计支付至</w:t>
      </w:r>
      <w:r>
        <w:rPr>
          <w:snapToGrid w:val="0"/>
          <w:kern w:val="0"/>
          <w:szCs w:val="21"/>
          <w:highlight w:val="none"/>
          <w:lang w:val="zh-CN"/>
        </w:rPr>
        <w:t>本合同结算定审金额</w:t>
      </w:r>
      <w:r>
        <w:rPr>
          <w:snapToGrid w:val="0"/>
          <w:kern w:val="0"/>
          <w:szCs w:val="21"/>
          <w:highlight w:val="none"/>
        </w:rPr>
        <w:t>的97%，</w:t>
      </w:r>
      <w:r>
        <w:rPr>
          <w:snapToGrid w:val="0"/>
          <w:kern w:val="0"/>
          <w:szCs w:val="21"/>
          <w:highlight w:val="none"/>
          <w:lang w:val="zh-CN"/>
        </w:rPr>
        <w:t>留下本合同结算定审金额的</w:t>
      </w:r>
      <w:r>
        <w:rPr>
          <w:snapToGrid w:val="0"/>
          <w:kern w:val="0"/>
          <w:szCs w:val="21"/>
          <w:highlight w:val="none"/>
        </w:rPr>
        <w:t>3</w:t>
      </w:r>
      <w:r>
        <w:rPr>
          <w:snapToGrid w:val="0"/>
          <w:kern w:val="0"/>
          <w:szCs w:val="21"/>
          <w:highlight w:val="none"/>
          <w:lang w:val="zh-CN"/>
        </w:rPr>
        <w:t>%作为工程质量保修金并按如下约定方式支付：</w:t>
      </w:r>
    </w:p>
    <w:p>
      <w:pPr>
        <w:autoSpaceDE w:val="0"/>
        <w:autoSpaceDN w:val="0"/>
        <w:adjustRightInd w:val="0"/>
        <w:snapToGrid w:val="0"/>
        <w:spacing w:line="360" w:lineRule="auto"/>
        <w:ind w:right="11" w:firstLine="480"/>
        <w:rPr>
          <w:snapToGrid w:val="0"/>
          <w:kern w:val="0"/>
          <w:szCs w:val="21"/>
          <w:highlight w:val="none"/>
          <w:lang w:val="zh-CN"/>
        </w:rPr>
      </w:pPr>
      <w:r>
        <w:rPr>
          <w:snapToGrid w:val="0"/>
          <w:kern w:val="0"/>
          <w:szCs w:val="21"/>
          <w:highlight w:val="none"/>
          <w:lang w:val="zh-CN"/>
        </w:rPr>
        <w:t>1）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pPr>
        <w:autoSpaceDE w:val="0"/>
        <w:autoSpaceDN w:val="0"/>
        <w:adjustRightInd w:val="0"/>
        <w:snapToGrid w:val="0"/>
        <w:spacing w:line="360" w:lineRule="auto"/>
        <w:ind w:right="11" w:firstLine="480"/>
        <w:rPr>
          <w:snapToGrid w:val="0"/>
          <w:kern w:val="0"/>
          <w:szCs w:val="21"/>
          <w:highlight w:val="none"/>
          <w:lang w:val="zh-CN"/>
        </w:rPr>
      </w:pPr>
      <w:r>
        <w:rPr>
          <w:snapToGrid w:val="0"/>
          <w:kern w:val="0"/>
          <w:szCs w:val="21"/>
          <w:highlight w:val="none"/>
          <w:lang w:val="zh-CN"/>
        </w:rPr>
        <w:t>2）工程竣工验收合格且缺陷责任期满后，在工程缺陷责任期内未出现违约情形，发包人应在收到承包人的款项申请手续且扣除应扣款项后三十天内将本合同结算定审金额的</w:t>
      </w:r>
      <w:r>
        <w:rPr>
          <w:snapToGrid w:val="0"/>
          <w:kern w:val="0"/>
          <w:szCs w:val="21"/>
          <w:highlight w:val="none"/>
        </w:rPr>
        <w:t>3%</w:t>
      </w:r>
      <w:r>
        <w:rPr>
          <w:snapToGrid w:val="0"/>
          <w:kern w:val="0"/>
          <w:szCs w:val="21"/>
          <w:highlight w:val="none"/>
          <w:lang w:val="zh-CN"/>
        </w:rPr>
        <w:t>无息支付给承包人。</w:t>
      </w:r>
    </w:p>
    <w:p>
      <w:pPr>
        <w:autoSpaceDE w:val="0"/>
        <w:autoSpaceDN w:val="0"/>
        <w:adjustRightInd w:val="0"/>
        <w:snapToGrid w:val="0"/>
        <w:spacing w:line="360" w:lineRule="auto"/>
        <w:ind w:right="11" w:firstLine="461"/>
        <w:rPr>
          <w:snapToGrid w:val="0"/>
          <w:kern w:val="0"/>
          <w:szCs w:val="21"/>
          <w:highlight w:val="none"/>
        </w:rPr>
      </w:pPr>
      <w:r>
        <w:rPr>
          <w:snapToGrid w:val="0"/>
          <w:kern w:val="0"/>
          <w:szCs w:val="21"/>
          <w:highlight w:val="none"/>
        </w:rPr>
        <w:t>结清工程尾款不豁免承包人继续按照本合同（含合同附件）约定应承担的保修责任。</w:t>
      </w:r>
    </w:p>
    <w:p>
      <w:pPr>
        <w:adjustRightInd w:val="0"/>
        <w:snapToGrid w:val="0"/>
        <w:spacing w:line="360" w:lineRule="auto"/>
        <w:ind w:right="11" w:firstLine="420" w:firstLineChars="200"/>
        <w:rPr>
          <w:snapToGrid w:val="0"/>
          <w:szCs w:val="21"/>
          <w:highlight w:val="none"/>
        </w:rPr>
      </w:pPr>
      <w:r>
        <w:rPr>
          <w:snapToGrid w:val="0"/>
          <w:kern w:val="0"/>
          <w:szCs w:val="21"/>
          <w:highlight w:val="none"/>
        </w:rPr>
        <w:t>（9）发包人已支付的累计金额大于</w:t>
      </w:r>
      <w:r>
        <w:rPr>
          <w:snapToGrid w:val="0"/>
          <w:kern w:val="0"/>
          <w:szCs w:val="21"/>
          <w:highlight w:val="none"/>
          <w:lang w:val="zh-CN"/>
        </w:rPr>
        <w:t>本合同</w:t>
      </w:r>
      <w:r>
        <w:rPr>
          <w:snapToGrid w:val="0"/>
          <w:kern w:val="0"/>
          <w:szCs w:val="21"/>
          <w:highlight w:val="none"/>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pStyle w:val="69"/>
        <w:adjustRightInd w:val="0"/>
        <w:snapToGrid w:val="0"/>
        <w:spacing w:line="360" w:lineRule="auto"/>
        <w:ind w:firstLine="420" w:firstLineChars="200"/>
        <w:rPr>
          <w:snapToGrid w:val="0"/>
          <w:sz w:val="21"/>
          <w:szCs w:val="21"/>
          <w:highlight w:val="none"/>
        </w:rPr>
      </w:pPr>
      <w:r>
        <w:rPr>
          <w:rFonts w:hint="eastAsia"/>
          <w:bCs/>
          <w:snapToGrid w:val="0"/>
          <w:sz w:val="21"/>
          <w:szCs w:val="21"/>
          <w:highlight w:val="none"/>
          <w:lang w:val="zh-CN"/>
        </w:rPr>
        <w:t>（</w:t>
      </w:r>
      <w:r>
        <w:rPr>
          <w:bCs/>
          <w:snapToGrid w:val="0"/>
          <w:sz w:val="21"/>
          <w:szCs w:val="21"/>
          <w:highlight w:val="none"/>
        </w:rPr>
        <w:t>10</w:t>
      </w:r>
      <w:r>
        <w:rPr>
          <w:rFonts w:hint="eastAsia"/>
          <w:bCs/>
          <w:snapToGrid w:val="0"/>
          <w:sz w:val="21"/>
          <w:szCs w:val="21"/>
          <w:highlight w:val="none"/>
          <w:lang w:val="zh-CN"/>
        </w:rPr>
        <w:t>）</w:t>
      </w:r>
      <w:r>
        <w:rPr>
          <w:rFonts w:hint="eastAsia"/>
          <w:snapToGrid w:val="0"/>
          <w:sz w:val="21"/>
          <w:szCs w:val="21"/>
          <w:highlight w:val="none"/>
        </w:rPr>
        <w:t>规费及税金项目的支付方式</w:t>
      </w:r>
    </w:p>
    <w:p>
      <w:pPr>
        <w:pStyle w:val="69"/>
        <w:adjustRightInd w:val="0"/>
        <w:snapToGrid w:val="0"/>
        <w:spacing w:line="360" w:lineRule="auto"/>
        <w:ind w:firstLine="420" w:firstLineChars="200"/>
        <w:rPr>
          <w:sz w:val="21"/>
          <w:szCs w:val="21"/>
          <w:highlight w:val="none"/>
        </w:rPr>
      </w:pPr>
      <w:r>
        <w:rPr>
          <w:rFonts w:hint="eastAsia"/>
          <w:sz w:val="21"/>
          <w:szCs w:val="21"/>
          <w:highlight w:val="none"/>
        </w:rPr>
        <w:t>规费及税金项目的支付方式：规费、税金按政府及</w:t>
      </w:r>
      <w:r>
        <w:rPr>
          <w:sz w:val="21"/>
          <w:szCs w:val="21"/>
          <w:highlight w:val="none"/>
          <w:u w:val="single"/>
        </w:rPr>
        <w:t xml:space="preserve"> </w:t>
      </w:r>
      <w:r>
        <w:rPr>
          <w:rFonts w:hint="eastAsia"/>
          <w:b/>
          <w:bCs/>
          <w:sz w:val="21"/>
          <w:szCs w:val="21"/>
          <w:highlight w:val="none"/>
          <w:u w:val="single"/>
        </w:rPr>
        <w:t>广州市当地税务部门</w:t>
      </w:r>
      <w:r>
        <w:rPr>
          <w:b/>
          <w:bCs/>
          <w:sz w:val="21"/>
          <w:szCs w:val="21"/>
          <w:highlight w:val="none"/>
          <w:u w:val="single"/>
        </w:rPr>
        <w:t xml:space="preserve"> </w:t>
      </w:r>
      <w:r>
        <w:rPr>
          <w:rFonts w:hint="eastAsia"/>
          <w:sz w:val="21"/>
          <w:szCs w:val="21"/>
          <w:highlight w:val="none"/>
        </w:rPr>
        <w:t>有关规定计算，根据当期施工进度款与进度款一并按月支付。</w:t>
      </w:r>
    </w:p>
    <w:p>
      <w:pPr>
        <w:pStyle w:val="69"/>
        <w:adjustRightInd w:val="0"/>
        <w:snapToGrid w:val="0"/>
        <w:spacing w:line="360" w:lineRule="auto"/>
        <w:ind w:firstLine="420" w:firstLineChars="200"/>
        <w:rPr>
          <w:sz w:val="21"/>
          <w:szCs w:val="21"/>
          <w:highlight w:val="none"/>
        </w:rPr>
      </w:pPr>
      <w:r>
        <w:rPr>
          <w:rFonts w:hint="eastAsia"/>
          <w:sz w:val="21"/>
          <w:szCs w:val="21"/>
          <w:highlight w:val="none"/>
        </w:rPr>
        <w:t>（</w:t>
      </w:r>
      <w:r>
        <w:rPr>
          <w:sz w:val="21"/>
          <w:szCs w:val="21"/>
          <w:highlight w:val="none"/>
        </w:rPr>
        <w:t>11</w:t>
      </w:r>
      <w:r>
        <w:rPr>
          <w:rFonts w:hint="eastAsia"/>
          <w:sz w:val="21"/>
          <w:szCs w:val="21"/>
          <w:highlight w:val="none"/>
        </w:rPr>
        <w:t>）暂列金的支付方式：根据本合同第</w:t>
      </w:r>
      <w:r>
        <w:rPr>
          <w:sz w:val="21"/>
          <w:szCs w:val="21"/>
          <w:highlight w:val="none"/>
        </w:rPr>
        <w:t>33.2.2</w:t>
      </w:r>
      <w:r>
        <w:rPr>
          <w:rFonts w:hint="eastAsia"/>
          <w:sz w:val="21"/>
          <w:szCs w:val="21"/>
          <w:highlight w:val="none"/>
        </w:rPr>
        <w:t>款约定的计价原则，其中：</w:t>
      </w:r>
      <w:r>
        <w:rPr>
          <w:rFonts w:hint="eastAsia"/>
          <w:bCs/>
          <w:snapToGrid w:val="0"/>
          <w:sz w:val="21"/>
          <w:szCs w:val="21"/>
          <w:highlight w:val="none"/>
        </w:rPr>
        <w:t>①</w:t>
      </w:r>
      <w:r>
        <w:rPr>
          <w:bCs/>
          <w:snapToGrid w:val="0"/>
          <w:sz w:val="21"/>
          <w:szCs w:val="21"/>
          <w:highlight w:val="none"/>
        </w:rPr>
        <w:t xml:space="preserve"> </w:t>
      </w:r>
      <w:r>
        <w:rPr>
          <w:rFonts w:hint="eastAsia"/>
          <w:sz w:val="21"/>
          <w:szCs w:val="21"/>
          <w:highlight w:val="none"/>
        </w:rPr>
        <w:t>材料价格调整、发生索赔的费用以及当项目实施过程中因政策因素引起的费用变化，可根据已审批的分阶段施工图预算成果，按实际发生的60%支付；②</w:t>
      </w:r>
      <w:r>
        <w:rPr>
          <w:sz w:val="21"/>
          <w:szCs w:val="21"/>
          <w:highlight w:val="none"/>
        </w:rPr>
        <w:t xml:space="preserve"> </w:t>
      </w:r>
      <w:r>
        <w:rPr>
          <w:rFonts w:hint="eastAsia"/>
          <w:sz w:val="21"/>
          <w:szCs w:val="21"/>
          <w:highlight w:val="none"/>
        </w:rPr>
        <w:t>业主指令引起的费用变化，须待全部施工图预算成果审批通过，并签订补充后，按实际发生的80%支付。</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w:t>
      </w:r>
      <w:r>
        <w:rPr>
          <w:rFonts w:hint="eastAsia"/>
          <w:snapToGrid w:val="0"/>
          <w:sz w:val="21"/>
          <w:szCs w:val="21"/>
          <w:highlight w:val="none"/>
        </w:rPr>
        <w:t>2</w:t>
      </w:r>
      <w:r>
        <w:rPr>
          <w:snapToGrid w:val="0"/>
          <w:sz w:val="21"/>
          <w:szCs w:val="21"/>
          <w:highlight w:val="none"/>
        </w:rPr>
        <w:t>）现场组织实施管理的扣款方式</w:t>
      </w:r>
    </w:p>
    <w:p>
      <w:pPr>
        <w:pStyle w:val="69"/>
        <w:adjustRightInd w:val="0"/>
        <w:snapToGrid w:val="0"/>
        <w:spacing w:line="360" w:lineRule="auto"/>
        <w:ind w:firstLine="420" w:firstLineChars="200"/>
        <w:rPr>
          <w:b/>
          <w:bCs/>
          <w:snapToGrid w:val="0"/>
          <w:sz w:val="21"/>
          <w:szCs w:val="21"/>
          <w:highlight w:val="none"/>
        </w:rPr>
      </w:pPr>
      <w:r>
        <w:rPr>
          <w:snapToGrid w:val="0"/>
          <w:sz w:val="21"/>
          <w:szCs w:val="21"/>
          <w:highlight w:val="none"/>
        </w:rPr>
        <w:t>1）以月为单位，进行计量扣款。现场组织实施管理的扣款标准为（每人）：</w:t>
      </w:r>
      <w:r>
        <w:rPr>
          <w:b/>
          <w:bCs/>
          <w:snapToGrid w:val="0"/>
          <w:sz w:val="21"/>
          <w:szCs w:val="21"/>
          <w:highlight w:val="none"/>
        </w:rPr>
        <w:t>项目经理5万元/月；技术负责人3万元/月；专职安全员2万元/月；质量负责人2万元/月；造价人员1万元/月；施工员2万元/月；资料员1万元/月。</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2）在施工期内，如承包人的上述相关人员在一个月内经监理单位、发包人书面确认的现场办公管理天数低于20个日历天，则相应人员在相应的当月进度款中予以全额扣除；并计入结算。</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3）对承包人主要技术及管理人员驻场办公时间进行考核，考核结果作为当月进度款支付依据，考核须由总监理工程师及发包人现场项目负责人书面签名确认。</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考核办法及违约责任参照本合同专用条款38.4执行。</w:t>
      </w:r>
    </w:p>
    <w:p>
      <w:pPr>
        <w:pStyle w:val="69"/>
        <w:adjustRightInd w:val="0"/>
        <w:snapToGrid w:val="0"/>
        <w:spacing w:line="360" w:lineRule="auto"/>
        <w:ind w:firstLine="422" w:firstLineChars="200"/>
        <w:rPr>
          <w:b/>
          <w:snapToGrid w:val="0"/>
          <w:sz w:val="21"/>
          <w:szCs w:val="21"/>
          <w:highlight w:val="none"/>
        </w:rPr>
      </w:pPr>
      <w:r>
        <w:rPr>
          <w:b/>
          <w:snapToGrid w:val="0"/>
          <w:sz w:val="21"/>
          <w:szCs w:val="21"/>
          <w:highlight w:val="none"/>
        </w:rPr>
        <w:t>4）工作例会管理制度</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4.1）每周</w:t>
      </w:r>
      <w:r>
        <w:rPr>
          <w:rFonts w:hint="eastAsia"/>
          <w:snapToGrid w:val="0"/>
          <w:sz w:val="21"/>
          <w:szCs w:val="21"/>
          <w:highlight w:val="none"/>
          <w:u w:val="single"/>
        </w:rPr>
        <w:t xml:space="preserve">  </w:t>
      </w:r>
      <w:r>
        <w:rPr>
          <w:snapToGrid w:val="0"/>
          <w:sz w:val="21"/>
          <w:szCs w:val="21"/>
          <w:highlight w:val="none"/>
          <w:u w:val="single"/>
        </w:rPr>
        <w:t xml:space="preserve">  </w:t>
      </w:r>
      <w:r>
        <w:rPr>
          <w:rFonts w:hint="eastAsia"/>
          <w:snapToGrid w:val="0"/>
          <w:sz w:val="21"/>
          <w:szCs w:val="21"/>
          <w:highlight w:val="none"/>
          <w:u w:val="single"/>
        </w:rPr>
        <w:t xml:space="preserve"> </w:t>
      </w:r>
      <w:r>
        <w:rPr>
          <w:snapToGrid w:val="0"/>
          <w:sz w:val="21"/>
          <w:szCs w:val="21"/>
          <w:highlight w:val="none"/>
        </w:rPr>
        <w:t>早上</w:t>
      </w:r>
      <w:r>
        <w:rPr>
          <w:rFonts w:hint="eastAsia"/>
          <w:snapToGrid w:val="0"/>
          <w:sz w:val="21"/>
          <w:szCs w:val="21"/>
          <w:highlight w:val="none"/>
          <w:u w:val="single"/>
        </w:rPr>
        <w:t xml:space="preserve"> </w:t>
      </w:r>
      <w:r>
        <w:rPr>
          <w:snapToGrid w:val="0"/>
          <w:sz w:val="21"/>
          <w:szCs w:val="21"/>
          <w:highlight w:val="none"/>
          <w:u w:val="single"/>
        </w:rPr>
        <w:t xml:space="preserve">    </w:t>
      </w:r>
      <w:r>
        <w:rPr>
          <w:rFonts w:hint="eastAsia"/>
          <w:snapToGrid w:val="0"/>
          <w:sz w:val="21"/>
          <w:szCs w:val="21"/>
          <w:highlight w:val="none"/>
          <w:u w:val="single"/>
        </w:rPr>
        <w:t xml:space="preserve"> </w:t>
      </w:r>
      <w:r>
        <w:rPr>
          <w:snapToGrid w:val="0"/>
          <w:sz w:val="21"/>
          <w:szCs w:val="21"/>
          <w:highlight w:val="none"/>
        </w:rPr>
        <w:t>组织召开工作例会，地点：现场会议室。</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周报制度：周报在每周例会前一天须报送</w:t>
      </w:r>
      <w:r>
        <w:rPr>
          <w:rFonts w:hint="eastAsia"/>
          <w:snapToGrid w:val="0"/>
          <w:sz w:val="21"/>
          <w:szCs w:val="21"/>
          <w:highlight w:val="none"/>
        </w:rPr>
        <w:t>发包人</w:t>
      </w:r>
      <w:r>
        <w:rPr>
          <w:snapToGrid w:val="0"/>
          <w:sz w:val="21"/>
          <w:szCs w:val="21"/>
          <w:highlight w:val="none"/>
        </w:rPr>
        <w:t>和监理，周报包括本周计划和上周完成工作、未完成情况说明（包括拟采取措施、最终完成时间等）。如不按时、不按要求报送，</w:t>
      </w:r>
      <w:r>
        <w:rPr>
          <w:rFonts w:hint="eastAsia"/>
          <w:snapToGrid w:val="0"/>
          <w:sz w:val="21"/>
          <w:szCs w:val="21"/>
          <w:highlight w:val="none"/>
        </w:rPr>
        <w:t>发包人</w:t>
      </w:r>
      <w:r>
        <w:rPr>
          <w:snapToGrid w:val="0"/>
          <w:sz w:val="21"/>
          <w:szCs w:val="21"/>
          <w:highlight w:val="none"/>
        </w:rPr>
        <w:t>有权进行处罚。</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月报制度：正式施工前提供整体工程进度计划，每月25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sz w:val="21"/>
          <w:szCs w:val="21"/>
          <w:highlight w:val="none"/>
        </w:rPr>
        <w:t>的</w:t>
      </w:r>
      <w:r>
        <w:rPr>
          <w:snapToGrid w:val="0"/>
          <w:sz w:val="21"/>
          <w:szCs w:val="21"/>
          <w:highlight w:val="none"/>
        </w:rPr>
        <w:t>情况说明，下月采取措施、最终完成时间等。</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4.2）参加工作例会应到人员的缺席、迟到或请假实施管理的扣款标准为：</w:t>
      </w:r>
    </w:p>
    <w:p>
      <w:pPr>
        <w:pStyle w:val="69"/>
        <w:adjustRightInd w:val="0"/>
        <w:snapToGrid w:val="0"/>
        <w:spacing w:line="360" w:lineRule="auto"/>
        <w:ind w:firstLine="480" w:firstLineChars="200"/>
        <w:rPr>
          <w:snapToGrid w:val="0"/>
          <w:sz w:val="21"/>
          <w:szCs w:val="21"/>
          <w:highlight w:val="none"/>
        </w:rPr>
      </w:pPr>
      <w:r>
        <w:rPr>
          <w:snapToGrid w:val="0"/>
          <w:szCs w:val="21"/>
          <w:highlight w:val="none"/>
        </w:rPr>
        <w:sym w:font="Wingdings 2" w:char="00A3"/>
      </w:r>
      <w:r>
        <w:rPr>
          <w:snapToGrid w:val="0"/>
          <w:szCs w:val="21"/>
          <w:highlight w:val="none"/>
        </w:rPr>
        <w:t xml:space="preserve"> </w:t>
      </w:r>
      <w:r>
        <w:rPr>
          <w:snapToGrid w:val="0"/>
          <w:sz w:val="21"/>
          <w:szCs w:val="21"/>
          <w:highlight w:val="none"/>
        </w:rPr>
        <w:t>缺席项目经理0.2万元/次扣罚，质量负责人0.15万元/次扣罚；技术负责人0.15万元/月；专职安全员0.1万元/月；造价人员0.1万元/月；施工员0.1万元/月；资料员0.1万元/月。</w:t>
      </w:r>
    </w:p>
    <w:p>
      <w:pPr>
        <w:pStyle w:val="69"/>
        <w:adjustRightInd w:val="0"/>
        <w:snapToGrid w:val="0"/>
        <w:spacing w:line="360" w:lineRule="auto"/>
        <w:ind w:firstLine="480" w:firstLineChars="200"/>
        <w:rPr>
          <w:snapToGrid w:val="0"/>
          <w:sz w:val="21"/>
          <w:szCs w:val="21"/>
          <w:highlight w:val="none"/>
        </w:rPr>
      </w:pPr>
      <w:r>
        <w:rPr>
          <w:snapToGrid w:val="0"/>
          <w:szCs w:val="21"/>
          <w:highlight w:val="none"/>
        </w:rPr>
        <w:sym w:font="Wingdings 2" w:char="00A3"/>
      </w:r>
      <w:r>
        <w:rPr>
          <w:snapToGrid w:val="0"/>
          <w:sz w:val="21"/>
          <w:szCs w:val="21"/>
          <w:highlight w:val="none"/>
        </w:rPr>
        <w:t xml:space="preserve"> 迟到或请假，减半处罚。</w:t>
      </w:r>
    </w:p>
    <w:p>
      <w:pPr>
        <w:pStyle w:val="69"/>
        <w:adjustRightInd w:val="0"/>
        <w:snapToGrid w:val="0"/>
        <w:spacing w:line="360" w:lineRule="auto"/>
        <w:ind w:firstLine="480" w:firstLineChars="200"/>
        <w:rPr>
          <w:snapToGrid w:val="0"/>
          <w:sz w:val="21"/>
          <w:szCs w:val="21"/>
          <w:highlight w:val="none"/>
        </w:rPr>
      </w:pPr>
      <w:r>
        <w:rPr>
          <w:snapToGrid w:val="0"/>
          <w:szCs w:val="21"/>
          <w:highlight w:val="none"/>
        </w:rPr>
        <w:sym w:font="Wingdings 2" w:char="00A3"/>
      </w:r>
      <w:r>
        <w:rPr>
          <w:snapToGrid w:val="0"/>
          <w:sz w:val="21"/>
          <w:szCs w:val="21"/>
          <w:highlight w:val="none"/>
        </w:rPr>
        <w:t xml:space="preserve"> 书面申请经发包人批准同意替换的可酌情减免。</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4.3）以月为单位，进行计量扣款。则相应人员在相应的当月进度款中予以全额扣除；并计入结算。</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（13）</w:t>
      </w:r>
      <w:r>
        <w:rPr>
          <w:rFonts w:hint="eastAsia"/>
          <w:snapToGrid w:val="0"/>
          <w:sz w:val="21"/>
          <w:szCs w:val="21"/>
          <w:highlight w:val="none"/>
        </w:rPr>
        <w:t>绿色施工</w:t>
      </w:r>
      <w:r>
        <w:rPr>
          <w:snapToGrid w:val="0"/>
          <w:sz w:val="21"/>
          <w:szCs w:val="21"/>
          <w:highlight w:val="none"/>
        </w:rPr>
        <w:t>安全防护措施费（按系数计算）的支付方式</w:t>
      </w:r>
      <w:r>
        <w:rPr>
          <w:rFonts w:hint="eastAsia"/>
          <w:snapToGrid w:val="0"/>
          <w:sz w:val="21"/>
          <w:szCs w:val="21"/>
          <w:highlight w:val="none"/>
        </w:rPr>
        <w:t>：</w:t>
      </w:r>
      <w:r>
        <w:rPr>
          <w:snapToGrid w:val="0"/>
          <w:sz w:val="21"/>
          <w:szCs w:val="21"/>
          <w:highlight w:val="none"/>
        </w:rPr>
        <w:t>按工程进度款比例进行支付</w:t>
      </w:r>
      <w:r>
        <w:rPr>
          <w:rFonts w:hint="eastAsia"/>
          <w:snapToGrid w:val="0"/>
          <w:sz w:val="21"/>
          <w:szCs w:val="21"/>
          <w:highlight w:val="none"/>
        </w:rPr>
        <w:t>。</w:t>
      </w:r>
      <w:r>
        <w:rPr>
          <w:snapToGrid w:val="0"/>
          <w:sz w:val="21"/>
          <w:szCs w:val="21"/>
          <w:highlight w:val="none"/>
        </w:rPr>
        <w:t>预算包干费按工程进度款比例</w:t>
      </w:r>
      <w:r>
        <w:rPr>
          <w:rFonts w:hint="eastAsia"/>
          <w:snapToGrid w:val="0"/>
          <w:sz w:val="21"/>
          <w:szCs w:val="21"/>
          <w:highlight w:val="none"/>
        </w:rPr>
        <w:t>进行</w:t>
      </w:r>
      <w:r>
        <w:rPr>
          <w:snapToGrid w:val="0"/>
          <w:sz w:val="21"/>
          <w:szCs w:val="21"/>
          <w:highlight w:val="none"/>
        </w:rPr>
        <w:t>支付。</w:t>
      </w:r>
    </w:p>
    <w:p>
      <w:pPr>
        <w:pStyle w:val="69"/>
        <w:adjustRightInd w:val="0"/>
        <w:snapToGrid w:val="0"/>
        <w:spacing w:line="360" w:lineRule="auto"/>
        <w:ind w:firstLine="420" w:firstLineChars="200"/>
        <w:rPr>
          <w:bCs/>
          <w:snapToGrid w:val="0"/>
          <w:sz w:val="21"/>
          <w:szCs w:val="21"/>
          <w:highlight w:val="none"/>
          <w:lang w:val="zh-CN"/>
        </w:rPr>
      </w:pPr>
      <w:r>
        <w:rPr>
          <w:bCs/>
          <w:snapToGrid w:val="0"/>
          <w:sz w:val="21"/>
          <w:szCs w:val="21"/>
          <w:highlight w:val="none"/>
          <w:lang w:val="zh-CN"/>
        </w:rPr>
        <w:t>（</w:t>
      </w:r>
      <w:r>
        <w:rPr>
          <w:rFonts w:hint="eastAsia"/>
          <w:bCs/>
          <w:snapToGrid w:val="0"/>
          <w:sz w:val="21"/>
          <w:szCs w:val="21"/>
          <w:highlight w:val="none"/>
          <w:lang w:val="zh-CN"/>
        </w:rPr>
        <w:t>14</w:t>
      </w:r>
      <w:r>
        <w:rPr>
          <w:bCs/>
          <w:snapToGrid w:val="0"/>
          <w:sz w:val="21"/>
          <w:szCs w:val="21"/>
          <w:highlight w:val="none"/>
          <w:lang w:val="zh-CN"/>
        </w:rPr>
        <w:t>）</w:t>
      </w:r>
      <w:r>
        <w:rPr>
          <w:bCs/>
          <w:sz w:val="21"/>
          <w:szCs w:val="21"/>
          <w:highlight w:val="none"/>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pPr>
        <w:pStyle w:val="69"/>
        <w:adjustRightInd w:val="0"/>
        <w:snapToGrid w:val="0"/>
        <w:spacing w:line="360" w:lineRule="auto"/>
        <w:ind w:firstLine="420" w:firstLineChars="200"/>
        <w:rPr>
          <w:bCs/>
          <w:sz w:val="21"/>
          <w:szCs w:val="21"/>
          <w:highlight w:val="none"/>
        </w:rPr>
      </w:pPr>
      <w:r>
        <w:rPr>
          <w:bCs/>
          <w:sz w:val="21"/>
          <w:szCs w:val="21"/>
          <w:highlight w:val="none"/>
        </w:rPr>
        <w:t>（15）本项目支付执行花财支付</w:t>
      </w:r>
      <w:r>
        <w:rPr>
          <w:rFonts w:hint="eastAsia" w:ascii="宋体" w:hAnsi="宋体"/>
          <w:bCs/>
          <w:sz w:val="21"/>
          <w:szCs w:val="21"/>
          <w:highlight w:val="none"/>
        </w:rPr>
        <w:t>〔</w:t>
      </w:r>
      <w:r>
        <w:rPr>
          <w:bCs/>
          <w:sz w:val="21"/>
          <w:szCs w:val="21"/>
          <w:highlight w:val="none"/>
        </w:rPr>
        <w:t>2013</w:t>
      </w:r>
      <w:r>
        <w:rPr>
          <w:rFonts w:hint="eastAsia" w:ascii="宋体" w:hAnsi="宋体"/>
          <w:bCs/>
          <w:sz w:val="21"/>
          <w:szCs w:val="21"/>
          <w:highlight w:val="none"/>
        </w:rPr>
        <w:t>〕</w:t>
      </w:r>
      <w:r>
        <w:rPr>
          <w:bCs/>
          <w:sz w:val="21"/>
          <w:szCs w:val="21"/>
          <w:highlight w:val="none"/>
        </w:rPr>
        <w:t>1号、花财支付</w:t>
      </w:r>
      <w:r>
        <w:rPr>
          <w:rFonts w:hint="eastAsia" w:ascii="宋体" w:hAnsi="宋体"/>
          <w:bCs/>
          <w:sz w:val="21"/>
          <w:szCs w:val="21"/>
          <w:highlight w:val="none"/>
        </w:rPr>
        <w:t>〔</w:t>
      </w:r>
      <w:r>
        <w:rPr>
          <w:bCs/>
          <w:sz w:val="21"/>
          <w:szCs w:val="21"/>
          <w:highlight w:val="none"/>
        </w:rPr>
        <w:t>2016</w:t>
      </w:r>
      <w:r>
        <w:rPr>
          <w:rFonts w:hint="eastAsia" w:ascii="宋体" w:hAnsi="宋体"/>
          <w:bCs/>
          <w:sz w:val="21"/>
          <w:szCs w:val="21"/>
          <w:highlight w:val="none"/>
        </w:rPr>
        <w:t>〕</w:t>
      </w:r>
      <w:r>
        <w:rPr>
          <w:bCs/>
          <w:sz w:val="21"/>
          <w:szCs w:val="21"/>
          <w:highlight w:val="none"/>
        </w:rPr>
        <w:t>4号及区财政部门的相关规定。若花都区政府职能管理部门的预结算、支付管理有新规定的，则按新规定执行。</w:t>
      </w:r>
    </w:p>
    <w:p>
      <w:pPr>
        <w:pStyle w:val="69"/>
        <w:adjustRightInd w:val="0"/>
        <w:snapToGrid w:val="0"/>
        <w:spacing w:line="360" w:lineRule="auto"/>
        <w:ind w:firstLine="481"/>
        <w:rPr>
          <w:bCs/>
          <w:snapToGrid w:val="0"/>
          <w:sz w:val="21"/>
          <w:szCs w:val="21"/>
          <w:highlight w:val="none"/>
        </w:rPr>
      </w:pPr>
      <w:r>
        <w:rPr>
          <w:bCs/>
          <w:sz w:val="21"/>
          <w:szCs w:val="21"/>
          <w:highlight w:val="none"/>
        </w:rPr>
        <w:t>（16）</w:t>
      </w:r>
      <w:r>
        <w:rPr>
          <w:bCs/>
          <w:snapToGrid w:val="0"/>
          <w:sz w:val="21"/>
          <w:szCs w:val="21"/>
          <w:highlight w:val="none"/>
        </w:rPr>
        <w:t>承包人对劳保金的使用须符合相关规定。</w:t>
      </w:r>
    </w:p>
    <w:p>
      <w:pPr>
        <w:pStyle w:val="69"/>
        <w:adjustRightInd w:val="0"/>
        <w:snapToGrid w:val="0"/>
        <w:spacing w:line="360" w:lineRule="auto"/>
        <w:ind w:firstLine="481"/>
        <w:rPr>
          <w:bCs/>
          <w:snapToGrid w:val="0"/>
          <w:sz w:val="21"/>
          <w:szCs w:val="21"/>
          <w:highlight w:val="none"/>
        </w:rPr>
      </w:pPr>
      <w:r>
        <w:rPr>
          <w:bCs/>
          <w:snapToGrid w:val="0"/>
          <w:sz w:val="21"/>
          <w:szCs w:val="21"/>
          <w:highlight w:val="none"/>
        </w:rPr>
        <w:t>（17）承包人、发包人须按照《关于印发广州市建设领域工人工资支付分账管理实施细则的通知》（穗建规字</w:t>
      </w:r>
      <w:r>
        <w:rPr>
          <w:rFonts w:hint="eastAsia" w:ascii="宋体" w:hAnsi="宋体"/>
          <w:bCs/>
          <w:snapToGrid w:val="0"/>
          <w:sz w:val="21"/>
          <w:szCs w:val="21"/>
          <w:highlight w:val="none"/>
        </w:rPr>
        <w:t>〔</w:t>
      </w:r>
      <w:r>
        <w:rPr>
          <w:bCs/>
          <w:snapToGrid w:val="0"/>
          <w:sz w:val="21"/>
          <w:szCs w:val="21"/>
          <w:highlight w:val="none"/>
        </w:rPr>
        <w:t>2017</w:t>
      </w:r>
      <w:r>
        <w:rPr>
          <w:rFonts w:hint="eastAsia" w:ascii="宋体" w:hAnsi="宋体"/>
          <w:bCs/>
          <w:snapToGrid w:val="0"/>
          <w:sz w:val="21"/>
          <w:szCs w:val="21"/>
          <w:highlight w:val="none"/>
        </w:rPr>
        <w:t>〕</w:t>
      </w:r>
      <w:r>
        <w:rPr>
          <w:bCs/>
          <w:snapToGrid w:val="0"/>
          <w:sz w:val="21"/>
          <w:szCs w:val="21"/>
          <w:highlight w:val="none"/>
        </w:rPr>
        <w:t>10号）、《关于印发&lt;广东省建设工程领域工人工资支付专用账户管理办法&gt;的通知》（粤人社规</w:t>
      </w:r>
      <w:r>
        <w:rPr>
          <w:rFonts w:hint="eastAsia" w:ascii="宋体" w:hAnsi="宋体"/>
          <w:bCs/>
          <w:snapToGrid w:val="0"/>
          <w:sz w:val="21"/>
          <w:szCs w:val="21"/>
          <w:highlight w:val="none"/>
        </w:rPr>
        <w:t>〔</w:t>
      </w:r>
      <w:r>
        <w:rPr>
          <w:bCs/>
          <w:snapToGrid w:val="0"/>
          <w:sz w:val="21"/>
          <w:szCs w:val="21"/>
          <w:highlight w:val="none"/>
        </w:rPr>
        <w:t>2018</w:t>
      </w:r>
      <w:r>
        <w:rPr>
          <w:rFonts w:hint="eastAsia" w:ascii="宋体" w:hAnsi="宋体"/>
          <w:bCs/>
          <w:snapToGrid w:val="0"/>
          <w:sz w:val="21"/>
          <w:szCs w:val="21"/>
          <w:highlight w:val="none"/>
        </w:rPr>
        <w:t>〕</w:t>
      </w:r>
      <w:r>
        <w:rPr>
          <w:bCs/>
          <w:snapToGrid w:val="0"/>
          <w:sz w:val="21"/>
          <w:szCs w:val="21"/>
          <w:highlight w:val="none"/>
        </w:rPr>
        <w:t>14号）及《广州市住房和城乡建设局关于我市房建市政工程贯彻省用工实名及工人工资支付专用账户管理办法有关要求的通知》（穗建筑</w:t>
      </w:r>
      <w:r>
        <w:rPr>
          <w:rFonts w:hint="eastAsia" w:ascii="宋体" w:hAnsi="宋体"/>
          <w:bCs/>
          <w:snapToGrid w:val="0"/>
          <w:sz w:val="21"/>
          <w:szCs w:val="21"/>
          <w:highlight w:val="none"/>
        </w:rPr>
        <w:t>〔</w:t>
      </w:r>
      <w:r>
        <w:rPr>
          <w:bCs/>
          <w:snapToGrid w:val="0"/>
          <w:sz w:val="21"/>
          <w:szCs w:val="21"/>
          <w:highlight w:val="none"/>
        </w:rPr>
        <w:t>2019</w:t>
      </w:r>
      <w:r>
        <w:rPr>
          <w:rFonts w:hint="eastAsia" w:ascii="宋体" w:hAnsi="宋体"/>
          <w:bCs/>
          <w:snapToGrid w:val="0"/>
          <w:sz w:val="21"/>
          <w:szCs w:val="21"/>
          <w:highlight w:val="none"/>
        </w:rPr>
        <w:t>〕</w:t>
      </w:r>
      <w:r>
        <w:rPr>
          <w:bCs/>
          <w:snapToGrid w:val="0"/>
          <w:sz w:val="21"/>
          <w:szCs w:val="21"/>
          <w:highlight w:val="none"/>
        </w:rPr>
        <w:t>352号）、《关于印发&lt;广州市建筑施工实名制管理办法&gt;的通知》（穗建规字</w:t>
      </w:r>
      <w:r>
        <w:rPr>
          <w:rFonts w:hint="eastAsia" w:ascii="宋体" w:hAnsi="宋体"/>
          <w:bCs/>
          <w:snapToGrid w:val="0"/>
          <w:sz w:val="21"/>
          <w:szCs w:val="21"/>
          <w:highlight w:val="none"/>
        </w:rPr>
        <w:t>〔</w:t>
      </w:r>
      <w:r>
        <w:rPr>
          <w:bCs/>
          <w:snapToGrid w:val="0"/>
          <w:sz w:val="21"/>
          <w:szCs w:val="21"/>
          <w:highlight w:val="none"/>
        </w:rPr>
        <w:t>2017</w:t>
      </w:r>
      <w:r>
        <w:rPr>
          <w:rFonts w:hint="eastAsia" w:ascii="宋体" w:hAnsi="宋体"/>
          <w:bCs/>
          <w:snapToGrid w:val="0"/>
          <w:sz w:val="21"/>
          <w:szCs w:val="21"/>
          <w:highlight w:val="none"/>
        </w:rPr>
        <w:t>〕</w:t>
      </w:r>
      <w:r>
        <w:rPr>
          <w:bCs/>
          <w:snapToGrid w:val="0"/>
          <w:sz w:val="21"/>
          <w:szCs w:val="21"/>
          <w:highlight w:val="none"/>
        </w:rPr>
        <w:t>4号）、花人社〔2016〕82号文《关于印发&lt;花都区建设领域工人工资支付分账管理实施细则&gt;的通知》执行。</w:t>
      </w:r>
    </w:p>
    <w:p>
      <w:pPr>
        <w:pStyle w:val="69"/>
        <w:adjustRightInd w:val="0"/>
        <w:snapToGrid w:val="0"/>
        <w:spacing w:line="360" w:lineRule="auto"/>
        <w:ind w:firstLine="481"/>
        <w:rPr>
          <w:bCs/>
          <w:snapToGrid w:val="0"/>
          <w:sz w:val="21"/>
          <w:szCs w:val="21"/>
          <w:highlight w:val="none"/>
        </w:rPr>
      </w:pPr>
      <w:r>
        <w:rPr>
          <w:rFonts w:hint="eastAsia"/>
          <w:bCs/>
          <w:snapToGrid w:val="0"/>
          <w:sz w:val="21"/>
          <w:szCs w:val="21"/>
          <w:highlight w:val="none"/>
        </w:rPr>
        <w:t>（</w:t>
      </w:r>
      <w:r>
        <w:rPr>
          <w:bCs/>
          <w:snapToGrid w:val="0"/>
          <w:sz w:val="21"/>
          <w:szCs w:val="21"/>
          <w:highlight w:val="none"/>
        </w:rPr>
        <w:t>18</w:t>
      </w:r>
      <w:r>
        <w:rPr>
          <w:rFonts w:hint="eastAsia"/>
          <w:bCs/>
          <w:snapToGrid w:val="0"/>
          <w:sz w:val="21"/>
          <w:szCs w:val="21"/>
          <w:highlight w:val="none"/>
        </w:rPr>
        <w:t>）本工程暂定工人工资支付比例占同期进度款的</w:t>
      </w:r>
      <w:r>
        <w:rPr>
          <w:b/>
          <w:bCs/>
          <w:snapToGrid w:val="0"/>
          <w:sz w:val="21"/>
          <w:szCs w:val="21"/>
          <w:highlight w:val="none"/>
          <w:u w:val="single"/>
        </w:rPr>
        <w:t xml:space="preserve">    </w:t>
      </w:r>
      <w:r>
        <w:rPr>
          <w:b/>
          <w:bCs/>
          <w:snapToGrid w:val="0"/>
          <w:sz w:val="21"/>
          <w:szCs w:val="21"/>
          <w:highlight w:val="none"/>
        </w:rPr>
        <w:t>%</w:t>
      </w:r>
      <w:r>
        <w:rPr>
          <w:rFonts w:hint="eastAsia"/>
          <w:bCs/>
          <w:snapToGrid w:val="0"/>
          <w:sz w:val="21"/>
          <w:szCs w:val="21"/>
          <w:highlight w:val="none"/>
        </w:rPr>
        <w:t>（完成本项目施工图预算后，工人工资支付比例以签订的施工总承包合同补充协议为准），与工程进度款同期支付。承包人建立工人工资支付专用帐户，并在用工之日起</w:t>
      </w:r>
      <w:r>
        <w:rPr>
          <w:bCs/>
          <w:snapToGrid w:val="0"/>
          <w:sz w:val="21"/>
          <w:szCs w:val="21"/>
          <w:highlight w:val="none"/>
        </w:rPr>
        <w:t>15</w:t>
      </w:r>
      <w:r>
        <w:rPr>
          <w:rFonts w:hint="eastAsia"/>
          <w:bCs/>
          <w:snapToGrid w:val="0"/>
          <w:sz w:val="21"/>
          <w:szCs w:val="21"/>
          <w:highlight w:val="none"/>
        </w:rPr>
        <w:t>日内为每个工人办理工资个人账户，以银行卡方式支付工资，支付时间为每月收到发包人工程进度款后</w:t>
      </w:r>
      <w:r>
        <w:rPr>
          <w:bCs/>
          <w:snapToGrid w:val="0"/>
          <w:sz w:val="21"/>
          <w:szCs w:val="21"/>
          <w:highlight w:val="none"/>
        </w:rPr>
        <w:t>5</w:t>
      </w:r>
      <w:r>
        <w:rPr>
          <w:rFonts w:hint="eastAsia"/>
          <w:bCs/>
          <w:snapToGrid w:val="0"/>
          <w:sz w:val="21"/>
          <w:szCs w:val="21"/>
          <w:highlight w:val="none"/>
        </w:rPr>
        <w:t>个工作日内支付。并建立用工管理台账备查。</w:t>
      </w:r>
    </w:p>
    <w:p>
      <w:pPr>
        <w:pStyle w:val="69"/>
        <w:adjustRightInd w:val="0"/>
        <w:snapToGrid w:val="0"/>
        <w:spacing w:line="360" w:lineRule="auto"/>
        <w:ind w:firstLine="420" w:firstLineChars="200"/>
        <w:rPr>
          <w:bCs/>
          <w:snapToGrid w:val="0"/>
          <w:sz w:val="21"/>
          <w:szCs w:val="21"/>
          <w:highlight w:val="none"/>
        </w:rPr>
      </w:pPr>
      <w:r>
        <w:rPr>
          <w:bCs/>
          <w:snapToGrid w:val="0"/>
          <w:sz w:val="21"/>
          <w:szCs w:val="21"/>
          <w:highlight w:val="none"/>
        </w:rPr>
        <w:t>工人工资专用账户</w:t>
      </w:r>
      <w:r>
        <w:rPr>
          <w:rFonts w:hint="eastAsia"/>
          <w:bCs/>
          <w:snapToGrid w:val="0"/>
          <w:sz w:val="21"/>
          <w:szCs w:val="21"/>
          <w:highlight w:val="none"/>
        </w:rPr>
        <w:t>信息：</w:t>
      </w:r>
    </w:p>
    <w:p>
      <w:pPr>
        <w:pStyle w:val="69"/>
        <w:adjustRightInd w:val="0"/>
        <w:snapToGrid w:val="0"/>
        <w:spacing w:line="360" w:lineRule="auto"/>
        <w:ind w:firstLine="420" w:firstLineChars="200"/>
        <w:rPr>
          <w:bCs/>
          <w:snapToGrid w:val="0"/>
          <w:sz w:val="21"/>
          <w:szCs w:val="21"/>
          <w:highlight w:val="none"/>
        </w:rPr>
      </w:pPr>
      <w:r>
        <w:rPr>
          <w:bCs/>
          <w:snapToGrid w:val="0"/>
          <w:sz w:val="21"/>
          <w:szCs w:val="21"/>
          <w:highlight w:val="none"/>
        </w:rPr>
        <w:t>开户银行：</w:t>
      </w:r>
      <w:r>
        <w:rPr>
          <w:bCs/>
          <w:snapToGrid w:val="0"/>
          <w:sz w:val="21"/>
          <w:szCs w:val="21"/>
          <w:highlight w:val="none"/>
          <w:u w:val="single"/>
        </w:rPr>
        <w:t xml:space="preserve"> </w:t>
      </w:r>
      <w:r>
        <w:rPr>
          <w:rFonts w:hint="eastAsia"/>
          <w:bCs/>
          <w:snapToGrid w:val="0"/>
          <w:sz w:val="21"/>
          <w:szCs w:val="21"/>
          <w:highlight w:val="none"/>
          <w:u w:val="single"/>
        </w:rPr>
        <w:t xml:space="preserve"> </w:t>
      </w:r>
      <w:r>
        <w:rPr>
          <w:bCs/>
          <w:snapToGrid w:val="0"/>
          <w:sz w:val="21"/>
          <w:szCs w:val="21"/>
          <w:highlight w:val="none"/>
          <w:u w:val="single"/>
        </w:rPr>
        <w:t xml:space="preserve">                                                  </w:t>
      </w:r>
      <w:r>
        <w:rPr>
          <w:bCs/>
          <w:snapToGrid w:val="0"/>
          <w:sz w:val="21"/>
          <w:szCs w:val="21"/>
          <w:highlight w:val="none"/>
        </w:rPr>
        <w:t>；</w:t>
      </w:r>
    </w:p>
    <w:p>
      <w:pPr>
        <w:pStyle w:val="69"/>
        <w:adjustRightInd w:val="0"/>
        <w:snapToGrid w:val="0"/>
        <w:spacing w:line="360" w:lineRule="auto"/>
        <w:ind w:firstLine="420" w:firstLineChars="200"/>
        <w:rPr>
          <w:bCs/>
          <w:snapToGrid w:val="0"/>
          <w:sz w:val="21"/>
          <w:szCs w:val="21"/>
          <w:highlight w:val="none"/>
        </w:rPr>
      </w:pPr>
      <w:r>
        <w:rPr>
          <w:bCs/>
          <w:snapToGrid w:val="0"/>
          <w:sz w:val="21"/>
          <w:szCs w:val="21"/>
          <w:highlight w:val="none"/>
        </w:rPr>
        <w:t>账号：</w:t>
      </w:r>
      <w:r>
        <w:rPr>
          <w:bCs/>
          <w:snapToGrid w:val="0"/>
          <w:sz w:val="21"/>
          <w:szCs w:val="21"/>
          <w:highlight w:val="none"/>
          <w:u w:val="single"/>
        </w:rPr>
        <w:t xml:space="preserve">                                                        </w:t>
      </w:r>
      <w:r>
        <w:rPr>
          <w:bCs/>
          <w:snapToGrid w:val="0"/>
          <w:sz w:val="21"/>
          <w:szCs w:val="21"/>
          <w:highlight w:val="none"/>
        </w:rPr>
        <w:t>。</w:t>
      </w:r>
    </w:p>
    <w:p>
      <w:pPr>
        <w:adjustRightInd w:val="0"/>
        <w:snapToGrid w:val="0"/>
        <w:spacing w:line="360" w:lineRule="auto"/>
        <w:ind w:right="11" w:firstLine="420" w:firstLineChars="200"/>
        <w:rPr>
          <w:rFonts w:ascii="宋体" w:hAnsi="宋体" w:cs="宋体"/>
          <w:snapToGrid w:val="0"/>
          <w:kern w:val="0"/>
          <w:sz w:val="24"/>
          <w:highlight w:val="none"/>
        </w:rPr>
      </w:pPr>
      <w:r>
        <w:rPr>
          <w:snapToGrid w:val="0"/>
          <w:kern w:val="0"/>
          <w:szCs w:val="21"/>
          <w:highlight w:val="none"/>
        </w:rPr>
        <w:t>如因承包人未按规定开立、使用、变更、撤销工人工资支付专用账户导致本工程施工许可证未能如期办理、拖欠或克扣工人工资造成群体性事件或其他不良行为的，由此引起的相关责任全部由承包人承担。</w:t>
      </w:r>
    </w:p>
    <w:p>
      <w:pPr>
        <w:pStyle w:val="4"/>
        <w:jc w:val="left"/>
        <w:rPr>
          <w:snapToGrid w:val="0"/>
          <w:highlight w:val="none"/>
        </w:rPr>
      </w:pPr>
      <w:bookmarkStart w:id="341" w:name="_Toc514663864"/>
      <w:bookmarkStart w:id="342" w:name="_Toc514681188"/>
      <w:bookmarkStart w:id="343" w:name="_Toc520358236"/>
      <w:bookmarkStart w:id="344" w:name="_Toc514681769"/>
      <w:bookmarkStart w:id="345" w:name="_Toc519502256"/>
      <w:bookmarkStart w:id="346" w:name="_Toc520901466"/>
      <w:bookmarkStart w:id="347" w:name="_Toc514666979"/>
      <w:bookmarkStart w:id="348" w:name="_Toc514664866"/>
      <w:bookmarkStart w:id="349" w:name="_Toc514665149"/>
      <w:bookmarkStart w:id="350" w:name="_Toc132813122"/>
      <w:bookmarkStart w:id="351" w:name="_Toc514665288"/>
      <w:bookmarkStart w:id="352" w:name="_Toc517954579"/>
      <w:bookmarkStart w:id="353" w:name="_Toc520902611"/>
      <w:bookmarkStart w:id="354" w:name="_Toc520902833"/>
      <w:bookmarkStart w:id="355" w:name="_Toc517774566"/>
      <w:bookmarkStart w:id="356" w:name="_Toc519503086"/>
      <w:bookmarkStart w:id="357" w:name="_Toc520902762"/>
      <w:bookmarkStart w:id="358" w:name="_Toc516495982"/>
      <w:bookmarkStart w:id="359" w:name="_Toc520358060"/>
      <w:bookmarkStart w:id="360" w:name="_Toc518481738"/>
      <w:r>
        <w:rPr>
          <w:rFonts w:hint="eastAsia"/>
          <w:snapToGrid w:val="0"/>
          <w:highlight w:val="none"/>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（一）发包人、承包人一致同意在本合同签订</w:t>
      </w:r>
      <w:r>
        <w:rPr>
          <w:bCs/>
          <w:snapToGrid w:val="0"/>
          <w:kern w:val="0"/>
          <w:szCs w:val="21"/>
          <w:highlight w:val="none"/>
        </w:rPr>
        <w:t>之日起</w:t>
      </w:r>
      <w:r>
        <w:rPr>
          <w:snapToGrid w:val="0"/>
          <w:kern w:val="0"/>
          <w:szCs w:val="21"/>
          <w:highlight w:val="none"/>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pPr>
        <w:adjustRightInd w:val="0"/>
        <w:snapToGrid w:val="0"/>
        <w:spacing w:line="360" w:lineRule="auto"/>
        <w:ind w:firstLine="420" w:firstLineChars="200"/>
        <w:rPr>
          <w:snapToGrid w:val="0"/>
          <w:kern w:val="0"/>
          <w:szCs w:val="21"/>
          <w:highlight w:val="none"/>
          <w:lang w:val="zh-CN"/>
        </w:rPr>
      </w:pPr>
      <w:r>
        <w:rPr>
          <w:snapToGrid w:val="0"/>
          <w:kern w:val="0"/>
          <w:szCs w:val="21"/>
          <w:highlight w:val="none"/>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pPr>
        <w:adjustRightInd w:val="0"/>
        <w:snapToGrid w:val="0"/>
        <w:spacing w:line="360" w:lineRule="auto"/>
        <w:ind w:right="11" w:firstLine="405" w:firstLineChars="192"/>
        <w:rPr>
          <w:b/>
          <w:snapToGrid w:val="0"/>
          <w:kern w:val="0"/>
          <w:szCs w:val="21"/>
          <w:highlight w:val="none"/>
        </w:rPr>
      </w:pPr>
      <w:r>
        <w:rPr>
          <w:b/>
          <w:snapToGrid w:val="0"/>
          <w:kern w:val="0"/>
          <w:szCs w:val="21"/>
          <w:highlight w:val="none"/>
        </w:rPr>
        <w:t>30、承包人采购材料设备</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30.1承包人采购的材料设备主要为乙供材料设备。</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承包人和发包人一致同意增加30.9：</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30.9对材料设备采购的相关要求</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（1）乙供材料设备</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1）招标文件已列明推荐品牌的材料设备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hint="eastAsia" w:hAnsi="宋体" w:eastAsia="宋体" w:cs="宋体"/>
          <w:snapToGrid w:val="0"/>
          <w:kern w:val="0"/>
          <w:szCs w:val="21"/>
          <w:highlight w:val="none"/>
        </w:rPr>
        <w:t>①</w:t>
      </w:r>
      <w:r>
        <w:rPr>
          <w:rFonts w:ascii="Times New Roman" w:hAnsi="Times New Roman" w:eastAsia="宋体"/>
          <w:snapToGrid w:val="0"/>
          <w:kern w:val="0"/>
          <w:szCs w:val="21"/>
          <w:highlight w:val="none"/>
        </w:rPr>
        <w:t xml:space="preserve">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hint="eastAsia" w:hAnsi="宋体" w:eastAsia="宋体" w:cs="宋体"/>
          <w:snapToGrid w:val="0"/>
          <w:kern w:val="0"/>
          <w:szCs w:val="21"/>
          <w:highlight w:val="none"/>
        </w:rPr>
        <w:t>②</w:t>
      </w:r>
      <w:r>
        <w:rPr>
          <w:rFonts w:ascii="Times New Roman" w:hAnsi="Times New Roman" w:eastAsia="宋体"/>
          <w:snapToGrid w:val="0"/>
          <w:kern w:val="0"/>
          <w:szCs w:val="21"/>
          <w:highlight w:val="none"/>
        </w:rPr>
        <w:t xml:space="preserve">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hint="eastAsia" w:hAnsi="宋体" w:eastAsia="宋体" w:cs="宋体"/>
          <w:snapToGrid w:val="0"/>
          <w:kern w:val="0"/>
          <w:szCs w:val="21"/>
          <w:highlight w:val="none"/>
        </w:rPr>
        <w:t>③</w:t>
      </w:r>
      <w:r>
        <w:rPr>
          <w:rFonts w:ascii="Times New Roman" w:hAnsi="Times New Roman" w:eastAsia="宋体"/>
          <w:snapToGrid w:val="0"/>
          <w:kern w:val="0"/>
          <w:szCs w:val="21"/>
          <w:highlight w:val="none"/>
        </w:rPr>
        <w:t xml:space="preserve"> 若因发包人调整招标文件各专业主要设备材料技术参数的相关要求导致招标文件材料设备推荐品牌范围中的所有厂家产品均无法满足要求，则参照本条第30.9（1）2）款“招标文件未列明推荐品牌的材料设备”的相关规定执行。</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hint="eastAsia" w:hAnsi="宋体" w:eastAsia="宋体" w:cs="宋体"/>
          <w:snapToGrid w:val="0"/>
          <w:kern w:val="0"/>
          <w:szCs w:val="21"/>
          <w:highlight w:val="none"/>
        </w:rPr>
        <w:t>④</w:t>
      </w:r>
      <w:r>
        <w:rPr>
          <w:rFonts w:ascii="Times New Roman" w:hAnsi="Times New Roman" w:eastAsia="宋体"/>
          <w:snapToGrid w:val="0"/>
          <w:kern w:val="0"/>
          <w:szCs w:val="21"/>
          <w:highlight w:val="none"/>
        </w:rPr>
        <w:t xml:space="preserve">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2）招标文件未列明推荐品牌的材料设备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hint="eastAsia" w:hAnsi="宋体" w:eastAsia="宋体" w:cs="宋体"/>
          <w:snapToGrid w:val="0"/>
          <w:kern w:val="0"/>
          <w:szCs w:val="21"/>
          <w:highlight w:val="none"/>
        </w:rPr>
        <w:t>①</w:t>
      </w:r>
      <w:r>
        <w:rPr>
          <w:rFonts w:ascii="Times New Roman" w:hAnsi="Times New Roman" w:eastAsia="宋体"/>
          <w:snapToGrid w:val="0"/>
          <w:kern w:val="0"/>
          <w:szCs w:val="21"/>
          <w:highlight w:val="none"/>
        </w:rPr>
        <w:t xml:space="preserve"> 招标文件未列明推荐供货厂家的，承包人必须注明所选用材料设备的品牌、产地、规格、等级，如未列明，则按发包人的要求采购，且发包人保留调整其材料价格的权利。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hint="eastAsia" w:hAnsi="宋体" w:eastAsia="宋体" w:cs="宋体"/>
          <w:snapToGrid w:val="0"/>
          <w:kern w:val="0"/>
          <w:szCs w:val="21"/>
          <w:highlight w:val="none"/>
        </w:rPr>
        <w:t>②</w:t>
      </w:r>
      <w:r>
        <w:rPr>
          <w:rFonts w:ascii="Times New Roman" w:hAnsi="Times New Roman" w:eastAsia="宋体"/>
          <w:snapToGrid w:val="0"/>
          <w:kern w:val="0"/>
          <w:szCs w:val="21"/>
          <w:highlight w:val="none"/>
        </w:rPr>
        <w:t xml:space="preserve">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（4）材料设备采购的变更</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2）</w:t>
      </w:r>
      <w:r>
        <w:rPr>
          <w:rFonts w:ascii="Times New Roman" w:hAnsi="Times New Roman" w:eastAsia="宋体"/>
          <w:snapToGrid w:val="0"/>
          <w:spacing w:val="-4"/>
          <w:kern w:val="0"/>
          <w:szCs w:val="21"/>
          <w:highlight w:val="none"/>
        </w:rPr>
        <w:t>出于为保证本工程的整体质量和效果等特殊原因，发包人决定将某种材料设备的供货方式由乙供改为甲供或甲招乙供时，</w:t>
      </w:r>
      <w:r>
        <w:rPr>
          <w:rFonts w:ascii="Times New Roman" w:hAnsi="Times New Roman" w:eastAsia="宋体"/>
          <w:snapToGrid w:val="0"/>
          <w:kern w:val="0"/>
          <w:szCs w:val="21"/>
          <w:highlight w:val="none"/>
        </w:rPr>
        <w:t>因发包人的原因由此造成材料设备采购成本及税费的增加仍由发包人承担。</w:t>
      </w:r>
      <w:r>
        <w:rPr>
          <w:rFonts w:ascii="Times New Roman" w:hAnsi="Times New Roman" w:eastAsia="宋体"/>
          <w:snapToGrid w:val="0"/>
          <w:spacing w:val="-4"/>
          <w:kern w:val="0"/>
          <w:szCs w:val="21"/>
          <w:highlight w:val="none"/>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pPr>
        <w:pStyle w:val="39"/>
        <w:adjustRightInd w:val="0"/>
        <w:snapToGrid w:val="0"/>
        <w:spacing w:line="360" w:lineRule="auto"/>
        <w:ind w:firstLine="420" w:firstLineChars="200"/>
        <w:rPr>
          <w:rFonts w:hAnsi="宋体" w:eastAsia="宋体" w:cs="宋体"/>
          <w:snapToGrid w:val="0"/>
          <w:kern w:val="0"/>
          <w:sz w:val="24"/>
          <w:highlight w:val="none"/>
        </w:rPr>
      </w:pPr>
      <w:r>
        <w:rPr>
          <w:rFonts w:ascii="Times New Roman" w:hAnsi="Times New Roman" w:eastAsia="宋体"/>
          <w:snapToGrid w:val="0"/>
          <w:kern w:val="0"/>
          <w:szCs w:val="21"/>
          <w:highlight w:val="none"/>
        </w:rPr>
        <w:t>4）合同履行过程中出现中标品牌以外的乙供材料设备，其品牌的选用按招标文件推荐品牌、中国名牌、国家免检产品、省知名品牌的顺序确定。</w:t>
      </w:r>
    </w:p>
    <w:p>
      <w:pPr>
        <w:pStyle w:val="4"/>
        <w:jc w:val="left"/>
        <w:rPr>
          <w:snapToGrid w:val="0"/>
          <w:kern w:val="0"/>
          <w:highlight w:val="none"/>
        </w:rPr>
      </w:pPr>
      <w:bookmarkStart w:id="361" w:name="_Toc520902834"/>
      <w:bookmarkStart w:id="362" w:name="_Toc514681770"/>
      <w:bookmarkStart w:id="363" w:name="_Toc516495983"/>
      <w:bookmarkStart w:id="364" w:name="_Toc518481739"/>
      <w:bookmarkStart w:id="365" w:name="_Toc514664867"/>
      <w:bookmarkStart w:id="366" w:name="_Toc517774567"/>
      <w:bookmarkStart w:id="367" w:name="_Toc520901467"/>
      <w:bookmarkStart w:id="368" w:name="_Toc514681189"/>
      <w:bookmarkStart w:id="369" w:name="_Toc514663865"/>
      <w:bookmarkStart w:id="370" w:name="_Toc519503087"/>
      <w:bookmarkStart w:id="371" w:name="_Toc520358237"/>
      <w:bookmarkStart w:id="372" w:name="_Toc520358061"/>
      <w:bookmarkStart w:id="373" w:name="_Toc517954580"/>
      <w:bookmarkStart w:id="374" w:name="_Toc514665289"/>
      <w:bookmarkStart w:id="375" w:name="_Toc514666980"/>
      <w:bookmarkStart w:id="376" w:name="_Toc520902612"/>
      <w:bookmarkStart w:id="377" w:name="_Toc514665150"/>
      <w:bookmarkStart w:id="378" w:name="_Toc520902763"/>
      <w:bookmarkStart w:id="379" w:name="_Toc519502257"/>
      <w:bookmarkStart w:id="380" w:name="_Toc132813123"/>
      <w:r>
        <w:rPr>
          <w:rFonts w:hint="eastAsia"/>
          <w:snapToGrid w:val="0"/>
          <w:kern w:val="0"/>
          <w:highlight w:val="none"/>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snapToGrid w:val="0"/>
          <w:kern w:val="0"/>
          <w:highlight w:val="none"/>
        </w:rPr>
        <w:t>计价原则</w:t>
      </w:r>
      <w:bookmarkEnd w:id="380"/>
    </w:p>
    <w:p>
      <w:pPr>
        <w:shd w:val="clear" w:color="auto" w:fill="FFFFFF"/>
        <w:snapToGrid w:val="0"/>
        <w:spacing w:line="360" w:lineRule="auto"/>
        <w:ind w:firstLine="422" w:firstLineChars="200"/>
        <w:rPr>
          <w:b/>
          <w:snapToGrid w:val="0"/>
          <w:kern w:val="0"/>
          <w:szCs w:val="21"/>
          <w:highlight w:val="none"/>
        </w:rPr>
      </w:pPr>
      <w:r>
        <w:rPr>
          <w:b/>
          <w:snapToGrid w:val="0"/>
          <w:kern w:val="0"/>
          <w:szCs w:val="21"/>
          <w:highlight w:val="none"/>
        </w:rPr>
        <w:t>33</w:t>
      </w:r>
      <w:r>
        <w:rPr>
          <w:rFonts w:hint="eastAsia"/>
          <w:b/>
          <w:snapToGrid w:val="0"/>
          <w:kern w:val="0"/>
          <w:szCs w:val="21"/>
          <w:highlight w:val="none"/>
        </w:rPr>
        <w:t>、确定合同价款</w:t>
      </w:r>
    </w:p>
    <w:p>
      <w:pPr>
        <w:shd w:val="clear" w:color="auto" w:fill="FFFFFF"/>
        <w:snapToGrid w:val="0"/>
        <w:spacing w:line="360" w:lineRule="auto"/>
        <w:ind w:firstLine="420" w:firstLineChars="200"/>
        <w:rPr>
          <w:szCs w:val="21"/>
          <w:highlight w:val="none"/>
        </w:rPr>
      </w:pPr>
      <w:r>
        <w:rPr>
          <w:rFonts w:hint="eastAsia"/>
          <w:szCs w:val="21"/>
          <w:highlight w:val="none"/>
        </w:rPr>
        <w:t>本合同采用双控原则，即中标合同价控制和《模拟清单》综合单价×（1</w:t>
      </w:r>
      <w:r>
        <w:rPr>
          <w:rFonts w:hint="eastAsia" w:asciiTheme="minorEastAsia" w:hAnsiTheme="minorEastAsia" w:eastAsiaTheme="minorEastAsia"/>
          <w:szCs w:val="21"/>
          <w:highlight w:val="none"/>
        </w:rPr>
        <w:t>-</w:t>
      </w:r>
      <w:r>
        <w:rPr>
          <w:rFonts w:hint="eastAsia"/>
          <w:szCs w:val="21"/>
          <w:highlight w:val="none"/>
        </w:rPr>
        <w:t>中标下浮率）单价控制。施工总承包费用合计原则上不得超过其中标价；单价按招标文件中《模拟清单》中相应的综合单价×（</w:t>
      </w:r>
      <w:r>
        <w:rPr>
          <w:szCs w:val="21"/>
          <w:highlight w:val="none"/>
        </w:rPr>
        <w:t>1</w:t>
      </w:r>
      <w:r>
        <w:rPr>
          <w:rFonts w:ascii="宋体" w:hAnsi="宋体"/>
          <w:szCs w:val="21"/>
          <w:highlight w:val="none"/>
        </w:rPr>
        <w:t>-</w:t>
      </w:r>
      <w:r>
        <w:rPr>
          <w:rFonts w:hint="eastAsia"/>
          <w:szCs w:val="21"/>
          <w:highlight w:val="none"/>
        </w:rPr>
        <w:t>中标下浮率）执行。本项目中标下浮率为</w:t>
      </w:r>
      <w:r>
        <w:rPr>
          <w:b/>
          <w:szCs w:val="21"/>
          <w:highlight w:val="none"/>
          <w:u w:val="single"/>
        </w:rPr>
        <w:t xml:space="preserve">       %</w:t>
      </w:r>
      <w:r>
        <w:rPr>
          <w:rFonts w:hint="eastAsia"/>
          <w:szCs w:val="21"/>
          <w:highlight w:val="none"/>
        </w:rPr>
        <w:t>。</w:t>
      </w:r>
      <w:r>
        <w:rPr>
          <w:rFonts w:hint="eastAsia"/>
          <w:b/>
          <w:snapToGrid w:val="0"/>
          <w:kern w:val="0"/>
          <w:szCs w:val="21"/>
          <w:highlight w:val="none"/>
        </w:rPr>
        <w:t>待承包人完成施工图预算，并完成与监理人及发包人（或发包人委托的第三方咨询单位）核对通过后，经发包人同意，可申请签订补充协议，以施工图预算清单作为计量支付的依据</w:t>
      </w:r>
      <w:r>
        <w:rPr>
          <w:rFonts w:hint="eastAsia"/>
          <w:szCs w:val="21"/>
          <w:highlight w:val="none"/>
        </w:rPr>
        <w:t>并作为本项目结算依据（补充协议另有约定的除外）。</w:t>
      </w:r>
    </w:p>
    <w:p>
      <w:pPr>
        <w:shd w:val="clear" w:color="auto" w:fill="FFFFFF"/>
        <w:snapToGrid w:val="0"/>
        <w:spacing w:line="360" w:lineRule="auto"/>
        <w:ind w:firstLine="420" w:firstLineChars="200"/>
        <w:rPr>
          <w:szCs w:val="21"/>
          <w:highlight w:val="none"/>
        </w:rPr>
      </w:pPr>
      <w:r>
        <w:rPr>
          <w:rFonts w:hint="eastAsia"/>
          <w:szCs w:val="21"/>
          <w:highlight w:val="none"/>
        </w:rPr>
        <w:t>本工程应严格按照《模拟清单》综合单价×（1</w:t>
      </w:r>
      <w:r>
        <w:rPr>
          <w:rFonts w:hint="eastAsia" w:asciiTheme="minorEastAsia" w:hAnsiTheme="minorEastAsia" w:eastAsiaTheme="minorEastAsia"/>
          <w:szCs w:val="21"/>
          <w:highlight w:val="none"/>
        </w:rPr>
        <w:t>-</w:t>
      </w:r>
      <w:r>
        <w:rPr>
          <w:rFonts w:hint="eastAsia"/>
          <w:szCs w:val="21"/>
          <w:highlight w:val="none"/>
        </w:rPr>
        <w:t>中标下浮率）开展单价控的限价投资控制模式，原则上初步设计概算、施工图预算及竣工结算，均以《模拟清单》综合单价×（1</w:t>
      </w:r>
      <w:r>
        <w:rPr>
          <w:rFonts w:hint="eastAsia" w:asciiTheme="minorEastAsia" w:hAnsiTheme="minorEastAsia" w:eastAsiaTheme="minorEastAsia"/>
          <w:szCs w:val="21"/>
          <w:highlight w:val="none"/>
        </w:rPr>
        <w:t>-</w:t>
      </w:r>
      <w:r>
        <w:rPr>
          <w:rFonts w:hint="eastAsia"/>
          <w:szCs w:val="21"/>
          <w:highlight w:val="none"/>
        </w:rPr>
        <w:t>中标下浮率）为综合单价编制依据，《模拟清单》未有的综合单价及价差调整按本合同专用条款第</w:t>
      </w:r>
      <w:r>
        <w:rPr>
          <w:szCs w:val="21"/>
          <w:highlight w:val="none"/>
        </w:rPr>
        <w:t>33.3</w:t>
      </w:r>
      <w:r>
        <w:rPr>
          <w:rFonts w:hint="eastAsia"/>
          <w:szCs w:val="21"/>
          <w:highlight w:val="none"/>
        </w:rPr>
        <w:t>条执行。</w:t>
      </w:r>
    </w:p>
    <w:p>
      <w:pPr>
        <w:shd w:val="clear" w:color="auto" w:fill="FFFFFF"/>
        <w:snapToGrid w:val="0"/>
        <w:spacing w:line="360" w:lineRule="auto"/>
        <w:ind w:firstLine="420" w:firstLineChars="200"/>
        <w:rPr>
          <w:szCs w:val="21"/>
          <w:highlight w:val="none"/>
        </w:rPr>
      </w:pPr>
      <w:r>
        <w:rPr>
          <w:szCs w:val="21"/>
          <w:highlight w:val="none"/>
        </w:rPr>
        <w:t>33.1</w:t>
      </w:r>
      <w:r>
        <w:rPr>
          <w:rFonts w:hint="eastAsia"/>
          <w:szCs w:val="21"/>
          <w:highlight w:val="none"/>
        </w:rPr>
        <w:t>分部分项工程项目</w:t>
      </w:r>
    </w:p>
    <w:p>
      <w:pPr>
        <w:shd w:val="clear" w:color="auto" w:fill="FFFFFF"/>
        <w:snapToGrid w:val="0"/>
        <w:spacing w:line="360" w:lineRule="auto"/>
        <w:ind w:firstLine="420" w:firstLineChars="200"/>
        <w:rPr>
          <w:szCs w:val="21"/>
          <w:highlight w:val="none"/>
        </w:rPr>
      </w:pPr>
      <w:r>
        <w:rPr>
          <w:rFonts w:hint="eastAsia"/>
          <w:szCs w:val="21"/>
          <w:highlight w:val="none"/>
        </w:rPr>
        <w:t>按图纸所示、实际完成的工程量乘以相应的《模拟清单》综合单价×（1</w:t>
      </w:r>
      <w:r>
        <w:rPr>
          <w:rFonts w:hint="eastAsia" w:asciiTheme="minorEastAsia" w:hAnsiTheme="minorEastAsia" w:eastAsiaTheme="minorEastAsia"/>
          <w:szCs w:val="21"/>
          <w:highlight w:val="none"/>
        </w:rPr>
        <w:t>-</w:t>
      </w:r>
      <w:r>
        <w:rPr>
          <w:rFonts w:hint="eastAsia"/>
          <w:szCs w:val="21"/>
          <w:highlight w:val="none"/>
        </w:rPr>
        <w:t>中标下浮率），《模拟清单》未有的综合单价及价差调整按本合同专用条款第33.3条执行。</w:t>
      </w:r>
    </w:p>
    <w:p>
      <w:pPr>
        <w:shd w:val="clear" w:color="auto" w:fill="FFFFFF"/>
        <w:snapToGrid w:val="0"/>
        <w:spacing w:line="360" w:lineRule="auto"/>
        <w:ind w:firstLine="420" w:firstLineChars="200"/>
        <w:rPr>
          <w:szCs w:val="21"/>
          <w:highlight w:val="none"/>
        </w:rPr>
      </w:pPr>
      <w:r>
        <w:rPr>
          <w:rFonts w:hint="eastAsia"/>
          <w:szCs w:val="21"/>
          <w:highlight w:val="none"/>
        </w:rPr>
        <w:t>33.2措施项目（含其他项目）</w:t>
      </w:r>
    </w:p>
    <w:p>
      <w:pPr>
        <w:shd w:val="clear" w:color="auto" w:fill="FFFFFF"/>
        <w:snapToGrid w:val="0"/>
        <w:spacing w:line="360" w:lineRule="auto"/>
        <w:ind w:firstLine="420" w:firstLineChars="200"/>
        <w:rPr>
          <w:szCs w:val="21"/>
          <w:highlight w:val="none"/>
        </w:rPr>
      </w:pPr>
      <w:r>
        <w:rPr>
          <w:rFonts w:hint="eastAsia"/>
          <w:szCs w:val="21"/>
          <w:highlight w:val="none"/>
        </w:rPr>
        <w:t>33.2.1按定额计取的措施项目：按定额的工程量计算规则计算所得工程量乘以相应的《模拟清单》综合单价×（1</w:t>
      </w:r>
      <w:r>
        <w:rPr>
          <w:rFonts w:hint="eastAsia" w:asciiTheme="minorEastAsia" w:hAnsiTheme="minorEastAsia" w:eastAsiaTheme="minorEastAsia"/>
          <w:szCs w:val="21"/>
          <w:highlight w:val="none"/>
        </w:rPr>
        <w:t>-</w:t>
      </w:r>
      <w:r>
        <w:rPr>
          <w:rFonts w:hint="eastAsia"/>
          <w:szCs w:val="21"/>
          <w:highlight w:val="none"/>
        </w:rPr>
        <w:t>中标下浮率），《模拟清单》未有的综合单价及价差调整按本合同专用条款第33.3条执行。</w:t>
      </w:r>
    </w:p>
    <w:p>
      <w:pPr>
        <w:shd w:val="clear" w:color="auto" w:fill="FFFFFF"/>
        <w:snapToGrid w:val="0"/>
        <w:spacing w:line="360" w:lineRule="auto"/>
        <w:ind w:firstLine="420" w:firstLineChars="200"/>
        <w:rPr>
          <w:szCs w:val="21"/>
          <w:highlight w:val="none"/>
        </w:rPr>
      </w:pPr>
      <w:r>
        <w:rPr>
          <w:rFonts w:hint="eastAsia"/>
          <w:szCs w:val="21"/>
          <w:highlight w:val="none"/>
        </w:rPr>
        <w:t>33.2.2按系数计取的措施项目：</w:t>
      </w:r>
    </w:p>
    <w:p>
      <w:pPr>
        <w:shd w:val="clear" w:color="auto" w:fill="FFFFFF"/>
        <w:snapToGrid w:val="0"/>
        <w:spacing w:line="360" w:lineRule="auto"/>
        <w:ind w:firstLine="420" w:firstLineChars="200"/>
        <w:rPr>
          <w:szCs w:val="21"/>
          <w:highlight w:val="none"/>
        </w:rPr>
      </w:pPr>
      <w:r>
        <w:rPr>
          <w:rFonts w:hint="eastAsia"/>
          <w:szCs w:val="21"/>
          <w:highlight w:val="none"/>
        </w:rPr>
        <w:t>① 绿色施工安全防护措施费：根据专业按定额系数计取；</w:t>
      </w:r>
    </w:p>
    <w:p>
      <w:pPr>
        <w:shd w:val="clear" w:color="auto" w:fill="FFFFFF"/>
        <w:snapToGrid w:val="0"/>
        <w:spacing w:line="360" w:lineRule="auto"/>
        <w:ind w:firstLine="420" w:firstLineChars="200"/>
        <w:rPr>
          <w:szCs w:val="21"/>
          <w:highlight w:val="none"/>
        </w:rPr>
      </w:pPr>
      <w:r>
        <w:rPr>
          <w:rFonts w:hint="eastAsia"/>
          <w:szCs w:val="21"/>
          <w:highlight w:val="none"/>
        </w:rPr>
        <w:t>② 暂列金：按建安工程费中分部分项的</w:t>
      </w:r>
      <w:r>
        <w:rPr>
          <w:b/>
          <w:bCs/>
          <w:szCs w:val="21"/>
          <w:highlight w:val="none"/>
          <w:u w:val="single"/>
        </w:rPr>
        <w:t>10%</w:t>
      </w:r>
      <w:r>
        <w:rPr>
          <w:rFonts w:hint="eastAsia"/>
          <w:szCs w:val="21"/>
          <w:highlight w:val="none"/>
        </w:rPr>
        <w:t>设定施工总承包合同暂列金。合同暂列金属发包人可支配费用，主要用于合同约定调整因素出现时的业主</w:t>
      </w:r>
      <w:r>
        <w:rPr>
          <w:szCs w:val="21"/>
          <w:highlight w:val="none"/>
        </w:rPr>
        <w:t>指令、</w:t>
      </w:r>
      <w:r>
        <w:rPr>
          <w:rFonts w:hint="eastAsia"/>
          <w:szCs w:val="21"/>
          <w:highlight w:val="none"/>
        </w:rPr>
        <w:t>材料价格调整、发生索赔的费用以及当项目实施过程中因政策因素引起的费用变化；</w:t>
      </w:r>
    </w:p>
    <w:p>
      <w:pPr>
        <w:shd w:val="clear" w:color="auto" w:fill="FFFFFF"/>
        <w:snapToGrid w:val="0"/>
        <w:spacing w:line="360" w:lineRule="auto"/>
        <w:ind w:firstLine="420" w:firstLineChars="200"/>
        <w:rPr>
          <w:szCs w:val="21"/>
          <w:highlight w:val="none"/>
        </w:rPr>
      </w:pPr>
      <w:r>
        <w:rPr>
          <w:rFonts w:hint="eastAsia"/>
          <w:szCs w:val="21"/>
          <w:highlight w:val="none"/>
        </w:rPr>
        <w:t>③ 总承包服务费：根据《模拟清单》的开项，并结合中标下浮率，包干计算；</w:t>
      </w:r>
    </w:p>
    <w:p>
      <w:pPr>
        <w:shd w:val="clear" w:color="auto" w:fill="FFFFFF"/>
        <w:snapToGrid w:val="0"/>
        <w:spacing w:line="360" w:lineRule="auto"/>
        <w:ind w:firstLine="420" w:firstLineChars="200"/>
        <w:rPr>
          <w:szCs w:val="21"/>
          <w:highlight w:val="none"/>
        </w:rPr>
      </w:pPr>
      <w:r>
        <w:rPr>
          <w:rFonts w:hint="eastAsia"/>
          <w:szCs w:val="21"/>
          <w:highlight w:val="none"/>
        </w:rPr>
        <w:t>④ 预算包干费：根据专业按定额相应系数计取；</w:t>
      </w:r>
    </w:p>
    <w:p>
      <w:pPr>
        <w:shd w:val="clear" w:color="auto" w:fill="FFFFFF"/>
        <w:snapToGrid w:val="0"/>
        <w:spacing w:line="360" w:lineRule="auto"/>
        <w:ind w:firstLine="420" w:firstLineChars="200"/>
        <w:rPr>
          <w:szCs w:val="21"/>
          <w:highlight w:val="none"/>
        </w:rPr>
      </w:pPr>
      <w:r>
        <w:rPr>
          <w:rFonts w:hint="eastAsia"/>
          <w:szCs w:val="21"/>
          <w:highlight w:val="none"/>
        </w:rPr>
        <w:t>⑤ 建筑物超高增加费：根据建筑物高度、专业按定额相应系数计取；</w:t>
      </w:r>
    </w:p>
    <w:p>
      <w:pPr>
        <w:shd w:val="clear" w:color="auto" w:fill="FFFFFF"/>
        <w:snapToGrid w:val="0"/>
        <w:spacing w:line="360" w:lineRule="auto"/>
        <w:ind w:firstLine="420" w:firstLineChars="200"/>
        <w:rPr>
          <w:szCs w:val="21"/>
          <w:highlight w:val="none"/>
        </w:rPr>
      </w:pPr>
      <w:r>
        <w:rPr>
          <w:rFonts w:hint="eastAsia"/>
          <w:szCs w:val="21"/>
          <w:highlight w:val="none"/>
        </w:rPr>
        <w:t>⑥ 暗室增加费：土建、安装专业已包含在综合单价中，不再另外计取；</w:t>
      </w:r>
    </w:p>
    <w:p>
      <w:pPr>
        <w:shd w:val="clear" w:color="auto" w:fill="FFFFFF"/>
        <w:snapToGrid w:val="0"/>
        <w:spacing w:line="360" w:lineRule="auto"/>
        <w:ind w:firstLine="420" w:firstLineChars="200"/>
        <w:rPr>
          <w:szCs w:val="21"/>
          <w:highlight w:val="none"/>
        </w:rPr>
      </w:pPr>
      <w:r>
        <w:rPr>
          <w:rFonts w:hint="eastAsia"/>
          <w:szCs w:val="21"/>
          <w:highlight w:val="none"/>
        </w:rPr>
        <w:t>⑦ 安装工程脚手架搭设费：根据专业按定额相应系数计取；</w:t>
      </w:r>
    </w:p>
    <w:p>
      <w:pPr>
        <w:shd w:val="clear" w:color="auto" w:fill="FFFFFF"/>
        <w:snapToGrid w:val="0"/>
        <w:spacing w:line="360" w:lineRule="auto"/>
        <w:ind w:firstLine="420" w:firstLineChars="200"/>
        <w:rPr>
          <w:szCs w:val="21"/>
          <w:highlight w:val="none"/>
        </w:rPr>
      </w:pPr>
      <w:r>
        <w:rPr>
          <w:rFonts w:hint="eastAsia"/>
          <w:szCs w:val="21"/>
          <w:highlight w:val="none"/>
        </w:rPr>
        <w:t>⑧ 混凝土泵送增加费：该费用含在分部分项清单综合单价内，不再另行计价。</w:t>
      </w:r>
    </w:p>
    <w:p>
      <w:pPr>
        <w:shd w:val="clear" w:color="auto" w:fill="FFFFFF"/>
        <w:snapToGrid w:val="0"/>
        <w:spacing w:line="360" w:lineRule="auto"/>
        <w:ind w:firstLine="422" w:firstLineChars="200"/>
        <w:rPr>
          <w:b/>
          <w:szCs w:val="21"/>
          <w:highlight w:val="none"/>
        </w:rPr>
      </w:pPr>
      <w:r>
        <w:rPr>
          <w:rFonts w:hint="eastAsia"/>
          <w:b/>
          <w:szCs w:val="21"/>
          <w:highlight w:val="none"/>
        </w:rPr>
        <w:t>除上述所列的措施费外，其他按系数计取的措施项目（含其他项目）不再另行计算，补充协议另有约定的除外。</w:t>
      </w:r>
    </w:p>
    <w:p>
      <w:pPr>
        <w:shd w:val="clear" w:color="auto" w:fill="FFFFFF"/>
        <w:snapToGrid w:val="0"/>
        <w:spacing w:line="360" w:lineRule="auto"/>
        <w:ind w:firstLine="420" w:firstLineChars="200"/>
        <w:rPr>
          <w:szCs w:val="21"/>
          <w:highlight w:val="none"/>
        </w:rPr>
      </w:pPr>
      <w:r>
        <w:rPr>
          <w:rFonts w:hint="eastAsia"/>
          <w:szCs w:val="21"/>
          <w:highlight w:val="none"/>
        </w:rPr>
        <w:t>33.2.3规费及税金：按政府及广州市当地税务部门有关规定相应税率计算。</w:t>
      </w:r>
    </w:p>
    <w:p>
      <w:pPr>
        <w:shd w:val="clear" w:color="auto" w:fill="FFFFFF"/>
        <w:snapToGrid w:val="0"/>
        <w:spacing w:line="360" w:lineRule="auto"/>
        <w:ind w:firstLine="422" w:firstLineChars="200"/>
        <w:rPr>
          <w:b/>
          <w:szCs w:val="21"/>
          <w:highlight w:val="none"/>
        </w:rPr>
      </w:pPr>
      <w:r>
        <w:rPr>
          <w:rFonts w:hint="eastAsia"/>
          <w:b/>
          <w:szCs w:val="21"/>
          <w:highlight w:val="none"/>
        </w:rPr>
        <w:t>33.3综合单价的调整</w:t>
      </w:r>
    </w:p>
    <w:p>
      <w:pPr>
        <w:shd w:val="clear" w:color="auto" w:fill="FFFFFF"/>
        <w:snapToGrid w:val="0"/>
        <w:spacing w:line="360" w:lineRule="auto"/>
        <w:ind w:firstLine="420" w:firstLineChars="200"/>
        <w:rPr>
          <w:szCs w:val="21"/>
          <w:highlight w:val="none"/>
        </w:rPr>
      </w:pPr>
      <w:r>
        <w:rPr>
          <w:rFonts w:hint="eastAsia"/>
          <w:szCs w:val="21"/>
          <w:highlight w:val="none"/>
        </w:rPr>
        <w:t>《模拟清单》未有的综合单价及价差调整，按以下方法执行：</w:t>
      </w:r>
    </w:p>
    <w:p>
      <w:pPr>
        <w:shd w:val="clear" w:color="auto" w:fill="FFFFFF"/>
        <w:snapToGrid w:val="0"/>
        <w:spacing w:line="360" w:lineRule="auto"/>
        <w:ind w:firstLine="420" w:firstLineChars="200"/>
        <w:rPr>
          <w:szCs w:val="21"/>
          <w:highlight w:val="none"/>
        </w:rPr>
      </w:pPr>
      <w:r>
        <w:rPr>
          <w:rFonts w:hint="eastAsia"/>
          <w:szCs w:val="21"/>
          <w:highlight w:val="none"/>
        </w:rPr>
        <w:t>A、《模拟清单》中已有类似项目的综合单价，则按类似项目的综合单价对相应子目、消耗量、单价等进行调整换算，原管理费、利润水平不变，中标下浮率不变。</w:t>
      </w:r>
    </w:p>
    <w:p>
      <w:pPr>
        <w:shd w:val="clear" w:color="auto" w:fill="FFFFFF"/>
        <w:snapToGrid w:val="0"/>
        <w:spacing w:line="360" w:lineRule="auto"/>
        <w:ind w:firstLine="420" w:firstLineChars="200"/>
        <w:rPr>
          <w:szCs w:val="21"/>
          <w:highlight w:val="none"/>
        </w:rPr>
      </w:pPr>
      <w:r>
        <w:rPr>
          <w:rFonts w:hint="eastAsia"/>
          <w:szCs w:val="21"/>
          <w:highlight w:val="none"/>
        </w:rPr>
        <w:t>B、《模拟清单》中没有相同项目的，可套取相关定额，以相关定额为基数乘以（1-中标下浮率）计算清单单价。如遇定额中没有的工程项目,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[2016]1113号文（计费程序表出现上下限的,按其平均值计）。</w:t>
      </w:r>
    </w:p>
    <w:p>
      <w:pPr>
        <w:shd w:val="clear" w:color="auto" w:fill="FFFFFF"/>
        <w:snapToGrid w:val="0"/>
        <w:spacing w:line="360" w:lineRule="auto"/>
        <w:ind w:firstLine="420" w:firstLineChars="200"/>
        <w:rPr>
          <w:szCs w:val="21"/>
          <w:highlight w:val="none"/>
        </w:rPr>
      </w:pPr>
      <w:r>
        <w:rPr>
          <w:rFonts w:hint="eastAsia"/>
          <w:szCs w:val="21"/>
          <w:highlight w:val="none"/>
        </w:rPr>
        <w:t>C、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33.3执行。</w:t>
      </w:r>
    </w:p>
    <w:p>
      <w:pPr>
        <w:adjustRightInd w:val="0"/>
        <w:snapToGrid w:val="0"/>
        <w:spacing w:line="360" w:lineRule="auto"/>
        <w:ind w:firstLine="422" w:firstLineChars="200"/>
        <w:rPr>
          <w:rFonts w:ascii="宋体" w:hAnsi="宋体" w:cs="宋体"/>
          <w:b/>
          <w:bCs/>
          <w:szCs w:val="21"/>
          <w:highlight w:val="none"/>
        </w:rPr>
      </w:pPr>
      <w:r>
        <w:rPr>
          <w:rFonts w:hint="eastAsia"/>
          <w:b/>
          <w:szCs w:val="21"/>
          <w:highlight w:val="none"/>
        </w:rPr>
        <w:t>调整原则为：</w:t>
      </w:r>
      <w:r>
        <w:rPr>
          <w:rFonts w:hint="eastAsia" w:ascii="宋体" w:hAnsi="宋体" w:cs="宋体"/>
          <w:b/>
          <w:bCs/>
          <w:szCs w:val="21"/>
          <w:highlight w:val="none"/>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Pr>
          <w:rFonts w:ascii="宋体" w:hAnsi="宋体" w:cs="宋体"/>
          <w:b/>
          <w:bCs/>
          <w:szCs w:val="21"/>
          <w:highlight w:val="none"/>
        </w:rPr>
        <w:t>28</w:t>
      </w:r>
      <w:r>
        <w:rPr>
          <w:rFonts w:hint="eastAsia" w:ascii="宋体" w:hAnsi="宋体" w:cs="宋体"/>
          <w:b/>
          <w:bCs/>
          <w:szCs w:val="21"/>
          <w:highlight w:val="none"/>
        </w:rPr>
        <w:t>日历天）价格的</w:t>
      </w:r>
      <w:r>
        <w:rPr>
          <w:rFonts w:ascii="宋体" w:hAnsi="宋体" w:cs="宋体"/>
          <w:b/>
          <w:bCs/>
          <w:szCs w:val="21"/>
          <w:highlight w:val="none"/>
        </w:rPr>
        <w:t>5%</w:t>
      </w:r>
      <w:r>
        <w:rPr>
          <w:rFonts w:hint="eastAsia" w:ascii="宋体" w:hAnsi="宋体" w:cs="宋体"/>
          <w:b/>
          <w:bCs/>
          <w:szCs w:val="21"/>
          <w:highlight w:val="none"/>
        </w:rPr>
        <w:t>（不含</w:t>
      </w:r>
      <w:r>
        <w:rPr>
          <w:rFonts w:ascii="宋体" w:hAnsi="宋体" w:cs="宋体"/>
          <w:b/>
          <w:bCs/>
          <w:szCs w:val="21"/>
          <w:highlight w:val="none"/>
        </w:rPr>
        <w:t>5%</w:t>
      </w:r>
      <w:r>
        <w:rPr>
          <w:rFonts w:hint="eastAsia" w:ascii="宋体" w:hAnsi="宋体" w:cs="宋体"/>
          <w:b/>
          <w:bCs/>
          <w:szCs w:val="21"/>
          <w:highlight w:val="none"/>
        </w:rPr>
        <w:t>）时，由投标人承担涨落</w:t>
      </w:r>
      <w:r>
        <w:rPr>
          <w:rFonts w:ascii="宋体" w:hAnsi="宋体" w:cs="宋体"/>
          <w:b/>
          <w:bCs/>
          <w:szCs w:val="21"/>
          <w:highlight w:val="none"/>
        </w:rPr>
        <w:t>5%</w:t>
      </w:r>
      <w:r>
        <w:rPr>
          <w:rFonts w:hint="eastAsia" w:ascii="宋体" w:hAnsi="宋体" w:cs="宋体"/>
          <w:b/>
          <w:bCs/>
          <w:szCs w:val="21"/>
          <w:highlight w:val="none"/>
        </w:rPr>
        <w:t>（含</w:t>
      </w:r>
      <w:r>
        <w:rPr>
          <w:rFonts w:ascii="宋体" w:hAnsi="宋体" w:cs="宋体"/>
          <w:b/>
          <w:bCs/>
          <w:szCs w:val="21"/>
          <w:highlight w:val="none"/>
        </w:rPr>
        <w:t>5%</w:t>
      </w:r>
      <w:r>
        <w:rPr>
          <w:rFonts w:hint="eastAsia" w:ascii="宋体" w:hAnsi="宋体" w:cs="宋体"/>
          <w:b/>
          <w:bCs/>
          <w:szCs w:val="21"/>
          <w:highlight w:val="none"/>
        </w:rPr>
        <w:t>）的部分，涨幅超出</w:t>
      </w:r>
      <w:r>
        <w:rPr>
          <w:rFonts w:ascii="宋体" w:hAnsi="宋体" w:cs="宋体"/>
          <w:b/>
          <w:bCs/>
          <w:szCs w:val="21"/>
          <w:highlight w:val="none"/>
        </w:rPr>
        <w:t>5%</w:t>
      </w:r>
      <w:r>
        <w:rPr>
          <w:rFonts w:hint="eastAsia" w:ascii="宋体" w:hAnsi="宋体" w:cs="宋体"/>
          <w:b/>
          <w:bCs/>
          <w:szCs w:val="21"/>
          <w:highlight w:val="none"/>
        </w:rPr>
        <w:t>（不含</w:t>
      </w:r>
      <w:r>
        <w:rPr>
          <w:rFonts w:ascii="宋体" w:hAnsi="宋体" w:cs="宋体"/>
          <w:b/>
          <w:bCs/>
          <w:szCs w:val="21"/>
          <w:highlight w:val="none"/>
        </w:rPr>
        <w:t>5%</w:t>
      </w:r>
      <w:r>
        <w:rPr>
          <w:rFonts w:hint="eastAsia" w:ascii="宋体" w:hAnsi="宋体" w:cs="宋体"/>
          <w:b/>
          <w:bCs/>
          <w:szCs w:val="21"/>
          <w:highlight w:val="none"/>
        </w:rPr>
        <w:t>）的部分由招标人补偿给投标人，跌幅超过</w:t>
      </w:r>
      <w:r>
        <w:rPr>
          <w:rFonts w:ascii="宋体" w:hAnsi="宋体" w:cs="宋体"/>
          <w:b/>
          <w:bCs/>
          <w:szCs w:val="21"/>
          <w:highlight w:val="none"/>
        </w:rPr>
        <w:t>5%</w:t>
      </w:r>
      <w:r>
        <w:rPr>
          <w:rFonts w:hint="eastAsia" w:ascii="宋体" w:hAnsi="宋体" w:cs="宋体"/>
          <w:b/>
          <w:bCs/>
          <w:szCs w:val="21"/>
          <w:highlight w:val="none"/>
        </w:rPr>
        <w:t>（不含</w:t>
      </w:r>
      <w:r>
        <w:rPr>
          <w:rFonts w:ascii="宋体" w:hAnsi="宋体" w:cs="宋体"/>
          <w:b/>
          <w:bCs/>
          <w:szCs w:val="21"/>
          <w:highlight w:val="none"/>
        </w:rPr>
        <w:t>5%</w:t>
      </w:r>
      <w:r>
        <w:rPr>
          <w:rFonts w:hint="eastAsia" w:ascii="宋体" w:hAnsi="宋体" w:cs="宋体"/>
          <w:b/>
          <w:bCs/>
          <w:szCs w:val="21"/>
          <w:highlight w:val="none"/>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调价公式：</w:t>
      </w:r>
    </w:p>
    <w:p>
      <w:pPr>
        <w:adjustRightInd w:val="0"/>
        <w:snapToGrid w:val="0"/>
        <w:spacing w:line="360" w:lineRule="auto"/>
        <w:ind w:firstLine="422" w:firstLineChars="200"/>
        <w:rPr>
          <w:rFonts w:ascii="宋体" w:hAnsi="宋体" w:cs="宋体"/>
          <w:b/>
          <w:bCs/>
          <w:szCs w:val="21"/>
          <w:highlight w:val="none"/>
        </w:rPr>
      </w:pPr>
      <w:r>
        <w:rPr>
          <w:rFonts w:ascii="宋体" w:hAnsi="宋体" w:cs="宋体"/>
          <w:b/>
          <w:bCs/>
          <w:szCs w:val="21"/>
          <w:highlight w:val="none"/>
        </w:rPr>
        <w:t xml:space="preserve"> </w:t>
      </w:r>
      <w:r>
        <w:rPr>
          <w:rFonts w:hint="eastAsia" w:ascii="宋体" w:hAnsi="宋体" w:cs="宋体"/>
          <w:b/>
          <w:bCs/>
          <w:szCs w:val="21"/>
          <w:highlight w:val="none"/>
        </w:rPr>
        <w:t>①</w:t>
      </w:r>
      <w:r>
        <w:rPr>
          <w:rFonts w:ascii="宋体" w:hAnsi="宋体" w:cs="宋体"/>
          <w:b/>
          <w:bCs/>
          <w:szCs w:val="21"/>
          <w:highlight w:val="none"/>
        </w:rPr>
        <w:t xml:space="preserve"> </w:t>
      </w:r>
      <w:r>
        <w:rPr>
          <w:rFonts w:hint="eastAsia" w:ascii="宋体" w:hAnsi="宋体" w:cs="宋体"/>
          <w:b/>
          <w:bCs/>
          <w:szCs w:val="21"/>
          <w:highlight w:val="none"/>
        </w:rPr>
        <w:t>当（</w:t>
      </w:r>
      <w:r>
        <w:rPr>
          <w:rFonts w:ascii="宋体" w:hAnsi="宋体" w:cs="宋体"/>
          <w:b/>
          <w:bCs/>
          <w:szCs w:val="21"/>
          <w:highlight w:val="none"/>
        </w:rPr>
        <w:t>A-B</w:t>
      </w:r>
      <w:r>
        <w:rPr>
          <w:rFonts w:hint="eastAsia" w:ascii="宋体" w:hAnsi="宋体" w:cs="宋体"/>
          <w:b/>
          <w:bCs/>
          <w:szCs w:val="21"/>
          <w:highlight w:val="none"/>
        </w:rPr>
        <w:t>）</w:t>
      </w:r>
      <w:r>
        <w:rPr>
          <w:rFonts w:ascii="宋体" w:hAnsi="宋体" w:cs="宋体"/>
          <w:b/>
          <w:bCs/>
          <w:szCs w:val="21"/>
          <w:highlight w:val="none"/>
        </w:rPr>
        <w:t>/B</w:t>
      </w:r>
      <w:r>
        <w:rPr>
          <w:rFonts w:hint="eastAsia" w:ascii="宋体" w:hAnsi="宋体" w:cs="宋体"/>
          <w:b/>
          <w:bCs/>
          <w:szCs w:val="21"/>
          <w:highlight w:val="none"/>
        </w:rPr>
        <w:t>＞</w:t>
      </w:r>
      <w:r>
        <w:rPr>
          <w:rFonts w:ascii="宋体" w:hAnsi="宋体" w:cs="宋体"/>
          <w:b/>
          <w:bCs/>
          <w:szCs w:val="21"/>
          <w:highlight w:val="none"/>
        </w:rPr>
        <w:t>5%</w:t>
      </w:r>
      <w:r>
        <w:rPr>
          <w:rFonts w:hint="eastAsia" w:ascii="宋体" w:hAnsi="宋体" w:cs="宋体"/>
          <w:b/>
          <w:bCs/>
          <w:szCs w:val="21"/>
          <w:highlight w:val="none"/>
        </w:rPr>
        <w:t>时，</w:t>
      </w:r>
      <w:r>
        <w:rPr>
          <w:rFonts w:ascii="宋体" w:hAnsi="宋体" w:cs="宋体"/>
          <w:b/>
          <w:bCs/>
          <w:szCs w:val="21"/>
          <w:highlight w:val="none"/>
        </w:rPr>
        <w:t>C=A-B*</w:t>
      </w:r>
      <w:r>
        <w:rPr>
          <w:rFonts w:hint="eastAsia" w:ascii="宋体" w:hAnsi="宋体" w:cs="宋体"/>
          <w:b/>
          <w:bCs/>
          <w:szCs w:val="21"/>
          <w:highlight w:val="none"/>
        </w:rPr>
        <w:t>（</w:t>
      </w:r>
      <w:r>
        <w:rPr>
          <w:rFonts w:ascii="宋体" w:hAnsi="宋体" w:cs="宋体"/>
          <w:b/>
          <w:bCs/>
          <w:szCs w:val="21"/>
          <w:highlight w:val="none"/>
        </w:rPr>
        <w:t>1+5%</w:t>
      </w:r>
      <w:r>
        <w:rPr>
          <w:rFonts w:hint="eastAsia" w:ascii="宋体" w:hAnsi="宋体" w:cs="宋体"/>
          <w:b/>
          <w:bCs/>
          <w:szCs w:val="21"/>
          <w:highlight w:val="none"/>
        </w:rPr>
        <w:t>），</w:t>
      </w:r>
      <w:r>
        <w:rPr>
          <w:rFonts w:ascii="宋体" w:hAnsi="宋体" w:cs="宋体"/>
          <w:b/>
          <w:bCs/>
          <w:szCs w:val="21"/>
          <w:highlight w:val="none"/>
        </w:rPr>
        <w:t>E=C*D</w:t>
      </w:r>
    </w:p>
    <w:p>
      <w:pPr>
        <w:adjustRightInd w:val="0"/>
        <w:snapToGrid w:val="0"/>
        <w:spacing w:line="360" w:lineRule="auto"/>
        <w:ind w:firstLine="422" w:firstLineChars="200"/>
        <w:rPr>
          <w:rFonts w:ascii="宋体" w:hAnsi="宋体" w:cs="宋体"/>
          <w:b/>
          <w:bCs/>
          <w:szCs w:val="21"/>
          <w:highlight w:val="none"/>
        </w:rPr>
      </w:pPr>
      <w:r>
        <w:rPr>
          <w:rFonts w:ascii="宋体" w:hAnsi="宋体" w:cs="宋体"/>
          <w:b/>
          <w:bCs/>
          <w:szCs w:val="21"/>
          <w:highlight w:val="none"/>
        </w:rPr>
        <w:t xml:space="preserve"> </w:t>
      </w:r>
      <w:r>
        <w:rPr>
          <w:rFonts w:hint="eastAsia" w:ascii="宋体" w:hAnsi="宋体" w:cs="宋体"/>
          <w:b/>
          <w:bCs/>
          <w:szCs w:val="21"/>
          <w:highlight w:val="none"/>
        </w:rPr>
        <w:t>②</w:t>
      </w:r>
      <w:r>
        <w:rPr>
          <w:rFonts w:ascii="宋体" w:hAnsi="宋体" w:cs="宋体"/>
          <w:b/>
          <w:bCs/>
          <w:szCs w:val="21"/>
          <w:highlight w:val="none"/>
        </w:rPr>
        <w:t xml:space="preserve"> </w:t>
      </w:r>
      <w:r>
        <w:rPr>
          <w:rFonts w:hint="eastAsia" w:ascii="宋体" w:hAnsi="宋体" w:cs="宋体"/>
          <w:b/>
          <w:bCs/>
          <w:szCs w:val="21"/>
          <w:highlight w:val="none"/>
        </w:rPr>
        <w:t>当（</w:t>
      </w:r>
      <w:r>
        <w:rPr>
          <w:rFonts w:ascii="宋体" w:hAnsi="宋体" w:cs="宋体"/>
          <w:b/>
          <w:bCs/>
          <w:szCs w:val="21"/>
          <w:highlight w:val="none"/>
        </w:rPr>
        <w:t>A-B</w:t>
      </w:r>
      <w:r>
        <w:rPr>
          <w:rFonts w:hint="eastAsia" w:ascii="宋体" w:hAnsi="宋体" w:cs="宋体"/>
          <w:b/>
          <w:bCs/>
          <w:szCs w:val="21"/>
          <w:highlight w:val="none"/>
        </w:rPr>
        <w:t>）</w:t>
      </w:r>
      <w:r>
        <w:rPr>
          <w:rFonts w:ascii="宋体" w:hAnsi="宋体" w:cs="宋体"/>
          <w:b/>
          <w:bCs/>
          <w:szCs w:val="21"/>
          <w:highlight w:val="none"/>
        </w:rPr>
        <w:t>/B</w:t>
      </w:r>
      <w:r>
        <w:rPr>
          <w:rFonts w:hint="eastAsia" w:ascii="宋体" w:hAnsi="宋体" w:cs="宋体"/>
          <w:b/>
          <w:bCs/>
          <w:szCs w:val="21"/>
          <w:highlight w:val="none"/>
        </w:rPr>
        <w:t>＜</w:t>
      </w:r>
      <w:r>
        <w:rPr>
          <w:rFonts w:ascii="宋体" w:hAnsi="宋体" w:cs="宋体"/>
          <w:b/>
          <w:bCs/>
          <w:szCs w:val="21"/>
          <w:highlight w:val="none"/>
        </w:rPr>
        <w:t>-5%</w:t>
      </w:r>
      <w:r>
        <w:rPr>
          <w:rFonts w:hint="eastAsia" w:ascii="宋体" w:hAnsi="宋体" w:cs="宋体"/>
          <w:b/>
          <w:bCs/>
          <w:szCs w:val="21"/>
          <w:highlight w:val="none"/>
        </w:rPr>
        <w:t>时，</w:t>
      </w:r>
      <w:r>
        <w:rPr>
          <w:rFonts w:ascii="宋体" w:hAnsi="宋体" w:cs="宋体"/>
          <w:b/>
          <w:bCs/>
          <w:szCs w:val="21"/>
          <w:highlight w:val="none"/>
        </w:rPr>
        <w:t>C=A-B*</w:t>
      </w:r>
      <w:r>
        <w:rPr>
          <w:rFonts w:hint="eastAsia" w:ascii="宋体" w:hAnsi="宋体" w:cs="宋体"/>
          <w:b/>
          <w:bCs/>
          <w:szCs w:val="21"/>
          <w:highlight w:val="none"/>
        </w:rPr>
        <w:t>（</w:t>
      </w:r>
      <w:r>
        <w:rPr>
          <w:rFonts w:ascii="宋体" w:hAnsi="宋体" w:cs="宋体"/>
          <w:b/>
          <w:bCs/>
          <w:szCs w:val="21"/>
          <w:highlight w:val="none"/>
        </w:rPr>
        <w:t>1-5%</w:t>
      </w:r>
      <w:r>
        <w:rPr>
          <w:rFonts w:hint="eastAsia" w:ascii="宋体" w:hAnsi="宋体" w:cs="宋体"/>
          <w:b/>
          <w:bCs/>
          <w:szCs w:val="21"/>
          <w:highlight w:val="none"/>
        </w:rPr>
        <w:t>），</w:t>
      </w:r>
      <w:r>
        <w:rPr>
          <w:rFonts w:ascii="宋体" w:hAnsi="宋体" w:cs="宋体"/>
          <w:b/>
          <w:bCs/>
          <w:szCs w:val="21"/>
          <w:highlight w:val="none"/>
        </w:rPr>
        <w:t>E=C*D</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A</w:t>
      </w:r>
      <w:r>
        <w:rPr>
          <w:rFonts w:hint="eastAsia"/>
          <w:bCs/>
          <w:snapToGrid w:val="0"/>
          <w:kern w:val="0"/>
          <w:szCs w:val="21"/>
          <w:highlight w:val="none"/>
        </w:rPr>
        <w:t>：</w:t>
      </w:r>
      <w:r>
        <w:rPr>
          <w:rFonts w:hint="eastAsia" w:ascii="宋体" w:hAnsi="宋体" w:cs="宋体"/>
          <w:b/>
          <w:bCs/>
          <w:szCs w:val="21"/>
          <w:highlight w:val="none"/>
        </w:rPr>
        <w:t>花都区造价管理部门发布的施工当期指导价中的相应碎石、石粉、中砂、水泥、砌块、商品（预拌）混凝土、沥青混凝土、商品（预拌）砂浆、钢筋、型钢、钢板、钢管（成品）、预应力管桩、玻璃、电线、电缆税前综合价格</w:t>
      </w:r>
      <w:r>
        <w:rPr>
          <w:rFonts w:hint="eastAsia"/>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B</w:t>
      </w:r>
      <w:r>
        <w:rPr>
          <w:rFonts w:hint="eastAsia"/>
          <w:bCs/>
          <w:snapToGrid w:val="0"/>
          <w:kern w:val="0"/>
          <w:szCs w:val="21"/>
          <w:highlight w:val="none"/>
        </w:rPr>
        <w:t>：</w:t>
      </w:r>
      <w:r>
        <w:rPr>
          <w:rFonts w:hint="eastAsia" w:ascii="宋体" w:hAnsi="宋体" w:cs="宋体"/>
          <w:b/>
          <w:bCs/>
          <w:szCs w:val="21"/>
          <w:highlight w:val="none"/>
        </w:rPr>
        <w:t>花都区造价管理部门发布的合同基准期（指递交投标文件截止日期前</w:t>
      </w:r>
      <w:r>
        <w:rPr>
          <w:rFonts w:ascii="宋体" w:hAnsi="宋体" w:cs="宋体"/>
          <w:b/>
          <w:bCs/>
          <w:szCs w:val="21"/>
          <w:highlight w:val="none"/>
        </w:rPr>
        <w:t>28</w:t>
      </w:r>
      <w:r>
        <w:rPr>
          <w:rFonts w:hint="eastAsia" w:ascii="宋体" w:hAnsi="宋体" w:cs="宋体"/>
          <w:b/>
          <w:bCs/>
          <w:szCs w:val="21"/>
          <w:highlight w:val="none"/>
        </w:rPr>
        <w:t>日历天）指导价中的相应碎石、石粉、中砂、水泥、砌块、商品（预拌）混凝土、沥青混凝土、商品砂（预拌）浆、钢筋、型钢、钢板、钢管（成品）、预应力管桩、玻璃、电线、电缆税前综合价格</w:t>
      </w:r>
      <w:r>
        <w:rPr>
          <w:rFonts w:hint="eastAsia"/>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C</w:t>
      </w:r>
      <w:r>
        <w:rPr>
          <w:rFonts w:hint="eastAsia"/>
          <w:bCs/>
          <w:snapToGrid w:val="0"/>
          <w:kern w:val="0"/>
          <w:szCs w:val="21"/>
          <w:highlight w:val="none"/>
        </w:rPr>
        <w:t>：</w:t>
      </w:r>
      <w:r>
        <w:rPr>
          <w:rFonts w:hint="eastAsia" w:ascii="宋体" w:hAnsi="宋体" w:cs="宋体"/>
          <w:b/>
          <w:bCs/>
          <w:szCs w:val="21"/>
          <w:highlight w:val="none"/>
        </w:rPr>
        <w:t>碎石、石粉、中砂、水泥、砌块、商品（预拌）混凝土、沥青混凝土、商品（预拌）砂浆、钢筋、型钢、钢板、钢管（成品）、预应力管桩、玻璃、电线、电缆可调整的单价</w:t>
      </w:r>
      <w:r>
        <w:rPr>
          <w:rFonts w:hint="eastAsia"/>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D</w:t>
      </w:r>
      <w:r>
        <w:rPr>
          <w:rFonts w:hint="eastAsia"/>
          <w:bCs/>
          <w:snapToGrid w:val="0"/>
          <w:kern w:val="0"/>
          <w:szCs w:val="21"/>
          <w:highlight w:val="none"/>
        </w:rPr>
        <w:t>：</w:t>
      </w:r>
      <w:r>
        <w:rPr>
          <w:rFonts w:hint="eastAsia" w:ascii="宋体" w:hAnsi="宋体" w:cs="宋体"/>
          <w:b/>
          <w:bCs/>
          <w:szCs w:val="21"/>
          <w:highlight w:val="none"/>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E:</w:t>
      </w:r>
      <w:r>
        <w:rPr>
          <w:rFonts w:hint="eastAsia" w:ascii="宋体" w:hAnsi="宋体" w:cs="宋体"/>
          <w:b/>
          <w:bCs/>
          <w:szCs w:val="21"/>
          <w:highlight w:val="none"/>
        </w:rPr>
        <w:t>碎石、石粉、中砂、水泥、砌块、商品（预拌）混凝土、沥青混凝土、商品（预拌）砂浆、钢筋、型钢、钢板、钢管（成品）、预应力管桩、玻璃、电线、电缆可调整的合价</w:t>
      </w:r>
      <w:r>
        <w:rPr>
          <w:rFonts w:hint="eastAsia"/>
          <w:bCs/>
          <w:snapToGrid w:val="0"/>
          <w:kern w:val="0"/>
          <w:szCs w:val="21"/>
          <w:highlight w:val="none"/>
        </w:rPr>
        <w:t>。</w:t>
      </w:r>
    </w:p>
    <w:p>
      <w:pPr>
        <w:shd w:val="clear" w:color="auto" w:fill="FFFFFF"/>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以上材料价格的调整原则：①</w:t>
      </w:r>
      <w:r>
        <w:rPr>
          <w:rFonts w:ascii="宋体" w:hAnsi="宋体" w:cs="宋体"/>
          <w:b/>
          <w:bCs/>
          <w:szCs w:val="21"/>
          <w:highlight w:val="none"/>
        </w:rPr>
        <w:t xml:space="preserve"> </w:t>
      </w:r>
      <w:r>
        <w:rPr>
          <w:rFonts w:hint="eastAsia" w:ascii="宋体" w:hAnsi="宋体" w:cs="宋体"/>
          <w:b/>
          <w:bCs/>
          <w:szCs w:val="21"/>
          <w:highlight w:val="none"/>
        </w:rPr>
        <w:t>本合同（含补充协议）工程量清单数量范围内的可调整材料，以进度款形象进度对应的工程量为依据，按施工当期政府造价部门发布的指导价为调整基准；②</w:t>
      </w:r>
      <w:r>
        <w:rPr>
          <w:rFonts w:ascii="宋体" w:hAnsi="宋体" w:cs="宋体"/>
          <w:b/>
          <w:bCs/>
          <w:szCs w:val="21"/>
          <w:highlight w:val="none"/>
        </w:rPr>
        <w:t xml:space="preserve"> </w:t>
      </w:r>
      <w:r>
        <w:rPr>
          <w:rFonts w:hint="eastAsia" w:ascii="宋体" w:hAnsi="宋体" w:cs="宋体"/>
          <w:b/>
          <w:bCs/>
          <w:szCs w:val="21"/>
          <w:highlight w:val="none"/>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Pr>
          <w:rFonts w:hint="eastAsia" w:ascii="微软雅黑" w:hAnsi="微软雅黑" w:eastAsia="微软雅黑" w:cs="微软雅黑"/>
          <w:b/>
          <w:bCs/>
          <w:szCs w:val="21"/>
          <w:highlight w:val="none"/>
        </w:rPr>
        <w:t>③</w:t>
      </w:r>
      <w:r>
        <w:rPr>
          <w:rFonts w:ascii="宋体" w:hAnsi="宋体" w:cs="宋体"/>
          <w:b/>
          <w:bCs/>
          <w:szCs w:val="21"/>
          <w:highlight w:val="none"/>
        </w:rPr>
        <w:t xml:space="preserve"> 以上材料价格调整后，仍需执行本合同及《工程量清单计价说明》约定的计价程序，计算其相应的规费、税金。</w:t>
      </w:r>
    </w:p>
    <w:p>
      <w:pPr>
        <w:shd w:val="clear" w:color="auto" w:fill="FFFFFF"/>
        <w:snapToGrid w:val="0"/>
        <w:spacing w:line="360" w:lineRule="auto"/>
        <w:ind w:firstLine="422" w:firstLineChars="200"/>
        <w:rPr>
          <w:b/>
          <w:szCs w:val="21"/>
          <w:highlight w:val="none"/>
        </w:rPr>
      </w:pPr>
      <w:r>
        <w:rPr>
          <w:rFonts w:hint="eastAsia"/>
          <w:b/>
          <w:szCs w:val="21"/>
          <w:highlight w:val="none"/>
        </w:rPr>
        <w:t>33.</w:t>
      </w:r>
      <w:r>
        <w:rPr>
          <w:b/>
          <w:szCs w:val="21"/>
          <w:highlight w:val="none"/>
        </w:rPr>
        <w:t>4</w:t>
      </w:r>
      <w:r>
        <w:rPr>
          <w:rFonts w:hint="eastAsia"/>
          <w:b/>
          <w:szCs w:val="21"/>
          <w:highlight w:val="none"/>
        </w:rPr>
        <w:t>现场签证的计价</w:t>
      </w:r>
    </w:p>
    <w:p>
      <w:pPr>
        <w:shd w:val="clear" w:color="auto" w:fill="FFFFFF"/>
        <w:snapToGrid w:val="0"/>
        <w:spacing w:line="360" w:lineRule="auto"/>
        <w:ind w:firstLine="420" w:firstLineChars="200"/>
        <w:rPr>
          <w:szCs w:val="21"/>
          <w:highlight w:val="none"/>
        </w:rPr>
      </w:pPr>
      <w:r>
        <w:rPr>
          <w:rFonts w:hint="eastAsia"/>
          <w:szCs w:val="21"/>
          <w:highlight w:val="none"/>
        </w:rPr>
        <w:t>当项目实施工程中出现施工图纸无法计算但必须发生且明确允许计量的工程量，可由承包人发起签证，所有现场签证必须由监理单位、发包人相关人员签字盖章确认。当现场签证的造价超过合同造价5％以后，所有现场签证必须由总监及发包人现场代表签字盖章确认，并汇总台账及时报送监理及发包人。</w:t>
      </w:r>
    </w:p>
    <w:p>
      <w:pPr>
        <w:shd w:val="clear" w:color="auto" w:fill="FFFFFF"/>
        <w:snapToGrid w:val="0"/>
        <w:spacing w:line="360" w:lineRule="auto"/>
        <w:ind w:firstLine="422" w:firstLineChars="200"/>
        <w:rPr>
          <w:b/>
          <w:szCs w:val="21"/>
          <w:highlight w:val="none"/>
        </w:rPr>
      </w:pPr>
      <w:r>
        <w:rPr>
          <w:rFonts w:hint="eastAsia"/>
          <w:b/>
          <w:szCs w:val="21"/>
          <w:highlight w:val="none"/>
        </w:rPr>
        <w:t>3</w:t>
      </w:r>
      <w:r>
        <w:rPr>
          <w:b/>
          <w:szCs w:val="21"/>
          <w:highlight w:val="none"/>
        </w:rPr>
        <w:t xml:space="preserve">3.5 </w:t>
      </w:r>
      <w:r>
        <w:rPr>
          <w:rFonts w:hint="eastAsia"/>
          <w:b/>
          <w:szCs w:val="21"/>
          <w:highlight w:val="none"/>
        </w:rPr>
        <w:t>政策因素引起的费用变化的计价</w:t>
      </w:r>
    </w:p>
    <w:p>
      <w:pPr>
        <w:shd w:val="clear" w:color="auto" w:fill="FFFFFF"/>
        <w:snapToGrid w:val="0"/>
        <w:spacing w:line="360" w:lineRule="auto"/>
        <w:ind w:firstLine="420" w:firstLineChars="200"/>
        <w:rPr>
          <w:szCs w:val="21"/>
          <w:highlight w:val="none"/>
        </w:rPr>
      </w:pPr>
      <w:r>
        <w:rPr>
          <w:rFonts w:hint="eastAsia"/>
          <w:szCs w:val="21"/>
          <w:highlight w:val="none"/>
        </w:rPr>
        <w:t>当项目实施过程中因政策因素引起的费用变化，可在暂列金中列支。</w:t>
      </w:r>
    </w:p>
    <w:p>
      <w:pPr>
        <w:pStyle w:val="4"/>
        <w:jc w:val="left"/>
        <w:rPr>
          <w:snapToGrid w:val="0"/>
          <w:kern w:val="0"/>
          <w:highlight w:val="none"/>
        </w:rPr>
      </w:pPr>
      <w:bookmarkStart w:id="381" w:name="_Toc517954581"/>
      <w:bookmarkStart w:id="382" w:name="_Toc516495984"/>
      <w:bookmarkStart w:id="383" w:name="_Toc514663867"/>
      <w:bookmarkStart w:id="384" w:name="_Toc514666981"/>
      <w:bookmarkStart w:id="385" w:name="_Toc517774568"/>
      <w:bookmarkStart w:id="386" w:name="_Toc514681190"/>
      <w:bookmarkStart w:id="387" w:name="_Toc520901468"/>
      <w:bookmarkStart w:id="388" w:name="_Toc520358238"/>
      <w:bookmarkStart w:id="389" w:name="_Toc514664868"/>
      <w:bookmarkStart w:id="390" w:name="_Toc520902835"/>
      <w:bookmarkStart w:id="391" w:name="_Toc519503088"/>
      <w:bookmarkStart w:id="392" w:name="_Toc514665151"/>
      <w:bookmarkStart w:id="393" w:name="_Toc519502258"/>
      <w:bookmarkStart w:id="394" w:name="_Toc514665290"/>
      <w:bookmarkStart w:id="395" w:name="_Toc520902613"/>
      <w:bookmarkStart w:id="396" w:name="_Toc132813124"/>
      <w:bookmarkStart w:id="397" w:name="_Toc518481740"/>
      <w:bookmarkStart w:id="398" w:name="_Toc520902764"/>
      <w:bookmarkStart w:id="399" w:name="_Toc514681771"/>
      <w:bookmarkStart w:id="400" w:name="_Toc520358062"/>
      <w:r>
        <w:rPr>
          <w:rFonts w:hint="eastAsia"/>
          <w:snapToGrid w:val="0"/>
          <w:kern w:val="0"/>
          <w:highlight w:val="none"/>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承包人与发包人一致同意不适用合同通用条款第34条的约定，代之以：</w:t>
      </w:r>
    </w:p>
    <w:p>
      <w:pPr>
        <w:adjustRightInd w:val="0"/>
        <w:snapToGrid w:val="0"/>
        <w:spacing w:line="360" w:lineRule="auto"/>
        <w:ind w:firstLine="422" w:firstLineChars="200"/>
        <w:rPr>
          <w:b/>
          <w:bCs/>
          <w:snapToGrid w:val="0"/>
          <w:kern w:val="0"/>
          <w:szCs w:val="21"/>
          <w:highlight w:val="none"/>
        </w:rPr>
      </w:pPr>
      <w:r>
        <w:rPr>
          <w:b/>
          <w:bCs/>
          <w:snapToGrid w:val="0"/>
          <w:kern w:val="0"/>
          <w:szCs w:val="21"/>
          <w:highlight w:val="none"/>
        </w:rPr>
        <w:t>34、竣工验收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34.1工程具备竣工验收条件，承包人按国家工程竣工验收有关规定，向发包人提供完整竣工资料（包含竣工图）及竣工验收报告。</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34.3发包人应在验收后14天内给予认可或提出修改意见。承包人按要求修改，并承担由自身原因造成修改的费用。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34.4发包人收到承包人送交的竣工验收报告并审核竣工文件通过后28天内无故不组织验收，或验收后14天内不提出修改意见，视为竣工验收报告已被认可。</w:t>
      </w:r>
    </w:p>
    <w:p>
      <w:pPr>
        <w:adjustRightInd w:val="0"/>
        <w:snapToGrid w:val="0"/>
        <w:spacing w:line="360" w:lineRule="auto"/>
        <w:ind w:firstLine="480"/>
        <w:rPr>
          <w:snapToGrid w:val="0"/>
          <w:kern w:val="0"/>
          <w:szCs w:val="21"/>
          <w:highlight w:val="none"/>
        </w:rPr>
      </w:pPr>
      <w:r>
        <w:rPr>
          <w:snapToGrid w:val="0"/>
          <w:kern w:val="0"/>
          <w:szCs w:val="21"/>
          <w:highlight w:val="none"/>
        </w:rPr>
        <w:t>34.5工程竣工验收通过，承包人送交竣工验收报告的日期为实际竣工日期。工程按发包人要求修改后通过竣工验收的，实际竣工日期为承包人修改后提请发包人验收的日期。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80"/>
        <w:rPr>
          <w:snapToGrid w:val="0"/>
          <w:kern w:val="0"/>
          <w:szCs w:val="21"/>
          <w:highlight w:val="none"/>
        </w:rPr>
      </w:pPr>
      <w:r>
        <w:rPr>
          <w:snapToGrid w:val="0"/>
          <w:kern w:val="0"/>
          <w:szCs w:val="21"/>
          <w:highlight w:val="none"/>
        </w:rPr>
        <w:t>34.7中间交工工程的验收按合同专用条款第17条的约定办理。</w:t>
      </w:r>
    </w:p>
    <w:p>
      <w:pPr>
        <w:adjustRightInd w:val="0"/>
        <w:snapToGrid w:val="0"/>
        <w:spacing w:line="360" w:lineRule="auto"/>
        <w:ind w:firstLine="480"/>
        <w:rPr>
          <w:snapToGrid w:val="0"/>
          <w:kern w:val="0"/>
          <w:szCs w:val="21"/>
          <w:highlight w:val="none"/>
        </w:rPr>
      </w:pPr>
      <w:r>
        <w:rPr>
          <w:snapToGrid w:val="0"/>
          <w:kern w:val="0"/>
          <w:szCs w:val="21"/>
          <w:highlight w:val="none"/>
        </w:rPr>
        <w:t>34.8因特殊原因，发包人要求部分单位工程或工程部位甩项竣工的，双方另行签订甩项竣工协议，明确双方责任和工程价款的支付方法。</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adjustRightInd w:val="0"/>
        <w:snapToGrid w:val="0"/>
        <w:spacing w:line="360" w:lineRule="auto"/>
        <w:ind w:firstLine="480"/>
        <w:rPr>
          <w:snapToGrid w:val="0"/>
          <w:kern w:val="0"/>
          <w:szCs w:val="21"/>
          <w:highlight w:val="none"/>
        </w:rPr>
      </w:pPr>
      <w:r>
        <w:rPr>
          <w:snapToGrid w:val="0"/>
          <w:kern w:val="0"/>
          <w:szCs w:val="21"/>
          <w:highlight w:val="none"/>
        </w:rPr>
        <w:t>34.10工程未经竣工验收或竣工验收未通过的，发包人不得使用。发包人强行使用时，由此发生的质量问题及其他问题，由发包人承担责任。</w:t>
      </w:r>
    </w:p>
    <w:p>
      <w:pPr>
        <w:adjustRightInd w:val="0"/>
        <w:snapToGrid w:val="0"/>
        <w:spacing w:line="360" w:lineRule="auto"/>
        <w:ind w:firstLine="480"/>
        <w:rPr>
          <w:snapToGrid w:val="0"/>
          <w:kern w:val="0"/>
          <w:szCs w:val="21"/>
          <w:highlight w:val="none"/>
        </w:rPr>
      </w:pPr>
      <w:r>
        <w:rPr>
          <w:snapToGrid w:val="0"/>
          <w:kern w:val="0"/>
          <w:szCs w:val="21"/>
          <w:highlight w:val="none"/>
        </w:rPr>
        <w:t>34.11承包人应按如下程序进行竣工资料准备：</w:t>
      </w:r>
    </w:p>
    <w:p>
      <w:pPr>
        <w:adjustRightInd w:val="0"/>
        <w:snapToGrid w:val="0"/>
        <w:spacing w:line="360" w:lineRule="auto"/>
        <w:ind w:firstLine="480"/>
        <w:rPr>
          <w:snapToGrid w:val="0"/>
          <w:kern w:val="0"/>
          <w:szCs w:val="21"/>
          <w:highlight w:val="none"/>
        </w:rPr>
      </w:pPr>
      <w:r>
        <w:rPr>
          <w:snapToGrid w:val="0"/>
          <w:kern w:val="0"/>
          <w:szCs w:val="21"/>
          <w:highlight w:val="none"/>
        </w:rPr>
        <w:t>（1）承包人有责任根据竣工验收要求对分包单位所绘制的竣工图进行符合性审查。</w:t>
      </w:r>
    </w:p>
    <w:p>
      <w:pPr>
        <w:adjustRightInd w:val="0"/>
        <w:snapToGrid w:val="0"/>
        <w:spacing w:line="360" w:lineRule="auto"/>
        <w:ind w:firstLine="480"/>
        <w:rPr>
          <w:snapToGrid w:val="0"/>
          <w:kern w:val="0"/>
          <w:szCs w:val="21"/>
          <w:highlight w:val="none"/>
        </w:rPr>
      </w:pPr>
      <w:r>
        <w:rPr>
          <w:snapToGrid w:val="0"/>
          <w:kern w:val="0"/>
          <w:szCs w:val="21"/>
          <w:highlight w:val="none"/>
        </w:rPr>
        <w:t>（2）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pPr>
        <w:adjustRightInd w:val="0"/>
        <w:snapToGrid w:val="0"/>
        <w:spacing w:line="360" w:lineRule="auto"/>
        <w:ind w:firstLine="480"/>
        <w:rPr>
          <w:snapToGrid w:val="0"/>
          <w:kern w:val="0"/>
          <w:szCs w:val="21"/>
          <w:highlight w:val="none"/>
        </w:rPr>
      </w:pPr>
      <w:r>
        <w:rPr>
          <w:snapToGrid w:val="0"/>
          <w:kern w:val="0"/>
          <w:szCs w:val="21"/>
          <w:highlight w:val="none"/>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pPr>
        <w:adjustRightInd w:val="0"/>
        <w:snapToGrid w:val="0"/>
        <w:spacing w:line="360" w:lineRule="auto"/>
        <w:ind w:firstLine="480"/>
        <w:rPr>
          <w:snapToGrid w:val="0"/>
          <w:kern w:val="0"/>
          <w:szCs w:val="21"/>
          <w:highlight w:val="none"/>
        </w:rPr>
      </w:pPr>
      <w:r>
        <w:rPr>
          <w:snapToGrid w:val="0"/>
          <w:kern w:val="0"/>
          <w:szCs w:val="21"/>
          <w:highlight w:val="none"/>
        </w:rPr>
        <w:t>34.13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pPr>
        <w:adjustRightInd w:val="0"/>
        <w:snapToGrid w:val="0"/>
        <w:spacing w:line="360" w:lineRule="auto"/>
        <w:ind w:firstLine="480"/>
        <w:rPr>
          <w:snapToGrid w:val="0"/>
          <w:kern w:val="0"/>
          <w:szCs w:val="21"/>
          <w:highlight w:val="none"/>
        </w:rPr>
      </w:pPr>
      <w:r>
        <w:rPr>
          <w:snapToGrid w:val="0"/>
          <w:kern w:val="0"/>
          <w:szCs w:val="21"/>
          <w:highlight w:val="none"/>
        </w:rPr>
        <w:t>34.14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35、工程移交</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35.1承包人应在工程全部项目验收合格后，移交前将场地清理干净，将无关机械设备及材料撤离现场，保证移交的工程项目环境洁净、安全卫生。</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35.2承包人应于工程竣工验收合格之日起15天内按要求提供相关资料，整理汇编成工程移交手册，移交手册包括但不限于以下内容：</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（1）工程项目各部分、的工程概况；</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（2）工程项目全部的图纸及清单；</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（3）工程项目的承包人、主要材料设备供货商清单、联系人及电话；</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（4）主要材料设备的数量；</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（5）工程、材料、设备的保修书（包括保修内容、期限、联系人、电话等）。</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35.3承包人应在进行本条第35.2款工作的同时编写工程项目移交计划，并于本条第35.2款工作完成之日起3天内组织发包人、承包人、项目产权管理单位按如下程序进行工程项目移交：</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（1）按移交手册的资料清单移交图纸、资料；</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（2）按移交手册的数量清单清点主要材料设备的数量；</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（3）按移交手册的设计、使用功能说明进行必要的功能性试验（或组织各方参加政府指定机构、第三方检测机构进行的功能性试验）；</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（4）按移交手册的说明进行系统的试运行（或组织各方参加政府指定机构、第三方检测机构进行的功能性试验），测试主要设备的运行参数；</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（5）组织发包人、承包人、项目产权管理单位各方对上述移交过程进行签认；</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（6）对移交过程中发现的质量问题进行记录并及时组织责任方进行维修，验收合格后重新组织移交；</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（7）对于某些在操作上有专门要求的机电系统（如消防、智能化等）编制培训计划，并按合同要求对项目产权管理单位人员进行培训。</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35.4承包人应按照国家《城市建设档案管理规定》、《广州市城市建设档案管理办法》和发包人有关整理工程档案的要求，在工程施工期间及时收集、汇总、整理、编制竣工档案，包括：</w:t>
      </w:r>
    </w:p>
    <w:p>
      <w:pPr>
        <w:adjustRightInd w:val="0"/>
        <w:snapToGrid w:val="0"/>
        <w:spacing w:line="360" w:lineRule="auto"/>
        <w:ind w:left="480"/>
        <w:rPr>
          <w:snapToGrid w:val="0"/>
          <w:kern w:val="0"/>
          <w:szCs w:val="21"/>
          <w:highlight w:val="none"/>
        </w:rPr>
      </w:pPr>
      <w:r>
        <w:rPr>
          <w:snapToGrid w:val="0"/>
          <w:kern w:val="0"/>
          <w:szCs w:val="21"/>
          <w:highlight w:val="none"/>
        </w:rPr>
        <w:t>（1）竣工文件资料、竣工图档案（原件）各一式四份；</w:t>
      </w:r>
    </w:p>
    <w:p>
      <w:pPr>
        <w:adjustRightInd w:val="0"/>
        <w:snapToGrid w:val="0"/>
        <w:spacing w:line="360" w:lineRule="auto"/>
        <w:ind w:left="480"/>
        <w:rPr>
          <w:snapToGrid w:val="0"/>
          <w:kern w:val="0"/>
          <w:szCs w:val="21"/>
          <w:highlight w:val="none"/>
        </w:rPr>
      </w:pPr>
      <w:r>
        <w:rPr>
          <w:snapToGrid w:val="0"/>
          <w:kern w:val="0"/>
          <w:szCs w:val="21"/>
          <w:highlight w:val="none"/>
        </w:rPr>
        <w:t>（2）与本款（1）项内容相同的电子版档案一式二份；</w:t>
      </w:r>
    </w:p>
    <w:p>
      <w:pPr>
        <w:adjustRightInd w:val="0"/>
        <w:snapToGrid w:val="0"/>
        <w:spacing w:line="360" w:lineRule="auto"/>
        <w:ind w:left="480"/>
        <w:rPr>
          <w:snapToGrid w:val="0"/>
          <w:kern w:val="0"/>
          <w:szCs w:val="21"/>
          <w:highlight w:val="none"/>
        </w:rPr>
      </w:pPr>
      <w:r>
        <w:rPr>
          <w:snapToGrid w:val="0"/>
          <w:kern w:val="0"/>
          <w:szCs w:val="21"/>
          <w:highlight w:val="none"/>
        </w:rPr>
        <w:t>（3）声像档案一式二份。</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35.5承包人移交竣工档案的时限：承包人应于工程竣工验收之日起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35.6电子版竣工图的编制，以发包人提供的电子版施工图为基础。承包人在移交竣工档案时，应一并移交发包人提供的电子版施工图。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35.7电子版施工图和电子版竣工图的知识产权归属发包人所有，非经发包人书面许可，承包人不得以任何方式复制、备份、转让和利用，否则由此引起的任何纠纷和责任由承包人承担。</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35.8承包人应督促其工程分包单位及时做好竣工资料整理工作，于分包工程竣工验收后25天内将全部档案资料移交给承包人，由承包人汇总、归档，并在承包人移交竣工档案时一并移交。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35.9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35.10因承包人的原因致使发包人未能按照国家规定向政府有关部门移交工程竣工档案而受到经济处罚的，由承包人承担全额赔偿责任。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35.11由承包人先移交给发包人、然后再由发包人移交给项目产权管理单位的工程项目，承包人仍应按发包人的要求及上述约定予以协助。</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35.12工程项目移交给项目产权管理单位后，由项目产权管理单位替代发包人在本合同中的地位，承继发包人的权利和义务。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35.13承包人参与移交或协助移交的所有费用均已包含在合同价款之内。</w:t>
      </w:r>
    </w:p>
    <w:p>
      <w:pPr>
        <w:shd w:val="clear" w:color="auto" w:fill="FFFFFF"/>
        <w:adjustRightInd w:val="0"/>
        <w:snapToGrid w:val="0"/>
        <w:spacing w:line="360" w:lineRule="auto"/>
        <w:ind w:firstLine="420" w:firstLineChars="200"/>
        <w:rPr>
          <w:b/>
          <w:bCs/>
          <w:kern w:val="0"/>
          <w:szCs w:val="21"/>
          <w:highlight w:val="none"/>
          <w:lang w:val="zh-CN"/>
        </w:rPr>
      </w:pPr>
      <w:r>
        <w:rPr>
          <w:snapToGrid w:val="0"/>
          <w:kern w:val="0"/>
          <w:szCs w:val="21"/>
          <w:highlight w:val="none"/>
        </w:rPr>
        <w:t>35.14</w:t>
      </w:r>
      <w:r>
        <w:rPr>
          <w:bCs/>
          <w:kern w:val="0"/>
          <w:szCs w:val="21"/>
          <w:highlight w:val="none"/>
          <w:lang w:val="zh-CN"/>
        </w:rPr>
        <w:t>本工程属于花都区重点建设项目，根据《花都区重点建设项目档案工作管理办法》，</w:t>
      </w:r>
      <w:r>
        <w:rPr>
          <w:rFonts w:hint="eastAsia"/>
          <w:bCs/>
          <w:kern w:val="0"/>
          <w:szCs w:val="21"/>
          <w:highlight w:val="none"/>
          <w:lang w:val="zh-CN"/>
        </w:rPr>
        <w:t>承包人</w:t>
      </w:r>
      <w:r>
        <w:rPr>
          <w:bCs/>
          <w:kern w:val="0"/>
          <w:szCs w:val="21"/>
          <w:highlight w:val="none"/>
          <w:lang w:val="zh-CN"/>
        </w:rPr>
        <w:t>应做好项目建设的档案管理工作，包括但不限于以下工作：</w:t>
      </w:r>
    </w:p>
    <w:p>
      <w:pPr>
        <w:shd w:val="clear" w:color="auto" w:fill="FFFFFF"/>
        <w:adjustRightInd w:val="0"/>
        <w:snapToGrid w:val="0"/>
        <w:spacing w:line="360" w:lineRule="auto"/>
        <w:ind w:firstLine="420" w:firstLineChars="200"/>
        <w:rPr>
          <w:kern w:val="0"/>
          <w:szCs w:val="21"/>
          <w:highlight w:val="none"/>
          <w:lang w:val="zh-CN"/>
        </w:rPr>
      </w:pPr>
      <w:r>
        <w:rPr>
          <w:kern w:val="0"/>
          <w:szCs w:val="21"/>
          <w:highlight w:val="none"/>
        </w:rPr>
        <w:t>（1）</w:t>
      </w:r>
      <w:r>
        <w:rPr>
          <w:kern w:val="0"/>
          <w:szCs w:val="21"/>
          <w:highlight w:val="none"/>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pPr>
        <w:shd w:val="clear" w:color="auto" w:fill="FFFFFF"/>
        <w:adjustRightInd w:val="0"/>
        <w:snapToGrid w:val="0"/>
        <w:spacing w:line="360" w:lineRule="auto"/>
        <w:ind w:firstLine="420" w:firstLineChars="200"/>
        <w:rPr>
          <w:kern w:val="0"/>
          <w:szCs w:val="21"/>
          <w:highlight w:val="none"/>
          <w:lang w:val="zh-CN"/>
        </w:rPr>
      </w:pPr>
      <w:r>
        <w:rPr>
          <w:kern w:val="0"/>
          <w:szCs w:val="21"/>
          <w:highlight w:val="none"/>
          <w:lang w:val="zh-CN"/>
        </w:rPr>
        <w:t>（</w:t>
      </w:r>
      <w:r>
        <w:rPr>
          <w:kern w:val="0"/>
          <w:szCs w:val="21"/>
          <w:highlight w:val="none"/>
        </w:rPr>
        <w:t>2</w:t>
      </w:r>
      <w:r>
        <w:rPr>
          <w:kern w:val="0"/>
          <w:szCs w:val="21"/>
          <w:highlight w:val="none"/>
          <w:lang w:val="zh-CN"/>
        </w:rPr>
        <w:t>）收集、整理本单位在合同期内形成的项目文件材料归档整理；除按规定向有关单位移交项目档案外，工程竣工时应移交建设单位</w:t>
      </w:r>
      <w:r>
        <w:rPr>
          <w:kern w:val="0"/>
          <w:szCs w:val="21"/>
          <w:highlight w:val="none"/>
          <w:u w:val="single"/>
        </w:rPr>
        <w:t>2</w:t>
      </w:r>
      <w:r>
        <w:rPr>
          <w:kern w:val="0"/>
          <w:szCs w:val="21"/>
          <w:highlight w:val="none"/>
          <w:lang w:val="zh-CN"/>
        </w:rPr>
        <w:t>套施工全过程产生的完整项目档案。</w:t>
      </w:r>
    </w:p>
    <w:p>
      <w:pPr>
        <w:adjustRightInd w:val="0"/>
        <w:snapToGrid w:val="0"/>
        <w:spacing w:line="360" w:lineRule="auto"/>
        <w:ind w:firstLine="420" w:firstLineChars="200"/>
        <w:rPr>
          <w:snapToGrid w:val="0"/>
          <w:kern w:val="0"/>
          <w:szCs w:val="21"/>
          <w:highlight w:val="none"/>
        </w:rPr>
      </w:pPr>
      <w:r>
        <w:rPr>
          <w:kern w:val="0"/>
          <w:szCs w:val="21"/>
          <w:highlight w:val="none"/>
          <w:lang w:val="zh-CN"/>
        </w:rPr>
        <w:t>（</w:t>
      </w:r>
      <w:r>
        <w:rPr>
          <w:kern w:val="0"/>
          <w:szCs w:val="21"/>
          <w:highlight w:val="none"/>
        </w:rPr>
        <w:t>3</w:t>
      </w:r>
      <w:r>
        <w:rPr>
          <w:kern w:val="0"/>
          <w:szCs w:val="21"/>
          <w:highlight w:val="none"/>
          <w:lang w:val="zh-CN"/>
        </w:rPr>
        <w:t>）档案管理的整理工作应符合</w:t>
      </w:r>
      <w:r>
        <w:rPr>
          <w:rFonts w:hint="eastAsia"/>
          <w:kern w:val="0"/>
          <w:szCs w:val="21"/>
          <w:highlight w:val="none"/>
          <w:lang w:val="zh-CN"/>
        </w:rPr>
        <w:t>《建设项目档案管理规范》</w:t>
      </w:r>
      <w:r>
        <w:rPr>
          <w:kern w:val="0"/>
          <w:szCs w:val="21"/>
          <w:highlight w:val="none"/>
          <w:lang w:val="zh-CN"/>
        </w:rPr>
        <w:t>DA/T 28-2018的要求整理。</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承包人与发包人一致同意不适用合同通用条款第36条的约定，代之以：</w:t>
      </w:r>
    </w:p>
    <w:p>
      <w:pPr>
        <w:adjustRightInd w:val="0"/>
        <w:snapToGrid w:val="0"/>
        <w:spacing w:line="360" w:lineRule="auto"/>
        <w:ind w:right="11" w:firstLine="422" w:firstLineChars="200"/>
        <w:rPr>
          <w:b/>
          <w:bCs/>
          <w:snapToGrid w:val="0"/>
          <w:kern w:val="0"/>
          <w:szCs w:val="21"/>
          <w:highlight w:val="none"/>
        </w:rPr>
      </w:pPr>
      <w:r>
        <w:rPr>
          <w:b/>
          <w:bCs/>
          <w:snapToGrid w:val="0"/>
          <w:kern w:val="0"/>
          <w:szCs w:val="21"/>
          <w:highlight w:val="none"/>
        </w:rPr>
        <w:t>36、竣工结算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36.1结算方式：按招标文件及本合同有关规定办理，工程需</w:t>
      </w:r>
      <w:r>
        <w:rPr>
          <w:szCs w:val="21"/>
          <w:highlight w:val="none"/>
        </w:rPr>
        <w:t>取得竣工验收报告后方可办理工程结算</w:t>
      </w:r>
      <w:r>
        <w:rPr>
          <w:snapToGrid w:val="0"/>
          <w:kern w:val="0"/>
          <w:szCs w:val="21"/>
          <w:highlight w:val="none"/>
        </w:rPr>
        <w:t>，承包人按发包人提供的《</w:t>
      </w:r>
      <w:r>
        <w:rPr>
          <w:rFonts w:hint="eastAsia"/>
          <w:snapToGrid w:val="0"/>
          <w:kern w:val="0"/>
          <w:szCs w:val="21"/>
          <w:highlight w:val="none"/>
        </w:rPr>
        <w:t>花都区财政投资项目评审资料编制指南</w:t>
      </w:r>
      <w:r>
        <w:rPr>
          <w:snapToGrid w:val="0"/>
          <w:kern w:val="0"/>
          <w:szCs w:val="21"/>
          <w:highlight w:val="none"/>
        </w:rPr>
        <w:t>》的具体要求编制结算书，并提交分段结算及竣工结算资料。</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36.2承包人提交结算报告的时间</w:t>
      </w:r>
    </w:p>
    <w:p>
      <w:pPr>
        <w:adjustRightInd w:val="0"/>
        <w:snapToGrid w:val="0"/>
        <w:spacing w:line="360" w:lineRule="auto"/>
        <w:ind w:firstLine="420" w:firstLineChars="200"/>
        <w:rPr>
          <w:snapToGrid w:val="0"/>
          <w:kern w:val="0"/>
          <w:szCs w:val="21"/>
          <w:highlight w:val="none"/>
        </w:rPr>
      </w:pPr>
      <w:r>
        <w:rPr>
          <w:snapToGrid w:val="0"/>
          <w:szCs w:val="21"/>
          <w:highlight w:val="none"/>
        </w:rPr>
        <w:sym w:font="Wingdings 2" w:char="00A3"/>
      </w:r>
      <w:r>
        <w:rPr>
          <w:snapToGrid w:val="0"/>
          <w:kern w:val="0"/>
          <w:szCs w:val="21"/>
          <w:highlight w:val="none"/>
        </w:rPr>
        <w:t>（1）承包人提交分段结算报告的时间：按承包人提交给发包人并经发包人审定的分段结算工作计划执行。</w:t>
      </w:r>
    </w:p>
    <w:p>
      <w:pPr>
        <w:adjustRightInd w:val="0"/>
        <w:snapToGrid w:val="0"/>
        <w:spacing w:line="360" w:lineRule="auto"/>
        <w:ind w:right="11" w:firstLine="460" w:firstLineChars="192"/>
        <w:rPr>
          <w:snapToGrid w:val="0"/>
          <w:kern w:val="0"/>
          <w:szCs w:val="21"/>
          <w:highlight w:val="none"/>
        </w:rPr>
      </w:pPr>
      <w:r>
        <w:rPr>
          <w:rFonts w:ascii="Wingdings 2" w:hAnsi="Wingdings 2"/>
          <w:snapToGrid w:val="0"/>
          <w:kern w:val="0"/>
          <w:sz w:val="24"/>
          <w:highlight w:val="none"/>
        </w:rPr>
        <w:t></w:t>
      </w:r>
      <w:r>
        <w:rPr>
          <w:snapToGrid w:val="0"/>
          <w:kern w:val="0"/>
          <w:szCs w:val="21"/>
          <w:highlight w:val="none"/>
        </w:rPr>
        <w:t>（2）承包人提交竣工结算报告的时间：竣工验收合格之日起180天内。</w:t>
      </w:r>
      <w:r>
        <w:rPr>
          <w:rFonts w:hint="eastAsia"/>
          <w:snapToGrid w:val="0"/>
          <w:kern w:val="0"/>
          <w:szCs w:val="21"/>
          <w:highlight w:val="none"/>
        </w:rPr>
        <w:t>如因承包人原因逾期提交竣工结算资料而造成的不良后果（如拖欠农民工工资、聚集性事件等），由承包人承担后果，且承包人不得据此索赔。</w:t>
      </w:r>
    </w:p>
    <w:p>
      <w:pPr>
        <w:adjustRightInd w:val="0"/>
        <w:snapToGrid w:val="0"/>
        <w:spacing w:line="360" w:lineRule="auto"/>
        <w:ind w:right="11" w:firstLine="403" w:firstLineChars="192"/>
        <w:rPr>
          <w:b/>
          <w:snapToGrid w:val="0"/>
          <w:kern w:val="0"/>
          <w:szCs w:val="21"/>
          <w:highlight w:val="none"/>
        </w:rPr>
      </w:pPr>
      <w:r>
        <w:rPr>
          <w:snapToGrid w:val="0"/>
          <w:kern w:val="0"/>
          <w:szCs w:val="21"/>
          <w:highlight w:val="none"/>
        </w:rPr>
        <w:t>36.3发包人审核结算报告的时间：发包人收到承包人提交的[</w:t>
      </w:r>
      <w:r>
        <w:rPr>
          <w:snapToGrid w:val="0"/>
          <w:szCs w:val="21"/>
          <w:highlight w:val="none"/>
        </w:rPr>
        <w:sym w:font="Wingdings 2" w:char="00A3"/>
      </w:r>
      <w:r>
        <w:rPr>
          <w:b/>
          <w:snapToGrid w:val="0"/>
          <w:kern w:val="0"/>
          <w:szCs w:val="21"/>
          <w:highlight w:val="none"/>
        </w:rPr>
        <w:t xml:space="preserve"> </w:t>
      </w:r>
      <w:r>
        <w:rPr>
          <w:snapToGrid w:val="0"/>
          <w:kern w:val="0"/>
          <w:szCs w:val="21"/>
          <w:highlight w:val="none"/>
        </w:rPr>
        <w:t>分段结算报告后45天内（其中含监理单位审核时间25天）]总结算报告后及时（其中含监理单位审核时间30天）出具初审意见，并及时报有关部门对结算进行终审。</w:t>
      </w:r>
    </w:p>
    <w:p>
      <w:pPr>
        <w:suppressAutoHyphens/>
        <w:adjustRightInd w:val="0"/>
        <w:snapToGrid w:val="0"/>
        <w:spacing w:line="360" w:lineRule="auto"/>
        <w:ind w:firstLine="420" w:firstLineChars="200"/>
        <w:rPr>
          <w:bCs/>
          <w:snapToGrid w:val="0"/>
          <w:kern w:val="0"/>
          <w:szCs w:val="21"/>
          <w:highlight w:val="none"/>
        </w:rPr>
      </w:pPr>
      <w:r>
        <w:rPr>
          <w:iCs/>
          <w:snapToGrid w:val="0"/>
          <w:kern w:val="0"/>
          <w:szCs w:val="21"/>
          <w:highlight w:val="none"/>
        </w:rPr>
        <w:t>36.4</w:t>
      </w:r>
      <w:r>
        <w:rPr>
          <w:snapToGrid w:val="0"/>
          <w:kern w:val="0"/>
          <w:szCs w:val="21"/>
          <w:highlight w:val="none"/>
        </w:rPr>
        <w:t>承包人应当向</w:t>
      </w:r>
      <w:r>
        <w:rPr>
          <w:iCs/>
          <w:snapToGrid w:val="0"/>
          <w:kern w:val="0"/>
          <w:szCs w:val="21"/>
          <w:highlight w:val="none"/>
        </w:rPr>
        <w:t>发包人</w:t>
      </w:r>
      <w:r>
        <w:rPr>
          <w:bCs/>
          <w:snapToGrid w:val="0"/>
          <w:kern w:val="0"/>
          <w:szCs w:val="21"/>
          <w:highlight w:val="none"/>
        </w:rPr>
        <w:t>提供如下竣工结算资料（按</w:t>
      </w:r>
      <w:r>
        <w:rPr>
          <w:rFonts w:hint="eastAsia"/>
          <w:szCs w:val="21"/>
          <w:highlight w:val="none"/>
        </w:rPr>
        <w:t>发包人委托的终审单位</w:t>
      </w:r>
      <w:r>
        <w:rPr>
          <w:bCs/>
          <w:snapToGrid w:val="0"/>
          <w:kern w:val="0"/>
          <w:szCs w:val="21"/>
          <w:highlight w:val="none"/>
        </w:rPr>
        <w:t>要求，包括但不限于以下）：</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（1）工程结算书；</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（2）工程量计算书（即计算底稿）；</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（3）钢筋抽料表（建筑、市政、园林景观等工程适用）；</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（4）合同文件；</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（5）工程竣工图（必要时提供电子版）；</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（6）工程竣工资料（必要时提供电子版）；</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（7）图纸会审记录；</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（8）设计变更单；</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（9）工程洽商记录；</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（10）总监理工程师通知或发包人施工指令；</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（11）会议纪要；</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（12）工程签证；</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（13）材料设备单价呈批审核单；</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（14）综合单价呈批审核单；</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（15）发包人供应材料收货验收签收单；</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（16）其他结算资料；</w:t>
      </w:r>
    </w:p>
    <w:p>
      <w:pPr>
        <w:suppressAutoHyphens/>
        <w:adjustRightInd w:val="0"/>
        <w:snapToGrid w:val="0"/>
        <w:spacing w:line="360" w:lineRule="auto"/>
        <w:ind w:firstLine="315" w:firstLineChars="150"/>
        <w:rPr>
          <w:snapToGrid w:val="0"/>
          <w:kern w:val="0"/>
          <w:szCs w:val="21"/>
          <w:highlight w:val="none"/>
        </w:rPr>
      </w:pPr>
      <w:r>
        <w:rPr>
          <w:snapToGrid w:val="0"/>
          <w:kern w:val="0"/>
          <w:szCs w:val="21"/>
          <w:highlight w:val="none"/>
        </w:rPr>
        <w:t>（17）移交资料签收表。</w:t>
      </w:r>
    </w:p>
    <w:p>
      <w:pPr>
        <w:suppressAutoHyphens/>
        <w:adjustRightInd w:val="0"/>
        <w:snapToGrid w:val="0"/>
        <w:spacing w:line="360" w:lineRule="auto"/>
        <w:ind w:firstLine="420" w:firstLineChars="200"/>
        <w:rPr>
          <w:bCs/>
          <w:snapToGrid w:val="0"/>
          <w:kern w:val="0"/>
          <w:szCs w:val="21"/>
          <w:highlight w:val="none"/>
        </w:rPr>
      </w:pPr>
      <w:r>
        <w:rPr>
          <w:iCs/>
          <w:snapToGrid w:val="0"/>
          <w:kern w:val="0"/>
          <w:szCs w:val="21"/>
          <w:highlight w:val="none"/>
        </w:rPr>
        <w:t>36.5</w:t>
      </w:r>
      <w:r>
        <w:rPr>
          <w:bCs/>
          <w:snapToGrid w:val="0"/>
          <w:kern w:val="0"/>
          <w:szCs w:val="21"/>
          <w:highlight w:val="none"/>
        </w:rPr>
        <w:t>发包人对送审结算资料的具体要求：</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（2）工程量计算书（即计算底稿）：工程量计算书由工程量汇总表和详细的工程量计算表达式组成，工程量计算书须提供相应的电子文件。</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（4）合同文件：包括发包人与承包人签订的合同文件、经发包人确认的承包人与第三方签订的分包合同、各类补充合同、合同附件等，要求将上述合同文件列出总目录按顺序整理装订成册。</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（7）图纸会审记录：要求按图纸会审的时间先后整理装订成册，图纸会审记录须有各单位参加会审人员签字及会审单位盖章确认。</w:t>
      </w:r>
    </w:p>
    <w:p>
      <w:pPr>
        <w:tabs>
          <w:tab w:val="left" w:pos="1875"/>
        </w:tabs>
        <w:suppressAutoHyphens/>
        <w:adjustRightInd w:val="0"/>
        <w:snapToGrid w:val="0"/>
        <w:spacing w:line="360" w:lineRule="auto"/>
        <w:ind w:firstLine="420" w:firstLineChars="200"/>
        <w:rPr>
          <w:b/>
          <w:snapToGrid w:val="0"/>
          <w:kern w:val="0"/>
          <w:szCs w:val="21"/>
          <w:highlight w:val="none"/>
        </w:rPr>
      </w:pPr>
      <w:r>
        <w:rPr>
          <w:snapToGrid w:val="0"/>
          <w:kern w:val="0"/>
          <w:szCs w:val="21"/>
          <w:highlight w:val="none"/>
        </w:rPr>
        <w:t>（8）设计变更单：要求按设计变更的时间先后整理（安装工程要分专业）装订成册。</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（9）工程洽商记录：要求根据工程洽商记录的时间先后整理装订成册，然后在每一页的下方统一编号，以便于查找。工程洽商记录须符合发包人制定的有关规定。</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（11）会议纪要：指工程质量、安全、技术、经济等现场协调会会议纪要等。要求根据会议纪要的时间先后整理装订成册，然后在每一页的下方统一编号。会议纪要须符合发包人制定的有关规定。</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（12）工程签证：要求根据工程签证的时间先后整理装订成册，然后在每一页的下方统一编号，工程签证单上应有工程数量的计算过程和施工简图。</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14）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（15）发包人供应材料收货验收签收单：按发包人供应材料收货验收签收单的编号顺序及不同材料分类整理装订成册。</w:t>
      </w:r>
    </w:p>
    <w:p>
      <w:pPr>
        <w:tabs>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pPr>
        <w:tabs>
          <w:tab w:val="left" w:pos="1378"/>
          <w:tab w:val="left" w:pos="1875"/>
        </w:tabs>
        <w:suppressAutoHyphens/>
        <w:adjustRightInd w:val="0"/>
        <w:snapToGrid w:val="0"/>
        <w:spacing w:line="360" w:lineRule="auto"/>
        <w:ind w:firstLine="420" w:firstLineChars="200"/>
        <w:rPr>
          <w:snapToGrid w:val="0"/>
          <w:kern w:val="0"/>
          <w:szCs w:val="21"/>
          <w:highlight w:val="none"/>
        </w:rPr>
      </w:pPr>
      <w:r>
        <w:rPr>
          <w:snapToGrid w:val="0"/>
          <w:kern w:val="0"/>
          <w:szCs w:val="21"/>
          <w:highlight w:val="none"/>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36.6承包人迟延提交竣工</w:t>
      </w:r>
      <w:r>
        <w:rPr>
          <w:snapToGrid w:val="0"/>
          <w:kern w:val="0"/>
          <w:szCs w:val="21"/>
          <w:highlight w:val="none"/>
        </w:rPr>
        <w:t>结算报告的，</w:t>
      </w:r>
      <w:r>
        <w:rPr>
          <w:iCs/>
          <w:snapToGrid w:val="0"/>
          <w:kern w:val="0"/>
          <w:szCs w:val="21"/>
          <w:highlight w:val="none"/>
        </w:rPr>
        <w:t>发包人完成审核相应结算报告的时间相应顺延。由于</w:t>
      </w:r>
      <w:r>
        <w:rPr>
          <w:snapToGrid w:val="0"/>
          <w:kern w:val="0"/>
          <w:szCs w:val="21"/>
          <w:highlight w:val="none"/>
        </w:rPr>
        <w:t>结算报告存在错误或不完整而退回承包人修改或补充的，</w:t>
      </w:r>
      <w:r>
        <w:rPr>
          <w:iCs/>
          <w:snapToGrid w:val="0"/>
          <w:kern w:val="0"/>
          <w:szCs w:val="21"/>
          <w:highlight w:val="none"/>
        </w:rPr>
        <w:t>发包人完成审核相应结算报告的时间从收到</w:t>
      </w:r>
      <w:r>
        <w:rPr>
          <w:snapToGrid w:val="0"/>
          <w:kern w:val="0"/>
          <w:szCs w:val="21"/>
          <w:highlight w:val="none"/>
        </w:rPr>
        <w:t>修改或补充的结算报告后重新计算。</w:t>
      </w:r>
    </w:p>
    <w:p>
      <w:pPr>
        <w:adjustRightInd w:val="0"/>
        <w:snapToGrid w:val="0"/>
        <w:spacing w:line="360" w:lineRule="auto"/>
        <w:ind w:right="11" w:firstLine="420" w:firstLineChars="200"/>
        <w:rPr>
          <w:iCs/>
          <w:snapToGrid w:val="0"/>
          <w:kern w:val="0"/>
          <w:szCs w:val="21"/>
          <w:highlight w:val="none"/>
        </w:rPr>
      </w:pPr>
      <w:r>
        <w:rPr>
          <w:iCs/>
          <w:snapToGrid w:val="0"/>
          <w:kern w:val="0"/>
          <w:szCs w:val="21"/>
          <w:highlight w:val="none"/>
        </w:rPr>
        <w:t>36.7承包人提交的竣工</w:t>
      </w:r>
      <w:r>
        <w:rPr>
          <w:snapToGrid w:val="0"/>
          <w:kern w:val="0"/>
          <w:szCs w:val="21"/>
          <w:highlight w:val="none"/>
        </w:rPr>
        <w:t>结算报告虽有错误或不完整，但其中有部分手续齐全并可以单独结算的，发包人可就该部分先行审核。</w:t>
      </w:r>
    </w:p>
    <w:p>
      <w:pPr>
        <w:adjustRightInd w:val="0"/>
        <w:snapToGrid w:val="0"/>
        <w:spacing w:line="360" w:lineRule="auto"/>
        <w:ind w:right="11" w:firstLine="420" w:firstLineChars="200"/>
        <w:rPr>
          <w:snapToGrid w:val="0"/>
          <w:kern w:val="0"/>
          <w:szCs w:val="21"/>
          <w:highlight w:val="none"/>
        </w:rPr>
      </w:pPr>
      <w:r>
        <w:rPr>
          <w:iCs/>
          <w:snapToGrid w:val="0"/>
          <w:kern w:val="0"/>
          <w:szCs w:val="21"/>
          <w:highlight w:val="none"/>
        </w:rPr>
        <w:t>36.8</w:t>
      </w:r>
      <w:r>
        <w:rPr>
          <w:snapToGrid w:val="0"/>
          <w:kern w:val="0"/>
          <w:szCs w:val="21"/>
          <w:highlight w:val="none"/>
        </w:rPr>
        <w:t>由于承包人未按发包人要求及时报送</w:t>
      </w:r>
      <w:r>
        <w:rPr>
          <w:iCs/>
          <w:snapToGrid w:val="0"/>
          <w:kern w:val="0"/>
          <w:szCs w:val="21"/>
          <w:highlight w:val="none"/>
        </w:rPr>
        <w:t>竣工</w:t>
      </w:r>
      <w:r>
        <w:rPr>
          <w:snapToGrid w:val="0"/>
          <w:kern w:val="0"/>
          <w:szCs w:val="21"/>
          <w:highlight w:val="none"/>
        </w:rPr>
        <w:t>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420" w:firstLineChars="200"/>
        <w:rPr>
          <w:snapToGrid w:val="0"/>
          <w:kern w:val="0"/>
          <w:szCs w:val="21"/>
          <w:highlight w:val="none"/>
        </w:rPr>
      </w:pPr>
      <w:r>
        <w:rPr>
          <w:iCs/>
          <w:snapToGrid w:val="0"/>
          <w:kern w:val="0"/>
          <w:szCs w:val="21"/>
          <w:highlight w:val="none"/>
        </w:rPr>
        <w:t>36.9</w:t>
      </w:r>
      <w:r>
        <w:rPr>
          <w:snapToGrid w:val="0"/>
          <w:kern w:val="0"/>
          <w:szCs w:val="21"/>
          <w:highlight w:val="none"/>
        </w:rPr>
        <w:t>根据项目建设的实际需要，发包人有权要求与承包人按招标文件提供的格式签订工程结算工作协议书，双方严格按照工程结算工作协议书的约定进行工程结算，承包人必须无条件服从。</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36.10若承包人不按工程结算工作协议书的约定配合</w:t>
      </w:r>
      <w:r>
        <w:rPr>
          <w:iCs/>
          <w:snapToGrid w:val="0"/>
          <w:kern w:val="0"/>
          <w:szCs w:val="21"/>
          <w:highlight w:val="none"/>
        </w:rPr>
        <w:t>竣工</w:t>
      </w:r>
      <w:r>
        <w:rPr>
          <w:snapToGrid w:val="0"/>
          <w:kern w:val="0"/>
          <w:szCs w:val="21"/>
          <w:highlight w:val="none"/>
        </w:rPr>
        <w:t>结算审核工作以致工程结算迟迟不能定案或承包人对终审部门的审核结果拒不确认，在发包人规定时间内又提不出正当理由的，则最终的审核结果由发包人与终审部门共同盖章确认。</w:t>
      </w:r>
    </w:p>
    <w:p>
      <w:pPr>
        <w:pStyle w:val="4"/>
        <w:spacing w:line="440" w:lineRule="exact"/>
        <w:jc w:val="left"/>
        <w:rPr>
          <w:snapToGrid w:val="0"/>
          <w:kern w:val="0"/>
          <w:highlight w:val="none"/>
        </w:rPr>
      </w:pPr>
      <w:bookmarkStart w:id="401" w:name="_Toc520358239"/>
      <w:bookmarkStart w:id="402" w:name="_Toc514664869"/>
      <w:bookmarkStart w:id="403" w:name="_Toc132813125"/>
      <w:bookmarkStart w:id="404" w:name="_Toc514681191"/>
      <w:bookmarkStart w:id="405" w:name="_Toc520901469"/>
      <w:bookmarkStart w:id="406" w:name="_Toc520902765"/>
      <w:bookmarkStart w:id="407" w:name="_Toc517774569"/>
      <w:bookmarkStart w:id="408" w:name="_Toc514666982"/>
      <w:bookmarkStart w:id="409" w:name="_Toc519503089"/>
      <w:bookmarkStart w:id="410" w:name="_Toc514665152"/>
      <w:bookmarkStart w:id="411" w:name="_Toc514663868"/>
      <w:bookmarkStart w:id="412" w:name="_Toc514665291"/>
      <w:bookmarkStart w:id="413" w:name="_Toc520902614"/>
      <w:bookmarkStart w:id="414" w:name="_Toc518481741"/>
      <w:bookmarkStart w:id="415" w:name="_Toc520902836"/>
      <w:bookmarkStart w:id="416" w:name="_Toc519502259"/>
      <w:bookmarkStart w:id="417" w:name="_Toc514681772"/>
      <w:bookmarkStart w:id="418" w:name="_Toc517954582"/>
      <w:bookmarkStart w:id="419" w:name="_Toc516495985"/>
      <w:bookmarkStart w:id="420" w:name="_Toc520358063"/>
      <w:r>
        <w:rPr>
          <w:rFonts w:hint="eastAsia"/>
          <w:snapToGrid w:val="0"/>
          <w:kern w:val="0"/>
          <w:highlight w:val="none"/>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38、违约</w:t>
      </w:r>
    </w:p>
    <w:p>
      <w:pPr>
        <w:adjustRightInd w:val="0"/>
        <w:snapToGrid w:val="0"/>
        <w:spacing w:line="360" w:lineRule="auto"/>
        <w:ind w:right="11" w:firstLine="405" w:firstLineChars="192"/>
        <w:rPr>
          <w:b/>
          <w:snapToGrid w:val="0"/>
          <w:kern w:val="0"/>
          <w:szCs w:val="21"/>
          <w:highlight w:val="none"/>
        </w:rPr>
      </w:pPr>
      <w:r>
        <w:rPr>
          <w:b/>
          <w:snapToGrid w:val="0"/>
          <w:kern w:val="0"/>
          <w:szCs w:val="21"/>
          <w:highlight w:val="none"/>
        </w:rPr>
        <w:t>承包人与发包人一致同意不适用合同通用条款第38.1款的约定，代之以：</w:t>
      </w:r>
    </w:p>
    <w:p>
      <w:pPr>
        <w:adjustRightInd w:val="0"/>
        <w:snapToGrid w:val="0"/>
        <w:spacing w:line="360" w:lineRule="auto"/>
        <w:ind w:right="11" w:firstLine="403" w:firstLineChars="192"/>
        <w:rPr>
          <w:snapToGrid w:val="0"/>
          <w:kern w:val="0"/>
          <w:szCs w:val="21"/>
          <w:highlight w:val="none"/>
        </w:rPr>
      </w:pPr>
      <w:r>
        <w:rPr>
          <w:bCs/>
          <w:snapToGrid w:val="0"/>
          <w:kern w:val="0"/>
          <w:szCs w:val="21"/>
          <w:highlight w:val="none"/>
        </w:rPr>
        <w:t>38.1</w:t>
      </w:r>
      <w:r>
        <w:rPr>
          <w:snapToGrid w:val="0"/>
          <w:kern w:val="0"/>
          <w:szCs w:val="21"/>
          <w:highlight w:val="none"/>
        </w:rPr>
        <w:t>发包人的违约责任</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（1）发包人无正当理由不按合同约定支付工程预付款、进度款和竣工结算款的，应继续支付本合同约定的工程预付款、进度款和竣工结算款。</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（2）因发包人违约或者过错给承包人造成损失的，在承包人提交足够证据并经查证属实的情况下，发包人应赔偿其直接经济损失。</w:t>
      </w:r>
    </w:p>
    <w:p>
      <w:pPr>
        <w:adjustRightInd w:val="0"/>
        <w:snapToGrid w:val="0"/>
        <w:spacing w:line="360" w:lineRule="auto"/>
        <w:ind w:right="11" w:firstLine="405" w:firstLineChars="192"/>
        <w:rPr>
          <w:b/>
          <w:snapToGrid w:val="0"/>
          <w:kern w:val="0"/>
          <w:szCs w:val="21"/>
          <w:highlight w:val="none"/>
        </w:rPr>
      </w:pPr>
      <w:r>
        <w:rPr>
          <w:b/>
          <w:snapToGrid w:val="0"/>
          <w:kern w:val="0"/>
          <w:szCs w:val="21"/>
          <w:highlight w:val="none"/>
        </w:rPr>
        <w:t>承包人与发包人一致同意增加38.4至38.16：</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38.4承包人承担违约责任的方式包括但不限于：</w:t>
      </w:r>
    </w:p>
    <w:p>
      <w:pPr>
        <w:tabs>
          <w:tab w:val="left" w:pos="1125"/>
        </w:tabs>
        <w:adjustRightInd w:val="0"/>
        <w:snapToGrid w:val="0"/>
        <w:spacing w:line="360" w:lineRule="auto"/>
        <w:ind w:firstLine="420" w:firstLineChars="200"/>
        <w:rPr>
          <w:bCs/>
          <w:snapToGrid w:val="0"/>
          <w:kern w:val="0"/>
          <w:szCs w:val="21"/>
          <w:highlight w:val="none"/>
        </w:rPr>
      </w:pPr>
      <w:r>
        <w:rPr>
          <w:bCs/>
          <w:snapToGrid w:val="0"/>
          <w:kern w:val="0"/>
          <w:szCs w:val="21"/>
          <w:highlight w:val="none"/>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pPr>
        <w:tabs>
          <w:tab w:val="left" w:pos="1125"/>
        </w:tabs>
        <w:adjustRightInd w:val="0"/>
        <w:snapToGrid w:val="0"/>
        <w:spacing w:line="360" w:lineRule="auto"/>
        <w:ind w:firstLine="420" w:firstLineChars="200"/>
        <w:rPr>
          <w:bCs/>
          <w:snapToGrid w:val="0"/>
          <w:kern w:val="0"/>
          <w:szCs w:val="21"/>
          <w:highlight w:val="none"/>
        </w:rPr>
      </w:pPr>
      <w:r>
        <w:rPr>
          <w:bCs/>
          <w:snapToGrid w:val="0"/>
          <w:kern w:val="0"/>
          <w:szCs w:val="21"/>
          <w:highlight w:val="none"/>
        </w:rPr>
        <w:t>（2）一般违约责任。承包人违反本合同的约定须承担一般违约责任时，必须向发包人交纳违约金</w:t>
      </w:r>
      <w:r>
        <w:rPr>
          <w:snapToGrid w:val="0"/>
          <w:kern w:val="0"/>
          <w:szCs w:val="21"/>
          <w:highlight w:val="none"/>
        </w:rPr>
        <w:t>（</w:t>
      </w:r>
      <w:r>
        <w:rPr>
          <w:rFonts w:ascii="Wingdings 2" w:hAnsi="Wingdings 2"/>
          <w:bCs/>
          <w:snapToGrid w:val="0"/>
          <w:kern w:val="0"/>
          <w:sz w:val="24"/>
          <w:highlight w:val="none"/>
        </w:rPr>
        <w:t></w:t>
      </w:r>
      <w:r>
        <w:rPr>
          <w:snapToGrid w:val="0"/>
          <w:kern w:val="0"/>
          <w:szCs w:val="21"/>
          <w:highlight w:val="none"/>
        </w:rPr>
        <w:t xml:space="preserve"> 10000元、</w:t>
      </w:r>
      <w:r>
        <w:rPr>
          <w:snapToGrid w:val="0"/>
          <w:szCs w:val="21"/>
          <w:highlight w:val="none"/>
        </w:rPr>
        <w:sym w:font="Wingdings 2" w:char="00A3"/>
      </w:r>
      <w:r>
        <w:rPr>
          <w:snapToGrid w:val="0"/>
          <w:kern w:val="0"/>
          <w:szCs w:val="21"/>
          <w:highlight w:val="none"/>
        </w:rPr>
        <w:t xml:space="preserve"> 20000元、</w:t>
      </w:r>
      <w:r>
        <w:rPr>
          <w:snapToGrid w:val="0"/>
          <w:szCs w:val="21"/>
          <w:highlight w:val="none"/>
        </w:rPr>
        <w:sym w:font="Wingdings 2" w:char="00A3"/>
      </w:r>
      <w:r>
        <w:rPr>
          <w:snapToGrid w:val="0"/>
          <w:kern w:val="0"/>
          <w:szCs w:val="21"/>
          <w:highlight w:val="none"/>
        </w:rPr>
        <w:t xml:space="preserve"> 50000元）</w:t>
      </w:r>
      <w:r>
        <w:rPr>
          <w:bCs/>
          <w:snapToGrid w:val="0"/>
          <w:kern w:val="0"/>
          <w:szCs w:val="21"/>
          <w:highlight w:val="none"/>
        </w:rPr>
        <w:t>/次</w:t>
      </w:r>
      <w:r>
        <w:rPr>
          <w:snapToGrid w:val="0"/>
          <w:kern w:val="0"/>
          <w:szCs w:val="21"/>
          <w:highlight w:val="none"/>
        </w:rPr>
        <w:t>。</w:t>
      </w:r>
    </w:p>
    <w:p>
      <w:pPr>
        <w:tabs>
          <w:tab w:val="left" w:pos="1125"/>
        </w:tabs>
        <w:adjustRightInd w:val="0"/>
        <w:snapToGrid w:val="0"/>
        <w:spacing w:line="360" w:lineRule="auto"/>
        <w:ind w:firstLine="420" w:firstLineChars="200"/>
        <w:rPr>
          <w:bCs/>
          <w:snapToGrid w:val="0"/>
          <w:kern w:val="0"/>
          <w:szCs w:val="21"/>
          <w:highlight w:val="none"/>
        </w:rPr>
      </w:pPr>
      <w:r>
        <w:rPr>
          <w:bCs/>
          <w:snapToGrid w:val="0"/>
          <w:kern w:val="0"/>
          <w:szCs w:val="21"/>
          <w:highlight w:val="none"/>
        </w:rPr>
        <w:t>（3）严重违约责任。承包人违反本合同的约定须承担严重违约责任时，必须向发包人交纳违约金</w:t>
      </w:r>
      <w:r>
        <w:rPr>
          <w:snapToGrid w:val="0"/>
          <w:kern w:val="0"/>
          <w:szCs w:val="21"/>
          <w:highlight w:val="none"/>
        </w:rPr>
        <w:t>（</w:t>
      </w:r>
      <w:r>
        <w:rPr>
          <w:rFonts w:ascii="Wingdings 2" w:hAnsi="Wingdings 2"/>
          <w:bCs/>
          <w:snapToGrid w:val="0"/>
          <w:kern w:val="0"/>
          <w:sz w:val="24"/>
          <w:highlight w:val="none"/>
        </w:rPr>
        <w:t></w:t>
      </w:r>
      <w:r>
        <w:rPr>
          <w:snapToGrid w:val="0"/>
          <w:kern w:val="0"/>
          <w:szCs w:val="21"/>
          <w:highlight w:val="none"/>
        </w:rPr>
        <w:t xml:space="preserve"> 30000元、</w:t>
      </w:r>
      <w:r>
        <w:rPr>
          <w:snapToGrid w:val="0"/>
          <w:szCs w:val="21"/>
          <w:highlight w:val="none"/>
        </w:rPr>
        <w:sym w:font="Wingdings 2" w:char="00A3"/>
      </w:r>
      <w:r>
        <w:rPr>
          <w:snapToGrid w:val="0"/>
          <w:kern w:val="0"/>
          <w:szCs w:val="21"/>
          <w:highlight w:val="none"/>
        </w:rPr>
        <w:t>100000元、</w:t>
      </w:r>
      <w:r>
        <w:rPr>
          <w:snapToGrid w:val="0"/>
          <w:szCs w:val="21"/>
          <w:highlight w:val="none"/>
        </w:rPr>
        <w:sym w:font="Wingdings 2" w:char="00A3"/>
      </w:r>
      <w:r>
        <w:rPr>
          <w:snapToGrid w:val="0"/>
          <w:kern w:val="0"/>
          <w:szCs w:val="21"/>
          <w:highlight w:val="none"/>
        </w:rPr>
        <w:t xml:space="preserve"> 150000元）</w:t>
      </w:r>
      <w:r>
        <w:rPr>
          <w:bCs/>
          <w:snapToGrid w:val="0"/>
          <w:kern w:val="0"/>
          <w:szCs w:val="21"/>
          <w:highlight w:val="none"/>
        </w:rPr>
        <w:t>/次。</w:t>
      </w:r>
    </w:p>
    <w:p>
      <w:pPr>
        <w:tabs>
          <w:tab w:val="left" w:pos="1125"/>
        </w:tabs>
        <w:adjustRightInd w:val="0"/>
        <w:snapToGrid w:val="0"/>
        <w:spacing w:line="360" w:lineRule="auto"/>
        <w:ind w:firstLine="420" w:firstLineChars="200"/>
        <w:rPr>
          <w:bCs/>
          <w:snapToGrid w:val="0"/>
          <w:kern w:val="0"/>
          <w:szCs w:val="21"/>
          <w:highlight w:val="none"/>
        </w:rPr>
      </w:pPr>
      <w:r>
        <w:rPr>
          <w:bCs/>
          <w:snapToGrid w:val="0"/>
          <w:kern w:val="0"/>
          <w:szCs w:val="21"/>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kern w:val="0"/>
          <w:szCs w:val="21"/>
          <w:highlight w:val="none"/>
        </w:rPr>
        <w:t>承包人应在部分解除合同之日起七日内向发包人支付</w:t>
      </w:r>
      <w:r>
        <w:rPr>
          <w:bCs/>
          <w:snapToGrid w:val="0"/>
          <w:kern w:val="0"/>
          <w:szCs w:val="21"/>
          <w:highlight w:val="none"/>
        </w:rPr>
        <w:t>被解除部分工程</w:t>
      </w:r>
      <w:r>
        <w:rPr>
          <w:snapToGrid w:val="0"/>
          <w:kern w:val="0"/>
          <w:szCs w:val="21"/>
          <w:highlight w:val="none"/>
        </w:rPr>
        <w:t>合同价款20%的违约金并赔偿发包人的实际损失</w:t>
      </w:r>
      <w:r>
        <w:rPr>
          <w:bCs/>
          <w:snapToGrid w:val="0"/>
          <w:kern w:val="0"/>
          <w:szCs w:val="21"/>
          <w:highlight w:val="none"/>
        </w:rPr>
        <w:t>。</w:t>
      </w:r>
    </w:p>
    <w:p>
      <w:pPr>
        <w:tabs>
          <w:tab w:val="left" w:pos="1125"/>
        </w:tabs>
        <w:adjustRightInd w:val="0"/>
        <w:snapToGrid w:val="0"/>
        <w:spacing w:line="360" w:lineRule="auto"/>
        <w:ind w:firstLine="420" w:firstLineChars="200"/>
        <w:rPr>
          <w:bCs/>
          <w:snapToGrid w:val="0"/>
          <w:kern w:val="0"/>
          <w:szCs w:val="21"/>
          <w:highlight w:val="none"/>
        </w:rPr>
      </w:pPr>
      <w:r>
        <w:rPr>
          <w:bCs/>
          <w:snapToGrid w:val="0"/>
          <w:kern w:val="0"/>
          <w:szCs w:val="21"/>
          <w:highlight w:val="none"/>
        </w:rPr>
        <w:t>（5）解除合同。当承包人违反本合同的约定符合解除合同的条件时，发包人有权向承包人发出书面解除合同的通知，该通知在送达承包人时即生效，发包人有权要求</w:t>
      </w:r>
      <w:r>
        <w:rPr>
          <w:snapToGrid w:val="0"/>
          <w:kern w:val="0"/>
          <w:szCs w:val="21"/>
          <w:highlight w:val="none"/>
        </w:rPr>
        <w:t>承包人在解除合同之日起七日内向发包人支付解除部分的合同价款的20%作为违约金并赔偿发包人的实际损失</w:t>
      </w:r>
      <w:r>
        <w:rPr>
          <w:bCs/>
          <w:snapToGrid w:val="0"/>
          <w:kern w:val="0"/>
          <w:szCs w:val="21"/>
          <w:highlight w:val="none"/>
        </w:rPr>
        <w:t>。</w:t>
      </w:r>
    </w:p>
    <w:p>
      <w:pPr>
        <w:tabs>
          <w:tab w:val="left" w:pos="1125"/>
        </w:tabs>
        <w:adjustRightInd w:val="0"/>
        <w:snapToGrid w:val="0"/>
        <w:spacing w:line="360" w:lineRule="auto"/>
        <w:ind w:firstLine="420" w:firstLineChars="200"/>
        <w:rPr>
          <w:bCs/>
          <w:snapToGrid w:val="0"/>
          <w:kern w:val="0"/>
          <w:szCs w:val="21"/>
          <w:highlight w:val="none"/>
        </w:rPr>
      </w:pPr>
      <w:r>
        <w:rPr>
          <w:bCs/>
          <w:snapToGrid w:val="0"/>
          <w:kern w:val="0"/>
          <w:szCs w:val="21"/>
          <w:highlight w:val="none"/>
        </w:rPr>
        <w:t>（6）赔偿损失。因承包人原因造成发包人经济损失的，承包人应赔偿发包人的经济损失。</w:t>
      </w:r>
    </w:p>
    <w:p>
      <w:pPr>
        <w:tabs>
          <w:tab w:val="left" w:pos="1125"/>
        </w:tabs>
        <w:adjustRightInd w:val="0"/>
        <w:snapToGrid w:val="0"/>
        <w:spacing w:line="360" w:lineRule="auto"/>
        <w:ind w:firstLine="420" w:firstLineChars="200"/>
        <w:rPr>
          <w:snapToGrid w:val="0"/>
          <w:kern w:val="0"/>
          <w:szCs w:val="21"/>
          <w:highlight w:val="none"/>
        </w:rPr>
      </w:pPr>
      <w:r>
        <w:rPr>
          <w:snapToGrid w:val="0"/>
          <w:kern w:val="0"/>
          <w:szCs w:val="21"/>
          <w:highlight w:val="none"/>
        </w:rPr>
        <w:t>38.5在本合同有效期内，承包人累计承担三次严重违约责任的，发包人有权单方面部分或全部解除合同，并有权要求承包人赔偿发包人的全部损失。</w:t>
      </w:r>
    </w:p>
    <w:p>
      <w:pPr>
        <w:tabs>
          <w:tab w:val="left" w:pos="1125"/>
        </w:tabs>
        <w:adjustRightInd w:val="0"/>
        <w:snapToGrid w:val="0"/>
        <w:spacing w:line="360" w:lineRule="auto"/>
        <w:ind w:firstLine="420" w:firstLineChars="200"/>
        <w:rPr>
          <w:bCs/>
          <w:snapToGrid w:val="0"/>
          <w:kern w:val="0"/>
          <w:szCs w:val="21"/>
          <w:highlight w:val="none"/>
        </w:rPr>
      </w:pPr>
      <w:r>
        <w:rPr>
          <w:snapToGrid w:val="0"/>
          <w:kern w:val="0"/>
          <w:szCs w:val="21"/>
          <w:highlight w:val="none"/>
        </w:rPr>
        <w:t>38.6</w:t>
      </w:r>
      <w:r>
        <w:rPr>
          <w:bCs/>
          <w:snapToGrid w:val="0"/>
          <w:kern w:val="0"/>
          <w:szCs w:val="21"/>
          <w:highlight w:val="none"/>
        </w:rPr>
        <w:t>承包人按本合同约定应交纳的违约金和赔偿金属于合同专用条款第38.10款</w:t>
      </w:r>
      <w:r>
        <w:rPr>
          <w:rFonts w:ascii="宋体" w:hAnsi="宋体"/>
          <w:snapToGrid w:val="0"/>
          <w:kern w:val="0"/>
          <w:szCs w:val="21"/>
          <w:highlight w:val="none"/>
        </w:rPr>
        <w:t>“</w:t>
      </w:r>
      <w:r>
        <w:rPr>
          <w:bCs/>
          <w:snapToGrid w:val="0"/>
          <w:kern w:val="0"/>
          <w:szCs w:val="21"/>
          <w:highlight w:val="none"/>
        </w:rPr>
        <w:t>工程质量方面的违约责任</w:t>
      </w:r>
      <w:r>
        <w:rPr>
          <w:rFonts w:ascii="宋体" w:hAnsi="宋体"/>
          <w:snapToGrid w:val="0"/>
          <w:kern w:val="0"/>
          <w:szCs w:val="21"/>
          <w:highlight w:val="none"/>
        </w:rPr>
        <w:t>”</w:t>
      </w:r>
      <w:r>
        <w:rPr>
          <w:bCs/>
          <w:snapToGrid w:val="0"/>
          <w:kern w:val="0"/>
          <w:szCs w:val="21"/>
          <w:highlight w:val="none"/>
        </w:rPr>
        <w:t>、第38.11款</w:t>
      </w:r>
      <w:r>
        <w:rPr>
          <w:rFonts w:ascii="宋体" w:hAnsi="宋体"/>
          <w:snapToGrid w:val="0"/>
          <w:kern w:val="0"/>
          <w:szCs w:val="21"/>
          <w:highlight w:val="none"/>
        </w:rPr>
        <w:t>“</w:t>
      </w:r>
      <w:r>
        <w:rPr>
          <w:bCs/>
          <w:snapToGrid w:val="0"/>
          <w:kern w:val="0"/>
          <w:szCs w:val="21"/>
          <w:highlight w:val="none"/>
        </w:rPr>
        <w:t>安全生产方面的违约责任</w:t>
      </w:r>
      <w:r>
        <w:rPr>
          <w:rFonts w:ascii="宋体" w:hAnsi="宋体"/>
          <w:snapToGrid w:val="0"/>
          <w:kern w:val="0"/>
          <w:szCs w:val="21"/>
          <w:highlight w:val="none"/>
        </w:rPr>
        <w:t>”</w:t>
      </w:r>
      <w:r>
        <w:rPr>
          <w:bCs/>
          <w:snapToGrid w:val="0"/>
          <w:kern w:val="0"/>
          <w:szCs w:val="21"/>
          <w:highlight w:val="none"/>
        </w:rPr>
        <w:t>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20" w:firstLineChars="200"/>
        <w:rPr>
          <w:bCs/>
          <w:snapToGrid w:val="0"/>
          <w:kern w:val="0"/>
          <w:szCs w:val="21"/>
          <w:highlight w:val="none"/>
        </w:rPr>
      </w:pPr>
      <w:r>
        <w:rPr>
          <w:bCs/>
          <w:snapToGrid w:val="0"/>
          <w:kern w:val="0"/>
          <w:szCs w:val="21"/>
          <w:highlight w:val="none"/>
        </w:rPr>
        <w:t>承包人按本合同约定应交纳的违约金和赔偿金属于合同专用条款第38.10款、第38.11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kern w:val="0"/>
          <w:szCs w:val="21"/>
          <w:highlight w:val="none"/>
        </w:rPr>
        <w:t>。</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38.7工程组织管理方面的违约责任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（2）承包人不遵守发包人依据合同专用条款总则第6条约定所制定的各项制度、规定的，由承包人按所触犯制度、规定的有关规定承担违约责任。所触犯制度、规定没有明确规定的，由发包人有权参照</w:t>
      </w:r>
      <w:r>
        <w:rPr>
          <w:snapToGrid w:val="0"/>
          <w:kern w:val="0"/>
          <w:szCs w:val="21"/>
          <w:highlight w:val="none"/>
        </w:rPr>
        <w:t>合同专用条款第38.7（1）款</w:t>
      </w:r>
      <w:r>
        <w:rPr>
          <w:bCs/>
          <w:snapToGrid w:val="0"/>
          <w:kern w:val="0"/>
          <w:szCs w:val="21"/>
          <w:highlight w:val="none"/>
        </w:rPr>
        <w:t>的约定处理。</w:t>
      </w:r>
    </w:p>
    <w:p>
      <w:pPr>
        <w:pStyle w:val="186"/>
        <w:rPr>
          <w:color w:val="auto"/>
          <w:highlight w:val="none"/>
        </w:rPr>
      </w:pPr>
      <w:r>
        <w:rPr>
          <w:bCs/>
          <w:color w:val="auto"/>
          <w:highlight w:val="none"/>
        </w:rPr>
        <w:t>（3）承包人不按</w:t>
      </w:r>
      <w:r>
        <w:rPr>
          <w:color w:val="auto"/>
          <w:highlight w:val="none"/>
        </w:rPr>
        <w:t>合同专用条款第7</w:t>
      </w:r>
      <w:r>
        <w:rPr>
          <w:bCs/>
          <w:color w:val="auto"/>
          <w:highlight w:val="none"/>
        </w:rPr>
        <w:t>条、第9条的有关约定投入</w:t>
      </w:r>
      <w:r>
        <w:rPr>
          <w:color w:val="auto"/>
          <w:highlight w:val="none"/>
        </w:rPr>
        <w:t>现场组织管理人员、施工作业人员、施工机械设备，或擅自变更资源投入计划或者擅自对已投入的资源进行调整的，</w:t>
      </w:r>
      <w:r>
        <w:rPr>
          <w:bCs/>
          <w:color w:val="auto"/>
          <w:highlight w:val="none"/>
        </w:rPr>
        <w:t>承包人必须按照总监理工程师或者发包人的指令限期改正；承包人拒不限期改正的，发包人有权要求其承担1次一般违约责任或1次严重违约责任。情节较轻的，可给予书面警告；情节特别严重的，发包人有权单方面部分解除合同或解除合同</w:t>
      </w:r>
      <w:r>
        <w:rPr>
          <w:color w:val="auto"/>
          <w:highlight w:val="none"/>
        </w:rPr>
        <w:t>。因缺勤而被扣除现场组织实施管理费的人员不再给予违约处罚。</w:t>
      </w:r>
    </w:p>
    <w:p>
      <w:pPr>
        <w:pStyle w:val="186"/>
        <w:rPr>
          <w:bCs/>
          <w:color w:val="auto"/>
          <w:highlight w:val="none"/>
        </w:rPr>
      </w:pPr>
      <w:r>
        <w:rPr>
          <w:bCs/>
          <w:color w:val="auto"/>
          <w:highlight w:val="none"/>
        </w:rPr>
        <w:t>经发包人或总监理工程师考核，承包人投入的</w:t>
      </w:r>
      <w:r>
        <w:rPr>
          <w:color w:val="auto"/>
          <w:highlight w:val="none"/>
        </w:rPr>
        <w:t>现场组织</w:t>
      </w:r>
      <w:r>
        <w:rPr>
          <w:bCs/>
          <w:color w:val="auto"/>
          <w:highlight w:val="none"/>
        </w:rPr>
        <w:t>管理人员不能满足本工程建设要求的，承包人必须无条件按发包人的要求更换，直至满足本工程建设要求为止。而且，不能满足本工程建设要求的</w:t>
      </w:r>
      <w:r>
        <w:rPr>
          <w:color w:val="auto"/>
          <w:highlight w:val="none"/>
        </w:rPr>
        <w:t>现场组织</w:t>
      </w:r>
      <w:r>
        <w:rPr>
          <w:bCs/>
          <w:color w:val="auto"/>
          <w:highlight w:val="none"/>
        </w:rPr>
        <w:t>管理人员按缺勤处理。</w:t>
      </w:r>
    </w:p>
    <w:p>
      <w:pPr>
        <w:pStyle w:val="186"/>
        <w:rPr>
          <w:bCs/>
          <w:color w:val="auto"/>
          <w:highlight w:val="none"/>
        </w:rPr>
      </w:pPr>
      <w:r>
        <w:rPr>
          <w:color w:val="auto"/>
          <w:highlight w:val="none"/>
        </w:rPr>
        <w:t>如承包人违背投标承诺，除按上述约定承担违约责任之外，还应同时</w:t>
      </w:r>
      <w:r>
        <w:rPr>
          <w:bCs/>
          <w:color w:val="auto"/>
          <w:highlight w:val="none"/>
        </w:rPr>
        <w:t>无条件按下表约定的金额向发包人支付违约金：</w:t>
      </w:r>
    </w:p>
    <w:tbl>
      <w:tblPr>
        <w:tblStyle w:val="7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19"/>
        <w:gridCol w:w="11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vAlign w:val="center"/>
          </w:tcPr>
          <w:p>
            <w:pPr>
              <w:adjustRightInd w:val="0"/>
              <w:snapToGrid w:val="0"/>
              <w:jc w:val="center"/>
              <w:rPr>
                <w:snapToGrid w:val="0"/>
                <w:kern w:val="0"/>
                <w:szCs w:val="21"/>
                <w:highlight w:val="none"/>
              </w:rPr>
            </w:pPr>
            <w:r>
              <w:rPr>
                <w:snapToGrid w:val="0"/>
                <w:kern w:val="0"/>
                <w:szCs w:val="21"/>
                <w:highlight w:val="none"/>
              </w:rPr>
              <w:t>序号</w:t>
            </w:r>
          </w:p>
        </w:tc>
        <w:tc>
          <w:tcPr>
            <w:tcW w:w="1985" w:type="dxa"/>
            <w:vAlign w:val="center"/>
          </w:tcPr>
          <w:p>
            <w:pPr>
              <w:adjustRightInd w:val="0"/>
              <w:snapToGrid w:val="0"/>
              <w:jc w:val="center"/>
              <w:rPr>
                <w:snapToGrid w:val="0"/>
                <w:kern w:val="0"/>
                <w:szCs w:val="21"/>
                <w:highlight w:val="none"/>
              </w:rPr>
            </w:pPr>
            <w:r>
              <w:rPr>
                <w:snapToGrid w:val="0"/>
                <w:kern w:val="0"/>
                <w:szCs w:val="21"/>
                <w:highlight w:val="none"/>
              </w:rPr>
              <w:t>承诺项目</w:t>
            </w:r>
          </w:p>
        </w:tc>
        <w:tc>
          <w:tcPr>
            <w:tcW w:w="2819" w:type="dxa"/>
            <w:vAlign w:val="center"/>
          </w:tcPr>
          <w:p>
            <w:pPr>
              <w:adjustRightInd w:val="0"/>
              <w:snapToGrid w:val="0"/>
              <w:jc w:val="center"/>
              <w:rPr>
                <w:snapToGrid w:val="0"/>
                <w:kern w:val="0"/>
                <w:szCs w:val="21"/>
                <w:highlight w:val="none"/>
              </w:rPr>
            </w:pPr>
            <w:r>
              <w:rPr>
                <w:snapToGrid w:val="0"/>
                <w:kern w:val="0"/>
                <w:szCs w:val="21"/>
                <w:highlight w:val="none"/>
              </w:rPr>
              <w:t>违约说明</w:t>
            </w:r>
          </w:p>
        </w:tc>
        <w:tc>
          <w:tcPr>
            <w:tcW w:w="3418" w:type="dxa"/>
            <w:gridSpan w:val="3"/>
            <w:vAlign w:val="center"/>
          </w:tcPr>
          <w:p>
            <w:pPr>
              <w:adjustRightInd w:val="0"/>
              <w:snapToGrid w:val="0"/>
              <w:jc w:val="center"/>
              <w:rPr>
                <w:snapToGrid w:val="0"/>
                <w:kern w:val="0"/>
                <w:szCs w:val="21"/>
                <w:highlight w:val="none"/>
              </w:rPr>
            </w:pPr>
            <w:r>
              <w:rPr>
                <w:snapToGrid w:val="0"/>
                <w:kern w:val="0"/>
                <w:szCs w:val="21"/>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highlight w:val="none"/>
              </w:rPr>
            </w:pPr>
            <w:r>
              <w:rPr>
                <w:snapToGrid w:val="0"/>
                <w:kern w:val="0"/>
                <w:szCs w:val="21"/>
                <w:highlight w:val="none"/>
              </w:rPr>
              <w:t>1</w:t>
            </w:r>
          </w:p>
        </w:tc>
        <w:tc>
          <w:tcPr>
            <w:tcW w:w="1985" w:type="dxa"/>
            <w:vMerge w:val="restart"/>
            <w:vAlign w:val="center"/>
          </w:tcPr>
          <w:p>
            <w:pPr>
              <w:adjustRightInd w:val="0"/>
              <w:snapToGrid w:val="0"/>
              <w:ind w:left="360" w:hanging="360" w:hangingChars="150"/>
              <w:rPr>
                <w:snapToGrid w:val="0"/>
                <w:kern w:val="0"/>
                <w:sz w:val="18"/>
                <w:szCs w:val="18"/>
                <w:highlight w:val="none"/>
              </w:rPr>
            </w:pPr>
            <w:r>
              <w:rPr>
                <w:rFonts w:ascii="Wingdings 2" w:hAnsi="Wingdings 2"/>
                <w:bCs/>
                <w:snapToGrid w:val="0"/>
                <w:kern w:val="0"/>
                <w:sz w:val="24"/>
                <w:highlight w:val="none"/>
              </w:rPr>
              <w:t></w:t>
            </w:r>
            <w:r>
              <w:rPr>
                <w:snapToGrid w:val="0"/>
                <w:kern w:val="0"/>
                <w:sz w:val="18"/>
                <w:szCs w:val="18"/>
                <w:highlight w:val="none"/>
              </w:rPr>
              <w:t>施工总承包管理部</w:t>
            </w: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更换项目指挥长或项目经理</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300000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500000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highlight w:val="none"/>
              </w:rPr>
            </w:pPr>
          </w:p>
        </w:tc>
        <w:tc>
          <w:tcPr>
            <w:tcW w:w="1985" w:type="dxa"/>
            <w:vMerge w:val="continue"/>
            <w:vAlign w:val="center"/>
          </w:tcPr>
          <w:p>
            <w:pPr>
              <w:adjustRightInd w:val="0"/>
              <w:snapToGrid w:val="0"/>
              <w:rPr>
                <w:snapToGrid w:val="0"/>
                <w:kern w:val="0"/>
                <w:sz w:val="18"/>
                <w:szCs w:val="18"/>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更换项目技术负责人</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150000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highlight w:val="none"/>
              </w:rPr>
            </w:pPr>
          </w:p>
        </w:tc>
        <w:tc>
          <w:tcPr>
            <w:tcW w:w="1985" w:type="dxa"/>
            <w:vMerge w:val="continue"/>
            <w:vAlign w:val="center"/>
          </w:tcPr>
          <w:p>
            <w:pPr>
              <w:adjustRightInd w:val="0"/>
              <w:snapToGrid w:val="0"/>
              <w:rPr>
                <w:snapToGrid w:val="0"/>
                <w:kern w:val="0"/>
                <w:sz w:val="18"/>
                <w:szCs w:val="18"/>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更换专职安全员或其他人</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100000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highlight w:val="none"/>
              </w:rPr>
            </w:pPr>
            <w:r>
              <w:rPr>
                <w:snapToGrid w:val="0"/>
                <w:kern w:val="0"/>
                <w:szCs w:val="21"/>
                <w:highlight w:val="none"/>
              </w:rPr>
              <w:t>2</w:t>
            </w:r>
          </w:p>
        </w:tc>
        <w:tc>
          <w:tcPr>
            <w:tcW w:w="1985" w:type="dxa"/>
            <w:vMerge w:val="restart"/>
            <w:vAlign w:val="center"/>
          </w:tcPr>
          <w:p>
            <w:pPr>
              <w:adjustRightInd w:val="0"/>
              <w:snapToGrid w:val="0"/>
              <w:rPr>
                <w:snapToGrid w:val="0"/>
                <w:kern w:val="0"/>
                <w:sz w:val="18"/>
                <w:szCs w:val="18"/>
                <w:highlight w:val="none"/>
              </w:rPr>
            </w:pPr>
            <w:r>
              <w:rPr>
                <w:rFonts w:ascii="Wingdings 2" w:hAnsi="Wingdings 2"/>
                <w:bCs/>
                <w:snapToGrid w:val="0"/>
                <w:kern w:val="0"/>
                <w:sz w:val="24"/>
                <w:highlight w:val="none"/>
              </w:rPr>
              <w:t></w:t>
            </w:r>
            <w:r>
              <w:rPr>
                <w:snapToGrid w:val="0"/>
                <w:kern w:val="0"/>
                <w:sz w:val="18"/>
                <w:szCs w:val="18"/>
                <w:highlight w:val="none"/>
              </w:rPr>
              <w:t>施工项目部</w:t>
            </w: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更换项目指挥长或项目经理</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250000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400000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highlight w:val="none"/>
              </w:rPr>
            </w:pPr>
          </w:p>
        </w:tc>
        <w:tc>
          <w:tcPr>
            <w:tcW w:w="1985" w:type="dxa"/>
            <w:vMerge w:val="continue"/>
            <w:vAlign w:val="center"/>
          </w:tcPr>
          <w:p>
            <w:pPr>
              <w:adjustRightInd w:val="0"/>
              <w:snapToGrid w:val="0"/>
              <w:rPr>
                <w:snapToGrid w:val="0"/>
                <w:kern w:val="0"/>
                <w:sz w:val="18"/>
                <w:szCs w:val="18"/>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更换项目副经理</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150000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highlight w:val="none"/>
              </w:rPr>
            </w:pPr>
          </w:p>
        </w:tc>
        <w:tc>
          <w:tcPr>
            <w:tcW w:w="1985" w:type="dxa"/>
            <w:vMerge w:val="continue"/>
            <w:vAlign w:val="center"/>
          </w:tcPr>
          <w:p>
            <w:pPr>
              <w:adjustRightInd w:val="0"/>
              <w:snapToGrid w:val="0"/>
              <w:rPr>
                <w:snapToGrid w:val="0"/>
                <w:kern w:val="0"/>
                <w:sz w:val="18"/>
                <w:szCs w:val="18"/>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更换专职安全员或其他人</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100000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highlight w:val="none"/>
              </w:rPr>
            </w:pPr>
            <w:r>
              <w:rPr>
                <w:snapToGrid w:val="0"/>
                <w:kern w:val="0"/>
                <w:szCs w:val="21"/>
                <w:highlight w:val="none"/>
              </w:rPr>
              <w:t>3</w:t>
            </w:r>
          </w:p>
        </w:tc>
        <w:tc>
          <w:tcPr>
            <w:tcW w:w="1985" w:type="dxa"/>
            <w:vMerge w:val="restart"/>
            <w:vAlign w:val="center"/>
          </w:tcPr>
          <w:p>
            <w:pPr>
              <w:adjustRightInd w:val="0"/>
              <w:snapToGrid w:val="0"/>
              <w:ind w:left="315" w:hanging="315" w:hangingChars="150"/>
              <w:rPr>
                <w:snapToGrid w:val="0"/>
                <w:kern w:val="0"/>
                <w:sz w:val="18"/>
                <w:szCs w:val="18"/>
                <w:highlight w:val="none"/>
              </w:rPr>
            </w:pPr>
            <w:r>
              <w:rPr>
                <w:snapToGrid w:val="0"/>
                <w:szCs w:val="21"/>
                <w:highlight w:val="none"/>
              </w:rPr>
              <w:sym w:font="Wingdings 2" w:char="00A3"/>
            </w:r>
            <w:r>
              <w:rPr>
                <w:snapToGrid w:val="0"/>
                <w:kern w:val="0"/>
                <w:sz w:val="18"/>
                <w:szCs w:val="18"/>
                <w:highlight w:val="none"/>
              </w:rPr>
              <w:t xml:space="preserve"> 驻场深化设计部</w:t>
            </w: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更换部门经理或空缺</w:t>
            </w:r>
          </w:p>
        </w:tc>
        <w:tc>
          <w:tcPr>
            <w:tcW w:w="1150"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150000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highlight w:val="none"/>
              </w:rPr>
            </w:pPr>
          </w:p>
        </w:tc>
        <w:tc>
          <w:tcPr>
            <w:tcW w:w="1985" w:type="dxa"/>
            <w:vMerge w:val="continue"/>
            <w:vAlign w:val="center"/>
          </w:tcPr>
          <w:p>
            <w:pPr>
              <w:adjustRightInd w:val="0"/>
              <w:snapToGrid w:val="0"/>
              <w:rPr>
                <w:snapToGrid w:val="0"/>
                <w:kern w:val="0"/>
                <w:sz w:val="18"/>
                <w:szCs w:val="18"/>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更换技术负责人或空缺</w:t>
            </w:r>
          </w:p>
        </w:tc>
        <w:tc>
          <w:tcPr>
            <w:tcW w:w="1150"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100000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highlight w:val="none"/>
              </w:rPr>
            </w:pPr>
          </w:p>
        </w:tc>
        <w:tc>
          <w:tcPr>
            <w:tcW w:w="1985" w:type="dxa"/>
            <w:vMerge w:val="continue"/>
            <w:vAlign w:val="center"/>
          </w:tcPr>
          <w:p>
            <w:pPr>
              <w:adjustRightInd w:val="0"/>
              <w:snapToGrid w:val="0"/>
              <w:rPr>
                <w:snapToGrid w:val="0"/>
                <w:kern w:val="0"/>
                <w:sz w:val="18"/>
                <w:szCs w:val="18"/>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更换其他人</w:t>
            </w:r>
          </w:p>
        </w:tc>
        <w:tc>
          <w:tcPr>
            <w:tcW w:w="1150"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100000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highlight w:val="none"/>
              </w:rPr>
            </w:pPr>
            <w:r>
              <w:rPr>
                <w:snapToGrid w:val="0"/>
                <w:kern w:val="0"/>
                <w:szCs w:val="21"/>
                <w:highlight w:val="none"/>
              </w:rPr>
              <w:t>4</w:t>
            </w:r>
          </w:p>
        </w:tc>
        <w:tc>
          <w:tcPr>
            <w:tcW w:w="1985" w:type="dxa"/>
            <w:vMerge w:val="restart"/>
            <w:vAlign w:val="center"/>
          </w:tcPr>
          <w:p>
            <w:pPr>
              <w:adjustRightInd w:val="0"/>
              <w:snapToGrid w:val="0"/>
              <w:rPr>
                <w:snapToGrid w:val="0"/>
                <w:kern w:val="0"/>
                <w:sz w:val="18"/>
                <w:szCs w:val="18"/>
                <w:highlight w:val="none"/>
              </w:rPr>
            </w:pPr>
            <w:r>
              <w:rPr>
                <w:rFonts w:ascii="Wingdings 2" w:hAnsi="Wingdings 2"/>
                <w:bCs/>
                <w:snapToGrid w:val="0"/>
                <w:kern w:val="0"/>
                <w:sz w:val="24"/>
                <w:highlight w:val="none"/>
              </w:rPr>
              <w:t></w:t>
            </w:r>
            <w:r>
              <w:rPr>
                <w:snapToGrid w:val="0"/>
                <w:kern w:val="0"/>
                <w:sz w:val="18"/>
                <w:szCs w:val="18"/>
                <w:highlight w:val="none"/>
              </w:rPr>
              <w:t>材料管理部</w:t>
            </w: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更换部门经理或空缺</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150000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highlight w:val="none"/>
              </w:rPr>
            </w:pPr>
          </w:p>
        </w:tc>
        <w:tc>
          <w:tcPr>
            <w:tcW w:w="1985" w:type="dxa"/>
            <w:vMerge w:val="continue"/>
            <w:vAlign w:val="center"/>
          </w:tcPr>
          <w:p>
            <w:pPr>
              <w:adjustRightInd w:val="0"/>
              <w:snapToGrid w:val="0"/>
              <w:rPr>
                <w:snapToGrid w:val="0"/>
                <w:kern w:val="0"/>
                <w:sz w:val="18"/>
                <w:szCs w:val="18"/>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更换其他人</w:t>
            </w:r>
          </w:p>
        </w:tc>
        <w:tc>
          <w:tcPr>
            <w:tcW w:w="1150"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50000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100000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adjustRightInd w:val="0"/>
              <w:snapToGrid w:val="0"/>
              <w:jc w:val="center"/>
              <w:rPr>
                <w:snapToGrid w:val="0"/>
                <w:kern w:val="0"/>
                <w:szCs w:val="21"/>
                <w:highlight w:val="none"/>
              </w:rPr>
            </w:pPr>
            <w:r>
              <w:rPr>
                <w:snapToGrid w:val="0"/>
                <w:kern w:val="0"/>
                <w:szCs w:val="21"/>
                <w:highlight w:val="none"/>
              </w:rPr>
              <w:t>5</w:t>
            </w:r>
          </w:p>
        </w:tc>
        <w:tc>
          <w:tcPr>
            <w:tcW w:w="1985" w:type="dxa"/>
            <w:vAlign w:val="center"/>
          </w:tcPr>
          <w:p>
            <w:pPr>
              <w:adjustRightInd w:val="0"/>
              <w:snapToGrid w:val="0"/>
              <w:rPr>
                <w:snapToGrid w:val="0"/>
                <w:kern w:val="0"/>
                <w:sz w:val="18"/>
                <w:szCs w:val="18"/>
                <w:highlight w:val="none"/>
              </w:rPr>
            </w:pPr>
            <w:r>
              <w:rPr>
                <w:snapToGrid w:val="0"/>
                <w:kern w:val="0"/>
                <w:sz w:val="18"/>
                <w:szCs w:val="18"/>
                <w:highlight w:val="none"/>
              </w:rPr>
              <w:t>各阶段投入劳动力</w:t>
            </w: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每少1人</w:t>
            </w:r>
          </w:p>
        </w:tc>
        <w:tc>
          <w:tcPr>
            <w:tcW w:w="3418" w:type="dxa"/>
            <w:gridSpan w:val="3"/>
            <w:vAlign w:val="center"/>
          </w:tcPr>
          <w:p>
            <w:pPr>
              <w:adjustRightInd w:val="0"/>
              <w:snapToGrid w:val="0"/>
              <w:rPr>
                <w:snapToGrid w:val="0"/>
                <w:kern w:val="0"/>
                <w:szCs w:val="21"/>
                <w:highlight w:val="none"/>
              </w:rPr>
            </w:pPr>
            <w:r>
              <w:rPr>
                <w:snapToGrid w:val="0"/>
                <w:kern w:val="0"/>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adjustRightInd w:val="0"/>
              <w:snapToGrid w:val="0"/>
              <w:jc w:val="center"/>
              <w:rPr>
                <w:snapToGrid w:val="0"/>
                <w:kern w:val="0"/>
                <w:szCs w:val="21"/>
                <w:highlight w:val="none"/>
              </w:rPr>
            </w:pPr>
            <w:r>
              <w:rPr>
                <w:snapToGrid w:val="0"/>
                <w:kern w:val="0"/>
                <w:szCs w:val="21"/>
                <w:highlight w:val="none"/>
              </w:rPr>
              <w:t>6</w:t>
            </w:r>
          </w:p>
        </w:tc>
        <w:tc>
          <w:tcPr>
            <w:tcW w:w="1985" w:type="dxa"/>
            <w:vAlign w:val="center"/>
          </w:tcPr>
          <w:p>
            <w:pPr>
              <w:adjustRightInd w:val="0"/>
              <w:snapToGrid w:val="0"/>
              <w:rPr>
                <w:snapToGrid w:val="0"/>
                <w:kern w:val="0"/>
                <w:sz w:val="18"/>
                <w:szCs w:val="18"/>
                <w:highlight w:val="none"/>
              </w:rPr>
            </w:pPr>
            <w:r>
              <w:rPr>
                <w:snapToGrid w:val="0"/>
                <w:kern w:val="0"/>
                <w:sz w:val="18"/>
                <w:szCs w:val="18"/>
                <w:highlight w:val="none"/>
              </w:rPr>
              <w:t>各阶段投入主要材料</w:t>
            </w: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没有按发包人审定的总控或阶段计划投入，每少10%</w:t>
            </w:r>
          </w:p>
        </w:tc>
        <w:tc>
          <w:tcPr>
            <w:tcW w:w="1150" w:type="dxa"/>
            <w:vAlign w:val="center"/>
          </w:tcPr>
          <w:p>
            <w:pPr>
              <w:adjustRightInd w:val="0"/>
              <w:snapToGrid w:val="0"/>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 xml:space="preserve"> 100000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300000</w:t>
            </w:r>
          </w:p>
        </w:tc>
        <w:tc>
          <w:tcPr>
            <w:tcW w:w="1134" w:type="dxa"/>
            <w:vAlign w:val="center"/>
          </w:tcPr>
          <w:p>
            <w:pPr>
              <w:adjustRightInd w:val="0"/>
              <w:snapToGrid w:val="0"/>
              <w:rPr>
                <w:snapToGrid w:val="0"/>
                <w:kern w:val="0"/>
                <w:szCs w:val="21"/>
                <w:highlight w:val="none"/>
              </w:rPr>
            </w:pPr>
            <w:r>
              <w:rPr>
                <w:snapToGrid w:val="0"/>
                <w:szCs w:val="21"/>
                <w:highlight w:val="none"/>
              </w:rPr>
              <w:sym w:font="Wingdings 2" w:char="00A3"/>
            </w:r>
            <w:r>
              <w:rPr>
                <w:snapToGrid w:val="0"/>
                <w:kern w:val="0"/>
                <w:szCs w:val="21"/>
                <w:highlight w:val="none"/>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restart"/>
            <w:vAlign w:val="center"/>
          </w:tcPr>
          <w:p>
            <w:pPr>
              <w:adjustRightInd w:val="0"/>
              <w:snapToGrid w:val="0"/>
              <w:jc w:val="center"/>
              <w:rPr>
                <w:snapToGrid w:val="0"/>
                <w:kern w:val="0"/>
                <w:szCs w:val="21"/>
                <w:highlight w:val="none"/>
              </w:rPr>
            </w:pPr>
            <w:r>
              <w:rPr>
                <w:snapToGrid w:val="0"/>
                <w:kern w:val="0"/>
                <w:szCs w:val="21"/>
                <w:highlight w:val="none"/>
              </w:rPr>
              <w:t>7</w:t>
            </w:r>
          </w:p>
        </w:tc>
        <w:tc>
          <w:tcPr>
            <w:tcW w:w="1985" w:type="dxa"/>
            <w:vMerge w:val="restart"/>
            <w:vAlign w:val="center"/>
          </w:tcPr>
          <w:p>
            <w:pPr>
              <w:adjustRightInd w:val="0"/>
              <w:snapToGrid w:val="0"/>
              <w:rPr>
                <w:snapToGrid w:val="0"/>
                <w:kern w:val="0"/>
                <w:sz w:val="18"/>
                <w:szCs w:val="18"/>
                <w:highlight w:val="none"/>
              </w:rPr>
            </w:pPr>
            <w:r>
              <w:rPr>
                <w:snapToGrid w:val="0"/>
                <w:kern w:val="0"/>
                <w:sz w:val="18"/>
                <w:szCs w:val="18"/>
                <w:highlight w:val="none"/>
              </w:rPr>
              <w:t>各阶段投入施工设备</w:t>
            </w: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没有按发包人审定的总控或阶段计划投入，主要设备每少1台</w:t>
            </w:r>
          </w:p>
        </w:tc>
        <w:tc>
          <w:tcPr>
            <w:tcW w:w="3418" w:type="dxa"/>
            <w:gridSpan w:val="3"/>
            <w:vAlign w:val="center"/>
          </w:tcPr>
          <w:p>
            <w:pPr>
              <w:adjustRightInd w:val="0"/>
              <w:snapToGrid w:val="0"/>
              <w:rPr>
                <w:snapToGrid w:val="0"/>
                <w:kern w:val="0"/>
                <w:szCs w:val="21"/>
                <w:highlight w:val="none"/>
              </w:rPr>
            </w:pPr>
            <w:r>
              <w:rPr>
                <w:snapToGrid w:val="0"/>
                <w:kern w:val="0"/>
                <w:szCs w:val="21"/>
                <w:highlight w:val="no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continue"/>
            <w:vAlign w:val="center"/>
          </w:tcPr>
          <w:p>
            <w:pPr>
              <w:adjustRightInd w:val="0"/>
              <w:snapToGrid w:val="0"/>
              <w:rPr>
                <w:snapToGrid w:val="0"/>
                <w:kern w:val="0"/>
                <w:szCs w:val="21"/>
                <w:highlight w:val="none"/>
              </w:rPr>
            </w:pPr>
          </w:p>
        </w:tc>
        <w:tc>
          <w:tcPr>
            <w:tcW w:w="1985" w:type="dxa"/>
            <w:vMerge w:val="continue"/>
            <w:vAlign w:val="center"/>
          </w:tcPr>
          <w:p>
            <w:pPr>
              <w:adjustRightInd w:val="0"/>
              <w:snapToGrid w:val="0"/>
              <w:rPr>
                <w:snapToGrid w:val="0"/>
                <w:kern w:val="0"/>
                <w:szCs w:val="21"/>
                <w:highlight w:val="none"/>
              </w:rPr>
            </w:pPr>
          </w:p>
        </w:tc>
        <w:tc>
          <w:tcPr>
            <w:tcW w:w="2819" w:type="dxa"/>
            <w:vAlign w:val="center"/>
          </w:tcPr>
          <w:p>
            <w:pPr>
              <w:adjustRightInd w:val="0"/>
              <w:snapToGrid w:val="0"/>
              <w:rPr>
                <w:snapToGrid w:val="0"/>
                <w:kern w:val="0"/>
                <w:sz w:val="18"/>
                <w:szCs w:val="18"/>
                <w:highlight w:val="none"/>
              </w:rPr>
            </w:pPr>
            <w:r>
              <w:rPr>
                <w:snapToGrid w:val="0"/>
                <w:kern w:val="0"/>
                <w:sz w:val="18"/>
                <w:szCs w:val="18"/>
                <w:highlight w:val="none"/>
              </w:rPr>
              <w:t>没有按发包人审定的总控或阶段计划投入，一般设备每少1台</w:t>
            </w:r>
          </w:p>
        </w:tc>
        <w:tc>
          <w:tcPr>
            <w:tcW w:w="3418" w:type="dxa"/>
            <w:gridSpan w:val="3"/>
            <w:vAlign w:val="center"/>
          </w:tcPr>
          <w:p>
            <w:pPr>
              <w:adjustRightInd w:val="0"/>
              <w:snapToGrid w:val="0"/>
              <w:rPr>
                <w:snapToGrid w:val="0"/>
                <w:kern w:val="0"/>
                <w:szCs w:val="21"/>
                <w:highlight w:val="none"/>
              </w:rPr>
            </w:pPr>
            <w:r>
              <w:rPr>
                <w:snapToGrid w:val="0"/>
                <w:kern w:val="0"/>
                <w:szCs w:val="21"/>
                <w:highlight w:val="none"/>
              </w:rPr>
              <w:t>10000</w:t>
            </w:r>
          </w:p>
        </w:tc>
      </w:tr>
    </w:tbl>
    <w:p>
      <w:pPr>
        <w:pStyle w:val="186"/>
        <w:rPr>
          <w:color w:val="auto"/>
          <w:highlight w:val="none"/>
        </w:rPr>
      </w:pPr>
      <w:r>
        <w:rPr>
          <w:color w:val="auto"/>
          <w:highlight w:val="none"/>
        </w:rPr>
        <w:t>（4）经发包人或监理单位抽查发现承包人违反合同专用条款第9.5（1）款的约定，其现场组织管理人员或施工作业人员没有佩带平安卡的，由承包人按每人次500元的标准向发包人支付违约金并立即改正。</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right="11" w:firstLine="460" w:firstLineChars="192"/>
        <w:rPr>
          <w:snapToGrid w:val="0"/>
          <w:kern w:val="0"/>
          <w:szCs w:val="21"/>
          <w:highlight w:val="none"/>
        </w:rPr>
      </w:pPr>
      <w:r>
        <w:rPr>
          <w:rFonts w:ascii="Wingdings 2" w:hAnsi="Wingdings 2"/>
          <w:bCs/>
          <w:snapToGrid w:val="0"/>
          <w:kern w:val="0"/>
          <w:sz w:val="24"/>
          <w:highlight w:val="none"/>
        </w:rPr>
        <w:t></w:t>
      </w:r>
      <w:r>
        <w:rPr>
          <w:snapToGrid w:val="0"/>
          <w:kern w:val="0"/>
          <w:szCs w:val="21"/>
          <w:highlight w:val="none"/>
        </w:rPr>
        <w:t>（6）承包人不按本合同约定做好施工管理或配合工作，经总监理工程师或发包人发出限期改正通知后3天内，承包人仍未能整改至令总监理工程师或发包人满意的，</w:t>
      </w:r>
      <w:r>
        <w:rPr>
          <w:bCs/>
          <w:snapToGrid w:val="0"/>
          <w:kern w:val="0"/>
          <w:szCs w:val="21"/>
          <w:highlight w:val="none"/>
        </w:rPr>
        <w:t>由承包人参照</w:t>
      </w:r>
      <w:r>
        <w:rPr>
          <w:snapToGrid w:val="0"/>
          <w:kern w:val="0"/>
          <w:szCs w:val="21"/>
          <w:highlight w:val="none"/>
        </w:rPr>
        <w:t>合同专用条款第38.7（1）款</w:t>
      </w:r>
      <w:r>
        <w:rPr>
          <w:bCs/>
          <w:snapToGrid w:val="0"/>
          <w:kern w:val="0"/>
          <w:szCs w:val="21"/>
          <w:highlight w:val="none"/>
        </w:rPr>
        <w:t>的约定向发包人承担违约责任。</w:t>
      </w:r>
    </w:p>
    <w:p>
      <w:pPr>
        <w:adjustRightInd w:val="0"/>
        <w:snapToGrid w:val="0"/>
        <w:spacing w:line="360" w:lineRule="auto"/>
        <w:ind w:right="11" w:firstLine="460" w:firstLineChars="192"/>
        <w:rPr>
          <w:bCs/>
          <w:snapToGrid w:val="0"/>
          <w:kern w:val="0"/>
          <w:szCs w:val="21"/>
          <w:highlight w:val="none"/>
        </w:rPr>
      </w:pPr>
      <w:r>
        <w:rPr>
          <w:rFonts w:ascii="Wingdings 2" w:hAnsi="Wingdings 2"/>
          <w:bCs/>
          <w:snapToGrid w:val="0"/>
          <w:kern w:val="0"/>
          <w:sz w:val="24"/>
          <w:highlight w:val="none"/>
        </w:rPr>
        <w:t></w:t>
      </w:r>
      <w:r>
        <w:rPr>
          <w:bCs/>
          <w:snapToGrid w:val="0"/>
          <w:kern w:val="0"/>
          <w:szCs w:val="21"/>
          <w:highlight w:val="none"/>
        </w:rPr>
        <w:t>（7）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（8）承包人不按合同约定或发包人要求提交竣工结算资料的，每发生1次，发包人有权要求其承担1次一般违约责任。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（9）承包人单方面擅自终止或解除本合同</w:t>
      </w:r>
      <w:r>
        <w:rPr>
          <w:snapToGrid w:val="0"/>
          <w:kern w:val="0"/>
          <w:szCs w:val="21"/>
          <w:highlight w:val="none"/>
        </w:rPr>
        <w:t>的，应按合同专用条款第38.4（5）款约定的标准向发包人支付违约金及赔偿损失</w:t>
      </w:r>
      <w:r>
        <w:rPr>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（10）承包人单方面擅自部分终止或者部分解除本合同的，</w:t>
      </w:r>
      <w:r>
        <w:rPr>
          <w:snapToGrid w:val="0"/>
          <w:kern w:val="0"/>
          <w:szCs w:val="21"/>
          <w:highlight w:val="none"/>
        </w:rPr>
        <w:t>应按合同专用条款第38.4（4）款约定的标准向发包人支付违约金及赔偿损失</w:t>
      </w:r>
      <w:r>
        <w:rPr>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（11）如承包人违反合同协议书第9条、第10条的约定，未在相关信息发生变化时及时将变更情况书面通知发包人的，经发包人每确认1次，承包人承担1次一般违约责任。</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38.8工期延误方面的违约责任</w:t>
      </w:r>
    </w:p>
    <w:p>
      <w:pPr>
        <w:adjustRightInd w:val="0"/>
        <w:snapToGrid w:val="0"/>
        <w:spacing w:line="360" w:lineRule="auto"/>
        <w:ind w:firstLine="480"/>
        <w:rPr>
          <w:snapToGrid w:val="0"/>
          <w:kern w:val="0"/>
          <w:szCs w:val="21"/>
          <w:highlight w:val="none"/>
        </w:rPr>
      </w:pPr>
      <w:r>
        <w:rPr>
          <w:snapToGrid w:val="0"/>
          <w:kern w:val="0"/>
          <w:szCs w:val="21"/>
          <w:highlight w:val="none"/>
        </w:rPr>
        <w:t>（1）承包人违反合同协议书第3.1款约定延期开工的，每迟延开工1天，发包人有权要求承包人支付本合同价款1‰的违约金；迟延开工超过10天的，发包人有权单方面解除合同</w:t>
      </w:r>
      <w:r>
        <w:rPr>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snapToGrid w:val="0"/>
          <w:kern w:val="0"/>
          <w:szCs w:val="21"/>
          <w:highlight w:val="none"/>
        </w:rPr>
        <w:t>（2）承包人违反合同专用条款第12.1款约定单方面停工的，每停工1天，发包人有权要求承包人支付本合同价款1‰的违约金；连续停工超过5天或累计停工超过10天的，发包人有权单方面解除合同</w:t>
      </w:r>
      <w:r>
        <w:rPr>
          <w:bCs/>
          <w:snapToGrid w:val="0"/>
          <w:kern w:val="0"/>
          <w:szCs w:val="21"/>
          <w:highlight w:val="none"/>
        </w:rPr>
        <w:t>。</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bCs/>
          <w:snapToGrid w:val="0"/>
          <w:kern w:val="0"/>
          <w:szCs w:val="21"/>
          <w:highlight w:val="none"/>
        </w:rPr>
        <w:t>。</w:t>
      </w:r>
    </w:p>
    <w:p>
      <w:pPr>
        <w:adjustRightInd w:val="0"/>
        <w:snapToGrid w:val="0"/>
        <w:spacing w:line="36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（4）承包人违反合同通用条款第14条约定造成本工程不能按照合同协议书第3条约定的竣工日期竣工的，每逾期1天，发包人有权要求承包人支付本合同价款0.5‰的违约金，同时由</w:t>
      </w:r>
      <w:r>
        <w:rPr>
          <w:rFonts w:hint="eastAsia" w:ascii="宋体" w:hAnsi="宋体" w:cs="宋体"/>
          <w:bCs/>
          <w:snapToGrid w:val="0"/>
          <w:kern w:val="0"/>
          <w:szCs w:val="21"/>
          <w:highlight w:val="none"/>
        </w:rPr>
        <w:t>发包人按照对本工程最有利的原则，按如下约定选择处理：</w:t>
      </w:r>
    </w:p>
    <w:p>
      <w:pPr>
        <w:adjustRightInd w:val="0"/>
        <w:snapToGrid w:val="0"/>
        <w:spacing w:line="360" w:lineRule="auto"/>
        <w:ind w:right="11" w:firstLine="420" w:firstLineChars="200"/>
        <w:rPr>
          <w:rFonts w:ascii="宋体" w:hAnsi="宋体" w:cs="宋体"/>
          <w:bCs/>
          <w:snapToGrid w:val="0"/>
          <w:kern w:val="0"/>
          <w:szCs w:val="21"/>
          <w:highlight w:val="none"/>
        </w:rPr>
      </w:pPr>
      <w:r>
        <w:rPr>
          <w:rFonts w:hint="eastAsia" w:ascii="宋体" w:hAnsi="宋体" w:cs="宋体"/>
          <w:snapToGrid w:val="0"/>
          <w:kern w:val="0"/>
          <w:szCs w:val="21"/>
          <w:highlight w:val="none"/>
        </w:rPr>
        <w:t>1）</w:t>
      </w:r>
      <w:r>
        <w:rPr>
          <w:rFonts w:hint="eastAsia" w:ascii="宋体" w:hAnsi="宋体" w:cs="宋体"/>
          <w:bCs/>
          <w:snapToGrid w:val="0"/>
          <w:kern w:val="0"/>
          <w:szCs w:val="21"/>
          <w:highlight w:val="none"/>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pPr>
        <w:adjustRightInd w:val="0"/>
        <w:snapToGrid w:val="0"/>
        <w:spacing w:line="360" w:lineRule="auto"/>
        <w:ind w:right="11" w:firstLine="420" w:firstLineChars="200"/>
        <w:rPr>
          <w:rFonts w:ascii="宋体" w:hAnsi="宋体" w:cs="宋体"/>
          <w:bCs/>
          <w:snapToGrid w:val="0"/>
          <w:kern w:val="0"/>
          <w:szCs w:val="21"/>
          <w:highlight w:val="none"/>
        </w:rPr>
      </w:pPr>
      <w:r>
        <w:rPr>
          <w:rFonts w:hint="eastAsia" w:ascii="宋体" w:hAnsi="宋体" w:cs="宋体"/>
          <w:snapToGrid w:val="0"/>
          <w:kern w:val="0"/>
          <w:szCs w:val="21"/>
          <w:highlight w:val="none"/>
        </w:rPr>
        <w:t>2）</w:t>
      </w:r>
      <w:r>
        <w:rPr>
          <w:rFonts w:hint="eastAsia" w:ascii="宋体" w:hAnsi="宋体" w:cs="宋体"/>
          <w:bCs/>
          <w:snapToGrid w:val="0"/>
          <w:kern w:val="0"/>
          <w:szCs w:val="21"/>
          <w:highlight w:val="none"/>
        </w:rPr>
        <w:t>由发包人将未完工程量从本合同中分割，交由第三方完成，由此发生的费用全部从本合同价款中支付，同时</w:t>
      </w:r>
      <w:r>
        <w:rPr>
          <w:rFonts w:hint="eastAsia" w:ascii="宋体" w:hAnsi="宋体" w:cs="宋体"/>
          <w:snapToGrid w:val="0"/>
          <w:kern w:val="0"/>
          <w:szCs w:val="21"/>
          <w:highlight w:val="none"/>
        </w:rPr>
        <w:t>由承包人向发包人支付</w:t>
      </w:r>
      <w:r>
        <w:rPr>
          <w:rFonts w:hint="eastAsia" w:ascii="宋体" w:hAnsi="宋体" w:cs="宋体"/>
          <w:bCs/>
          <w:snapToGrid w:val="0"/>
          <w:kern w:val="0"/>
          <w:szCs w:val="21"/>
          <w:highlight w:val="none"/>
        </w:rPr>
        <w:t>未完工程量</w:t>
      </w:r>
      <w:r>
        <w:rPr>
          <w:rFonts w:hint="eastAsia" w:ascii="宋体" w:hAnsi="宋体" w:cs="宋体"/>
          <w:snapToGrid w:val="0"/>
          <w:kern w:val="0"/>
          <w:szCs w:val="21"/>
          <w:highlight w:val="none"/>
        </w:rPr>
        <w:t>价款20%的违约金并赔偿发包人的实际损失</w:t>
      </w:r>
      <w:r>
        <w:rPr>
          <w:rFonts w:hint="eastAsia" w:ascii="宋体" w:hAnsi="宋体" w:cs="宋体"/>
          <w:bCs/>
          <w:snapToGrid w:val="0"/>
          <w:kern w:val="0"/>
          <w:szCs w:val="21"/>
          <w:highlight w:val="none"/>
        </w:rPr>
        <w:t>。</w:t>
      </w:r>
    </w:p>
    <w:p>
      <w:pPr>
        <w:adjustRightInd w:val="0"/>
        <w:snapToGrid w:val="0"/>
        <w:spacing w:line="360" w:lineRule="auto"/>
        <w:ind w:right="11" w:firstLine="422" w:firstLineChars="200"/>
        <w:rPr>
          <w:rFonts w:ascii="宋体" w:hAnsi="宋体" w:cs="宋体"/>
          <w:b/>
          <w:bCs/>
          <w:snapToGrid w:val="0"/>
          <w:kern w:val="0"/>
          <w:szCs w:val="21"/>
          <w:highlight w:val="none"/>
        </w:rPr>
      </w:pPr>
      <w:r>
        <w:rPr>
          <w:rFonts w:hint="eastAsia" w:ascii="宋体" w:hAnsi="宋体" w:cs="宋体"/>
          <w:b/>
          <w:bCs/>
          <w:snapToGrid w:val="0"/>
          <w:kern w:val="0"/>
          <w:szCs w:val="21"/>
          <w:highlight w:val="none"/>
        </w:rPr>
        <w:t>（5）误期赔偿费：上述工期延误赔偿费的最高限额为本合同价款的2</w:t>
      </w:r>
      <w:r>
        <w:rPr>
          <w:rFonts w:ascii="宋体" w:hAnsi="宋体" w:cs="宋体"/>
          <w:b/>
          <w:bCs/>
          <w:snapToGrid w:val="0"/>
          <w:kern w:val="0"/>
          <w:szCs w:val="21"/>
          <w:highlight w:val="none"/>
        </w:rPr>
        <w:t>%</w:t>
      </w:r>
      <w:r>
        <w:rPr>
          <w:rFonts w:hint="eastAsia" w:ascii="宋体" w:hAnsi="宋体" w:cs="宋体"/>
          <w:b/>
          <w:bCs/>
          <w:snapToGrid w:val="0"/>
          <w:kern w:val="0"/>
          <w:szCs w:val="21"/>
          <w:highlight w:val="none"/>
        </w:rPr>
        <w:t>。工期延误赔偿费列入进度支付文件或竣工结算文件中，在进度款或结算款中扣除。发包人有权根据工程建设实际验收移交情况及进度要求进行豁免，最终以发包人批复为准。</w:t>
      </w:r>
    </w:p>
    <w:p>
      <w:pPr>
        <w:adjustRightInd w:val="0"/>
        <w:snapToGrid w:val="0"/>
        <w:spacing w:line="360" w:lineRule="auto"/>
        <w:ind w:right="11" w:firstLine="422" w:firstLineChars="200"/>
        <w:rPr>
          <w:rFonts w:ascii="宋体" w:hAnsi="宋体" w:cs="宋体"/>
          <w:b/>
          <w:bCs/>
          <w:snapToGrid w:val="0"/>
          <w:kern w:val="0"/>
          <w:szCs w:val="21"/>
          <w:highlight w:val="none"/>
        </w:rPr>
      </w:pPr>
      <w:r>
        <w:rPr>
          <w:rFonts w:hint="eastAsia" w:ascii="宋体" w:hAnsi="宋体" w:cs="宋体"/>
          <w:b/>
          <w:bCs/>
          <w:snapToGrid w:val="0"/>
          <w:kern w:val="0"/>
          <w:szCs w:val="21"/>
          <w:highlight w:val="none"/>
        </w:rPr>
        <w:t>（6）工期延误赔偿费与赶工措施费的扣罚为单独扣罚项。</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38.9材料设备管理方面的违约责任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（1）发包人（包括发包人委托的材料设备检验机构）或总监理工程师抽查承包人的工程材料设备（主要为：</w:t>
      </w:r>
      <w:r>
        <w:rPr>
          <w:snapToGrid w:val="0"/>
          <w:kern w:val="0"/>
          <w:sz w:val="28"/>
          <w:szCs w:val="21"/>
          <w:highlight w:val="none"/>
        </w:rPr>
        <w:t>□</w:t>
      </w:r>
      <w:r>
        <w:rPr>
          <w:b/>
          <w:snapToGrid w:val="0"/>
          <w:kern w:val="0"/>
          <w:szCs w:val="21"/>
          <w:highlight w:val="none"/>
        </w:rPr>
        <w:t xml:space="preserve"> </w:t>
      </w:r>
      <w:r>
        <w:rPr>
          <w:snapToGrid w:val="0"/>
          <w:kern w:val="0"/>
          <w:szCs w:val="21"/>
          <w:highlight w:val="none"/>
        </w:rPr>
        <w:t>甲招乙供材料设备</w:t>
      </w:r>
      <w:r>
        <w:rPr>
          <w:rFonts w:hint="eastAsia"/>
          <w:snapToGrid w:val="0"/>
          <w:kern w:val="0"/>
          <w:szCs w:val="21"/>
          <w:highlight w:val="none"/>
        </w:rPr>
        <w:t xml:space="preserve"> </w:t>
      </w:r>
      <w:r>
        <w:rPr>
          <w:snapToGrid w:val="0"/>
          <w:kern w:val="0"/>
          <w:sz w:val="28"/>
          <w:szCs w:val="21"/>
          <w:highlight w:val="none"/>
        </w:rPr>
        <w:t>□</w:t>
      </w:r>
      <w:r>
        <w:rPr>
          <w:b/>
          <w:snapToGrid w:val="0"/>
          <w:kern w:val="0"/>
          <w:szCs w:val="21"/>
          <w:highlight w:val="none"/>
        </w:rPr>
        <w:t xml:space="preserve"> </w:t>
      </w:r>
      <w:r>
        <w:rPr>
          <w:snapToGrid w:val="0"/>
          <w:kern w:val="0"/>
          <w:szCs w:val="21"/>
          <w:highlight w:val="none"/>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20" w:firstLineChars="200"/>
        <w:rPr>
          <w:snapToGrid w:val="0"/>
          <w:kern w:val="0"/>
          <w:szCs w:val="21"/>
          <w:highlight w:val="none"/>
        </w:rPr>
      </w:pPr>
      <w:r>
        <w:rPr>
          <w:snapToGrid w:val="0"/>
          <w:kern w:val="0"/>
          <w:szCs w:val="21"/>
          <w:highlight w:val="none"/>
        </w:rPr>
        <w:t>A、单宗或批次价值不到5万元的材料设备抽检不合格的，每发生3例，由承包人承担1次一般违约责任。</w:t>
      </w:r>
    </w:p>
    <w:p>
      <w:pPr>
        <w:tabs>
          <w:tab w:val="left" w:pos="1276"/>
        </w:tabs>
        <w:adjustRightInd w:val="0"/>
        <w:snapToGrid w:val="0"/>
        <w:spacing w:line="360" w:lineRule="auto"/>
        <w:ind w:firstLine="420" w:firstLineChars="200"/>
        <w:rPr>
          <w:snapToGrid w:val="0"/>
          <w:kern w:val="0"/>
          <w:szCs w:val="21"/>
          <w:highlight w:val="none"/>
        </w:rPr>
      </w:pPr>
      <w:r>
        <w:rPr>
          <w:snapToGrid w:val="0"/>
          <w:kern w:val="0"/>
          <w:szCs w:val="21"/>
          <w:highlight w:val="none"/>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20" w:firstLineChars="200"/>
        <w:rPr>
          <w:snapToGrid w:val="0"/>
          <w:kern w:val="0"/>
          <w:szCs w:val="21"/>
          <w:highlight w:val="none"/>
        </w:rPr>
      </w:pPr>
      <w:r>
        <w:rPr>
          <w:snapToGrid w:val="0"/>
          <w:kern w:val="0"/>
          <w:szCs w:val="21"/>
          <w:highlight w:val="none"/>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20" w:firstLineChars="200"/>
        <w:rPr>
          <w:bCs/>
          <w:snapToGrid w:val="0"/>
          <w:kern w:val="0"/>
          <w:szCs w:val="21"/>
          <w:highlight w:val="none"/>
        </w:rPr>
      </w:pPr>
      <w:r>
        <w:rPr>
          <w:snapToGrid w:val="0"/>
          <w:kern w:val="0"/>
          <w:szCs w:val="21"/>
          <w:highlight w:val="none"/>
        </w:rPr>
        <w:t>D、单宗或批次价值达到50万元以上的材料设备抽检不合格的，每发生1例，发包人有权单方面部分解除合同或解除合同。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赔偿给发包人。</w:t>
      </w:r>
    </w:p>
    <w:p>
      <w:pPr>
        <w:pStyle w:val="39"/>
        <w:adjustRightInd w:val="0"/>
        <w:snapToGrid w:val="0"/>
        <w:spacing w:line="360" w:lineRule="auto"/>
        <w:ind w:firstLine="420" w:firstLineChars="200"/>
        <w:rPr>
          <w:rFonts w:ascii="Times New Roman" w:hAnsi="Times New Roman" w:eastAsia="宋体"/>
          <w:snapToGrid w:val="0"/>
          <w:kern w:val="0"/>
          <w:szCs w:val="21"/>
          <w:highlight w:val="none"/>
        </w:rPr>
      </w:pPr>
      <w:r>
        <w:rPr>
          <w:rFonts w:ascii="Times New Roman" w:hAnsi="Times New Roman" w:eastAsia="宋体"/>
          <w:snapToGrid w:val="0"/>
          <w:kern w:val="0"/>
          <w:szCs w:val="21"/>
          <w:highlight w:val="none"/>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38.10工程质量方面的违约责任</w:t>
      </w:r>
    </w:p>
    <w:p>
      <w:pPr>
        <w:adjustRightInd w:val="0"/>
        <w:snapToGrid w:val="0"/>
        <w:spacing w:line="360" w:lineRule="auto"/>
        <w:ind w:firstLine="420" w:firstLineChars="200"/>
        <w:rPr>
          <w:bCs/>
          <w:snapToGrid w:val="0"/>
          <w:kern w:val="0"/>
          <w:szCs w:val="21"/>
          <w:highlight w:val="none"/>
        </w:rPr>
      </w:pPr>
      <w:r>
        <w:rPr>
          <w:snapToGrid w:val="0"/>
          <w:kern w:val="0"/>
          <w:szCs w:val="21"/>
          <w:highlight w:val="none"/>
        </w:rPr>
        <w:t>（1）承包人必须对各工序报验核查质量控制点。承包人申请报验后，经总监理工程师或发包人检查发现存在较大质量问题（存在质量问题的部分超过检查部分工程的10%）的，则该工序质量为不合格，承包人必须</w:t>
      </w:r>
      <w:r>
        <w:rPr>
          <w:bCs/>
          <w:snapToGrid w:val="0"/>
          <w:kern w:val="0"/>
          <w:szCs w:val="21"/>
          <w:highlight w:val="none"/>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工程竣工验收不符合国家强制性标准及规范要求或者未能实现一次验收合格的，承包人除应向发包人支付本工程合同价款的20%作为违约金并无偿采取补救措施及赔偿发包人的直接损失及间接损失，还应承担由此引起的一切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（4）由于承包人的原因发生工程质量事故的，承包人应全额赔偿发包人的损失并承担相关法律责任。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38.11安全生产方面的违约责任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snapToGrid w:val="0"/>
          <w:kern w:val="0"/>
          <w:szCs w:val="21"/>
          <w:highlight w:val="none"/>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（3）承包人因自身原因造成安全事故的，除按国家规定由主管部门处罚外，承包人必须依照下列约定承担违约责任：</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1）发生特别重大事故，承包人按事故所造成损失金额的15%向发包人支付违约金，同时违约金的数额不得低于40万元；</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2）发生重大事故，承包人按事故所造成损失金额的12%向发包人支付违约金，同时违约金的数额不得低于30万元；</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3）发生较大事故，承包人按事故所造成损失金额的10%向发包人支付违约金，同时违约金数额不得低于20万元；</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4）发生一般事故，承包人按事故所造成损失金额的8%向发包人支付违约金，同时违约金数额不得低于10万元。</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发生上述安全事故，发包人给予承包人1次严重违约处罚，直至部分或全部解除合同。情节较轻的，给予1次一般违约处罚。</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承包人依照上述约定支付违约金后，所支付的违约金不足以弥补由此给发包人造成的损失的，承包人还须补偿发包人的其他损失。</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38.12文明施工、环境保护方面的违约责任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38.13工程转包、分包方面的违约责任</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38.14施工人员工资支付方面的违约责任</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2）由于承包人或其管理的分包单位（包括施工专业分包、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（3）因承包人违约导致发包人暂停支付工程款时，承包人不得以此为理由拖欠施工人员工资，在发包人和承包人就暂停支付工程款问题解决之前，承包人有义务先行支付其所属工人工资。</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38.15除上述约定之外，承包人不履行或不完全履行合同其他义务的，均构成违约，应当承担1次一般违约责任。情节较轻的，可给予书面警告；情节较重的，应当承担1次严重违约责任。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38.16承包人违约责任的认定方式、送达程序及违约金的处理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（1）认定方式：以发包人发出的通知、通报、会议纪要等书面文件确定的内容为准。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（2）送达程序：发包人以下列方式之一将书面违约处理决定送达承包人：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1）承包人现场管理机构工作人员签收。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2）承包人其他工作人员签收。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3）发包人邮寄送达。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adjustRightInd w:val="0"/>
        <w:snapToGrid w:val="0"/>
        <w:spacing w:line="360" w:lineRule="auto"/>
        <w:ind w:firstLine="422" w:firstLineChars="200"/>
        <w:rPr>
          <w:rFonts w:ascii="宋体" w:hAnsi="宋体" w:cs="宋体"/>
          <w:b/>
          <w:snapToGrid w:val="0"/>
          <w:kern w:val="0"/>
          <w:szCs w:val="21"/>
          <w:highlight w:val="none"/>
        </w:rPr>
      </w:pPr>
      <w:r>
        <w:rPr>
          <w:rFonts w:hint="eastAsia" w:ascii="宋体" w:hAnsi="宋体" w:cs="宋体"/>
          <w:b/>
          <w:snapToGrid w:val="0"/>
          <w:kern w:val="0"/>
          <w:szCs w:val="21"/>
          <w:highlight w:val="none"/>
        </w:rPr>
        <w:t>违约扣减的费用总额不得超过本合同价的20%，如非承包人原因造成的费用扣减，经甲方审批同意后，可免责扣罚，最终以甲方审批意见为准。</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39、索赔</w:t>
      </w:r>
    </w:p>
    <w:p>
      <w:pPr>
        <w:adjustRightInd w:val="0"/>
        <w:snapToGrid w:val="0"/>
        <w:spacing w:line="360" w:lineRule="auto"/>
        <w:ind w:right="11" w:firstLine="405" w:firstLineChars="192"/>
        <w:rPr>
          <w:b/>
          <w:snapToGrid w:val="0"/>
          <w:kern w:val="0"/>
          <w:szCs w:val="21"/>
          <w:highlight w:val="none"/>
        </w:rPr>
      </w:pPr>
      <w:r>
        <w:rPr>
          <w:b/>
          <w:snapToGrid w:val="0"/>
          <w:kern w:val="0"/>
          <w:szCs w:val="21"/>
          <w:highlight w:val="none"/>
        </w:rPr>
        <w:t>承包人与发包人一致同意不适用合同通用条款第39.2、39.3款的约定，代之以：</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39.2承包人向发包人索赔的程序</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当索赔事件首次发生之日起14天内，承包人将自己的索赔意向书面通知监理单位，并呈交给发包人一份副本。若索赔事件首次发生之日起14天内，承包人未提出索赔意向书，则从第15天起，监理单位及发包人有权拒绝承包人的索赔要求。</w:t>
      </w:r>
    </w:p>
    <w:p>
      <w:pPr>
        <w:adjustRightInd w:val="0"/>
        <w:snapToGrid w:val="0"/>
        <w:spacing w:line="360" w:lineRule="auto"/>
        <w:ind w:right="11" w:firstLine="420" w:firstLineChars="200"/>
        <w:rPr>
          <w:bCs/>
          <w:snapToGrid w:val="0"/>
          <w:kern w:val="0"/>
          <w:szCs w:val="21"/>
          <w:highlight w:val="none"/>
        </w:rPr>
      </w:pPr>
      <w:r>
        <w:rPr>
          <w:snapToGrid w:val="0"/>
          <w:kern w:val="0"/>
          <w:szCs w:val="21"/>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adjustRightInd w:val="0"/>
        <w:snapToGrid w:val="0"/>
        <w:spacing w:line="360" w:lineRule="auto"/>
        <w:ind w:right="11" w:firstLine="420" w:firstLineChars="200"/>
        <w:rPr>
          <w:bCs/>
          <w:snapToGrid w:val="0"/>
          <w:kern w:val="0"/>
          <w:szCs w:val="21"/>
          <w:highlight w:val="none"/>
        </w:rPr>
      </w:pPr>
      <w:r>
        <w:rPr>
          <w:snapToGrid w:val="0"/>
          <w:kern w:val="0"/>
          <w:szCs w:val="21"/>
          <w:highlight w:val="none"/>
        </w:rPr>
        <w:t>（3）承包人应在发出索赔意向通知之日起14天内，向监理单位报送一份说明索赔所依据的理由和索赔款额的具体细节帐目的索赔报告。如果索赔事件尚未结束，承包人在索赔事件结束后的14天内，再报一份最终索赔报告给监理单位。</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lang w:val="zh-CN"/>
        </w:rPr>
        <w:t>39.3承包人未能按合同约定履行自己的各项义务或发生错误，发包人按</w:t>
      </w:r>
      <w:r>
        <w:rPr>
          <w:snapToGrid w:val="0"/>
          <w:kern w:val="0"/>
          <w:szCs w:val="21"/>
          <w:highlight w:val="none"/>
        </w:rPr>
        <w:t>如下约定向承包人索赔：</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（1）发包人将自己的索赔意向书面通知承包人（同时抄送其担保银行），要求承包人在限期内纠正其违约行为，否则发包人将考虑按合同约定作出相关处理决定。</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（3）如果通过向银行索赔的方式依然不能完全弥补发包人的损失，则发包人有权在应支付给承包人的工程款中直接扣取。同时发包人有权要求承包人在规定时间内按合同专用条款第44</w:t>
      </w:r>
      <w:r>
        <w:rPr>
          <w:snapToGrid w:val="0"/>
          <w:kern w:val="0"/>
          <w:szCs w:val="21"/>
          <w:highlight w:val="none"/>
          <w:lang w:val="zh-CN"/>
        </w:rPr>
        <w:t>.</w:t>
      </w:r>
      <w:r>
        <w:rPr>
          <w:snapToGrid w:val="0"/>
          <w:kern w:val="0"/>
          <w:szCs w:val="21"/>
          <w:highlight w:val="none"/>
        </w:rPr>
        <w:t>5款的约定向发包人补充提交履约银行保函。</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（4）如果通过向银行索赔以及直接扣取工程款等方式依然不能完全弥补发包人损失的，承包人必须在发包人规定的时间内以现金形式支付剩余索赔额，否则发包人将按合同专用条款第40条的约定处理。</w:t>
      </w:r>
    </w:p>
    <w:p>
      <w:pPr>
        <w:adjustRightInd w:val="0"/>
        <w:snapToGrid w:val="0"/>
        <w:spacing w:line="360" w:lineRule="auto"/>
        <w:ind w:right="11" w:firstLine="405" w:firstLineChars="192"/>
        <w:rPr>
          <w:b/>
          <w:snapToGrid w:val="0"/>
          <w:kern w:val="0"/>
          <w:szCs w:val="21"/>
          <w:highlight w:val="none"/>
        </w:rPr>
      </w:pPr>
      <w:r>
        <w:rPr>
          <w:b/>
          <w:snapToGrid w:val="0"/>
          <w:kern w:val="0"/>
          <w:szCs w:val="21"/>
          <w:highlight w:val="none"/>
        </w:rPr>
        <w:t>承包人与发包人一致同意增加39.4：</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pPr>
        <w:adjustRightInd w:val="0"/>
        <w:snapToGrid w:val="0"/>
        <w:spacing w:line="360" w:lineRule="auto"/>
        <w:ind w:right="11" w:firstLine="422" w:firstLineChars="200"/>
        <w:rPr>
          <w:b/>
          <w:bCs/>
          <w:snapToGrid w:val="0"/>
          <w:kern w:val="0"/>
          <w:szCs w:val="21"/>
          <w:highlight w:val="none"/>
        </w:rPr>
      </w:pPr>
      <w:r>
        <w:rPr>
          <w:b/>
          <w:bCs/>
          <w:snapToGrid w:val="0"/>
          <w:kern w:val="0"/>
          <w:szCs w:val="21"/>
          <w:highlight w:val="none"/>
        </w:rPr>
        <w:t>40、争议</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40.1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40.</w:t>
      </w:r>
      <w:r>
        <w:rPr>
          <w:snapToGrid w:val="0"/>
          <w:kern w:val="0"/>
          <w:szCs w:val="21"/>
          <w:highlight w:val="none"/>
        </w:rPr>
        <w:t>2</w:t>
      </w:r>
      <w:r>
        <w:rPr>
          <w:rFonts w:hint="eastAsia"/>
          <w:snapToGrid w:val="0"/>
          <w:kern w:val="0"/>
          <w:szCs w:val="21"/>
          <w:highlight w:val="none"/>
        </w:rPr>
        <w:t xml:space="preserve"> 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承包人与发包人一致同意增加40.3：</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40.3承包人无条件承诺：</w:t>
      </w:r>
      <w:r>
        <w:rPr>
          <w:rFonts w:hint="eastAsia"/>
          <w:snapToGrid w:val="0"/>
          <w:kern w:val="0"/>
          <w:szCs w:val="21"/>
          <w:highlight w:val="none"/>
        </w:rPr>
        <w:t>当</w:t>
      </w:r>
      <w:r>
        <w:rPr>
          <w:snapToGrid w:val="0"/>
          <w:kern w:val="0"/>
          <w:szCs w:val="21"/>
          <w:highlight w:val="none"/>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kern w:val="0"/>
          <w:szCs w:val="21"/>
          <w:highlight w:val="none"/>
          <w:u w:val="single"/>
        </w:rPr>
        <w:t>7</w:t>
      </w:r>
      <w:r>
        <w:rPr>
          <w:snapToGrid w:val="0"/>
          <w:kern w:val="0"/>
          <w:szCs w:val="21"/>
          <w:highlight w:val="none"/>
        </w:rPr>
        <w:t>天内完成撤场，若承包人逾期撤场，发包人有权强制搬离承包人物品（一切后果及相关费用由承包人自行承担）且承包人须自应当撤场之日起每日向发包人</w:t>
      </w:r>
      <w:r>
        <w:rPr>
          <w:rFonts w:hint="eastAsia"/>
          <w:snapToGrid w:val="0"/>
          <w:kern w:val="0"/>
          <w:szCs w:val="21"/>
          <w:highlight w:val="none"/>
        </w:rPr>
        <w:t>支付金额为</w:t>
      </w:r>
      <w:r>
        <w:rPr>
          <w:snapToGrid w:val="0"/>
          <w:kern w:val="0"/>
          <w:szCs w:val="21"/>
          <w:highlight w:val="none"/>
        </w:rPr>
        <w:t>合同总价</w:t>
      </w:r>
      <w:r>
        <w:rPr>
          <w:snapToGrid w:val="0"/>
          <w:kern w:val="0"/>
          <w:szCs w:val="21"/>
          <w:highlight w:val="none"/>
          <w:u w:val="single"/>
        </w:rPr>
        <w:t>1</w:t>
      </w:r>
      <w:r>
        <w:rPr>
          <w:rFonts w:hint="eastAsia"/>
          <w:snapToGrid w:val="0"/>
          <w:kern w:val="0"/>
          <w:szCs w:val="21"/>
          <w:highlight w:val="none"/>
          <w:u w:val="single"/>
        </w:rPr>
        <w:t>%</w:t>
      </w:r>
      <w:r>
        <w:rPr>
          <w:snapToGrid w:val="0"/>
          <w:kern w:val="0"/>
          <w:szCs w:val="21"/>
          <w:highlight w:val="none"/>
          <w:u w:val="single"/>
        </w:rPr>
        <w:t xml:space="preserve"> </w:t>
      </w:r>
      <w:r>
        <w:rPr>
          <w:snapToGrid w:val="0"/>
          <w:kern w:val="0"/>
          <w:szCs w:val="21"/>
          <w:highlight w:val="none"/>
        </w:rPr>
        <w:t>的违约金。承包人的撤场不影响发包人另行解决争议和索赔的权利。</w:t>
      </w:r>
    </w:p>
    <w:p>
      <w:pPr>
        <w:pStyle w:val="4"/>
        <w:jc w:val="left"/>
        <w:rPr>
          <w:snapToGrid w:val="0"/>
          <w:kern w:val="0"/>
          <w:highlight w:val="none"/>
        </w:rPr>
      </w:pPr>
      <w:bookmarkStart w:id="421" w:name="_Toc132813126"/>
      <w:bookmarkStart w:id="422" w:name="_Toc520902615"/>
      <w:bookmarkStart w:id="423" w:name="_Toc520902837"/>
      <w:bookmarkStart w:id="424" w:name="_Toc519503090"/>
      <w:bookmarkStart w:id="425" w:name="_Toc514681192"/>
      <w:bookmarkStart w:id="426" w:name="_Toc514666983"/>
      <w:bookmarkStart w:id="427" w:name="_Toc520901470"/>
      <w:bookmarkStart w:id="428" w:name="_Toc514664870"/>
      <w:bookmarkStart w:id="429" w:name="_Toc514681773"/>
      <w:bookmarkStart w:id="430" w:name="_Toc517774570"/>
      <w:bookmarkStart w:id="431" w:name="_Toc518481742"/>
      <w:bookmarkStart w:id="432" w:name="_Toc516495986"/>
      <w:bookmarkStart w:id="433" w:name="_Toc520902766"/>
      <w:bookmarkStart w:id="434" w:name="_Toc514665153"/>
      <w:bookmarkStart w:id="435" w:name="_Toc517954583"/>
      <w:bookmarkStart w:id="436" w:name="_Toc520358064"/>
      <w:bookmarkStart w:id="437" w:name="_Toc514665292"/>
      <w:bookmarkStart w:id="438" w:name="_Toc519502260"/>
      <w:bookmarkStart w:id="439" w:name="_Toc520358240"/>
      <w:bookmarkStart w:id="440" w:name="_Toc514663869"/>
      <w:r>
        <w:rPr>
          <w:rFonts w:hint="eastAsia"/>
          <w:snapToGrid w:val="0"/>
          <w:kern w:val="0"/>
          <w:highlight w:val="none"/>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204"/>
        <w:ind w:firstLine="422" w:firstLineChars="200"/>
        <w:rPr>
          <w:b/>
          <w:color w:val="auto"/>
          <w:highlight w:val="none"/>
        </w:rPr>
      </w:pPr>
      <w:r>
        <w:rPr>
          <w:b/>
          <w:color w:val="auto"/>
          <w:highlight w:val="none"/>
        </w:rPr>
        <w:t>41、工程分包</w:t>
      </w:r>
    </w:p>
    <w:p>
      <w:pPr>
        <w:pStyle w:val="204"/>
        <w:ind w:firstLine="420" w:firstLineChars="200"/>
        <w:rPr>
          <w:color w:val="auto"/>
          <w:highlight w:val="none"/>
        </w:rPr>
      </w:pPr>
      <w:r>
        <w:rPr>
          <w:color w:val="auto"/>
          <w:highlight w:val="none"/>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承包人与发包人一致同意增加41.5至41.11：</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41.6下列行为，属于违法分包：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（1）承包人将专业工程或者劳务作业分包给不具备相应资质条件的分包人的；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（2）本合同中未有约定，又未经发包人书面认可，承包人将承包工程中的部分专业工程分包给他人的。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41.8承包人应参照合同专用条款第7条、第9条的有关约定，在发包人书面批准分包之日起5天内将分包单位工程现场组织管理人员名单及劳动力、施工机械设备投入计划报送发包人且负责落实到位，并接受总监理工程师和发包人代表的查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41.9分包工程价款由承包人与发包人结算。承包人应按本合同及分包合同的有关约定及时审核、申请支付各种工程、劳务及材料设备款项，并向发包人提交下列资料：</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（1）属专业工程分包的，应向发包人提交分包人提交给承包人的履约担保文件复印件（应同时携带原件供发包人复核），具体按招标文件或发包人要求执行。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（2）属材料设备供货的，应向发包人提交供货商提交给承包人的履约担保文件复印件（应同时携带原件供发包人复核），具体按招标文件或发包人要求执行。</w:t>
      </w:r>
    </w:p>
    <w:p>
      <w:pPr>
        <w:adjustRightInd w:val="0"/>
        <w:snapToGrid w:val="0"/>
        <w:spacing w:line="360" w:lineRule="auto"/>
        <w:ind w:right="11" w:firstLine="420" w:firstLineChars="200"/>
        <w:rPr>
          <w:bCs/>
          <w:iCs/>
          <w:snapToGrid w:val="0"/>
          <w:kern w:val="0"/>
          <w:szCs w:val="21"/>
          <w:highlight w:val="none"/>
        </w:rPr>
      </w:pPr>
      <w:r>
        <w:rPr>
          <w:snapToGrid w:val="0"/>
          <w:kern w:val="0"/>
          <w:szCs w:val="21"/>
          <w:highlight w:val="none"/>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pPr>
        <w:adjustRightInd w:val="0"/>
        <w:snapToGrid w:val="0"/>
        <w:spacing w:line="360" w:lineRule="auto"/>
        <w:ind w:firstLine="422" w:firstLineChars="200"/>
        <w:rPr>
          <w:b/>
          <w:bCs/>
          <w:snapToGrid w:val="0"/>
          <w:kern w:val="0"/>
          <w:szCs w:val="21"/>
          <w:highlight w:val="none"/>
        </w:rPr>
      </w:pPr>
      <w:r>
        <w:rPr>
          <w:b/>
          <w:bCs/>
          <w:snapToGrid w:val="0"/>
          <w:kern w:val="0"/>
          <w:szCs w:val="21"/>
          <w:highlight w:val="none"/>
        </w:rPr>
        <w:t>42、不可抗力</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42.1不可抗力，是指不能预见、不能避免并不能克服，对本工程的施工造成重大实质性影响的自然灾害</w:t>
      </w:r>
      <w:r>
        <w:rPr>
          <w:rFonts w:hint="eastAsia"/>
          <w:snapToGrid w:val="0"/>
          <w:kern w:val="0"/>
          <w:szCs w:val="21"/>
          <w:highlight w:val="none"/>
        </w:rPr>
        <w:t>、行为（如征收、征用等）和</w:t>
      </w:r>
      <w:r>
        <w:rPr>
          <w:snapToGrid w:val="0"/>
          <w:kern w:val="0"/>
          <w:szCs w:val="21"/>
          <w:highlight w:val="none"/>
        </w:rPr>
        <w:t>战争、</w:t>
      </w:r>
      <w:r>
        <w:rPr>
          <w:rFonts w:hint="eastAsia"/>
          <w:snapToGrid w:val="0"/>
          <w:kern w:val="0"/>
          <w:szCs w:val="21"/>
          <w:highlight w:val="none"/>
        </w:rPr>
        <w:t>社会异常事件</w:t>
      </w:r>
      <w:r>
        <w:rPr>
          <w:snapToGrid w:val="0"/>
          <w:kern w:val="0"/>
          <w:szCs w:val="21"/>
          <w:highlight w:val="none"/>
        </w:rPr>
        <w:t>（不包括承包人内部的任何纠纷和纷争）等。政府对本工程的政策变化、计划的调整，导致本工程不能如期进行，也属不可抗力的范围。</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自然灾害的范围及其认定方式，按如下约定执行：</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（1）异常天气：发包人（或政府职能部门）指令为确保安全而停工的</w:t>
      </w:r>
      <w:r>
        <w:rPr>
          <w:rFonts w:hint="eastAsia"/>
          <w:bCs/>
          <w:snapToGrid w:val="0"/>
          <w:kern w:val="0"/>
          <w:szCs w:val="21"/>
          <w:highlight w:val="none"/>
        </w:rPr>
        <w:t>台风、洪水、冰雹等天气，均</w:t>
      </w:r>
      <w:r>
        <w:rPr>
          <w:bCs/>
          <w:snapToGrid w:val="0"/>
          <w:kern w:val="0"/>
          <w:szCs w:val="21"/>
          <w:highlight w:val="none"/>
        </w:rPr>
        <w:t>可认定为是不可抗力。</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（2）里氏5级（含5级）以上的地震。</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42.3因不可抗力引起工程停工的，工期按合同专用条款第13条的有关约定执行，费用承担按如下约定执行：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（1）工程本身的损害，由发包人承担。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（3）运至施工场地用于施工的材料和待安装的设备的损害，属发包人供应的由发包人承担；属承包人采购的由承包人承担。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（4）发包人、承包人的人员伤亡由其所在单位负责，并承担相应费用。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（5）承包人机械设备损坏及停工损失，由承包人承担。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（6）停工期间，承包人应总监理工程师要求留在施工场地的必要的管理人员及保卫人员的费用由承包人承担。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（7）工程所需清理费用由承包人承担，修复费用由发包人承担。</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43、保险</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43.6双方同意按照以下约定购买工程保险：</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（1）承包人应当购买的保险包括：</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1）建筑（安装）工程一切险及附加第三者责任险：</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2）建筑职工意外伤害险（足额购买）；</w:t>
      </w:r>
    </w:p>
    <w:p>
      <w:pPr>
        <w:adjustRightInd w:val="0"/>
        <w:snapToGrid w:val="0"/>
        <w:spacing w:line="360" w:lineRule="auto"/>
        <w:ind w:right="11" w:firstLine="420" w:firstLineChars="200"/>
        <w:rPr>
          <w:b/>
          <w:bCs/>
          <w:snapToGrid w:val="0"/>
          <w:kern w:val="0"/>
          <w:szCs w:val="21"/>
          <w:highlight w:val="none"/>
        </w:rPr>
      </w:pPr>
      <w:r>
        <w:rPr>
          <w:snapToGrid w:val="0"/>
          <w:kern w:val="0"/>
          <w:szCs w:val="21"/>
          <w:highlight w:val="none"/>
        </w:rPr>
        <w:t>3）承包人雇主责任险；</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4）施工机械设备保险；</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5）</w:t>
      </w:r>
      <w:r>
        <w:rPr>
          <w:bCs/>
          <w:snapToGrid w:val="0"/>
          <w:kern w:val="0"/>
          <w:szCs w:val="21"/>
          <w:highlight w:val="none"/>
        </w:rPr>
        <w:t>按《广州市建筑业职工参加工伤保险实施办法》（穗人社发[2015]73号）规定缴纳的工伤保险费</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运至施工场地内用于工程的材料和待安装设备，由承包人办理保险，并支付保险费用。</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（2）承包人不按上述约定购买保险所产生的后果，由承包人承担。</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44、</w:t>
      </w:r>
      <w:r>
        <w:rPr>
          <w:rFonts w:hint="eastAsia"/>
          <w:b/>
          <w:bCs/>
          <w:snapToGrid w:val="0"/>
          <w:kern w:val="0"/>
          <w:szCs w:val="21"/>
          <w:highlight w:val="none"/>
        </w:rPr>
        <w:t>履约</w:t>
      </w:r>
      <w:r>
        <w:rPr>
          <w:b/>
          <w:bCs/>
          <w:snapToGrid w:val="0"/>
          <w:kern w:val="0"/>
          <w:szCs w:val="21"/>
          <w:highlight w:val="none"/>
        </w:rPr>
        <w:t>担保</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44.3双方同意，承包人按如下约定向发包人提供履约担保：</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中标通知书发出之日起15日内，承包人须向发包人提交金额为中标价10%的履约担保。承包人可自行选择以银行履约保函的方式的方式提交履约担保。承包人如未能在上述约定的时间内提交履约担保的，视为自动放弃中标资格，其所提交的投标保证金不予退还。</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银行履约保函为由在中华人民共和国注册且营业地点在广州市行政辖区内的银行开出的《银行履约保函》原件，保函有效期应根据合同规定工期加1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28天后作为保函失效时间。</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承包人与发包人一致同意增加44.4至44.7：</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44.4承包人提交的履约银行保函是对本合同约定的承包人的全部义务（包括但不限于承包人违约后应支付的违约金和赔偿金）的担保，承包人的任何一次不履行或不完全履行合同义务的行为，发包人均有权扣除保证金或向出函银行提出索赔。</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44.5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44.6如果承包人不按发包人的要求及时补充提交履约银行保函，则发包人有权单方面部分解除或解除本合同，并按合同专用条款第38.4（4）、（5）及47.9、47.10、47.11款的有关约定执行。</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47、合同解除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47.7合同解除后，不影响双方在合同中约定的结算和清理条款的效力，亦不能免除承包人对已完工项目的保修责任。</w:t>
      </w:r>
    </w:p>
    <w:p>
      <w:pPr>
        <w:adjustRightInd w:val="0"/>
        <w:snapToGrid w:val="0"/>
        <w:spacing w:line="360" w:lineRule="auto"/>
        <w:ind w:right="11" w:firstLine="405" w:firstLineChars="192"/>
        <w:rPr>
          <w:b/>
          <w:snapToGrid w:val="0"/>
          <w:kern w:val="0"/>
          <w:szCs w:val="21"/>
          <w:highlight w:val="none"/>
        </w:rPr>
      </w:pPr>
      <w:r>
        <w:rPr>
          <w:b/>
          <w:snapToGrid w:val="0"/>
          <w:kern w:val="0"/>
          <w:szCs w:val="21"/>
          <w:highlight w:val="none"/>
        </w:rPr>
        <w:t>承包人与发包人一致同意增加47.8至47.11：</w:t>
      </w:r>
    </w:p>
    <w:p>
      <w:pPr>
        <w:adjustRightInd w:val="0"/>
        <w:snapToGrid w:val="0"/>
        <w:spacing w:line="360" w:lineRule="auto"/>
        <w:ind w:right="11" w:firstLine="403" w:firstLineChars="192"/>
        <w:rPr>
          <w:b/>
          <w:bCs/>
          <w:snapToGrid w:val="0"/>
          <w:kern w:val="0"/>
          <w:szCs w:val="21"/>
          <w:highlight w:val="none"/>
        </w:rPr>
      </w:pPr>
      <w:r>
        <w:rPr>
          <w:snapToGrid w:val="0"/>
          <w:kern w:val="0"/>
          <w:szCs w:val="21"/>
          <w:highlight w:val="none"/>
        </w:rPr>
        <w:t>47.8发包人有权依据本合同有关条款的约定部分解除合同或解除合同。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47.9部分解除合同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承包人违约致部分解除合同的条件成就时，承包人在此承诺：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（1）因承包人违约致部分解除合同的条件成就时，发包人有权向承包人发出部分解除合同的通知，该通知送达承包人时部分解除合同即生效，并立即按照合同专用条款第38.4（4）款的约定执行。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（2）承包人在接到部分解除合同的通知后，在2天内停止该部分工程的施工，并将机械、材料、物件、人员从该部分工程的施工场地完成撤离。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在接到部分解除合同的通知后，停工的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（4）承包人在收到部分解除合同的通知后，若不按上述约定执行，发包人有权自行处理承包人滞留在施工现场的物品，处理费用及因此所造成的损失由承包人承担。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（5）部分解除合同的通知送达承包人后，发包人就该部分解除合同的工程即可另行与其他单位签订施工合同，承包人不得阻碍新的单位进场施工。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（6）当部分解除合同的工程额达到本合同价款的50%时，发包人有权解除合同。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47.10解除合同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承包人违约致解除合同的条件成就时，承包人在此承诺：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（1）因承包人违约致解除合同的条件成就时，发包人有权向承包人发出解除合同的通知，该通知送达承包人时解除合同即生效，并立即按照合同专用条款第38.4（5）款的约定执行。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承包人接到解除合同的通知后，必须在2天内停止工程施工，并在10天内将机械、材料、物件、人员从施工现场完成撤离。停工的3天内，发包人、监理单位将会同承包人对已完成工程量进行清点，清点规则比照部分解除合同的情形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（4）解除合同的通知送达承包人后，发包人就该解除合同的工程即可另行与其他单位签订施工合同，承包人不得阻碍新的单位进场施工。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47.11承包人在部分解除合同或解除合同后，还必须在规定期限内作好已施工项目技术资料和实物的交底、移交工作。承包人因未履行上述义务而给发包人带来工期延误和其他损失的，应赔偿发包人的实际损失。</w:t>
      </w:r>
    </w:p>
    <w:p>
      <w:pPr>
        <w:adjustRightInd w:val="0"/>
        <w:snapToGrid w:val="0"/>
        <w:spacing w:line="360" w:lineRule="auto"/>
        <w:ind w:right="11" w:firstLine="405" w:firstLineChars="192"/>
        <w:rPr>
          <w:snapToGrid w:val="0"/>
          <w:kern w:val="0"/>
          <w:szCs w:val="21"/>
          <w:highlight w:val="none"/>
        </w:rPr>
      </w:pPr>
      <w:r>
        <w:rPr>
          <w:b/>
          <w:bCs/>
          <w:snapToGrid w:val="0"/>
          <w:kern w:val="0"/>
          <w:szCs w:val="21"/>
          <w:highlight w:val="none"/>
        </w:rPr>
        <w:t>50、补充条款</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50.1施工水电费（包括承包人管理范围内的专业单位、分包单位的水电费）由承包人向有关部门缴纳，发包人协助办理相关手续。</w:t>
      </w:r>
    </w:p>
    <w:p>
      <w:pPr>
        <w:adjustRightInd w:val="0"/>
        <w:snapToGrid w:val="0"/>
        <w:spacing w:line="360" w:lineRule="auto"/>
        <w:ind w:right="11" w:firstLine="403" w:firstLineChars="192"/>
        <w:rPr>
          <w:dstrike/>
          <w:snapToGrid w:val="0"/>
          <w:kern w:val="0"/>
          <w:szCs w:val="21"/>
          <w:highlight w:val="none"/>
        </w:rPr>
      </w:pPr>
      <w:r>
        <w:rPr>
          <w:snapToGrid w:val="0"/>
          <w:kern w:val="0"/>
          <w:szCs w:val="21"/>
          <w:highlight w:val="none"/>
        </w:rPr>
        <w:t>50.2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50.3双方一致同意，在工程未竣工验收移交前所有工程资料均归发包人所有，并必须在现场存放保管，发包人委托监理单位负责看管，在未得到发包人同意前，上述资料不得移出工地现场。</w:t>
      </w:r>
    </w:p>
    <w:p>
      <w:pPr>
        <w:autoSpaceDE w:val="0"/>
        <w:autoSpaceDN w:val="0"/>
        <w:adjustRightInd w:val="0"/>
        <w:snapToGrid w:val="0"/>
        <w:spacing w:line="360" w:lineRule="auto"/>
        <w:ind w:firstLine="420" w:firstLineChars="200"/>
        <w:rPr>
          <w:snapToGrid w:val="0"/>
          <w:kern w:val="0"/>
          <w:szCs w:val="21"/>
          <w:highlight w:val="none"/>
        </w:rPr>
      </w:pPr>
      <w:r>
        <w:rPr>
          <w:snapToGrid w:val="0"/>
          <w:kern w:val="0"/>
          <w:szCs w:val="21"/>
          <w:highlight w:val="none"/>
        </w:rPr>
        <w:t>50.4承包人必须接受政府有关部门对本工程的监督，并无条件配合政府指定的审计机构的审计。</w:t>
      </w:r>
    </w:p>
    <w:p>
      <w:pPr>
        <w:autoSpaceDE w:val="0"/>
        <w:autoSpaceDN w:val="0"/>
        <w:adjustRightInd w:val="0"/>
        <w:snapToGrid w:val="0"/>
        <w:spacing w:line="360" w:lineRule="auto"/>
        <w:ind w:firstLine="420" w:firstLineChars="200"/>
        <w:rPr>
          <w:snapToGrid w:val="0"/>
          <w:kern w:val="0"/>
          <w:szCs w:val="21"/>
          <w:highlight w:val="none"/>
        </w:rPr>
      </w:pPr>
      <w:r>
        <w:rPr>
          <w:snapToGrid w:val="0"/>
          <w:kern w:val="0"/>
          <w:szCs w:val="21"/>
          <w:highlight w:val="none"/>
        </w:rPr>
        <w:t>50.</w:t>
      </w:r>
      <w:r>
        <w:rPr>
          <w:rFonts w:hint="eastAsia"/>
          <w:snapToGrid w:val="0"/>
          <w:kern w:val="0"/>
          <w:szCs w:val="21"/>
          <w:highlight w:val="none"/>
        </w:rPr>
        <w:t>5</w:t>
      </w:r>
      <w:r>
        <w:rPr>
          <w:snapToGrid w:val="0"/>
          <w:kern w:val="0"/>
          <w:szCs w:val="21"/>
          <w:highlight w:val="none"/>
        </w:rPr>
        <w:t xml:space="preserve"> 综合考评：鉴于本工程的重要性，为确保本合同工程质量，发包人将对参与本合同项目建设的设计、施工、监理等单位进行综合考评，并根据综合考评的结果按照相关规定执行。</w:t>
      </w:r>
    </w:p>
    <w:p>
      <w:pPr>
        <w:autoSpaceDE w:val="0"/>
        <w:autoSpaceDN w:val="0"/>
        <w:adjustRightInd w:val="0"/>
        <w:snapToGrid w:val="0"/>
        <w:spacing w:line="360" w:lineRule="auto"/>
        <w:ind w:firstLine="420" w:firstLineChars="200"/>
        <w:rPr>
          <w:snapToGrid w:val="0"/>
          <w:kern w:val="0"/>
          <w:szCs w:val="21"/>
          <w:highlight w:val="none"/>
        </w:rPr>
      </w:pPr>
      <w:r>
        <w:rPr>
          <w:snapToGrid w:val="0"/>
          <w:kern w:val="0"/>
          <w:szCs w:val="21"/>
          <w:highlight w:val="none"/>
        </w:rPr>
        <w:t>50.</w:t>
      </w:r>
      <w:r>
        <w:rPr>
          <w:rFonts w:hint="eastAsia"/>
          <w:snapToGrid w:val="0"/>
          <w:kern w:val="0"/>
          <w:szCs w:val="21"/>
          <w:highlight w:val="none"/>
        </w:rPr>
        <w:t>6</w:t>
      </w:r>
      <w:r>
        <w:rPr>
          <w:snapToGrid w:val="0"/>
          <w:kern w:val="0"/>
          <w:szCs w:val="21"/>
          <w:highlight w:val="none"/>
        </w:rPr>
        <w:t xml:space="preserve"> 其他约定事项</w:t>
      </w:r>
    </w:p>
    <w:p>
      <w:pPr>
        <w:autoSpaceDE w:val="0"/>
        <w:autoSpaceDN w:val="0"/>
        <w:adjustRightInd w:val="0"/>
        <w:snapToGrid w:val="0"/>
        <w:spacing w:line="360" w:lineRule="auto"/>
        <w:ind w:firstLine="422" w:firstLineChars="200"/>
        <w:rPr>
          <w:b/>
          <w:bCs/>
          <w:kern w:val="0"/>
          <w:szCs w:val="21"/>
          <w:highlight w:val="none"/>
          <w:u w:val="single"/>
        </w:rPr>
      </w:pPr>
      <w:r>
        <w:rPr>
          <w:b/>
          <w:bCs/>
          <w:kern w:val="0"/>
          <w:szCs w:val="21"/>
          <w:highlight w:val="none"/>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pPr>
        <w:autoSpaceDE w:val="0"/>
        <w:autoSpaceDN w:val="0"/>
        <w:adjustRightInd w:val="0"/>
        <w:snapToGrid w:val="0"/>
        <w:spacing w:line="360" w:lineRule="auto"/>
        <w:ind w:firstLine="422" w:firstLineChars="200"/>
        <w:rPr>
          <w:b/>
          <w:bCs/>
          <w:kern w:val="0"/>
          <w:szCs w:val="21"/>
          <w:highlight w:val="none"/>
          <w:u w:val="single"/>
        </w:rPr>
      </w:pPr>
      <w:r>
        <w:rPr>
          <w:b/>
          <w:snapToGrid w:val="0"/>
          <w:kern w:val="0"/>
          <w:szCs w:val="21"/>
          <w:highlight w:val="none"/>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b/>
          <w:bCs/>
          <w:kern w:val="0"/>
          <w:szCs w:val="21"/>
          <w:highlight w:val="none"/>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pPr>
        <w:autoSpaceDE w:val="0"/>
        <w:autoSpaceDN w:val="0"/>
        <w:adjustRightInd w:val="0"/>
        <w:snapToGrid w:val="0"/>
        <w:spacing w:line="360" w:lineRule="auto"/>
        <w:ind w:firstLine="422" w:firstLineChars="200"/>
        <w:rPr>
          <w:b/>
          <w:bCs/>
          <w:kern w:val="0"/>
          <w:szCs w:val="21"/>
          <w:highlight w:val="none"/>
          <w:u w:val="single"/>
        </w:rPr>
      </w:pPr>
      <w:r>
        <w:rPr>
          <w:b/>
          <w:bCs/>
          <w:kern w:val="0"/>
          <w:szCs w:val="21"/>
          <w:highlight w:val="none"/>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pPr>
        <w:adjustRightInd w:val="0"/>
        <w:snapToGrid w:val="0"/>
        <w:spacing w:line="360" w:lineRule="auto"/>
        <w:ind w:firstLine="283" w:firstLineChars="135"/>
        <w:rPr>
          <w:snapToGrid w:val="0"/>
          <w:kern w:val="0"/>
          <w:szCs w:val="21"/>
          <w:highlight w:val="none"/>
        </w:rPr>
      </w:pPr>
    </w:p>
    <w:p>
      <w:pPr>
        <w:widowControl/>
        <w:jc w:val="left"/>
        <w:rPr>
          <w:b/>
          <w:sz w:val="52"/>
          <w:szCs w:val="52"/>
          <w:highlight w:val="none"/>
        </w:rPr>
      </w:pPr>
      <w:r>
        <w:rPr>
          <w:b/>
          <w:sz w:val="52"/>
          <w:szCs w:val="52"/>
          <w:highlight w:val="none"/>
        </w:rPr>
        <w:br w:type="page"/>
      </w:r>
    </w:p>
    <w:p>
      <w:pPr>
        <w:pStyle w:val="3"/>
        <w:jc w:val="center"/>
        <w:rPr>
          <w:snapToGrid w:val="0"/>
          <w:kern w:val="0"/>
          <w:highlight w:val="none"/>
        </w:rPr>
      </w:pPr>
      <w:bookmarkStart w:id="441" w:name="_Toc132813127"/>
      <w:r>
        <w:rPr>
          <w:rFonts w:hint="eastAsia"/>
          <w:snapToGrid w:val="0"/>
          <w:kern w:val="0"/>
          <w:highlight w:val="none"/>
        </w:rPr>
        <w:t>第三篇  合同通用条款</w:t>
      </w:r>
      <w:bookmarkEnd w:id="441"/>
    </w:p>
    <w:p>
      <w:pPr>
        <w:pStyle w:val="43"/>
        <w:adjustRightInd w:val="0"/>
        <w:snapToGrid w:val="0"/>
        <w:spacing w:line="360" w:lineRule="auto"/>
        <w:rPr>
          <w:rFonts w:ascii="宋体" w:hAnsi="宋体" w:cs="宋体"/>
          <w:snapToGrid w:val="0"/>
          <w:kern w:val="0"/>
          <w:sz w:val="21"/>
          <w:szCs w:val="21"/>
          <w:highlight w:val="none"/>
        </w:rPr>
      </w:pPr>
      <w:r>
        <w:rPr>
          <w:rFonts w:hint="eastAsia" w:ascii="宋体" w:hAnsi="宋体" w:cs="宋体"/>
          <w:snapToGrid w:val="0"/>
          <w:kern w:val="0"/>
          <w:sz w:val="21"/>
          <w:szCs w:val="21"/>
          <w:highlight w:val="none"/>
        </w:rPr>
        <w:t>（适用于各类公用建筑、民用住宅、工业厂房、交通设施及线路管道的施工和设备安装）</w:t>
      </w:r>
    </w:p>
    <w:p>
      <w:pPr>
        <w:pStyle w:val="4"/>
        <w:jc w:val="left"/>
        <w:rPr>
          <w:snapToGrid w:val="0"/>
          <w:kern w:val="0"/>
          <w:highlight w:val="none"/>
        </w:rPr>
      </w:pPr>
      <w:bookmarkStart w:id="442" w:name="_Toc518481744"/>
      <w:bookmarkStart w:id="443" w:name="_Toc520358242"/>
      <w:bookmarkStart w:id="444" w:name="_Toc516495988"/>
      <w:bookmarkStart w:id="445" w:name="_Toc514666985"/>
      <w:bookmarkStart w:id="446" w:name="_Toc132813128"/>
      <w:bookmarkStart w:id="447" w:name="_Toc520901472"/>
      <w:bookmarkStart w:id="448" w:name="_Toc517774572"/>
      <w:bookmarkStart w:id="449" w:name="_Toc514663871"/>
      <w:bookmarkStart w:id="450" w:name="_Toc517954585"/>
      <w:bookmarkStart w:id="451" w:name="_Toc514681775"/>
      <w:bookmarkStart w:id="452" w:name="_Toc514665294"/>
      <w:bookmarkStart w:id="453" w:name="_Toc520902768"/>
      <w:bookmarkStart w:id="454" w:name="_Toc519503092"/>
      <w:bookmarkStart w:id="455" w:name="_Toc520902839"/>
      <w:bookmarkStart w:id="456" w:name="_Toc520902617"/>
      <w:bookmarkStart w:id="457" w:name="_Toc514681194"/>
      <w:bookmarkStart w:id="458" w:name="_Toc514665155"/>
      <w:bookmarkStart w:id="459" w:name="_Toc519502262"/>
      <w:bookmarkStart w:id="460" w:name="_Toc520358066"/>
      <w:bookmarkStart w:id="461" w:name="_Toc514664872"/>
      <w:r>
        <w:rPr>
          <w:rFonts w:hint="eastAsia"/>
          <w:snapToGrid w:val="0"/>
          <w:kern w:val="0"/>
          <w:highlight w:val="none"/>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1、词语定义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下列词语除合同专用条款另有约定外，应具有本条所赋予的定义：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1.1合同通用条款：是根据法律、行政法规规定及建设工程施工的需要订立，通用于建设工程施工的条款。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1.2合同专用条款：是发包人与承包人根据法律、行政法规规定，结合具体工程实际，经协商达成一致意见的条款，是对合同通用条款的具体化、补充或修改。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1.3发包人：指在合同协议书中约定，具有工程发包主体资格和支付工程价款能力的当事人以及取得该当事人资格的合法继承人。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1.4承包人：指在合同协议书中约定，被发包人接受的具有工程施工承包主体资格的当事人以及取得该当事人资格的合法继承人。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1.5项目经理：指承包人在合同专用条款中指定的负责施工管理和合同履行的代表。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1.6设计单位：指发包人委托的负责本工程设计并取得相应工程设计资质等级证书的单位。</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1.7监理单位：指发包人委托的负责本工程监理并取得相应工程监理资质等级证书的单位。</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1.8工程师：指本工程监理单位委派的总监理工程师或发包人指定的履行本合同的代表，其具体身份和职权由发包人、承包人在合同专用条款中约定。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1.9工程造价管理部门：指国务院有关部门、县级以上人民政府建设行政主管部门或其委托的工程造价管理机构。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1.10工程：指发包人、承包人在合同协议书中约定的承包范围内的工程。</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1.11合同价款：指发包人、承包人在合同协议书中约定，发包人用以支付承包人按照合同约定完成承包范围内全部工程并承担质量保修责任的款项。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1.12追加合同价款：指在合同履行中发生需要增加合同价款的情况，经发包人确认后按计算合同价款的方法增加的合同价款。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1.13费用：指不包含在合同价款之内的应当由发包人或承包人承担的经济支出。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1.14工期：指发包人、承包人在合同协议书中约定，按总日历天数（包括法定节假日）计算的承包天数。</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1.15开工日期：指发包人、承包人在合同协议书中约定，承包人开始施工的绝对或相对的日期。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1.16竣工日期：指发包人、承包人在合同协议书中约定，承包人完成承包范围内工程的绝对或相对的日期。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1.17图纸：指由发包人提供或由承包人提供并经发包人批准，满足承包人施工需要的所有图纸（包括配套说明和有关资料）。</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1.18施工场地：指由发包人提供的用于工程施工的场所以及发包人在图纸中具体指定的供施工使用的任何其他场所。</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1.19书面形式：指合同书、信件和数据电文（包括电报、电传、传真、电子数据交换和电子邮件）等可以有形地表现所载内容的形式。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1.20违约责任：指合同一方不履行合同义务或履行合同义务不符合约定所应承担的责任。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1.21索赔：指在合同履行过程中，对于并非自己的过错，而是应由对方承担责任的情况造成的实际损失，向对方提出经济补偿和（或）工期顺延的要求。</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1.22不可抗力：指不能预见、不能避免并不能克服的客观情况。</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2、合同文件及解释顺序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2.1合同文件应能相互解释，互为说明。除合同专用条款另有约定外，组成本合同的文件及优先解释顺序如下：</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（1）合同协议书</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（2）中标通知书</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（3）投标书及其附件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（4）合同专用条款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（5）合同通用条款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（6）标准、规范及有关技术文件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（7）图纸</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（8）工程量清单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（9）工程报价单或预算书</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合同履行中，发包人、承包人有关工程的洽商、变更等书面协议或文件视为本合同的组成部分。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3、语言文字和适用法律、标准及规范</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3.1语言文字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本合同文件使用汉语语言文字书写、解释和说明。如合同专用条款约定使用两种以上（含两种）语言文字时，汉语应为解释和说明本合同的标准语言文字。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在少数民族地区，双方可以约定使用少数民族语言文字书写和解释、说明本合同。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3.2适用法律和法规</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本合同文件适用国家的法律和行政法规。需要明示的法律、行政法规，由双方在合同专用条款中约定。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3.3适用标准、规范</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本条所发生的购买、翻译标准、规范或制定施工工艺的费用，由发包人承担。</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4、图纸</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4.2承包人未经发包人同意，不得将本工程图纸转给第三人。工程质量保修期满后，除承包人存档需要的图纸外，应将全部图纸退还给发包人。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4.3承包人应在施工现场保留一套完整图纸，供工程师及有关人员进行工程检查时使用。</w:t>
      </w:r>
    </w:p>
    <w:p>
      <w:pPr>
        <w:pStyle w:val="4"/>
        <w:jc w:val="left"/>
        <w:rPr>
          <w:snapToGrid w:val="0"/>
          <w:kern w:val="0"/>
          <w:highlight w:val="none"/>
        </w:rPr>
      </w:pPr>
      <w:bookmarkStart w:id="462" w:name="_Toc520902840"/>
      <w:bookmarkStart w:id="463" w:name="_Toc519503093"/>
      <w:bookmarkStart w:id="464" w:name="_Toc518481745"/>
      <w:bookmarkStart w:id="465" w:name="_Toc514681195"/>
      <w:bookmarkStart w:id="466" w:name="_Toc517954586"/>
      <w:bookmarkStart w:id="467" w:name="_Toc514665156"/>
      <w:bookmarkStart w:id="468" w:name="_Toc132813129"/>
      <w:bookmarkStart w:id="469" w:name="_Toc520902618"/>
      <w:bookmarkStart w:id="470" w:name="_Toc514665295"/>
      <w:bookmarkStart w:id="471" w:name="_Toc520358067"/>
      <w:bookmarkStart w:id="472" w:name="_Toc514663872"/>
      <w:bookmarkStart w:id="473" w:name="_Toc517774573"/>
      <w:bookmarkStart w:id="474" w:name="_Toc519502263"/>
      <w:bookmarkStart w:id="475" w:name="_Toc520902769"/>
      <w:bookmarkStart w:id="476" w:name="_Toc514666986"/>
      <w:bookmarkStart w:id="477" w:name="_Toc514664873"/>
      <w:bookmarkStart w:id="478" w:name="_Toc520901473"/>
      <w:bookmarkStart w:id="479" w:name="_Toc514681776"/>
      <w:bookmarkStart w:id="480" w:name="_Toc520358243"/>
      <w:bookmarkStart w:id="481" w:name="_Toc516495989"/>
      <w:r>
        <w:rPr>
          <w:rFonts w:hint="eastAsia"/>
          <w:snapToGrid w:val="0"/>
          <w:kern w:val="0"/>
          <w:highlight w:val="none"/>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5、工程师</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5.1实行工程监理的，发包人应在实施监理前将委托的监理单位名称、监理内容及监理权限以书面形式通知承包人。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5.5除合同内有明确约定或经发包人同意外，负责监理的工程师无权解释本合同约定的承包人任何权利与义务。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5.6不实行工程监理的，本合同中工程师专指发包人派驻施工场地履行合同的代表，其具体职权由发包人在合同专用条款内写明。</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6、工程师的委派和指令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除工程师或工程师代表外，发包人派驻工地的其他人员均无权向承包人发出任何指令。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本款规定同样适用于由工程师代表发出的指令、通知。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6.4如需更换工程师，发包人应至少提前7天以书面形式通知承包人，后任继续行使合同文件约定的前任的职权，履行前任的义务。</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7、项目经理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7.1项目经理的姓名、职务在合同专用条款内写明。</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7.2承包人依据合同发出的通知，以书面形式由项目经理签字后送交工程师，工程师在回执上签署姓名和收到时间后生效。</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7.4承包人如需更换项目经理，应至少提前7天以书面形式通知发包人，并征得发包人同意。后任继续行使合同文件约定的前任的职权，履行前任的义务。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7.5发包人可以与承包人协商，建议更换其认为不称职的项目经理。</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8、发包人工作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8.1发包人按合同专用条款约定的内容和时间完成以下工作：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（1）办理土地征用、拆迁补偿、平整施工场地等工作，使施工场地具备施工条件，在开工后继续负责解决以上事项遗留问题；</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（2）将施工所需水、电、电讯线路从施工场地外部接至合同专用条款约定地点，保证施工期间的需要；</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（3）开通施工场地与城乡公共道路的通道，以及合同专用条款约定的施工场地内的主要道路，满足施工运输的需要，保证施工期间的畅通；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（4）向承包人提供施工场地的工程地质和地下管线资料，对资料的真实准确性负责；</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（5）办理施工许可证及其他施工所需证件、批件和临时用地、停水、停电、中断道路交通、爆破作业等的申请批准手续（证明承包人自身资质的证件除外）；</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（6）确定水准点与坐标控制点，以书面形式交给承包人，进行现场交验；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（7）组织承包人和设计单位进行图纸会审和设计交底；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（8）协调处理施工场地周围地下管线和邻近建筑物、构筑物（包括文物保护建筑）、古树名木的保护工作，承担有关费用；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（9）发包人应做的其他工作，双方在合同专用条款内约定。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8.2发包人可以将8.1款部分工作委托承包人办理，双方在合同专用条款内约定，其费用由发包人承担。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8.3发包人未能履行8.1款各项义务，导致工期延误或给承包人造成损失的，发包人赔偿承包人有关损失，顺延延误的工期。</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9、承包人工作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9.1承包人按合同专用条款约定的内容和时间完成以下工作：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（1）根据发包人委托，在其设计资质等级和业务允许的范围内，完成施工图设计或工程配套的设计，经工程师确认后使用，发包人承担由此发生的费用；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（2）向工程师提供年、季、月度工程进度计划及相应进度统计报表；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（3）根据工程需要，提供和维修非夜间施工使用的照明、围栏设施，并负责安全保卫；</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（4）按合同专用条款约定的数量和要求，向发包人提供施工场地办公和生活的房屋及设施，发包人承担由此发生的费用；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（5）遵守政府有关主管部门对施工场地交通、施工噪音以及环境保护和安全生产等的管理规定，按规定办理有关手续，并以书面形式通知发包人，发包人承担由此发生的费用，因承包人责任造成的罚款除外；</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（7）按合同专用条款约定做好施工场地地下管线和邻近建筑物、构筑物（包括文物保护建筑）、古树名木的保护工作；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（8）保证施工场地清洁符合环境卫生管理的有关规定，交工前清理现场达到合同专用条款约定的要求，承担因自身原因违反有关规定造成的损失和罚款；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（9）承包人应做的其他工作，双方在合同专用条款内约定。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9.2承包人未能履行9.1款各项义务，造成发包人损失的，承包人赔偿发包人有关损失。</w:t>
      </w:r>
    </w:p>
    <w:p>
      <w:pPr>
        <w:pStyle w:val="4"/>
        <w:jc w:val="left"/>
        <w:rPr>
          <w:snapToGrid w:val="0"/>
          <w:kern w:val="0"/>
          <w:highlight w:val="none"/>
        </w:rPr>
      </w:pPr>
      <w:bookmarkStart w:id="482" w:name="_Toc514665296"/>
      <w:bookmarkStart w:id="483" w:name="_Toc518481746"/>
      <w:bookmarkStart w:id="484" w:name="_Toc520902841"/>
      <w:bookmarkStart w:id="485" w:name="_Toc514666987"/>
      <w:bookmarkStart w:id="486" w:name="_Toc517774574"/>
      <w:bookmarkStart w:id="487" w:name="_Toc514681777"/>
      <w:bookmarkStart w:id="488" w:name="_Toc514665157"/>
      <w:bookmarkStart w:id="489" w:name="_Toc519503094"/>
      <w:bookmarkStart w:id="490" w:name="_Toc520902619"/>
      <w:bookmarkStart w:id="491" w:name="_Toc519502264"/>
      <w:bookmarkStart w:id="492" w:name="_Toc514664874"/>
      <w:bookmarkStart w:id="493" w:name="_Toc520358068"/>
      <w:bookmarkStart w:id="494" w:name="_Toc514681196"/>
      <w:bookmarkStart w:id="495" w:name="_Toc516495990"/>
      <w:bookmarkStart w:id="496" w:name="_Toc520358244"/>
      <w:bookmarkStart w:id="497" w:name="_Toc520901474"/>
      <w:bookmarkStart w:id="498" w:name="_Toc514663873"/>
      <w:bookmarkStart w:id="499" w:name="_Toc132813130"/>
      <w:bookmarkStart w:id="500" w:name="_Toc517954587"/>
      <w:bookmarkStart w:id="501" w:name="_Toc520902770"/>
      <w:r>
        <w:rPr>
          <w:rFonts w:hint="eastAsia"/>
          <w:snapToGrid w:val="0"/>
          <w:kern w:val="0"/>
          <w:highlight w:val="none"/>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10、进度计划</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10.1承包人应按合同专用条款约定的日期，将施工组织设计和工程进度计划提交工程师，工程师按合同专用条款约定的时间予以确认或提出修改意见，逾期不确认也不提出书面意见的，视为同意。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10.2群体工程中单位工程分期进行施工的，承包人应按照发包人提供图纸及有关资料的时间，按单位工程编制进度计划，其具体内容双方在合同专用条款中约定。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11、开工及延期开工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11.2因发包人原因不能按照合同协议书约定的开工日期开工，工程师应以书面形式通知承包人，推迟开工日期，发包人赔偿承包人因延期开工造成的损失，并相应顺延工期。</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12、暂停施工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13、工期延误</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13.1因以下原因造成工期延误，经工程师确认，工期相应顺延；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（1）发包人未能按合同专用条款的约定提供图纸及开工条件；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（2）发包人未能按约定日期支付工程预付款、进度款，致使施工不能正常进行；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（3）工程师未按合同约定提供所需指令、批准等，致使施工不能正常进行；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（4）设计变更和工程量增加；</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（5）一周内非承包人原因停水、停电、停气造成停工累计超过8小时；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（6）不可抗力；</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（7）合同专用条款中约定或工程师同意工期顺延的其他情况。</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13.2承包人在13.1款情况发生后14天内，就延误的工期以书面形式向工程师提出报告。工程师在收到报告后14天内予以确认，逾期不予确认也不提出修改意见，视为同意顺延工期。</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14、工程竣工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14.1承包人必须按照合同协议书约定的竣工日期或工程师同意顺延的工期竣工。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14.2因承包人原因不能按照合同协议书约定的竣工日期或工程师同意顺延的工期竣工的，承包人承担违约责任。</w:t>
      </w:r>
    </w:p>
    <w:p>
      <w:pPr>
        <w:adjustRightInd w:val="0"/>
        <w:snapToGrid w:val="0"/>
        <w:spacing w:line="360" w:lineRule="auto"/>
        <w:ind w:firstLine="420" w:firstLineChars="200"/>
        <w:rPr>
          <w:rFonts w:ascii="宋体" w:hAnsi="宋体" w:cs="宋体"/>
          <w:snapToGrid w:val="0"/>
          <w:kern w:val="0"/>
          <w:sz w:val="24"/>
          <w:highlight w:val="none"/>
        </w:rPr>
      </w:pPr>
      <w:r>
        <w:rPr>
          <w:snapToGrid w:val="0"/>
          <w:kern w:val="0"/>
          <w:szCs w:val="21"/>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hAnsi="宋体" w:cs="宋体"/>
          <w:snapToGrid w:val="0"/>
          <w:kern w:val="0"/>
          <w:sz w:val="24"/>
          <w:highlight w:val="none"/>
        </w:rPr>
        <w:t>。</w:t>
      </w:r>
    </w:p>
    <w:p>
      <w:pPr>
        <w:pStyle w:val="4"/>
        <w:jc w:val="left"/>
        <w:rPr>
          <w:snapToGrid w:val="0"/>
          <w:kern w:val="0"/>
          <w:highlight w:val="none"/>
        </w:rPr>
      </w:pPr>
      <w:bookmarkStart w:id="502" w:name="_Toc514663874"/>
      <w:bookmarkStart w:id="503" w:name="_Toc514666988"/>
      <w:bookmarkStart w:id="504" w:name="_Toc517774575"/>
      <w:bookmarkStart w:id="505" w:name="_Toc519503095"/>
      <w:bookmarkStart w:id="506" w:name="_Toc517954588"/>
      <w:bookmarkStart w:id="507" w:name="_Toc514664875"/>
      <w:bookmarkStart w:id="508" w:name="_Toc520902771"/>
      <w:bookmarkStart w:id="509" w:name="_Toc132813131"/>
      <w:bookmarkStart w:id="510" w:name="_Toc519502265"/>
      <w:bookmarkStart w:id="511" w:name="_Toc518481747"/>
      <w:bookmarkStart w:id="512" w:name="_Toc520358245"/>
      <w:bookmarkStart w:id="513" w:name="_Toc514681778"/>
      <w:bookmarkStart w:id="514" w:name="_Toc520901475"/>
      <w:bookmarkStart w:id="515" w:name="_Toc514665158"/>
      <w:bookmarkStart w:id="516" w:name="_Toc516495991"/>
      <w:bookmarkStart w:id="517" w:name="_Toc520358069"/>
      <w:bookmarkStart w:id="518" w:name="_Toc520902620"/>
      <w:bookmarkStart w:id="519" w:name="_Toc514681197"/>
      <w:bookmarkStart w:id="520" w:name="_Toc520902842"/>
      <w:bookmarkStart w:id="521" w:name="_Toc514665297"/>
      <w:r>
        <w:rPr>
          <w:rFonts w:hint="eastAsia"/>
          <w:snapToGrid w:val="0"/>
          <w:kern w:val="0"/>
          <w:highlight w:val="none"/>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15、工程质量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15.1工程质量应当达到合同协议书约定的质量标准，质量标准的评定以国家或行业的质量检验评定标准为依据。因承包人原因工程质量达不到约定的质量标准，承包人承担违约责任。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15.2双方对工程质量有争议，由双方同意的工程质量检测机构鉴定，所需费用及因此造成的损失，由责任方承担。双方均有责任，由双方根据其责任分别承担。</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16、检查和返工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16.1承包人应认真按照标准、规范和设计图纸要求以及工程师依据合同发出的指令施工，随时接受工程师的检查检验，为检查检验提供便利条件。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16.4因工程师指令失误或其他非承包人原因发生的追加合同价款，由发包人承担。</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17、隐蔽工程和中间验收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17.3经工程师验收，工程质量符合标准、规范和设计图纸等要求，验收24小时后，工程师不在验收记录上签字，视为工程师已经认可验收记录，承包人可进行隐蔽或继续施工。</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18、重新检验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19、工程试车</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19.1双方约定需要试车的，试车内容应与承包人承包的安装范围相一致。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19.3工程师不能按时参加试车，须在开始试车前24小时以书面形式向承包人提出延期要求，延期不能超过48小时。工程师未能按以上时间提出延期要求，不参加试车，应承认试车记录。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19.5双方责任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（1）由于设计原因试车达不到验收要求，发包人应要求设计单位修改设计，承包人按修改后的设计重新安装。发包人承担修改设计、拆除及重新安装的全部费用和追加合同价款，工期相应顺延。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（3）由于承包人施工原因试车达不到验收要求，承包人按工程师要求重新安装和试车，并承担重新安装和试车的费用，工期不予顺延。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（4）试车费用除已包括在合同价款之内或合同专用条款另有约定外，均由发包人承担。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（5）工程师在试车合格后不在试车记录上签字，试车结束24小时后，视为工程师已经认可试车记录，承包人可继续施工或办理竣工手续。</w:t>
      </w:r>
    </w:p>
    <w:p>
      <w:pPr>
        <w:adjustRightInd w:val="0"/>
        <w:snapToGrid w:val="0"/>
        <w:spacing w:line="360" w:lineRule="auto"/>
        <w:ind w:firstLine="420" w:firstLineChars="200"/>
        <w:rPr>
          <w:rFonts w:ascii="宋体" w:hAnsi="宋体" w:cs="宋体"/>
          <w:snapToGrid w:val="0"/>
          <w:kern w:val="0"/>
          <w:sz w:val="24"/>
          <w:highlight w:val="none"/>
        </w:rPr>
      </w:pPr>
      <w:r>
        <w:rPr>
          <w:snapToGrid w:val="0"/>
          <w:kern w:val="0"/>
          <w:szCs w:val="21"/>
          <w:highlight w:val="none"/>
        </w:rPr>
        <w:t>19.6投料试车应在工程竣工验收后由发包人负责，如发包人要求在工程竣工验收前进行或需要承包人配合时，应征得承包人同意，另行签订补充协议。</w:t>
      </w:r>
    </w:p>
    <w:p>
      <w:pPr>
        <w:pStyle w:val="4"/>
        <w:jc w:val="left"/>
        <w:rPr>
          <w:snapToGrid w:val="0"/>
          <w:kern w:val="0"/>
          <w:highlight w:val="none"/>
        </w:rPr>
      </w:pPr>
      <w:bookmarkStart w:id="522" w:name="_Toc514663875"/>
      <w:bookmarkStart w:id="523" w:name="_Toc514665159"/>
      <w:bookmarkStart w:id="524" w:name="_Toc514665298"/>
      <w:bookmarkStart w:id="525" w:name="_Toc518481748"/>
      <w:bookmarkStart w:id="526" w:name="_Toc514681779"/>
      <w:bookmarkStart w:id="527" w:name="_Toc514666989"/>
      <w:bookmarkStart w:id="528" w:name="_Toc520901476"/>
      <w:bookmarkStart w:id="529" w:name="_Toc520358070"/>
      <w:bookmarkStart w:id="530" w:name="_Toc520358246"/>
      <w:bookmarkStart w:id="531" w:name="_Toc517954589"/>
      <w:bookmarkStart w:id="532" w:name="_Toc519503096"/>
      <w:bookmarkStart w:id="533" w:name="_Toc520902843"/>
      <w:bookmarkStart w:id="534" w:name="_Toc514681198"/>
      <w:bookmarkStart w:id="535" w:name="_Toc517774576"/>
      <w:bookmarkStart w:id="536" w:name="_Toc520902621"/>
      <w:bookmarkStart w:id="537" w:name="_Toc132813132"/>
      <w:bookmarkStart w:id="538" w:name="_Toc520902772"/>
      <w:bookmarkStart w:id="539" w:name="_Toc516495992"/>
      <w:bookmarkStart w:id="540" w:name="_Toc514664876"/>
      <w:bookmarkStart w:id="541" w:name="_Toc519502266"/>
      <w:r>
        <w:rPr>
          <w:rFonts w:hint="eastAsia"/>
          <w:snapToGrid w:val="0"/>
          <w:kern w:val="0"/>
          <w:highlight w:val="none"/>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20、施工场地的占用和管理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20.2承包人应当严格遵守国家有关建设项目施工现场管理的有关规定，做好施工场地方方面面的管理工作，并应对管理不善引发的纠纷和损失承担全部责任。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20.4承包人应当随时接受政府主管部门的监督和执法检查，并对管理不善之处及时予以全面整改。</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21、安全施工与检查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21.2发包人不得要求承包人违反安全管理的规定进行施工。因发包人原因导致的安全事故，由发包人承担相应责任及发生的费用。</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22、安全防护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22.1承包人在动力设备、输电线路、地下管道、密封防震车间、易燃易爆地段以及临街交通要道附近施工时，施工开始前应向工程师提出安全防护措施，经工程师认可后实施，防护措施费用由发包人承担。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23、事故处理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23.1发生重大伤亡及其他安全事故，承包人应按《建设工程安全管理条例》的规定立即上报有关部门并通知工程师，同时按政府有关部门要求处理，由事故责任方承担发生的费用。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23.2发包人、承包人对事故责任有争议时，应按政府有关部门的认定处理。</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24、文明施工与环境保护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24.1承包人应遵守工程建设文明施工有关管理规定，建立健全文明施工制度，切实采取有效措施，创建文明施工现场。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pPr>
        <w:pStyle w:val="4"/>
        <w:jc w:val="left"/>
        <w:rPr>
          <w:snapToGrid w:val="0"/>
          <w:kern w:val="0"/>
          <w:highlight w:val="none"/>
        </w:rPr>
      </w:pPr>
      <w:bookmarkStart w:id="542" w:name="_Toc520901477"/>
      <w:bookmarkStart w:id="543" w:name="_Toc514665299"/>
      <w:bookmarkStart w:id="544" w:name="_Toc520358247"/>
      <w:bookmarkStart w:id="545" w:name="_Toc132813133"/>
      <w:bookmarkStart w:id="546" w:name="_Toc520358071"/>
      <w:bookmarkStart w:id="547" w:name="_Toc514664877"/>
      <w:bookmarkStart w:id="548" w:name="_Toc514681199"/>
      <w:bookmarkStart w:id="549" w:name="_Toc514665160"/>
      <w:bookmarkStart w:id="550" w:name="_Toc517774577"/>
      <w:bookmarkStart w:id="551" w:name="_Toc517954590"/>
      <w:bookmarkStart w:id="552" w:name="_Toc519502267"/>
      <w:bookmarkStart w:id="553" w:name="_Toc514663876"/>
      <w:bookmarkStart w:id="554" w:name="_Toc514666990"/>
      <w:bookmarkStart w:id="555" w:name="_Toc514681780"/>
      <w:bookmarkStart w:id="556" w:name="_Toc516495993"/>
      <w:bookmarkStart w:id="557" w:name="_Toc520902622"/>
      <w:bookmarkStart w:id="558" w:name="_Toc518481749"/>
      <w:bookmarkStart w:id="559" w:name="_Toc519503097"/>
      <w:bookmarkStart w:id="560" w:name="_Toc520902773"/>
      <w:bookmarkStart w:id="561" w:name="_Toc520902844"/>
      <w:r>
        <w:rPr>
          <w:rFonts w:hint="eastAsia"/>
          <w:snapToGrid w:val="0"/>
          <w:kern w:val="0"/>
          <w:highlight w:val="none"/>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25、合同价款及调整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25.1招标工程的合同价款由发包人、承包人依据中标通知书中的中标价格在合同协议书内约定。非招标工程的合同价款由发包人、承包人依据工程预算书在合同协议书内约定。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25.2合同价款在合同协议书内约定后，任何一方不得擅自改变。下列三种确定合同价款的方式，双方可在合同专用条款内约定采用其中一种：</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（1）固定价格合同。双方在合同专用条款内约定合同价款包含的风险范围和风险费用的计算方法，在约定的风险范围内合同价款不再调整。风险范围以外的合同价款调整方法，应当在合同专用条款内约定。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（2）可调价格合同。合同价款可根据双方的约定而调整，双方在合同专用条款内约定合同价款调整方法。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（3）成本加酬金合同。合同价款包括成本和酬金两部分，双方在合同专用条款内约定成本构成和酬金的计算方法。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25.3可调价格合同中合同价款的调整因素包括：</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（1）法律、行政法规和国家有关政策变化影响合同价款；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（2）工程造价管理部门颁布的价格调整；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（3）一周内非承包人原因停水、停电、停气造成停工累计超过8小时；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（4）双方约定的其他因素。</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26、工程预付款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27、工程量的确认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27.2工程师收到承包人报告后7天内未进行计量，从第8天起，承包人报告中开列的工程量即视为被确认，作为工程价款支付的依据。工程师不按约定时间通知承包人，致使承包人未能参加计量，计量结果无效。</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27.3对承包人超出设计图纸范围和因承包人原因造成返工的工程量，工程师不予计量。</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28、工程款（进度款）支付</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28.1在确认计量结果后14天内，发包人应向承包人支付工程款（进度款）。按约定时间发包人应扣回的预付款，与工程款（进度款）同期结算。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28.2合同通用条款第25条确定调整的合同价款，第33条工程变更调整的合同价款及其他条款中约定的追加合同价款，应与工程款（进度款）同期调整支付。</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28.4发包人不按合同约定支付工程款（进度款），双方又未达成延期付款协议，导致施工无法进行，承包人可停止施工，由发包人承担违约责任。</w:t>
      </w:r>
    </w:p>
    <w:p>
      <w:pPr>
        <w:pStyle w:val="4"/>
        <w:rPr>
          <w:snapToGrid w:val="0"/>
          <w:kern w:val="0"/>
          <w:highlight w:val="none"/>
        </w:rPr>
      </w:pPr>
      <w:bookmarkStart w:id="562" w:name="_Toc520902845"/>
      <w:bookmarkStart w:id="563" w:name="_Toc519502268"/>
      <w:bookmarkStart w:id="564" w:name="_Toc519503098"/>
      <w:bookmarkStart w:id="565" w:name="_Toc514665300"/>
      <w:bookmarkStart w:id="566" w:name="_Toc520902774"/>
      <w:bookmarkStart w:id="567" w:name="_Toc132813134"/>
      <w:bookmarkStart w:id="568" w:name="_Toc517774578"/>
      <w:bookmarkStart w:id="569" w:name="_Toc517954591"/>
      <w:bookmarkStart w:id="570" w:name="_Toc514681781"/>
      <w:bookmarkStart w:id="571" w:name="_Toc520358248"/>
      <w:bookmarkStart w:id="572" w:name="_Toc514663877"/>
      <w:bookmarkStart w:id="573" w:name="_Toc520902623"/>
      <w:bookmarkStart w:id="574" w:name="_Toc514681200"/>
      <w:bookmarkStart w:id="575" w:name="_Toc514665161"/>
      <w:bookmarkStart w:id="576" w:name="_Toc520901478"/>
      <w:bookmarkStart w:id="577" w:name="_Toc520358072"/>
      <w:bookmarkStart w:id="578" w:name="_Toc518481750"/>
      <w:bookmarkStart w:id="579" w:name="_Toc514664878"/>
      <w:bookmarkStart w:id="580" w:name="_Toc516495994"/>
      <w:bookmarkStart w:id="581" w:name="_Toc514666991"/>
      <w:r>
        <w:rPr>
          <w:rFonts w:hint="eastAsia"/>
          <w:snapToGrid w:val="0"/>
          <w:kern w:val="0"/>
          <w:highlight w:val="none"/>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29、发包人供应材料设备</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29.1实行发包人供应材料设备的，双方应当约定发包人供应材料设备的一览表，作为合同附件。一览表包括发包人供应材料设备的品种、规格、型号、数量、单价、质量等级、提供时间和地点。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29.2发包人按一览表约定的内容提供材料设备，并向承包人提供产品合格证明，对其质量负责。发包人在所供材料设备到货前24小时，以书面形式通知承包人，由承包人派人与发包人共同清点。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29.3发包人供应的材料设备，承包人派人参加清点后由承包人妥善保管，发包人支付相应保管费用。因承包人原因发生丢失损坏，由承包人负责赔偿。</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发包人未通知承包人清点，承包人不负责材料设备的保管，丢失损坏由发包人负责。</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29.4发包人供应的材料设备与一览表不符时，发包人承担有关责任。发包人应承担责任的具体内容，双方根据下列情况在合同专用条款内约定：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（1）材料设备单价与一览表不符，由发包人承担所有价差；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（2）材料设备的品种、规格、型号、质量等级与一览表不符，承包人可拒绝接收保管，由发包人运出施工场地并重新采购；</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（3）发包人供应的材料规格、型号与一览表不符，经发包人同意，承包人可代为调剂串换，由发包人承担相应费用；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（4）到货地点与一览表不符，由发包人负责运至一览表指定地点；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（5）供应数量少于一览表约定的数量时，由发包人补齐，多于一览表约定数量时，发包人负责将多出部分运出施工场地；</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（6）到货时间早于一览表约定时间，由发包人承担因此发生的保管费用；到货时间迟于一览表约定的供应时间，发包人赔偿由此造成承包人损失，造成工期延误的，相应顺延工期。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29.5发包人供应的材料设备使用前，由承包人负责检验或试验，不合格的不得使用，检验或试验费用由发包人承担。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29.6发包人供应材料设备的结算方法，双方在合同专用条款内约定。</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30、承包人采购材料设备</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30.1承包人负责采购材料设备的，应按照合同专用条款约定及设计和有关标准要求采购，并提供产品合格证明，对材料设备质量负责。承包人在材料设备到货前24小时通知工程师清点。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30.2承包人采购的材料设备与设计或标准要求不符时，承包人应按工程师要求的时间运出施工场地，重新采购符合要求的产品，承担由此发生的费用，由此延误的工期不予顺延。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30.3承包人采购的材料设备在使用前，承包人应按工程师的要求进行检验或试验，不合格的不得使用，检验或试验费用由承包人承担。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30.4工程师发现承包人采购并使用不符合设计或标准要求的材料或设备时，应要求由承包人负责修复、拆除或重新采购，并承担发生的费用，由此延误的工期不予顺延。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30.5承包人需要使用代用材料时，应经工程师认可后才能使用，由此增减的合同价款双方以书面形式议定。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30.6由承包人采购的材料设备，发包人不得指定生产厂或供应商。</w:t>
      </w:r>
    </w:p>
    <w:p>
      <w:pPr>
        <w:pStyle w:val="4"/>
        <w:jc w:val="left"/>
        <w:rPr>
          <w:snapToGrid w:val="0"/>
          <w:kern w:val="0"/>
          <w:highlight w:val="none"/>
        </w:rPr>
      </w:pPr>
      <w:bookmarkStart w:id="582" w:name="_Toc519502269"/>
      <w:bookmarkStart w:id="583" w:name="_Toc514681201"/>
      <w:bookmarkStart w:id="584" w:name="_Toc518481751"/>
      <w:bookmarkStart w:id="585" w:name="_Toc519503099"/>
      <w:bookmarkStart w:id="586" w:name="_Toc514664879"/>
      <w:bookmarkStart w:id="587" w:name="_Toc514665162"/>
      <w:bookmarkStart w:id="588" w:name="_Toc520358249"/>
      <w:bookmarkStart w:id="589" w:name="_Toc514681782"/>
      <w:bookmarkStart w:id="590" w:name="_Toc517774579"/>
      <w:bookmarkStart w:id="591" w:name="_Toc520901479"/>
      <w:bookmarkStart w:id="592" w:name="_Toc517954592"/>
      <w:bookmarkStart w:id="593" w:name="_Toc514665301"/>
      <w:bookmarkStart w:id="594" w:name="_Toc520358073"/>
      <w:bookmarkStart w:id="595" w:name="_Toc514666992"/>
      <w:bookmarkStart w:id="596" w:name="_Toc520902846"/>
      <w:bookmarkStart w:id="597" w:name="_Toc520902775"/>
      <w:bookmarkStart w:id="598" w:name="_Toc514663878"/>
      <w:bookmarkStart w:id="599" w:name="_Toc520902624"/>
      <w:bookmarkStart w:id="600" w:name="_Toc132813135"/>
      <w:bookmarkStart w:id="601" w:name="_Toc516495995"/>
      <w:r>
        <w:rPr>
          <w:rFonts w:hint="eastAsia"/>
          <w:snapToGrid w:val="0"/>
          <w:kern w:val="0"/>
          <w:highlight w:val="none"/>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31、工程设计变更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（1）更改工程有关部分的标高、基线、位置和尺寸；</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（2）增减合同中约定的工程量；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（3）改变有关工程的施工时间和顺序；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（4）其他有关工程变更需要的附加工作。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因变更导致合同价款的增减及造成的承包人损失，由发包人承担，延误的工期相应顺延。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31.2施工中承包人不得对原工程设计进行变更。因承包人擅自变更设计发生的费用和由此导致发包人的直接损失，由承包人承担，延误的工期不予顺延。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工程师同意采用承包人合理化建议，所发生的费用和获得的收益，发包人、承包人另行约定分担或分享。</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32、其他变更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合同履行中发包人要求变更工程质量标准及发生其他实质性变更，由双方协商解决。</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33、确定变更价款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33.1承包人在工程变更确定后14天内，提出变更工程价款的报告，经工程师确认后调整合同价款。变更合同价款按下列方法进行：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（1）合同中已有适用于变更工程的价格，按合同已有的价格变更合同价款；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（2）合同中只有类似于变更工程的价格，可以参照类似价格变更合同价款；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（3）合同中没有适用或类似于变更工程的价格，由承包人提出适当的变更价款，经工程师确认后执行。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33.2承包人在双方确定变更后14天内不向工程师提出变更工程价款报告时，视为该项变更不涉及合同价款的变更。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33.3工程师应在收到变更工程价款报告之日起14天内予以确认，工程师无正当理由不确认时，自变更工程价款报告送达之日起14天后视为变更工程价款报告已被确认。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33.4工程师不同意承包人提出的变更价款，按合同通用条款第40条关于争议的约定处理。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33.5工程师确认增加的工程变更价款作为追加合同价款，与工程款同期支付。</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33.6因承包人自身原因导致的工程变更，承包人无权要求追加合同价款。</w:t>
      </w:r>
    </w:p>
    <w:p>
      <w:pPr>
        <w:pStyle w:val="4"/>
        <w:jc w:val="left"/>
        <w:rPr>
          <w:snapToGrid w:val="0"/>
          <w:kern w:val="0"/>
          <w:highlight w:val="none"/>
        </w:rPr>
      </w:pPr>
      <w:bookmarkStart w:id="602" w:name="_Toc520358250"/>
      <w:bookmarkStart w:id="603" w:name="_Toc517774580"/>
      <w:bookmarkStart w:id="604" w:name="_Toc520902847"/>
      <w:bookmarkStart w:id="605" w:name="_Toc514665163"/>
      <w:bookmarkStart w:id="606" w:name="_Toc520901480"/>
      <w:bookmarkStart w:id="607" w:name="_Toc514665302"/>
      <w:bookmarkStart w:id="608" w:name="_Toc514666993"/>
      <w:bookmarkStart w:id="609" w:name="_Toc520902625"/>
      <w:bookmarkStart w:id="610" w:name="_Toc514664880"/>
      <w:bookmarkStart w:id="611" w:name="_Toc514681202"/>
      <w:bookmarkStart w:id="612" w:name="_Toc514663879"/>
      <w:bookmarkStart w:id="613" w:name="_Toc519503100"/>
      <w:bookmarkStart w:id="614" w:name="_Toc519502270"/>
      <w:bookmarkStart w:id="615" w:name="_Toc517954593"/>
      <w:bookmarkStart w:id="616" w:name="_Toc516495996"/>
      <w:bookmarkStart w:id="617" w:name="_Toc514681783"/>
      <w:bookmarkStart w:id="618" w:name="_Toc132813136"/>
      <w:bookmarkStart w:id="619" w:name="_Toc518481752"/>
      <w:bookmarkStart w:id="620" w:name="_Toc520902776"/>
      <w:bookmarkStart w:id="621" w:name="_Toc520358074"/>
      <w:r>
        <w:rPr>
          <w:rFonts w:hint="eastAsia"/>
          <w:snapToGrid w:val="0"/>
          <w:kern w:val="0"/>
          <w:highlight w:val="none"/>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34、竣工验收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34.1工程具备竣工验收条件，承包人按国家工程竣工验收有关规定，向发包人提供完整竣工资料及竣工验收报告。双方约定由承包人提供竣工图的，应当在合同专用条款约定提供的日期和份数。</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34.2发包人收到竣工验收报告后28天内组织有关单位验收，并在验收后14天内给予认可或提出修改意见。承包人按要求修改，并承担由自身原因造成修改的费用。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34.3发包人收到承包人送交的竣工验收报告后28天内不组织验收，或验收后14天内不提出修改意见，视为竣工验收报告已被认可。</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34.4工程竣工验收通过，承包人送交竣工验收报告的日期为实际竣工日期。工程按发包人要求修改后通过竣工验收的，实际竣工日期为承包人修改后提请发包人验收的日期。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34.5发包人收到承包人竣工验收报告后28天内不组织验收，从第29天起承担工程保管及一切意外责任。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34.6中间交工工程的范围和竣工时间，双方在合同专用条款内约定，其验收程序按合同通用条款34.1款至34.4款办理。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34.7因特殊原因，发包人要求部分单位工程或工程部位甩项竣工的，双方另行签订甩项竣工协议，明确双方责任和工程价款的支付方法。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34.8工程未经竣工验收或竣工验收未通过的，发包人不得使用。发包人强行使用时，由此发生的质量问题及其他问题，由发包人承担责任。</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35、工程移交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双方在合同专用条款内约定工程移交办法。</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36、竣工结算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36.1工程竣工验收报告经发包人认可后28天内，承包人向发包人递交竣工结算报告及完整的结算资料，双方按照合同协议书约定的合同价款及合同专用条款约定的合同价款调整内容，进行工程竣工结算。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36.3发包人收到竣工结算报告及结算资料后28天内无正当理由不支付工程竣工结算价款，从第29天起按承包人同期向银行贷款利率支付拖欠工程价款的利息，并承担违约责任。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36.6发包人、承包人对工程竣工结算价款发生争议时，按合同通用条款40条关于争议的约定处理。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36.7 本项目作为政府投资项目已纳入年度审计项目计划，审计机关出具的审计结果应当作为该政府项目价款结算的依据。</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37、质量保修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37.1承包人应按法律、行政法规或国家关于工程质量保修的有关规定，对交付发包人使用的工程在质量保修期内承担质量保修责任。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37.2质量保修工作的实施。承包人应在工程竣工验收之前，与发包人签订质量保修书，作为合同附件1。</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37.3质量保修书的主要内容包括：</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（1）质量保修项目内容及范围；</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（2）质量保修期；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（3）质量保修责任；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（4）质量保修金的支付方法。</w:t>
      </w:r>
    </w:p>
    <w:p>
      <w:pPr>
        <w:pStyle w:val="4"/>
        <w:jc w:val="left"/>
        <w:rPr>
          <w:snapToGrid w:val="0"/>
          <w:kern w:val="0"/>
          <w:highlight w:val="none"/>
        </w:rPr>
      </w:pPr>
      <w:bookmarkStart w:id="622" w:name="_Toc132813137"/>
      <w:bookmarkStart w:id="623" w:name="_Toc520358075"/>
      <w:bookmarkStart w:id="624" w:name="_Toc520358251"/>
      <w:bookmarkStart w:id="625" w:name="_Toc520902626"/>
      <w:bookmarkStart w:id="626" w:name="_Toc518481753"/>
      <w:bookmarkStart w:id="627" w:name="_Toc519503101"/>
      <w:bookmarkStart w:id="628" w:name="_Toc514665303"/>
      <w:bookmarkStart w:id="629" w:name="_Toc516495997"/>
      <w:bookmarkStart w:id="630" w:name="_Toc517954594"/>
      <w:bookmarkStart w:id="631" w:name="_Toc514664881"/>
      <w:bookmarkStart w:id="632" w:name="_Toc520901481"/>
      <w:bookmarkStart w:id="633" w:name="_Toc514665164"/>
      <w:bookmarkStart w:id="634" w:name="_Toc520902777"/>
      <w:bookmarkStart w:id="635" w:name="_Toc519502271"/>
      <w:bookmarkStart w:id="636" w:name="_Toc514666994"/>
      <w:bookmarkStart w:id="637" w:name="_Toc514663880"/>
      <w:bookmarkStart w:id="638" w:name="_Toc514681203"/>
      <w:bookmarkStart w:id="639" w:name="_Toc514681784"/>
      <w:bookmarkStart w:id="640" w:name="_Toc520902848"/>
      <w:bookmarkStart w:id="641" w:name="_Toc517774581"/>
      <w:r>
        <w:rPr>
          <w:rFonts w:hint="eastAsia"/>
          <w:snapToGrid w:val="0"/>
          <w:kern w:val="0"/>
          <w:highlight w:val="none"/>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38、违约</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38.1发包人违约。当发生下列情况时：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（1）合同通用条款第26条提到的发包人不按时支付工程预付款；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（2）合同通用条款第28.4款提到的发包人不按合同约定支付工程款，导致施工无法进行；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（3）合同通用条款第36.3款提到的发包人无正当理由不支付工程竣工结算价款；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（4）发包人不履行合同义务或不按合同约定履行义务的其他情况。</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发包人承担违约责任，赔偿因其违约给承包人造成的经济损失，顺延延误的工期。双方在合同专用条款内约定发包人赔偿承包人损失的计算方法或者发包人应当支付违约金的数额或计算方法。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38.2承包人违约。当发生下列情况时：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（1）合同通用条款第14.2款提到的因承包人原因不能按照合同协议书约定的竣工日期或工程师同意顺延的工期竣工；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（2）合同通用条款第15.1款提到的因承包人原因工程质量达不到合同协议书约定的质量标准；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（3）承包人不履行合同义务或不按合同约定履行义务的其他情况。</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承包人承担违约，赔偿因其违约给发包人造成的损失。双方在合同专用条款内约定承包人赔偿发包人损失的计算方法或者承包人应当支付违约金的数额或计算方法。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38.3一方违约后，另一方要求违约方继续履行合同时，违约方承担上述违约责任后仍应继续履行合同。</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39、索赔</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39.1当一方向另一方提出索赔时，要有正当索赔理由，且有索赔事件发生时的有效证据。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（1）索赔事件发生后28天内，向工程师发出索赔意向通知；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（2）发出索赔意向通知后28天内，向工程师提出延长工期和（或）补偿经济损失的索赔报告及有关资料；</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（3）工程师在收到承包人送交的索赔报告和有关资料后，于28天内给予答复，或要求承包人进一步补充索赔理由和证据；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（4）工程师在收到承包人送交的索赔报告和有关资料后28天内未予答复或未对承包人作出进一步要求，视为该项索赔已经认可；</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（5）当该索赔事件持续进行时，承包人应当阶段性向工程师发出索赔意向，在索赔事件终了后28天内，向工程师送交索赔的有关资料和最终索赔报告。索赔答复程序与（3）、（4）规定相同。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39.3承包人未能按合同约定履行自己的各项义务或发生错误，给发包人造成经济损失，发包人可按39.2款确定的时限向承包人提出索赔。</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40、争议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40.1发包人、承包人在履行合同时发生争议，可以和解或者要求有关主管部门调解。当事人不愿和解、调解或者和解、调解不成的，双方可以在合同专用条款内约定以下一种方式解决争议：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第一种解决方式：双方达成仲裁协议，向约定的仲裁委员会申请仲裁；</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第二种解决方式：向有管辖权的人民法院起诉。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40.2发生争议后，除非出现下列情况的，双方都应继续履行合同，保持施工连续，保护好已完工程：</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（1）单方违约导致合同确已无法履行，双方协议停止施工；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（2）调解要求停止施工，且为双方接受；</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（3）仲裁机构要求停止施工；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（4）法院要求停止施工。</w:t>
      </w:r>
    </w:p>
    <w:p>
      <w:pPr>
        <w:pStyle w:val="4"/>
        <w:jc w:val="left"/>
        <w:rPr>
          <w:snapToGrid w:val="0"/>
          <w:kern w:val="0"/>
          <w:highlight w:val="none"/>
        </w:rPr>
      </w:pPr>
      <w:bookmarkStart w:id="642" w:name="_Toc520902849"/>
      <w:bookmarkStart w:id="643" w:name="_Toc516495998"/>
      <w:bookmarkStart w:id="644" w:name="_Toc514663881"/>
      <w:bookmarkStart w:id="645" w:name="_Toc132813138"/>
      <w:bookmarkStart w:id="646" w:name="_Toc514681204"/>
      <w:bookmarkStart w:id="647" w:name="_Toc520358076"/>
      <w:bookmarkStart w:id="648" w:name="_Toc517954595"/>
      <w:bookmarkStart w:id="649" w:name="_Toc520902627"/>
      <w:bookmarkStart w:id="650" w:name="_Toc519503102"/>
      <w:bookmarkStart w:id="651" w:name="_Toc514664882"/>
      <w:bookmarkStart w:id="652" w:name="_Toc518481754"/>
      <w:bookmarkStart w:id="653" w:name="_Toc520901482"/>
      <w:bookmarkStart w:id="654" w:name="_Toc519502272"/>
      <w:bookmarkStart w:id="655" w:name="_Toc514665304"/>
      <w:bookmarkStart w:id="656" w:name="_Toc520358252"/>
      <w:bookmarkStart w:id="657" w:name="_Toc517774582"/>
      <w:bookmarkStart w:id="658" w:name="_Toc520902778"/>
      <w:bookmarkStart w:id="659" w:name="_Toc514666995"/>
      <w:bookmarkStart w:id="660" w:name="_Toc514665165"/>
      <w:bookmarkStart w:id="661" w:name="_Toc514681785"/>
      <w:r>
        <w:rPr>
          <w:rFonts w:hint="eastAsia"/>
          <w:snapToGrid w:val="0"/>
          <w:kern w:val="0"/>
          <w:highlight w:val="none"/>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41、工程分包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41.1承包人按合同专用条款的约定分包所承包的部分工程，并与分包单位签订分包合同。非经发包人同意，承包人不得将承包工程的任务部分分包。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41.2承包人不得将其承包的全部工程转包给他人，也不得将其承包的全部工程肢解以后以分包的名义分别转包给他人。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41.3工程分包不能解除承包人任何责任与义务。承包人应在分包场地派驻相应管理人员，保证本合同的履行。分包单位的任何违约行为或疏忽导致工程损害或给发包人造成其他损失，承包人承担连带责任。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41.4分包工程价款由承包人与发包单位结算。发包人未经承包人同意不得以任何形式向分包单位支付各种工程款项。</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42、不可抗力</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42.1不可抗力包括因战争、动乱、空中飞行物体坠落或其他非发包人、承包人责任造成的爆炸、火灾，以及合同专用条款约定的风、雨、雪、洪、震等自然灾害。</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42.3因不可抗力事件导致的费用及延误的工期由双方按以下方法分别承担：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（1）工程本身的损害、因工程损害导致第三人人员伤亡和财产损失以及运至施工场地用于施工的材料和待安装的设备的损害，由发包人承担；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（2）发包人、承包人人员伤亡由其所在单位负责，并承担相应费用；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（3）承包人机械设备损坏及停工损失，由承包人承担；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（4）停工期间，承包人应工程师要求留在施工场地的必要的管理人员及保卫人员的费用由发包人承担；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（5）工程所需清理、修复费用，由发包人承担；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（6）延误的工期相应顺延。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42.4因合同一方迟延履行合同后发生不可抗力的，不能免除迟延履行方的相应责任。</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43、保险</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43.1工程开工前，发包人为建设工程和施工场地内的自有人员及第三人人员生命财产办理保险，支付保险费用。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43.2运至施工场地内用于工程的材料和待安装设备，由发包人办理保险，并支付保险费用。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43.3发包人可以将有关保险事项委托承包人办理，费用由发包人承担。</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43.4承包人必须为从事危险作业的职工办理意外伤害保险，并为施工场地内自有人员生命财产和施工机械设备办理保险，支付保险费用。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43.5保险事故发生时，发包人、承包人有责任尽力采取必要的措施，防止或者减少损失。</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43.6具体投保内容和相关责任，发包人、承包人在合同专用条款中约定。</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44、担保</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44.1发包人、承包人为了全面履行合同，应互相提供以下担保：</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（1）发包人向承包人提供履约担保，按合同约定支付工程价款及履行合同约定的其他义务。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（2）承包人向发包人提供履约担保，按合同约定履行自己的各项义务。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44.2一方违约后，另一方可要求提供担保的第三人承担相应责任。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44.3提供担保的内容、方式和相关责任，发包人、承包人除在合同专用条款中约定外，被担保方与担保方还应签订担保合同，作为合同附件。</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45、专利技术及特殊工艺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45.1发包人要求使用专利技术或特殊工艺，应负责办理相应的申报手续，承担申报、试验、使用等费用；承包人提出使用专利技术或特殊工艺，应取得工程师认可，承包人负责办理申报手续并承担有关费用。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45.2擅自使用专利技术侵犯他人专利权的，责任者依法承担相应责任。</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46、文物和地下障碍物</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如发现隐瞒不报，致使文物遭受破坏，责任者依法承担相应责任。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所发现的地下障碍物有归属单位时，发包人应报请有关部门协同处置。</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47、合同解除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47.1发包人、承包人协商一致，可以解除合同。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47.2发生合同通用条款第28.4款情况，停止施工超过56天，发包人仍不支付工程款（进度款），承包人有权解除合同。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47.3发生合同通用条款第41.2款禁止的情况，承包人将其承包的全部工程转包给他人或者肢解以后以分包的名义分别转包给他人，发包人有权解除合同。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47.4有下列情形之一的，发包人、承包人可以解除合同：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（1）因不可抗力致使合同无法履行；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（2）因一方违约（包括因发包人原因造成工程停建或缓建）致使合同无法履行。</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47.7合同解除后，不影响双方在合同约定的结算和清理条款的效力。</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48、合同生效与终止</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48.1双方在合同协议书中约定合同生效方式。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48.2除合同通用条款第40条外，发包人、承包人履行合同全部义务，竣工结算价款支付完毕，承包人向发包人交付竣工工程后，本合同即告终止。</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48.3合同的权利义务终止后，发包人、承包人应当遵循诚实信用原则，履行通知，协助、保密等义务。</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49、合同份数</w:t>
      </w:r>
      <w:r>
        <w:rPr>
          <w:rFonts w:hint="eastAsia"/>
          <w:b/>
          <w:snapToGrid w:val="0"/>
          <w:kern w:val="0"/>
          <w:szCs w:val="21"/>
          <w:highlight w:val="none"/>
        </w:rPr>
        <w:t>：</w:t>
      </w:r>
      <w:r>
        <w:rPr>
          <w:rFonts w:hint="eastAsia"/>
          <w:snapToGrid w:val="0"/>
          <w:kern w:val="0"/>
          <w:szCs w:val="21"/>
          <w:highlight w:val="none"/>
        </w:rPr>
        <w:t>本合同一式</w:t>
      </w:r>
      <w:r>
        <w:rPr>
          <w:rFonts w:hint="eastAsia"/>
          <w:snapToGrid w:val="0"/>
          <w:kern w:val="0"/>
          <w:szCs w:val="21"/>
          <w:highlight w:val="none"/>
          <w:u w:val="single"/>
        </w:rPr>
        <w:t xml:space="preserve">   </w:t>
      </w:r>
      <w:r>
        <w:rPr>
          <w:rFonts w:hint="eastAsia"/>
          <w:snapToGrid w:val="0"/>
          <w:kern w:val="0"/>
          <w:szCs w:val="21"/>
          <w:highlight w:val="none"/>
        </w:rPr>
        <w:t>份，发包人、承包人各执</w:t>
      </w:r>
      <w:r>
        <w:rPr>
          <w:rFonts w:hint="eastAsia"/>
          <w:snapToGrid w:val="0"/>
          <w:kern w:val="0"/>
          <w:szCs w:val="21"/>
          <w:highlight w:val="none"/>
          <w:u w:val="single"/>
        </w:rPr>
        <w:t xml:space="preserve">   </w:t>
      </w:r>
      <w:r>
        <w:rPr>
          <w:rFonts w:hint="eastAsia"/>
          <w:snapToGrid w:val="0"/>
          <w:kern w:val="0"/>
          <w:szCs w:val="21"/>
          <w:highlight w:val="none"/>
        </w:rPr>
        <w:t>份。</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50、补充条款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双方根据有关法律、行政法规规定，结合工程实际，经协商一致后，可对合同通用条款内容具体化、补充或修改，在合同专用条款内约定。</w:t>
      </w:r>
    </w:p>
    <w:p>
      <w:pPr>
        <w:adjustRightInd w:val="0"/>
        <w:snapToGrid w:val="0"/>
        <w:spacing w:line="360" w:lineRule="auto"/>
        <w:ind w:firstLine="480" w:firstLineChars="200"/>
        <w:rPr>
          <w:rFonts w:ascii="宋体" w:hAnsi="宋体" w:cs="宋体"/>
          <w:snapToGrid w:val="0"/>
          <w:kern w:val="0"/>
          <w:sz w:val="24"/>
          <w:highlight w:val="none"/>
        </w:rPr>
      </w:pPr>
    </w:p>
    <w:p>
      <w:pPr>
        <w:widowControl/>
        <w:jc w:val="left"/>
        <w:rPr>
          <w:b/>
          <w:sz w:val="52"/>
          <w:szCs w:val="52"/>
          <w:highlight w:val="none"/>
        </w:rPr>
      </w:pPr>
      <w:r>
        <w:rPr>
          <w:b/>
          <w:sz w:val="52"/>
          <w:szCs w:val="52"/>
          <w:highlight w:val="none"/>
        </w:rPr>
        <w:br w:type="page"/>
      </w:r>
    </w:p>
    <w:p>
      <w:pPr>
        <w:pStyle w:val="3"/>
        <w:jc w:val="center"/>
        <w:rPr>
          <w:snapToGrid w:val="0"/>
          <w:kern w:val="0"/>
          <w:highlight w:val="none"/>
        </w:rPr>
      </w:pPr>
      <w:bookmarkStart w:id="662" w:name="_Toc132813139"/>
      <w:r>
        <w:rPr>
          <w:rFonts w:hint="eastAsia"/>
          <w:snapToGrid w:val="0"/>
          <w:kern w:val="0"/>
          <w:highlight w:val="none"/>
        </w:rPr>
        <w:t>第四篇  合同附件</w:t>
      </w:r>
      <w:bookmarkEnd w:id="662"/>
    </w:p>
    <w:p>
      <w:pPr>
        <w:pStyle w:val="4"/>
        <w:jc w:val="left"/>
        <w:rPr>
          <w:rFonts w:ascii="宋体" w:hAnsi="宋体" w:eastAsia="宋体"/>
          <w:snapToGrid w:val="0"/>
          <w:kern w:val="0"/>
          <w:sz w:val="21"/>
          <w:szCs w:val="21"/>
          <w:highlight w:val="none"/>
        </w:rPr>
      </w:pPr>
      <w:bookmarkStart w:id="663" w:name="_Toc520358078"/>
      <w:bookmarkStart w:id="664" w:name="_Toc518481756"/>
      <w:bookmarkStart w:id="665" w:name="_Toc520901484"/>
      <w:bookmarkStart w:id="666" w:name="_Toc520902629"/>
      <w:bookmarkStart w:id="667" w:name="_Toc519503104"/>
      <w:bookmarkStart w:id="668" w:name="_Toc520358254"/>
      <w:bookmarkStart w:id="669" w:name="_Toc132199654"/>
      <w:bookmarkStart w:id="670" w:name="_Toc517954597"/>
      <w:bookmarkStart w:id="671" w:name="_Toc514664884"/>
      <w:bookmarkStart w:id="672" w:name="_Toc514681787"/>
      <w:bookmarkStart w:id="673" w:name="_Toc516496000"/>
      <w:bookmarkStart w:id="674" w:name="_Toc519502274"/>
      <w:bookmarkStart w:id="675" w:name="_Toc514663883"/>
      <w:bookmarkStart w:id="676" w:name="_Toc514665306"/>
      <w:bookmarkStart w:id="677" w:name="_Toc517774584"/>
      <w:bookmarkStart w:id="678" w:name="_Toc520902851"/>
      <w:bookmarkStart w:id="679" w:name="_Toc132813140"/>
      <w:bookmarkStart w:id="680" w:name="_Toc514681206"/>
      <w:bookmarkStart w:id="681" w:name="_Toc514666997"/>
      <w:bookmarkStart w:id="682" w:name="_Toc514665167"/>
      <w:bookmarkStart w:id="683" w:name="_Toc520902780"/>
      <w:r>
        <w:rPr>
          <w:rFonts w:hint="eastAsia" w:ascii="宋体" w:hAnsi="宋体" w:eastAsia="宋体"/>
          <w:snapToGrid w:val="0"/>
          <w:kern w:val="0"/>
          <w:sz w:val="21"/>
          <w:szCs w:val="21"/>
          <w:highlight w:val="none"/>
        </w:rPr>
        <w:t>附件1：工程质量保修书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pStyle w:val="8"/>
        <w:spacing w:after="240"/>
        <w:ind w:firstLine="0" w:firstLineChars="0"/>
        <w:jc w:val="center"/>
        <w:rPr>
          <w:rFonts w:ascii="宋体" w:hAnsi="宋体" w:cs="宋体"/>
          <w:b/>
          <w:snapToGrid w:val="0"/>
          <w:kern w:val="0"/>
          <w:sz w:val="44"/>
          <w:szCs w:val="44"/>
          <w:highlight w:val="none"/>
        </w:rPr>
      </w:pPr>
      <w:r>
        <w:rPr>
          <w:rFonts w:hint="eastAsia" w:ascii="宋体" w:hAnsi="宋体" w:cs="宋体"/>
          <w:b/>
          <w:snapToGrid w:val="0"/>
          <w:kern w:val="0"/>
          <w:sz w:val="44"/>
          <w:szCs w:val="44"/>
          <w:highlight w:val="none"/>
        </w:rPr>
        <w:t>工程质量保修书</w:t>
      </w:r>
    </w:p>
    <w:p>
      <w:pPr>
        <w:wordWrap w:val="0"/>
        <w:adjustRightInd w:val="0"/>
        <w:snapToGrid w:val="0"/>
        <w:spacing w:line="360" w:lineRule="auto"/>
        <w:jc w:val="left"/>
        <w:rPr>
          <w:rFonts w:ascii="宋体" w:hAnsi="宋体" w:cs="宋体"/>
          <w:b/>
          <w:szCs w:val="21"/>
          <w:highlight w:val="none"/>
        </w:rPr>
      </w:pPr>
    </w:p>
    <w:p>
      <w:pPr>
        <w:adjustRightInd w:val="0"/>
        <w:snapToGrid w:val="0"/>
        <w:spacing w:line="360" w:lineRule="auto"/>
        <w:jc w:val="left"/>
        <w:rPr>
          <w:b/>
          <w:szCs w:val="21"/>
          <w:highlight w:val="none"/>
        </w:rPr>
      </w:pPr>
      <w:r>
        <w:rPr>
          <w:rFonts w:hint="eastAsia"/>
          <w:b/>
          <w:szCs w:val="21"/>
          <w:highlight w:val="none"/>
        </w:rPr>
        <w:t>发包人：</w:t>
      </w:r>
      <w:r>
        <w:rPr>
          <w:rFonts w:hint="eastAsia"/>
          <w:b/>
          <w:szCs w:val="21"/>
          <w:highlight w:val="none"/>
          <w:u w:val="single"/>
        </w:rPr>
        <w:t>广州市花都区公共建设项目管理中心</w:t>
      </w:r>
      <w:r>
        <w:rPr>
          <w:rFonts w:hint="eastAsia"/>
          <w:b/>
          <w:szCs w:val="21"/>
          <w:highlight w:val="none"/>
        </w:rPr>
        <w:t xml:space="preserve"> </w:t>
      </w:r>
    </w:p>
    <w:p>
      <w:pPr>
        <w:adjustRightInd w:val="0"/>
        <w:snapToGrid w:val="0"/>
        <w:spacing w:line="360" w:lineRule="auto"/>
        <w:jc w:val="left"/>
        <w:rPr>
          <w:szCs w:val="21"/>
          <w:highlight w:val="none"/>
        </w:rPr>
      </w:pPr>
      <w:r>
        <w:rPr>
          <w:rFonts w:hint="eastAsia"/>
          <w:b/>
          <w:szCs w:val="21"/>
          <w:highlight w:val="none"/>
        </w:rPr>
        <w:t>承包人：</w:t>
      </w:r>
      <w:r>
        <w:rPr>
          <w:rFonts w:hint="eastAsia"/>
          <w:szCs w:val="21"/>
          <w:highlight w:val="none"/>
          <w:u w:val="single"/>
        </w:rPr>
        <w:t xml:space="preserve"> </w:t>
      </w:r>
      <w:r>
        <w:rPr>
          <w:szCs w:val="21"/>
          <w:highlight w:val="none"/>
          <w:u w:val="single"/>
        </w:rPr>
        <w:t xml:space="preserve">                               </w:t>
      </w:r>
    </w:p>
    <w:p>
      <w:pPr>
        <w:adjustRightInd w:val="0"/>
        <w:snapToGrid w:val="0"/>
        <w:spacing w:line="360" w:lineRule="auto"/>
        <w:jc w:val="left"/>
        <w:rPr>
          <w:b/>
          <w:szCs w:val="21"/>
          <w:highlight w:val="none"/>
        </w:rPr>
      </w:pP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发包人、承包人根据《中华人民共和国建筑法》、《建设工程质量管理条例》和《房屋建筑工程质量保修办法》，经协商一致，</w:t>
      </w:r>
      <w:r>
        <w:rPr>
          <w:szCs w:val="21"/>
          <w:highlight w:val="none"/>
        </w:rPr>
        <w:t>对</w:t>
      </w:r>
      <w:r>
        <w:rPr>
          <w:rFonts w:hint="eastAsia"/>
          <w:szCs w:val="21"/>
          <w:highlight w:val="none"/>
        </w:rPr>
        <w:t>本</w:t>
      </w:r>
      <w:r>
        <w:rPr>
          <w:szCs w:val="21"/>
          <w:highlight w:val="none"/>
        </w:rPr>
        <w:t>项目签订工程</w:t>
      </w:r>
      <w:r>
        <w:rPr>
          <w:snapToGrid w:val="0"/>
          <w:kern w:val="0"/>
          <w:szCs w:val="21"/>
          <w:highlight w:val="none"/>
        </w:rPr>
        <w:t>质量保修书。</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一、工程质量保修范围和内容</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承包人在质量保修期内，按照有关法律、法规、规章的管理规定和双方约定，承担本工程质量保修责任。</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质量保修范围包括地基基础工程、主体结构工程，屋面防水工程、有防水要求的—卫生间、房间、门窗和外墙面的防渗漏，供热与供冷系统，电气管线、给排水管道设备安装和装修工程，以及双方约定的其他项目。</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二、质量保修期</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双方根据《建设工程质量管理条例》及有关规定，约定本工程的质量保修期如下：</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1．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2．屋面防水工程的防渗漏，为5年；保修期内如因防水材料、设计或施工质量而导致天面渗水、滴漏，承包人将无偿维修并满足有关规范及标准；</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3．墙面、厨房和卫生间地面、地下室、管道、其他有防水要求的房间的防渗漏，为5年；保修期内如因施工质量或所用材料的质量问题而出现漏水、管道渗漏情况，承包人将无偿维修并满足有关规范及标准；</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4．墙面、顶棚抹灰层脱落保修，为2年；保修期内因施工质量问题出现的墙面、顶棚抹灰层脱落，承包人将无偿修复；</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5．地面空鼓开裂、大面积起砂保修，为2年；保修期内因施工质量问题出现的地面饰面空鼓、开裂、大面积起砂，承包人将无偿修复。</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6．门窗翘裂、玻璃五金件损坏保修，为2年；保修期内因产品或施工质量问题出现的门窗翘裂、五金件损坏，承包人将无偿维修或更换。</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7．管道堵塞保修，为2年；保修期内因施工质量问题出现的管道堵塞问题，承包人将无偿疏通，但业主自行使用不当或改动不属于保修范围；</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8．电气系统、给排水管道、设备安装，为2年；保修期内因施工原因，造成电器系统、给排水管道、燃气管道和燃气设施等工程问题，承包人将无偿维修并满足相关规范及标准；</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9．卫生洁具，为2年；保修期内因产品或施工质量问题出现的卫生洁具开裂、漏水问题，承包人将无偿维修或更换；</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10．灯具、电器开关，为2年；保修期内因产品或施工质量出现的问题、灯具（不含光源）、电器及开关失灵问题，承包人将无偿维修或更换，但业主自行改动后不属保修范围；</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11．装修工程，为2年；保修期内因施工质量问题，造成装修工程问题，承包人将无偿维修并满足有关规范及标准；</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12．室内智能化系统，为2年；保修期内因产品本身或施工质量原因出现的室内智能化系统失灵的问题，承包人将无偿维修。</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13．白蚁防治，为15年；在白蚁防治的质保期限内，主体结构和地基发生蚁害，承包人将无偿进行灭治；</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14．供热与供冷系统，为2个采暖期、供冷期；</w:t>
      </w:r>
    </w:p>
    <w:p>
      <w:pPr>
        <w:adjustRightInd w:val="0"/>
        <w:snapToGrid w:val="0"/>
        <w:spacing w:line="360" w:lineRule="auto"/>
        <w:ind w:right="11" w:firstLine="420" w:firstLineChars="200"/>
        <w:rPr>
          <w:snapToGrid w:val="0"/>
          <w:kern w:val="0"/>
          <w:szCs w:val="21"/>
          <w:highlight w:val="none"/>
        </w:rPr>
      </w:pPr>
      <w:r>
        <w:rPr>
          <w:rFonts w:hint="eastAsia"/>
          <w:snapToGrid w:val="0"/>
          <w:kern w:val="0"/>
          <w:szCs w:val="21"/>
          <w:highlight w:val="none"/>
        </w:rPr>
        <w:t>15．其他项目的保修期限为2年。</w:t>
      </w:r>
      <w:r>
        <w:rPr>
          <w:snapToGrid w:val="0"/>
          <w:kern w:val="0"/>
          <w:szCs w:val="21"/>
          <w:highlight w:val="none"/>
        </w:rPr>
        <w:t>质量保修期自工程竣工验收合格之日起计算。</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质量保修期自工程竣工验收合格之日起计算。</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三、质量保修责任</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属于保修范围、内容的项目，承包人应当在接到保修通知之日起7天内派人保修并完成保修工作。承包人应配合实际工作需求派足额人数以确保按时完成保修工作，承包人不在约定期限内按要求完成保修工作的，发包人可以委托他人修理，所发生费用从预留质保金中扣除。</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2．发生紧急抢修事故的，承包人在接到事故通知后，应当立即到达事故现场抢修。</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4．质量保修完成后，由发包人组织验收。</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四、保修费用</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保修费用由造成质量缺陷的责任方承担。</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五、其他</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双方约定的其他工程质量保修事项：</w:t>
      </w:r>
      <w:r>
        <w:rPr>
          <w:snapToGrid w:val="0"/>
          <w:kern w:val="0"/>
          <w:szCs w:val="21"/>
          <w:highlight w:val="none"/>
          <w:u w:val="single"/>
        </w:rPr>
        <w:t xml:space="preserve">    /     </w:t>
      </w:r>
      <w:r>
        <w:rPr>
          <w:snapToGrid w:val="0"/>
          <w:kern w:val="0"/>
          <w:szCs w:val="21"/>
          <w:highlight w:val="none"/>
        </w:rPr>
        <w:t xml:space="preserve"> 。本工程质量保修书，由施工合同发包人、承包人双方在竣工验收前共同签署，作为施工合同附件其有效期限至保修期满。</w:t>
      </w:r>
    </w:p>
    <w:p>
      <w:pPr>
        <w:adjustRightInd w:val="0"/>
        <w:snapToGrid w:val="0"/>
        <w:spacing w:line="360" w:lineRule="auto"/>
        <w:ind w:right="11" w:firstLine="420" w:firstLineChars="200"/>
        <w:rPr>
          <w:snapToGrid w:val="0"/>
          <w:kern w:val="0"/>
          <w:szCs w:val="21"/>
          <w:highlight w:val="none"/>
        </w:rPr>
      </w:pPr>
    </w:p>
    <w:p>
      <w:pPr>
        <w:adjustRightInd w:val="0"/>
        <w:snapToGrid w:val="0"/>
        <w:spacing w:line="360" w:lineRule="auto"/>
        <w:ind w:left="105" w:leftChars="50" w:right="11" w:firstLine="420" w:firstLineChars="200"/>
        <w:rPr>
          <w:bCs/>
          <w:snapToGrid w:val="0"/>
          <w:kern w:val="0"/>
          <w:szCs w:val="21"/>
          <w:highlight w:val="none"/>
        </w:rPr>
      </w:pPr>
    </w:p>
    <w:p>
      <w:pPr>
        <w:adjustRightInd w:val="0"/>
        <w:snapToGrid w:val="0"/>
        <w:spacing w:line="360" w:lineRule="auto"/>
        <w:ind w:right="11"/>
        <w:rPr>
          <w:snapToGrid w:val="0"/>
          <w:kern w:val="0"/>
          <w:szCs w:val="21"/>
          <w:highlight w:val="none"/>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highlight w:val="none"/>
                <w:lang w:val="zh-CN"/>
              </w:rPr>
            </w:pPr>
            <w:r>
              <w:rPr>
                <w:rFonts w:hint="eastAsia" w:hAnsi="宋体"/>
                <w:bCs/>
                <w:sz w:val="24"/>
                <w:szCs w:val="21"/>
                <w:highlight w:val="none"/>
              </w:rPr>
              <w:t>发包人（盖章）</w:t>
            </w:r>
            <w:r>
              <w:rPr>
                <w:rFonts w:hAnsi="宋体"/>
                <w:bCs/>
                <w:snapToGrid w:val="0"/>
                <w:sz w:val="24"/>
                <w:highlight w:val="none"/>
              </w:rPr>
              <w:t>：</w:t>
            </w:r>
          </w:p>
        </w:tc>
        <w:tc>
          <w:tcPr>
            <w:tcW w:w="283" w:type="dxa"/>
            <w:vAlign w:val="center"/>
          </w:tcPr>
          <w:p>
            <w:pPr>
              <w:rPr>
                <w:rFonts w:hAnsi="宋体"/>
                <w:bCs/>
                <w:snapToGrid w:val="0"/>
                <w:sz w:val="24"/>
                <w:highlight w:val="none"/>
              </w:rPr>
            </w:pPr>
          </w:p>
        </w:tc>
        <w:tc>
          <w:tcPr>
            <w:tcW w:w="4395" w:type="dxa"/>
            <w:vAlign w:val="center"/>
          </w:tcPr>
          <w:p>
            <w:pPr>
              <w:rPr>
                <w:rFonts w:hAnsi="宋体"/>
                <w:bCs/>
                <w:sz w:val="24"/>
                <w:highlight w:val="none"/>
                <w:lang w:val="zh-CN"/>
              </w:rPr>
            </w:pPr>
            <w:r>
              <w:rPr>
                <w:rFonts w:hint="eastAsia" w:hAnsi="宋体"/>
                <w:bCs/>
                <w:sz w:val="24"/>
                <w:szCs w:val="21"/>
                <w:highlight w:val="none"/>
              </w:rPr>
              <w:t>承包人（盖章）</w:t>
            </w:r>
            <w:r>
              <w:rPr>
                <w:rFonts w:hAnsi="宋体"/>
                <w:bCs/>
                <w:snapToGrid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highlight w:val="none"/>
              </w:rPr>
            </w:pPr>
            <w:r>
              <w:rPr>
                <w:rFonts w:hint="eastAsia" w:ascii="宋体" w:hAnsi="宋体"/>
                <w:b/>
                <w:bCs/>
                <w:sz w:val="24"/>
                <w:highlight w:val="none"/>
                <w:u w:val="single"/>
              </w:rPr>
              <w:t>广州市花都区公共建设项目管理中心</w:t>
            </w:r>
          </w:p>
        </w:tc>
        <w:tc>
          <w:tcPr>
            <w:tcW w:w="283" w:type="dxa"/>
            <w:vAlign w:val="center"/>
          </w:tcPr>
          <w:p>
            <w:pPr>
              <w:rPr>
                <w:rFonts w:hAnsi="宋体"/>
                <w:bCs/>
                <w:snapToGrid w:val="0"/>
                <w:sz w:val="24"/>
                <w:highlight w:val="none"/>
              </w:rPr>
            </w:pPr>
          </w:p>
        </w:tc>
        <w:tc>
          <w:tcPr>
            <w:tcW w:w="4395" w:type="dxa"/>
            <w:vAlign w:val="center"/>
          </w:tcPr>
          <w:p>
            <w:pPr>
              <w:rPr>
                <w:rFonts w:ascii="宋体" w:hAnsi="宋体"/>
                <w:b/>
                <w:bCs/>
                <w:snapToGrid w:val="0"/>
                <w:sz w:val="24"/>
                <w:highlight w:val="none"/>
                <w:u w:val="single"/>
              </w:rPr>
            </w:pPr>
            <w:r>
              <w:rPr>
                <w:rFonts w:hint="eastAsia" w:ascii="宋体" w:hAnsi="宋体"/>
                <w:b/>
                <w:bCs/>
                <w:snapToGrid w:val="0"/>
                <w:sz w:val="24"/>
                <w:highlight w:val="none"/>
                <w:u w:val="single"/>
              </w:rPr>
              <w:t xml:space="preserve"> </w:t>
            </w:r>
            <w:r>
              <w:rPr>
                <w:rFonts w:ascii="宋体" w:hAnsi="宋体"/>
                <w:b/>
                <w:bCs/>
                <w:snapToGrid w:val="0"/>
                <w:sz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c>
          <w:tcPr>
            <w:tcW w:w="283" w:type="dxa"/>
            <w:vAlign w:val="center"/>
          </w:tcPr>
          <w:p>
            <w:pPr>
              <w:rPr>
                <w:rFonts w:hAnsi="宋体"/>
                <w:bCs/>
                <w:snapToGrid w:val="0"/>
                <w:highlight w:val="none"/>
              </w:rPr>
            </w:pPr>
          </w:p>
        </w:tc>
        <w:tc>
          <w:tcPr>
            <w:tcW w:w="4395"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highlight w:val="none"/>
              </w:rPr>
            </w:pPr>
            <w:r>
              <w:rPr>
                <w:rFonts w:hint="eastAsia" w:hAnsi="宋体"/>
                <w:bCs/>
                <w:snapToGrid w:val="0"/>
                <w:highlight w:val="none"/>
              </w:rPr>
              <w:t>地址：广州市花都区公益路3</w:t>
            </w:r>
            <w:r>
              <w:rPr>
                <w:rFonts w:hAnsi="宋体"/>
                <w:bCs/>
                <w:snapToGrid w:val="0"/>
                <w:highlight w:val="none"/>
              </w:rPr>
              <w:t>9</w:t>
            </w:r>
            <w:r>
              <w:rPr>
                <w:rFonts w:hint="eastAsia" w:hAnsi="宋体"/>
                <w:bCs/>
                <w:snapToGrid w:val="0"/>
                <w:highlight w:val="none"/>
              </w:rPr>
              <w:t>号</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Ansi="宋体"/>
                <w:bCs/>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highlight w:val="none"/>
              </w:rPr>
            </w:pPr>
            <w:r>
              <w:rPr>
                <w:rFonts w:hint="eastAsia" w:hAnsi="宋体"/>
                <w:bCs/>
                <w:snapToGrid w:val="0"/>
                <w:highlight w:val="none"/>
              </w:rPr>
              <w:t>电话：0</w:t>
            </w:r>
            <w:r>
              <w:rPr>
                <w:rFonts w:hAnsi="宋体"/>
                <w:bCs/>
                <w:snapToGrid w:val="0"/>
                <w:highlight w:val="none"/>
              </w:rPr>
              <w:t>20</w:t>
            </w:r>
            <w:r>
              <w:rPr>
                <w:rFonts w:hint="eastAsia" w:hAnsi="宋体"/>
                <w:bCs/>
                <w:snapToGrid w:val="0"/>
                <w:highlight w:val="none"/>
              </w:rPr>
              <w:t>-</w:t>
            </w:r>
            <w:r>
              <w:rPr>
                <w:rFonts w:hAnsi="宋体"/>
                <w:bCs/>
                <w:snapToGrid w:val="0"/>
                <w:highlight w:val="none"/>
              </w:rPr>
              <w:t>37760912</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int="eastAsia" w:hAnsi="宋体"/>
                <w:bCs/>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p>
        </w:tc>
      </w:tr>
    </w:tbl>
    <w:p>
      <w:pPr>
        <w:adjustRightInd w:val="0"/>
        <w:snapToGrid w:val="0"/>
        <w:spacing w:line="360" w:lineRule="auto"/>
        <w:ind w:right="11"/>
        <w:rPr>
          <w:snapToGrid w:val="0"/>
          <w:kern w:val="0"/>
          <w:szCs w:val="21"/>
          <w:highlight w:val="none"/>
        </w:rPr>
      </w:pPr>
    </w:p>
    <w:p>
      <w:pPr>
        <w:adjustRightInd w:val="0"/>
        <w:snapToGrid w:val="0"/>
        <w:spacing w:line="360" w:lineRule="auto"/>
        <w:ind w:right="11"/>
        <w:rPr>
          <w:snapToGrid w:val="0"/>
          <w:kern w:val="0"/>
          <w:szCs w:val="21"/>
          <w:highlight w:val="none"/>
        </w:rPr>
      </w:pPr>
    </w:p>
    <w:p>
      <w:pPr>
        <w:adjustRightInd w:val="0"/>
        <w:snapToGrid w:val="0"/>
        <w:spacing w:line="360" w:lineRule="auto"/>
        <w:ind w:right="-178" w:rightChars="-85"/>
        <w:rPr>
          <w:rFonts w:ascii="宋体" w:hAnsi="宋体" w:cs="宋体"/>
          <w:b/>
          <w:bCs/>
          <w:sz w:val="24"/>
          <w:highlight w:val="none"/>
        </w:rPr>
      </w:pPr>
    </w:p>
    <w:p>
      <w:pPr>
        <w:widowControl/>
        <w:jc w:val="left"/>
        <w:rPr>
          <w:b/>
          <w:sz w:val="52"/>
          <w:szCs w:val="52"/>
          <w:highlight w:val="none"/>
        </w:rPr>
      </w:pPr>
      <w:r>
        <w:rPr>
          <w:b/>
          <w:sz w:val="52"/>
          <w:szCs w:val="52"/>
          <w:highlight w:val="none"/>
        </w:rPr>
        <w:br w:type="page"/>
      </w:r>
    </w:p>
    <w:p>
      <w:pPr>
        <w:pStyle w:val="4"/>
        <w:jc w:val="left"/>
        <w:rPr>
          <w:rFonts w:ascii="宋体" w:hAnsi="宋体" w:eastAsia="宋体"/>
          <w:snapToGrid w:val="0"/>
          <w:kern w:val="0"/>
          <w:sz w:val="21"/>
          <w:szCs w:val="21"/>
          <w:highlight w:val="none"/>
        </w:rPr>
      </w:pPr>
      <w:bookmarkStart w:id="684" w:name="_Toc132813141"/>
      <w:r>
        <w:rPr>
          <w:rFonts w:hint="eastAsia" w:ascii="宋体" w:hAnsi="宋体" w:eastAsia="宋体"/>
          <w:snapToGrid w:val="0"/>
          <w:kern w:val="0"/>
          <w:sz w:val="21"/>
          <w:szCs w:val="21"/>
          <w:highlight w:val="none"/>
        </w:rPr>
        <w:t>附件2：工程建设廉洁协议书</w:t>
      </w:r>
      <w:bookmarkEnd w:id="684"/>
    </w:p>
    <w:p>
      <w:pPr>
        <w:pStyle w:val="8"/>
        <w:spacing w:after="240"/>
        <w:ind w:firstLine="0" w:firstLineChars="0"/>
        <w:jc w:val="center"/>
        <w:rPr>
          <w:rFonts w:ascii="宋体" w:hAnsi="宋体" w:cs="宋体"/>
          <w:b/>
          <w:snapToGrid w:val="0"/>
          <w:kern w:val="0"/>
          <w:sz w:val="44"/>
          <w:szCs w:val="44"/>
          <w:highlight w:val="none"/>
        </w:rPr>
      </w:pPr>
      <w:r>
        <w:rPr>
          <w:rFonts w:hint="eastAsia" w:ascii="宋体" w:hAnsi="宋体" w:cs="宋体"/>
          <w:b/>
          <w:snapToGrid w:val="0"/>
          <w:kern w:val="0"/>
          <w:sz w:val="44"/>
          <w:szCs w:val="44"/>
          <w:highlight w:val="none"/>
        </w:rPr>
        <w:t>工程建设廉洁协议书</w:t>
      </w:r>
    </w:p>
    <w:p>
      <w:pPr>
        <w:wordWrap w:val="0"/>
        <w:adjustRightInd w:val="0"/>
        <w:snapToGrid w:val="0"/>
        <w:spacing w:line="360" w:lineRule="auto"/>
        <w:jc w:val="left"/>
        <w:rPr>
          <w:b/>
          <w:szCs w:val="21"/>
          <w:highlight w:val="none"/>
        </w:rPr>
      </w:pPr>
    </w:p>
    <w:p>
      <w:pPr>
        <w:adjustRightInd w:val="0"/>
        <w:snapToGrid w:val="0"/>
        <w:spacing w:line="360" w:lineRule="auto"/>
        <w:jc w:val="left"/>
        <w:rPr>
          <w:b/>
          <w:szCs w:val="21"/>
          <w:highlight w:val="none"/>
        </w:rPr>
      </w:pPr>
      <w:r>
        <w:rPr>
          <w:rFonts w:hint="eastAsia"/>
          <w:b/>
          <w:szCs w:val="21"/>
          <w:highlight w:val="none"/>
        </w:rPr>
        <w:t>发包人：</w:t>
      </w:r>
      <w:r>
        <w:rPr>
          <w:rFonts w:hint="eastAsia"/>
          <w:b/>
          <w:szCs w:val="21"/>
          <w:highlight w:val="none"/>
          <w:u w:val="single"/>
        </w:rPr>
        <w:t>广州市花都区公共建设项目管理中心</w:t>
      </w:r>
      <w:r>
        <w:rPr>
          <w:rFonts w:hint="eastAsia"/>
          <w:b/>
          <w:szCs w:val="21"/>
          <w:highlight w:val="none"/>
        </w:rPr>
        <w:t xml:space="preserve"> </w:t>
      </w:r>
    </w:p>
    <w:p>
      <w:pPr>
        <w:adjustRightInd w:val="0"/>
        <w:snapToGrid w:val="0"/>
        <w:spacing w:line="360" w:lineRule="auto"/>
        <w:jc w:val="left"/>
        <w:rPr>
          <w:b/>
          <w:szCs w:val="21"/>
          <w:highlight w:val="none"/>
        </w:rPr>
      </w:pPr>
      <w:r>
        <w:rPr>
          <w:rFonts w:hint="eastAsia"/>
          <w:b/>
          <w:szCs w:val="21"/>
          <w:highlight w:val="none"/>
        </w:rPr>
        <w:t>承包人：</w:t>
      </w:r>
      <w:r>
        <w:rPr>
          <w:rFonts w:hint="eastAsia"/>
          <w:szCs w:val="21"/>
          <w:highlight w:val="none"/>
          <w:u w:val="single"/>
        </w:rPr>
        <w:t xml:space="preserve"> </w:t>
      </w:r>
      <w:r>
        <w:rPr>
          <w:szCs w:val="21"/>
          <w:highlight w:val="none"/>
          <w:u w:val="single"/>
        </w:rPr>
        <w:t xml:space="preserve">                               </w:t>
      </w:r>
    </w:p>
    <w:p>
      <w:pPr>
        <w:adjustRightInd w:val="0"/>
        <w:snapToGrid w:val="0"/>
        <w:spacing w:line="360" w:lineRule="auto"/>
        <w:ind w:firstLine="420" w:firstLineChars="200"/>
        <w:rPr>
          <w:snapToGrid w:val="0"/>
          <w:kern w:val="0"/>
          <w:szCs w:val="21"/>
          <w:highlight w:val="none"/>
        </w:rPr>
      </w:pP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为切实规范承发包双方的各项建筑活动，预防本工程违法违纪等腐败现象的发生，保障工程建设优质、安全和廉洁，根据《广州市建筑市场廉洁准入规定》及相关法律法规的规定，特订立本协议书。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第一条</w:t>
      </w:r>
      <w:r>
        <w:rPr>
          <w:rFonts w:hint="eastAsia"/>
          <w:b/>
          <w:snapToGrid w:val="0"/>
          <w:kern w:val="0"/>
          <w:szCs w:val="21"/>
          <w:highlight w:val="none"/>
        </w:rPr>
        <w:t xml:space="preserve"> </w:t>
      </w:r>
      <w:r>
        <w:rPr>
          <w:b/>
          <w:snapToGrid w:val="0"/>
          <w:kern w:val="0"/>
          <w:szCs w:val="21"/>
          <w:highlight w:val="none"/>
        </w:rPr>
        <w:t>双方责任</w:t>
      </w:r>
    </w:p>
    <w:p>
      <w:pPr>
        <w:adjustRightInd w:val="0"/>
        <w:snapToGrid w:val="0"/>
        <w:spacing w:line="360" w:lineRule="auto"/>
        <w:ind w:firstLine="411" w:firstLineChars="196"/>
        <w:rPr>
          <w:snapToGrid w:val="0"/>
          <w:kern w:val="0"/>
          <w:szCs w:val="21"/>
          <w:highlight w:val="none"/>
        </w:rPr>
      </w:pPr>
      <w:r>
        <w:rPr>
          <w:snapToGrid w:val="0"/>
          <w:kern w:val="0"/>
          <w:szCs w:val="21"/>
          <w:highlight w:val="none"/>
        </w:rPr>
        <w:t>（一）严格遵守国家和省、市关于市场准入、项目招标投标、工程施工、工程验收、结算和市场活动等有关法律、法规，相关政策，以及廉政建设的各项约定。</w:t>
      </w:r>
    </w:p>
    <w:p>
      <w:pPr>
        <w:adjustRightInd w:val="0"/>
        <w:snapToGrid w:val="0"/>
        <w:spacing w:line="360" w:lineRule="auto"/>
        <w:ind w:firstLine="411" w:firstLineChars="196"/>
        <w:rPr>
          <w:snapToGrid w:val="0"/>
          <w:kern w:val="0"/>
          <w:szCs w:val="21"/>
          <w:highlight w:val="none"/>
        </w:rPr>
      </w:pPr>
      <w:r>
        <w:rPr>
          <w:snapToGrid w:val="0"/>
          <w:kern w:val="0"/>
          <w:szCs w:val="21"/>
          <w:highlight w:val="none"/>
        </w:rPr>
        <w:t>（二）严格执行建设工程项目承发包合同文件，自觉按合同办事。</w:t>
      </w:r>
    </w:p>
    <w:p>
      <w:pPr>
        <w:adjustRightInd w:val="0"/>
        <w:snapToGrid w:val="0"/>
        <w:spacing w:line="360" w:lineRule="auto"/>
        <w:ind w:firstLine="411" w:firstLineChars="196"/>
        <w:rPr>
          <w:snapToGrid w:val="0"/>
          <w:kern w:val="0"/>
          <w:szCs w:val="21"/>
          <w:highlight w:val="none"/>
        </w:rPr>
      </w:pPr>
      <w:r>
        <w:rPr>
          <w:snapToGrid w:val="0"/>
          <w:kern w:val="0"/>
          <w:szCs w:val="21"/>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60" w:lineRule="auto"/>
        <w:ind w:firstLine="411" w:firstLineChars="196"/>
        <w:rPr>
          <w:snapToGrid w:val="0"/>
          <w:kern w:val="0"/>
          <w:szCs w:val="21"/>
          <w:highlight w:val="none"/>
        </w:rPr>
      </w:pPr>
      <w:r>
        <w:rPr>
          <w:snapToGrid w:val="0"/>
          <w:kern w:val="0"/>
          <w:szCs w:val="21"/>
          <w:highlight w:val="none"/>
        </w:rPr>
        <w:t>（四）发现对方在建筑活动中存在违规、违纪、违法行为的，有权向其上级主管部门或纪检监察、检察等有关机关举报。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第二条 甲方责任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（一）甲方领导干部和从事该工程建设的管理人员，在建筑活动中须严格遵守以下廉洁从业规定：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1.不准向承包人和相关单位或个人索取钱物或接受回扣、礼金、各种有价证券、信用卡和好处费、感谢费以及其它支付凭证等。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2.不准接受可能影响公正执行公务的承包人和相关单位或个人的礼物馈赠、宴请、各种形式俱乐部会员资格、高消费娱乐活动。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3.不准在承包人和相关单位报销任何应由甲方或个人负担的费用。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5.不准向承包人介绍配偶、子女、其他亲属朋友及身边工作人员参与同甲方项目工程合同有关的设备、材料、工程分包、劳务等经济活动。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6.不得以任何理由向承包人和相关单位推荐分包单位和要求或暗示承包人购买项目工程合同规定外的材料、设备等。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（二）正式开工前组织与承包人廉洁责任人见面会，进行廉洁工程建设交底，明确廉洁工程建设责任和目标任务、举报方式。</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（三）加强对质量安全、计量支付、工程变更以及工程结算等建设管理环节的监督管理，特别是各业务审批效能方面的监察检查，提高建设管理服务水平。</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（五）成立现场监督工作机构，不定期对工地建设管理及监督工作情况开展巡查，对发现的有关问题，及时协调给予现场解决。</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第三条 承包人责任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（一）与甲方保持正常的业务交往，遵守以下规定：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1.不准以任何理由向甲方人员行贿或赠送回扣、礼金、各种有价证券、信用卡和好处费、感谢费及其它支付凭证等。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2.不准以任何理由为甲方人员组织有可能影响公正执行公务的宴请、各种形式俱乐部及高消费娱乐等活动。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3.不准以任何理由为甲方或个人报销应由对方或个人支付的费用。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5.不准介绍和安排甲方人员及其配偶、子女、其他亲属朋友及身边工作人员参与同甲方工程项目有关的设备、材料、工程分包、劳务等经济活动。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（二）细化内部廉洁工程建设任务，分解责任，明确落实到项目部管理人员，层层签订廉洁从业责任状，形成有效的管理机制。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（三）成立现场施工监督工作组，负责项目部廉政责任组织落实，工地廉洁文化建设以及对现场实施进行监督管理，并接受甲方监督工作机构的再监督。</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（四）按甲方要求在工地项目部设置廉洁文化教育专区，开展观看警示教育片、图片展览等教育活动，加强对员工的法律法规、廉洁和职业道德教育。</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第四条 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（一）甲方违约责任</w:t>
      </w:r>
    </w:p>
    <w:p>
      <w:pPr>
        <w:adjustRightInd w:val="0"/>
        <w:snapToGrid w:val="0"/>
        <w:spacing w:line="360" w:lineRule="auto"/>
        <w:ind w:firstLine="420" w:firstLineChars="200"/>
        <w:rPr>
          <w:bCs/>
          <w:snapToGrid w:val="0"/>
          <w:kern w:val="0"/>
          <w:szCs w:val="21"/>
          <w:highlight w:val="none"/>
        </w:rPr>
      </w:pPr>
      <w:r>
        <w:rPr>
          <w:snapToGrid w:val="0"/>
          <w:kern w:val="0"/>
          <w:szCs w:val="21"/>
          <w:highlight w:val="none"/>
        </w:rPr>
        <w:t>1.甲方</w:t>
      </w:r>
      <w:r>
        <w:rPr>
          <w:bCs/>
          <w:snapToGrid w:val="0"/>
          <w:kern w:val="0"/>
          <w:szCs w:val="21"/>
          <w:highlight w:val="none"/>
        </w:rPr>
        <w:t>不履行或不完全履行本协议书有关责任义务给承包人造成损失的，在承包人提交足够证据并经查证属实的情况下，甲方赔偿其直接经济损失。</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（二）承包人违约责任</w:t>
      </w:r>
    </w:p>
    <w:p>
      <w:pPr>
        <w:adjustRightInd w:val="0"/>
        <w:snapToGrid w:val="0"/>
        <w:spacing w:line="360" w:lineRule="auto"/>
        <w:ind w:firstLine="420" w:firstLineChars="200"/>
        <w:rPr>
          <w:bCs/>
          <w:snapToGrid w:val="0"/>
          <w:kern w:val="0"/>
          <w:szCs w:val="21"/>
          <w:highlight w:val="none"/>
        </w:rPr>
      </w:pPr>
      <w:r>
        <w:rPr>
          <w:snapToGrid w:val="0"/>
          <w:kern w:val="0"/>
          <w:szCs w:val="21"/>
          <w:highlight w:val="none"/>
        </w:rPr>
        <w:t>1.</w:t>
      </w:r>
      <w:r>
        <w:rPr>
          <w:bCs/>
          <w:snapToGrid w:val="0"/>
          <w:kern w:val="0"/>
          <w:szCs w:val="21"/>
          <w:highlight w:val="none"/>
        </w:rPr>
        <w:t>承包人不履行或不完全履行本协议书有关责任义务的，</w:t>
      </w:r>
      <w:r>
        <w:rPr>
          <w:snapToGrid w:val="0"/>
          <w:kern w:val="0"/>
          <w:szCs w:val="21"/>
          <w:highlight w:val="none"/>
        </w:rPr>
        <w:t>按本工程合同</w:t>
      </w:r>
      <w:r>
        <w:rPr>
          <w:bCs/>
          <w:snapToGrid w:val="0"/>
          <w:kern w:val="0"/>
          <w:szCs w:val="21"/>
          <w:highlight w:val="none"/>
        </w:rPr>
        <w:t>规定须承担一次一般违约责任。情节较轻的，可给予书面警告；情节较重的，须承担一次严重违约责任。</w:t>
      </w:r>
    </w:p>
    <w:p>
      <w:pPr>
        <w:adjustRightInd w:val="0"/>
        <w:snapToGrid w:val="0"/>
        <w:spacing w:line="360" w:lineRule="auto"/>
        <w:ind w:firstLine="420" w:firstLineChars="200"/>
        <w:rPr>
          <w:snapToGrid w:val="0"/>
          <w:kern w:val="0"/>
          <w:szCs w:val="21"/>
          <w:highlight w:val="none"/>
        </w:rPr>
      </w:pPr>
      <w:r>
        <w:rPr>
          <w:bCs/>
          <w:snapToGrid w:val="0"/>
          <w:kern w:val="0"/>
          <w:szCs w:val="21"/>
          <w:highlight w:val="none"/>
        </w:rPr>
        <w:t>2.承包人</w:t>
      </w:r>
      <w:r>
        <w:rPr>
          <w:snapToGrid w:val="0"/>
          <w:kern w:val="0"/>
          <w:szCs w:val="21"/>
          <w:highlight w:val="none"/>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第五条 本协议书作为工程施工合同的附件，与工程施工合同具有同等法律效力。经双方签字盖章后生效。</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第六条 本协议书有效期为双方签字盖章之日起至所属工程项目合同履行完毕时止。</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第七条 未尽事宜，由双方协商解决。</w:t>
      </w:r>
    </w:p>
    <w:p>
      <w:pPr>
        <w:spacing w:line="420" w:lineRule="exact"/>
        <w:rPr>
          <w:rFonts w:ascii="宋体" w:hAnsi="宋体" w:cs="宋体"/>
          <w:sz w:val="24"/>
          <w:highlight w:val="none"/>
        </w:rPr>
      </w:pPr>
    </w:p>
    <w:p>
      <w:pPr>
        <w:adjustRightInd w:val="0"/>
        <w:snapToGrid w:val="0"/>
        <w:spacing w:line="360" w:lineRule="auto"/>
        <w:ind w:right="-178" w:rightChars="-85"/>
        <w:rPr>
          <w:rFonts w:ascii="宋体" w:hAnsi="宋体" w:cs="宋体"/>
          <w:sz w:val="24"/>
          <w:highlight w:val="none"/>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highlight w:val="none"/>
                <w:lang w:val="zh-CN"/>
              </w:rPr>
            </w:pPr>
            <w:r>
              <w:rPr>
                <w:rFonts w:hint="eastAsia" w:hAnsi="宋体"/>
                <w:bCs/>
                <w:sz w:val="24"/>
                <w:szCs w:val="21"/>
                <w:highlight w:val="none"/>
              </w:rPr>
              <w:t>发包人（盖章）</w:t>
            </w:r>
            <w:r>
              <w:rPr>
                <w:rFonts w:hAnsi="宋体"/>
                <w:bCs/>
                <w:snapToGrid w:val="0"/>
                <w:sz w:val="24"/>
                <w:highlight w:val="none"/>
              </w:rPr>
              <w:t>：</w:t>
            </w:r>
          </w:p>
        </w:tc>
        <w:tc>
          <w:tcPr>
            <w:tcW w:w="283" w:type="dxa"/>
            <w:vAlign w:val="center"/>
          </w:tcPr>
          <w:p>
            <w:pPr>
              <w:rPr>
                <w:rFonts w:hAnsi="宋体"/>
                <w:bCs/>
                <w:snapToGrid w:val="0"/>
                <w:sz w:val="24"/>
                <w:highlight w:val="none"/>
              </w:rPr>
            </w:pPr>
          </w:p>
        </w:tc>
        <w:tc>
          <w:tcPr>
            <w:tcW w:w="4395" w:type="dxa"/>
            <w:vAlign w:val="center"/>
          </w:tcPr>
          <w:p>
            <w:pPr>
              <w:rPr>
                <w:rFonts w:hAnsi="宋体"/>
                <w:bCs/>
                <w:sz w:val="24"/>
                <w:highlight w:val="none"/>
                <w:lang w:val="zh-CN"/>
              </w:rPr>
            </w:pPr>
            <w:r>
              <w:rPr>
                <w:rFonts w:hint="eastAsia" w:hAnsi="宋体"/>
                <w:bCs/>
                <w:sz w:val="24"/>
                <w:szCs w:val="21"/>
                <w:highlight w:val="none"/>
              </w:rPr>
              <w:t>承包人（盖章）</w:t>
            </w:r>
            <w:r>
              <w:rPr>
                <w:rFonts w:hAnsi="宋体"/>
                <w:bCs/>
                <w:snapToGrid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highlight w:val="none"/>
              </w:rPr>
            </w:pPr>
            <w:r>
              <w:rPr>
                <w:rFonts w:hint="eastAsia" w:ascii="宋体" w:hAnsi="宋体"/>
                <w:b/>
                <w:bCs/>
                <w:sz w:val="24"/>
                <w:highlight w:val="none"/>
                <w:u w:val="single"/>
              </w:rPr>
              <w:t>广州市花都区公共建设项目管理中心</w:t>
            </w:r>
          </w:p>
        </w:tc>
        <w:tc>
          <w:tcPr>
            <w:tcW w:w="283" w:type="dxa"/>
            <w:vAlign w:val="center"/>
          </w:tcPr>
          <w:p>
            <w:pPr>
              <w:rPr>
                <w:rFonts w:hAnsi="宋体"/>
                <w:bCs/>
                <w:snapToGrid w:val="0"/>
                <w:sz w:val="24"/>
                <w:highlight w:val="none"/>
              </w:rPr>
            </w:pPr>
          </w:p>
        </w:tc>
        <w:tc>
          <w:tcPr>
            <w:tcW w:w="4395" w:type="dxa"/>
            <w:vAlign w:val="center"/>
          </w:tcPr>
          <w:p>
            <w:pPr>
              <w:rPr>
                <w:rFonts w:ascii="宋体" w:hAnsi="宋体"/>
                <w:b/>
                <w:bCs/>
                <w:snapToGrid w:val="0"/>
                <w:sz w:val="24"/>
                <w:highlight w:val="none"/>
                <w:u w:val="single"/>
              </w:rPr>
            </w:pPr>
            <w:r>
              <w:rPr>
                <w:rFonts w:hint="eastAsia" w:ascii="宋体" w:hAnsi="宋体"/>
                <w:b/>
                <w:bCs/>
                <w:snapToGrid w:val="0"/>
                <w:sz w:val="24"/>
                <w:highlight w:val="none"/>
                <w:u w:val="single"/>
              </w:rPr>
              <w:t xml:space="preserve"> </w:t>
            </w:r>
            <w:r>
              <w:rPr>
                <w:rFonts w:ascii="宋体" w:hAnsi="宋体"/>
                <w:b/>
                <w:bCs/>
                <w:snapToGrid w:val="0"/>
                <w:sz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c>
          <w:tcPr>
            <w:tcW w:w="283" w:type="dxa"/>
            <w:vAlign w:val="center"/>
          </w:tcPr>
          <w:p>
            <w:pPr>
              <w:rPr>
                <w:rFonts w:hAnsi="宋体"/>
                <w:bCs/>
                <w:snapToGrid w:val="0"/>
                <w:highlight w:val="none"/>
              </w:rPr>
            </w:pPr>
          </w:p>
        </w:tc>
        <w:tc>
          <w:tcPr>
            <w:tcW w:w="4395"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highlight w:val="none"/>
              </w:rPr>
            </w:pPr>
            <w:r>
              <w:rPr>
                <w:rFonts w:hint="eastAsia" w:hAnsi="宋体"/>
                <w:bCs/>
                <w:snapToGrid w:val="0"/>
                <w:highlight w:val="none"/>
              </w:rPr>
              <w:t>地址：广州市花都区公益路3</w:t>
            </w:r>
            <w:r>
              <w:rPr>
                <w:rFonts w:hAnsi="宋体"/>
                <w:bCs/>
                <w:snapToGrid w:val="0"/>
                <w:highlight w:val="none"/>
              </w:rPr>
              <w:t>9</w:t>
            </w:r>
            <w:r>
              <w:rPr>
                <w:rFonts w:hint="eastAsia" w:hAnsi="宋体"/>
                <w:bCs/>
                <w:snapToGrid w:val="0"/>
                <w:highlight w:val="none"/>
              </w:rPr>
              <w:t>号</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Ansi="宋体"/>
                <w:bCs/>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highlight w:val="none"/>
              </w:rPr>
            </w:pPr>
            <w:r>
              <w:rPr>
                <w:rFonts w:hint="eastAsia" w:hAnsi="宋体"/>
                <w:bCs/>
                <w:snapToGrid w:val="0"/>
                <w:highlight w:val="none"/>
              </w:rPr>
              <w:t>电话：0</w:t>
            </w:r>
            <w:r>
              <w:rPr>
                <w:rFonts w:hAnsi="宋体"/>
                <w:bCs/>
                <w:snapToGrid w:val="0"/>
                <w:highlight w:val="none"/>
              </w:rPr>
              <w:t>20</w:t>
            </w:r>
            <w:r>
              <w:rPr>
                <w:rFonts w:hint="eastAsia" w:hAnsi="宋体"/>
                <w:bCs/>
                <w:snapToGrid w:val="0"/>
                <w:highlight w:val="none"/>
              </w:rPr>
              <w:t>-</w:t>
            </w:r>
            <w:r>
              <w:rPr>
                <w:rFonts w:hAnsi="宋体"/>
                <w:bCs/>
                <w:snapToGrid w:val="0"/>
                <w:highlight w:val="none"/>
              </w:rPr>
              <w:t>37760912</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int="eastAsia" w:hAnsi="宋体"/>
                <w:bCs/>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p>
        </w:tc>
      </w:tr>
    </w:tbl>
    <w:p>
      <w:pPr>
        <w:adjustRightInd w:val="0"/>
        <w:snapToGrid w:val="0"/>
        <w:spacing w:line="360" w:lineRule="auto"/>
        <w:ind w:right="11"/>
        <w:rPr>
          <w:b/>
          <w:snapToGrid w:val="0"/>
          <w:kern w:val="0"/>
          <w:szCs w:val="21"/>
          <w:highlight w:val="none"/>
        </w:rPr>
      </w:pPr>
    </w:p>
    <w:p>
      <w:pPr>
        <w:adjustRightInd w:val="0"/>
        <w:snapToGrid w:val="0"/>
        <w:spacing w:line="360" w:lineRule="auto"/>
        <w:ind w:right="11"/>
        <w:rPr>
          <w:b/>
          <w:snapToGrid w:val="0"/>
          <w:kern w:val="0"/>
          <w:szCs w:val="21"/>
          <w:highlight w:val="none"/>
        </w:rPr>
      </w:pPr>
    </w:p>
    <w:p>
      <w:pPr>
        <w:widowControl/>
        <w:jc w:val="left"/>
        <w:rPr>
          <w:b/>
          <w:sz w:val="52"/>
          <w:szCs w:val="52"/>
          <w:highlight w:val="none"/>
        </w:rPr>
      </w:pPr>
      <w:r>
        <w:rPr>
          <w:b/>
          <w:sz w:val="52"/>
          <w:szCs w:val="52"/>
          <w:highlight w:val="none"/>
        </w:rPr>
        <w:br w:type="page"/>
      </w:r>
    </w:p>
    <w:p>
      <w:pPr>
        <w:pStyle w:val="4"/>
        <w:jc w:val="left"/>
        <w:rPr>
          <w:rFonts w:ascii="宋体" w:hAnsi="宋体" w:eastAsia="宋体"/>
          <w:snapToGrid w:val="0"/>
          <w:kern w:val="0"/>
          <w:sz w:val="21"/>
          <w:szCs w:val="21"/>
          <w:highlight w:val="none"/>
        </w:rPr>
      </w:pPr>
      <w:bookmarkStart w:id="685" w:name="_Toc132813142"/>
      <w:r>
        <w:rPr>
          <w:rFonts w:hint="eastAsia" w:ascii="宋体" w:hAnsi="宋体" w:eastAsia="宋体"/>
          <w:snapToGrid w:val="0"/>
          <w:kern w:val="0"/>
          <w:sz w:val="21"/>
          <w:szCs w:val="21"/>
          <w:highlight w:val="none"/>
        </w:rPr>
        <w:t>附件3：安全生产合同</w:t>
      </w:r>
      <w:bookmarkEnd w:id="685"/>
    </w:p>
    <w:p>
      <w:pPr>
        <w:pStyle w:val="8"/>
        <w:spacing w:after="240"/>
        <w:ind w:firstLine="0" w:firstLineChars="0"/>
        <w:jc w:val="center"/>
        <w:rPr>
          <w:rFonts w:ascii="宋体" w:hAnsi="宋体" w:cs="宋体"/>
          <w:b/>
          <w:snapToGrid w:val="0"/>
          <w:kern w:val="0"/>
          <w:sz w:val="44"/>
          <w:szCs w:val="44"/>
          <w:highlight w:val="none"/>
        </w:rPr>
      </w:pPr>
      <w:r>
        <w:rPr>
          <w:rFonts w:hint="eastAsia" w:ascii="宋体" w:hAnsi="宋体" w:cs="宋体"/>
          <w:b/>
          <w:snapToGrid w:val="0"/>
          <w:kern w:val="0"/>
          <w:sz w:val="44"/>
          <w:szCs w:val="44"/>
          <w:highlight w:val="none"/>
        </w:rPr>
        <w:t>安全生产合同</w:t>
      </w:r>
    </w:p>
    <w:p>
      <w:pPr>
        <w:adjustRightInd w:val="0"/>
        <w:snapToGrid w:val="0"/>
        <w:spacing w:line="360" w:lineRule="auto"/>
        <w:jc w:val="left"/>
        <w:rPr>
          <w:b/>
          <w:szCs w:val="21"/>
          <w:highlight w:val="none"/>
        </w:rPr>
      </w:pPr>
    </w:p>
    <w:p>
      <w:pPr>
        <w:adjustRightInd w:val="0"/>
        <w:snapToGrid w:val="0"/>
        <w:spacing w:line="360" w:lineRule="auto"/>
        <w:jc w:val="left"/>
        <w:rPr>
          <w:b/>
          <w:szCs w:val="21"/>
          <w:highlight w:val="none"/>
        </w:rPr>
      </w:pPr>
      <w:r>
        <w:rPr>
          <w:rFonts w:hint="eastAsia"/>
          <w:b/>
          <w:szCs w:val="21"/>
          <w:highlight w:val="none"/>
        </w:rPr>
        <w:t>发包人：</w:t>
      </w:r>
      <w:r>
        <w:rPr>
          <w:rFonts w:hint="eastAsia"/>
          <w:b/>
          <w:szCs w:val="21"/>
          <w:highlight w:val="none"/>
          <w:u w:val="single"/>
        </w:rPr>
        <w:t>广州市花都区公共建设项目管理中心</w:t>
      </w:r>
      <w:r>
        <w:rPr>
          <w:rFonts w:hint="eastAsia"/>
          <w:b/>
          <w:szCs w:val="21"/>
          <w:highlight w:val="none"/>
        </w:rPr>
        <w:t xml:space="preserve"> </w:t>
      </w:r>
    </w:p>
    <w:p>
      <w:pPr>
        <w:adjustRightInd w:val="0"/>
        <w:snapToGrid w:val="0"/>
        <w:spacing w:line="360" w:lineRule="auto"/>
        <w:jc w:val="left"/>
        <w:rPr>
          <w:b/>
          <w:szCs w:val="21"/>
          <w:highlight w:val="none"/>
        </w:rPr>
      </w:pPr>
      <w:r>
        <w:rPr>
          <w:rFonts w:hint="eastAsia"/>
          <w:b/>
          <w:szCs w:val="21"/>
          <w:highlight w:val="none"/>
        </w:rPr>
        <w:t>承包人：</w:t>
      </w:r>
      <w:r>
        <w:rPr>
          <w:rFonts w:hint="eastAsia"/>
          <w:szCs w:val="21"/>
          <w:highlight w:val="none"/>
          <w:u w:val="single"/>
        </w:rPr>
        <w:t xml:space="preserve"> </w:t>
      </w:r>
      <w:r>
        <w:rPr>
          <w:szCs w:val="21"/>
          <w:highlight w:val="none"/>
          <w:u w:val="single"/>
        </w:rPr>
        <w:t xml:space="preserve">                               </w:t>
      </w:r>
    </w:p>
    <w:p>
      <w:pPr>
        <w:autoSpaceDE w:val="0"/>
        <w:autoSpaceDN w:val="0"/>
        <w:adjustRightInd w:val="0"/>
        <w:snapToGrid w:val="0"/>
        <w:spacing w:line="360" w:lineRule="auto"/>
        <w:ind w:right="11" w:firstLine="480" w:firstLineChars="200"/>
        <w:rPr>
          <w:rFonts w:ascii="宋体" w:hAnsi="宋体" w:cs="宋体"/>
          <w:snapToGrid w:val="0"/>
          <w:kern w:val="0"/>
          <w:sz w:val="24"/>
          <w:highlight w:val="none"/>
        </w:rPr>
      </w:pPr>
    </w:p>
    <w:p>
      <w:pPr>
        <w:autoSpaceDE w:val="0"/>
        <w:autoSpaceDN w:val="0"/>
        <w:adjustRightInd w:val="0"/>
        <w:snapToGrid w:val="0"/>
        <w:spacing w:line="360" w:lineRule="auto"/>
        <w:ind w:right="11"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为确保本</w:t>
      </w:r>
      <w:r>
        <w:rPr>
          <w:rFonts w:ascii="宋体" w:hAnsi="宋体" w:cs="宋体"/>
          <w:snapToGrid w:val="0"/>
          <w:kern w:val="0"/>
          <w:szCs w:val="21"/>
          <w:highlight w:val="none"/>
          <w:lang w:val="zh-CN"/>
        </w:rPr>
        <w:t>项目</w:t>
      </w:r>
      <w:r>
        <w:rPr>
          <w:rFonts w:hint="eastAsia" w:ascii="宋体" w:hAnsi="宋体" w:cs="宋体"/>
          <w:snapToGrid w:val="0"/>
          <w:kern w:val="0"/>
          <w:szCs w:val="21"/>
          <w:highlight w:val="none"/>
          <w:lang w:val="zh-CN"/>
        </w:rPr>
        <w:t>实施过程中的安全，发包人与承包人特签订本安全生产合同，明确双方职责。</w:t>
      </w:r>
    </w:p>
    <w:p>
      <w:pPr>
        <w:tabs>
          <w:tab w:val="left" w:pos="480"/>
        </w:tabs>
        <w:autoSpaceDE w:val="0"/>
        <w:autoSpaceDN w:val="0"/>
        <w:adjustRightInd w:val="0"/>
        <w:snapToGrid w:val="0"/>
        <w:spacing w:line="360" w:lineRule="auto"/>
        <w:rPr>
          <w:rFonts w:ascii="宋体" w:hAnsi="宋体" w:cs="宋体"/>
          <w:b/>
          <w:snapToGrid w:val="0"/>
          <w:kern w:val="0"/>
          <w:szCs w:val="21"/>
          <w:highlight w:val="none"/>
          <w:lang w:val="zh-CN"/>
        </w:rPr>
      </w:pPr>
      <w:r>
        <w:rPr>
          <w:rFonts w:hint="eastAsia" w:ascii="宋体" w:hAnsi="宋体" w:cs="宋体"/>
          <w:b/>
          <w:snapToGrid w:val="0"/>
          <w:kern w:val="0"/>
          <w:szCs w:val="21"/>
          <w:highlight w:val="none"/>
          <w:lang w:val="zh-CN"/>
        </w:rPr>
        <w:t>一、发包人职责</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（二）重要的安全设施必须坚持与主体工程“三同时”的原则，即：同时设计、审批；同时施工；同时验收，投入使用。</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（四）组织对承包人施工现场安全生产检查，监督承包人及时排除各种安全隐患。</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（五）协助与促进承包人创建“广州市安全文明施工样板工地”。</w:t>
      </w:r>
    </w:p>
    <w:p>
      <w:pPr>
        <w:autoSpaceDE w:val="0"/>
        <w:autoSpaceDN w:val="0"/>
        <w:adjustRightInd w:val="0"/>
        <w:snapToGrid w:val="0"/>
        <w:spacing w:line="360" w:lineRule="auto"/>
        <w:rPr>
          <w:rFonts w:ascii="宋体" w:hAnsi="宋体" w:cs="宋体"/>
          <w:b/>
          <w:snapToGrid w:val="0"/>
          <w:kern w:val="0"/>
          <w:szCs w:val="21"/>
          <w:highlight w:val="none"/>
          <w:lang w:val="zh-CN"/>
        </w:rPr>
      </w:pPr>
      <w:r>
        <w:rPr>
          <w:rFonts w:hint="eastAsia" w:ascii="宋体" w:hAnsi="宋体" w:cs="宋体"/>
          <w:b/>
          <w:snapToGrid w:val="0"/>
          <w:kern w:val="0"/>
          <w:szCs w:val="21"/>
          <w:highlight w:val="none"/>
          <w:lang w:val="zh-CN"/>
        </w:rPr>
        <w:t>二、承包人职责</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（二）坚持</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zh-CN"/>
        </w:rPr>
        <w:t>安全</w:t>
      </w:r>
      <w:r>
        <w:rPr>
          <w:rFonts w:hint="eastAsia" w:ascii="宋体" w:hAnsi="宋体" w:cs="宋体"/>
          <w:snapToGrid w:val="0"/>
          <w:kern w:val="0"/>
          <w:szCs w:val="21"/>
          <w:highlight w:val="none"/>
        </w:rPr>
        <w:t>第一</w:t>
      </w:r>
      <w:r>
        <w:rPr>
          <w:rFonts w:hint="eastAsia" w:ascii="宋体" w:hAnsi="宋体" w:cs="宋体"/>
          <w:snapToGrid w:val="0"/>
          <w:kern w:val="0"/>
          <w:szCs w:val="21"/>
          <w:highlight w:val="none"/>
          <w:lang w:val="zh-CN"/>
        </w:rPr>
        <w:t>、预防为主</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zh-CN"/>
        </w:rPr>
        <w:t>和</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zh-CN"/>
        </w:rPr>
        <w:t>管生产必须管安全</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（三）建立</w:t>
      </w:r>
      <w:r>
        <w:rPr>
          <w:rFonts w:hint="eastAsia" w:ascii="宋体" w:hAnsi="宋体" w:cs="宋体"/>
          <w:snapToGrid w:val="0"/>
          <w:kern w:val="0"/>
          <w:szCs w:val="21"/>
          <w:highlight w:val="none"/>
        </w:rPr>
        <w:t>安全生产</w:t>
      </w:r>
      <w:r>
        <w:rPr>
          <w:rFonts w:hint="eastAsia" w:ascii="宋体" w:hAnsi="宋体" w:cs="宋体"/>
          <w:snapToGrid w:val="0"/>
          <w:kern w:val="0"/>
          <w:szCs w:val="21"/>
          <w:highlight w:val="none"/>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lang w:val="zh-CN"/>
        </w:rPr>
        <w:t>（四）</w:t>
      </w:r>
      <w:r>
        <w:rPr>
          <w:rFonts w:hint="eastAsia" w:ascii="宋体" w:hAnsi="宋体" w:cs="宋体"/>
          <w:snapToGrid w:val="0"/>
          <w:kern w:val="0"/>
          <w:szCs w:val="21"/>
          <w:highlight w:val="none"/>
        </w:rPr>
        <w:t>有责任采取各种合理的预防措施，防止其员工发生各种违法、违禁、暴力或妨碍治安的行为。</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rPr>
        <w:t>（五）参加施工的人员，必须接受安全技术教育，熟知和遵守所在岗位（工种）的各项安全技术操作规程，定期进行安全技术考核，取得平安卡后方准上岗操作。对于从事电气、</w:t>
      </w:r>
      <w:r>
        <w:rPr>
          <w:rFonts w:hint="eastAsia" w:ascii="宋体" w:hAnsi="宋体" w:cs="宋体"/>
          <w:snapToGrid w:val="0"/>
          <w:kern w:val="0"/>
          <w:szCs w:val="21"/>
          <w:highlight w:val="none"/>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（六）对于</w:t>
      </w:r>
      <w:r>
        <w:rPr>
          <w:rFonts w:hint="eastAsia" w:ascii="宋体" w:hAnsi="宋体" w:cs="宋体"/>
          <w:snapToGrid w:val="0"/>
          <w:kern w:val="0"/>
          <w:szCs w:val="21"/>
          <w:highlight w:val="none"/>
        </w:rPr>
        <w:t>易燃易爆</w:t>
      </w:r>
      <w:r>
        <w:rPr>
          <w:rFonts w:hint="eastAsia" w:ascii="宋体" w:hAnsi="宋体" w:cs="宋体"/>
          <w:snapToGrid w:val="0"/>
          <w:kern w:val="0"/>
          <w:szCs w:val="21"/>
          <w:highlight w:val="none"/>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（七）</w:t>
      </w:r>
      <w:r>
        <w:rPr>
          <w:rFonts w:hint="eastAsia" w:ascii="宋体" w:hAnsi="宋体" w:cs="宋体"/>
          <w:snapToGrid w:val="0"/>
          <w:kern w:val="0"/>
          <w:szCs w:val="21"/>
          <w:highlight w:val="none"/>
        </w:rPr>
        <w:t>操作</w:t>
      </w:r>
      <w:r>
        <w:rPr>
          <w:rFonts w:hint="eastAsia" w:ascii="宋体" w:hAnsi="宋体" w:cs="宋体"/>
          <w:snapToGrid w:val="0"/>
          <w:kern w:val="0"/>
          <w:szCs w:val="21"/>
          <w:highlight w:val="none"/>
          <w:lang w:val="zh-CN"/>
        </w:rPr>
        <w:t>人员上岗，必须按规定佩带平安卡及穿戴安全帽等防护用品。项目经理和专职安全员应随时检查劳动防护用品的穿戴情况，不按规定穿戴防护用品的人员不得上岗。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（八）所有施工</w:t>
      </w:r>
      <w:r>
        <w:rPr>
          <w:rFonts w:hint="eastAsia" w:ascii="宋体" w:hAnsi="宋体" w:cs="宋体"/>
          <w:snapToGrid w:val="0"/>
          <w:kern w:val="0"/>
          <w:szCs w:val="21"/>
          <w:highlight w:val="none"/>
        </w:rPr>
        <w:t>机具</w:t>
      </w:r>
      <w:r>
        <w:rPr>
          <w:rFonts w:hint="eastAsia" w:ascii="宋体" w:hAnsi="宋体" w:cs="宋体"/>
          <w:snapToGrid w:val="0"/>
          <w:kern w:val="0"/>
          <w:szCs w:val="21"/>
          <w:highlight w:val="none"/>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（十）承包人</w:t>
      </w:r>
      <w:r>
        <w:rPr>
          <w:rFonts w:hint="eastAsia" w:ascii="宋体" w:hAnsi="宋体" w:cs="宋体"/>
          <w:snapToGrid w:val="0"/>
          <w:kern w:val="0"/>
          <w:szCs w:val="21"/>
          <w:highlight w:val="none"/>
        </w:rPr>
        <w:t>必须</w:t>
      </w:r>
      <w:r>
        <w:rPr>
          <w:rFonts w:hint="eastAsia" w:ascii="宋体" w:hAnsi="宋体" w:cs="宋体"/>
          <w:snapToGrid w:val="0"/>
          <w:kern w:val="0"/>
          <w:szCs w:val="21"/>
          <w:highlight w:val="none"/>
          <w:lang w:val="zh-CN"/>
        </w:rPr>
        <w:t>按照本工程项目特点，制定安全事故应急救援预案；如果发生安全事故，应按照《建设工程安全管理条例》的有关规定上报有关部门，并按照</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zh-CN"/>
        </w:rPr>
        <w:t>四不放过</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zh-CN"/>
        </w:rPr>
        <w:t>的原则调查处理。</w:t>
      </w:r>
    </w:p>
    <w:p>
      <w:pPr>
        <w:autoSpaceDE w:val="0"/>
        <w:autoSpaceDN w:val="0"/>
        <w:adjustRightInd w:val="0"/>
        <w:snapToGrid w:val="0"/>
        <w:spacing w:line="360" w:lineRule="auto"/>
        <w:ind w:firstLine="200"/>
        <w:rPr>
          <w:rFonts w:ascii="宋体" w:hAnsi="宋体" w:cs="宋体"/>
          <w:b/>
          <w:snapToGrid w:val="0"/>
          <w:kern w:val="0"/>
          <w:szCs w:val="21"/>
          <w:highlight w:val="none"/>
          <w:lang w:val="zh-CN"/>
        </w:rPr>
      </w:pPr>
      <w:r>
        <w:rPr>
          <w:rFonts w:hint="eastAsia" w:ascii="宋体" w:hAnsi="宋体" w:cs="宋体"/>
          <w:b/>
          <w:snapToGrid w:val="0"/>
          <w:kern w:val="0"/>
          <w:szCs w:val="21"/>
          <w:highlight w:val="none"/>
          <w:lang w:val="zh-CN"/>
        </w:rPr>
        <w:t>三、违约责任</w:t>
      </w:r>
    </w:p>
    <w:p>
      <w:pPr>
        <w:autoSpaceDE w:val="0"/>
        <w:autoSpaceDN w:val="0"/>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如因甲方或承包人失职违约，将依据《建设工程安全管理条例》、合同及有关规定追究责任。</w:t>
      </w:r>
    </w:p>
    <w:p>
      <w:pPr>
        <w:adjustRightInd w:val="0"/>
        <w:snapToGrid w:val="0"/>
        <w:spacing w:line="360" w:lineRule="auto"/>
        <w:ind w:firstLine="420" w:firstLineChars="200"/>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本安全生产合同由双方</w:t>
      </w:r>
      <w:r>
        <w:rPr>
          <w:rFonts w:hint="eastAsia" w:ascii="宋体" w:hAnsi="宋体" w:cs="宋体"/>
          <w:snapToGrid w:val="0"/>
          <w:kern w:val="0"/>
          <w:szCs w:val="21"/>
          <w:highlight w:val="none"/>
        </w:rPr>
        <w:t>法定代表人（或委托代理人）签字或加盖公章</w:t>
      </w:r>
      <w:r>
        <w:rPr>
          <w:rFonts w:hint="eastAsia" w:ascii="宋体" w:hAnsi="宋体" w:cs="宋体"/>
          <w:snapToGrid w:val="0"/>
          <w:kern w:val="0"/>
          <w:szCs w:val="21"/>
          <w:highlight w:val="none"/>
          <w:lang w:val="zh-CN"/>
        </w:rPr>
        <w:t>后生效。工程竣工验收合格后失效。</w:t>
      </w:r>
    </w:p>
    <w:p>
      <w:pPr>
        <w:adjustRightInd w:val="0"/>
        <w:snapToGrid w:val="0"/>
        <w:spacing w:line="276" w:lineRule="auto"/>
        <w:ind w:firstLine="480" w:firstLineChars="200"/>
        <w:rPr>
          <w:rFonts w:ascii="宋体" w:hAnsi="宋体" w:cs="宋体"/>
          <w:snapToGrid w:val="0"/>
          <w:kern w:val="0"/>
          <w:sz w:val="24"/>
          <w:highlight w:val="none"/>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highlight w:val="none"/>
                <w:lang w:val="zh-CN"/>
              </w:rPr>
            </w:pPr>
            <w:r>
              <w:rPr>
                <w:rFonts w:hint="eastAsia" w:hAnsi="宋体"/>
                <w:bCs/>
                <w:sz w:val="24"/>
                <w:szCs w:val="21"/>
                <w:highlight w:val="none"/>
              </w:rPr>
              <w:t>发包人（盖章）</w:t>
            </w:r>
            <w:r>
              <w:rPr>
                <w:rFonts w:hAnsi="宋体"/>
                <w:bCs/>
                <w:snapToGrid w:val="0"/>
                <w:sz w:val="24"/>
                <w:highlight w:val="none"/>
              </w:rPr>
              <w:t>：</w:t>
            </w:r>
          </w:p>
        </w:tc>
        <w:tc>
          <w:tcPr>
            <w:tcW w:w="283" w:type="dxa"/>
            <w:vAlign w:val="center"/>
          </w:tcPr>
          <w:p>
            <w:pPr>
              <w:rPr>
                <w:rFonts w:hAnsi="宋体"/>
                <w:bCs/>
                <w:snapToGrid w:val="0"/>
                <w:sz w:val="24"/>
                <w:highlight w:val="none"/>
              </w:rPr>
            </w:pPr>
          </w:p>
        </w:tc>
        <w:tc>
          <w:tcPr>
            <w:tcW w:w="4395" w:type="dxa"/>
            <w:vAlign w:val="center"/>
          </w:tcPr>
          <w:p>
            <w:pPr>
              <w:rPr>
                <w:rFonts w:hAnsi="宋体"/>
                <w:bCs/>
                <w:sz w:val="24"/>
                <w:highlight w:val="none"/>
                <w:lang w:val="zh-CN"/>
              </w:rPr>
            </w:pPr>
            <w:r>
              <w:rPr>
                <w:rFonts w:hint="eastAsia" w:hAnsi="宋体"/>
                <w:bCs/>
                <w:sz w:val="24"/>
                <w:szCs w:val="21"/>
                <w:highlight w:val="none"/>
              </w:rPr>
              <w:t>承包人（盖章）</w:t>
            </w:r>
            <w:r>
              <w:rPr>
                <w:rFonts w:hAnsi="宋体"/>
                <w:bCs/>
                <w:snapToGrid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highlight w:val="none"/>
              </w:rPr>
            </w:pPr>
            <w:r>
              <w:rPr>
                <w:rFonts w:hint="eastAsia" w:ascii="宋体" w:hAnsi="宋体"/>
                <w:b/>
                <w:bCs/>
                <w:sz w:val="24"/>
                <w:highlight w:val="none"/>
                <w:u w:val="single"/>
              </w:rPr>
              <w:t>广州市花都区公共建设项目管理中心</w:t>
            </w:r>
          </w:p>
        </w:tc>
        <w:tc>
          <w:tcPr>
            <w:tcW w:w="283" w:type="dxa"/>
            <w:vAlign w:val="center"/>
          </w:tcPr>
          <w:p>
            <w:pPr>
              <w:rPr>
                <w:rFonts w:hAnsi="宋体"/>
                <w:bCs/>
                <w:snapToGrid w:val="0"/>
                <w:sz w:val="24"/>
                <w:highlight w:val="none"/>
              </w:rPr>
            </w:pPr>
          </w:p>
        </w:tc>
        <w:tc>
          <w:tcPr>
            <w:tcW w:w="4395" w:type="dxa"/>
            <w:vAlign w:val="center"/>
          </w:tcPr>
          <w:p>
            <w:pPr>
              <w:rPr>
                <w:rFonts w:ascii="宋体" w:hAnsi="宋体"/>
                <w:b/>
                <w:bCs/>
                <w:snapToGrid w:val="0"/>
                <w:sz w:val="24"/>
                <w:highlight w:val="none"/>
                <w:u w:val="single"/>
              </w:rPr>
            </w:pPr>
            <w:r>
              <w:rPr>
                <w:rFonts w:hint="eastAsia" w:ascii="宋体" w:hAnsi="宋体"/>
                <w:b/>
                <w:bCs/>
                <w:snapToGrid w:val="0"/>
                <w:sz w:val="24"/>
                <w:highlight w:val="none"/>
                <w:u w:val="single"/>
              </w:rPr>
              <w:t xml:space="preserve"> </w:t>
            </w:r>
            <w:r>
              <w:rPr>
                <w:rFonts w:ascii="宋体" w:hAnsi="宋体"/>
                <w:b/>
                <w:bCs/>
                <w:snapToGrid w:val="0"/>
                <w:sz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c>
          <w:tcPr>
            <w:tcW w:w="283" w:type="dxa"/>
            <w:vAlign w:val="center"/>
          </w:tcPr>
          <w:p>
            <w:pPr>
              <w:rPr>
                <w:rFonts w:hAnsi="宋体"/>
                <w:bCs/>
                <w:snapToGrid w:val="0"/>
                <w:highlight w:val="none"/>
              </w:rPr>
            </w:pPr>
          </w:p>
        </w:tc>
        <w:tc>
          <w:tcPr>
            <w:tcW w:w="4395"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highlight w:val="none"/>
              </w:rPr>
            </w:pPr>
            <w:r>
              <w:rPr>
                <w:rFonts w:hint="eastAsia" w:hAnsi="宋体"/>
                <w:bCs/>
                <w:snapToGrid w:val="0"/>
                <w:highlight w:val="none"/>
              </w:rPr>
              <w:t>地址：广州市花都区公益路3</w:t>
            </w:r>
            <w:r>
              <w:rPr>
                <w:rFonts w:hAnsi="宋体"/>
                <w:bCs/>
                <w:snapToGrid w:val="0"/>
                <w:highlight w:val="none"/>
              </w:rPr>
              <w:t>9</w:t>
            </w:r>
            <w:r>
              <w:rPr>
                <w:rFonts w:hint="eastAsia" w:hAnsi="宋体"/>
                <w:bCs/>
                <w:snapToGrid w:val="0"/>
                <w:highlight w:val="none"/>
              </w:rPr>
              <w:t>号</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Ansi="宋体"/>
                <w:bCs/>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highlight w:val="none"/>
              </w:rPr>
            </w:pPr>
            <w:r>
              <w:rPr>
                <w:rFonts w:hint="eastAsia" w:hAnsi="宋体"/>
                <w:bCs/>
                <w:snapToGrid w:val="0"/>
                <w:highlight w:val="none"/>
              </w:rPr>
              <w:t>电话：0</w:t>
            </w:r>
            <w:r>
              <w:rPr>
                <w:rFonts w:hAnsi="宋体"/>
                <w:bCs/>
                <w:snapToGrid w:val="0"/>
                <w:highlight w:val="none"/>
              </w:rPr>
              <w:t>20</w:t>
            </w:r>
            <w:r>
              <w:rPr>
                <w:rFonts w:hint="eastAsia" w:hAnsi="宋体"/>
                <w:bCs/>
                <w:snapToGrid w:val="0"/>
                <w:highlight w:val="none"/>
              </w:rPr>
              <w:t>-</w:t>
            </w:r>
            <w:r>
              <w:rPr>
                <w:rFonts w:hAnsi="宋体"/>
                <w:bCs/>
                <w:snapToGrid w:val="0"/>
                <w:highlight w:val="none"/>
              </w:rPr>
              <w:t>37760912</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int="eastAsia" w:hAnsi="宋体"/>
                <w:bCs/>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r>
    </w:tbl>
    <w:p>
      <w:pPr>
        <w:rPr>
          <w:highlight w:val="none"/>
        </w:rPr>
      </w:pPr>
      <w:r>
        <w:rPr>
          <w:highlight w:val="none"/>
        </w:rPr>
        <w:br w:type="page"/>
      </w:r>
    </w:p>
    <w:p>
      <w:pPr>
        <w:pStyle w:val="4"/>
        <w:spacing w:line="240" w:lineRule="auto"/>
        <w:jc w:val="left"/>
        <w:rPr>
          <w:rFonts w:ascii="宋体" w:hAnsi="宋体" w:eastAsia="宋体"/>
          <w:snapToGrid w:val="0"/>
          <w:kern w:val="0"/>
          <w:sz w:val="21"/>
          <w:szCs w:val="21"/>
          <w:highlight w:val="none"/>
        </w:rPr>
      </w:pPr>
      <w:bookmarkStart w:id="686" w:name="_Toc132813143"/>
      <w:r>
        <w:rPr>
          <w:rFonts w:hint="eastAsia" w:ascii="宋体" w:hAnsi="宋体" w:eastAsia="宋体"/>
          <w:snapToGrid w:val="0"/>
          <w:kern w:val="0"/>
          <w:sz w:val="21"/>
          <w:szCs w:val="21"/>
          <w:highlight w:val="none"/>
        </w:rPr>
        <w:t>附件4：结算工作协议书</w:t>
      </w:r>
      <w:bookmarkEnd w:id="686"/>
    </w:p>
    <w:p>
      <w:pPr>
        <w:adjustRightInd w:val="0"/>
        <w:snapToGrid w:val="0"/>
        <w:jc w:val="center"/>
        <w:rPr>
          <w:rFonts w:ascii="宋体" w:hAnsi="宋体" w:cs="宋体"/>
          <w:b/>
          <w:snapToGrid w:val="0"/>
          <w:kern w:val="0"/>
          <w:sz w:val="44"/>
          <w:szCs w:val="44"/>
          <w:highlight w:val="none"/>
        </w:rPr>
      </w:pPr>
      <w:r>
        <w:rPr>
          <w:rFonts w:hint="eastAsia" w:ascii="宋体" w:hAnsi="宋体" w:cs="宋体"/>
          <w:b/>
          <w:snapToGrid w:val="0"/>
          <w:kern w:val="0"/>
          <w:sz w:val="44"/>
          <w:szCs w:val="44"/>
          <w:highlight w:val="none"/>
        </w:rPr>
        <w:t>结算工作协议书</w:t>
      </w:r>
    </w:p>
    <w:p>
      <w:pPr>
        <w:adjustRightInd w:val="0"/>
        <w:snapToGrid w:val="0"/>
        <w:spacing w:line="360" w:lineRule="auto"/>
        <w:jc w:val="left"/>
        <w:rPr>
          <w:b/>
          <w:szCs w:val="21"/>
          <w:highlight w:val="none"/>
        </w:rPr>
      </w:pPr>
    </w:p>
    <w:p>
      <w:pPr>
        <w:adjustRightInd w:val="0"/>
        <w:snapToGrid w:val="0"/>
        <w:spacing w:line="360" w:lineRule="auto"/>
        <w:jc w:val="left"/>
        <w:rPr>
          <w:b/>
          <w:szCs w:val="21"/>
          <w:highlight w:val="none"/>
        </w:rPr>
      </w:pPr>
      <w:r>
        <w:rPr>
          <w:rFonts w:hint="eastAsia"/>
          <w:b/>
          <w:szCs w:val="21"/>
          <w:highlight w:val="none"/>
        </w:rPr>
        <w:t>发包人：</w:t>
      </w:r>
      <w:r>
        <w:rPr>
          <w:rFonts w:hint="eastAsia"/>
          <w:b/>
          <w:szCs w:val="21"/>
          <w:highlight w:val="none"/>
          <w:u w:val="single"/>
        </w:rPr>
        <w:t>广州市花都区公共建设项目管理中心</w:t>
      </w:r>
      <w:r>
        <w:rPr>
          <w:rFonts w:hint="eastAsia"/>
          <w:b/>
          <w:szCs w:val="21"/>
          <w:highlight w:val="none"/>
        </w:rPr>
        <w:t xml:space="preserve"> </w:t>
      </w:r>
    </w:p>
    <w:p>
      <w:pPr>
        <w:adjustRightInd w:val="0"/>
        <w:snapToGrid w:val="0"/>
        <w:spacing w:line="360" w:lineRule="auto"/>
        <w:jc w:val="left"/>
        <w:rPr>
          <w:b/>
          <w:szCs w:val="21"/>
          <w:highlight w:val="none"/>
        </w:rPr>
      </w:pPr>
      <w:r>
        <w:rPr>
          <w:rFonts w:hint="eastAsia"/>
          <w:b/>
          <w:szCs w:val="21"/>
          <w:highlight w:val="none"/>
        </w:rPr>
        <w:t>承包人：</w:t>
      </w:r>
      <w:r>
        <w:rPr>
          <w:rFonts w:hint="eastAsia"/>
          <w:szCs w:val="21"/>
          <w:highlight w:val="none"/>
          <w:u w:val="single"/>
        </w:rPr>
        <w:t xml:space="preserve"> </w:t>
      </w:r>
      <w:r>
        <w:rPr>
          <w:szCs w:val="21"/>
          <w:highlight w:val="none"/>
          <w:u w:val="single"/>
        </w:rPr>
        <w:t xml:space="preserve">                              </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本</w:t>
      </w:r>
      <w:r>
        <w:rPr>
          <w:snapToGrid w:val="0"/>
          <w:kern w:val="0"/>
          <w:szCs w:val="21"/>
          <w:highlight w:val="none"/>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1、工程结算报告的提交及审定</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（1）承包人应按发包人的要求和本项目结算工作的需要派出不少于 两 名工程结算人员，专门从事竣工档案编制、工程结算工作；否则，应按本合同（以下简称原合同）专用条款第38.7（3）款的约定承担违约责任。</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2）承包人应按原合同专用条款第36.5款的要求编制工程结算基础资料，并按原合同专用条款36.2（2）要求的时限范围内向发包人提交符合原合同专用条款第36.5款要求的全部竣工结算资料。如因承包人原因，无法及时提交结算资料，导致本项目不能正常办理结算工作的，发包人有权根据《广东省建设工程造价管理规定》（广东省人民政府令第205号）第二十一条相关约定办理。</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（3）本项目合同正常结算工作以有权审核部门要求的时限内上报的工程结算资料为基础进行，承包人应积极配合发包人，协助政府上级主管部门，完成上报结算书的审定工作。</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（4）发包人在收到承包人提交的手续齐备的工程结算资料后，应组织有关单位尽快审核完毕，及时报送上级部门审批。</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5）承包人应按发包人的要求及时派出足够的工程结算管理人员与发包人派出的工程结算管理人员一起组成工程结算管理小组，并由承包人负责其管理范围内工程结算的牵头工作，督促其管理范围内的各专业单位按本条第（2）项的要求及时报送工程结算资料并予以落实，否则，应按原合同专用条款第38.7（6）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2、工程结算定审后有关款项的支付</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本项目结算定审、承包人按原合同专用条款第</w:t>
      </w:r>
      <w:r>
        <w:rPr>
          <w:snapToGrid w:val="0"/>
          <w:kern w:val="0"/>
          <w:szCs w:val="21"/>
          <w:highlight w:val="none"/>
        </w:rPr>
        <w:t>35</w:t>
      </w:r>
      <w:r>
        <w:rPr>
          <w:rFonts w:hint="eastAsia"/>
          <w:snapToGrid w:val="0"/>
          <w:kern w:val="0"/>
          <w:szCs w:val="21"/>
          <w:highlight w:val="none"/>
        </w:rPr>
        <w:t>条约定完整移交工程竣工档案且不发生原合同专用条款第</w:t>
      </w:r>
      <w:r>
        <w:rPr>
          <w:snapToGrid w:val="0"/>
          <w:kern w:val="0"/>
          <w:szCs w:val="21"/>
          <w:highlight w:val="none"/>
        </w:rPr>
        <w:t>38.10</w:t>
      </w:r>
      <w:r>
        <w:rPr>
          <w:rFonts w:hint="eastAsia"/>
          <w:snapToGrid w:val="0"/>
          <w:kern w:val="0"/>
          <w:szCs w:val="21"/>
          <w:highlight w:val="none"/>
        </w:rPr>
        <w:t>（</w:t>
      </w:r>
      <w:r>
        <w:rPr>
          <w:snapToGrid w:val="0"/>
          <w:kern w:val="0"/>
          <w:szCs w:val="21"/>
          <w:highlight w:val="none"/>
        </w:rPr>
        <w:t>3</w:t>
      </w:r>
      <w:r>
        <w:rPr>
          <w:rFonts w:hint="eastAsia"/>
          <w:snapToGrid w:val="0"/>
          <w:kern w:val="0"/>
          <w:szCs w:val="21"/>
          <w:highlight w:val="none"/>
        </w:rPr>
        <w:t>）、（</w:t>
      </w:r>
      <w:r>
        <w:rPr>
          <w:snapToGrid w:val="0"/>
          <w:kern w:val="0"/>
          <w:szCs w:val="21"/>
          <w:highlight w:val="none"/>
        </w:rPr>
        <w:t>4</w:t>
      </w:r>
      <w:r>
        <w:rPr>
          <w:rFonts w:hint="eastAsia"/>
          <w:snapToGrid w:val="0"/>
          <w:kern w:val="0"/>
          <w:szCs w:val="21"/>
          <w:highlight w:val="none"/>
        </w:rPr>
        <w:t>）款的违约情形的，双方同意依据原合同专用条款第</w:t>
      </w:r>
      <w:r>
        <w:rPr>
          <w:snapToGrid w:val="0"/>
          <w:kern w:val="0"/>
          <w:szCs w:val="21"/>
          <w:highlight w:val="none"/>
        </w:rPr>
        <w:t xml:space="preserve">28.1 </w:t>
      </w:r>
      <w:r>
        <w:rPr>
          <w:rFonts w:hint="eastAsia"/>
          <w:snapToGrid w:val="0"/>
          <w:kern w:val="0"/>
          <w:szCs w:val="21"/>
          <w:highlight w:val="none"/>
        </w:rPr>
        <w:t>[</w:t>
      </w:r>
      <w:r>
        <w:rPr>
          <w:snapToGrid w:val="0"/>
          <w:kern w:val="0"/>
          <w:szCs w:val="21"/>
          <w:highlight w:val="none"/>
        </w:rPr>
        <w:t xml:space="preserve"> </w:t>
      </w:r>
      <w:r>
        <w:rPr>
          <w:rFonts w:ascii="Wingdings 2" w:hAnsi="Wingdings 2"/>
          <w:snapToGrid w:val="0"/>
          <w:kern w:val="0"/>
          <w:szCs w:val="21"/>
          <w:highlight w:val="none"/>
        </w:rPr>
        <w:t></w:t>
      </w:r>
      <w:r>
        <w:rPr>
          <w:rFonts w:hint="eastAsia"/>
          <w:snapToGrid w:val="0"/>
          <w:kern w:val="0"/>
          <w:szCs w:val="21"/>
          <w:highlight w:val="none"/>
        </w:rPr>
        <w:t>（</w:t>
      </w:r>
      <w:r>
        <w:rPr>
          <w:snapToGrid w:val="0"/>
          <w:kern w:val="0"/>
          <w:szCs w:val="21"/>
          <w:highlight w:val="none"/>
        </w:rPr>
        <w:t>12</w:t>
      </w:r>
      <w:r>
        <w:rPr>
          <w:rFonts w:hint="eastAsia"/>
          <w:snapToGrid w:val="0"/>
          <w:kern w:val="0"/>
          <w:szCs w:val="21"/>
          <w:highlight w:val="none"/>
        </w:rPr>
        <w:t>）、（</w:t>
      </w:r>
      <w:r>
        <w:rPr>
          <w:snapToGrid w:val="0"/>
          <w:kern w:val="0"/>
          <w:szCs w:val="21"/>
          <w:highlight w:val="none"/>
        </w:rPr>
        <w:t>13</w:t>
      </w:r>
      <w:r>
        <w:rPr>
          <w:rFonts w:hint="eastAsia"/>
          <w:snapToGrid w:val="0"/>
          <w:kern w:val="0"/>
          <w:szCs w:val="21"/>
          <w:highlight w:val="none"/>
        </w:rPr>
        <w:t>）</w:t>
      </w:r>
      <w:r>
        <w:rPr>
          <w:snapToGrid w:val="0"/>
          <w:kern w:val="0"/>
          <w:szCs w:val="21"/>
          <w:highlight w:val="none"/>
        </w:rPr>
        <w:t xml:space="preserve"> </w:t>
      </w:r>
      <w:r>
        <w:rPr>
          <w:rFonts w:ascii="Wingdings 2" w:hAnsi="Wingdings 2"/>
          <w:snapToGrid w:val="0"/>
          <w:kern w:val="0"/>
          <w:szCs w:val="21"/>
          <w:highlight w:val="none"/>
        </w:rPr>
        <w:t></w:t>
      </w:r>
      <w:r>
        <w:rPr>
          <w:rFonts w:hint="eastAsia"/>
          <w:snapToGrid w:val="0"/>
          <w:kern w:val="0"/>
          <w:szCs w:val="21"/>
          <w:highlight w:val="none"/>
        </w:rPr>
        <w:t>（</w:t>
      </w:r>
      <w:r>
        <w:rPr>
          <w:snapToGrid w:val="0"/>
          <w:kern w:val="0"/>
          <w:szCs w:val="21"/>
          <w:highlight w:val="none"/>
        </w:rPr>
        <w:t>13</w:t>
      </w:r>
      <w:r>
        <w:rPr>
          <w:rFonts w:hint="eastAsia"/>
          <w:snapToGrid w:val="0"/>
          <w:kern w:val="0"/>
          <w:szCs w:val="21"/>
          <w:highlight w:val="none"/>
        </w:rPr>
        <w:t>）、（</w:t>
      </w:r>
      <w:r>
        <w:rPr>
          <w:snapToGrid w:val="0"/>
          <w:kern w:val="0"/>
          <w:szCs w:val="21"/>
          <w:highlight w:val="none"/>
        </w:rPr>
        <w:t>14</w:t>
      </w:r>
      <w:r>
        <w:rPr>
          <w:rFonts w:hint="eastAsia"/>
          <w:snapToGrid w:val="0"/>
          <w:kern w:val="0"/>
          <w:szCs w:val="21"/>
          <w:highlight w:val="none"/>
        </w:rPr>
        <w:t>）]款的约定按如下方法之一处理：</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（1）发包人已支付的累计金额小于工程结算定审金额的97%的，发包人继续支付至结算定审金额的97%，留下结算定审金额的3%作为工程质量保修金并按如下约定方式支付：</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2）工程竣工验收合格且缺陷责任期满后，在工程缺陷责任期内未出现违约情形，发包人应在收到承包人的款项申请手续且扣除应扣款项后三十天内将本合同结算定审金额的3%无息支付给承包人。结清工程尾款不豁免承包人继续按照原合同约定应承担的保修责任。</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修金（结算定审金额的3%）按本条第（1）项的约定支付。</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3、工程结算中争议问题的处理</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对于工程结算中有争议的问题，依据合同的相关约定，本着“依法依规，实事求是和风险共担”的原则，按如下约定处理：</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（1）承包人上报的工程结算资料经发包人审核后如发生争议，如双方能达成一致且经上级主管部门审定的部分纳入正常结算审定。</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（2）双方未能达成一致的本项目结算争议，发包人可依据已有资料单方面组织结算，承包人有异议的可按照原合同专用条款第40.1款的约定通过法律途径解决。</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4、本工作协议书作为原合同的组成部分，与原合同具有同等法律效力。本工作协议书的约定与原合同相冲突的，以本工作协议书的约定为准。</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5、本工作协议书于双方签字盖章后生效，至双方履行完本工作协议书中的义务与责任时终止。</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highlight w:val="none"/>
                <w:lang w:val="zh-CN"/>
              </w:rPr>
            </w:pPr>
            <w:r>
              <w:rPr>
                <w:rFonts w:hint="eastAsia" w:hAnsi="宋体"/>
                <w:bCs/>
                <w:sz w:val="24"/>
                <w:szCs w:val="21"/>
                <w:highlight w:val="none"/>
              </w:rPr>
              <w:t>发包人（盖章）</w:t>
            </w:r>
            <w:r>
              <w:rPr>
                <w:rFonts w:hAnsi="宋体"/>
                <w:bCs/>
                <w:snapToGrid w:val="0"/>
                <w:sz w:val="24"/>
                <w:highlight w:val="none"/>
              </w:rPr>
              <w:t>：</w:t>
            </w:r>
          </w:p>
        </w:tc>
        <w:tc>
          <w:tcPr>
            <w:tcW w:w="283" w:type="dxa"/>
            <w:vAlign w:val="center"/>
          </w:tcPr>
          <w:p>
            <w:pPr>
              <w:rPr>
                <w:rFonts w:hAnsi="宋体"/>
                <w:bCs/>
                <w:snapToGrid w:val="0"/>
                <w:sz w:val="24"/>
                <w:highlight w:val="none"/>
              </w:rPr>
            </w:pPr>
          </w:p>
        </w:tc>
        <w:tc>
          <w:tcPr>
            <w:tcW w:w="4395" w:type="dxa"/>
            <w:vAlign w:val="center"/>
          </w:tcPr>
          <w:p>
            <w:pPr>
              <w:rPr>
                <w:rFonts w:hAnsi="宋体"/>
                <w:bCs/>
                <w:sz w:val="24"/>
                <w:highlight w:val="none"/>
                <w:lang w:val="zh-CN"/>
              </w:rPr>
            </w:pPr>
            <w:r>
              <w:rPr>
                <w:rFonts w:hint="eastAsia" w:hAnsi="宋体"/>
                <w:bCs/>
                <w:sz w:val="24"/>
                <w:szCs w:val="21"/>
                <w:highlight w:val="none"/>
              </w:rPr>
              <w:t>承包人（盖章）</w:t>
            </w:r>
            <w:r>
              <w:rPr>
                <w:rFonts w:hAnsi="宋体"/>
                <w:bCs/>
                <w:snapToGrid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highlight w:val="none"/>
              </w:rPr>
            </w:pPr>
            <w:r>
              <w:rPr>
                <w:rFonts w:hint="eastAsia" w:ascii="宋体" w:hAnsi="宋体"/>
                <w:b/>
                <w:bCs/>
                <w:sz w:val="24"/>
                <w:highlight w:val="none"/>
                <w:u w:val="single"/>
              </w:rPr>
              <w:t>广州市花都区公共建设项目管理中心</w:t>
            </w:r>
          </w:p>
        </w:tc>
        <w:tc>
          <w:tcPr>
            <w:tcW w:w="283" w:type="dxa"/>
            <w:vAlign w:val="center"/>
          </w:tcPr>
          <w:p>
            <w:pPr>
              <w:rPr>
                <w:rFonts w:hAnsi="宋体"/>
                <w:bCs/>
                <w:snapToGrid w:val="0"/>
                <w:sz w:val="24"/>
                <w:highlight w:val="none"/>
              </w:rPr>
            </w:pPr>
          </w:p>
        </w:tc>
        <w:tc>
          <w:tcPr>
            <w:tcW w:w="4395" w:type="dxa"/>
            <w:vAlign w:val="center"/>
          </w:tcPr>
          <w:p>
            <w:pPr>
              <w:rPr>
                <w:rFonts w:ascii="宋体" w:hAnsi="宋体"/>
                <w:b/>
                <w:bCs/>
                <w:snapToGrid w:val="0"/>
                <w:sz w:val="24"/>
                <w:highlight w:val="none"/>
                <w:u w:val="single"/>
              </w:rPr>
            </w:pPr>
            <w:r>
              <w:rPr>
                <w:rFonts w:hint="eastAsia" w:ascii="宋体" w:hAnsi="宋体"/>
                <w:b/>
                <w:bCs/>
                <w:snapToGrid w:val="0"/>
                <w:sz w:val="24"/>
                <w:highlight w:val="none"/>
                <w:u w:val="single"/>
              </w:rPr>
              <w:t xml:space="preserve"> </w:t>
            </w:r>
            <w:r>
              <w:rPr>
                <w:rFonts w:ascii="宋体" w:hAnsi="宋体"/>
                <w:b/>
                <w:bCs/>
                <w:snapToGrid w:val="0"/>
                <w:sz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253"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c>
          <w:tcPr>
            <w:tcW w:w="283" w:type="dxa"/>
            <w:vAlign w:val="center"/>
          </w:tcPr>
          <w:p>
            <w:pPr>
              <w:rPr>
                <w:rFonts w:hAnsi="宋体"/>
                <w:bCs/>
                <w:snapToGrid w:val="0"/>
                <w:highlight w:val="none"/>
              </w:rPr>
            </w:pPr>
          </w:p>
        </w:tc>
        <w:tc>
          <w:tcPr>
            <w:tcW w:w="4395"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253" w:type="dxa"/>
            <w:vAlign w:val="center"/>
          </w:tcPr>
          <w:p>
            <w:pPr>
              <w:rPr>
                <w:rFonts w:hAnsi="宋体"/>
                <w:bCs/>
                <w:snapToGrid w:val="0"/>
                <w:highlight w:val="none"/>
              </w:rPr>
            </w:pPr>
            <w:r>
              <w:rPr>
                <w:rFonts w:hint="eastAsia" w:hAnsi="宋体"/>
                <w:bCs/>
                <w:snapToGrid w:val="0"/>
                <w:highlight w:val="none"/>
              </w:rPr>
              <w:t>地址：广州市花都区公益路3</w:t>
            </w:r>
            <w:r>
              <w:rPr>
                <w:rFonts w:hAnsi="宋体"/>
                <w:bCs/>
                <w:snapToGrid w:val="0"/>
                <w:highlight w:val="none"/>
              </w:rPr>
              <w:t>9</w:t>
            </w:r>
            <w:r>
              <w:rPr>
                <w:rFonts w:hint="eastAsia" w:hAnsi="宋体"/>
                <w:bCs/>
                <w:snapToGrid w:val="0"/>
                <w:highlight w:val="none"/>
              </w:rPr>
              <w:t>号</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Ansi="宋体"/>
                <w:bCs/>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highlight w:val="none"/>
              </w:rPr>
            </w:pPr>
            <w:r>
              <w:rPr>
                <w:rFonts w:hint="eastAsia" w:hAnsi="宋体"/>
                <w:bCs/>
                <w:snapToGrid w:val="0"/>
                <w:highlight w:val="none"/>
              </w:rPr>
              <w:t>电话：0</w:t>
            </w:r>
            <w:r>
              <w:rPr>
                <w:rFonts w:hAnsi="宋体"/>
                <w:bCs/>
                <w:snapToGrid w:val="0"/>
                <w:highlight w:val="none"/>
              </w:rPr>
              <w:t>20</w:t>
            </w:r>
            <w:r>
              <w:rPr>
                <w:rFonts w:hint="eastAsia" w:hAnsi="宋体"/>
                <w:bCs/>
                <w:snapToGrid w:val="0"/>
                <w:highlight w:val="none"/>
              </w:rPr>
              <w:t>-</w:t>
            </w:r>
            <w:r>
              <w:rPr>
                <w:rFonts w:hAnsi="宋体"/>
                <w:bCs/>
                <w:snapToGrid w:val="0"/>
                <w:highlight w:val="none"/>
              </w:rPr>
              <w:t>37760912</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int="eastAsia" w:hAnsi="宋体"/>
                <w:bCs/>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r>
    </w:tbl>
    <w:p>
      <w:pPr>
        <w:pStyle w:val="4"/>
        <w:jc w:val="left"/>
        <w:rPr>
          <w:rFonts w:ascii="宋体" w:hAnsi="宋体" w:eastAsia="宋体"/>
          <w:snapToGrid w:val="0"/>
          <w:kern w:val="0"/>
          <w:sz w:val="21"/>
          <w:szCs w:val="21"/>
          <w:highlight w:val="none"/>
        </w:rPr>
      </w:pPr>
      <w:bookmarkStart w:id="687" w:name="_Toc514663887"/>
      <w:bookmarkStart w:id="688" w:name="_Toc421274406"/>
      <w:bookmarkStart w:id="689" w:name="_Toc514665310"/>
      <w:bookmarkStart w:id="690" w:name="_Toc520901488"/>
      <w:bookmarkStart w:id="691" w:name="_Toc520902784"/>
      <w:bookmarkStart w:id="692" w:name="_Toc516496004"/>
      <w:bookmarkStart w:id="693" w:name="_Toc518481760"/>
      <w:bookmarkStart w:id="694" w:name="_Toc519502278"/>
      <w:bookmarkStart w:id="695" w:name="_Toc520358258"/>
      <w:bookmarkStart w:id="696" w:name="_Toc517954601"/>
      <w:bookmarkStart w:id="697" w:name="_Toc514681210"/>
      <w:bookmarkStart w:id="698" w:name="_Toc514664888"/>
      <w:bookmarkStart w:id="699" w:name="_Toc514665171"/>
      <w:bookmarkStart w:id="700" w:name="_Toc520358082"/>
      <w:bookmarkStart w:id="701" w:name="_Toc514667001"/>
      <w:bookmarkStart w:id="702" w:name="_Toc514681791"/>
      <w:bookmarkStart w:id="703" w:name="_Toc519503108"/>
      <w:bookmarkStart w:id="704" w:name="_Toc517774588"/>
      <w:bookmarkStart w:id="705" w:name="_Toc520902633"/>
      <w:bookmarkStart w:id="706" w:name="_Toc520902855"/>
      <w:bookmarkStart w:id="707" w:name="_Toc132813144"/>
      <w:r>
        <w:rPr>
          <w:rFonts w:hint="eastAsia" w:ascii="宋体" w:hAnsi="宋体" w:eastAsia="宋体"/>
          <w:snapToGrid w:val="0"/>
          <w:kern w:val="0"/>
          <w:sz w:val="21"/>
          <w:szCs w:val="21"/>
          <w:highlight w:val="none"/>
        </w:rPr>
        <w:t>附件5：</w:t>
      </w:r>
      <w:bookmarkEnd w:id="687"/>
      <w:bookmarkEnd w:id="688"/>
      <w:r>
        <w:rPr>
          <w:rFonts w:hint="eastAsia" w:ascii="宋体" w:hAnsi="宋体" w:eastAsia="宋体"/>
          <w:snapToGrid w:val="0"/>
          <w:kern w:val="0"/>
          <w:sz w:val="21"/>
          <w:szCs w:val="21"/>
          <w:highlight w:val="none"/>
        </w:rPr>
        <w:t>履约银行保函</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hint="eastAsia" w:ascii="宋体" w:hAnsi="宋体" w:eastAsia="宋体"/>
          <w:snapToGrid w:val="0"/>
          <w:kern w:val="0"/>
          <w:sz w:val="21"/>
          <w:szCs w:val="21"/>
          <w:highlight w:val="none"/>
        </w:rPr>
        <w:t>及承诺书</w:t>
      </w:r>
      <w:bookmarkEnd w:id="707"/>
    </w:p>
    <w:p>
      <w:pPr>
        <w:adjustRightInd w:val="0"/>
        <w:snapToGrid w:val="0"/>
        <w:spacing w:line="360" w:lineRule="auto"/>
        <w:jc w:val="left"/>
        <w:rPr>
          <w:rFonts w:ascii="宋体" w:hAnsi="宋体" w:cs="宋体"/>
          <w:b/>
          <w:snapToGrid w:val="0"/>
          <w:kern w:val="0"/>
          <w:sz w:val="44"/>
          <w:szCs w:val="44"/>
          <w:highlight w:val="none"/>
        </w:rPr>
      </w:pPr>
    </w:p>
    <w:p>
      <w:pPr>
        <w:adjustRightInd w:val="0"/>
        <w:snapToGrid w:val="0"/>
        <w:spacing w:after="240" w:line="360" w:lineRule="auto"/>
        <w:jc w:val="center"/>
        <w:rPr>
          <w:rFonts w:ascii="宋体" w:hAnsi="宋体" w:cs="宋体"/>
          <w:b/>
          <w:snapToGrid w:val="0"/>
          <w:kern w:val="0"/>
          <w:sz w:val="44"/>
          <w:szCs w:val="44"/>
          <w:highlight w:val="none"/>
        </w:rPr>
      </w:pPr>
      <w:r>
        <w:rPr>
          <w:rFonts w:hint="eastAsia" w:ascii="宋体" w:hAnsi="宋体" w:cs="宋体"/>
          <w:b/>
          <w:snapToGrid w:val="0"/>
          <w:kern w:val="0"/>
          <w:sz w:val="44"/>
          <w:szCs w:val="44"/>
          <w:highlight w:val="none"/>
        </w:rPr>
        <w:t>承 诺 书</w:t>
      </w:r>
    </w:p>
    <w:p>
      <w:pPr>
        <w:autoSpaceDE w:val="0"/>
        <w:autoSpaceDN w:val="0"/>
        <w:adjustRightInd w:val="0"/>
        <w:snapToGrid w:val="0"/>
        <w:spacing w:line="480" w:lineRule="auto"/>
        <w:jc w:val="left"/>
        <w:rPr>
          <w:rFonts w:ascii="宋体" w:hAnsi="宋体" w:cs="宋体"/>
          <w:b/>
          <w:snapToGrid w:val="0"/>
          <w:kern w:val="0"/>
          <w:sz w:val="24"/>
          <w:highlight w:val="none"/>
        </w:rPr>
      </w:pPr>
      <w:r>
        <w:rPr>
          <w:rFonts w:hint="eastAsia" w:ascii="宋体" w:hAnsi="宋体" w:cs="宋体"/>
          <w:b/>
          <w:sz w:val="24"/>
          <w:highlight w:val="none"/>
          <w:u w:val="single"/>
        </w:rPr>
        <w:t>广州市花都区公共建设项目管理中心</w:t>
      </w:r>
      <w:r>
        <w:rPr>
          <w:rFonts w:hint="eastAsia" w:ascii="宋体" w:hAnsi="宋体" w:cs="宋体"/>
          <w:b/>
          <w:snapToGrid w:val="0"/>
          <w:kern w:val="0"/>
          <w:sz w:val="24"/>
          <w:highlight w:val="none"/>
        </w:rPr>
        <w:t>：</w:t>
      </w:r>
    </w:p>
    <w:p>
      <w:pPr>
        <w:autoSpaceDE w:val="0"/>
        <w:autoSpaceDN w:val="0"/>
        <w:adjustRightInd w:val="0"/>
        <w:snapToGrid w:val="0"/>
        <w:spacing w:line="480" w:lineRule="auto"/>
        <w:ind w:firstLine="480"/>
        <w:rPr>
          <w:snapToGrid w:val="0"/>
          <w:kern w:val="0"/>
          <w:sz w:val="24"/>
          <w:szCs w:val="21"/>
          <w:highlight w:val="none"/>
          <w:lang w:val="zh-CN"/>
        </w:rPr>
      </w:pPr>
      <w:r>
        <w:rPr>
          <w:rFonts w:hint="eastAsia"/>
          <w:snapToGrid w:val="0"/>
          <w:kern w:val="0"/>
          <w:sz w:val="24"/>
          <w:szCs w:val="21"/>
          <w:highlight w:val="none"/>
          <w:lang w:val="zh-CN"/>
        </w:rPr>
        <w:t>我司承诺按招标文件的要求向贵单位提交</w:t>
      </w:r>
      <w:r>
        <w:rPr>
          <w:rFonts w:hint="eastAsia"/>
          <w:snapToGrid w:val="0"/>
          <w:kern w:val="0"/>
          <w:sz w:val="24"/>
          <w:szCs w:val="21"/>
          <w:highlight w:val="none"/>
          <w:u w:val="single"/>
          <w:lang w:val="zh-CN"/>
        </w:rPr>
        <w:t>新华街莲塘小学扩建改造项目设计施工总承包</w:t>
      </w:r>
      <w:r>
        <w:rPr>
          <w:rFonts w:hint="eastAsia"/>
          <w:snapToGrid w:val="0"/>
          <w:kern w:val="0"/>
          <w:sz w:val="24"/>
          <w:szCs w:val="21"/>
          <w:highlight w:val="none"/>
          <w:lang w:val="zh-CN"/>
        </w:rPr>
        <w:t>履约保函，保函有限期为合同预计竣工日期+1年。</w:t>
      </w:r>
    </w:p>
    <w:p>
      <w:pPr>
        <w:autoSpaceDE w:val="0"/>
        <w:autoSpaceDN w:val="0"/>
        <w:adjustRightInd w:val="0"/>
        <w:snapToGrid w:val="0"/>
        <w:spacing w:line="480" w:lineRule="auto"/>
        <w:ind w:firstLine="480"/>
        <w:rPr>
          <w:snapToGrid w:val="0"/>
          <w:kern w:val="0"/>
          <w:sz w:val="24"/>
          <w:szCs w:val="21"/>
          <w:highlight w:val="none"/>
          <w:lang w:val="zh-CN"/>
        </w:rPr>
      </w:pPr>
      <w:r>
        <w:rPr>
          <w:rFonts w:hint="eastAsia"/>
          <w:snapToGrid w:val="0"/>
          <w:kern w:val="0"/>
          <w:sz w:val="24"/>
          <w:szCs w:val="21"/>
          <w:highlight w:val="none"/>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pPr>
        <w:autoSpaceDE w:val="0"/>
        <w:autoSpaceDN w:val="0"/>
        <w:adjustRightInd w:val="0"/>
        <w:snapToGrid w:val="0"/>
        <w:spacing w:line="480" w:lineRule="auto"/>
        <w:ind w:firstLine="480"/>
        <w:rPr>
          <w:snapToGrid w:val="0"/>
          <w:kern w:val="0"/>
          <w:sz w:val="24"/>
          <w:szCs w:val="21"/>
          <w:highlight w:val="none"/>
          <w:lang w:val="zh-CN"/>
        </w:rPr>
      </w:pPr>
      <w:r>
        <w:rPr>
          <w:snapToGrid w:val="0"/>
          <w:kern w:val="0"/>
          <w:sz w:val="24"/>
          <w:szCs w:val="21"/>
          <w:highlight w:val="none"/>
          <w:lang w:val="zh-CN"/>
        </w:rPr>
        <w:t>特此承诺。</w:t>
      </w:r>
    </w:p>
    <w:p>
      <w:pPr>
        <w:autoSpaceDE w:val="0"/>
        <w:autoSpaceDN w:val="0"/>
        <w:adjustRightInd w:val="0"/>
        <w:snapToGrid w:val="0"/>
        <w:spacing w:line="360" w:lineRule="auto"/>
        <w:rPr>
          <w:rFonts w:ascii="宋体" w:hAnsi="宋体" w:cs="宋体"/>
          <w:snapToGrid w:val="0"/>
          <w:kern w:val="0"/>
          <w:sz w:val="24"/>
          <w:szCs w:val="21"/>
          <w:highlight w:val="none"/>
          <w:lang w:val="zh-CN"/>
        </w:rPr>
      </w:pPr>
    </w:p>
    <w:p>
      <w:pPr>
        <w:autoSpaceDE w:val="0"/>
        <w:autoSpaceDN w:val="0"/>
        <w:adjustRightInd w:val="0"/>
        <w:snapToGrid w:val="0"/>
        <w:spacing w:line="360" w:lineRule="auto"/>
        <w:rPr>
          <w:rFonts w:ascii="宋体" w:hAnsi="宋体" w:cs="宋体"/>
          <w:snapToGrid w:val="0"/>
          <w:kern w:val="0"/>
          <w:sz w:val="24"/>
          <w:szCs w:val="21"/>
          <w:highlight w:val="none"/>
          <w:lang w:val="zh-CN"/>
        </w:rPr>
      </w:pPr>
    </w:p>
    <w:p>
      <w:pPr>
        <w:autoSpaceDE w:val="0"/>
        <w:autoSpaceDN w:val="0"/>
        <w:adjustRightInd w:val="0"/>
        <w:snapToGrid w:val="0"/>
        <w:spacing w:line="360" w:lineRule="auto"/>
        <w:rPr>
          <w:rFonts w:ascii="宋体" w:hAnsi="宋体" w:cs="宋体"/>
          <w:snapToGrid w:val="0"/>
          <w:kern w:val="0"/>
          <w:sz w:val="24"/>
          <w:szCs w:val="21"/>
          <w:highlight w:val="none"/>
          <w:lang w:val="zh-CN"/>
        </w:rPr>
      </w:pPr>
    </w:p>
    <w:p>
      <w:pPr>
        <w:pStyle w:val="8"/>
        <w:spacing w:line="360" w:lineRule="auto"/>
        <w:ind w:left="4080" w:leftChars="1600" w:hanging="720" w:hangingChars="300"/>
        <w:rPr>
          <w:sz w:val="24"/>
          <w:highlight w:val="none"/>
        </w:rPr>
      </w:pPr>
      <w:r>
        <w:rPr>
          <w:rFonts w:hint="eastAsia" w:ascii="宋体" w:hAnsi="宋体" w:cs="宋体"/>
          <w:snapToGrid w:val="0"/>
          <w:kern w:val="0"/>
          <w:sz w:val="24"/>
          <w:szCs w:val="21"/>
          <w:highlight w:val="none"/>
          <w:lang w:val="zh-CN"/>
        </w:rPr>
        <w:t xml:space="preserve">      承诺人</w:t>
      </w:r>
      <w:r>
        <w:rPr>
          <w:rFonts w:hint="eastAsia"/>
          <w:sz w:val="24"/>
          <w:highlight w:val="none"/>
        </w:rPr>
        <w:t xml:space="preserve">（盖公章）： </w:t>
      </w:r>
    </w:p>
    <w:p>
      <w:pPr>
        <w:autoSpaceDE w:val="0"/>
        <w:autoSpaceDN w:val="0"/>
        <w:adjustRightInd w:val="0"/>
        <w:snapToGrid w:val="0"/>
        <w:spacing w:line="360" w:lineRule="auto"/>
        <w:rPr>
          <w:sz w:val="24"/>
          <w:highlight w:val="none"/>
        </w:rPr>
      </w:pPr>
      <w:r>
        <w:rPr>
          <w:rFonts w:hint="eastAsia"/>
          <w:sz w:val="24"/>
          <w:highlight w:val="none"/>
        </w:rPr>
        <w:t xml:space="preserve">                           </w:t>
      </w:r>
      <w:r>
        <w:rPr>
          <w:sz w:val="24"/>
          <w:highlight w:val="none"/>
        </w:rPr>
        <w:t xml:space="preserve">       </w:t>
      </w:r>
      <w:r>
        <w:rPr>
          <w:rFonts w:hint="eastAsia"/>
          <w:sz w:val="24"/>
          <w:highlight w:val="none"/>
        </w:rPr>
        <w:t xml:space="preserve">法定代表人（签字）：  </w:t>
      </w:r>
    </w:p>
    <w:p>
      <w:pPr>
        <w:autoSpaceDE w:val="0"/>
        <w:autoSpaceDN w:val="0"/>
        <w:adjustRightInd w:val="0"/>
        <w:snapToGrid w:val="0"/>
        <w:spacing w:line="360" w:lineRule="auto"/>
        <w:rPr>
          <w:sz w:val="24"/>
          <w:highlight w:val="none"/>
        </w:rPr>
      </w:pPr>
    </w:p>
    <w:p>
      <w:pPr>
        <w:pStyle w:val="8"/>
        <w:spacing w:line="360" w:lineRule="auto"/>
        <w:ind w:firstLine="5040" w:firstLineChars="2100"/>
        <w:rPr>
          <w:sz w:val="24"/>
          <w:highlight w:val="none"/>
        </w:rPr>
      </w:pPr>
      <w:r>
        <w:rPr>
          <w:rFonts w:hint="eastAsia"/>
          <w:sz w:val="24"/>
          <w:highlight w:val="none"/>
        </w:rPr>
        <w:t>日期：2023年   月   日</w:t>
      </w:r>
    </w:p>
    <w:p>
      <w:pPr>
        <w:adjustRightInd w:val="0"/>
        <w:snapToGrid w:val="0"/>
        <w:spacing w:line="360" w:lineRule="auto"/>
        <w:rPr>
          <w:rFonts w:ascii="宋体" w:hAnsi="宋体" w:cs="宋体"/>
          <w:b/>
          <w:snapToGrid w:val="0"/>
          <w:kern w:val="0"/>
          <w:sz w:val="44"/>
          <w:szCs w:val="36"/>
          <w:highlight w:val="none"/>
        </w:rPr>
      </w:pPr>
    </w:p>
    <w:p>
      <w:pPr>
        <w:widowControl/>
        <w:jc w:val="left"/>
        <w:rPr>
          <w:rFonts w:ascii="宋体" w:hAnsi="宋体" w:cs="宋体"/>
          <w:b/>
          <w:snapToGrid w:val="0"/>
          <w:kern w:val="0"/>
          <w:sz w:val="44"/>
          <w:szCs w:val="36"/>
          <w:highlight w:val="none"/>
        </w:rPr>
      </w:pPr>
      <w:r>
        <w:rPr>
          <w:rFonts w:ascii="宋体" w:hAnsi="宋体" w:cs="宋体"/>
          <w:b/>
          <w:snapToGrid w:val="0"/>
          <w:kern w:val="0"/>
          <w:sz w:val="44"/>
          <w:szCs w:val="36"/>
          <w:highlight w:val="none"/>
        </w:rPr>
        <w:br w:type="page"/>
      </w:r>
    </w:p>
    <w:p>
      <w:pPr>
        <w:pStyle w:val="3"/>
        <w:jc w:val="center"/>
        <w:rPr>
          <w:highlight w:val="none"/>
        </w:rPr>
      </w:pPr>
      <w:bookmarkStart w:id="708" w:name="_Toc132813145"/>
      <w:r>
        <w:rPr>
          <w:rFonts w:hint="eastAsia"/>
          <w:highlight w:val="none"/>
        </w:rPr>
        <w:t>第五篇  施工总承包承诺书</w:t>
      </w:r>
      <w:bookmarkEnd w:id="708"/>
    </w:p>
    <w:p>
      <w:pPr>
        <w:pStyle w:val="4"/>
        <w:jc w:val="left"/>
        <w:rPr>
          <w:rFonts w:ascii="宋体" w:hAnsi="宋体" w:eastAsia="宋体"/>
          <w:sz w:val="21"/>
          <w:szCs w:val="21"/>
          <w:highlight w:val="none"/>
        </w:rPr>
      </w:pPr>
      <w:bookmarkStart w:id="709" w:name="_Toc132813146"/>
      <w:r>
        <w:rPr>
          <w:rFonts w:hint="eastAsia" w:ascii="宋体" w:hAnsi="宋体" w:eastAsia="宋体"/>
          <w:sz w:val="21"/>
          <w:szCs w:val="21"/>
          <w:highlight w:val="none"/>
        </w:rPr>
        <w:t>附件</w:t>
      </w:r>
      <w:r>
        <w:rPr>
          <w:rFonts w:ascii="宋体" w:hAnsi="宋体" w:eastAsia="宋体"/>
          <w:sz w:val="21"/>
          <w:szCs w:val="21"/>
          <w:highlight w:val="none"/>
        </w:rPr>
        <w:t>1</w:t>
      </w:r>
      <w:r>
        <w:rPr>
          <w:rFonts w:hint="eastAsia" w:ascii="宋体" w:hAnsi="宋体" w:eastAsia="宋体"/>
          <w:sz w:val="21"/>
          <w:szCs w:val="21"/>
          <w:highlight w:val="none"/>
        </w:rPr>
        <w:t>：拟投入本项目主要人员承诺书</w:t>
      </w:r>
      <w:bookmarkEnd w:id="709"/>
    </w:p>
    <w:p>
      <w:pPr>
        <w:adjustRightInd w:val="0"/>
        <w:snapToGrid w:val="0"/>
        <w:spacing w:line="360" w:lineRule="auto"/>
        <w:jc w:val="center"/>
        <w:rPr>
          <w:rFonts w:ascii="宋体" w:hAnsi="宋体" w:cs="宋体"/>
          <w:b/>
          <w:snapToGrid w:val="0"/>
          <w:kern w:val="0"/>
          <w:sz w:val="44"/>
          <w:szCs w:val="44"/>
          <w:highlight w:val="none"/>
        </w:rPr>
      </w:pPr>
      <w:r>
        <w:rPr>
          <w:rFonts w:hint="eastAsia" w:ascii="宋体" w:hAnsi="宋体" w:cs="宋体"/>
          <w:b/>
          <w:snapToGrid w:val="0"/>
          <w:kern w:val="0"/>
          <w:sz w:val="44"/>
          <w:szCs w:val="44"/>
          <w:highlight w:val="none"/>
        </w:rPr>
        <w:t>拟投入本项目主要人员承诺书</w:t>
      </w:r>
    </w:p>
    <w:p>
      <w:pPr>
        <w:pStyle w:val="8"/>
        <w:spacing w:line="360" w:lineRule="auto"/>
        <w:ind w:firstLine="48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spacing w:line="360" w:lineRule="auto"/>
        <w:ind w:firstLine="556" w:firstLineChars="232"/>
        <w:rPr>
          <w:sz w:val="24"/>
          <w:highlight w:val="none"/>
        </w:rPr>
      </w:pPr>
      <w:r>
        <w:rPr>
          <w:sz w:val="24"/>
          <w:highlight w:val="none"/>
        </w:rPr>
        <w:t>我司已充分阅读了招标文件并充分了解本工程严格的管理和技术人员投入的要求。我司保证：</w:t>
      </w:r>
    </w:p>
    <w:p>
      <w:pPr>
        <w:pStyle w:val="8"/>
        <w:spacing w:line="360" w:lineRule="auto"/>
        <w:ind w:firstLine="556" w:firstLineChars="232"/>
        <w:rPr>
          <w:sz w:val="24"/>
          <w:highlight w:val="none"/>
        </w:rPr>
      </w:pPr>
      <w:r>
        <w:rPr>
          <w:sz w:val="24"/>
          <w:highlight w:val="none"/>
        </w:rPr>
        <w:t>1、投标所报的全部技术和管理人员均为我司员工；</w:t>
      </w:r>
    </w:p>
    <w:p>
      <w:pPr>
        <w:pStyle w:val="8"/>
        <w:spacing w:line="360" w:lineRule="auto"/>
        <w:ind w:firstLine="556" w:firstLineChars="232"/>
        <w:rPr>
          <w:sz w:val="24"/>
          <w:highlight w:val="none"/>
        </w:rPr>
      </w:pPr>
      <w:r>
        <w:rPr>
          <w:sz w:val="24"/>
          <w:highlight w:val="none"/>
        </w:rPr>
        <w:t>2、项目经理（</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级职称以上，房建工程施工经验</w:t>
      </w:r>
      <w:r>
        <w:rPr>
          <w:sz w:val="24"/>
          <w:highlight w:val="none"/>
          <w:u w:val="single"/>
        </w:rPr>
        <w:t xml:space="preserve">     </w:t>
      </w:r>
      <w:r>
        <w:rPr>
          <w:sz w:val="24"/>
          <w:highlight w:val="none"/>
        </w:rPr>
        <w:t>年以上）、项目技术负责人（</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级职称,房建工程施工经验</w:t>
      </w:r>
      <w:r>
        <w:rPr>
          <w:sz w:val="24"/>
          <w:highlight w:val="none"/>
          <w:u w:val="single"/>
        </w:rPr>
        <w:t xml:space="preserve">     </w:t>
      </w:r>
      <w:r>
        <w:rPr>
          <w:sz w:val="24"/>
          <w:highlight w:val="none"/>
        </w:rPr>
        <w:t>年以上）、专业负责人及相关专业人员的条件完全满足招标文件和工程现场的要求；（以招标公告为准）</w:t>
      </w:r>
    </w:p>
    <w:p>
      <w:pPr>
        <w:pStyle w:val="8"/>
        <w:spacing w:line="360" w:lineRule="auto"/>
        <w:ind w:firstLine="556" w:firstLineChars="232"/>
        <w:rPr>
          <w:sz w:val="24"/>
          <w:highlight w:val="none"/>
        </w:rPr>
      </w:pPr>
      <w:r>
        <w:rPr>
          <w:sz w:val="24"/>
          <w:highlight w:val="none"/>
        </w:rPr>
        <w:t>3、在收到发包人进场通知的3天内全部到位，项目经理、项目总工、项目副经理、项目技术负责人等主要人员每月驻场天数不得少于20天，请假天数不得超过5天；</w:t>
      </w:r>
    </w:p>
    <w:p>
      <w:pPr>
        <w:pStyle w:val="8"/>
        <w:spacing w:line="360" w:lineRule="auto"/>
        <w:ind w:firstLine="556" w:firstLineChars="232"/>
        <w:rPr>
          <w:sz w:val="24"/>
          <w:highlight w:val="none"/>
        </w:rPr>
      </w:pPr>
      <w:r>
        <w:rPr>
          <w:sz w:val="24"/>
          <w:highlight w:val="none"/>
        </w:rPr>
        <w:t>4、若因主要人员每月驻场天数少于20天、请假天数超过5天，技术或管理人员未按投标承诺的人员和时间到位，在收到书面通知后，不挑剔、不争辩，也不要求出具证明，7天内整改并征得发包人批复同意，否则我司愿承担罚款：项目经理、项目技术负责人未按要求3天内到位处罚2万元（人民币）/人，其他技术或管理人员罚款1万元（人民币）/人；项目经理及项目技术负责人每月驻场天数少于20天、请假天数超过5天罚款0.5万元（人民币）/天/人，其他人员罚款0.3万元（人民币）/天/人。</w:t>
      </w:r>
    </w:p>
    <w:p>
      <w:pPr>
        <w:pStyle w:val="8"/>
        <w:spacing w:line="360" w:lineRule="auto"/>
        <w:ind w:firstLine="556" w:firstLineChars="232"/>
        <w:rPr>
          <w:sz w:val="24"/>
          <w:highlight w:val="none"/>
        </w:rPr>
      </w:pPr>
      <w:r>
        <w:rPr>
          <w:sz w:val="24"/>
          <w:highlight w:val="none"/>
        </w:rPr>
        <w:t>5、罚款以下列方式、顺序扣付：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r>
        <w:rPr>
          <w:sz w:val="24"/>
          <w:highlight w:val="none"/>
        </w:rPr>
        <w:t>现我司承诺按以下“主要人员汇总表”中的人员投入本工程项目，若经发包人审查所投入的人员未能满足本项目的要求，发包人有权提出调整人员以满足本项目的需要。</w:t>
      </w:r>
    </w:p>
    <w:tbl>
      <w:tblPr>
        <w:tblStyle w:val="76"/>
        <w:tblpPr w:leftFromText="180" w:rightFromText="180" w:vertAnchor="text" w:horzAnchor="margin" w:tblpY="92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154"/>
        <w:gridCol w:w="1810"/>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trPr>
        <w:tc>
          <w:tcPr>
            <w:tcW w:w="1414" w:type="dxa"/>
            <w:noWrap/>
            <w:vAlign w:val="center"/>
          </w:tcPr>
          <w:p>
            <w:pPr>
              <w:pStyle w:val="8"/>
              <w:spacing w:line="360" w:lineRule="auto"/>
              <w:ind w:firstLine="21" w:firstLineChars="10"/>
              <w:jc w:val="center"/>
              <w:rPr>
                <w:szCs w:val="21"/>
                <w:highlight w:val="none"/>
              </w:rPr>
            </w:pPr>
            <w:r>
              <w:rPr>
                <w:szCs w:val="21"/>
                <w:highlight w:val="none"/>
              </w:rPr>
              <w:t>姓名</w:t>
            </w:r>
          </w:p>
        </w:tc>
        <w:tc>
          <w:tcPr>
            <w:tcW w:w="1154" w:type="dxa"/>
            <w:noWrap/>
            <w:vAlign w:val="center"/>
          </w:tcPr>
          <w:p>
            <w:pPr>
              <w:pStyle w:val="8"/>
              <w:spacing w:line="360" w:lineRule="auto"/>
              <w:ind w:firstLine="0" w:firstLineChars="0"/>
              <w:jc w:val="center"/>
              <w:rPr>
                <w:szCs w:val="21"/>
                <w:highlight w:val="none"/>
              </w:rPr>
            </w:pPr>
            <w:r>
              <w:rPr>
                <w:szCs w:val="21"/>
                <w:highlight w:val="none"/>
              </w:rPr>
              <w:t>年龄</w:t>
            </w:r>
          </w:p>
        </w:tc>
        <w:tc>
          <w:tcPr>
            <w:tcW w:w="1810" w:type="dxa"/>
            <w:noWrap/>
            <w:vAlign w:val="center"/>
          </w:tcPr>
          <w:p>
            <w:pPr>
              <w:pStyle w:val="8"/>
              <w:spacing w:line="360" w:lineRule="auto"/>
              <w:ind w:firstLine="8" w:firstLineChars="4"/>
              <w:jc w:val="center"/>
              <w:rPr>
                <w:szCs w:val="21"/>
                <w:highlight w:val="none"/>
              </w:rPr>
            </w:pPr>
            <w:r>
              <w:rPr>
                <w:szCs w:val="21"/>
                <w:highlight w:val="none"/>
              </w:rPr>
              <w:t>职称</w:t>
            </w:r>
          </w:p>
        </w:tc>
        <w:tc>
          <w:tcPr>
            <w:tcW w:w="4299" w:type="dxa"/>
            <w:noWrap/>
            <w:vAlign w:val="center"/>
          </w:tcPr>
          <w:p>
            <w:pPr>
              <w:pStyle w:val="8"/>
              <w:spacing w:line="360" w:lineRule="auto"/>
              <w:ind w:firstLine="0" w:firstLineChars="0"/>
              <w:jc w:val="center"/>
              <w:rPr>
                <w:szCs w:val="21"/>
                <w:highlight w:val="none"/>
              </w:rPr>
            </w:pPr>
            <w:r>
              <w:rPr>
                <w:szCs w:val="21"/>
                <w:highlight w:val="none"/>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ascii="宋体" w:hAnsi="宋体"/>
                <w:sz w:val="24"/>
                <w:highlight w:val="none"/>
              </w:rPr>
            </w:pPr>
          </w:p>
        </w:tc>
        <w:tc>
          <w:tcPr>
            <w:tcW w:w="1154" w:type="dxa"/>
            <w:noWrap/>
            <w:vAlign w:val="center"/>
          </w:tcPr>
          <w:p>
            <w:pPr>
              <w:jc w:val="center"/>
              <w:rPr>
                <w:rFonts w:ascii="宋体" w:hAnsi="宋体"/>
                <w:sz w:val="24"/>
                <w:highlight w:val="none"/>
              </w:rPr>
            </w:pPr>
          </w:p>
        </w:tc>
        <w:tc>
          <w:tcPr>
            <w:tcW w:w="1810" w:type="dxa"/>
            <w:noWrap/>
            <w:vAlign w:val="center"/>
          </w:tcPr>
          <w:p>
            <w:pPr>
              <w:jc w:val="center"/>
              <w:rPr>
                <w:rFonts w:ascii="宋体" w:hAnsi="宋体"/>
                <w:sz w:val="24"/>
                <w:highlight w:val="none"/>
              </w:rPr>
            </w:pPr>
          </w:p>
        </w:tc>
        <w:tc>
          <w:tcPr>
            <w:tcW w:w="4299" w:type="dxa"/>
            <w:noWrap/>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ascii="宋体" w:hAnsi="宋体"/>
                <w:sz w:val="24"/>
                <w:highlight w:val="none"/>
              </w:rPr>
            </w:pPr>
          </w:p>
        </w:tc>
        <w:tc>
          <w:tcPr>
            <w:tcW w:w="1154" w:type="dxa"/>
            <w:noWrap/>
            <w:vAlign w:val="center"/>
          </w:tcPr>
          <w:p>
            <w:pPr>
              <w:jc w:val="center"/>
              <w:rPr>
                <w:rFonts w:ascii="宋体" w:hAnsi="宋体"/>
                <w:sz w:val="24"/>
                <w:highlight w:val="none"/>
              </w:rPr>
            </w:pPr>
          </w:p>
        </w:tc>
        <w:tc>
          <w:tcPr>
            <w:tcW w:w="1810" w:type="dxa"/>
            <w:noWrap/>
            <w:vAlign w:val="center"/>
          </w:tcPr>
          <w:p>
            <w:pPr>
              <w:jc w:val="center"/>
              <w:rPr>
                <w:rFonts w:ascii="宋体" w:hAnsi="宋体"/>
                <w:sz w:val="24"/>
                <w:highlight w:val="none"/>
              </w:rPr>
            </w:pPr>
          </w:p>
        </w:tc>
        <w:tc>
          <w:tcPr>
            <w:tcW w:w="4299" w:type="dxa"/>
            <w:noWrap/>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highlight w:val="none"/>
              </w:rPr>
            </w:pPr>
          </w:p>
        </w:tc>
        <w:tc>
          <w:tcPr>
            <w:tcW w:w="1154" w:type="dxa"/>
            <w:noWrap/>
            <w:vAlign w:val="center"/>
          </w:tcPr>
          <w:p>
            <w:pPr>
              <w:jc w:val="center"/>
              <w:rPr>
                <w:rFonts w:ascii="宋体" w:hAnsi="宋体"/>
                <w:sz w:val="24"/>
                <w:highlight w:val="none"/>
              </w:rPr>
            </w:pPr>
          </w:p>
        </w:tc>
        <w:tc>
          <w:tcPr>
            <w:tcW w:w="1810" w:type="dxa"/>
            <w:noWrap/>
            <w:vAlign w:val="center"/>
          </w:tcPr>
          <w:p>
            <w:pPr>
              <w:jc w:val="center"/>
              <w:rPr>
                <w:rFonts w:ascii="宋体" w:hAnsi="宋体"/>
                <w:sz w:val="24"/>
                <w:highlight w:val="none"/>
              </w:rPr>
            </w:pPr>
          </w:p>
        </w:tc>
        <w:tc>
          <w:tcPr>
            <w:tcW w:w="4299" w:type="dxa"/>
            <w:noWrap/>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highlight w:val="none"/>
              </w:rPr>
            </w:pPr>
          </w:p>
        </w:tc>
        <w:tc>
          <w:tcPr>
            <w:tcW w:w="1154" w:type="dxa"/>
            <w:noWrap/>
            <w:vAlign w:val="center"/>
          </w:tcPr>
          <w:p>
            <w:pPr>
              <w:jc w:val="center"/>
              <w:rPr>
                <w:rFonts w:ascii="宋体" w:hAnsi="宋体"/>
                <w:sz w:val="24"/>
                <w:highlight w:val="none"/>
              </w:rPr>
            </w:pPr>
          </w:p>
        </w:tc>
        <w:tc>
          <w:tcPr>
            <w:tcW w:w="1810" w:type="dxa"/>
            <w:noWrap/>
            <w:vAlign w:val="center"/>
          </w:tcPr>
          <w:p>
            <w:pPr>
              <w:jc w:val="center"/>
              <w:rPr>
                <w:rFonts w:ascii="宋体" w:hAnsi="宋体"/>
                <w:sz w:val="24"/>
                <w:highlight w:val="none"/>
              </w:rPr>
            </w:pPr>
          </w:p>
        </w:tc>
        <w:tc>
          <w:tcPr>
            <w:tcW w:w="4299" w:type="dxa"/>
            <w:noWrap/>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highlight w:val="none"/>
              </w:rPr>
            </w:pPr>
          </w:p>
        </w:tc>
        <w:tc>
          <w:tcPr>
            <w:tcW w:w="1154" w:type="dxa"/>
            <w:noWrap/>
            <w:vAlign w:val="center"/>
          </w:tcPr>
          <w:p>
            <w:pPr>
              <w:jc w:val="center"/>
              <w:rPr>
                <w:rFonts w:ascii="宋体" w:hAnsi="宋体"/>
                <w:sz w:val="24"/>
                <w:highlight w:val="none"/>
              </w:rPr>
            </w:pPr>
          </w:p>
        </w:tc>
        <w:tc>
          <w:tcPr>
            <w:tcW w:w="1810" w:type="dxa"/>
            <w:noWrap/>
            <w:vAlign w:val="center"/>
          </w:tcPr>
          <w:p>
            <w:pPr>
              <w:jc w:val="center"/>
              <w:rPr>
                <w:rFonts w:ascii="宋体" w:hAnsi="宋体"/>
                <w:sz w:val="24"/>
                <w:highlight w:val="none"/>
              </w:rPr>
            </w:pPr>
          </w:p>
        </w:tc>
        <w:tc>
          <w:tcPr>
            <w:tcW w:w="4299" w:type="dxa"/>
            <w:noWrap/>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highlight w:val="none"/>
              </w:rPr>
            </w:pPr>
          </w:p>
        </w:tc>
        <w:tc>
          <w:tcPr>
            <w:tcW w:w="1154" w:type="dxa"/>
            <w:noWrap/>
            <w:vAlign w:val="center"/>
          </w:tcPr>
          <w:p>
            <w:pPr>
              <w:jc w:val="center"/>
              <w:rPr>
                <w:rFonts w:ascii="宋体" w:hAnsi="宋体"/>
                <w:sz w:val="24"/>
                <w:highlight w:val="none"/>
              </w:rPr>
            </w:pPr>
          </w:p>
        </w:tc>
        <w:tc>
          <w:tcPr>
            <w:tcW w:w="1810" w:type="dxa"/>
            <w:noWrap/>
            <w:vAlign w:val="center"/>
          </w:tcPr>
          <w:p>
            <w:pPr>
              <w:jc w:val="center"/>
              <w:rPr>
                <w:rFonts w:ascii="宋体" w:hAnsi="宋体"/>
                <w:sz w:val="24"/>
                <w:highlight w:val="none"/>
              </w:rPr>
            </w:pPr>
          </w:p>
        </w:tc>
        <w:tc>
          <w:tcPr>
            <w:tcW w:w="4299" w:type="dxa"/>
            <w:noWrap/>
            <w:vAlign w:val="center"/>
          </w:tcPr>
          <w:p>
            <w:pPr>
              <w:jc w:val="center"/>
              <w:rPr>
                <w:rFonts w:ascii="宋体" w:hAnsi="宋体"/>
                <w:sz w:val="24"/>
                <w:highlight w:val="none"/>
              </w:rPr>
            </w:pPr>
          </w:p>
        </w:tc>
      </w:tr>
    </w:tbl>
    <w:p>
      <w:pPr>
        <w:pStyle w:val="8"/>
        <w:spacing w:line="360" w:lineRule="auto"/>
        <w:ind w:firstLine="482"/>
        <w:jc w:val="center"/>
        <w:rPr>
          <w:sz w:val="24"/>
          <w:highlight w:val="none"/>
        </w:rPr>
      </w:pPr>
      <w:r>
        <w:rPr>
          <w:b/>
          <w:sz w:val="24"/>
          <w:highlight w:val="none"/>
        </w:rPr>
        <w:t>主要人员汇总表</w:t>
      </w:r>
    </w:p>
    <w:p>
      <w:pPr>
        <w:pStyle w:val="8"/>
        <w:spacing w:line="360" w:lineRule="auto"/>
        <w:ind w:firstLine="0" w:firstLineChars="0"/>
        <w:jc w:val="center"/>
        <w:rPr>
          <w:sz w:val="24"/>
          <w:highlight w:val="none"/>
        </w:rPr>
      </w:pPr>
    </w:p>
    <w:p>
      <w:pPr>
        <w:pStyle w:val="8"/>
        <w:spacing w:line="360" w:lineRule="auto"/>
        <w:ind w:firstLine="480"/>
        <w:jc w:val="center"/>
        <w:rPr>
          <w:sz w:val="24"/>
          <w:highlight w:val="none"/>
        </w:rPr>
      </w:pPr>
    </w:p>
    <w:p>
      <w:pPr>
        <w:pStyle w:val="8"/>
        <w:spacing w:line="192" w:lineRule="auto"/>
        <w:ind w:firstLine="480"/>
        <w:rPr>
          <w:sz w:val="24"/>
          <w:highlight w:val="none"/>
        </w:rPr>
      </w:pPr>
    </w:p>
    <w:p>
      <w:pPr>
        <w:pStyle w:val="8"/>
        <w:spacing w:line="192" w:lineRule="auto"/>
        <w:ind w:firstLine="480"/>
        <w:rPr>
          <w:sz w:val="24"/>
          <w:highlight w:val="none"/>
        </w:rPr>
      </w:pPr>
    </w:p>
    <w:p>
      <w:pPr>
        <w:pStyle w:val="8"/>
        <w:spacing w:line="360" w:lineRule="auto"/>
        <w:ind w:firstLine="4252" w:firstLineChars="1772"/>
        <w:rPr>
          <w:sz w:val="24"/>
          <w:highlight w:val="none"/>
        </w:rPr>
      </w:pPr>
      <w:r>
        <w:rPr>
          <w:sz w:val="24"/>
          <w:highlight w:val="none"/>
        </w:rPr>
        <w:t xml:space="preserve">单位名称（盖公章）： </w:t>
      </w:r>
    </w:p>
    <w:p>
      <w:pPr>
        <w:pStyle w:val="8"/>
        <w:spacing w:line="360" w:lineRule="auto"/>
        <w:ind w:firstLine="4252" w:firstLineChars="1772"/>
        <w:rPr>
          <w:sz w:val="24"/>
          <w:highlight w:val="none"/>
        </w:rPr>
      </w:pPr>
      <w:r>
        <w:rPr>
          <w:sz w:val="24"/>
          <w:highlight w:val="none"/>
        </w:rPr>
        <w:t xml:space="preserve">法定代表人（签字）：                  </w:t>
      </w:r>
    </w:p>
    <w:p>
      <w:pPr>
        <w:pStyle w:val="8"/>
        <w:spacing w:line="360" w:lineRule="auto"/>
        <w:ind w:firstLine="4252" w:firstLineChars="1772"/>
        <w:jc w:val="center"/>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 w:val="24"/>
          <w:highlight w:val="none"/>
        </w:rPr>
      </w:pPr>
      <w:r>
        <w:rPr>
          <w:sz w:val="24"/>
          <w:highlight w:val="none"/>
        </w:rPr>
        <w:br w:type="page"/>
      </w:r>
    </w:p>
    <w:p>
      <w:pPr>
        <w:pStyle w:val="8"/>
        <w:spacing w:line="360" w:lineRule="auto"/>
        <w:ind w:firstLine="0" w:firstLineChars="0"/>
        <w:jc w:val="center"/>
        <w:rPr>
          <w:b/>
          <w:sz w:val="24"/>
          <w:highlight w:val="none"/>
        </w:rPr>
      </w:pPr>
      <w:r>
        <w:rPr>
          <w:sz w:val="24"/>
          <w:highlight w:val="none"/>
        </w:rPr>
        <w:tab/>
      </w:r>
      <w:r>
        <w:rPr>
          <w:b/>
          <w:sz w:val="24"/>
          <w:highlight w:val="none"/>
        </w:rPr>
        <w:t>1</w:t>
      </w:r>
      <w:r>
        <w:rPr>
          <w:rFonts w:hint="eastAsia"/>
          <w:b/>
          <w:sz w:val="24"/>
          <w:highlight w:val="none"/>
        </w:rPr>
        <w:t>、拟在本合同工程任职的主要人员简历表——项目经理</w:t>
      </w:r>
    </w:p>
    <w:p>
      <w:pPr>
        <w:pStyle w:val="8"/>
        <w:spacing w:line="360" w:lineRule="auto"/>
        <w:ind w:firstLine="480"/>
        <w:jc w:val="center"/>
        <w:rPr>
          <w:sz w:val="24"/>
          <w:highlight w:val="none"/>
        </w:rPr>
      </w:pP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姓名</w:t>
            </w:r>
          </w:p>
        </w:tc>
        <w:tc>
          <w:tcPr>
            <w:tcW w:w="1440" w:type="dxa"/>
            <w:noWrap/>
            <w:vAlign w:val="center"/>
          </w:tcPr>
          <w:p>
            <w:pPr>
              <w:pStyle w:val="8"/>
              <w:spacing w:line="360" w:lineRule="auto"/>
              <w:ind w:firstLine="487" w:firstLineChars="232"/>
              <w:rPr>
                <w:szCs w:val="21"/>
                <w:highlight w:val="none"/>
              </w:rPr>
            </w:pPr>
          </w:p>
        </w:tc>
        <w:tc>
          <w:tcPr>
            <w:tcW w:w="900" w:type="dxa"/>
            <w:noWrap/>
            <w:vAlign w:val="center"/>
          </w:tcPr>
          <w:p>
            <w:pPr>
              <w:pStyle w:val="8"/>
              <w:spacing w:line="360" w:lineRule="auto"/>
              <w:ind w:firstLine="0" w:firstLineChars="0"/>
              <w:rPr>
                <w:szCs w:val="21"/>
                <w:highlight w:val="none"/>
              </w:rPr>
            </w:pPr>
            <w:r>
              <w:rPr>
                <w:rFonts w:hint="eastAsia"/>
                <w:szCs w:val="21"/>
                <w:highlight w:val="none"/>
              </w:rPr>
              <w:t>年龄</w:t>
            </w:r>
          </w:p>
        </w:tc>
        <w:tc>
          <w:tcPr>
            <w:tcW w:w="1555" w:type="dxa"/>
            <w:gridSpan w:val="2"/>
            <w:noWrap/>
            <w:vAlign w:val="center"/>
          </w:tcPr>
          <w:p>
            <w:pPr>
              <w:pStyle w:val="8"/>
              <w:spacing w:line="360" w:lineRule="auto"/>
              <w:jc w:val="center"/>
              <w:rPr>
                <w:szCs w:val="21"/>
                <w:highlight w:val="none"/>
              </w:rPr>
            </w:pPr>
          </w:p>
        </w:tc>
        <w:tc>
          <w:tcPr>
            <w:tcW w:w="2520" w:type="dxa"/>
            <w:noWrap/>
            <w:vAlign w:val="center"/>
          </w:tcPr>
          <w:p>
            <w:pPr>
              <w:pStyle w:val="8"/>
              <w:spacing w:line="360" w:lineRule="auto"/>
              <w:ind w:firstLine="487" w:firstLineChars="232"/>
              <w:rPr>
                <w:szCs w:val="21"/>
                <w:highlight w:val="none"/>
              </w:rPr>
            </w:pPr>
            <w:r>
              <w:rPr>
                <w:rFonts w:hint="eastAsia"/>
                <w:szCs w:val="21"/>
                <w:highlight w:val="none"/>
              </w:rPr>
              <w:t>专业</w:t>
            </w:r>
          </w:p>
        </w:tc>
        <w:tc>
          <w:tcPr>
            <w:tcW w:w="1695" w:type="dxa"/>
            <w:noWrap/>
            <w:vAlign w:val="center"/>
          </w:tcPr>
          <w:p>
            <w:pPr>
              <w:pStyle w:val="8"/>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职称</w:t>
            </w:r>
          </w:p>
        </w:tc>
        <w:tc>
          <w:tcPr>
            <w:tcW w:w="1440" w:type="dxa"/>
            <w:noWrap/>
            <w:vAlign w:val="center"/>
          </w:tcPr>
          <w:p>
            <w:pPr>
              <w:pStyle w:val="8"/>
              <w:spacing w:line="360" w:lineRule="auto"/>
              <w:jc w:val="center"/>
              <w:rPr>
                <w:szCs w:val="21"/>
                <w:highlight w:val="none"/>
              </w:rPr>
            </w:pPr>
          </w:p>
        </w:tc>
        <w:tc>
          <w:tcPr>
            <w:tcW w:w="4975" w:type="dxa"/>
            <w:gridSpan w:val="4"/>
            <w:noWrap/>
            <w:vAlign w:val="center"/>
          </w:tcPr>
          <w:p>
            <w:pPr>
              <w:pStyle w:val="8"/>
              <w:spacing w:line="360" w:lineRule="auto"/>
              <w:ind w:firstLine="487" w:firstLineChars="232"/>
              <w:rPr>
                <w:szCs w:val="21"/>
                <w:highlight w:val="none"/>
              </w:rPr>
            </w:pPr>
            <w:r>
              <w:rPr>
                <w:rFonts w:hint="eastAsia"/>
                <w:szCs w:val="21"/>
                <w:highlight w:val="none"/>
              </w:rPr>
              <w:t>拟在本合同工程担任职务</w:t>
            </w:r>
          </w:p>
        </w:tc>
        <w:tc>
          <w:tcPr>
            <w:tcW w:w="1695" w:type="dxa"/>
            <w:noWrap/>
            <w:vAlign w:val="center"/>
          </w:tcPr>
          <w:p>
            <w:pPr>
              <w:pStyle w:val="8"/>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毕业学校</w:t>
            </w:r>
          </w:p>
        </w:tc>
        <w:tc>
          <w:tcPr>
            <w:tcW w:w="8110" w:type="dxa"/>
            <w:gridSpan w:val="6"/>
            <w:noWrap/>
            <w:vAlign w:val="center"/>
          </w:tcPr>
          <w:p>
            <w:pPr>
              <w:pStyle w:val="8"/>
              <w:spacing w:line="360" w:lineRule="auto"/>
              <w:ind w:firstLine="487" w:firstLineChars="23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highlight w:val="none"/>
              </w:rPr>
            </w:pPr>
            <w:r>
              <w:rPr>
                <w:rFonts w:hint="eastAsia"/>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年～  年</w:t>
            </w:r>
          </w:p>
        </w:tc>
        <w:tc>
          <w:tcPr>
            <w:tcW w:w="3593" w:type="dxa"/>
            <w:gridSpan w:val="3"/>
            <w:noWrap/>
            <w:vAlign w:val="center"/>
          </w:tcPr>
          <w:p>
            <w:pPr>
              <w:pStyle w:val="8"/>
              <w:spacing w:line="360" w:lineRule="auto"/>
              <w:ind w:firstLine="487" w:firstLineChars="232"/>
              <w:rPr>
                <w:szCs w:val="21"/>
                <w:highlight w:val="none"/>
              </w:rPr>
            </w:pPr>
            <w:r>
              <w:rPr>
                <w:rFonts w:hint="eastAsia"/>
                <w:szCs w:val="21"/>
                <w:highlight w:val="none"/>
              </w:rPr>
              <w:t>参加过施工的工程项目名称</w:t>
            </w:r>
          </w:p>
        </w:tc>
        <w:tc>
          <w:tcPr>
            <w:tcW w:w="2822" w:type="dxa"/>
            <w:gridSpan w:val="2"/>
            <w:noWrap/>
            <w:vAlign w:val="center"/>
          </w:tcPr>
          <w:p>
            <w:pPr>
              <w:pStyle w:val="8"/>
              <w:spacing w:line="360" w:lineRule="auto"/>
              <w:ind w:firstLine="487" w:firstLineChars="232"/>
              <w:rPr>
                <w:szCs w:val="21"/>
                <w:highlight w:val="none"/>
              </w:rPr>
            </w:pPr>
            <w:r>
              <w:rPr>
                <w:rFonts w:hint="eastAsia"/>
                <w:szCs w:val="21"/>
                <w:highlight w:val="none"/>
              </w:rPr>
              <w:t>在项目中担任的职务</w:t>
            </w:r>
          </w:p>
        </w:tc>
        <w:tc>
          <w:tcPr>
            <w:tcW w:w="1695" w:type="dxa"/>
            <w:noWrap/>
            <w:vAlign w:val="center"/>
          </w:tcPr>
          <w:p>
            <w:pPr>
              <w:pStyle w:val="8"/>
              <w:spacing w:line="360" w:lineRule="auto"/>
              <w:rPr>
                <w:szCs w:val="21"/>
                <w:highlight w:val="none"/>
              </w:rPr>
            </w:pPr>
            <w:r>
              <w:rPr>
                <w:rFonts w:hint="eastAsia"/>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highlight w:val="none"/>
              </w:rPr>
            </w:pPr>
          </w:p>
        </w:tc>
        <w:tc>
          <w:tcPr>
            <w:tcW w:w="3593" w:type="dxa"/>
            <w:gridSpan w:val="3"/>
            <w:noWrap/>
            <w:vAlign w:val="center"/>
          </w:tcPr>
          <w:p>
            <w:pPr>
              <w:pStyle w:val="8"/>
              <w:spacing w:line="360" w:lineRule="auto"/>
              <w:jc w:val="center"/>
              <w:rPr>
                <w:szCs w:val="21"/>
                <w:highlight w:val="none"/>
              </w:rPr>
            </w:pPr>
          </w:p>
        </w:tc>
        <w:tc>
          <w:tcPr>
            <w:tcW w:w="2822" w:type="dxa"/>
            <w:gridSpan w:val="2"/>
            <w:noWrap/>
            <w:vAlign w:val="center"/>
          </w:tcPr>
          <w:p>
            <w:pPr>
              <w:pStyle w:val="8"/>
              <w:spacing w:line="360" w:lineRule="auto"/>
              <w:jc w:val="center"/>
              <w:rPr>
                <w:szCs w:val="21"/>
                <w:highlight w:val="none"/>
              </w:rPr>
            </w:pPr>
          </w:p>
        </w:tc>
        <w:tc>
          <w:tcPr>
            <w:tcW w:w="1695" w:type="dxa"/>
            <w:noWrap/>
            <w:vAlign w:val="center"/>
          </w:tcPr>
          <w:p>
            <w:pPr>
              <w:pStyle w:val="8"/>
              <w:spacing w:line="360" w:lineRule="auto"/>
              <w:ind w:firstLine="487" w:firstLineChars="232"/>
              <w:rPr>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highlight w:val="none"/>
              </w:rPr>
            </w:pPr>
          </w:p>
        </w:tc>
        <w:tc>
          <w:tcPr>
            <w:tcW w:w="3593" w:type="dxa"/>
            <w:gridSpan w:val="3"/>
            <w:noWrap/>
            <w:vAlign w:val="center"/>
          </w:tcPr>
          <w:p>
            <w:pPr>
              <w:pStyle w:val="8"/>
              <w:spacing w:line="360" w:lineRule="auto"/>
              <w:ind w:firstLine="480"/>
              <w:jc w:val="center"/>
              <w:rPr>
                <w:sz w:val="24"/>
                <w:highlight w:val="none"/>
              </w:rPr>
            </w:pPr>
          </w:p>
        </w:tc>
        <w:tc>
          <w:tcPr>
            <w:tcW w:w="2822" w:type="dxa"/>
            <w:gridSpan w:val="2"/>
            <w:noWrap/>
            <w:vAlign w:val="center"/>
          </w:tcPr>
          <w:p>
            <w:pPr>
              <w:pStyle w:val="8"/>
              <w:spacing w:line="360" w:lineRule="auto"/>
              <w:jc w:val="center"/>
              <w:rPr>
                <w:szCs w:val="21"/>
                <w:highlight w:val="none"/>
              </w:rPr>
            </w:pPr>
          </w:p>
        </w:tc>
        <w:tc>
          <w:tcPr>
            <w:tcW w:w="1695" w:type="dxa"/>
            <w:noWrap/>
            <w:vAlign w:val="center"/>
          </w:tcPr>
          <w:p>
            <w:pPr>
              <w:pStyle w:val="8"/>
              <w:spacing w:line="360" w:lineRule="auto"/>
              <w:ind w:firstLine="487" w:firstLineChars="232"/>
              <w:rPr>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highlight w:val="none"/>
              </w:rPr>
            </w:pPr>
          </w:p>
        </w:tc>
        <w:tc>
          <w:tcPr>
            <w:tcW w:w="3593" w:type="dxa"/>
            <w:gridSpan w:val="3"/>
            <w:noWrap/>
            <w:vAlign w:val="center"/>
          </w:tcPr>
          <w:p>
            <w:pPr>
              <w:pStyle w:val="8"/>
              <w:spacing w:line="360" w:lineRule="auto"/>
              <w:ind w:firstLine="480"/>
              <w:jc w:val="center"/>
              <w:rPr>
                <w:sz w:val="24"/>
                <w:highlight w:val="none"/>
              </w:rPr>
            </w:pPr>
          </w:p>
        </w:tc>
        <w:tc>
          <w:tcPr>
            <w:tcW w:w="2822" w:type="dxa"/>
            <w:gridSpan w:val="2"/>
            <w:noWrap/>
            <w:vAlign w:val="center"/>
          </w:tcPr>
          <w:p>
            <w:pPr>
              <w:pStyle w:val="8"/>
              <w:spacing w:line="360" w:lineRule="auto"/>
              <w:ind w:firstLine="480"/>
              <w:jc w:val="center"/>
              <w:rPr>
                <w:sz w:val="24"/>
                <w:highlight w:val="none"/>
              </w:rPr>
            </w:pPr>
          </w:p>
        </w:tc>
        <w:tc>
          <w:tcPr>
            <w:tcW w:w="1695" w:type="dxa"/>
            <w:noWrap/>
            <w:vAlign w:val="center"/>
          </w:tcPr>
          <w:p>
            <w:pPr>
              <w:pStyle w:val="8"/>
              <w:spacing w:line="360" w:lineRule="auto"/>
              <w:ind w:firstLine="487" w:firstLineChars="232"/>
              <w:rPr>
                <w:szCs w:val="21"/>
                <w:highlight w:val="none"/>
              </w:rPr>
            </w:pPr>
          </w:p>
        </w:tc>
      </w:tr>
    </w:tbl>
    <w:p>
      <w:pPr>
        <w:pStyle w:val="8"/>
        <w:spacing w:line="360" w:lineRule="auto"/>
        <w:ind w:firstLine="556" w:firstLineChars="232"/>
        <w:rPr>
          <w:sz w:val="24"/>
          <w:highlight w:val="none"/>
        </w:rPr>
      </w:pPr>
      <w:r>
        <w:rPr>
          <w:rFonts w:hint="eastAsia"/>
          <w:sz w:val="24"/>
          <w:highlight w:val="none"/>
        </w:rPr>
        <w:t>备注：每张简历表后应附有效的职称资格证书和毕业证的复印件。</w:t>
      </w:r>
    </w:p>
    <w:p>
      <w:pPr>
        <w:pStyle w:val="8"/>
        <w:spacing w:line="360" w:lineRule="auto"/>
        <w:ind w:firstLine="556" w:firstLineChars="232"/>
        <w:rPr>
          <w:sz w:val="24"/>
          <w:highlight w:val="none"/>
        </w:rPr>
      </w:pPr>
    </w:p>
    <w:p>
      <w:pPr>
        <w:pStyle w:val="8"/>
        <w:spacing w:line="360" w:lineRule="auto"/>
        <w:ind w:firstLine="4876" w:firstLineChars="2032"/>
        <w:rPr>
          <w:sz w:val="24"/>
          <w:highlight w:val="none"/>
        </w:rPr>
      </w:pPr>
      <w:r>
        <w:rPr>
          <w:rFonts w:hint="eastAsia"/>
          <w:sz w:val="24"/>
          <w:highlight w:val="none"/>
        </w:rPr>
        <w:t xml:space="preserve">单位名称（盖公章）：                   </w:t>
      </w:r>
    </w:p>
    <w:p>
      <w:pPr>
        <w:pStyle w:val="8"/>
        <w:spacing w:line="360" w:lineRule="auto"/>
        <w:ind w:firstLine="556" w:firstLineChars="232"/>
        <w:rPr>
          <w:sz w:val="24"/>
          <w:highlight w:val="none"/>
        </w:rPr>
      </w:pPr>
      <w:r>
        <w:rPr>
          <w:rFonts w:hint="eastAsia"/>
          <w:sz w:val="24"/>
          <w:highlight w:val="none"/>
        </w:rPr>
        <w:t xml:space="preserve">                                    法定代表人（签字）：                  </w:t>
      </w:r>
    </w:p>
    <w:p>
      <w:pPr>
        <w:pStyle w:val="8"/>
        <w:spacing w:line="360" w:lineRule="auto"/>
        <w:ind w:firstLine="4756" w:firstLineChars="1982"/>
        <w:rPr>
          <w:sz w:val="24"/>
          <w:highlight w:val="none"/>
        </w:rPr>
      </w:pPr>
      <w:r>
        <w:rPr>
          <w:rFonts w:hint="eastAsia"/>
          <w:sz w:val="24"/>
          <w:highlight w:val="none"/>
        </w:rPr>
        <w:t xml:space="preserve"> 日期：2023年   月   日</w:t>
      </w:r>
    </w:p>
    <w:p>
      <w:pPr>
        <w:pStyle w:val="8"/>
        <w:spacing w:line="360" w:lineRule="auto"/>
        <w:ind w:firstLine="482"/>
        <w:rPr>
          <w:b/>
          <w:sz w:val="24"/>
          <w:highlight w:val="none"/>
        </w:rPr>
      </w:pPr>
    </w:p>
    <w:p>
      <w:pPr>
        <w:pStyle w:val="8"/>
        <w:spacing w:line="360" w:lineRule="auto"/>
        <w:ind w:firstLine="482"/>
        <w:rPr>
          <w:b/>
          <w:sz w:val="24"/>
          <w:highlight w:val="none"/>
        </w:rPr>
      </w:pPr>
      <w:r>
        <w:rPr>
          <w:b/>
          <w:sz w:val="24"/>
          <w:highlight w:val="none"/>
        </w:rPr>
        <w:br w:type="page"/>
      </w:r>
    </w:p>
    <w:p>
      <w:pPr>
        <w:pStyle w:val="8"/>
        <w:spacing w:line="360" w:lineRule="auto"/>
        <w:ind w:firstLine="0" w:firstLineChars="0"/>
        <w:jc w:val="center"/>
        <w:rPr>
          <w:b/>
          <w:sz w:val="24"/>
          <w:highlight w:val="none"/>
        </w:rPr>
      </w:pPr>
      <w:r>
        <w:rPr>
          <w:rFonts w:hint="eastAsia"/>
          <w:b/>
          <w:sz w:val="24"/>
          <w:highlight w:val="none"/>
        </w:rPr>
        <w:t>2、拟在本合同工程任职的主要人员简历表-技术负责人</w:t>
      </w:r>
    </w:p>
    <w:p>
      <w:pPr>
        <w:pStyle w:val="8"/>
        <w:spacing w:line="360" w:lineRule="auto"/>
        <w:ind w:firstLine="0" w:firstLineChars="0"/>
        <w:jc w:val="center"/>
        <w:rPr>
          <w:b/>
          <w:sz w:val="24"/>
          <w:highlight w:val="none"/>
        </w:rPr>
      </w:pP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姓名</w:t>
            </w:r>
          </w:p>
        </w:tc>
        <w:tc>
          <w:tcPr>
            <w:tcW w:w="1440" w:type="dxa"/>
            <w:noWrap/>
            <w:vAlign w:val="center"/>
          </w:tcPr>
          <w:p>
            <w:pPr>
              <w:pStyle w:val="8"/>
              <w:spacing w:line="360" w:lineRule="auto"/>
              <w:ind w:firstLine="487" w:firstLineChars="232"/>
              <w:rPr>
                <w:szCs w:val="21"/>
                <w:highlight w:val="none"/>
              </w:rPr>
            </w:pPr>
            <w:r>
              <w:rPr>
                <w:rFonts w:hint="eastAsia"/>
                <w:szCs w:val="21"/>
                <w:highlight w:val="none"/>
              </w:rPr>
              <w:t xml:space="preserve"> </w:t>
            </w:r>
          </w:p>
        </w:tc>
        <w:tc>
          <w:tcPr>
            <w:tcW w:w="900" w:type="dxa"/>
            <w:noWrap/>
            <w:vAlign w:val="center"/>
          </w:tcPr>
          <w:p>
            <w:pPr>
              <w:pStyle w:val="8"/>
              <w:spacing w:line="360" w:lineRule="auto"/>
              <w:ind w:firstLine="0" w:firstLineChars="0"/>
              <w:rPr>
                <w:szCs w:val="21"/>
                <w:highlight w:val="none"/>
              </w:rPr>
            </w:pPr>
            <w:r>
              <w:rPr>
                <w:rFonts w:hint="eastAsia"/>
                <w:szCs w:val="21"/>
                <w:highlight w:val="none"/>
              </w:rPr>
              <w:t>年龄</w:t>
            </w:r>
          </w:p>
        </w:tc>
        <w:tc>
          <w:tcPr>
            <w:tcW w:w="1555" w:type="dxa"/>
            <w:gridSpan w:val="2"/>
            <w:noWrap/>
            <w:vAlign w:val="center"/>
          </w:tcPr>
          <w:p>
            <w:pPr>
              <w:pStyle w:val="8"/>
              <w:spacing w:line="360" w:lineRule="auto"/>
              <w:jc w:val="center"/>
              <w:rPr>
                <w:szCs w:val="21"/>
                <w:highlight w:val="none"/>
              </w:rPr>
            </w:pPr>
            <w:r>
              <w:rPr>
                <w:szCs w:val="21"/>
                <w:highlight w:val="none"/>
              </w:rPr>
              <w:t xml:space="preserve"> </w:t>
            </w:r>
          </w:p>
        </w:tc>
        <w:tc>
          <w:tcPr>
            <w:tcW w:w="2520" w:type="dxa"/>
            <w:noWrap/>
            <w:vAlign w:val="center"/>
          </w:tcPr>
          <w:p>
            <w:pPr>
              <w:pStyle w:val="8"/>
              <w:spacing w:line="360" w:lineRule="auto"/>
              <w:ind w:firstLine="487" w:firstLineChars="232"/>
              <w:rPr>
                <w:szCs w:val="21"/>
                <w:highlight w:val="none"/>
              </w:rPr>
            </w:pPr>
            <w:r>
              <w:rPr>
                <w:rFonts w:hint="eastAsia"/>
                <w:szCs w:val="21"/>
                <w:highlight w:val="none"/>
              </w:rPr>
              <w:t>专业</w:t>
            </w:r>
          </w:p>
        </w:tc>
        <w:tc>
          <w:tcPr>
            <w:tcW w:w="1695" w:type="dxa"/>
            <w:noWrap/>
            <w:vAlign w:val="center"/>
          </w:tcPr>
          <w:p>
            <w:pPr>
              <w:pStyle w:val="8"/>
              <w:spacing w:line="360" w:lineRule="auto"/>
              <w:jc w:val="center"/>
              <w:rPr>
                <w:szCs w:val="21"/>
                <w:highlight w:val="none"/>
              </w:rPr>
            </w:pPr>
            <w:r>
              <w:rPr>
                <w:rFonts w:hint="eastAsia"/>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职称</w:t>
            </w:r>
          </w:p>
        </w:tc>
        <w:tc>
          <w:tcPr>
            <w:tcW w:w="1440" w:type="dxa"/>
            <w:noWrap/>
            <w:vAlign w:val="center"/>
          </w:tcPr>
          <w:p>
            <w:pPr>
              <w:pStyle w:val="8"/>
              <w:spacing w:line="360" w:lineRule="auto"/>
              <w:jc w:val="center"/>
              <w:rPr>
                <w:szCs w:val="21"/>
                <w:highlight w:val="none"/>
              </w:rPr>
            </w:pPr>
            <w:r>
              <w:rPr>
                <w:rFonts w:hint="eastAsia"/>
                <w:szCs w:val="21"/>
                <w:highlight w:val="none"/>
              </w:rPr>
              <w:t xml:space="preserve"> </w:t>
            </w:r>
          </w:p>
        </w:tc>
        <w:tc>
          <w:tcPr>
            <w:tcW w:w="4975" w:type="dxa"/>
            <w:gridSpan w:val="4"/>
            <w:noWrap/>
            <w:vAlign w:val="center"/>
          </w:tcPr>
          <w:p>
            <w:pPr>
              <w:pStyle w:val="8"/>
              <w:spacing w:line="360" w:lineRule="auto"/>
              <w:ind w:firstLine="487" w:firstLineChars="232"/>
              <w:rPr>
                <w:szCs w:val="21"/>
                <w:highlight w:val="none"/>
              </w:rPr>
            </w:pPr>
            <w:r>
              <w:rPr>
                <w:rFonts w:hint="eastAsia"/>
                <w:szCs w:val="21"/>
                <w:highlight w:val="none"/>
              </w:rPr>
              <w:t>拟在本合同工程担任职务</w:t>
            </w:r>
          </w:p>
        </w:tc>
        <w:tc>
          <w:tcPr>
            <w:tcW w:w="1695" w:type="dxa"/>
            <w:noWrap/>
            <w:vAlign w:val="center"/>
          </w:tcPr>
          <w:p>
            <w:pPr>
              <w:pStyle w:val="8"/>
              <w:spacing w:line="360" w:lineRule="auto"/>
              <w:jc w:val="center"/>
              <w:rPr>
                <w:szCs w:val="21"/>
                <w:highlight w:val="none"/>
              </w:rPr>
            </w:pPr>
            <w:r>
              <w:rPr>
                <w:rFonts w:hint="eastAsia"/>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毕业学校</w:t>
            </w:r>
          </w:p>
        </w:tc>
        <w:tc>
          <w:tcPr>
            <w:tcW w:w="8110" w:type="dxa"/>
            <w:gridSpan w:val="6"/>
            <w:noWrap/>
            <w:vAlign w:val="center"/>
          </w:tcPr>
          <w:p>
            <w:pPr>
              <w:pStyle w:val="8"/>
              <w:spacing w:line="360" w:lineRule="auto"/>
              <w:ind w:firstLine="487" w:firstLineChars="232"/>
              <w:rPr>
                <w:szCs w:val="21"/>
                <w:highlight w:val="none"/>
              </w:rPr>
            </w:pPr>
            <w:r>
              <w:rPr>
                <w:rFonts w:hint="eastAsia"/>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highlight w:val="none"/>
              </w:rPr>
            </w:pPr>
            <w:r>
              <w:rPr>
                <w:rFonts w:hint="eastAsia"/>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highlight w:val="none"/>
              </w:rPr>
            </w:pPr>
            <w:r>
              <w:rPr>
                <w:rFonts w:hint="eastAsia"/>
                <w:szCs w:val="21"/>
                <w:highlight w:val="none"/>
              </w:rPr>
              <w:t>年～  年</w:t>
            </w:r>
          </w:p>
        </w:tc>
        <w:tc>
          <w:tcPr>
            <w:tcW w:w="3593" w:type="dxa"/>
            <w:gridSpan w:val="3"/>
            <w:noWrap/>
            <w:vAlign w:val="center"/>
          </w:tcPr>
          <w:p>
            <w:pPr>
              <w:pStyle w:val="8"/>
              <w:spacing w:line="360" w:lineRule="auto"/>
              <w:ind w:firstLine="487" w:firstLineChars="232"/>
              <w:rPr>
                <w:szCs w:val="21"/>
                <w:highlight w:val="none"/>
              </w:rPr>
            </w:pPr>
            <w:r>
              <w:rPr>
                <w:rFonts w:hint="eastAsia"/>
                <w:szCs w:val="21"/>
                <w:highlight w:val="none"/>
              </w:rPr>
              <w:t>参加过施工的工程项目名称</w:t>
            </w:r>
          </w:p>
        </w:tc>
        <w:tc>
          <w:tcPr>
            <w:tcW w:w="2822" w:type="dxa"/>
            <w:gridSpan w:val="2"/>
            <w:noWrap/>
            <w:vAlign w:val="center"/>
          </w:tcPr>
          <w:p>
            <w:pPr>
              <w:pStyle w:val="8"/>
              <w:spacing w:line="360" w:lineRule="auto"/>
              <w:ind w:firstLine="487" w:firstLineChars="232"/>
              <w:rPr>
                <w:szCs w:val="21"/>
                <w:highlight w:val="none"/>
              </w:rPr>
            </w:pPr>
            <w:r>
              <w:rPr>
                <w:rFonts w:hint="eastAsia"/>
                <w:szCs w:val="21"/>
                <w:highlight w:val="none"/>
              </w:rPr>
              <w:t>在项目中担任的职务</w:t>
            </w:r>
          </w:p>
        </w:tc>
        <w:tc>
          <w:tcPr>
            <w:tcW w:w="1695" w:type="dxa"/>
            <w:noWrap/>
            <w:vAlign w:val="center"/>
          </w:tcPr>
          <w:p>
            <w:pPr>
              <w:pStyle w:val="8"/>
              <w:spacing w:line="360" w:lineRule="auto"/>
              <w:rPr>
                <w:szCs w:val="21"/>
                <w:highlight w:val="none"/>
              </w:rPr>
            </w:pPr>
            <w:r>
              <w:rPr>
                <w:rFonts w:hint="eastAsia"/>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highlight w:val="none"/>
              </w:rPr>
            </w:pPr>
          </w:p>
        </w:tc>
        <w:tc>
          <w:tcPr>
            <w:tcW w:w="3593" w:type="dxa"/>
            <w:gridSpan w:val="3"/>
            <w:noWrap/>
            <w:vAlign w:val="center"/>
          </w:tcPr>
          <w:p>
            <w:pPr>
              <w:pStyle w:val="8"/>
              <w:spacing w:line="360" w:lineRule="auto"/>
              <w:jc w:val="center"/>
              <w:rPr>
                <w:szCs w:val="21"/>
                <w:highlight w:val="none"/>
              </w:rPr>
            </w:pPr>
          </w:p>
        </w:tc>
        <w:tc>
          <w:tcPr>
            <w:tcW w:w="2822" w:type="dxa"/>
            <w:gridSpan w:val="2"/>
            <w:noWrap/>
            <w:vAlign w:val="center"/>
          </w:tcPr>
          <w:p>
            <w:pPr>
              <w:pStyle w:val="8"/>
              <w:spacing w:line="360" w:lineRule="auto"/>
              <w:jc w:val="center"/>
              <w:rPr>
                <w:szCs w:val="21"/>
                <w:highlight w:val="none"/>
              </w:rPr>
            </w:pPr>
          </w:p>
        </w:tc>
        <w:tc>
          <w:tcPr>
            <w:tcW w:w="1695" w:type="dxa"/>
            <w:noWrap/>
            <w:vAlign w:val="center"/>
          </w:tcPr>
          <w:p>
            <w:pPr>
              <w:pStyle w:val="8"/>
              <w:spacing w:line="360" w:lineRule="auto"/>
              <w:ind w:firstLine="487" w:firstLineChars="232"/>
              <w:rPr>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highlight w:val="none"/>
              </w:rPr>
            </w:pPr>
          </w:p>
        </w:tc>
        <w:tc>
          <w:tcPr>
            <w:tcW w:w="3593" w:type="dxa"/>
            <w:gridSpan w:val="3"/>
            <w:noWrap/>
            <w:vAlign w:val="center"/>
          </w:tcPr>
          <w:p>
            <w:pPr>
              <w:pStyle w:val="8"/>
              <w:spacing w:line="360" w:lineRule="auto"/>
              <w:ind w:firstLine="480"/>
              <w:jc w:val="center"/>
              <w:rPr>
                <w:sz w:val="24"/>
                <w:highlight w:val="none"/>
              </w:rPr>
            </w:pPr>
          </w:p>
        </w:tc>
        <w:tc>
          <w:tcPr>
            <w:tcW w:w="2822" w:type="dxa"/>
            <w:gridSpan w:val="2"/>
            <w:noWrap/>
            <w:vAlign w:val="center"/>
          </w:tcPr>
          <w:p>
            <w:pPr>
              <w:pStyle w:val="8"/>
              <w:spacing w:line="360" w:lineRule="auto"/>
              <w:ind w:firstLine="480"/>
              <w:jc w:val="center"/>
              <w:rPr>
                <w:sz w:val="24"/>
                <w:highlight w:val="none"/>
              </w:rPr>
            </w:pPr>
          </w:p>
        </w:tc>
        <w:tc>
          <w:tcPr>
            <w:tcW w:w="1695" w:type="dxa"/>
            <w:noWrap/>
            <w:vAlign w:val="center"/>
          </w:tcPr>
          <w:p>
            <w:pPr>
              <w:pStyle w:val="8"/>
              <w:spacing w:line="360" w:lineRule="auto"/>
              <w:ind w:firstLine="487" w:firstLineChars="232"/>
              <w:rPr>
                <w:szCs w:val="21"/>
                <w:highlight w:val="none"/>
              </w:rPr>
            </w:pPr>
            <w:r>
              <w:rPr>
                <w:rFonts w:hint="eastAsia"/>
                <w:szCs w:val="21"/>
                <w:highlight w:val="none"/>
              </w:rPr>
              <w:t>/</w:t>
            </w:r>
          </w:p>
        </w:tc>
      </w:tr>
    </w:tbl>
    <w:p>
      <w:pPr>
        <w:pStyle w:val="8"/>
        <w:spacing w:line="360" w:lineRule="auto"/>
        <w:ind w:firstLine="487" w:firstLineChars="232"/>
        <w:rPr>
          <w:szCs w:val="21"/>
          <w:highlight w:val="none"/>
        </w:rPr>
      </w:pPr>
      <w:r>
        <w:rPr>
          <w:rFonts w:hint="eastAsia"/>
          <w:szCs w:val="21"/>
          <w:highlight w:val="none"/>
        </w:rPr>
        <w:t>备注：每张简历表后应附有效的职称资格证书和身份证的复印件。</w:t>
      </w:r>
    </w:p>
    <w:p>
      <w:pPr>
        <w:pStyle w:val="8"/>
        <w:spacing w:line="360" w:lineRule="auto"/>
        <w:ind w:firstLine="487" w:firstLineChars="232"/>
        <w:rPr>
          <w:szCs w:val="21"/>
          <w:highlight w:val="none"/>
        </w:rPr>
      </w:pPr>
    </w:p>
    <w:p>
      <w:pPr>
        <w:pStyle w:val="8"/>
        <w:spacing w:line="360" w:lineRule="auto"/>
        <w:ind w:firstLine="4876" w:firstLineChars="2032"/>
        <w:rPr>
          <w:sz w:val="24"/>
          <w:highlight w:val="none"/>
        </w:rPr>
      </w:pPr>
      <w:r>
        <w:rPr>
          <w:rFonts w:hint="eastAsia"/>
          <w:sz w:val="24"/>
          <w:highlight w:val="none"/>
        </w:rPr>
        <w:t xml:space="preserve">单位名称（盖公章）：                   </w:t>
      </w:r>
    </w:p>
    <w:p>
      <w:pPr>
        <w:pStyle w:val="8"/>
        <w:spacing w:line="360" w:lineRule="auto"/>
        <w:ind w:firstLine="556" w:firstLineChars="232"/>
        <w:rPr>
          <w:sz w:val="24"/>
          <w:highlight w:val="none"/>
        </w:rPr>
      </w:pPr>
      <w:r>
        <w:rPr>
          <w:rFonts w:hint="eastAsia"/>
          <w:sz w:val="24"/>
          <w:highlight w:val="none"/>
        </w:rPr>
        <w:t xml:space="preserve">                                    法定代表人（签字）：                  </w:t>
      </w:r>
    </w:p>
    <w:p>
      <w:pPr>
        <w:pStyle w:val="8"/>
        <w:spacing w:line="360" w:lineRule="auto"/>
        <w:ind w:firstLine="4756" w:firstLineChars="1982"/>
        <w:rPr>
          <w:sz w:val="24"/>
          <w:highlight w:val="none"/>
        </w:rPr>
      </w:pPr>
      <w:r>
        <w:rPr>
          <w:rFonts w:hint="eastAsia"/>
          <w:sz w:val="24"/>
          <w:highlight w:val="none"/>
        </w:rPr>
        <w:t xml:space="preserve"> 日期：2023年   月   日</w:t>
      </w:r>
    </w:p>
    <w:p>
      <w:pPr>
        <w:widowControl/>
        <w:jc w:val="left"/>
        <w:rPr>
          <w:rFonts w:ascii="宋体" w:cs="宋体"/>
          <w:sz w:val="30"/>
          <w:szCs w:val="30"/>
          <w:highlight w:val="none"/>
        </w:rPr>
      </w:pPr>
    </w:p>
    <w:p>
      <w:pPr>
        <w:widowControl/>
        <w:jc w:val="left"/>
        <w:rPr>
          <w:rFonts w:ascii="宋体" w:cs="宋体"/>
          <w:sz w:val="30"/>
          <w:szCs w:val="30"/>
          <w:highlight w:val="none"/>
        </w:rPr>
      </w:pPr>
    </w:p>
    <w:p>
      <w:pPr>
        <w:widowControl/>
        <w:jc w:val="left"/>
        <w:rPr>
          <w:rFonts w:ascii="宋体" w:cs="宋体"/>
          <w:sz w:val="30"/>
          <w:szCs w:val="30"/>
          <w:highlight w:val="none"/>
        </w:rPr>
      </w:pPr>
    </w:p>
    <w:p>
      <w:pPr>
        <w:widowControl/>
        <w:jc w:val="left"/>
        <w:rPr>
          <w:rFonts w:ascii="宋体" w:cs="宋体"/>
          <w:sz w:val="30"/>
          <w:szCs w:val="30"/>
          <w:highlight w:val="none"/>
        </w:rPr>
      </w:pPr>
    </w:p>
    <w:p>
      <w:pPr>
        <w:pStyle w:val="8"/>
        <w:spacing w:line="360" w:lineRule="auto"/>
        <w:ind w:firstLine="482"/>
        <w:jc w:val="left"/>
        <w:rPr>
          <w:b/>
          <w:sz w:val="24"/>
          <w:highlight w:val="none"/>
        </w:rPr>
      </w:pPr>
    </w:p>
    <w:p>
      <w:pPr>
        <w:pStyle w:val="8"/>
        <w:spacing w:line="360" w:lineRule="auto"/>
        <w:ind w:firstLine="0" w:firstLineChars="0"/>
        <w:jc w:val="center"/>
        <w:rPr>
          <w:b/>
          <w:sz w:val="24"/>
          <w:highlight w:val="none"/>
        </w:rPr>
      </w:pPr>
      <w:r>
        <w:rPr>
          <w:b/>
          <w:sz w:val="24"/>
          <w:highlight w:val="none"/>
        </w:rPr>
        <w:br w:type="page"/>
      </w:r>
      <w:bookmarkStart w:id="710" w:name="_Toc132813147"/>
    </w:p>
    <w:p>
      <w:pPr>
        <w:pStyle w:val="4"/>
        <w:jc w:val="left"/>
        <w:rPr>
          <w:rFonts w:ascii="宋体" w:hAnsi="宋体" w:eastAsia="宋体"/>
          <w:sz w:val="21"/>
          <w:szCs w:val="21"/>
          <w:highlight w:val="none"/>
        </w:rPr>
      </w:pPr>
      <w:r>
        <w:rPr>
          <w:rFonts w:hint="eastAsia" w:ascii="宋体" w:hAnsi="宋体" w:eastAsia="宋体"/>
          <w:sz w:val="21"/>
          <w:szCs w:val="21"/>
          <w:highlight w:val="none"/>
        </w:rPr>
        <w:t>附件</w:t>
      </w:r>
      <w:r>
        <w:rPr>
          <w:rFonts w:ascii="宋体" w:hAnsi="宋体" w:eastAsia="宋体"/>
          <w:sz w:val="21"/>
          <w:szCs w:val="21"/>
          <w:highlight w:val="none"/>
        </w:rPr>
        <w:t>2</w:t>
      </w:r>
      <w:r>
        <w:rPr>
          <w:rFonts w:hint="eastAsia" w:ascii="宋体" w:hAnsi="宋体" w:eastAsia="宋体"/>
          <w:sz w:val="21"/>
          <w:szCs w:val="21"/>
          <w:highlight w:val="none"/>
        </w:rPr>
        <w:t>：材料设备投入承诺书</w:t>
      </w:r>
      <w:bookmarkEnd w:id="710"/>
    </w:p>
    <w:p>
      <w:pPr>
        <w:pStyle w:val="8"/>
        <w:spacing w:after="240" w:line="360" w:lineRule="auto"/>
        <w:ind w:firstLine="0" w:firstLineChars="0"/>
        <w:jc w:val="center"/>
        <w:rPr>
          <w:rFonts w:ascii="宋体" w:hAnsi="宋体" w:cs="宋体"/>
          <w:b/>
          <w:snapToGrid w:val="0"/>
          <w:sz w:val="44"/>
          <w:szCs w:val="44"/>
          <w:highlight w:val="none"/>
        </w:rPr>
      </w:pPr>
      <w:r>
        <w:rPr>
          <w:rFonts w:hint="eastAsia" w:ascii="宋体" w:hAnsi="宋体" w:cs="宋体"/>
          <w:b/>
          <w:snapToGrid w:val="0"/>
          <w:sz w:val="44"/>
          <w:szCs w:val="44"/>
          <w:highlight w:val="none"/>
        </w:rPr>
        <w:t>材料设备投入承诺书</w:t>
      </w: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spacing w:line="360" w:lineRule="auto"/>
        <w:ind w:firstLine="556" w:firstLineChars="232"/>
        <w:rPr>
          <w:sz w:val="24"/>
          <w:highlight w:val="none"/>
        </w:rPr>
      </w:pPr>
      <w:r>
        <w:rPr>
          <w:sz w:val="24"/>
          <w:highlight w:val="none"/>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pPr>
        <w:pStyle w:val="8"/>
        <w:spacing w:line="360" w:lineRule="auto"/>
        <w:ind w:firstLine="556" w:firstLineChars="232"/>
        <w:rPr>
          <w:sz w:val="24"/>
          <w:highlight w:val="none"/>
        </w:rPr>
      </w:pPr>
      <w:r>
        <w:rPr>
          <w:sz w:val="24"/>
          <w:highlight w:val="none"/>
        </w:rPr>
        <w:t>我司承诺按不低于</w:t>
      </w:r>
      <w:r>
        <w:rPr>
          <w:rFonts w:hint="eastAsia"/>
          <w:sz w:val="24"/>
          <w:highlight w:val="none"/>
        </w:rPr>
        <w:t>本</w:t>
      </w:r>
      <w:r>
        <w:rPr>
          <w:sz w:val="24"/>
          <w:highlight w:val="none"/>
        </w:rPr>
        <w:t>工程主要设备材料推荐品牌表（附表1）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pPr>
        <w:pStyle w:val="8"/>
        <w:spacing w:line="360" w:lineRule="auto"/>
        <w:ind w:firstLine="556" w:firstLineChars="232"/>
        <w:rPr>
          <w:sz w:val="24"/>
          <w:highlight w:val="none"/>
        </w:rPr>
      </w:pPr>
      <w:r>
        <w:rPr>
          <w:sz w:val="24"/>
          <w:highlight w:val="none"/>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pPr>
        <w:pStyle w:val="8"/>
        <w:spacing w:line="360" w:lineRule="auto"/>
        <w:ind w:firstLine="556" w:firstLineChars="232"/>
        <w:rPr>
          <w:sz w:val="24"/>
          <w:highlight w:val="none"/>
        </w:rPr>
      </w:pPr>
      <w:r>
        <w:rPr>
          <w:sz w:val="24"/>
          <w:highlight w:val="none"/>
        </w:rPr>
        <w:t>我司已充分阅读了招标文件并充分了解本工程严格的材料设备投入要求和工期要求，并充分了解到本工程需要实施全面开工所需的设备投入要求。我司保证在收到发包人通知后3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5天内整改并征得发包人批复同意，否则自愿接受罚款5万元（人民币）/项，影响了施工进度和投标承诺的竣工日期，或材料设备未按技术要求选用，我司愿承担合同及工期承诺书的违约责任。</w:t>
      </w:r>
    </w:p>
    <w:p>
      <w:pPr>
        <w:pStyle w:val="8"/>
        <w:spacing w:line="360" w:lineRule="auto"/>
        <w:ind w:firstLine="556" w:firstLineChars="232"/>
        <w:rPr>
          <w:sz w:val="24"/>
          <w:highlight w:val="none"/>
        </w:rPr>
      </w:pPr>
      <w:r>
        <w:rPr>
          <w:sz w:val="24"/>
          <w:highlight w:val="none"/>
        </w:rPr>
        <w:t>我司承诺从发包人发出开工令起3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5天内整改并征得发包人批复同意，否则每一单项材料工作滞后我司自愿接受5万元（人民币）罚款。</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spacing w:line="360" w:lineRule="auto"/>
        <w:ind w:firstLine="556" w:firstLineChars="232"/>
        <w:rPr>
          <w:sz w:val="24"/>
          <w:highlight w:val="none"/>
        </w:rPr>
      </w:pPr>
    </w:p>
    <w:p>
      <w:pPr>
        <w:pStyle w:val="8"/>
        <w:spacing w:line="360" w:lineRule="auto"/>
        <w:ind w:firstLine="556" w:firstLineChars="232"/>
        <w:rPr>
          <w:sz w:val="24"/>
          <w:highlight w:val="none"/>
        </w:rPr>
      </w:pPr>
    </w:p>
    <w:p>
      <w:pPr>
        <w:pStyle w:val="8"/>
        <w:spacing w:line="360" w:lineRule="auto"/>
        <w:ind w:firstLine="3840" w:firstLineChars="1600"/>
        <w:rPr>
          <w:sz w:val="24"/>
          <w:highlight w:val="none"/>
        </w:rPr>
      </w:pPr>
      <w:r>
        <w:rPr>
          <w:rFonts w:hint="eastAsia"/>
          <w:sz w:val="24"/>
          <w:highlight w:val="none"/>
        </w:rPr>
        <w:t xml:space="preserve">单位名称（盖公章）： </w:t>
      </w:r>
    </w:p>
    <w:p>
      <w:pPr>
        <w:pStyle w:val="8"/>
        <w:spacing w:line="360" w:lineRule="auto"/>
        <w:ind w:firstLine="556" w:firstLineChars="232"/>
        <w:rPr>
          <w:sz w:val="24"/>
          <w:highlight w:val="none"/>
        </w:rPr>
      </w:pPr>
      <w:r>
        <w:rPr>
          <w:rFonts w:hint="eastAsia"/>
          <w:sz w:val="24"/>
          <w:highlight w:val="none"/>
        </w:rPr>
        <w:t xml:space="preserve">                           法定代表人（签字）：                  </w:t>
      </w:r>
    </w:p>
    <w:p>
      <w:pPr>
        <w:pStyle w:val="8"/>
        <w:spacing w:line="360" w:lineRule="auto"/>
        <w:ind w:firstLine="3840" w:firstLineChars="1600"/>
        <w:rPr>
          <w:sz w:val="24"/>
          <w:highlight w:val="none"/>
        </w:rPr>
      </w:pPr>
      <w:r>
        <w:rPr>
          <w:rFonts w:hint="eastAsia"/>
          <w:sz w:val="24"/>
          <w:highlight w:val="none"/>
        </w:rPr>
        <w:t>日期：2023年   月   日</w:t>
      </w:r>
    </w:p>
    <w:p>
      <w:pPr>
        <w:pStyle w:val="8"/>
        <w:spacing w:line="360" w:lineRule="auto"/>
        <w:ind w:firstLine="556" w:firstLineChars="232"/>
        <w:jc w:val="center"/>
        <w:rPr>
          <w:sz w:val="24"/>
          <w:highlight w:val="none"/>
        </w:rPr>
      </w:pPr>
    </w:p>
    <w:p>
      <w:pPr>
        <w:pStyle w:val="8"/>
        <w:spacing w:line="360" w:lineRule="auto"/>
        <w:ind w:firstLine="556" w:firstLineChars="232"/>
        <w:jc w:val="center"/>
        <w:rPr>
          <w:sz w:val="24"/>
          <w:highlight w:val="none"/>
        </w:rPr>
      </w:pPr>
    </w:p>
    <w:p>
      <w:pPr>
        <w:pStyle w:val="8"/>
        <w:spacing w:line="360" w:lineRule="auto"/>
        <w:ind w:firstLine="556" w:firstLineChars="232"/>
        <w:jc w:val="center"/>
        <w:rPr>
          <w:sz w:val="24"/>
          <w:highlight w:val="none"/>
        </w:rPr>
      </w:pPr>
    </w:p>
    <w:p>
      <w:pPr>
        <w:pStyle w:val="8"/>
        <w:spacing w:line="360" w:lineRule="auto"/>
        <w:ind w:firstLine="556" w:firstLineChars="232"/>
        <w:jc w:val="center"/>
        <w:rPr>
          <w:sz w:val="24"/>
          <w:highlight w:val="none"/>
        </w:rPr>
      </w:pPr>
    </w:p>
    <w:p>
      <w:pPr>
        <w:pStyle w:val="8"/>
        <w:spacing w:line="360" w:lineRule="auto"/>
        <w:ind w:firstLine="556" w:firstLineChars="232"/>
        <w:jc w:val="center"/>
        <w:rPr>
          <w:sz w:val="24"/>
          <w:highlight w:val="none"/>
        </w:rPr>
      </w:pPr>
    </w:p>
    <w:p>
      <w:pPr>
        <w:pStyle w:val="8"/>
        <w:spacing w:line="360" w:lineRule="auto"/>
        <w:ind w:firstLine="556" w:firstLineChars="232"/>
        <w:jc w:val="center"/>
        <w:rPr>
          <w:sz w:val="24"/>
          <w:highlight w:val="none"/>
        </w:rPr>
      </w:pPr>
    </w:p>
    <w:p>
      <w:pPr>
        <w:pStyle w:val="8"/>
        <w:spacing w:line="360" w:lineRule="auto"/>
        <w:ind w:firstLine="556" w:firstLineChars="232"/>
        <w:jc w:val="center"/>
        <w:rPr>
          <w:sz w:val="24"/>
          <w:highlight w:val="none"/>
        </w:rPr>
      </w:pPr>
    </w:p>
    <w:p>
      <w:pPr>
        <w:widowControl/>
        <w:jc w:val="left"/>
        <w:rPr>
          <w:sz w:val="24"/>
          <w:highlight w:val="none"/>
        </w:rPr>
      </w:pPr>
      <w:r>
        <w:rPr>
          <w:sz w:val="24"/>
          <w:highlight w:val="none"/>
        </w:rPr>
        <w:br w:type="page"/>
      </w:r>
    </w:p>
    <w:p>
      <w:pPr>
        <w:widowControl/>
        <w:jc w:val="center"/>
        <w:rPr>
          <w:rFonts w:ascii="宋体" w:hAnsi="宋体"/>
          <w:b/>
          <w:sz w:val="32"/>
          <w:szCs w:val="32"/>
          <w:highlight w:val="none"/>
        </w:rPr>
      </w:pPr>
      <w:r>
        <w:rPr>
          <w:rFonts w:hint="eastAsia" w:ascii="宋体" w:hAnsi="宋体"/>
          <w:b/>
          <w:sz w:val="32"/>
          <w:szCs w:val="32"/>
          <w:highlight w:val="none"/>
          <w:u w:val="single"/>
        </w:rPr>
        <w:t>主要材料设备推荐品牌表</w:t>
      </w:r>
    </w:p>
    <w:tbl>
      <w:tblPr>
        <w:tblStyle w:val="76"/>
        <w:tblW w:w="10115" w:type="dxa"/>
        <w:jc w:val="center"/>
        <w:tblLayout w:type="fixed"/>
        <w:tblCellMar>
          <w:top w:w="15" w:type="dxa"/>
          <w:left w:w="15" w:type="dxa"/>
          <w:bottom w:w="15" w:type="dxa"/>
          <w:right w:w="15" w:type="dxa"/>
        </w:tblCellMar>
      </w:tblPr>
      <w:tblGrid>
        <w:gridCol w:w="545"/>
        <w:gridCol w:w="1452"/>
        <w:gridCol w:w="4431"/>
        <w:gridCol w:w="2770"/>
        <w:gridCol w:w="917"/>
      </w:tblGrid>
      <w:tr>
        <w:trPr>
          <w:trHeight w:val="4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材料名称</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厂家（品牌）</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标准规范、规格型号/技术参数</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备注</w:t>
            </w:r>
          </w:p>
        </w:tc>
      </w:tr>
      <w:tr>
        <w:tblPrEx>
          <w:tblCellMar>
            <w:top w:w="15" w:type="dxa"/>
            <w:left w:w="15" w:type="dxa"/>
            <w:bottom w:w="15" w:type="dxa"/>
            <w:right w:w="15" w:type="dxa"/>
          </w:tblCellMar>
        </w:tblPrEx>
        <w:trPr>
          <w:trHeight w:val="38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(一)土建</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钢筋</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广钢、韶钢、武钢、柳钢、</w:t>
            </w:r>
            <w:r>
              <w:rPr>
                <w:rFonts w:ascii="宋体" w:hAnsi="宋体" w:cs="宋体"/>
                <w:szCs w:val="21"/>
                <w:highlight w:val="none"/>
                <w:lang w:bidi="ar"/>
              </w:rPr>
              <w:t>湘钢</w:t>
            </w:r>
            <w:r>
              <w:rPr>
                <w:rFonts w:hint="eastAsia" w:ascii="宋体" w:hAnsi="宋体" w:cs="宋体"/>
                <w:kern w:val="0"/>
                <w:szCs w:val="21"/>
                <w:highlight w:val="none"/>
                <w:lang w:bidi="ar"/>
              </w:rPr>
              <w:t>、马钢、</w:t>
            </w:r>
            <w:r>
              <w:rPr>
                <w:rFonts w:ascii="宋体" w:hAnsi="宋体" w:cs="宋体"/>
                <w:szCs w:val="21"/>
                <w:highlight w:val="none"/>
                <w:lang w:bidi="ar"/>
              </w:rPr>
              <w:t>河北宣钢</w:t>
            </w:r>
            <w:r>
              <w:rPr>
                <w:rFonts w:hint="eastAsia" w:ascii="宋体" w:hAnsi="宋体" w:cs="宋体"/>
                <w:kern w:val="0"/>
                <w:szCs w:val="21"/>
                <w:highlight w:val="none"/>
                <w:lang w:bidi="ar"/>
              </w:rPr>
              <w:t>、</w:t>
            </w:r>
            <w:r>
              <w:rPr>
                <w:rFonts w:ascii="宋体" w:hAnsi="宋体" w:cs="宋体"/>
                <w:szCs w:val="21"/>
                <w:highlight w:val="none"/>
                <w:lang w:bidi="ar"/>
              </w:rPr>
              <w:t>湖南涟钢、</w:t>
            </w:r>
            <w:r>
              <w:rPr>
                <w:rFonts w:hint="eastAsia" w:ascii="宋体" w:hAnsi="宋体" w:cs="宋体"/>
                <w:kern w:val="0"/>
                <w:szCs w:val="21"/>
                <w:highlight w:val="none"/>
                <w:lang w:bidi="ar"/>
              </w:rPr>
              <w:t>江西萍钢、珠海粤裕丰钢铁有限公司（珠海粤钢）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热轧钢筋HPB300、HRB400等钢筋。按一、二、三级抗震等级设计的框架和斜撑构件（含梯段），其纵向的受力普通钢筋应采用牌号中带“E”的热轧带肋钢筋（抗震钢筋）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钢板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广钢、武钢、鞍钢、马钢、宝钢、</w:t>
            </w:r>
            <w:r>
              <w:rPr>
                <w:rFonts w:ascii="宋体" w:hAnsi="宋体" w:cs="宋体"/>
                <w:szCs w:val="21"/>
                <w:highlight w:val="none"/>
                <w:lang w:bidi="ar"/>
              </w:rPr>
              <w:t>湘钢、韶钢、柳钢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普通结构钢（Q235系列）、低合金钢（Q345系列）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48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水泥</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石井、金羊、粤秀、海螺、华润、台泥</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53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商品混凝土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根据市或区诚信排名，优选前十名</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预应力管桩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中山建华管桩有限公司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广东三和管桩有限公司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中山宏基管桩有限公司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广州市番禺桥丰管桩水泥制品有限公司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中山市富华管桩有限公司（富业）</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广州羊城管桩有限公司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广州兴南华建材有限公司（短桩）</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清远市峻兴管桩有限公司 （短桩）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371"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（二）建筑装饰装修</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36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蒸压加气混凝土砌块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ascii="宋体" w:hAnsi="宋体" w:cs="宋体"/>
                <w:szCs w:val="21"/>
                <w:highlight w:val="none"/>
                <w:lang w:bidi="ar"/>
              </w:rPr>
              <w:t xml:space="preserve">广州市航峰新型建材有限公司、  </w:t>
            </w:r>
            <w:r>
              <w:rPr>
                <w:rFonts w:hint="eastAsia" w:ascii="宋体" w:hAnsi="宋体" w:cs="宋体"/>
                <w:kern w:val="0"/>
                <w:szCs w:val="21"/>
                <w:highlight w:val="none"/>
                <w:lang w:bidi="ar"/>
              </w:rPr>
              <w:t xml:space="preserve">                       佛山市南海区水电灰砂砖厂、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广州发展环保建材有限公司、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广州市建邦建材有限公司、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广州市佑佳加气混凝土制品有限公司、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东莞市盛丰建材有限公司、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广州市鸿升实业有限公司、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广州厚德建材有限公司、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广州市盈坚建材科技发展有限公司、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顺德祥和灰砂砖厂、</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东莞市粤丰新型建材有限公司、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清远市榕兴新型环保建材有限责任公司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GB11968-2006《蒸压加气混凝土砌块》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0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地面砖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广东特地陶瓷有限公司（特地）</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佛山石湾鹰牌陶瓷股份有限公司（鹰牌）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佛山市金舵陶瓷有限公司（金舵）</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广东新明珠陶瓷集团有限公司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广州市东鹏陶瓷有限责任公司（东鹏）</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广东新中源陶瓷有限公司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广东唯美陶瓷有限公司（马可波罗）</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广东蒙娜丽莎陶瓷有限公司（蒙娜丽莎）</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佛山市环球陶瓷有限公司（环球）</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广东圣晖陶瓷有限公司（圣卡洛）</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佛山德信致远陶瓷有限公司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广东博德精工建材有限公司（博德）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highlight w:val="none"/>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内墙瓷砖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广东特地陶瓷有限公司（特地）</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佛山石湾鹰牌陶瓷股份有限公司（鹰牌）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佛山市金舵陶瓷有限公司（金舵）</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广东新明珠陶瓷集团有限公司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广州市东鹏陶瓷有限责任公司（东鹏）</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广东新中源陶瓷有限公司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广东唯美陶瓷有限公司（马可波罗）</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广东蒙娜丽莎陶瓷有限公司（蒙娜丽莎）</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佛山市环球陶瓷有限公司（环球）</w:t>
            </w:r>
          </w:p>
          <w:p>
            <w:pPr>
              <w:widowControl/>
              <w:jc w:val="center"/>
              <w:textAlignment w:val="center"/>
              <w:rPr>
                <w:rFonts w:ascii="宋体" w:hAnsi="宋体" w:cs="宋体"/>
                <w:szCs w:val="21"/>
                <w:highlight w:val="none"/>
              </w:rPr>
            </w:pPr>
            <w:r>
              <w:rPr>
                <w:rFonts w:hint="eastAsia" w:ascii="宋体" w:hAnsi="宋体" w:cs="宋体"/>
                <w:szCs w:val="21"/>
                <w:highlight w:val="none"/>
              </w:rPr>
              <w:t>广东圣晖陶瓷有限公司（圣卡洛）</w:t>
            </w:r>
          </w:p>
          <w:p>
            <w:pPr>
              <w:widowControl/>
              <w:jc w:val="center"/>
              <w:textAlignment w:val="center"/>
              <w:rPr>
                <w:rFonts w:ascii="宋体" w:hAnsi="宋体" w:cs="宋体"/>
                <w:szCs w:val="21"/>
                <w:highlight w:val="none"/>
              </w:rPr>
            </w:pPr>
            <w:r>
              <w:rPr>
                <w:rFonts w:hint="eastAsia" w:ascii="宋体" w:hAnsi="宋体" w:cs="宋体"/>
                <w:szCs w:val="21"/>
                <w:highlight w:val="none"/>
              </w:rPr>
              <w:t>佛山德信致远陶瓷有限公司</w:t>
            </w:r>
          </w:p>
          <w:p>
            <w:pPr>
              <w:widowControl/>
              <w:jc w:val="center"/>
              <w:textAlignment w:val="center"/>
              <w:rPr>
                <w:rFonts w:ascii="宋体" w:hAnsi="宋体" w:cs="宋体"/>
                <w:szCs w:val="21"/>
                <w:highlight w:val="none"/>
              </w:rPr>
            </w:pPr>
            <w:r>
              <w:rPr>
                <w:rFonts w:hint="eastAsia" w:ascii="宋体" w:hAnsi="宋体" w:cs="宋体"/>
                <w:szCs w:val="21"/>
                <w:highlight w:val="none"/>
              </w:rPr>
              <w:t>广东博德精工建材有限公司（博德）</w:t>
            </w:r>
          </w:p>
          <w:p>
            <w:pPr>
              <w:widowControl/>
              <w:jc w:val="center"/>
              <w:textAlignment w:val="center"/>
              <w:rPr>
                <w:rFonts w:ascii="宋体" w:hAnsi="宋体" w:cs="宋体"/>
                <w:szCs w:val="21"/>
                <w:highlight w:val="none"/>
              </w:rPr>
            </w:pPr>
            <w:r>
              <w:rPr>
                <w:rFonts w:hint="eastAsia" w:ascii="宋体" w:hAnsi="宋体" w:cs="宋体"/>
                <w:szCs w:val="21"/>
                <w:highlight w:val="none"/>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外墙砖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广东新明珠陶瓷集团有限公司（冠珠）</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珠海市斗门区旭日陶瓷有限公司（白兔）</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佛山市环球陶瓷有限公司（环球）</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佛山钻石陶瓷有限公司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佛山市溶洲建筑陶瓷二厂有限公司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佛山盈邦陶瓷有限公司（盈邦）</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highlight w:val="none"/>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内外墙乳胶漆（含底漆）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卜内门太古漆油（中国）有限公司（多乐士）、广州立邦漆涂料有限公司（立邦）                    佐敦涂料（张家港）有限公司（佐敦）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嘉宝莉化工集团股份有限公司（嘉宝莉）</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佛山世冠化工科技有限公司（世冠）</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《合成树脂乳液外墙涂料》</w:t>
            </w:r>
            <w:r>
              <w:rPr>
                <w:rFonts w:ascii="宋体" w:hAnsi="宋体" w:cs="宋体"/>
                <w:szCs w:val="21"/>
                <w:highlight w:val="none"/>
              </w:rPr>
              <w:t xml:space="preserve"> GB/T9755-2001</w:t>
            </w:r>
            <w:r>
              <w:rPr>
                <w:rFonts w:hint="eastAsia" w:ascii="宋体" w:hAnsi="宋体" w:cs="宋体"/>
                <w:szCs w:val="21"/>
                <w:highlight w:val="none"/>
              </w:rPr>
              <w:t>，GB/T9756-2009 《合成树脂乳液内墙涂料》，GB 18582-2008《室内装饰装修材料 内墙涂料中有害物质限量》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highlight w:val="none"/>
              </w:rPr>
            </w:pPr>
          </w:p>
        </w:tc>
      </w:tr>
      <w:tr>
        <w:tblPrEx>
          <w:tblCellMar>
            <w:top w:w="15" w:type="dxa"/>
            <w:left w:w="15" w:type="dxa"/>
            <w:bottom w:w="15" w:type="dxa"/>
            <w:right w:w="15" w:type="dxa"/>
          </w:tblCellMar>
        </w:tblPrEx>
        <w:trPr>
          <w:trHeight w:val="1508" w:hRule="atLeast"/>
          <w:jc w:val="center"/>
        </w:trPr>
        <w:tc>
          <w:tcPr>
            <w:tcW w:w="54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防火涂料</w:t>
            </w:r>
          </w:p>
        </w:tc>
        <w:tc>
          <w:tcPr>
            <w:tcW w:w="44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西卡（中国）建筑材料有限（西卡牌）、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四国化研（上海）有限公司（SKK牌）、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阿克苏诺贝尔工业油漆（苏州）有限公司（国际牌）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广东泰堡防火材料有限公司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山东世安化工有限公司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北京华成防火涂料有限公司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海虹老人涂料（中国）有限公司</w:t>
            </w:r>
          </w:p>
        </w:tc>
        <w:tc>
          <w:tcPr>
            <w:tcW w:w="2770"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GB14907-2002《钢结构防火涂料》、</w:t>
            </w:r>
          </w:p>
          <w:p>
            <w:pPr>
              <w:jc w:val="left"/>
              <w:rPr>
                <w:rFonts w:ascii="宋体" w:hAnsi="宋体" w:cs="宋体"/>
                <w:szCs w:val="21"/>
                <w:highlight w:val="none"/>
              </w:rPr>
            </w:pPr>
            <w:r>
              <w:rPr>
                <w:rFonts w:hint="eastAsia" w:ascii="宋体" w:hAnsi="宋体" w:cs="宋体"/>
                <w:szCs w:val="21"/>
                <w:highlight w:val="none"/>
              </w:rPr>
              <w:t>GB12441-2005《饰面型防火涂料》、</w:t>
            </w:r>
          </w:p>
          <w:p>
            <w:pPr>
              <w:jc w:val="left"/>
              <w:rPr>
                <w:rFonts w:ascii="宋体" w:hAnsi="宋体" w:cs="宋体"/>
                <w:szCs w:val="21"/>
                <w:highlight w:val="none"/>
              </w:rPr>
            </w:pPr>
            <w:r>
              <w:rPr>
                <w:rFonts w:hint="eastAsia" w:ascii="宋体" w:hAnsi="宋体" w:cs="宋体"/>
                <w:szCs w:val="21"/>
                <w:highlight w:val="none"/>
              </w:rPr>
              <w:t>GA98-2005《混凝土结构防火涂料》、</w:t>
            </w:r>
          </w:p>
          <w:p>
            <w:pPr>
              <w:jc w:val="left"/>
              <w:rPr>
                <w:rFonts w:ascii="宋体" w:hAnsi="宋体" w:cs="宋体"/>
                <w:szCs w:val="21"/>
                <w:highlight w:val="none"/>
              </w:rPr>
            </w:pPr>
            <w:r>
              <w:rPr>
                <w:rFonts w:hint="eastAsia" w:ascii="宋体" w:hAnsi="宋体" w:cs="宋体"/>
                <w:szCs w:val="21"/>
                <w:highlight w:val="none"/>
              </w:rPr>
              <w:t>CNS11728-2010《建筑用防火涂料》</w:t>
            </w:r>
          </w:p>
        </w:tc>
        <w:tc>
          <w:tcPr>
            <w:tcW w:w="9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7</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石材</w:t>
            </w:r>
          </w:p>
        </w:tc>
        <w:tc>
          <w:tcPr>
            <w:tcW w:w="4431"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广州大美石材有限公司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山东泰安阳升石材有限公司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湖北麻城鑫蓝翔石业有限公司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晋江市鑫山石业有限公司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湖北省思华石业工艺有限公司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广州威洋石材公司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云浮华中石材实业有限公司</w:t>
            </w:r>
          </w:p>
        </w:tc>
        <w:tc>
          <w:tcPr>
            <w:tcW w:w="2770" w:type="dxa"/>
            <w:tcBorders>
              <w:top w:val="single" w:color="auto" w:sz="4" w:space="0"/>
              <w:bottom w:val="single" w:color="auto"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《《天然花岗石建筑板材》（GB/T18601－2009）</w:t>
            </w:r>
          </w:p>
          <w:p>
            <w:pPr>
              <w:jc w:val="center"/>
              <w:rPr>
                <w:rFonts w:ascii="宋体" w:hAnsi="宋体" w:cs="宋体"/>
                <w:szCs w:val="21"/>
                <w:highlight w:val="none"/>
              </w:rPr>
            </w:pPr>
            <w:r>
              <w:rPr>
                <w:rFonts w:hint="eastAsia" w:ascii="宋体" w:hAnsi="宋体" w:cs="宋体"/>
                <w:szCs w:val="21"/>
                <w:highlight w:val="none"/>
              </w:rPr>
              <w:t>中的优等品、《建筑材料放射性核素限量》（GB6566-2010）</w:t>
            </w:r>
          </w:p>
        </w:tc>
        <w:tc>
          <w:tcPr>
            <w:tcW w:w="917" w:type="dxa"/>
            <w:tcBorders>
              <w:top w:val="single" w:color="auto" w:sz="4" w:space="0"/>
              <w:bottom w:val="single" w:color="auto" w:sz="4" w:space="0"/>
              <w:right w:val="single" w:color="auto" w:sz="4" w:space="0"/>
            </w:tcBorders>
            <w:vAlign w:val="center"/>
          </w:tcPr>
          <w:p>
            <w:pPr>
              <w:jc w:val="center"/>
              <w:rPr>
                <w:rFonts w:ascii="宋体" w:hAnsi="宋体" w:cs="宋体"/>
                <w:sz w:val="20"/>
                <w:highlight w:val="none"/>
              </w:rPr>
            </w:pPr>
          </w:p>
        </w:tc>
      </w:tr>
      <w:tr>
        <w:tblPrEx>
          <w:tblCellMar>
            <w:top w:w="15" w:type="dxa"/>
            <w:left w:w="15" w:type="dxa"/>
            <w:bottom w:w="15" w:type="dxa"/>
            <w:right w:w="15" w:type="dxa"/>
          </w:tblCellMar>
        </w:tblPrEx>
        <w:trPr>
          <w:trHeight w:val="1320" w:hRule="atLeast"/>
          <w:jc w:val="center"/>
        </w:trPr>
        <w:tc>
          <w:tcPr>
            <w:tcW w:w="5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8</w:t>
            </w:r>
          </w:p>
        </w:tc>
        <w:tc>
          <w:tcPr>
            <w:tcW w:w="145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玻璃</w:t>
            </w:r>
          </w:p>
        </w:tc>
        <w:tc>
          <w:tcPr>
            <w:tcW w:w="443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东莞南玻工程玻璃有限公司（南玻）</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信义玻璃工程（东莞）有限公司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广东洛玻加工玻璃有限公司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上海耀华皮尔金顿玻璃股份有限公司</w:t>
            </w:r>
          </w:p>
        </w:tc>
        <w:tc>
          <w:tcPr>
            <w:tcW w:w="277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除特殊要求外，采用不小于6mm厚的安全玻璃。最终以设计图纸为准</w:t>
            </w:r>
          </w:p>
        </w:tc>
        <w:tc>
          <w:tcPr>
            <w:tcW w:w="9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r>
      <w:tr>
        <w:tblPrEx>
          <w:tblCellMar>
            <w:top w:w="15" w:type="dxa"/>
            <w:left w:w="15" w:type="dxa"/>
            <w:bottom w:w="15" w:type="dxa"/>
            <w:right w:w="15" w:type="dxa"/>
          </w:tblCellMar>
        </w:tblPrEx>
        <w:trPr>
          <w:trHeight w:val="12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铝合金型材、铝合金门窗、百叶窗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广东凤铝铝业有限公司（凤铝）</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广亚铝业有限公司（广亚）</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广东豪美铝业股份有限公司（豪美）</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广东兴发铝业有限公司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广东伟业铝厂集团有限公司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广东坚美铝型材厂（集团）有限公司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广东华昌铝厂有限公司（伟昌）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落地门窗框≥90系列，其它窗框≥70系列；型材壁厚门结构型材不小于2mm，窗不小于1.4mm，大窗型材壁厚不小于3mm。最终以设计图纸为准。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户内门（木门）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广州市锦湖合盛门业有限公司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广州市国盾门业制造有限公司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广州林安木业有限公司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广东雅君园门业有限公司                                                      塞纳春天、康辉木门（KOV）</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金迪木门（Goldea）</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中山万宝龙门木制品有限公司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广州市龙树门业有限公司（Longshu）</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广州市花都区花山恒昌铁闸门厂</w:t>
            </w:r>
          </w:p>
          <w:p>
            <w:pPr>
              <w:widowControl/>
              <w:jc w:val="left"/>
              <w:textAlignment w:val="center"/>
              <w:rPr>
                <w:rFonts w:ascii="宋体" w:hAnsi="宋体" w:cs="宋体"/>
                <w:kern w:val="0"/>
                <w:szCs w:val="21"/>
                <w:highlight w:val="none"/>
                <w:lang w:bidi="ar"/>
              </w:rPr>
            </w:pP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hAnsi="宋体" w:cs="宋体"/>
                <w:szCs w:val="21"/>
                <w:highlight w:val="none"/>
              </w:rPr>
            </w:pPr>
            <w:r>
              <w:rPr>
                <w:rFonts w:hint="eastAsia" w:ascii="宋体" w:hAnsi="宋体" w:cs="宋体"/>
                <w:szCs w:val="21"/>
                <w:highlight w:val="none"/>
              </w:rPr>
              <w:t>《木门窗》GB/T29498-2013、国家建筑标准设计图集《木门窗》16J601</w:t>
            </w:r>
          </w:p>
          <w:p>
            <w:pPr>
              <w:spacing w:line="280" w:lineRule="exact"/>
              <w:jc w:val="left"/>
              <w:rPr>
                <w:rFonts w:ascii="宋体" w:hAnsi="宋体" w:cs="宋体"/>
                <w:szCs w:val="21"/>
                <w:highlight w:val="none"/>
              </w:rPr>
            </w:pPr>
            <w:r>
              <w:rPr>
                <w:rFonts w:hint="eastAsia" w:ascii="宋体" w:hAnsi="宋体" w:cs="宋体"/>
                <w:szCs w:val="21"/>
                <w:highlight w:val="none"/>
              </w:rPr>
              <w:t>木门参考参数（一）:</w:t>
            </w:r>
          </w:p>
          <w:p>
            <w:pPr>
              <w:spacing w:line="280" w:lineRule="exact"/>
              <w:jc w:val="left"/>
              <w:rPr>
                <w:rFonts w:ascii="宋体" w:hAnsi="宋体" w:cs="宋体"/>
                <w:szCs w:val="21"/>
                <w:highlight w:val="none"/>
              </w:rPr>
            </w:pPr>
            <w:r>
              <w:rPr>
                <w:rFonts w:hint="eastAsia" w:ascii="宋体" w:hAnsi="宋体" w:cs="宋体"/>
                <w:szCs w:val="21"/>
                <w:highlight w:val="none"/>
              </w:rPr>
              <w:t>1.门扇为平面</w:t>
            </w:r>
          </w:p>
          <w:p>
            <w:pPr>
              <w:spacing w:line="280" w:lineRule="exact"/>
              <w:jc w:val="left"/>
              <w:rPr>
                <w:rFonts w:ascii="宋体" w:hAnsi="宋体" w:cs="宋体"/>
                <w:szCs w:val="21"/>
                <w:highlight w:val="none"/>
              </w:rPr>
            </w:pPr>
            <w:r>
              <w:rPr>
                <w:rFonts w:hint="eastAsia" w:ascii="宋体" w:hAnsi="宋体" w:cs="宋体"/>
                <w:szCs w:val="21"/>
                <w:highlight w:val="none"/>
              </w:rPr>
              <w:t>2.墙厚≤150mm</w:t>
            </w:r>
          </w:p>
          <w:p>
            <w:pPr>
              <w:spacing w:line="280" w:lineRule="exact"/>
              <w:jc w:val="left"/>
              <w:rPr>
                <w:rFonts w:ascii="宋体" w:hAnsi="宋体" w:cs="宋体"/>
                <w:szCs w:val="21"/>
                <w:highlight w:val="none"/>
              </w:rPr>
            </w:pPr>
            <w:r>
              <w:rPr>
                <w:rFonts w:hint="eastAsia" w:ascii="宋体" w:hAnsi="宋体" w:cs="宋体"/>
                <w:szCs w:val="21"/>
                <w:highlight w:val="none"/>
              </w:rPr>
              <w:t>3.双面PVC线条</w:t>
            </w:r>
          </w:p>
          <w:p>
            <w:pPr>
              <w:spacing w:line="280" w:lineRule="exact"/>
              <w:jc w:val="left"/>
              <w:rPr>
                <w:rFonts w:ascii="宋体" w:hAnsi="宋体" w:cs="宋体"/>
                <w:szCs w:val="21"/>
                <w:highlight w:val="none"/>
              </w:rPr>
            </w:pPr>
            <w:r>
              <w:rPr>
                <w:rFonts w:hint="eastAsia" w:ascii="宋体" w:hAnsi="宋体" w:cs="宋体"/>
                <w:szCs w:val="21"/>
                <w:highlight w:val="none"/>
              </w:rPr>
              <w:t>4.骨架间距20cm*30cm</w:t>
            </w:r>
          </w:p>
          <w:p>
            <w:pPr>
              <w:spacing w:line="280" w:lineRule="exact"/>
              <w:jc w:val="left"/>
              <w:rPr>
                <w:rFonts w:ascii="宋体" w:hAnsi="宋体" w:cs="宋体"/>
                <w:szCs w:val="21"/>
                <w:highlight w:val="none"/>
              </w:rPr>
            </w:pPr>
            <w:r>
              <w:rPr>
                <w:rFonts w:hint="eastAsia" w:ascii="宋体" w:hAnsi="宋体" w:cs="宋体"/>
                <w:szCs w:val="21"/>
                <w:highlight w:val="none"/>
              </w:rPr>
              <w:t>5.或者蜂窝纸取代骨架（不建议，易受潮）</w:t>
            </w:r>
          </w:p>
          <w:p>
            <w:pPr>
              <w:spacing w:line="280" w:lineRule="exact"/>
              <w:jc w:val="left"/>
              <w:rPr>
                <w:rFonts w:ascii="宋体" w:hAnsi="宋体" w:cs="宋体"/>
                <w:szCs w:val="21"/>
                <w:highlight w:val="none"/>
              </w:rPr>
            </w:pPr>
            <w:r>
              <w:rPr>
                <w:rFonts w:hint="eastAsia" w:ascii="宋体" w:hAnsi="宋体" w:cs="宋体"/>
                <w:szCs w:val="21"/>
                <w:highlight w:val="none"/>
              </w:rPr>
              <w:t>6.304#合页+普通锁</w:t>
            </w:r>
          </w:p>
          <w:p>
            <w:pPr>
              <w:spacing w:line="280" w:lineRule="exact"/>
              <w:jc w:val="left"/>
              <w:rPr>
                <w:rFonts w:ascii="宋体" w:hAnsi="宋体" w:cs="宋体"/>
                <w:szCs w:val="21"/>
                <w:highlight w:val="none"/>
              </w:rPr>
            </w:pPr>
            <w:r>
              <w:rPr>
                <w:rFonts w:hint="eastAsia" w:ascii="宋体" w:hAnsi="宋体" w:cs="宋体"/>
                <w:szCs w:val="21"/>
                <w:highlight w:val="none"/>
              </w:rPr>
              <w:t>7.门扇厚度40mm-45mm</w:t>
            </w:r>
          </w:p>
          <w:p>
            <w:pPr>
              <w:spacing w:line="280" w:lineRule="exact"/>
              <w:jc w:val="left"/>
              <w:rPr>
                <w:rFonts w:ascii="宋体" w:hAnsi="宋体" w:cs="宋体"/>
                <w:szCs w:val="21"/>
                <w:highlight w:val="none"/>
              </w:rPr>
            </w:pPr>
            <w:r>
              <w:rPr>
                <w:rFonts w:hint="eastAsia" w:ascii="宋体" w:hAnsi="宋体" w:cs="宋体"/>
                <w:szCs w:val="21"/>
                <w:highlight w:val="none"/>
              </w:rPr>
              <w:t>8.表面工艺：免漆（又叫生态板），面板厚度5mm生态板</w:t>
            </w:r>
          </w:p>
          <w:p>
            <w:pPr>
              <w:spacing w:line="280" w:lineRule="exact"/>
              <w:jc w:val="left"/>
              <w:rPr>
                <w:rFonts w:ascii="宋体" w:hAnsi="宋体" w:cs="宋体"/>
                <w:szCs w:val="21"/>
                <w:highlight w:val="none"/>
              </w:rPr>
            </w:pPr>
            <w:r>
              <w:rPr>
                <w:rFonts w:hint="eastAsia" w:ascii="宋体" w:hAnsi="宋体" w:cs="宋体"/>
                <w:szCs w:val="21"/>
                <w:highlight w:val="none"/>
              </w:rPr>
              <w:t>木门参考参数（二）:</w:t>
            </w:r>
          </w:p>
          <w:p>
            <w:pPr>
              <w:spacing w:line="280" w:lineRule="exact"/>
              <w:jc w:val="left"/>
              <w:rPr>
                <w:rFonts w:ascii="宋体" w:hAnsi="宋体" w:cs="宋体"/>
                <w:szCs w:val="21"/>
                <w:highlight w:val="none"/>
              </w:rPr>
            </w:pPr>
            <w:r>
              <w:rPr>
                <w:rFonts w:hint="eastAsia" w:ascii="宋体" w:hAnsi="宋体" w:cs="宋体"/>
                <w:szCs w:val="21"/>
                <w:highlight w:val="none"/>
              </w:rPr>
              <w:t>1.门扇双面铣型</w:t>
            </w:r>
          </w:p>
          <w:p>
            <w:pPr>
              <w:spacing w:line="280" w:lineRule="exact"/>
              <w:jc w:val="left"/>
              <w:rPr>
                <w:rFonts w:ascii="宋体" w:hAnsi="宋体" w:cs="宋体"/>
                <w:szCs w:val="21"/>
                <w:highlight w:val="none"/>
              </w:rPr>
            </w:pPr>
            <w:r>
              <w:rPr>
                <w:rFonts w:hint="eastAsia" w:ascii="宋体" w:hAnsi="宋体" w:cs="宋体"/>
                <w:szCs w:val="21"/>
                <w:highlight w:val="none"/>
              </w:rPr>
              <w:t>2.墙厚≤240mm</w:t>
            </w:r>
          </w:p>
          <w:p>
            <w:pPr>
              <w:spacing w:line="280" w:lineRule="exact"/>
              <w:jc w:val="left"/>
              <w:rPr>
                <w:rFonts w:ascii="宋体" w:hAnsi="宋体" w:cs="宋体"/>
                <w:szCs w:val="21"/>
                <w:highlight w:val="none"/>
              </w:rPr>
            </w:pPr>
            <w:r>
              <w:rPr>
                <w:rFonts w:hint="eastAsia" w:ascii="宋体" w:hAnsi="宋体" w:cs="宋体"/>
                <w:szCs w:val="21"/>
                <w:highlight w:val="none"/>
              </w:rPr>
              <w:t>3.双面PVC线条或木线条</w:t>
            </w:r>
          </w:p>
          <w:p>
            <w:pPr>
              <w:spacing w:line="280" w:lineRule="exact"/>
              <w:jc w:val="left"/>
              <w:rPr>
                <w:rFonts w:ascii="宋体" w:hAnsi="宋体" w:cs="宋体"/>
                <w:szCs w:val="21"/>
                <w:highlight w:val="none"/>
              </w:rPr>
            </w:pPr>
            <w:r>
              <w:rPr>
                <w:rFonts w:hint="eastAsia" w:ascii="宋体" w:hAnsi="宋体" w:cs="宋体"/>
                <w:szCs w:val="21"/>
                <w:highlight w:val="none"/>
              </w:rPr>
              <w:t>4.骨架间距15cm*25cm</w:t>
            </w:r>
          </w:p>
          <w:p>
            <w:pPr>
              <w:spacing w:line="280" w:lineRule="exact"/>
              <w:jc w:val="left"/>
              <w:rPr>
                <w:rFonts w:ascii="宋体" w:hAnsi="宋体" w:cs="宋体"/>
                <w:szCs w:val="21"/>
                <w:highlight w:val="none"/>
              </w:rPr>
            </w:pPr>
            <w:r>
              <w:rPr>
                <w:rFonts w:hint="eastAsia" w:ascii="宋体" w:hAnsi="宋体" w:cs="宋体"/>
                <w:szCs w:val="21"/>
                <w:highlight w:val="none"/>
              </w:rPr>
              <w:t>5.304#合页+中档锁</w:t>
            </w:r>
          </w:p>
          <w:p>
            <w:pPr>
              <w:spacing w:line="280" w:lineRule="exact"/>
              <w:jc w:val="left"/>
              <w:rPr>
                <w:rFonts w:ascii="宋体" w:hAnsi="宋体" w:cs="宋体"/>
                <w:szCs w:val="21"/>
                <w:highlight w:val="none"/>
              </w:rPr>
            </w:pPr>
            <w:r>
              <w:rPr>
                <w:rFonts w:hint="eastAsia" w:ascii="宋体" w:hAnsi="宋体" w:cs="宋体"/>
                <w:szCs w:val="21"/>
                <w:highlight w:val="none"/>
              </w:rPr>
              <w:t>6.门扇厚度45mm-50mm</w:t>
            </w:r>
          </w:p>
          <w:p>
            <w:pPr>
              <w:spacing w:line="280" w:lineRule="exact"/>
              <w:jc w:val="left"/>
              <w:rPr>
                <w:rFonts w:ascii="宋体" w:hAnsi="宋体" w:cs="宋体"/>
                <w:szCs w:val="21"/>
                <w:highlight w:val="none"/>
              </w:rPr>
            </w:pPr>
            <w:r>
              <w:rPr>
                <w:rFonts w:hint="eastAsia" w:ascii="宋体" w:hAnsi="宋体" w:cs="宋体"/>
                <w:szCs w:val="21"/>
                <w:highlight w:val="none"/>
              </w:rPr>
              <w:t>7.表面工艺：油漆，表面组成=2.5mm科技饰面板+4mm夹板。</w:t>
            </w:r>
          </w:p>
          <w:p>
            <w:pPr>
              <w:spacing w:line="280" w:lineRule="exact"/>
              <w:jc w:val="left"/>
              <w:rPr>
                <w:rFonts w:ascii="宋体" w:hAnsi="宋体" w:cs="宋体"/>
                <w:szCs w:val="21"/>
                <w:highlight w:val="none"/>
              </w:rPr>
            </w:pPr>
            <w:r>
              <w:rPr>
                <w:rFonts w:hint="eastAsia" w:ascii="宋体" w:hAnsi="宋体" w:cs="宋体"/>
                <w:szCs w:val="21"/>
                <w:highlight w:val="none"/>
              </w:rPr>
              <w:t>木门参考参数（三）:</w:t>
            </w:r>
          </w:p>
          <w:p>
            <w:pPr>
              <w:spacing w:line="280" w:lineRule="exact"/>
              <w:jc w:val="left"/>
              <w:rPr>
                <w:rFonts w:ascii="宋体" w:hAnsi="宋体" w:cs="宋体"/>
                <w:szCs w:val="21"/>
                <w:highlight w:val="none"/>
              </w:rPr>
            </w:pPr>
            <w:r>
              <w:rPr>
                <w:rFonts w:hint="eastAsia" w:ascii="宋体" w:hAnsi="宋体" w:cs="宋体"/>
                <w:szCs w:val="21"/>
                <w:highlight w:val="none"/>
              </w:rPr>
              <w:t>1.门扇双面立体造型</w:t>
            </w:r>
          </w:p>
          <w:p>
            <w:pPr>
              <w:spacing w:line="280" w:lineRule="exact"/>
              <w:jc w:val="left"/>
              <w:rPr>
                <w:rFonts w:ascii="宋体" w:hAnsi="宋体" w:cs="宋体"/>
                <w:szCs w:val="21"/>
                <w:highlight w:val="none"/>
              </w:rPr>
            </w:pPr>
            <w:r>
              <w:rPr>
                <w:rFonts w:hint="eastAsia" w:ascii="宋体" w:hAnsi="宋体" w:cs="宋体"/>
                <w:szCs w:val="21"/>
                <w:highlight w:val="none"/>
              </w:rPr>
              <w:t>2.墙厚≤240mm</w:t>
            </w:r>
          </w:p>
          <w:p>
            <w:pPr>
              <w:spacing w:line="280" w:lineRule="exact"/>
              <w:jc w:val="left"/>
              <w:rPr>
                <w:rFonts w:ascii="宋体" w:hAnsi="宋体" w:cs="宋体"/>
                <w:szCs w:val="21"/>
                <w:highlight w:val="none"/>
              </w:rPr>
            </w:pPr>
            <w:r>
              <w:rPr>
                <w:rFonts w:hint="eastAsia" w:ascii="宋体" w:hAnsi="宋体" w:cs="宋体"/>
                <w:szCs w:val="21"/>
                <w:highlight w:val="none"/>
              </w:rPr>
              <w:t>3.双面PVC线条或木线条</w:t>
            </w:r>
          </w:p>
          <w:p>
            <w:pPr>
              <w:spacing w:line="280" w:lineRule="exact"/>
              <w:jc w:val="left"/>
              <w:rPr>
                <w:rFonts w:ascii="宋体" w:hAnsi="宋体" w:cs="宋体"/>
                <w:szCs w:val="21"/>
                <w:highlight w:val="none"/>
              </w:rPr>
            </w:pPr>
            <w:r>
              <w:rPr>
                <w:rFonts w:hint="eastAsia" w:ascii="宋体" w:hAnsi="宋体" w:cs="宋体"/>
                <w:szCs w:val="21"/>
                <w:highlight w:val="none"/>
              </w:rPr>
              <w:t>4.骨架间距15cm*25cm</w:t>
            </w:r>
          </w:p>
          <w:p>
            <w:pPr>
              <w:spacing w:line="280" w:lineRule="exact"/>
              <w:jc w:val="left"/>
              <w:rPr>
                <w:rFonts w:ascii="宋体" w:hAnsi="宋体" w:cs="宋体"/>
                <w:szCs w:val="21"/>
                <w:highlight w:val="none"/>
              </w:rPr>
            </w:pPr>
            <w:r>
              <w:rPr>
                <w:rFonts w:hint="eastAsia" w:ascii="宋体" w:hAnsi="宋体" w:cs="宋体"/>
                <w:szCs w:val="21"/>
                <w:highlight w:val="none"/>
              </w:rPr>
              <w:t>5.304#合页+中档锁</w:t>
            </w:r>
          </w:p>
          <w:p>
            <w:pPr>
              <w:spacing w:line="280" w:lineRule="exact"/>
              <w:jc w:val="left"/>
              <w:rPr>
                <w:rFonts w:ascii="宋体" w:hAnsi="宋体" w:cs="宋体"/>
                <w:szCs w:val="21"/>
                <w:highlight w:val="none"/>
              </w:rPr>
            </w:pPr>
            <w:r>
              <w:rPr>
                <w:rFonts w:hint="eastAsia" w:ascii="宋体" w:hAnsi="宋体" w:cs="宋体"/>
                <w:szCs w:val="21"/>
                <w:highlight w:val="none"/>
              </w:rPr>
              <w:t>6.门扇厚度50mm-55mm</w:t>
            </w:r>
          </w:p>
          <w:p>
            <w:pPr>
              <w:spacing w:line="280" w:lineRule="exact"/>
              <w:jc w:val="left"/>
              <w:rPr>
                <w:rFonts w:ascii="宋体" w:hAnsi="宋体" w:cs="宋体"/>
                <w:szCs w:val="21"/>
                <w:highlight w:val="none"/>
              </w:rPr>
            </w:pPr>
            <w:r>
              <w:rPr>
                <w:rFonts w:hint="eastAsia" w:ascii="宋体" w:hAnsi="宋体" w:cs="宋体"/>
                <w:szCs w:val="21"/>
                <w:highlight w:val="none"/>
              </w:rPr>
              <w:t>7.表面工艺：油漆，表面组成=3.0mm科技饰面板+6mm夹板。</w:t>
            </w:r>
          </w:p>
          <w:p>
            <w:pPr>
              <w:spacing w:line="280" w:lineRule="exact"/>
              <w:jc w:val="left"/>
              <w:rPr>
                <w:rFonts w:ascii="宋体" w:hAnsi="宋体" w:cs="宋体"/>
                <w:szCs w:val="21"/>
                <w:highlight w:val="none"/>
              </w:rPr>
            </w:pPr>
            <w:r>
              <w:rPr>
                <w:rFonts w:hint="eastAsia" w:ascii="宋体" w:hAnsi="宋体" w:cs="宋体"/>
                <w:szCs w:val="21"/>
                <w:highlight w:val="none"/>
              </w:rPr>
              <w:t>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highlight w:val="none"/>
                <w:lang w:bidi="ar"/>
              </w:rPr>
            </w:pPr>
            <w:r>
              <w:rPr>
                <w:rFonts w:hint="eastAsia" w:ascii="宋体" w:hAnsi="宋体" w:cs="宋体"/>
                <w:szCs w:val="21"/>
                <w:highlight w:val="none"/>
              </w:rPr>
              <w:t>成品铝合金门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广州市锦湖合盛门业有限公司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广州市国盾门业制造有限公司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广州林安木业有限公司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广州市雅君园防火门有限公司                                                      塞纳春天、康辉木门（KOV）</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金迪木门（Goldea）</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中山万宝龙门木制品有限公司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广州市龙树门业有限公司（Longshu）</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成品铝合金门参考参数：型材为12mm或14mm钛美铝合金，玻璃为钢化玻璃。最终以设计图纸为准。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highlight w:val="none"/>
                <w:lang w:bidi="ar"/>
              </w:rPr>
            </w:pPr>
            <w:r>
              <w:rPr>
                <w:rFonts w:hint="eastAsia" w:ascii="宋体" w:hAnsi="宋体" w:cs="宋体"/>
                <w:szCs w:val="21"/>
                <w:highlight w:val="none"/>
              </w:rPr>
              <w:t>不锈钢防盗门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广州市锦湖合盛门业有限公司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广州市国盾门业制造有限公司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广州林安木业有限公司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广州市雅君园防火门有限公司                                                      塞纳春天、康辉木门（KOV）</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金迪（Goldea）</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广州市锦澜消防设备有限公司（锦澜）</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中山万宝龙门木制品有限公司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广州市龙树门业有限公司（Longshu）</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不锈钢防盗门参考参数：</w:t>
            </w:r>
          </w:p>
          <w:p>
            <w:pPr>
              <w:jc w:val="left"/>
              <w:rPr>
                <w:rFonts w:ascii="宋体" w:hAnsi="宋体" w:cs="宋体"/>
                <w:szCs w:val="21"/>
                <w:highlight w:val="none"/>
              </w:rPr>
            </w:pPr>
            <w:r>
              <w:rPr>
                <w:rFonts w:hint="eastAsia" w:ascii="宋体" w:hAnsi="宋体" w:cs="宋体"/>
                <w:szCs w:val="21"/>
                <w:highlight w:val="none"/>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防火门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佛山市桂安实业有限公司（佛山桂安）</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广东胜捷消防设备有限公司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东莞市永安消防器材厂（东莞永安）              </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 广州市白云南粤防火门有限公司（南粤）            </w:t>
            </w:r>
            <w:r>
              <w:rPr>
                <w:rFonts w:ascii="宋体" w:hAnsi="宋体" w:cs="宋体"/>
                <w:szCs w:val="21"/>
                <w:highlight w:val="none"/>
                <w:lang w:bidi="ar"/>
              </w:rPr>
              <w:t>广州三和门窗有限公司（三和名门）</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广州市锦澜消防设备有限公司（锦澜）</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广东雅君园门业有限公司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江门市汇丰木业</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需满足消防规范要求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highlight w:val="none"/>
              </w:rPr>
            </w:pPr>
          </w:p>
        </w:tc>
      </w:tr>
      <w:tr>
        <w:tblPrEx>
          <w:tblCellMar>
            <w:top w:w="15" w:type="dxa"/>
            <w:left w:w="15" w:type="dxa"/>
            <w:bottom w:w="15" w:type="dxa"/>
            <w:right w:w="15" w:type="dxa"/>
          </w:tblCellMar>
        </w:tblPrEx>
        <w:trPr>
          <w:trHeight w:val="195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装饰装修板（吊顶）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广州康纳天花有限公司（康纳天花）</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广州欧斯宝金属制品有限公司( 欧斯宝)</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广州金霸建材有限公司（金霸） </w:t>
            </w:r>
            <w:r>
              <w:rPr>
                <w:rFonts w:ascii="宋体" w:hAnsi="宋体" w:cs="宋体"/>
                <w:szCs w:val="21"/>
                <w:highlight w:val="none"/>
                <w:lang w:bidi="ar"/>
              </w:rPr>
              <w:t xml:space="preserve">  </w:t>
            </w:r>
            <w:r>
              <w:rPr>
                <w:rFonts w:hint="eastAsia" w:ascii="宋体" w:hAnsi="宋体" w:cs="宋体"/>
                <w:kern w:val="0"/>
                <w:szCs w:val="21"/>
                <w:highlight w:val="none"/>
                <w:lang w:bidi="ar"/>
              </w:rPr>
              <w:t xml:space="preserve">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广州欧斯龙建材科技有限公司（欧斯龙）</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广州普勒思、品格、楚楚、奥华、</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欧佰Oubuy、欧陆OULU</w:t>
            </w:r>
          </w:p>
          <w:p>
            <w:pPr>
              <w:widowControl/>
              <w:jc w:val="center"/>
              <w:textAlignment w:val="center"/>
              <w:rPr>
                <w:rFonts w:ascii="宋体" w:hAnsi="宋体" w:cs="宋体"/>
                <w:szCs w:val="21"/>
                <w:highlight w:val="none"/>
              </w:rPr>
            </w:pPr>
            <w:r>
              <w:rPr>
                <w:rFonts w:hint="eastAsia" w:ascii="宋体" w:hAnsi="宋体" w:cs="宋体"/>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《建筑室内吊顶工程技术规程》CECS255：2009、国家建筑标准设计图集《内装修一室内吊顶》12J502-2，铝扣板厚度≥0.8mm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4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防水卷材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广东科顺化工实业有限公司（科顺）</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深圳市卓宝科技股份有限公司（卓宝）</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北京东方雨虹防水技术股份有限公司（雨虹）</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广州禹神建筑防水材料有限公司（禹能）</w:t>
            </w:r>
          </w:p>
          <w:p>
            <w:pPr>
              <w:widowControl/>
              <w:jc w:val="center"/>
              <w:textAlignment w:val="center"/>
              <w:rPr>
                <w:rFonts w:ascii="宋体" w:hAnsi="宋体" w:cs="宋体"/>
                <w:szCs w:val="21"/>
                <w:highlight w:val="none"/>
              </w:rPr>
            </w:pPr>
            <w:r>
              <w:rPr>
                <w:rFonts w:hint="eastAsia" w:ascii="宋体" w:hAnsi="宋体" w:cs="宋体"/>
                <w:szCs w:val="21"/>
                <w:highlight w:val="none"/>
              </w:rPr>
              <w:t>德高(广州)建材有限公司（德高）</w:t>
            </w:r>
          </w:p>
          <w:p>
            <w:pPr>
              <w:widowControl/>
              <w:jc w:val="center"/>
              <w:textAlignment w:val="center"/>
              <w:rPr>
                <w:rFonts w:ascii="宋体" w:hAnsi="宋体" w:cs="宋体"/>
                <w:szCs w:val="21"/>
                <w:highlight w:val="none"/>
              </w:rPr>
            </w:pPr>
            <w:r>
              <w:rPr>
                <w:rFonts w:hint="eastAsia" w:ascii="宋体" w:hAnsi="宋体" w:cs="宋体"/>
                <w:szCs w:val="21"/>
                <w:highlight w:val="none"/>
              </w:rPr>
              <w:t>盘锦禹王防水建材集团（禹王）</w:t>
            </w:r>
          </w:p>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rPr>
              <w:t>广东大禹防水材料有限公司（大禹）</w:t>
            </w:r>
          </w:p>
          <w:p>
            <w:pPr>
              <w:widowControl/>
              <w:jc w:val="center"/>
              <w:textAlignment w:val="center"/>
              <w:rPr>
                <w:rFonts w:ascii="宋体" w:hAnsi="宋体" w:cs="宋体"/>
                <w:szCs w:val="21"/>
                <w:highlight w:val="none"/>
              </w:rPr>
            </w:pPr>
            <w:r>
              <w:rPr>
                <w:rFonts w:ascii="宋体" w:hAnsi="宋体" w:cs="宋体"/>
                <w:szCs w:val="21"/>
                <w:highlight w:val="none"/>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ascii="宋体" w:hAnsi="宋体" w:cs="宋体"/>
                <w:szCs w:val="21"/>
                <w:highlight w:val="none"/>
              </w:rPr>
              <w:t>GB 18242-2008</w:t>
            </w:r>
            <w:r>
              <w:rPr>
                <w:rFonts w:hint="eastAsia" w:ascii="宋体" w:hAnsi="宋体" w:cs="宋体"/>
                <w:szCs w:val="21"/>
                <w:highlight w:val="none"/>
              </w:rPr>
              <w:t>、</w:t>
            </w:r>
            <w:r>
              <w:rPr>
                <w:rFonts w:ascii="宋体" w:hAnsi="宋体" w:cs="宋体"/>
                <w:szCs w:val="21"/>
                <w:highlight w:val="none"/>
              </w:rPr>
              <w:t>GB 18243-2008</w:t>
            </w:r>
            <w:r>
              <w:rPr>
                <w:rFonts w:hint="eastAsia" w:ascii="宋体" w:hAnsi="宋体" w:cs="宋体"/>
                <w:szCs w:val="21"/>
                <w:highlight w:val="none"/>
              </w:rPr>
              <w:t>、</w:t>
            </w:r>
            <w:r>
              <w:rPr>
                <w:rFonts w:ascii="宋体" w:hAnsi="宋体" w:cs="宋体"/>
                <w:szCs w:val="21"/>
                <w:highlight w:val="none"/>
              </w:rPr>
              <w:t>JC/T1075-2008</w:t>
            </w:r>
            <w:r>
              <w:rPr>
                <w:rFonts w:hint="eastAsia" w:ascii="宋体" w:hAnsi="宋体" w:cs="宋体"/>
                <w:szCs w:val="21"/>
                <w:highlight w:val="none"/>
              </w:rPr>
              <w:t>、</w:t>
            </w:r>
            <w:r>
              <w:rPr>
                <w:rFonts w:ascii="宋体" w:hAnsi="宋体" w:cs="宋体"/>
                <w:szCs w:val="21"/>
                <w:highlight w:val="none"/>
              </w:rPr>
              <w:t>GB/T23457-2009</w:t>
            </w:r>
            <w:r>
              <w:rPr>
                <w:rFonts w:hint="eastAsia" w:ascii="宋体" w:hAnsi="宋体" w:cs="宋体"/>
                <w:szCs w:val="21"/>
                <w:highlight w:val="none"/>
              </w:rPr>
              <w:t>、</w:t>
            </w:r>
            <w:r>
              <w:rPr>
                <w:rFonts w:ascii="宋体" w:hAnsi="宋体" w:cs="宋体"/>
                <w:szCs w:val="21"/>
                <w:highlight w:val="none"/>
              </w:rPr>
              <w:t>GB23441-2009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highlight w:val="none"/>
              </w:rPr>
            </w:pPr>
          </w:p>
        </w:tc>
      </w:tr>
      <w:tr>
        <w:tblPrEx>
          <w:tblCellMar>
            <w:top w:w="15" w:type="dxa"/>
            <w:left w:w="15" w:type="dxa"/>
            <w:bottom w:w="15" w:type="dxa"/>
            <w:right w:w="15" w:type="dxa"/>
          </w:tblCellMar>
        </w:tblPrEx>
        <w:trPr>
          <w:trHeight w:val="22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聚氨酯防水、水泥基防水涂膜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广东科顺化工实业有限公司（科顺）</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深圳市卓宝科技股份有限公司（卓宝）</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北京东方雨虹防水技术股份有限公司（雨虹）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广州大禹建筑防水有限公司（大禹）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德高（广州）建材有限公司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深圳市蓝盾防水工程有限公司（蓝盾）</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广州禹神建筑防水材料有限公司（禹能） </w:t>
            </w:r>
          </w:p>
          <w:p>
            <w:pPr>
              <w:widowControl/>
              <w:jc w:val="center"/>
              <w:textAlignment w:val="center"/>
              <w:rPr>
                <w:rFonts w:ascii="宋体" w:hAnsi="宋体" w:cs="宋体"/>
                <w:szCs w:val="21"/>
                <w:highlight w:val="none"/>
              </w:rPr>
            </w:pPr>
            <w:r>
              <w:rPr>
                <w:rFonts w:ascii="宋体" w:hAnsi="宋体" w:cs="宋体"/>
                <w:szCs w:val="21"/>
                <w:highlight w:val="none"/>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ascii="宋体" w:hAnsi="宋体" w:cs="宋体"/>
                <w:szCs w:val="21"/>
                <w:highlight w:val="none"/>
              </w:rPr>
              <w:t>GB/T 19250-2013</w:t>
            </w:r>
            <w:r>
              <w:rPr>
                <w:rFonts w:hint="eastAsia" w:ascii="宋体" w:hAnsi="宋体" w:cs="宋体"/>
                <w:szCs w:val="21"/>
                <w:highlight w:val="none"/>
              </w:rPr>
              <w:t>、</w:t>
            </w:r>
            <w:r>
              <w:rPr>
                <w:rFonts w:ascii="宋体" w:hAnsi="宋体" w:cs="宋体"/>
                <w:szCs w:val="21"/>
                <w:highlight w:val="none"/>
              </w:rPr>
              <w:t>JC/T984-2011</w:t>
            </w:r>
            <w:r>
              <w:rPr>
                <w:rFonts w:hint="eastAsia" w:ascii="宋体" w:hAnsi="宋体" w:cs="宋体"/>
                <w:szCs w:val="21"/>
                <w:highlight w:val="none"/>
              </w:rPr>
              <w:t>、</w:t>
            </w:r>
            <w:r>
              <w:rPr>
                <w:rFonts w:ascii="宋体" w:hAnsi="宋体" w:cs="宋体"/>
                <w:szCs w:val="21"/>
                <w:highlight w:val="none"/>
              </w:rPr>
              <w:t>GB18445-2012</w:t>
            </w:r>
            <w:r>
              <w:rPr>
                <w:rFonts w:hint="eastAsia" w:ascii="宋体" w:hAnsi="宋体" w:cs="宋体"/>
                <w:szCs w:val="21"/>
                <w:highlight w:val="none"/>
              </w:rPr>
              <w:t>、</w:t>
            </w:r>
            <w:r>
              <w:rPr>
                <w:rFonts w:ascii="宋体" w:hAnsi="宋体" w:cs="宋体"/>
                <w:szCs w:val="21"/>
                <w:highlight w:val="none"/>
              </w:rPr>
              <w:t>GB/T23445-2009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住宅排气道</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广州市成晨建材有限公司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惠州市立信建材有限公司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深圳市万厦居实业发展有限公司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广州市萝岗区金的建材厂</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广州市森平装饰材料有限公司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《住宅厨房、卫生间排气道》JG/T194-2006、《住宅排气道（一）》16J916-1，壁厚≥10mm，耐火极限≥1小时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不锈钢栏杆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佛佛山市南海悦兴五金制品有限公司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广州市俊嘉钢管制造有限公司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佛山市高明源鸿基不锈钢制品有限公司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佛山市南海再辉不锈钢制品有限公司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佛山市南海区源再荣不锈钢有限公司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佛山市三钜邦金属制品有限公司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广州联众不锈钢有限公司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广东恒合信管业科技有限公司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《楼梯 栏杆 栏板（一）》15J403-1</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8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防静电地板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常州帕尔特防静电活动地板有限公司（帕尔特）</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常州网通活动地板有限公司（网通）</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深圳市韦康绿色建材科技有限公司（韦康）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沈阳沈飞民品工业有限公司（沈飞）</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江苏向利防静电装饰材料股份有限公司（向利）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GB50174-2008《电子信息系统机房设计规范》，防静电地板或地面的表面电阻或体积电阻应为2.5×10</w:t>
            </w:r>
            <w:r>
              <w:rPr>
                <w:rFonts w:hint="eastAsia" w:ascii="宋体" w:hAnsi="宋体" w:cs="宋体"/>
                <w:szCs w:val="21"/>
                <w:highlight w:val="none"/>
                <w:vertAlign w:val="superscript"/>
              </w:rPr>
              <w:t>4</w:t>
            </w:r>
            <w:r>
              <w:rPr>
                <w:rFonts w:hint="eastAsia" w:ascii="宋体" w:hAnsi="宋体" w:cs="宋体"/>
                <w:szCs w:val="21"/>
                <w:highlight w:val="none"/>
              </w:rPr>
              <w:t>～1.0×10</w:t>
            </w:r>
            <w:r>
              <w:rPr>
                <w:rFonts w:hint="eastAsia" w:ascii="宋体" w:hAnsi="宋体" w:cs="宋体"/>
                <w:szCs w:val="21"/>
                <w:highlight w:val="none"/>
                <w:vertAlign w:val="superscript"/>
              </w:rPr>
              <w:t>9</w:t>
            </w:r>
            <w:r>
              <w:rPr>
                <w:rFonts w:hint="eastAsia" w:ascii="宋体" w:hAnsi="宋体" w:cs="宋体"/>
                <w:szCs w:val="21"/>
                <w:highlight w:val="none"/>
              </w:rPr>
              <w:t>Ω，耐烟火性能：不小于1600 ℃</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硅酸钙板或水泥纤维板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广东松本绿色板业股份有限公司（松本）</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广州埃特尼特建筑系统有限公司（埃特尼特）</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广东新元素板业有限公司（新元素）</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广东雄塑环保板业有限公司（雄塑）</w:t>
            </w:r>
          </w:p>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highlight w:val="none"/>
              </w:rPr>
            </w:pPr>
            <w:r>
              <w:rPr>
                <w:rFonts w:hint="eastAsia" w:ascii="宋体" w:hAnsi="宋体" w:cs="宋体"/>
                <w:sz w:val="18"/>
                <w:szCs w:val="18"/>
                <w:highlight w:val="none"/>
              </w:rPr>
              <w:t>JC/564.1-2008 《无石棉纤维增强硅酸钙板》、JC/564.2-2008 《温石棉纤维增强硅酸钙板》、《纤维增强硅酸钙板工厂设计规范》</w:t>
            </w:r>
            <w:r>
              <w:rPr>
                <w:rFonts w:ascii="宋体" w:hAnsi="宋体" w:cs="宋体"/>
                <w:sz w:val="18"/>
                <w:szCs w:val="18"/>
                <w:highlight w:val="none"/>
              </w:rPr>
              <w:t>GB51107-2015</w:t>
            </w:r>
            <w:r>
              <w:rPr>
                <w:rFonts w:hint="eastAsia" w:ascii="宋体" w:hAnsi="宋体" w:cs="宋体"/>
                <w:sz w:val="18"/>
                <w:szCs w:val="18"/>
                <w:highlight w:val="none"/>
              </w:rPr>
              <w:t>、JC/T412.1-2006 《无石棉纤维水泥平板》、JC/T412.2-2006《 温石棉纤维水泥平板》</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石膏板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广州新途建筑材料有限公司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广州市欧顶装饰材料有限公司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广州振旺建筑材料有限公司</w:t>
            </w:r>
          </w:p>
          <w:p>
            <w:pPr>
              <w:widowControl/>
              <w:jc w:val="center"/>
              <w:textAlignment w:val="center"/>
              <w:rPr>
                <w:rFonts w:ascii="宋体" w:hAnsi="宋体" w:cs="宋体"/>
                <w:kern w:val="0"/>
                <w:szCs w:val="21"/>
                <w:highlight w:val="none"/>
                <w:lang w:bidi="ar"/>
              </w:rPr>
            </w:pPr>
            <w:r>
              <w:rPr>
                <w:rFonts w:ascii="宋体" w:hAnsi="宋体" w:cs="宋体"/>
                <w:kern w:val="0"/>
                <w:szCs w:val="21"/>
                <w:highlight w:val="none"/>
                <w:lang w:bidi="ar"/>
              </w:rPr>
              <w:t>北新集团建材股份有限公司（龙牌）</w:t>
            </w:r>
          </w:p>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建筑保温隔热材料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广州孚达保温隔热材料有限公司（FD）</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阿乐斯绝热材料（广州）有限公司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洛克威防火保温材料（广州）有限公司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上海华峰普恩聚氨酯有限公司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门窗配件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东莞市坚朗五金制品有限公司（坚朗）</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霍顿科技（亚太）有限公司（霍顿）</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中山高利股份有限公司（高利）</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海南圣鼎康建材设备有限公司（圣鼎康）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广东顶固集创家居有限公司（顶固）</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佛山市南海固信铝门窗配件有限公司（永信）</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高要市田边铝门窗配件制造有限公司（田边）</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广东合和建筑五金制品有限公司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国强五金集团有限公司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405"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（三）消防系统（水）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水流指示器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天广消防股份有限公司（天广）</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广东胜捷消防设备有限公司（胜捷）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广州市消防器材厂有限公司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广东平安消防实业有限公司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广州市番禺振兴消防设备有限公司</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广州市泰昌实业有限公司                             </w:t>
            </w:r>
            <w:r>
              <w:rPr>
                <w:rFonts w:ascii="宋体" w:hAnsi="宋体" w:cs="宋体"/>
                <w:szCs w:val="21"/>
                <w:highlight w:val="none"/>
                <w:lang w:bidi="ar"/>
              </w:rPr>
              <w:t>广州耀安消防设备有限公司</w:t>
            </w:r>
          </w:p>
          <w:p>
            <w:pPr>
              <w:widowControl/>
              <w:jc w:val="center"/>
              <w:textAlignment w:val="center"/>
              <w:rPr>
                <w:rFonts w:ascii="宋体" w:hAnsi="宋体" w:cs="宋体"/>
                <w:szCs w:val="21"/>
                <w:highlight w:val="none"/>
              </w:rPr>
            </w:pPr>
            <w:r>
              <w:rPr>
                <w:rFonts w:hint="eastAsia" w:ascii="宋体" w:hAnsi="宋体" w:cs="宋体"/>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GA32-92《自动喷水灭火系统水流指示器的性能要求和试验方法》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湿式报警装置</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天广消防股份有限公司（天广）</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广东胜捷消防设备有限公司（胜捷）</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广州市消防器材厂有限公司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广州市番禺振兴消防设备有限公司</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广州市泰昌实业有限公司                                </w:t>
            </w:r>
            <w:r>
              <w:rPr>
                <w:rFonts w:ascii="宋体" w:hAnsi="宋体" w:cs="宋体"/>
                <w:szCs w:val="21"/>
                <w:highlight w:val="none"/>
                <w:lang w:bidi="ar"/>
              </w:rPr>
              <w:t>广州耀安消防设备有限公司</w:t>
            </w:r>
          </w:p>
          <w:p>
            <w:pPr>
              <w:widowControl/>
              <w:jc w:val="center"/>
              <w:textAlignment w:val="center"/>
              <w:rPr>
                <w:rFonts w:ascii="宋体" w:hAnsi="宋体" w:cs="宋体"/>
                <w:szCs w:val="21"/>
                <w:highlight w:val="none"/>
              </w:rPr>
            </w:pPr>
            <w:r>
              <w:rPr>
                <w:rFonts w:hint="eastAsia" w:ascii="宋体" w:hAnsi="宋体" w:cs="宋体"/>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《自动喷水灭火系统湿式报警阀的性能要求和试验方法》GB 5135.2-2003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40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4"/>
                <w:highlight w:val="none"/>
                <w:lang w:eastAsia="zh-CN" w:bidi="ar"/>
              </w:rPr>
            </w:pPr>
            <w:r>
              <w:rPr>
                <w:rFonts w:hint="eastAsia" w:ascii="宋体" w:hAnsi="宋体" w:cs="宋体"/>
                <w:kern w:val="0"/>
                <w:sz w:val="24"/>
                <w:highlight w:val="none"/>
                <w:lang w:bidi="ar"/>
              </w:rPr>
              <w:t>室内消火栓、</w:t>
            </w:r>
          </w:p>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消火栓箱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天广消防股份有限公司（天广）</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广东胜捷消防设备有限公司（胜捷）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广州市消防器材厂有限公司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广州市俊安消防设备技术有限公司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广州市番禺振兴消防设备有限公司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广州市泰昌实业有限公司                            </w:t>
            </w:r>
            <w:r>
              <w:rPr>
                <w:rFonts w:ascii="宋体" w:hAnsi="宋体" w:cs="宋体"/>
                <w:szCs w:val="21"/>
                <w:highlight w:val="none"/>
                <w:lang w:bidi="ar"/>
              </w:rPr>
              <w:t>广州启胜消防器材有限公司                              广州策安消防设备有限公司                                广州正消消防器材有限公司                                 广州耀安消防设备有限公司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2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喷淋头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天广消防股份有限公司（天广）</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广东胜捷消防设备有限公司（胜捷）</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广州市消防器材厂有限公司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广州市番禺振兴消防设备有限公司</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广州市泰昌实业有限公司                                </w:t>
            </w:r>
            <w:r>
              <w:rPr>
                <w:rFonts w:ascii="宋体" w:hAnsi="宋体" w:cs="宋体"/>
                <w:szCs w:val="21"/>
                <w:highlight w:val="none"/>
                <w:lang w:bidi="ar"/>
              </w:rPr>
              <w:t>福建省南安市广威消防器材有限公司                           杭州萧山双鲸消防机械有限公司</w:t>
            </w:r>
          </w:p>
          <w:p>
            <w:pPr>
              <w:widowControl/>
              <w:jc w:val="center"/>
              <w:textAlignment w:val="center"/>
              <w:rPr>
                <w:rFonts w:ascii="宋体" w:hAnsi="宋体" w:cs="宋体"/>
                <w:szCs w:val="21"/>
                <w:highlight w:val="none"/>
              </w:rPr>
            </w:pPr>
            <w:r>
              <w:rPr>
                <w:rFonts w:hint="eastAsia" w:ascii="宋体" w:hAnsi="宋体" w:cs="宋体"/>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GB5135-93《自动喷水灭火系统洒水喷头的技术要求和试验方法》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16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灭火器材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天广消防股份有限公司（天广）</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广东胜捷消防设备有限公司（胜捷）</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广州市消防器材厂有限公司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广州市芳村恒安消防器材厂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广州胜安消防设备有限公司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广州市泰昌实业有限公司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15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消防水泵接合器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天广消防股份有限公司（天广）</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广东胜捷消防设备有限公司（胜捷）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广州市消防器材厂有限公司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福建闽山消防有限公司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广州市番禺振兴消防设备有限公司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广州市泰昌实业有限公司</w:t>
            </w:r>
          </w:p>
          <w:p>
            <w:pPr>
              <w:widowControl/>
              <w:jc w:val="center"/>
              <w:textAlignment w:val="center"/>
              <w:rPr>
                <w:rFonts w:ascii="宋体" w:hAnsi="宋体" w:cs="宋体"/>
                <w:szCs w:val="21"/>
                <w:highlight w:val="none"/>
              </w:rPr>
            </w:pPr>
            <w:r>
              <w:rPr>
                <w:rFonts w:hint="eastAsia" w:ascii="宋体" w:hAnsi="宋体" w:cs="宋体"/>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消防水泵及控制柜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广州昌宁机电设备有限公司（昌宁）</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山东双轮集团股份有限公司（双轮）</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广州水泵厂有限公司（长江）</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广东佛山水泵厂有限公司（肯富来）</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广一集团广州市第一水泵厂（广一）</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江西新瑞洪泵业有限公司（瑞洪）</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广州市白云泵业集团有限公司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上海申宝泵业有限公司（上海申宝）                          上海凯泉泵业（集团）有限公司（上海凯泉）</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13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七氟丙烷自动灭火系统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广州市番禺振兴消防设备有限公司（振兴）</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四川威特龙消防设备有限公司（威特龙）</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天广消防股份有限公司（天广）</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广东胜捷消防设备有限公司（胜捷）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广州高旺消防设备有限公司（高旺）</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上海金盾消防安全设备有限公司（金盾）</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南京消防器材股份有限公司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陕西坚瑞消防股份有限公司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highlight w:val="none"/>
              </w:rPr>
            </w:pPr>
            <w:r>
              <w:rPr>
                <w:rFonts w:hint="eastAsia" w:ascii="宋体" w:hAnsi="宋体" w:cs="宋体"/>
                <w:szCs w:val="21"/>
                <w:highlight w:val="none"/>
              </w:rPr>
              <w:t>GB50370-2005《气体灭火系统设计规范》、GB50263-2007《气体灭火系统施工及验收规范》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消防管道（镀锌钢管）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广州钢管厂有限公司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广州珠江管业科技有限公司（珠江）</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广东华捷钢管实业有限公司（华捷）</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广州市华粤管业有限公司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广州市南粤钢管有限公司 </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 广东一通科技股份有限公司                          </w:t>
            </w:r>
            <w:r>
              <w:rPr>
                <w:rFonts w:ascii="宋体" w:hAnsi="宋体" w:cs="宋体"/>
                <w:szCs w:val="21"/>
                <w:highlight w:val="none"/>
                <w:lang w:bidi="ar"/>
              </w:rPr>
              <w:t>广</w:t>
            </w:r>
            <w:r>
              <w:rPr>
                <w:rFonts w:hint="eastAsia" w:ascii="宋体" w:hAnsi="宋体" w:cs="宋体"/>
                <w:szCs w:val="21"/>
                <w:highlight w:val="none"/>
                <w:lang w:bidi="ar"/>
              </w:rPr>
              <w:t>东</w:t>
            </w:r>
            <w:r>
              <w:rPr>
                <w:rFonts w:ascii="宋体" w:hAnsi="宋体" w:cs="宋体"/>
                <w:szCs w:val="21"/>
                <w:highlight w:val="none"/>
                <w:lang w:bidi="ar"/>
              </w:rPr>
              <w:t>荣钢</w:t>
            </w:r>
            <w:r>
              <w:rPr>
                <w:rFonts w:hint="eastAsia" w:ascii="宋体" w:hAnsi="宋体" w:cs="宋体"/>
                <w:szCs w:val="21"/>
                <w:highlight w:val="none"/>
                <w:lang w:bidi="ar"/>
              </w:rPr>
              <w:t>管道科技</w:t>
            </w:r>
            <w:r>
              <w:rPr>
                <w:rFonts w:ascii="宋体" w:hAnsi="宋体" w:cs="宋体"/>
                <w:szCs w:val="21"/>
                <w:highlight w:val="none"/>
                <w:lang w:bidi="ar"/>
              </w:rPr>
              <w:t xml:space="preserve">有限公司   </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广州祥基复合钢管有限公司</w:t>
            </w:r>
          </w:p>
          <w:p>
            <w:pPr>
              <w:widowControl/>
              <w:jc w:val="center"/>
              <w:textAlignment w:val="center"/>
              <w:rPr>
                <w:rFonts w:ascii="宋体" w:hAnsi="宋体" w:cs="宋体"/>
                <w:szCs w:val="21"/>
                <w:highlight w:val="none"/>
              </w:rPr>
            </w:pPr>
            <w:r>
              <w:rPr>
                <w:rFonts w:ascii="宋体" w:hAnsi="宋体" w:cs="宋体"/>
                <w:szCs w:val="21"/>
                <w:highlight w:val="none"/>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GB/T3091-2008《低压流体输送焊接钢管》、</w:t>
            </w:r>
          </w:p>
          <w:p>
            <w:pPr>
              <w:jc w:val="center"/>
              <w:rPr>
                <w:rFonts w:ascii="宋体" w:hAnsi="宋体" w:cs="宋体"/>
                <w:szCs w:val="21"/>
                <w:highlight w:val="none"/>
              </w:rPr>
            </w:pPr>
            <w:r>
              <w:rPr>
                <w:rFonts w:hint="eastAsia" w:ascii="宋体" w:hAnsi="宋体" w:cs="宋体"/>
                <w:szCs w:val="21"/>
                <w:highlight w:val="none"/>
              </w:rPr>
              <w:t>GB/T13793-2008 《直缝电焊钢管》、</w:t>
            </w:r>
          </w:p>
          <w:p>
            <w:pPr>
              <w:jc w:val="center"/>
              <w:rPr>
                <w:rFonts w:ascii="宋体" w:hAnsi="宋体" w:cs="宋体"/>
                <w:szCs w:val="21"/>
                <w:highlight w:val="none"/>
              </w:rPr>
            </w:pPr>
            <w:r>
              <w:rPr>
                <w:rFonts w:hint="eastAsia" w:ascii="宋体" w:hAnsi="宋体" w:cs="宋体"/>
                <w:szCs w:val="21"/>
                <w:highlight w:val="none"/>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5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顾地科技股份有限公司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浙江伟星新型建材股份有限公司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深圳市深南风建材有限公司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东莞市塑达管道工程有限公司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广东东方管业有限公司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广东联塑科技实业有限公司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煌盛管件股份有限公司（煌盛）</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东泰新材料科技有限公司（东泰）</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江苏久源管业有限公司（久源）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江苏清通管业有限公司（清通牌）</w:t>
            </w:r>
          </w:p>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CJ／T123—2016《给水用钢骨架聚乙烯塑料复合管》、CJ/T 124-2016《给水用钢骨架聚乙烯塑料复合管件》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良精集团有限公司（良精集团）                                                 上海正丰阀门制造有限公司（正丰）                                               上海冠龙阀门设备有限公司（冠龙）</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上海桂工阀门制造有限公司（桂工）</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昭和阀门（上海）有限公司（昭和）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泰科阀门（北京）有限公司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上海曼森阀门制造有限公司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南海市九江永兴阀门制造有限公司（永泉）</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广州佳福斯阀门有限公司（佳福斯）                     广东明珠集团股份有限公司                                                  </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上海高特集团有限公司（高特）</w:t>
            </w:r>
            <w:r>
              <w:rPr>
                <w:rFonts w:ascii="宋体" w:hAnsi="宋体" w:cs="宋体"/>
                <w:szCs w:val="21"/>
                <w:highlight w:val="none"/>
                <w:lang w:bidi="ar"/>
              </w:rPr>
              <w:t xml:space="preserve">  </w:t>
            </w:r>
            <w:r>
              <w:rPr>
                <w:rFonts w:hint="eastAsia" w:ascii="宋体" w:hAnsi="宋体" w:cs="宋体"/>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《消防给水及消火栓系统技术规范》（GB50974-2014）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highlight w:val="none"/>
              </w:rPr>
            </w:pPr>
          </w:p>
        </w:tc>
      </w:tr>
      <w:tr>
        <w:tblPrEx>
          <w:tblCellMar>
            <w:top w:w="15" w:type="dxa"/>
            <w:left w:w="15" w:type="dxa"/>
            <w:bottom w:w="15" w:type="dxa"/>
            <w:right w:w="15" w:type="dxa"/>
          </w:tblCellMar>
        </w:tblPrEx>
        <w:trPr>
          <w:trHeight w:val="41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（四）消防系统（通风）</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37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排风机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东莞市飞达机电配套设备制造有限公司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广东正野电器有限公司（正野）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南方风机股份有限公司（佛山公司）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中山盈莱通风科技有限公司（盈莱）</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云浮市云丰环保设备有限公司（云丰）</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广州市泰昌实业有限公司（泰昌）                         </w:t>
            </w:r>
            <w:r>
              <w:rPr>
                <w:rFonts w:ascii="宋体" w:hAnsi="宋体" w:cs="宋体"/>
                <w:szCs w:val="21"/>
                <w:highlight w:val="none"/>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佛山市源绿品通风设备股份有限公司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浙江上虞广通风机有限公司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 xml:space="preserve">深圳市辰康达通风配件有限公司 </w:t>
            </w:r>
          </w:p>
          <w:p>
            <w:pPr>
              <w:widowControl/>
              <w:jc w:val="center"/>
              <w:textAlignment w:val="center"/>
              <w:rPr>
                <w:rFonts w:ascii="宋体" w:hAnsi="宋体" w:cs="宋体"/>
                <w:szCs w:val="21"/>
                <w:highlight w:val="none"/>
              </w:rPr>
            </w:pPr>
            <w:r>
              <w:rPr>
                <w:rFonts w:hint="eastAsia" w:ascii="宋体" w:hAnsi="宋体" w:cs="宋体"/>
                <w:szCs w:val="21"/>
                <w:highlight w:val="none"/>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96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正压送风机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东莞市飞达机电配套设备制造有限公司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广东正野电器有限公司（正野）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南方风机股份有限公司（佛山公司）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中山盈莱通风科技有限公司（盈莱）</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云浮市云丰环保设备有限公司（云丰）</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广州市泰昌实业有限公司（泰昌）                         </w:t>
            </w:r>
            <w:r>
              <w:rPr>
                <w:rFonts w:ascii="宋体" w:hAnsi="宋体" w:cs="宋体"/>
                <w:szCs w:val="21"/>
                <w:highlight w:val="none"/>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佛山市源绿品通风设备股份有限公司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浙江上虞广通风机有限公司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 xml:space="preserve">深圳市辰康达通风配件有限公司 </w:t>
            </w:r>
          </w:p>
          <w:p>
            <w:pPr>
              <w:widowControl/>
              <w:jc w:val="center"/>
              <w:textAlignment w:val="center"/>
              <w:rPr>
                <w:rFonts w:ascii="宋体" w:hAnsi="宋体" w:cs="宋体"/>
                <w:szCs w:val="21"/>
                <w:highlight w:val="none"/>
              </w:rPr>
            </w:pPr>
            <w:r>
              <w:rPr>
                <w:rFonts w:hint="eastAsia" w:ascii="宋体" w:hAnsi="宋体" w:cs="宋体"/>
                <w:szCs w:val="21"/>
                <w:highlight w:val="none"/>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排烟防火阀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广州市泰昌实业有限公司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广州市耀安实业发展有限公司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东莞市飞达机电配套设备制造有限公司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云浮市云丰环保设备有限公司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广东正野电器有限公司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南方风机股份有限公司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中山盈莱通风科技有限公司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广东肇庆德通有限公司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广州市鑫风风机有限公司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浙江浙风科技有限公司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广东顺德正科电器实业有限公司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佛山市广品通风设备有限公司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佛山市源绿品通风设备股份有限公司</w:t>
            </w:r>
          </w:p>
          <w:p>
            <w:pPr>
              <w:widowControl/>
              <w:jc w:val="center"/>
              <w:textAlignment w:val="center"/>
              <w:rPr>
                <w:rFonts w:ascii="宋体" w:hAnsi="宋体" w:cs="宋体"/>
                <w:szCs w:val="21"/>
                <w:highlight w:val="none"/>
              </w:rPr>
            </w:pPr>
            <w:r>
              <w:rPr>
                <w:rFonts w:ascii="宋体" w:hAnsi="宋体" w:cs="宋体"/>
                <w:szCs w:val="21"/>
                <w:highlight w:val="none"/>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39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（五）室内给水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阀门（闸阀、止回阀、减压阀、泄压阀、感应冲洗阀）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highlight w:val="none"/>
                <w:lang w:eastAsia="zh-CN" w:bidi="ar"/>
              </w:rPr>
            </w:pPr>
            <w:r>
              <w:rPr>
                <w:rFonts w:hint="eastAsia" w:ascii="宋体" w:hAnsi="宋体" w:cs="宋体"/>
                <w:kern w:val="0"/>
                <w:szCs w:val="21"/>
                <w:highlight w:val="none"/>
                <w:lang w:bidi="ar"/>
              </w:rPr>
              <w:t>良精集团有限公司（良精集团）                                                 上海正丰阀门制造有限公司（正丰）                                               上海</w:t>
            </w:r>
            <w:r>
              <w:rPr>
                <w:rFonts w:ascii="宋体" w:hAnsi="宋体" w:cs="宋体"/>
                <w:szCs w:val="21"/>
                <w:highlight w:val="none"/>
                <w:lang w:bidi="ar"/>
              </w:rPr>
              <w:t>冠龙阀门设备有限公司（冠龙）</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南海市九江永兴阀门制造有限公司（永泉）</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广州佳福斯阀门有限公司（佳福斯）                          </w:t>
            </w:r>
            <w:r>
              <w:rPr>
                <w:rFonts w:ascii="宋体" w:hAnsi="宋体" w:cs="宋体"/>
                <w:szCs w:val="21"/>
                <w:highlight w:val="none"/>
                <w:lang w:bidi="ar"/>
              </w:rPr>
              <w:t>广东明珠集团股份有限公司                                广州正安阀门有限公司                              东莞市合成阀门有限公司（合成）</w:t>
            </w:r>
          </w:p>
          <w:p>
            <w:pPr>
              <w:widowControl/>
              <w:jc w:val="center"/>
              <w:textAlignment w:val="center"/>
              <w:rPr>
                <w:rFonts w:ascii="宋体" w:hAnsi="宋体" w:cs="宋体"/>
                <w:szCs w:val="21"/>
                <w:highlight w:val="none"/>
              </w:rPr>
            </w:pPr>
            <w:r>
              <w:rPr>
                <w:rFonts w:hint="eastAsia" w:ascii="宋体" w:hAnsi="宋体" w:cs="宋体"/>
                <w:szCs w:val="21"/>
                <w:highlight w:val="none"/>
                <w:lang w:bidi="ar"/>
              </w:rPr>
              <w:t>上海高特集团有限公司（高特）</w:t>
            </w:r>
            <w:r>
              <w:rPr>
                <w:rFonts w:ascii="宋体" w:hAnsi="宋体" w:cs="宋体"/>
                <w:szCs w:val="21"/>
                <w:highlight w:val="none"/>
                <w:lang w:bidi="ar"/>
              </w:rPr>
              <w:t xml:space="preserve">   </w:t>
            </w:r>
            <w:r>
              <w:rPr>
                <w:rFonts w:hint="eastAsia" w:ascii="宋体" w:hAnsi="宋体" w:cs="宋体"/>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变频调速供水设备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广州昌宁机电设备有限公司（昌宁）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青岛三利中德美水设备有限公司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广州水泵厂有限公司（长江）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广东佛山水泵厂有限公司（肯富来）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上海凯泉泵业集团有限公司（上海凯泉）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广一集团广州市第一水泵厂（广一）                             上海申宝泵业有限公司（上海申宝）</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PP-R冷水管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广州广化塑料管道有限公司（锋牌）</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广东联塑科技实业有限公司（联塑）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广东顾地塑胶股份有限公司（顾地）</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深圳永高塑业发展有限公司（永高）              </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浙江伟星新型建材股份有限公司（伟星）</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GB/T18742-2017《冷热水用塑料管道系统--PP第二部分管材》、 GB/T18742-2002《冷热水用塑料管道系统--PP第三部分管件》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CPVC热水管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浙江佑利控股集团有限公司（佑利）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上海佑利积水管业有限公司（雁荡）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环琪（太仓）塑胶工业有限公司（环琪）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中山环宇实业有限公司（锚牌）</w:t>
            </w:r>
          </w:p>
          <w:p>
            <w:pPr>
              <w:widowControl/>
              <w:jc w:val="center"/>
              <w:textAlignment w:val="center"/>
              <w:rPr>
                <w:rFonts w:ascii="宋体" w:hAnsi="宋体" w:cs="宋体"/>
                <w:szCs w:val="21"/>
                <w:highlight w:val="none"/>
              </w:rPr>
            </w:pPr>
            <w:r>
              <w:rPr>
                <w:rFonts w:hint="eastAsia" w:ascii="宋体" w:hAnsi="宋体" w:cs="宋体"/>
                <w:szCs w:val="21"/>
                <w:highlight w:val="none"/>
              </w:rPr>
              <w:t>天津鸿泰管业有限公司（津达）</w:t>
            </w:r>
          </w:p>
          <w:p>
            <w:pPr>
              <w:widowControl/>
              <w:jc w:val="center"/>
              <w:textAlignment w:val="center"/>
              <w:rPr>
                <w:rFonts w:ascii="宋体" w:hAnsi="宋体" w:cs="宋体"/>
                <w:szCs w:val="21"/>
                <w:highlight w:val="none"/>
              </w:rPr>
            </w:pPr>
            <w:r>
              <w:rPr>
                <w:rFonts w:hint="eastAsia" w:ascii="宋体" w:hAnsi="宋体" w:cs="宋体"/>
                <w:szCs w:val="21"/>
                <w:highlight w:val="none"/>
              </w:rPr>
              <w:t>华亚工业塑胶（太仓）有限公司（华亚）</w:t>
            </w:r>
          </w:p>
          <w:p>
            <w:pPr>
              <w:widowControl/>
              <w:jc w:val="center"/>
              <w:textAlignment w:val="center"/>
              <w:rPr>
                <w:rFonts w:ascii="宋体" w:hAnsi="宋体" w:cs="宋体"/>
                <w:szCs w:val="21"/>
                <w:highlight w:val="none"/>
              </w:rPr>
            </w:pPr>
            <w:r>
              <w:rPr>
                <w:rFonts w:hint="eastAsia" w:ascii="宋体" w:hAnsi="宋体" w:cs="宋体"/>
                <w:szCs w:val="21"/>
                <w:highlight w:val="none"/>
              </w:rPr>
              <w:t>温州浮士达佑利流体控制有限公司</w:t>
            </w:r>
          </w:p>
          <w:p>
            <w:pPr>
              <w:widowControl/>
              <w:jc w:val="center"/>
              <w:textAlignment w:val="center"/>
              <w:rPr>
                <w:rFonts w:ascii="宋体" w:hAnsi="宋体" w:cs="宋体"/>
                <w:szCs w:val="21"/>
                <w:highlight w:val="none"/>
              </w:rPr>
            </w:pPr>
            <w:r>
              <w:rPr>
                <w:rFonts w:hint="eastAsia" w:ascii="宋体" w:hAnsi="宋体" w:cs="宋体"/>
                <w:szCs w:val="21"/>
                <w:highlight w:val="none"/>
              </w:rPr>
              <w:t>上海氯威塑料有限公司</w:t>
            </w:r>
          </w:p>
          <w:p>
            <w:pPr>
              <w:widowControl/>
              <w:jc w:val="center"/>
              <w:textAlignment w:val="center"/>
              <w:rPr>
                <w:rFonts w:ascii="宋体" w:hAnsi="宋体" w:cs="宋体"/>
                <w:szCs w:val="21"/>
                <w:highlight w:val="none"/>
              </w:rPr>
            </w:pPr>
            <w:r>
              <w:rPr>
                <w:rFonts w:hint="eastAsia" w:ascii="宋体" w:hAnsi="宋体" w:cs="宋体"/>
                <w:szCs w:val="21"/>
                <w:highlight w:val="none"/>
              </w:rPr>
              <w:t>上海远洲管业科技股份有限公司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GB/T18993-2003《冷热水用氯化聚氯乙烯管道系统》</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广州市钢管厂有限公司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广州珠江管业科技有限公司（珠江）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广东华捷钢管实业有限公司（华捷）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广州市华粤管业有限公司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广州市南粤钢管有限公司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广州祥基复合钢管有限公司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广东一通科技股份有限公司</w:t>
            </w:r>
          </w:p>
          <w:p>
            <w:pPr>
              <w:widowControl/>
              <w:jc w:val="center"/>
              <w:textAlignment w:val="center"/>
              <w:rPr>
                <w:rFonts w:ascii="宋体" w:hAnsi="宋体" w:cs="宋体"/>
                <w:szCs w:val="21"/>
                <w:highlight w:val="none"/>
              </w:rPr>
            </w:pPr>
            <w:r>
              <w:rPr>
                <w:rFonts w:ascii="宋体" w:hAnsi="宋体" w:cs="宋体"/>
                <w:szCs w:val="21"/>
                <w:highlight w:val="none"/>
                <w:lang w:bidi="ar"/>
              </w:rPr>
              <w:t>广</w:t>
            </w:r>
            <w:r>
              <w:rPr>
                <w:rFonts w:hint="eastAsia" w:ascii="宋体" w:hAnsi="宋体" w:cs="宋体"/>
                <w:szCs w:val="21"/>
                <w:highlight w:val="none"/>
                <w:lang w:bidi="ar"/>
              </w:rPr>
              <w:t>东</w:t>
            </w:r>
            <w:r>
              <w:rPr>
                <w:rFonts w:ascii="宋体" w:hAnsi="宋体" w:cs="宋体"/>
                <w:szCs w:val="21"/>
                <w:highlight w:val="none"/>
                <w:lang w:bidi="ar"/>
              </w:rPr>
              <w:t>荣钢</w:t>
            </w:r>
            <w:r>
              <w:rPr>
                <w:rFonts w:hint="eastAsia" w:ascii="宋体" w:hAnsi="宋体" w:cs="宋体"/>
                <w:szCs w:val="21"/>
                <w:highlight w:val="none"/>
                <w:lang w:bidi="ar"/>
              </w:rPr>
              <w:t>管道科技</w:t>
            </w:r>
            <w:r>
              <w:rPr>
                <w:rFonts w:ascii="宋体" w:hAnsi="宋体" w:cs="宋体"/>
                <w:szCs w:val="21"/>
                <w:highlight w:val="none"/>
                <w:lang w:bidi="ar"/>
              </w:rPr>
              <w:t>有限公司                               深圳市筑华管业有限公司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8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卡箍（含螺栓 密封胶圈）</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上海威逊机械连接件有限公司（上海威逊）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常州市维多利环保设备配件有限公司（维特利） 广东永泉阀门科技有限公司（永泉）</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潍坊市长胜管业有限公司（WPT）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青岛威龙卡特管道系统有限公司（威龙卡特）上海瑞俘管路系统有限公司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淮坊大海铸业发展有限公司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潍坊大海绿兵船机械集团有限公司（绿兵船）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水龙头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友莱（YOROOW）、泉州市左瓷卫浴有限公司、超宏洁具、奢丹（SAYDNN）、埃美柯、金永享、卡尔斯</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GB18145-2014《陶瓷密封片水嘴》、QB1334-2004《水嘴通用技术条件》、GB25501-2010 《水嘴用水效率限定值及用水效率等级》</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33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卫生洁具及水暖配件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广东新明珠陶瓷集团（冠珠）</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广东恒洁卫浴有限公司（恒洁）</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佛山市高明安华陶瓷洁具有限公司（安华）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广东新中源陶瓷有限公司（新中源）</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佛山东鹏洁具股份有限公司（东鹏）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新乐卫浴（佛山）有限公司（鹰卫浴）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佛山丹拿卫浴有限公司（丹拿）</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佛山安妮斯卫浴有限公司（安妮斯）</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佛山钻石洁具陶瓷有限公司（钻石）</w:t>
            </w:r>
          </w:p>
          <w:p>
            <w:pPr>
              <w:widowControl/>
              <w:jc w:val="center"/>
              <w:textAlignment w:val="center"/>
              <w:rPr>
                <w:rFonts w:ascii="宋体" w:hAnsi="宋体" w:cs="宋体"/>
                <w:szCs w:val="21"/>
                <w:highlight w:val="none"/>
              </w:rPr>
            </w:pPr>
            <w:r>
              <w:rPr>
                <w:rFonts w:hint="eastAsia" w:ascii="宋体" w:hAnsi="宋体" w:cs="宋体"/>
                <w:szCs w:val="21"/>
                <w:highlight w:val="none"/>
              </w:rPr>
              <w:t>佛山市美加华陶瓷有限公司（美加华）</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高温瓷质, 自洁釉面；冲洗阀为纯铜材质，铜质阀芯，表面深层电镀</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35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不锈钢水箱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广州市捷淼环保设备有限公司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广州市昌宁机电设备有限公司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广州白云泵业集团有限公司                                       黄埔供水设备厂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广州恒德环保科技有限公司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广州聚源环保有限公司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广州市思泊隆供水设备有限公司（思泊隆）</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广州灏源环保科技发展有限公司（灏源）</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广州肯林沃环保科技有限公司（肯林沃）</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广州市双新环保设备有限公司（双新）</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广州火田环保设备工程有限公司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407"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（六）室内排水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221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广州市钢管厂有限公司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广州珠江管业科技有限公司（珠江）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广东华捷钢管实业有限公司（华捷）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广州市华粤管业有限公司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广州市南粤钢管有限公司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广州祥基复合钢管有限公司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广东一通科技股份有限公司</w:t>
            </w:r>
          </w:p>
          <w:p>
            <w:pPr>
              <w:widowControl/>
              <w:jc w:val="center"/>
              <w:textAlignment w:val="center"/>
              <w:rPr>
                <w:rFonts w:ascii="宋体" w:hAnsi="宋体" w:cs="宋体"/>
                <w:szCs w:val="21"/>
                <w:highlight w:val="none"/>
              </w:rPr>
            </w:pPr>
            <w:r>
              <w:rPr>
                <w:rFonts w:ascii="宋体" w:hAnsi="宋体" w:cs="宋体"/>
                <w:szCs w:val="21"/>
                <w:highlight w:val="none"/>
                <w:lang w:bidi="ar"/>
              </w:rPr>
              <w:t>广</w:t>
            </w:r>
            <w:r>
              <w:rPr>
                <w:rFonts w:hint="eastAsia" w:ascii="宋体" w:hAnsi="宋体" w:cs="宋体"/>
                <w:szCs w:val="21"/>
                <w:highlight w:val="none"/>
                <w:lang w:bidi="ar"/>
              </w:rPr>
              <w:t>东</w:t>
            </w:r>
            <w:r>
              <w:rPr>
                <w:rFonts w:ascii="宋体" w:hAnsi="宋体" w:cs="宋体"/>
                <w:szCs w:val="21"/>
                <w:highlight w:val="none"/>
                <w:lang w:bidi="ar"/>
              </w:rPr>
              <w:t>荣钢</w:t>
            </w:r>
            <w:r>
              <w:rPr>
                <w:rFonts w:hint="eastAsia" w:ascii="宋体" w:hAnsi="宋体" w:cs="宋体"/>
                <w:szCs w:val="21"/>
                <w:highlight w:val="none"/>
                <w:lang w:bidi="ar"/>
              </w:rPr>
              <w:t>管道科技</w:t>
            </w:r>
            <w:r>
              <w:rPr>
                <w:rFonts w:ascii="宋体" w:hAnsi="宋体" w:cs="宋体"/>
                <w:szCs w:val="21"/>
                <w:highlight w:val="none"/>
                <w:lang w:bidi="ar"/>
              </w:rPr>
              <w:t xml:space="preserve">有限公司                               深圳市筑华管业有限公司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67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铸铁管及管件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山东国铭球墨铸管科技有限公司（济钢铸管）</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禹州市新光铸造有限公司（新光）</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新兴铸管股份有限公司（新兴）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山西泫氏实业集团有限公司（泫氏）</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山东聊城汇鑫源管业有限公司（汇鑫源）</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晋城市佳超铸业有限公司（佳超）</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福建台明铸管科技股份有限公司（台明）</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北京兴业新兴管道有限公司（兴业）</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山西大通铸业有限公司（大通）</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高碑店市联通铸造有限责任公司（联铸）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深圳金光环建材有限公司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山西金秋铸造有限公司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鹤山冠华铸造有限公司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《排水用柔性接口铸铁管及管件》GB/T 12772–1999、</w:t>
            </w:r>
          </w:p>
          <w:p>
            <w:pPr>
              <w:jc w:val="center"/>
              <w:rPr>
                <w:rFonts w:ascii="宋体" w:hAnsi="宋体" w:cs="宋体"/>
                <w:szCs w:val="21"/>
                <w:highlight w:val="none"/>
              </w:rPr>
            </w:pPr>
            <w:r>
              <w:rPr>
                <w:rFonts w:hint="eastAsia" w:ascii="宋体" w:hAnsi="宋体" w:cs="宋体"/>
                <w:szCs w:val="21"/>
                <w:highlight w:val="none"/>
              </w:rPr>
              <w:t>《建筑排水用卡箍式铸铁管及管件》CJ/T 177–2002、</w:t>
            </w:r>
          </w:p>
          <w:p>
            <w:pPr>
              <w:jc w:val="center"/>
              <w:rPr>
                <w:rFonts w:ascii="宋体" w:hAnsi="宋体" w:cs="宋体"/>
                <w:szCs w:val="21"/>
                <w:highlight w:val="none"/>
              </w:rPr>
            </w:pPr>
            <w:r>
              <w:rPr>
                <w:rFonts w:hint="eastAsia" w:ascii="宋体" w:hAnsi="宋体" w:cs="宋体"/>
                <w:szCs w:val="21"/>
                <w:highlight w:val="none"/>
              </w:rPr>
              <w:t>《建筑排水用柔性接口承插式铸铁管及管件》CJ/T 178–2003、GB/T 13295-2008《水及燃气管道用球墨铸铁管、管件和附件》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PVC-U排水管及配件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广州广化塑料管道有限公司（锋牌）</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广东联塑科技实业有限公司（联塑）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广东顾地塑胶股份有限公司（顾地）</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深圳永高塑业发展有限公司（永高）</w:t>
            </w:r>
          </w:p>
          <w:p>
            <w:pPr>
              <w:widowControl/>
              <w:jc w:val="center"/>
              <w:textAlignment w:val="center"/>
              <w:rPr>
                <w:rFonts w:ascii="宋体" w:hAnsi="宋体" w:cs="宋体"/>
                <w:szCs w:val="21"/>
                <w:highlight w:val="none"/>
              </w:rPr>
            </w:pPr>
            <w:r>
              <w:rPr>
                <w:rFonts w:hint="eastAsia" w:ascii="宋体" w:hAnsi="宋体" w:cs="宋体"/>
                <w:szCs w:val="21"/>
                <w:highlight w:val="none"/>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 5836.1-2006《建筑排水用硬聚氯乙烯（PVC-U）管材》、GB/T 5836.2-2006《建筑排水用硬聚氯乙烯（PVC-U）管件》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PVC-U给水管及配件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广州广化塑料管道有限公司（锋牌）</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广东联塑科技实业有限公司（联塑）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广东顾地塑胶股份有限公司（顾地）</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深圳永高塑业发展有限公司（永高）</w:t>
            </w:r>
          </w:p>
          <w:p>
            <w:pPr>
              <w:widowControl/>
              <w:jc w:val="center"/>
              <w:textAlignment w:val="center"/>
              <w:rPr>
                <w:rFonts w:ascii="宋体" w:hAnsi="宋体" w:cs="宋体"/>
                <w:szCs w:val="21"/>
                <w:highlight w:val="none"/>
              </w:rPr>
            </w:pPr>
            <w:r>
              <w:rPr>
                <w:rFonts w:hint="eastAsia" w:ascii="宋体" w:hAnsi="宋体" w:cs="宋体"/>
                <w:szCs w:val="21"/>
                <w:highlight w:val="none"/>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ascii="宋体" w:hAnsi="宋体" w:cs="宋体"/>
                <w:szCs w:val="21"/>
                <w:highlight w:val="none"/>
              </w:rPr>
              <w:t>GB/T10002.1-2006</w:t>
            </w:r>
            <w:r>
              <w:rPr>
                <w:rFonts w:hint="eastAsia" w:ascii="宋体" w:hAnsi="宋体" w:cs="宋体"/>
                <w:szCs w:val="21"/>
                <w:highlight w:val="none"/>
              </w:rPr>
              <w:t>《建筑给水用硬聚氯乙烯（PVC-U）管材》、</w:t>
            </w:r>
            <w:r>
              <w:rPr>
                <w:rFonts w:ascii="宋体" w:hAnsi="宋体" w:cs="宋体"/>
                <w:szCs w:val="21"/>
                <w:highlight w:val="none"/>
              </w:rPr>
              <w:t>GB/T10002.</w:t>
            </w:r>
            <w:r>
              <w:rPr>
                <w:rFonts w:hint="eastAsia" w:ascii="宋体" w:hAnsi="宋体" w:cs="宋体"/>
                <w:szCs w:val="21"/>
                <w:highlight w:val="none"/>
              </w:rPr>
              <w:t>2</w:t>
            </w:r>
            <w:r>
              <w:rPr>
                <w:rFonts w:ascii="宋体" w:hAnsi="宋体" w:cs="宋体"/>
                <w:szCs w:val="21"/>
                <w:highlight w:val="none"/>
              </w:rPr>
              <w:t>-2006</w:t>
            </w:r>
            <w:r>
              <w:rPr>
                <w:rFonts w:hint="eastAsia" w:ascii="宋体" w:hAnsi="宋体" w:cs="宋体"/>
                <w:szCs w:val="21"/>
                <w:highlight w:val="none"/>
              </w:rPr>
              <w:t>《建筑给水用硬聚氯乙烯（PVC-U）管件》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潜污泵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埃梯梯飞力（沈阳）泵业有限公司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上海申宝泵业有限公司（上海申宝）</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广州水泵厂有限公司（长江）</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广东佛山水泵厂有限公司（肯富来）</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上海凯泉泵业（集团）有限公司（上海凯泉）   </w:t>
            </w:r>
          </w:p>
          <w:p>
            <w:pPr>
              <w:widowControl/>
              <w:jc w:val="center"/>
              <w:textAlignment w:val="center"/>
              <w:rPr>
                <w:rFonts w:hint="eastAsia" w:ascii="宋体" w:hAnsi="宋体" w:eastAsia="宋体" w:cs="宋体"/>
                <w:szCs w:val="21"/>
                <w:highlight w:val="none"/>
                <w:lang w:eastAsia="zh-CN" w:bidi="ar"/>
              </w:rPr>
            </w:pPr>
            <w:r>
              <w:rPr>
                <w:rFonts w:hint="eastAsia" w:ascii="宋体" w:hAnsi="宋体" w:cs="宋体"/>
                <w:kern w:val="0"/>
                <w:szCs w:val="21"/>
                <w:highlight w:val="none"/>
                <w:lang w:bidi="ar"/>
              </w:rPr>
              <w:t xml:space="preserve">广一集团广州市第一水泵厂（广一）                   </w:t>
            </w:r>
            <w:r>
              <w:rPr>
                <w:rFonts w:ascii="宋体" w:hAnsi="宋体" w:cs="宋体"/>
                <w:szCs w:val="21"/>
                <w:highlight w:val="none"/>
                <w:lang w:bidi="ar"/>
              </w:rPr>
              <w:t>江西万载水泵有限公司（万载）</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上海瑞邦机械集团有限公司（瑞邦）</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30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液位控制器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深圳市星科创科技有限公司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深圳市东方万和仪表有限公司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深圳市沃克自动化控制有限公司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标一、良精、塘沽</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23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地漏</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广州广化塑料管道有限公司（锋牌）</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广东联塑科技实业有限公司（联塑）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广东顾地塑胶股份有限公司（顾地）</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深圳永高塑业发展有限公司（永高）</w:t>
            </w:r>
          </w:p>
          <w:p>
            <w:pPr>
              <w:widowControl/>
              <w:jc w:val="center"/>
              <w:textAlignment w:val="center"/>
              <w:rPr>
                <w:rFonts w:ascii="宋体" w:hAnsi="宋体" w:cs="宋体"/>
                <w:szCs w:val="21"/>
                <w:highlight w:val="none"/>
              </w:rPr>
            </w:pPr>
            <w:r>
              <w:rPr>
                <w:rFonts w:hint="eastAsia" w:ascii="宋体" w:hAnsi="宋体" w:cs="宋体"/>
                <w:szCs w:val="21"/>
                <w:highlight w:val="none"/>
              </w:rPr>
              <w:t>深圳永高塑业发展有限公司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47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（七）室外排水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UPVC双壁波纹管、HDPE双壁波纹管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广州广化塑料管道有限公司（锋牌）</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广东联塑科技实业有限公司（联塑）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广东顾地塑胶股份有限公司（顾地）</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广东永高塑业发展有限公司（永高）</w:t>
            </w:r>
          </w:p>
          <w:p>
            <w:pPr>
              <w:widowControl/>
              <w:jc w:val="center"/>
              <w:textAlignment w:val="center"/>
              <w:rPr>
                <w:rFonts w:ascii="宋体" w:hAnsi="宋体" w:cs="宋体"/>
                <w:szCs w:val="21"/>
                <w:highlight w:val="none"/>
              </w:rPr>
            </w:pPr>
            <w:r>
              <w:rPr>
                <w:rFonts w:hint="eastAsia" w:ascii="宋体" w:hAnsi="宋体" w:cs="宋体"/>
                <w:szCs w:val="21"/>
                <w:highlight w:val="none"/>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GB/T 19472.1－2004《埋地用聚乙烯（PE）结构壁管道系统第一部分：聚乙烯双壁波纹管管材》</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4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塑料检查井</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浙江天井塑业有限公司（天井）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安徽金塑管业科技有限公司（安徽金塑）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台州改善塑业有限公司（改善）</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常州市河马塑胶有限公司（河马）</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玻璃钢化粪池</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广州市康为环保设备有限公司（康为）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广州市双新环保设备有限公司（双新）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广州恒古机电设备有限公司（恒古）</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健之源（佛山市健之源环保设备有限公司）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广州宇唐环保设备有限公司（宇唐）</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广州全康环保设备有限公司（全康）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广州肯林沃环保科技有限公司（肯林沃）</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广州火田环保设备工程有限公司（火田）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《玻璃钢化粪池技术要求》CJ/T 409-2012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highlight w:val="none"/>
              </w:rPr>
            </w:pPr>
          </w:p>
        </w:tc>
      </w:tr>
      <w:tr>
        <w:tblPrEx>
          <w:tblCellMar>
            <w:top w:w="15" w:type="dxa"/>
            <w:left w:w="15" w:type="dxa"/>
            <w:bottom w:w="15" w:type="dxa"/>
            <w:right w:w="15" w:type="dxa"/>
          </w:tblCellMar>
        </w:tblPrEx>
        <w:trPr>
          <w:trHeight w:val="513"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（八）室外给水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顾地科技股份有限公司、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浙江伟星新型建材股份有限公司、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深圳市深南风建材有限公司、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东莞市塑达管道工程有限公司、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广东东方管业有限公司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广东联塑科技实业有限公司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广东永高塑业发展有限公司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煌盛管件股份有限公司（煌盛）</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东泰新材料科技有限公司（东泰）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江苏久源管业有限公司（久源）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江苏清通管业有限公司（清通牌）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CJ／T123—2004《给水用钢骨架聚乙烯塑料复合管》、CJ/T 124-2004《给水用钢骨架聚乙烯塑料复合管件》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6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广州钢管厂有限公司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广州珠江管业科技有限公司（珠江）</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广东华捷钢管实业有限公司（华捷）</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广州市华粤管业有限公司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广州市南粤钢管有限公司 </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 广东一通科技股份有限公司                          </w:t>
            </w:r>
            <w:r>
              <w:rPr>
                <w:rFonts w:ascii="宋体" w:hAnsi="宋体" w:cs="宋体"/>
                <w:szCs w:val="21"/>
                <w:highlight w:val="none"/>
                <w:lang w:bidi="ar"/>
              </w:rPr>
              <w:t>广</w:t>
            </w:r>
            <w:r>
              <w:rPr>
                <w:rFonts w:hint="eastAsia" w:ascii="宋体" w:hAnsi="宋体" w:cs="宋体"/>
                <w:szCs w:val="21"/>
                <w:highlight w:val="none"/>
                <w:lang w:bidi="ar"/>
              </w:rPr>
              <w:t>东</w:t>
            </w:r>
            <w:r>
              <w:rPr>
                <w:rFonts w:ascii="宋体" w:hAnsi="宋体" w:cs="宋体"/>
                <w:szCs w:val="21"/>
                <w:highlight w:val="none"/>
                <w:lang w:bidi="ar"/>
              </w:rPr>
              <w:t>荣钢</w:t>
            </w:r>
            <w:r>
              <w:rPr>
                <w:rFonts w:hint="eastAsia" w:ascii="宋体" w:hAnsi="宋体" w:cs="宋体"/>
                <w:szCs w:val="21"/>
                <w:highlight w:val="none"/>
                <w:lang w:bidi="ar"/>
              </w:rPr>
              <w:t>管道科技</w:t>
            </w:r>
            <w:r>
              <w:rPr>
                <w:rFonts w:ascii="宋体" w:hAnsi="宋体" w:cs="宋体"/>
                <w:szCs w:val="21"/>
                <w:highlight w:val="none"/>
                <w:lang w:bidi="ar"/>
              </w:rPr>
              <w:t xml:space="preserve">有限公司  </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广州祥基复合钢管有限公司</w:t>
            </w:r>
            <w:r>
              <w:rPr>
                <w:rFonts w:ascii="宋体" w:hAnsi="宋体" w:cs="宋体"/>
                <w:szCs w:val="21"/>
                <w:highlight w:val="none"/>
                <w:lang w:bidi="ar"/>
              </w:rPr>
              <w:t xml:space="preserve"> </w:t>
            </w:r>
          </w:p>
          <w:p>
            <w:pPr>
              <w:widowControl/>
              <w:jc w:val="center"/>
              <w:textAlignment w:val="center"/>
              <w:rPr>
                <w:rFonts w:ascii="宋体" w:hAnsi="宋体" w:cs="宋体"/>
                <w:szCs w:val="21"/>
                <w:highlight w:val="none"/>
              </w:rPr>
            </w:pPr>
            <w:r>
              <w:rPr>
                <w:rFonts w:ascii="宋体" w:hAnsi="宋体" w:cs="宋体"/>
                <w:szCs w:val="21"/>
                <w:highlight w:val="none"/>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GB/T3091-2008《低压流体输送焊接钢管》、</w:t>
            </w:r>
          </w:p>
          <w:p>
            <w:pPr>
              <w:jc w:val="center"/>
              <w:rPr>
                <w:rFonts w:ascii="宋体" w:hAnsi="宋体" w:cs="宋体"/>
                <w:szCs w:val="21"/>
                <w:highlight w:val="none"/>
              </w:rPr>
            </w:pPr>
            <w:r>
              <w:rPr>
                <w:rFonts w:hint="eastAsia" w:ascii="宋体" w:hAnsi="宋体" w:cs="宋体"/>
                <w:szCs w:val="21"/>
                <w:highlight w:val="none"/>
              </w:rPr>
              <w:t>GB/T13793-2008 《直缝电焊钢管》</w:t>
            </w:r>
          </w:p>
          <w:p>
            <w:pPr>
              <w:jc w:val="center"/>
              <w:rPr>
                <w:rFonts w:ascii="宋体" w:hAnsi="宋体" w:cs="宋体"/>
                <w:szCs w:val="21"/>
                <w:highlight w:val="none"/>
              </w:rPr>
            </w:pPr>
            <w:r>
              <w:rPr>
                <w:rFonts w:hint="eastAsia" w:ascii="宋体" w:hAnsi="宋体" w:cs="宋体"/>
                <w:szCs w:val="21"/>
                <w:highlight w:val="none"/>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53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（九）电气</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8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高压柜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广州白云电器设备股份有限公司（白云电器）</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广东长电成套电器有限公司（广东长电）</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广东省顺德开关厂有限公司（顺开）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广州广高高压电器有限公司（广高）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广州南洋电器有限公司（南洋电器）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广州珠江开关有限公司（珠江利维）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广州星宝电气设备制造有限公司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广东本力电气有限公司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广州科铭电气设备有限公司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环网柜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广州白云电器设备股份有限公司（白云电器）</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广东长电成套电器有限公司（广东长电）</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广东省顺德开关厂有限公司（顺开）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广州广高高压电器有限公司（广高）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广州南洋电器有限公司（南洋电器）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广州珠江开关有限公司（珠江利维）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广州星宝电气设备制造有限公司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广东本力电气有限公司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广州科铭电气设备有限公司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9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高压柜元器件（真空断路器、负荷开关等）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西门子（中国）有限公司（西门子）                       </w:t>
            </w:r>
            <w:r>
              <w:rPr>
                <w:rFonts w:ascii="宋体" w:hAnsi="宋体" w:cs="宋体"/>
                <w:szCs w:val="21"/>
                <w:highlight w:val="none"/>
                <w:lang w:bidi="ar"/>
              </w:rPr>
              <w:t xml:space="preserve">                                罗格朗Legrand </w:t>
            </w:r>
            <w:r>
              <w:rPr>
                <w:rFonts w:hint="eastAsia" w:ascii="宋体" w:hAnsi="宋体" w:cs="宋体"/>
                <w:kern w:val="0"/>
                <w:szCs w:val="21"/>
                <w:highlight w:val="none"/>
                <w:lang w:bidi="ar"/>
              </w:rPr>
              <w:t xml:space="preserve">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施耐德、ABB</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广州珠江开关有限公司（珠江利维）                                               </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干式变压器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广州骏发电气有限公司（骏发）</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许继电气股份限公司（许继）</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顺特电气设备有限公司（顺特电气）</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广东海鸿变压器有限公司（海鸿升）</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穗达电气有限公司（穗达Sundax）</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广州南方电力集团电器有限公司（安森普莱）</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广州广高高压电器有限公司（广高）</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广州市乾式变压器有限公司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广州星宝电气设备制造有限公司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20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箱式变压器及配套设施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广州骏发电气有限公司（骏发）</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广东中兴电器开关股份有限公司（兴电）</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、广州市乾式变压器有限公司（盈达）</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广州广高高压电器有限公司（广高）</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广东广特电气有限公司（广特电气）</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穗达电气有限公司（穗达Sundax）</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广州南方电力集团电器有限公司（安森普莱）</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广州市乾式变压器有限公司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广州星宝电气设备制造有限公司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GB1094.11-2007《电力变压器第11部分 干式变压器》、GB／T 1094.12-2013《电力变压器 第12部分：干式电力变压器负载导则》、GB/T10228-2015  《干式电力变压器技术参数和要求》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9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柴油发电机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广西玉柴、 山东潍柴、 重庆康明斯、东风康明斯、山东济柴、无锡动力、</w:t>
            </w:r>
            <w:r>
              <w:rPr>
                <w:rFonts w:ascii="宋体" w:hAnsi="宋体" w:cs="宋体"/>
                <w:szCs w:val="21"/>
                <w:highlight w:val="none"/>
                <w:lang w:bidi="ar"/>
              </w:rPr>
              <w:t>江西泰豪、</w:t>
            </w:r>
            <w:r>
              <w:rPr>
                <w:rFonts w:hint="eastAsia" w:ascii="宋体" w:hAnsi="宋体" w:cs="宋体"/>
                <w:kern w:val="0"/>
                <w:szCs w:val="21"/>
                <w:highlight w:val="none"/>
                <w:lang w:bidi="ar"/>
              </w:rPr>
              <w:t>VeryPower沃尔奔达</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highlight w:val="none"/>
              </w:rPr>
            </w:pPr>
            <w:r>
              <w:rPr>
                <w:rFonts w:hint="eastAsia" w:ascii="宋体" w:hAnsi="宋体" w:cs="宋体"/>
                <w:sz w:val="18"/>
                <w:szCs w:val="18"/>
                <w:highlight w:val="none"/>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8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低压柜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广州白云电器设备股份有限公司（白云电器）</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广东长电成套电器有限公司（广东长电）</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广东省顺德开关厂有限公司（顺开）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广州广高高压电器有限公司（广高）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广州南洋电器有限公司（南洋电器）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广州南方电力集团电器有限公司（安森普莱）</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广州珠江开关有限公司（珠江利维）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贵州泰永长征技术股份有限公司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广东珠江开关有限公司（珠江利维）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广州星宝电气设备制造有限公司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广东本力电气有限公司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广州科铭电气设备有限公司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GB7251.1-2005《低压成套开关设备》</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低压柜元器件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施耐德电气（中国）投资有限公司（梅兰日兰）、伊顿电气集团（穆勒）</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ABB（中国）有限公司（ABB）</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西门子（中国）有限公司（西门子）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广州南洋电器有限公司（南洋电器）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广州白云电器设备股份有限公司（白云电器）上海良信电器股份有限公司（良信/Nader）</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TCL-罗格朗国际电工（TCL）</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配电箱（含控制箱）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广州白云电器设备股份有限公司（白云电器）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广东长电成套电器有限公司（广东长电）</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东莞基业电气设备有限公司（基业）</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广东省顺德开关厂有限公司（顺开）</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广州广高高压电器有限公司（广高）</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广州南洋电器有限公司（南洋电器）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广州市施富电气有限公司（施富）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广东新会电控设备厂有限公司（新会电控）</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广州万通达电气制造厂（万通达）</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广东奇胜电气设备有限公司（奇胜）</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广东松本电工电器有限公司（松本）</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广州南方电力集团电器有限公司（安森普莱）</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广东思东利电力科技有限公司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电表箱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广州市施富电气有限公司（施富）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广州白云电器设备股份有限公司（白云电器）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广东长电成套电器有限公司（广东长电）</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东莞基业电气设备有限公司（基业）</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广东省顺德开关厂有限公司（顺开）</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广州广高高压电器有限公司（广高）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广州南洋电器有限公司（南洋电器）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广东友源电气有限公司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广东海坤电气实业有限公司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广州南方电力集团电器有限公司（安森普莱）</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广东思东利电力科技有限公司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广州珠江开关有限公司（珠江利维）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广东松本电工电器有限公司（松本）</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3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三箱内主要电气元件（断路器、负荷开关、隔离开关、熔断器、继电器等）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上海良信、天正电气、正泰电器、松本电工电器、华通机电、德力西、广州珠江开关有限公司（珠江利维）、白云电器</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84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双电源切换开关（ATSE）</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西门子（中国）有限公司（西门子）</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惠州海格电气有限公司（海格）</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施耐德万高</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法国溯高美</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梅兰日兰</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通用电气</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浙宝电器</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正泰</w:t>
            </w:r>
            <w:r>
              <w:rPr>
                <w:rFonts w:hint="eastAsia" w:ascii="宋体" w:hAnsi="宋体" w:cs="宋体"/>
                <w:szCs w:val="21"/>
                <w:highlight w:val="none"/>
                <w:lang w:bidi="ar"/>
              </w:rPr>
              <w:t>电器</w:t>
            </w:r>
          </w:p>
          <w:p>
            <w:pPr>
              <w:widowControl/>
              <w:jc w:val="center"/>
              <w:textAlignment w:val="center"/>
              <w:rPr>
                <w:rFonts w:ascii="宋体" w:hAnsi="宋体" w:cs="宋体"/>
                <w:szCs w:val="21"/>
                <w:highlight w:val="none"/>
              </w:rPr>
            </w:pPr>
            <w:r>
              <w:rPr>
                <w:rFonts w:hint="eastAsia" w:ascii="宋体" w:hAnsi="宋体" w:cs="宋体"/>
                <w:szCs w:val="21"/>
                <w:highlight w:val="none"/>
              </w:rPr>
              <w:t>贵州泰永长征技术股份有限公司</w:t>
            </w:r>
          </w:p>
          <w:p>
            <w:pPr>
              <w:widowControl/>
              <w:jc w:val="center"/>
              <w:textAlignment w:val="center"/>
              <w:rPr>
                <w:rFonts w:ascii="宋体" w:hAnsi="宋体" w:cs="宋体"/>
                <w:szCs w:val="21"/>
                <w:highlight w:val="none"/>
              </w:rPr>
            </w:pPr>
            <w:r>
              <w:rPr>
                <w:rFonts w:hint="eastAsia" w:ascii="宋体" w:hAnsi="宋体" w:cs="宋体"/>
                <w:szCs w:val="21"/>
                <w:highlight w:val="none"/>
              </w:rPr>
              <w:t>广东珠江开关有限公司（珠江利维）</w:t>
            </w:r>
          </w:p>
          <w:p>
            <w:pPr>
              <w:widowControl/>
              <w:jc w:val="center"/>
              <w:textAlignment w:val="center"/>
              <w:rPr>
                <w:rFonts w:ascii="宋体" w:hAnsi="宋体" w:cs="宋体"/>
                <w:szCs w:val="21"/>
                <w:highlight w:val="none"/>
              </w:rPr>
            </w:pPr>
            <w:r>
              <w:rPr>
                <w:rFonts w:hint="eastAsia" w:ascii="宋体" w:hAnsi="宋体" w:cs="宋体"/>
                <w:szCs w:val="21"/>
                <w:highlight w:val="none"/>
              </w:rPr>
              <w:t>艾临科（ELECON）</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面板开关、插座</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广东松本电工电器有限公司（松本）</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TCL-罗格朗国际电工（TCL）</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西门子（中国）有限公司（西门子）</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施耐德电器（中国）有限公司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西蒙Simon</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飞利浦</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松下</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正泰</w:t>
            </w:r>
          </w:p>
          <w:p>
            <w:pPr>
              <w:widowControl/>
              <w:jc w:val="center"/>
              <w:textAlignment w:val="center"/>
              <w:rPr>
                <w:rFonts w:ascii="宋体" w:hAnsi="宋体" w:cs="宋体"/>
                <w:szCs w:val="21"/>
                <w:highlight w:val="none"/>
              </w:rPr>
            </w:pPr>
            <w:r>
              <w:rPr>
                <w:rFonts w:hint="eastAsia" w:ascii="宋体" w:hAnsi="宋体" w:cs="宋体"/>
                <w:szCs w:val="21"/>
                <w:highlight w:val="none"/>
                <w:lang w:bidi="ar"/>
              </w:rPr>
              <w:t>俊朗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应急照明灯具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广州市九佛电器有限公司（九佛）</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广东三雄极光照明股份有限公司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佛山电器照明股份有限公司（汾江）</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广州灯具厂</w:t>
            </w:r>
          </w:p>
          <w:p>
            <w:pPr>
              <w:widowControl/>
              <w:jc w:val="center"/>
              <w:textAlignment w:val="center"/>
              <w:rPr>
                <w:rFonts w:hint="eastAsia" w:ascii="宋体" w:hAnsi="宋体" w:eastAsia="宋体" w:cs="宋体"/>
                <w:szCs w:val="21"/>
                <w:highlight w:val="none"/>
                <w:lang w:eastAsia="zh-CN" w:bidi="ar"/>
              </w:rPr>
            </w:pPr>
            <w:r>
              <w:rPr>
                <w:rFonts w:hint="eastAsia" w:ascii="宋体" w:hAnsi="宋体" w:cs="宋体"/>
                <w:kern w:val="0"/>
                <w:szCs w:val="21"/>
                <w:highlight w:val="none"/>
                <w:lang w:bidi="ar"/>
              </w:rPr>
              <w:t xml:space="preserve">广州生亿光电科技有限公司（生亿光电）                 </w:t>
            </w:r>
            <w:r>
              <w:rPr>
                <w:rFonts w:ascii="宋体" w:hAnsi="宋体" w:cs="宋体"/>
                <w:szCs w:val="21"/>
                <w:highlight w:val="none"/>
                <w:lang w:bidi="ar"/>
              </w:rPr>
              <w:t>江门市海盾照明电器有限公司（海盾牌）</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中山市星派克光电照明有限公司（星派克）</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20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室内灯具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广州市九佛电器有限公司（九佛）</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广东三雄极光照明股份有限公司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佛山电器照明股份有限公司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佛山市顺德区松本照明有限公司（松本）</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欧普OPPLE、雷士照明、TCL照明</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69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室外灯具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宁波帅康灯具股份有限公司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华而美照明有限公司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广州新格阳光</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雷士照明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上海亚明灯泡厂有限公司（上海亚明）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广州市九佛电器有限公司（九佛）</w:t>
            </w:r>
          </w:p>
          <w:p>
            <w:pPr>
              <w:widowControl/>
              <w:jc w:val="center"/>
              <w:textAlignment w:val="center"/>
              <w:rPr>
                <w:rFonts w:hint="eastAsia" w:ascii="宋体" w:hAnsi="宋体" w:eastAsia="宋体" w:cs="宋体"/>
                <w:szCs w:val="21"/>
                <w:highlight w:val="none"/>
                <w:lang w:eastAsia="zh-CN" w:bidi="ar"/>
              </w:rPr>
            </w:pPr>
            <w:r>
              <w:rPr>
                <w:rFonts w:ascii="宋体" w:hAnsi="宋体" w:cs="宋体"/>
                <w:szCs w:val="21"/>
                <w:highlight w:val="none"/>
                <w:lang w:bidi="ar"/>
              </w:rPr>
              <w:t>中山千吉照明工程有限公司</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东莞祈光灯饰有限公司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广东德肯照明科技有限公司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广东三雄极光照明股份有限公司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8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光源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广州市九佛电器有限公司（九佛）</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广东三雄极光照明股份有限公司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惠州雷士光电科技有限公司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TCL照明电器有限公司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欧普照明有限公司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佛山电器照明股份有限公司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上海亚明灯泡厂有限公司（上海亚明）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欧司朗（中国）照明有限公司（欧司朗）</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飞利浦</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广东德肯照明科技有限公司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母线槽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江苏华鹏集团（华鹏）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广州白云电器设备股份有限公司（白云电器）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广州南电电气有限公司（南电牌NDMCL）</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穗达电气有限公司（穗达Sundax）                        </w:t>
            </w:r>
            <w:r>
              <w:rPr>
                <w:rFonts w:ascii="宋体" w:hAnsi="宋体" w:cs="宋体"/>
                <w:szCs w:val="21"/>
                <w:highlight w:val="none"/>
                <w:lang w:bidi="ar"/>
              </w:rPr>
              <w:t xml:space="preserve">广东思科通用电力科技有限公司 </w:t>
            </w:r>
          </w:p>
          <w:p>
            <w:pPr>
              <w:widowControl/>
              <w:jc w:val="center"/>
              <w:textAlignment w:val="center"/>
              <w:rPr>
                <w:rFonts w:ascii="宋体" w:hAnsi="宋体" w:cs="宋体"/>
                <w:szCs w:val="21"/>
                <w:highlight w:val="none"/>
                <w:lang w:bidi="ar"/>
              </w:rPr>
            </w:pPr>
            <w:r>
              <w:rPr>
                <w:rFonts w:ascii="宋体" w:hAnsi="宋体" w:cs="宋体"/>
                <w:szCs w:val="21"/>
                <w:highlight w:val="none"/>
                <w:lang w:bidi="ar"/>
              </w:rPr>
              <w:t>广东庆芙林电气有限公司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广东富龙电气有限公司</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广东半径集团有限公司（半径）</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广州南方电力集团电器有限公司</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8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电线、电缆（含耐火电缆）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广东电缆厂有限公司（AAA）</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广州番禺电缆集团有限公司（乐光）</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广州电缆厂有限公司（双菱）</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广州庆丰电信电缆厂有限公司（庆丰）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远东电缆有限公司（远东）</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广州市明兴电缆有限公司（明兴）</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广州市花都东风电缆厂有限公司（风驰）</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广州珠江电力设备实业有限公司（东一江）</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广州南洋电缆有限公司（南牌）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深圳市东佳信电线电缆有限公司（东佳信）</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金龙羽集团股份有限公司（金龙羽）</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东莞市中亚电缆有限公司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深圳深缆科技有限公司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上海安捷防火电缆有限公司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上海胜华电气股份有限公司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ascii="宋体" w:hAnsi="宋体" w:cs="宋体"/>
                <w:szCs w:val="21"/>
                <w:highlight w:val="none"/>
              </w:rPr>
              <w:t>GB/T12706.1-2002</w:t>
            </w:r>
            <w:r>
              <w:rPr>
                <w:rFonts w:hint="eastAsia" w:ascii="宋体" w:hAnsi="宋体" w:cs="宋体"/>
                <w:szCs w:val="21"/>
                <w:highlight w:val="none"/>
              </w:rPr>
              <w:t>、</w:t>
            </w:r>
            <w:r>
              <w:rPr>
                <w:rFonts w:ascii="宋体" w:hAnsi="宋体" w:cs="宋体"/>
                <w:szCs w:val="21"/>
                <w:highlight w:val="none"/>
              </w:rPr>
              <w:t>GB/T12706.2-2002</w:t>
            </w:r>
            <w:r>
              <w:rPr>
                <w:rFonts w:hint="eastAsia" w:ascii="宋体" w:hAnsi="宋体" w:cs="宋体"/>
                <w:szCs w:val="21"/>
                <w:highlight w:val="none"/>
              </w:rPr>
              <w:t>、</w:t>
            </w:r>
            <w:r>
              <w:rPr>
                <w:rFonts w:ascii="宋体" w:hAnsi="宋体" w:cs="宋体"/>
                <w:szCs w:val="21"/>
                <w:highlight w:val="none"/>
              </w:rPr>
              <w:t>GB/T 19666-2005</w:t>
            </w:r>
            <w:r>
              <w:rPr>
                <w:rFonts w:hint="eastAsia" w:ascii="宋体" w:hAnsi="宋体" w:cs="宋体"/>
                <w:szCs w:val="21"/>
                <w:highlight w:val="none"/>
              </w:rPr>
              <w:t>、</w:t>
            </w:r>
            <w:r>
              <w:rPr>
                <w:rFonts w:ascii="宋体" w:hAnsi="宋体" w:cs="宋体"/>
                <w:szCs w:val="21"/>
                <w:highlight w:val="none"/>
              </w:rPr>
              <w:t>GB5023-1997</w:t>
            </w:r>
            <w:r>
              <w:rPr>
                <w:rFonts w:hint="eastAsia" w:ascii="宋体" w:hAnsi="宋体" w:cs="宋体"/>
                <w:szCs w:val="21"/>
                <w:highlight w:val="none"/>
              </w:rPr>
              <w:t>、</w:t>
            </w:r>
            <w:r>
              <w:rPr>
                <w:rFonts w:ascii="宋体" w:hAnsi="宋体" w:cs="宋体"/>
                <w:szCs w:val="21"/>
                <w:highlight w:val="none"/>
              </w:rPr>
              <w:t>GB9330-</w:t>
            </w:r>
            <w:r>
              <w:rPr>
                <w:rFonts w:hint="eastAsia" w:ascii="宋体" w:hAnsi="宋体" w:cs="宋体"/>
                <w:szCs w:val="21"/>
                <w:highlight w:val="none"/>
              </w:rPr>
              <w:t>2008</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9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电缆桥架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广州市中兴五金线槽架厂（中兴）</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广州宏际电器设备厂（宏际）</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广州市番禺天虹工业开发有限公司（天虹）</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广州市番禺电缆桥架厂有限公司（R）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广州文兴电气有限公司（文兴）</w:t>
            </w:r>
          </w:p>
          <w:p>
            <w:pPr>
              <w:widowControl/>
              <w:jc w:val="center"/>
              <w:textAlignment w:val="center"/>
              <w:rPr>
                <w:rFonts w:hint="eastAsia" w:ascii="宋体" w:hAnsi="宋体" w:eastAsia="宋体" w:cs="宋体"/>
                <w:szCs w:val="21"/>
                <w:highlight w:val="none"/>
                <w:lang w:eastAsia="zh-CN" w:bidi="ar"/>
              </w:rPr>
            </w:pPr>
            <w:r>
              <w:rPr>
                <w:rFonts w:hint="eastAsia" w:ascii="宋体" w:hAnsi="宋体" w:cs="宋体"/>
                <w:szCs w:val="21"/>
                <w:highlight w:val="none"/>
                <w:lang w:bidi="ar"/>
              </w:rPr>
              <w:t>广东</w:t>
            </w:r>
            <w:r>
              <w:rPr>
                <w:rFonts w:ascii="宋体" w:hAnsi="宋体" w:cs="宋体"/>
                <w:szCs w:val="21"/>
                <w:highlight w:val="none"/>
                <w:lang w:bidi="ar"/>
              </w:rPr>
              <w:t>合兴电气有限公司（合兴）</w:t>
            </w:r>
          </w:p>
          <w:p>
            <w:pPr>
              <w:widowControl/>
              <w:jc w:val="center"/>
              <w:textAlignment w:val="center"/>
              <w:rPr>
                <w:rFonts w:hint="eastAsia" w:ascii="宋体" w:hAnsi="宋体" w:eastAsia="宋体" w:cs="宋体"/>
                <w:szCs w:val="21"/>
                <w:highlight w:val="none"/>
                <w:lang w:eastAsia="zh-CN" w:bidi="ar"/>
              </w:rPr>
            </w:pPr>
            <w:r>
              <w:rPr>
                <w:rFonts w:ascii="宋体" w:hAnsi="宋体" w:cs="宋体"/>
                <w:szCs w:val="21"/>
                <w:highlight w:val="none"/>
                <w:lang w:bidi="ar"/>
              </w:rPr>
              <w:t>深圳市万安实业有限公司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广东金来电气有限公司（金来）                 </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广州电缆桥架厂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《JB-T10216-2000 电控配电用电缆桥架标准》、《CECS31-2006 钢制电缆桥架工程设计规范》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31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镀锌电线管、钢管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广州钢管厂有限公司（广钢）</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广州市珠江管业科技有限公司（珠江）</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广东华捷钢管实业有限公司（华捷）</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广州市番禺天虹工业开发有限公司（天虹）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广州文兴电气有限公司（文兴）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广州市中兴五金线槽架厂（中兴）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广州宏际电器设备厂（宏际）                 </w:t>
            </w:r>
          </w:p>
          <w:p>
            <w:pPr>
              <w:widowControl/>
              <w:jc w:val="center"/>
              <w:textAlignment w:val="center"/>
              <w:rPr>
                <w:rFonts w:hint="eastAsia" w:ascii="宋体" w:hAnsi="宋体" w:eastAsia="宋体" w:cs="宋体"/>
                <w:szCs w:val="21"/>
                <w:highlight w:val="none"/>
                <w:lang w:eastAsia="zh-CN" w:bidi="ar"/>
              </w:rPr>
            </w:pPr>
            <w:r>
              <w:rPr>
                <w:rFonts w:hint="eastAsia" w:ascii="宋体" w:hAnsi="宋体" w:cs="宋体"/>
                <w:kern w:val="0"/>
                <w:szCs w:val="21"/>
                <w:highlight w:val="none"/>
                <w:lang w:bidi="ar"/>
              </w:rPr>
              <w:t xml:space="preserve">  广州市番禺电缆桥架厂有限公司（R）                  </w:t>
            </w:r>
            <w:r>
              <w:rPr>
                <w:rFonts w:hint="eastAsia" w:ascii="宋体" w:hAnsi="宋体" w:cs="宋体"/>
                <w:szCs w:val="21"/>
                <w:highlight w:val="none"/>
                <w:lang w:bidi="ar"/>
              </w:rPr>
              <w:t>广东</w:t>
            </w:r>
            <w:r>
              <w:rPr>
                <w:rFonts w:ascii="宋体" w:hAnsi="宋体" w:cs="宋体"/>
                <w:szCs w:val="21"/>
                <w:highlight w:val="none"/>
                <w:lang w:bidi="ar"/>
              </w:rPr>
              <w:t>合兴电气有限公司（合兴）</w:t>
            </w:r>
          </w:p>
          <w:p>
            <w:pPr>
              <w:widowControl/>
              <w:jc w:val="center"/>
              <w:textAlignment w:val="center"/>
              <w:rPr>
                <w:rFonts w:ascii="宋体" w:hAnsi="宋体" w:cs="宋体"/>
                <w:szCs w:val="21"/>
                <w:highlight w:val="none"/>
              </w:rPr>
            </w:pPr>
            <w:r>
              <w:rPr>
                <w:rFonts w:ascii="宋体" w:hAnsi="宋体" w:cs="宋体"/>
                <w:szCs w:val="21"/>
                <w:highlight w:val="none"/>
                <w:lang w:bidi="ar"/>
              </w:rPr>
              <w:t>深圳市万安实业有限公司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PVC塑料电线管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广东联塑科技实业有限公司（联塑）</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广东顾地塑胶股份有限公司（顾地）</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深圳市永高塑业发展有限公司（永高）</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广州广化塑料管道有限公司（锋牌）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充电桩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深圳驿普乐氏科技有限公司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广东易事特</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科陆电子</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深圳奥特迅</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珠海泰坦科技股份有限公司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普天新能源有限责任公司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江苏万帮充电设备有限公司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浙江万马新能源</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444"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（十）消防系统（电）</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4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消防自动报警系统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北京利达华信电子有限公司（利达）</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海湾安全技术股份有限公司（海湾）</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北大青鸟环宇消防设备有限公司（北大青鸟）</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营口山鹰报警设备有限公司（营口山鹰）</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r>
              <w:rPr>
                <w:rFonts w:hint="eastAsia" w:ascii="宋体" w:hAnsi="宋体" w:cs="宋体"/>
                <w:szCs w:val="21"/>
                <w:highlight w:val="none"/>
              </w:rPr>
              <w:t>《火灾自动报警系统设计规范》</w:t>
            </w:r>
            <w:r>
              <w:rPr>
                <w:rFonts w:ascii="宋体" w:hAnsi="宋体" w:cs="宋体"/>
                <w:szCs w:val="21"/>
                <w:highlight w:val="none"/>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209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电气火灾监控系统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北大青鸟环宇消防设备有限公司（北大青鸟）</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珠海派诺</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施耐德万高</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北京首控</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艾临科（ELECON）</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斯蒂尔曼</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r>
              <w:rPr>
                <w:rFonts w:hint="eastAsia" w:ascii="宋体" w:hAnsi="宋体" w:cs="宋体"/>
                <w:szCs w:val="21"/>
                <w:highlight w:val="none"/>
              </w:rPr>
              <w:t>《火灾自动报警系统设计规范》</w:t>
            </w:r>
            <w:r>
              <w:rPr>
                <w:rFonts w:ascii="宋体" w:hAnsi="宋体" w:cs="宋体"/>
                <w:szCs w:val="21"/>
                <w:highlight w:val="none"/>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33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防火卷帘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广州市泰昌实业有限公司（泰昌）</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深圳市家吉消防工贸有限公司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广东胜捷消防设备有限公司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广州防火卷帘门有限公司（消防）</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广州市白云南粤防火门有限公司（南粤）</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广东蓝盾门业有限公司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深圳市东风安防实业有限公司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广东鑫三山消防实业有限公司、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东莞市永安消防器材厂（东莞永安）              </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 广州市锦澜消防设备有限公司（锦澜）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r>
              <w:rPr>
                <w:rFonts w:hint="eastAsia" w:ascii="宋体" w:hAnsi="宋体" w:cs="宋体"/>
                <w:kern w:val="0"/>
                <w:szCs w:val="21"/>
                <w:highlight w:val="none"/>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52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（十一）通风空调设备</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中央空调机组</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约克中央空调客户服务中心（YORK）</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开利空调销售服务（上海）有限公司（Carrier）</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特灵空调系统（中国）有限公司(TRANE)</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广州日立冷机有限公司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麦克维尔空调有限公司（麦克维尔）</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远大空调有限公司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珠海格力电器股份有限公司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w:t>
            </w:r>
            <w:r>
              <w:rPr>
                <w:rFonts w:ascii="宋体" w:hAnsi="宋体" w:cs="宋体"/>
                <w:szCs w:val="21"/>
                <w:highlight w:val="none"/>
              </w:rPr>
              <w:t>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97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VRV空调设备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大金（中国）投资有限公司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珠海格力电器股份有限公司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美的集团股份有限公司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海尔集团公司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日立（中国）有限公司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三菱电机（中国）有限公司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青岛海信日立空调系统有限公司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广州天加空调设备有限公司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空气处理机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江森自控</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开利空调销售服务（上海）有限公司（Carrier）</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特灵空调系统（中国）有限公司(TRANE)</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广州天加空调设备有限公司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深圳麦克维尔空调有限公司（麦克维尔）</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青岛海信日立空调系统有限公司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VAV变风量系统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皇家空调设备工程（广东）有限公司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江森约克</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泰德思TITUS</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妥思Trox</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广州康美风空调设备有限公司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恒温恒湿机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艾默生网络能源有限公司（</w:t>
            </w:r>
            <w:r>
              <w:rPr>
                <w:rFonts w:ascii="宋体" w:hAnsi="宋体" w:cs="宋体"/>
                <w:kern w:val="0"/>
                <w:szCs w:val="21"/>
                <w:highlight w:val="none"/>
                <w:lang w:bidi="ar"/>
              </w:rPr>
              <w:t>EMERSON</w:t>
            </w:r>
            <w:r>
              <w:rPr>
                <w:rFonts w:hint="eastAsia" w:ascii="宋体" w:hAnsi="宋体" w:cs="宋体"/>
                <w:kern w:val="0"/>
                <w:szCs w:val="21"/>
                <w:highlight w:val="none"/>
                <w:lang w:bidi="ar"/>
              </w:rPr>
              <w:t>）</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世图兹STULZ、约顿JOTON、依米康、</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广东艾尔斯派科技有限公司、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深圳海洛斯精密空调有限公司（</w:t>
            </w:r>
            <w:r>
              <w:rPr>
                <w:rFonts w:ascii="宋体" w:hAnsi="宋体" w:cs="宋体"/>
                <w:kern w:val="0"/>
                <w:szCs w:val="21"/>
                <w:highlight w:val="none"/>
                <w:lang w:bidi="ar"/>
              </w:rPr>
              <w:t>HROS</w:t>
            </w:r>
            <w:r>
              <w:rPr>
                <w:rFonts w:hint="eastAsia" w:ascii="宋体" w:hAnsi="宋体" w:cs="宋体"/>
                <w:kern w:val="0"/>
                <w:szCs w:val="21"/>
                <w:highlight w:val="none"/>
                <w:lang w:bidi="ar"/>
              </w:rPr>
              <w:t>）、</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北京海瑞思科技有限公司（HIRESAIR）、</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克莱门特COOLBLADE</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南京佳力图机房环境技术股份有限公司（CANCTAL）</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风机盘管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东莞市东达空调设备厂</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佛山市华雅空调制冷设备有限公司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广州市致清空调冷冻设备有限公司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科仕菱净化空调设备有限公司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广东新雅空调设备有限公司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广州康美风空调设备有限公司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空调水泵及控制柜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广州昌宁机电设备有限公司（昌宁）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广州水泵厂有限公司（长江）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广东佛山水泵厂有限公司（肯富来）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上海凯泉泵业集团有限公司（上海凯泉）         </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广一集团广州市第一水泵厂（广一）                             上海申宝泵业有限公司（上海申宝）</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上海凯泉泵业（集团）有限公司（上海凯泉）</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冷却塔</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 7190.1-2008《玻璃纤维增强塑料冷却塔》、《冷却塔验收测试规程》CECS118：2000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1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板式热交换器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兰石、巨元瀚洋</w:t>
            </w:r>
            <w:r>
              <w:rPr>
                <w:rFonts w:ascii="宋体" w:hAnsi="宋体" w:cs="宋体"/>
                <w:kern w:val="0"/>
                <w:szCs w:val="21"/>
                <w:highlight w:val="none"/>
                <w:lang w:bidi="ar"/>
              </w:rPr>
              <w:t>THT</w:t>
            </w:r>
            <w:r>
              <w:rPr>
                <w:rFonts w:hint="eastAsia" w:ascii="宋体" w:hAnsi="宋体" w:cs="宋体"/>
                <w:kern w:val="0"/>
                <w:szCs w:val="21"/>
                <w:highlight w:val="none"/>
                <w:lang w:bidi="ar"/>
              </w:rPr>
              <w:t>、蓝科高新、维克斯、阿法拉伐</w:t>
            </w:r>
            <w:r>
              <w:rPr>
                <w:rFonts w:ascii="宋体" w:hAnsi="宋体" w:cs="宋体"/>
                <w:kern w:val="0"/>
                <w:szCs w:val="21"/>
                <w:highlight w:val="none"/>
                <w:lang w:bidi="ar"/>
              </w:rPr>
              <w:t>Alfa Laval</w:t>
            </w:r>
            <w:r>
              <w:rPr>
                <w:rFonts w:hint="eastAsia" w:ascii="宋体" w:hAnsi="宋体" w:cs="宋体"/>
                <w:kern w:val="0"/>
                <w:szCs w:val="21"/>
                <w:highlight w:val="none"/>
                <w:lang w:bidi="ar"/>
              </w:rPr>
              <w:t>、中圣、SWEP舒瑞普、银轮、API艾普尔、APV安培威</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6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锅炉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空调水管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广州钢管厂有限公司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广州珠江管业科技有限公司（珠江）</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广东华捷钢管实业有限公司（华捷）</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广州市华粤管业有限公司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广州市南粤钢管有限公司</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 广东一通科技股份有限公司                          </w:t>
            </w:r>
            <w:r>
              <w:rPr>
                <w:rFonts w:ascii="宋体" w:hAnsi="宋体" w:cs="宋体"/>
                <w:szCs w:val="21"/>
                <w:highlight w:val="none"/>
                <w:lang w:bidi="ar"/>
              </w:rPr>
              <w:t>广</w:t>
            </w:r>
            <w:r>
              <w:rPr>
                <w:rFonts w:hint="eastAsia" w:ascii="宋体" w:hAnsi="宋体" w:cs="宋体"/>
                <w:szCs w:val="21"/>
                <w:highlight w:val="none"/>
                <w:lang w:bidi="ar"/>
              </w:rPr>
              <w:t>东</w:t>
            </w:r>
            <w:r>
              <w:rPr>
                <w:rFonts w:ascii="宋体" w:hAnsi="宋体" w:cs="宋体"/>
                <w:szCs w:val="21"/>
                <w:highlight w:val="none"/>
                <w:lang w:bidi="ar"/>
              </w:rPr>
              <w:t>荣钢</w:t>
            </w:r>
            <w:r>
              <w:rPr>
                <w:rFonts w:hint="eastAsia" w:ascii="宋体" w:hAnsi="宋体" w:cs="宋体"/>
                <w:szCs w:val="21"/>
                <w:highlight w:val="none"/>
                <w:lang w:bidi="ar"/>
              </w:rPr>
              <w:t>管道科技</w:t>
            </w:r>
            <w:r>
              <w:rPr>
                <w:rFonts w:ascii="宋体" w:hAnsi="宋体" w:cs="宋体"/>
                <w:szCs w:val="21"/>
                <w:highlight w:val="none"/>
                <w:lang w:bidi="ar"/>
              </w:rPr>
              <w:t xml:space="preserve">有限公司   </w:t>
            </w:r>
          </w:p>
          <w:p>
            <w:pPr>
              <w:widowControl/>
              <w:jc w:val="center"/>
              <w:textAlignment w:val="center"/>
              <w:rPr>
                <w:rFonts w:ascii="宋体" w:hAnsi="宋体" w:cs="宋体"/>
                <w:szCs w:val="21"/>
                <w:highlight w:val="none"/>
                <w:lang w:bidi="ar"/>
              </w:rPr>
            </w:pPr>
            <w:r>
              <w:rPr>
                <w:rFonts w:hint="eastAsia" w:ascii="宋体" w:hAnsi="宋体" w:cs="宋体"/>
                <w:szCs w:val="21"/>
                <w:highlight w:val="none"/>
                <w:lang w:bidi="ar"/>
              </w:rPr>
              <w:t>广州祥基复合钢管有限公司</w:t>
            </w:r>
          </w:p>
          <w:p>
            <w:pPr>
              <w:widowControl/>
              <w:jc w:val="center"/>
              <w:textAlignment w:val="center"/>
              <w:rPr>
                <w:rFonts w:ascii="宋体" w:hAnsi="宋体" w:cs="宋体"/>
                <w:kern w:val="0"/>
                <w:szCs w:val="21"/>
                <w:highlight w:val="none"/>
                <w:lang w:bidi="ar"/>
              </w:rPr>
            </w:pPr>
            <w:r>
              <w:rPr>
                <w:rFonts w:ascii="宋体" w:hAnsi="宋体" w:cs="宋体"/>
                <w:szCs w:val="21"/>
                <w:highlight w:val="none"/>
                <w:lang w:bidi="ar"/>
              </w:rPr>
              <w:t xml:space="preserve">  天津友发管道有限公司（友发）</w:t>
            </w:r>
            <w:r>
              <w:rPr>
                <w:rFonts w:hint="eastAsia" w:ascii="宋体" w:hAnsi="宋体" w:cs="宋体"/>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GB/T3091-2008《低压流体输送焊接钢管》、</w:t>
            </w:r>
          </w:p>
          <w:p>
            <w:pPr>
              <w:jc w:val="center"/>
              <w:rPr>
                <w:rFonts w:ascii="宋体" w:hAnsi="宋体" w:cs="宋体"/>
                <w:szCs w:val="21"/>
                <w:highlight w:val="none"/>
              </w:rPr>
            </w:pPr>
            <w:r>
              <w:rPr>
                <w:rFonts w:hint="eastAsia" w:ascii="宋体" w:hAnsi="宋体" w:cs="宋体"/>
                <w:szCs w:val="21"/>
                <w:highlight w:val="none"/>
              </w:rPr>
              <w:t>GB/T13793-2008 《直缝电焊钢管》</w:t>
            </w:r>
          </w:p>
          <w:p>
            <w:pPr>
              <w:jc w:val="center"/>
              <w:rPr>
                <w:rFonts w:ascii="宋体" w:hAnsi="宋体" w:cs="宋体"/>
                <w:szCs w:val="21"/>
                <w:highlight w:val="none"/>
              </w:rPr>
            </w:pPr>
            <w:r>
              <w:rPr>
                <w:rFonts w:hint="eastAsia" w:ascii="宋体" w:hAnsi="宋体" w:cs="宋体"/>
                <w:szCs w:val="21"/>
                <w:highlight w:val="none"/>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保温材料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阿乐斯绝热材料(广州)有限公司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杜肯（广州）绝热材料有限公司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华美节能科技集团（华美）</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欧文斯科宁（中国）投资有限公司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上海华峰普恩聚氨酯有限公司</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洛科威防火保温材料（广州）有限公司</w:t>
            </w:r>
          </w:p>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cs="宋体"/>
                <w:szCs w:val="21"/>
                <w:highlight w:val="none"/>
              </w:rPr>
            </w:pPr>
            <w:r>
              <w:rPr>
                <w:rFonts w:hint="eastAsia" w:ascii="宋体" w:hAnsi="宋体" w:cs="宋体"/>
                <w:szCs w:val="21"/>
                <w:highlight w:val="none"/>
              </w:rPr>
              <w:t>风管保温：超细离心玻璃棉厚度不小于50mm，不燃A级，容重40~60kg/m³。闭孔发泡橡塑材料为难燃B1级，保护层贴面应为A级不燃材料，密度不小于50~60kg/m</w:t>
            </w:r>
            <w:r>
              <w:rPr>
                <w:rFonts w:hint="eastAsia" w:ascii="宋体" w:hAnsi="宋体" w:cs="宋体"/>
                <w:szCs w:val="21"/>
                <w:highlight w:val="none"/>
                <w:vertAlign w:val="superscript"/>
              </w:rPr>
              <w:t>3</w:t>
            </w:r>
            <w:r>
              <w:rPr>
                <w:rFonts w:hint="eastAsia" w:ascii="宋体" w:hAnsi="宋体" w:cs="宋体"/>
                <w:szCs w:val="21"/>
                <w:highlight w:val="none"/>
              </w:rPr>
              <w:t>，保温厚度25mm。水管保温：闭孔发泡橡塑材料，其本体要求达到难燃B1级标准，保护层贴面应为A级不燃，密度不小于50~60kg/m</w:t>
            </w:r>
            <w:r>
              <w:rPr>
                <w:rFonts w:hint="eastAsia" w:ascii="宋体" w:hAnsi="宋体" w:cs="宋体"/>
                <w:szCs w:val="21"/>
                <w:highlight w:val="none"/>
                <w:vertAlign w:val="superscript"/>
              </w:rPr>
              <w:t>3</w:t>
            </w:r>
            <w:r>
              <w:rPr>
                <w:rFonts w:hint="eastAsia" w:ascii="宋体" w:hAnsi="宋体" w:cs="宋体"/>
                <w:szCs w:val="21"/>
                <w:highlight w:val="none"/>
              </w:rPr>
              <w:t>，保温厚度不小于25mm。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highlight w:val="none"/>
                <w:lang w:eastAsia="zh-CN" w:bidi="ar"/>
              </w:rPr>
            </w:pPr>
            <w:r>
              <w:rPr>
                <w:rFonts w:hint="eastAsia" w:ascii="宋体" w:hAnsi="宋体" w:cs="宋体"/>
                <w:kern w:val="0"/>
                <w:szCs w:val="21"/>
                <w:highlight w:val="none"/>
                <w:lang w:bidi="ar"/>
              </w:rPr>
              <w:t>良精集团有限公司（良精集团）                                                 上海正丰阀门制造有限公司（正丰）                                               上海</w:t>
            </w:r>
            <w:r>
              <w:rPr>
                <w:rFonts w:ascii="宋体" w:hAnsi="宋体" w:cs="宋体"/>
                <w:szCs w:val="21"/>
                <w:highlight w:val="none"/>
                <w:lang w:bidi="ar"/>
              </w:rPr>
              <w:t>冠龙阀门设备有限公司（冠龙）</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南海市九江永兴阀门制造有限公司（永泉）</w:t>
            </w:r>
          </w:p>
          <w:p>
            <w:pPr>
              <w:widowControl/>
              <w:jc w:val="center"/>
              <w:textAlignment w:val="center"/>
              <w:rPr>
                <w:rFonts w:ascii="宋体" w:hAnsi="宋体" w:cs="宋体"/>
                <w:szCs w:val="21"/>
                <w:highlight w:val="none"/>
                <w:lang w:bidi="ar"/>
              </w:rPr>
            </w:pPr>
            <w:r>
              <w:rPr>
                <w:rFonts w:hint="eastAsia" w:ascii="宋体" w:hAnsi="宋体" w:cs="宋体"/>
                <w:kern w:val="0"/>
                <w:szCs w:val="21"/>
                <w:highlight w:val="none"/>
                <w:lang w:bidi="ar"/>
              </w:rPr>
              <w:t xml:space="preserve">广州佳福斯阀门有限公司（佳福斯）                          </w:t>
            </w:r>
            <w:r>
              <w:rPr>
                <w:rFonts w:ascii="宋体" w:hAnsi="宋体" w:cs="宋体"/>
                <w:szCs w:val="21"/>
                <w:highlight w:val="none"/>
                <w:lang w:bidi="ar"/>
              </w:rPr>
              <w:t>广东明珠集团股份有限公司                                广州正安阀门有限公司                              东莞市合成阀门有限公司（合成）</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上海高特集团有限公司（高特）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风管电动/手动密闭阀门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东莞市飞达机电配套设备制造有限公司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广东正野电器有限公司（正野）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南方风机股份有限公司（佛山公司）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中山盈莱通风科技有限公司（盈莱）</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云浮市云丰环保设备有限公司（云丰）</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广州市泰昌实业有限公司（泰昌）                         </w:t>
            </w:r>
            <w:r>
              <w:rPr>
                <w:rFonts w:ascii="宋体" w:hAnsi="宋体" w:cs="宋体"/>
                <w:szCs w:val="21"/>
                <w:highlight w:val="none"/>
                <w:lang w:bidi="ar"/>
              </w:rPr>
              <w:t xml:space="preserve">广东肇庆德通有限公司                               广州市鑫风风机有限公司                                 浙江浙风科技有限公司                                广东顺德正科电器实业有限公司                       佛山市广品通风设备有限公司                         深圳市辰康达通风配件有限公司 </w:t>
            </w:r>
            <w:r>
              <w:rPr>
                <w:rFonts w:hint="eastAsia" w:ascii="宋体" w:hAnsi="宋体" w:cs="宋体"/>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39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风机、（离心风机、轴流风机、消防风机）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东莞市飞达机电配套设备制造有限公司（DT）</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广东正野电器有限公司（正野）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南方风机股份有限公司（佛山公司）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中山盈莱通风科技有限公司（盈莱）</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云浮市云丰环保设备有限公司（云丰）</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广州市泰昌实业有限公司（泰昌）                         </w:t>
            </w:r>
            <w:r>
              <w:rPr>
                <w:rFonts w:ascii="宋体" w:hAnsi="宋体" w:cs="宋体"/>
                <w:szCs w:val="21"/>
                <w:highlight w:val="none"/>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36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壁式换气扇、排气扇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江门市金羚排气扇厂有限公司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广东正野电器有限公司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广东朗能电器有限公司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广东绿岛室内空气系统科技有限公司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超静音，采用滚珠轴承形式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风口百叶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佛山市顺安空调设备有限公司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广州市耀安实业发展有限公司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东莞市飞达机电配套设备制造有限公司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广州市泰昌实业有限公司（泰昌）</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highlight w:val="none"/>
              </w:rPr>
            </w:pPr>
            <w:r>
              <w:rPr>
                <w:rFonts w:hint="eastAsia" w:ascii="宋体" w:hAnsi="宋体" w:cs="宋体"/>
                <w:sz w:val="18"/>
                <w:szCs w:val="18"/>
                <w:highlight w:val="none"/>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6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防雨百叶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佛山市顺安空调设备有限公司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广州市耀安实业发展有限公司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东莞市飞达机电配套设备制造有限公司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广州市泰昌实业有限公司（泰昌）</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highlight w:val="none"/>
              </w:rPr>
            </w:pPr>
            <w:r>
              <w:rPr>
                <w:rFonts w:hint="eastAsia" w:ascii="宋体" w:hAnsi="宋体" w:cs="宋体"/>
                <w:sz w:val="18"/>
                <w:szCs w:val="18"/>
                <w:highlight w:val="none"/>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7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排烟百叶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佛山市顺安空调设备有限公司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广州市耀安实业发展有限公司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东莞市飞达机电配套设备制造有限公司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广州市泰昌实业有限公司（泰昌）</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highlight w:val="none"/>
              </w:rPr>
            </w:pPr>
            <w:r>
              <w:rPr>
                <w:rFonts w:hint="eastAsia" w:ascii="宋体" w:hAnsi="宋体" w:cs="宋体"/>
                <w:sz w:val="18"/>
                <w:szCs w:val="18"/>
                <w:highlight w:val="none"/>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消声器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Pr>
                <w:rFonts w:ascii="宋体" w:hAnsi="宋体" w:cs="宋体"/>
                <w:szCs w:val="21"/>
                <w:highlight w:val="none"/>
                <w:lang w:bidi="ar"/>
              </w:rPr>
              <w:t>广东肇庆德通有限公司</w:t>
            </w:r>
            <w:r>
              <w:rPr>
                <w:rFonts w:hint="eastAsia" w:ascii="宋体" w:hAnsi="宋体" w:cs="宋体"/>
                <w:szCs w:val="21"/>
                <w:highlight w:val="none"/>
                <w:lang w:bidi="ar"/>
              </w:rPr>
              <w:t>、</w:t>
            </w:r>
            <w:r>
              <w:rPr>
                <w:rFonts w:ascii="宋体" w:hAnsi="宋体" w:cs="宋体"/>
                <w:szCs w:val="21"/>
                <w:highlight w:val="none"/>
                <w:lang w:bidi="ar"/>
              </w:rPr>
              <w:t>广州市鑫风风机有限公司</w:t>
            </w:r>
            <w:r>
              <w:rPr>
                <w:rFonts w:hint="eastAsia" w:ascii="宋体" w:hAnsi="宋体" w:cs="宋体"/>
                <w:szCs w:val="21"/>
                <w:highlight w:val="none"/>
                <w:lang w:bidi="ar"/>
              </w:rPr>
              <w:t>、</w:t>
            </w:r>
            <w:r>
              <w:rPr>
                <w:rFonts w:ascii="宋体" w:hAnsi="宋体" w:cs="宋体"/>
                <w:szCs w:val="21"/>
                <w:highlight w:val="none"/>
                <w:lang w:bidi="ar"/>
              </w:rPr>
              <w:t>浙江浙风科技有限公司</w:t>
            </w:r>
            <w:r>
              <w:rPr>
                <w:rFonts w:hint="eastAsia" w:ascii="宋体" w:hAnsi="宋体" w:cs="宋体"/>
                <w:szCs w:val="21"/>
                <w:highlight w:val="none"/>
                <w:lang w:bidi="ar"/>
              </w:rPr>
              <w:t>、</w:t>
            </w:r>
            <w:r>
              <w:rPr>
                <w:rFonts w:ascii="宋体" w:hAnsi="宋体" w:cs="宋体"/>
                <w:szCs w:val="21"/>
                <w:highlight w:val="none"/>
                <w:lang w:bidi="ar"/>
              </w:rPr>
              <w:t>广东顺德正科电器实业有限公司</w:t>
            </w:r>
            <w:r>
              <w:rPr>
                <w:rFonts w:hint="eastAsia" w:ascii="宋体" w:hAnsi="宋体" w:cs="宋体"/>
                <w:szCs w:val="21"/>
                <w:highlight w:val="none"/>
                <w:lang w:bidi="ar"/>
              </w:rPr>
              <w:t>、</w:t>
            </w:r>
            <w:r>
              <w:rPr>
                <w:rFonts w:ascii="宋体" w:hAnsi="宋体" w:cs="宋体"/>
                <w:szCs w:val="21"/>
                <w:highlight w:val="none"/>
                <w:lang w:bidi="ar"/>
              </w:rPr>
              <w:t>佛山市广品通风设备有限公司</w:t>
            </w:r>
            <w:r>
              <w:rPr>
                <w:rFonts w:hint="eastAsia" w:ascii="宋体" w:hAnsi="宋体" w:cs="宋体"/>
                <w:szCs w:val="21"/>
                <w:highlight w:val="none"/>
                <w:lang w:bidi="ar"/>
              </w:rPr>
              <w:t>、</w:t>
            </w:r>
            <w:r>
              <w:rPr>
                <w:rFonts w:ascii="宋体" w:hAnsi="宋体" w:cs="宋体"/>
                <w:szCs w:val="21"/>
                <w:highlight w:val="none"/>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风管止回阀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佛山市顺安空调设备有限公司                  </w:t>
            </w:r>
          </w:p>
          <w:p>
            <w:pPr>
              <w:widowControl/>
              <w:spacing w:line="280" w:lineRule="exact"/>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广州市耀安实业发展有限公司                  </w:t>
            </w:r>
          </w:p>
          <w:p>
            <w:pPr>
              <w:widowControl/>
              <w:spacing w:line="280" w:lineRule="exact"/>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东莞市飞达机电配套设备制造有限公司</w:t>
            </w:r>
          </w:p>
          <w:p>
            <w:pPr>
              <w:widowControl/>
              <w:spacing w:line="280" w:lineRule="exact"/>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广州市泰昌实业有限公司（泰昌）</w:t>
            </w:r>
          </w:p>
          <w:p>
            <w:pPr>
              <w:widowControl/>
              <w:spacing w:line="28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292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抗震支架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无锡市瑞中德金属制品有限公司</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广州华侨减震科技有限公司</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天津安固士科技有限公司</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珠海仕龙科技</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深圳市置华机电设备有限公司</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深圳优力可</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深圳市沃德机械科技有限公司</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湖南力衡科技</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喜利得集团（Hilti）</w:t>
            </w:r>
          </w:p>
          <w:p>
            <w:pPr>
              <w:widowControl/>
              <w:spacing w:line="280" w:lineRule="exact"/>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江苏奇佩建筑装配科技有限公司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《建筑机电工程抗震设计规范》GB50981-2014、   《建筑机电设备抗震支吊架通用技术条件》</w:t>
            </w:r>
            <w:r>
              <w:rPr>
                <w:rFonts w:ascii="宋体" w:hAnsi="宋体" w:cs="宋体"/>
                <w:szCs w:val="21"/>
                <w:highlight w:val="none"/>
              </w:rPr>
              <w:t>CJ/T476-2015</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488"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（十二）弱电系统</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6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服务器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STARTUS、HP服务器、IBM、DELL、联想</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5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计算机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DELL、HP、联想、清华同方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66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打印机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惠普HP、佳能Canon、爱普生Epson、联想Lenovo、富士施乐Fuji Xerox</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5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UPS电源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91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EPS电源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科华、科士达、艾默生、基源工业、志成冠军、恒电电源、合肥阳光、航天电源、金武士、三科、北京崇正华盛、北京动力源、广东柏克、易事特、大连国彪、青岛创统</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115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楼宇对讲系统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   先导视讯（AVC)、冠林、安居宝、慧锐通、太川、深圳视得安罗格朗、深圳麦驰、广东聚光、星光楼宇、广东泛达、浙江大华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r>
              <w:rPr>
                <w:rFonts w:hint="eastAsia" w:ascii="宋体" w:hAnsi="宋体" w:cs="宋体"/>
                <w:szCs w:val="21"/>
                <w:highlight w:val="none"/>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110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 xml:space="preserve"> 监控摄像机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浙江大华、海康威视、英飞拓、宇视科技、</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亚安科技、派尔高</w:t>
            </w:r>
            <w:r>
              <w:rPr>
                <w:rFonts w:ascii="宋体" w:hAnsi="宋体" w:cs="宋体"/>
                <w:kern w:val="0"/>
                <w:szCs w:val="21"/>
                <w:highlight w:val="none"/>
                <w:lang w:bidi="ar"/>
              </w:rPr>
              <w:t>PELCO</w:t>
            </w:r>
            <w:r>
              <w:rPr>
                <w:rFonts w:hint="eastAsia" w:ascii="宋体" w:hAnsi="宋体" w:cs="宋体"/>
                <w:kern w:val="0"/>
                <w:szCs w:val="21"/>
                <w:highlight w:val="none"/>
                <w:lang w:bidi="ar"/>
              </w:rPr>
              <w:t>、泰科安防Tyco、缔佳Discover、博世安防、石头科技、景阳科技</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监控显示器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TCL、三星、创维、索尼、LG、AOC</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8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光纤收发器/网络光端机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天为电信、格林威尔、华为、华三、广州邮通、安特视讯、瑞斯康达、申瓯、VBON</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交换机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华为、华三、H3C、思科、锐捷网络、TP-LINK、D-link、中兴、NETGEAR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6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网络视频存储器（NVR）</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海康威视，汉邦高科，大华、沃世达</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11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监控级硬盘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希捷(Seagate)、迈拓(Maxtor)、三星(Samsung)、日立(Hitachi)、西部数据(Western Digital)、富士通(Fujitsu)、易拓(Excelstor)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634"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视频分配器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天创恒达、松威特、HDCLUB、宏创飞华、GOODWAY</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80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视频切换矩阵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818"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网络控制键盘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673"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电子巡更系统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意通达、维商、鼎信通、凯泰、兰德华、奔恒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9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出入口控制/停车场管理系统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pacing w:val="-10"/>
                <w:kern w:val="0"/>
                <w:szCs w:val="21"/>
                <w:highlight w:val="none"/>
                <w:lang w:eastAsia="zh-CN" w:bidi="ar"/>
              </w:rPr>
            </w:pPr>
            <w:r>
              <w:rPr>
                <w:rFonts w:hint="eastAsia" w:ascii="宋体" w:hAnsi="宋体" w:cs="宋体"/>
                <w:spacing w:val="-10"/>
                <w:kern w:val="0"/>
                <w:szCs w:val="21"/>
                <w:highlight w:val="none"/>
                <w:lang w:bidi="ar"/>
              </w:rPr>
              <w:t>深圳捷顺、瑞立德、科达世、创通（CHUANG)</w:t>
            </w:r>
          </w:p>
          <w:p>
            <w:pPr>
              <w:widowControl/>
              <w:jc w:val="center"/>
              <w:textAlignment w:val="center"/>
              <w:rPr>
                <w:rFonts w:ascii="宋体" w:hAnsi="宋体" w:cs="宋体"/>
                <w:spacing w:val="-10"/>
                <w:szCs w:val="21"/>
                <w:highlight w:val="none"/>
              </w:rPr>
            </w:pPr>
            <w:r>
              <w:rPr>
                <w:rFonts w:hint="eastAsia" w:ascii="宋体" w:hAnsi="宋体" w:cs="宋体"/>
                <w:spacing w:val="-10"/>
                <w:kern w:val="0"/>
                <w:szCs w:val="21"/>
                <w:highlight w:val="none"/>
                <w:lang w:bidi="ar"/>
              </w:rPr>
              <w:t>艾科、海康威视、达实信息、朗通科技、深圳车安、欧品（OPEN）、厦门狄耐克、广东聚光（</w:t>
            </w:r>
            <w:r>
              <w:rPr>
                <w:rFonts w:ascii="宋体" w:hAnsi="宋体" w:cs="宋体"/>
                <w:spacing w:val="-10"/>
                <w:kern w:val="0"/>
                <w:szCs w:val="21"/>
                <w:highlight w:val="none"/>
                <w:lang w:bidi="ar"/>
              </w:rPr>
              <w:t>KOTI</w:t>
            </w:r>
            <w:r>
              <w:rPr>
                <w:rFonts w:hint="eastAsia" w:ascii="宋体" w:hAnsi="宋体" w:cs="宋体"/>
                <w:spacing w:val="-10"/>
                <w:kern w:val="0"/>
                <w:szCs w:val="21"/>
                <w:highlight w:val="none"/>
                <w:lang w:bidi="ar"/>
              </w:rPr>
              <w:t>）</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20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建筑设备监控系统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防盗报警</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博世、霍尼韦尔、泰科、夜狼、豪恩安防、精华隆、科立信、枫叶、艾礼安、康联电子、松本智能、宏泰科技、福科斯</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1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公共广播</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爱迪思ITC、DSPPA（迪士普）、TOA、博世、霍尼韦尔、惠声、西派</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highlight w:val="none"/>
              </w:rPr>
            </w:pPr>
            <w:r>
              <w:rPr>
                <w:rFonts w:hint="eastAsia" w:ascii="宋体" w:hAnsi="宋体" w:cs="宋体"/>
                <w:sz w:val="18"/>
                <w:szCs w:val="18"/>
                <w:highlight w:val="none"/>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96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弱电间配电箱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广州白云电器设备股份有限公司（白云电器）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广东长电成套电器有限公司（广东长电）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东莞基业电气设备有限公司（基业）</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广东省顺德开关厂有限公司（顺开）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广州广高高压电器有限公司（广高）             </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广州南洋电器有限公司（南洋电器）</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广州市施富电气有限公司（施富）</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广东新会电控设备厂有限公司（新会电控）</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广州万通达电气制造厂（万通达）</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广东奇胜电气设备有限公司（奇胜）</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广东松本电工电器有限公司（松本）</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广州南方电力集团电器有限公司（安森普莱）</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广东思东利电力科技有限公司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highlight w:val="none"/>
              </w:rPr>
            </w:pPr>
            <w:r>
              <w:rPr>
                <w:rFonts w:hint="eastAsia" w:ascii="宋体" w:hAnsi="宋体" w:cs="宋体"/>
                <w:sz w:val="18"/>
                <w:szCs w:val="18"/>
                <w:highlight w:val="none"/>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0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光纤光缆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长飞光纤光缆有限公司、亨通集团有限公司、</w:t>
            </w:r>
            <w:r>
              <w:rPr>
                <w:rFonts w:hint="eastAsia" w:ascii="宋体" w:hAnsi="宋体" w:cs="宋体"/>
                <w:spacing w:val="-6"/>
                <w:kern w:val="0"/>
                <w:szCs w:val="21"/>
                <w:highlight w:val="none"/>
                <w:lang w:bidi="ar"/>
              </w:rPr>
              <w:t>通光集团有限公司、烽火通信科技股份有限公司、</w:t>
            </w:r>
            <w:r>
              <w:rPr>
                <w:rFonts w:hint="eastAsia" w:ascii="宋体" w:hAnsi="宋体" w:cs="宋体"/>
                <w:kern w:val="0"/>
                <w:szCs w:val="21"/>
                <w:highlight w:val="none"/>
                <w:lang w:bidi="ar"/>
              </w:rPr>
              <w:t>中天科技集团有限公司、永鼎集团有限公司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弱电线缆/双绞线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pacing w:val="-6"/>
                <w:szCs w:val="21"/>
                <w:highlight w:val="none"/>
              </w:rPr>
            </w:pPr>
            <w:r>
              <w:rPr>
                <w:rFonts w:hint="eastAsia" w:ascii="宋体" w:hAnsi="宋体" w:cs="宋体"/>
                <w:spacing w:val="-6"/>
                <w:kern w:val="0"/>
                <w:szCs w:val="21"/>
                <w:highlight w:val="none"/>
                <w:lang w:bidi="ar"/>
              </w:rPr>
              <w:t>爱普华顿、宇洪、TCL、天诚集团、普天、文德电缆、凌宇、秋叶原、来事达、加奈美电缆、联嘉祥、秋叶原 、帝一、一舟、粤道、安普捷尔达、安普三和、IBMNET、陕通、汉欣、金浪、TP-LINK</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511" w:hRule="atLeast"/>
          <w:jc w:val="center"/>
        </w:trPr>
        <w:tc>
          <w:tcPr>
            <w:tcW w:w="10115"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 w:val="24"/>
                <w:highlight w:val="none"/>
              </w:rPr>
            </w:pPr>
            <w:r>
              <w:rPr>
                <w:rFonts w:hint="eastAsia" w:ascii="宋体" w:hAnsi="宋体" w:cs="宋体"/>
                <w:b/>
                <w:sz w:val="24"/>
                <w:highlight w:val="none"/>
              </w:rPr>
              <w:t>（十三）电梯设备</w:t>
            </w:r>
          </w:p>
        </w:tc>
      </w:tr>
      <w:tr>
        <w:tblPrEx>
          <w:tblCellMar>
            <w:top w:w="15" w:type="dxa"/>
            <w:left w:w="15" w:type="dxa"/>
            <w:bottom w:w="15" w:type="dxa"/>
            <w:right w:w="15" w:type="dxa"/>
          </w:tblCellMar>
        </w:tblPrEx>
        <w:trPr>
          <w:trHeight w:val="124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乘客电梯、医用电梯、载货电梯、自动扶梯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广州广日、广州日立HITACHI、上海三菱、奥的斯OTIS、通力KONE、迅达SCHINDLER、蒂森克虏伯、富士达FUJITEC</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电梯制造与安装安全规范（GB7588-2003）、GB 10060-2011《电梯安装验收规范》、《电梯工程施工质量验收规范》</w:t>
            </w:r>
            <w:r>
              <w:rPr>
                <w:rFonts w:ascii="宋体" w:hAnsi="宋体" w:cs="宋体"/>
                <w:szCs w:val="21"/>
                <w:highlight w:val="none"/>
              </w:rPr>
              <w:t>GB50301-2002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highlight w:val="none"/>
              </w:rPr>
            </w:pPr>
          </w:p>
        </w:tc>
      </w:tr>
      <w:tr>
        <w:tblPrEx>
          <w:tblCellMar>
            <w:top w:w="15" w:type="dxa"/>
            <w:left w:w="15" w:type="dxa"/>
            <w:bottom w:w="15" w:type="dxa"/>
            <w:right w:w="15" w:type="dxa"/>
          </w:tblCellMar>
        </w:tblPrEx>
        <w:trPr>
          <w:trHeight w:val="521"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highlight w:val="none"/>
              </w:rPr>
            </w:pPr>
            <w:r>
              <w:rPr>
                <w:rFonts w:hint="eastAsia" w:ascii="宋体" w:hAnsi="宋体" w:cs="宋体"/>
                <w:b/>
                <w:kern w:val="0"/>
                <w:sz w:val="24"/>
                <w:highlight w:val="none"/>
                <w:lang w:bidi="ar"/>
              </w:rPr>
              <w:t>（十四）市政、绿化</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highlight w:val="none"/>
                <w:lang w:bidi="ar"/>
              </w:rPr>
            </w:pPr>
          </w:p>
        </w:tc>
      </w:tr>
      <w:tr>
        <w:tblPrEx>
          <w:tblCellMar>
            <w:top w:w="15" w:type="dxa"/>
            <w:left w:w="15" w:type="dxa"/>
            <w:bottom w:w="15" w:type="dxa"/>
            <w:right w:w="15" w:type="dxa"/>
          </w:tblCellMar>
        </w:tblPrEx>
        <w:trPr>
          <w:trHeight w:val="3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人行道砖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广州基盛水泥制品有限公司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佛山市顺德区盛达水泥构件有限公司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佛山市南海区大镇百花水泥构件有限公司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广州龙归水泥制品厂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广州鼎建水泥制品有限公司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广州市市政工程维修综合发展公司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佛山市顺德区奔达水泥制品有限公司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佛山市南海区狮山路绿化构件厂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佛山市顺德区陈村镇庄头荣林水泥制品厂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广州市番禺奔达水泥制品厂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双威建材（东莞）有限公司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1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广场砖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广东新明珠陶瓷集团有限公司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广东宏陶陶瓷有限公司（宏陶）</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佛山市金环球陶瓷有限公司（环球）</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广东宏威陶瓷实业有限公司（卡米亚）</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佛山红狮陶瓷有限公司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19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井盖、井环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广州市吉信金属制品公司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禹州安道金属制品有限公司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广州市市政工程维修综合发展公司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无锡诺龙铸造有限公司（诺龙）</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保定吉信金属制品有限公司（吉信）</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广州市花都区永基冶铸厂（永基）</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平石</w:t>
            </w:r>
          </w:p>
        </w:tc>
        <w:tc>
          <w:tcPr>
            <w:tcW w:w="44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广州基盛水泥制品有限公司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佛山市顺德区盛达水泥构件有限公司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佛山市南海区大镇百花水泥构件有限公司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广州龙归水泥制品厂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广州鼎建水泥制品有限公司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广州市市政工程维修综合发展公司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佛山市顺德区奔达水泥制品有限公司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佛山市南海区狮山路绿化构件厂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佛山市顺德区陈村镇庄头荣林水泥制品厂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广州市番禺奔达水泥制品厂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双威建材（东莞）有限公司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建菱</w:t>
            </w:r>
          </w:p>
        </w:tc>
        <w:tc>
          <w:tcPr>
            <w:tcW w:w="2770"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208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侧石</w:t>
            </w:r>
          </w:p>
        </w:tc>
        <w:tc>
          <w:tcPr>
            <w:tcW w:w="44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39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缘石</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广州基盛水泥制品有限公司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佛山市顺德区盛达水泥构件有限公司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佛山市南海区大镇百花水泥构件有限公司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广州龙归水泥制品厂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广州鼎建水泥制品有限公司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广州市市政工程维修综合发展公司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佛山市顺德区奔达水泥制品有限公司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佛山市南海区狮山路绿化构件厂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佛山市顺德区陈村镇庄头荣林水泥制品厂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广州市番禺奔达水泥制品厂</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双威建材（东莞）有限公司</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highlight w:val="none"/>
              </w:rPr>
            </w:pPr>
          </w:p>
        </w:tc>
      </w:tr>
      <w:tr>
        <w:tblPrEx>
          <w:tblCellMar>
            <w:top w:w="15" w:type="dxa"/>
            <w:left w:w="15" w:type="dxa"/>
            <w:bottom w:w="15" w:type="dxa"/>
            <w:right w:w="15" w:type="dxa"/>
          </w:tblCellMar>
        </w:tblPrEx>
        <w:trPr>
          <w:trHeight w:val="565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lang w:bidi="ar"/>
              </w:rPr>
              <w:t>灯杆、路灯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惠州雷士光电科技有限公司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广州虎辉照明科技公司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特朗照明电气有限公司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广东美的照明电气制造有限公司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宏天灯饰</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易鹏照明</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天贸照明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奥迪通用照明（广州）有限公司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鹤山市银雨照明有限公司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江门飞科照明有限公司</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深圳红太阳</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中山赛洋照明</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广州亮天</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泊尔光电科技</w:t>
            </w:r>
          </w:p>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中山泉辉</w:t>
            </w:r>
          </w:p>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中山大鼎</w:t>
            </w:r>
          </w:p>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highlight w:val="none"/>
              </w:rPr>
            </w:pPr>
            <w:r>
              <w:rPr>
                <w:rFonts w:hint="eastAsia" w:ascii="宋体" w:hAnsi="宋体" w:cs="宋体"/>
                <w:sz w:val="18"/>
                <w:szCs w:val="18"/>
                <w:highlight w:val="none"/>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pPr>
              <w:spacing w:line="240" w:lineRule="exact"/>
              <w:jc w:val="left"/>
              <w:rPr>
                <w:rFonts w:ascii="宋体" w:hAnsi="宋体" w:cs="宋体"/>
                <w:sz w:val="18"/>
                <w:szCs w:val="18"/>
                <w:highlight w:val="none"/>
              </w:rPr>
            </w:pPr>
            <w:r>
              <w:rPr>
                <w:rFonts w:hint="eastAsia" w:ascii="宋体" w:hAnsi="宋体" w:cs="宋体"/>
                <w:sz w:val="18"/>
                <w:szCs w:val="18"/>
                <w:highlight w:val="none"/>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highlight w:val="none"/>
              </w:rPr>
            </w:pPr>
          </w:p>
        </w:tc>
      </w:tr>
    </w:tbl>
    <w:p>
      <w:pPr>
        <w:widowControl/>
        <w:jc w:val="left"/>
        <w:rPr>
          <w:rFonts w:ascii="Arial" w:hAnsi="Arial"/>
          <w:b/>
          <w:sz w:val="30"/>
          <w:szCs w:val="30"/>
          <w:highlight w:val="none"/>
        </w:rPr>
      </w:pPr>
    </w:p>
    <w:p>
      <w:pPr>
        <w:pStyle w:val="8"/>
        <w:spacing w:line="360" w:lineRule="auto"/>
        <w:ind w:firstLine="556" w:firstLineChars="232"/>
        <w:jc w:val="center"/>
        <w:rPr>
          <w:sz w:val="24"/>
          <w:highlight w:val="none"/>
        </w:rPr>
      </w:pPr>
    </w:p>
    <w:p>
      <w:pPr>
        <w:pStyle w:val="4"/>
        <w:jc w:val="left"/>
        <w:rPr>
          <w:rFonts w:ascii="宋体" w:hAnsi="宋体" w:eastAsia="宋体"/>
          <w:sz w:val="24"/>
          <w:highlight w:val="none"/>
        </w:rPr>
      </w:pPr>
      <w:r>
        <w:rPr>
          <w:sz w:val="24"/>
          <w:highlight w:val="none"/>
        </w:rPr>
        <w:br w:type="page"/>
      </w:r>
      <w:bookmarkStart w:id="711" w:name="_Toc132813148"/>
      <w:r>
        <w:rPr>
          <w:rFonts w:hint="eastAsia" w:ascii="宋体" w:hAnsi="宋体" w:eastAsia="宋体"/>
          <w:sz w:val="21"/>
          <w:szCs w:val="21"/>
          <w:highlight w:val="none"/>
        </w:rPr>
        <w:t>附件</w:t>
      </w:r>
      <w:r>
        <w:rPr>
          <w:rFonts w:ascii="宋体" w:hAnsi="宋体" w:eastAsia="宋体"/>
          <w:sz w:val="21"/>
          <w:szCs w:val="21"/>
          <w:highlight w:val="none"/>
        </w:rPr>
        <w:t>3</w:t>
      </w:r>
      <w:r>
        <w:rPr>
          <w:rFonts w:hint="eastAsia" w:ascii="宋体" w:hAnsi="宋体" w:eastAsia="宋体"/>
          <w:sz w:val="21"/>
          <w:szCs w:val="21"/>
          <w:highlight w:val="none"/>
        </w:rPr>
        <w:t>：主要施工机械及周转材料投入承诺书</w:t>
      </w:r>
      <w:bookmarkEnd w:id="711"/>
    </w:p>
    <w:p>
      <w:pPr>
        <w:pStyle w:val="8"/>
        <w:spacing w:after="240" w:line="360" w:lineRule="auto"/>
        <w:ind w:firstLine="0" w:firstLineChars="0"/>
        <w:jc w:val="center"/>
        <w:rPr>
          <w:sz w:val="44"/>
          <w:szCs w:val="44"/>
          <w:highlight w:val="none"/>
        </w:rPr>
      </w:pPr>
      <w:r>
        <w:rPr>
          <w:rFonts w:hint="eastAsia"/>
          <w:b/>
          <w:sz w:val="44"/>
          <w:szCs w:val="44"/>
          <w:highlight w:val="none"/>
        </w:rPr>
        <w:t>主要施工机械及周转材料投入承诺书</w:t>
      </w: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400" w:lineRule="exact"/>
        <w:ind w:firstLine="487" w:firstLineChars="232"/>
        <w:rPr>
          <w:szCs w:val="21"/>
          <w:highlight w:val="none"/>
        </w:rPr>
      </w:pPr>
      <w:r>
        <w:rPr>
          <w:rFonts w:hint="eastAsia"/>
          <w:szCs w:val="21"/>
          <w:highlight w:val="none"/>
        </w:rPr>
        <w:t>我司承诺保证按以下“主要施工机械及周转材料投入要求表”投入使用。</w:t>
      </w:r>
    </w:p>
    <w:p>
      <w:pPr>
        <w:pStyle w:val="8"/>
        <w:adjustRightInd w:val="0"/>
        <w:snapToGrid w:val="0"/>
        <w:spacing w:line="400" w:lineRule="exact"/>
        <w:ind w:firstLine="487" w:firstLineChars="232"/>
        <w:rPr>
          <w:szCs w:val="21"/>
          <w:highlight w:val="none"/>
        </w:rPr>
      </w:pPr>
      <w:r>
        <w:rPr>
          <w:rFonts w:hint="eastAsia"/>
          <w:szCs w:val="21"/>
          <w:highlight w:val="none"/>
        </w:rPr>
        <w:t>若经发包人审查所投入的主要机械及材料未能满足本项目的要求，发包人有权提出调整设备投入以满足本项目的需要，在收到书面通知后，不挑剔、不争辩，也不要求出具证明，5天内整改并征得发包人批复同意，否则我司愿承担罚款：施工机械、周转材料及配套施工人员未按审批进度计划开始施工前3天内到位，每项每延迟1天自愿接受罚款1万元（人民币），少一台施工机械自愿接受罚款5万元（人民币）。</w:t>
      </w:r>
    </w:p>
    <w:p>
      <w:pPr>
        <w:pStyle w:val="8"/>
        <w:spacing w:line="360" w:lineRule="auto"/>
        <w:ind w:firstLine="487" w:firstLineChars="232"/>
        <w:rPr>
          <w:szCs w:val="21"/>
          <w:highlight w:val="none"/>
        </w:rPr>
      </w:pPr>
      <w:r>
        <w:rPr>
          <w:szCs w:val="21"/>
          <w:highlight w:val="none"/>
        </w:rPr>
        <w:t>罚款以下列方式、顺序扣付：</w:t>
      </w:r>
    </w:p>
    <w:p>
      <w:pPr>
        <w:pStyle w:val="8"/>
        <w:spacing w:line="360" w:lineRule="auto"/>
        <w:ind w:firstLine="487" w:firstLineChars="232"/>
        <w:rPr>
          <w:szCs w:val="21"/>
          <w:highlight w:val="none"/>
        </w:rPr>
      </w:pPr>
      <w:r>
        <w:rPr>
          <w:rFonts w:hint="eastAsia"/>
          <w:szCs w:val="21"/>
          <w:highlight w:val="none"/>
        </w:rPr>
        <w:t>①</w:t>
      </w:r>
      <w:r>
        <w:rPr>
          <w:szCs w:val="21"/>
          <w:highlight w:val="none"/>
        </w:rPr>
        <w:t xml:space="preserve">．进度款  </w:t>
      </w:r>
      <w:r>
        <w:rPr>
          <w:rFonts w:hint="eastAsia"/>
          <w:szCs w:val="21"/>
          <w:highlight w:val="none"/>
        </w:rPr>
        <w:t>②</w:t>
      </w:r>
      <w:r>
        <w:rPr>
          <w:szCs w:val="21"/>
          <w:highlight w:val="none"/>
        </w:rPr>
        <w:t>．履约担保</w:t>
      </w:r>
    </w:p>
    <w:p>
      <w:pPr>
        <w:pStyle w:val="8"/>
        <w:adjustRightInd w:val="0"/>
        <w:snapToGrid w:val="0"/>
        <w:spacing w:line="400" w:lineRule="exact"/>
        <w:ind w:firstLine="487" w:firstLineChars="232"/>
        <w:rPr>
          <w:szCs w:val="21"/>
          <w:highlight w:val="none"/>
        </w:rPr>
      </w:pPr>
    </w:p>
    <w:p>
      <w:pPr>
        <w:pStyle w:val="8"/>
        <w:adjustRightInd w:val="0"/>
        <w:snapToGrid w:val="0"/>
        <w:spacing w:line="400" w:lineRule="exact"/>
        <w:ind w:firstLine="487" w:firstLineChars="232"/>
        <w:rPr>
          <w:szCs w:val="21"/>
          <w:highlight w:val="none"/>
        </w:rPr>
      </w:pPr>
      <w:r>
        <w:rPr>
          <w:rFonts w:hint="eastAsia"/>
          <w:szCs w:val="21"/>
          <w:highlight w:val="none"/>
        </w:rPr>
        <w:t>主要施工机械及周转材料投入要求表</w:t>
      </w:r>
    </w:p>
    <w:tbl>
      <w:tblPr>
        <w:tblStyle w:val="76"/>
        <w:tblW w:w="8647" w:type="dxa"/>
        <w:tblInd w:w="-34" w:type="dxa"/>
        <w:shd w:val="clear" w:color="auto" w:fill="FFFFFF"/>
        <w:tblLayout w:type="fixed"/>
        <w:tblCellMar>
          <w:top w:w="0" w:type="dxa"/>
          <w:left w:w="108" w:type="dxa"/>
          <w:bottom w:w="0" w:type="dxa"/>
          <w:right w:w="108" w:type="dxa"/>
        </w:tblCellMar>
      </w:tblPr>
      <w:tblGrid>
        <w:gridCol w:w="880"/>
        <w:gridCol w:w="3260"/>
        <w:gridCol w:w="1985"/>
        <w:gridCol w:w="2522"/>
      </w:tblGrid>
      <w:tr>
        <w:tblPrEx>
          <w:shd w:val="clear" w:color="auto" w:fill="FFFFFF"/>
          <w:tblCellMar>
            <w:top w:w="0" w:type="dxa"/>
            <w:left w:w="108" w:type="dxa"/>
            <w:bottom w:w="0" w:type="dxa"/>
            <w:right w:w="108" w:type="dxa"/>
          </w:tblCellMar>
        </w:tblPrEx>
        <w:trPr>
          <w:trHeight w:val="517"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rFonts w:hint="eastAsia"/>
                <w:szCs w:val="21"/>
                <w:highlight w:val="none"/>
              </w:rPr>
              <w:t>序号</w:t>
            </w:r>
          </w:p>
        </w:tc>
        <w:tc>
          <w:tcPr>
            <w:tcW w:w="3260"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rFonts w:hint="eastAsia"/>
                <w:szCs w:val="21"/>
                <w:highlight w:val="none"/>
              </w:rPr>
              <w:t>设备、材料名称</w:t>
            </w:r>
          </w:p>
        </w:tc>
        <w:tc>
          <w:tcPr>
            <w:tcW w:w="1985"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rFonts w:hint="eastAsia"/>
                <w:szCs w:val="21"/>
                <w:highlight w:val="none"/>
              </w:rPr>
              <w:t>数  量</w:t>
            </w:r>
          </w:p>
        </w:tc>
        <w:tc>
          <w:tcPr>
            <w:tcW w:w="2522"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rFonts w:hint="eastAsia"/>
                <w:szCs w:val="21"/>
                <w:highlight w:val="none"/>
              </w:rPr>
              <w:t>备  注</w:t>
            </w:r>
          </w:p>
        </w:tc>
      </w:tr>
      <w:tr>
        <w:tblPrEx>
          <w:shd w:val="clear" w:color="auto" w:fill="FFFFFF"/>
          <w:tblCellMar>
            <w:top w:w="0" w:type="dxa"/>
            <w:left w:w="108" w:type="dxa"/>
            <w:bottom w:w="0" w:type="dxa"/>
            <w:right w:w="108" w:type="dxa"/>
          </w:tblCellMar>
        </w:tblPrEx>
        <w:trPr>
          <w:trHeight w:val="55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szCs w:val="21"/>
                <w:highlight w:val="none"/>
              </w:rPr>
              <w:t>1</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highlight w:val="none"/>
              </w:rPr>
            </w:pPr>
            <w:r>
              <w:rPr>
                <w:szCs w:val="21"/>
                <w:highlight w:val="none"/>
              </w:rPr>
              <w:t>塔吊</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highlight w:val="none"/>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highlight w:val="none"/>
              </w:rPr>
            </w:pPr>
          </w:p>
        </w:tc>
      </w:tr>
      <w:tr>
        <w:tblPrEx>
          <w:tblCellMar>
            <w:top w:w="0" w:type="dxa"/>
            <w:left w:w="108" w:type="dxa"/>
            <w:bottom w:w="0" w:type="dxa"/>
            <w:right w:w="108" w:type="dxa"/>
          </w:tblCellMar>
        </w:tblPrEx>
        <w:trPr>
          <w:trHeight w:val="526"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highlight w:val="none"/>
              </w:rPr>
            </w:pPr>
            <w:r>
              <w:rPr>
                <w:rFonts w:hint="eastAsia"/>
                <w:szCs w:val="21"/>
                <w:highlight w:val="none"/>
              </w:rPr>
              <w:t>2</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highlight w:val="none"/>
              </w:rPr>
            </w:pPr>
            <w:r>
              <w:rPr>
                <w:kern w:val="0"/>
                <w:szCs w:val="21"/>
                <w:highlight w:val="none"/>
              </w:rPr>
              <w:t>冲孔桩机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highlight w:val="none"/>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highlight w:val="none"/>
              </w:rPr>
            </w:pPr>
          </w:p>
        </w:tc>
      </w:tr>
      <w:tr>
        <w:tblPrEx>
          <w:shd w:val="clear" w:color="auto" w:fill="FFFFFF"/>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highlight w:val="none"/>
              </w:rPr>
            </w:pPr>
            <w:r>
              <w:rPr>
                <w:szCs w:val="21"/>
                <w:highlight w:val="none"/>
              </w:rPr>
              <w:t>3</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kern w:val="0"/>
                <w:szCs w:val="21"/>
                <w:highlight w:val="none"/>
              </w:rPr>
            </w:pPr>
            <w:r>
              <w:rPr>
                <w:kern w:val="0"/>
                <w:szCs w:val="21"/>
                <w:highlight w:val="none"/>
              </w:rPr>
              <w:t>长螺旋桩机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highlight w:val="none"/>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kern w:val="0"/>
                <w:szCs w:val="21"/>
                <w:highlight w:val="none"/>
              </w:rPr>
            </w:pPr>
          </w:p>
        </w:tc>
      </w:tr>
      <w:tr>
        <w:tblPrEx>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highlight w:val="none"/>
              </w:rPr>
            </w:pPr>
            <w:r>
              <w:rPr>
                <w:szCs w:val="21"/>
                <w:highlight w:val="none"/>
              </w:rPr>
              <w:t>4</w:t>
            </w:r>
          </w:p>
        </w:tc>
        <w:tc>
          <w:tcPr>
            <w:tcW w:w="3260"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3" w:firstLineChars="16"/>
              <w:jc w:val="left"/>
              <w:rPr>
                <w:szCs w:val="21"/>
                <w:highlight w:val="none"/>
              </w:rPr>
            </w:pPr>
            <w:r>
              <w:rPr>
                <w:szCs w:val="21"/>
                <w:highlight w:val="none"/>
              </w:rPr>
              <w:t>挖掘机（PC200以上）</w:t>
            </w:r>
          </w:p>
        </w:tc>
        <w:tc>
          <w:tcPr>
            <w:tcW w:w="1985"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7" w:firstLineChars="18"/>
              <w:jc w:val="left"/>
              <w:rPr>
                <w:szCs w:val="21"/>
                <w:highlight w:val="none"/>
              </w:rPr>
            </w:pPr>
          </w:p>
        </w:tc>
        <w:tc>
          <w:tcPr>
            <w:tcW w:w="2522"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27" w:firstLineChars="13"/>
              <w:rPr>
                <w:szCs w:val="21"/>
                <w:highlight w:val="none"/>
              </w:rPr>
            </w:pPr>
          </w:p>
        </w:tc>
      </w:tr>
      <w:tr>
        <w:tblPrEx>
          <w:shd w:val="clear" w:color="auto" w:fill="FFFFFF"/>
          <w:tblCellMar>
            <w:top w:w="0" w:type="dxa"/>
            <w:left w:w="108" w:type="dxa"/>
            <w:bottom w:w="0" w:type="dxa"/>
            <w:right w:w="108" w:type="dxa"/>
          </w:tblCellMar>
        </w:tblPrEx>
        <w:trPr>
          <w:trHeight w:val="479"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szCs w:val="21"/>
                <w:highlight w:val="none"/>
              </w:rPr>
              <w:t>5</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highlight w:val="none"/>
              </w:rPr>
            </w:pPr>
            <w:r>
              <w:rPr>
                <w:szCs w:val="21"/>
                <w:highlight w:val="none"/>
              </w:rPr>
              <w:t>双笼施工电梯</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highlight w:val="none"/>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highlight w:val="none"/>
              </w:rPr>
            </w:pPr>
          </w:p>
        </w:tc>
      </w:tr>
      <w:tr>
        <w:tblPrEx>
          <w:tblCellMar>
            <w:top w:w="0" w:type="dxa"/>
            <w:left w:w="108" w:type="dxa"/>
            <w:bottom w:w="0" w:type="dxa"/>
            <w:right w:w="108" w:type="dxa"/>
          </w:tblCellMar>
        </w:tblPrEx>
        <w:trPr>
          <w:trHeight w:val="505"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szCs w:val="21"/>
                <w:highlight w:val="none"/>
              </w:rPr>
              <w:t>6</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highlight w:val="none"/>
              </w:rPr>
            </w:pPr>
            <w:r>
              <w:rPr>
                <w:szCs w:val="21"/>
                <w:highlight w:val="none"/>
              </w:rPr>
              <w:t>模板及支撑体系（不含地下室）</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highlight w:val="none"/>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highlight w:val="none"/>
              </w:rPr>
            </w:pPr>
          </w:p>
        </w:tc>
      </w:tr>
      <w:tr>
        <w:tblPrEx>
          <w:tblCellMar>
            <w:top w:w="0" w:type="dxa"/>
            <w:left w:w="108" w:type="dxa"/>
            <w:bottom w:w="0" w:type="dxa"/>
            <w:right w:w="108" w:type="dxa"/>
          </w:tblCellMar>
        </w:tblPrEx>
        <w:trPr>
          <w:trHeight w:val="510"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szCs w:val="21"/>
                <w:highlight w:val="none"/>
              </w:rPr>
              <w:t>7</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highlight w:val="none"/>
              </w:rPr>
            </w:pPr>
            <w:r>
              <w:rPr>
                <w:szCs w:val="21"/>
                <w:highlight w:val="none"/>
              </w:rPr>
              <w:t>地下室模板及支撑体系</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highlight w:val="none"/>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highlight w:val="none"/>
              </w:rPr>
            </w:pPr>
          </w:p>
        </w:tc>
      </w:tr>
      <w:tr>
        <w:tblPrEx>
          <w:shd w:val="clear" w:color="auto" w:fill="FFFFFF"/>
          <w:tblCellMar>
            <w:top w:w="0" w:type="dxa"/>
            <w:left w:w="108" w:type="dxa"/>
            <w:bottom w:w="0" w:type="dxa"/>
            <w:right w:w="108" w:type="dxa"/>
          </w:tblCellMar>
        </w:tblPrEx>
        <w:trPr>
          <w:trHeight w:val="589"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highlight w:val="none"/>
              </w:rPr>
            </w:pPr>
            <w:r>
              <w:rPr>
                <w:rFonts w:hint="eastAsia"/>
                <w:szCs w:val="21"/>
                <w:highlight w:val="none"/>
              </w:rPr>
              <w:t>8</w:t>
            </w:r>
          </w:p>
        </w:tc>
        <w:tc>
          <w:tcPr>
            <w:tcW w:w="3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highlight w:val="none"/>
              </w:rPr>
            </w:pPr>
            <w:r>
              <w:rPr>
                <w:szCs w:val="21"/>
                <w:highlight w:val="none"/>
              </w:rPr>
              <w:t>钢护筒</w:t>
            </w:r>
          </w:p>
        </w:tc>
        <w:tc>
          <w:tcPr>
            <w:tcW w:w="19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highlight w: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highlight w:val="none"/>
              </w:rPr>
            </w:pPr>
          </w:p>
        </w:tc>
      </w:tr>
    </w:tbl>
    <w:p>
      <w:pPr>
        <w:pStyle w:val="8"/>
        <w:adjustRightInd w:val="0"/>
        <w:snapToGrid w:val="0"/>
        <w:spacing w:line="400" w:lineRule="exact"/>
        <w:rPr>
          <w:szCs w:val="21"/>
          <w:highlight w:val="none"/>
        </w:rPr>
      </w:pPr>
      <w:r>
        <w:rPr>
          <w:rFonts w:hint="eastAsia"/>
          <w:szCs w:val="21"/>
          <w:highlight w:val="none"/>
        </w:rPr>
        <w:t>注：1.需要附设备发票或租赁合同复印件，配备熟练施工人员。塔吊司机、司索工、指挥工及人货梯司机需配备不少于2个班次的人员（两班制）。</w:t>
      </w:r>
    </w:p>
    <w:p>
      <w:pPr>
        <w:pStyle w:val="8"/>
        <w:adjustRightInd w:val="0"/>
        <w:snapToGrid w:val="0"/>
        <w:spacing w:line="400" w:lineRule="exact"/>
        <w:rPr>
          <w:szCs w:val="21"/>
          <w:highlight w:val="none"/>
        </w:rPr>
      </w:pPr>
    </w:p>
    <w:p>
      <w:pPr>
        <w:pStyle w:val="8"/>
        <w:wordWrap w:val="0"/>
        <w:adjustRightInd w:val="0"/>
        <w:snapToGrid w:val="0"/>
        <w:spacing w:line="400" w:lineRule="exact"/>
        <w:ind w:firstLine="3150" w:firstLineChars="1500"/>
        <w:jc w:val="right"/>
        <w:rPr>
          <w:szCs w:val="21"/>
          <w:highlight w:val="none"/>
        </w:rPr>
      </w:pPr>
      <w:r>
        <w:rPr>
          <w:rFonts w:hint="eastAsia"/>
          <w:szCs w:val="21"/>
          <w:highlight w:val="none"/>
        </w:rPr>
        <w:t xml:space="preserve">单位名称（盖公章）： </w:t>
      </w:r>
      <w:r>
        <w:rPr>
          <w:szCs w:val="21"/>
          <w:highlight w:val="none"/>
        </w:rPr>
        <w:t xml:space="preserve">           </w:t>
      </w:r>
    </w:p>
    <w:p>
      <w:pPr>
        <w:pStyle w:val="8"/>
        <w:wordWrap w:val="0"/>
        <w:adjustRightInd w:val="0"/>
        <w:snapToGrid w:val="0"/>
        <w:spacing w:line="400" w:lineRule="exact"/>
        <w:ind w:firstLine="3213" w:firstLineChars="1530"/>
        <w:jc w:val="right"/>
        <w:rPr>
          <w:szCs w:val="21"/>
          <w:highlight w:val="none"/>
        </w:rPr>
      </w:pPr>
      <w:r>
        <w:rPr>
          <w:rFonts w:hint="eastAsia"/>
          <w:szCs w:val="21"/>
          <w:highlight w:val="none"/>
        </w:rPr>
        <w:t xml:space="preserve">法定代表人（签字）：  </w:t>
      </w:r>
      <w:r>
        <w:rPr>
          <w:szCs w:val="21"/>
          <w:highlight w:val="none"/>
        </w:rPr>
        <w:t xml:space="preserve"> </w:t>
      </w:r>
      <w:r>
        <w:rPr>
          <w:rFonts w:hint="eastAsia"/>
          <w:szCs w:val="21"/>
          <w:highlight w:val="none"/>
        </w:rPr>
        <w:t xml:space="preserve">         </w:t>
      </w:r>
    </w:p>
    <w:p>
      <w:pPr>
        <w:pStyle w:val="8"/>
        <w:wordWrap w:val="0"/>
        <w:adjustRightInd w:val="0"/>
        <w:snapToGrid w:val="0"/>
        <w:spacing w:line="400" w:lineRule="exact"/>
        <w:ind w:firstLine="3150" w:firstLineChars="1500"/>
        <w:jc w:val="right"/>
        <w:rPr>
          <w:szCs w:val="21"/>
          <w:highlight w:val="none"/>
        </w:rPr>
      </w:pPr>
      <w:r>
        <w:rPr>
          <w:rFonts w:hint="eastAsia"/>
          <w:szCs w:val="21"/>
          <w:highlight w:val="none"/>
        </w:rPr>
        <w:t>日期：2023年   月   日</w:t>
      </w:r>
      <w:r>
        <w:rPr>
          <w:szCs w:val="21"/>
          <w:highlight w:val="none"/>
        </w:rPr>
        <w:t xml:space="preserve"> </w:t>
      </w:r>
    </w:p>
    <w:p>
      <w:pPr>
        <w:widowControl/>
        <w:jc w:val="left"/>
        <w:rPr>
          <w:szCs w:val="21"/>
          <w:highlight w:val="none"/>
        </w:rPr>
      </w:pPr>
      <w:r>
        <w:rPr>
          <w:szCs w:val="21"/>
          <w:highlight w:val="none"/>
        </w:rPr>
        <w:br w:type="page"/>
      </w:r>
    </w:p>
    <w:p>
      <w:pPr>
        <w:pStyle w:val="8"/>
        <w:adjustRightInd w:val="0"/>
        <w:snapToGrid w:val="0"/>
        <w:spacing w:line="400" w:lineRule="exact"/>
        <w:ind w:firstLine="3150" w:firstLineChars="1500"/>
        <w:jc w:val="right"/>
        <w:rPr>
          <w:szCs w:val="21"/>
          <w:highlight w:val="none"/>
        </w:rPr>
      </w:pPr>
    </w:p>
    <w:p>
      <w:pPr>
        <w:pStyle w:val="4"/>
        <w:spacing w:before="0" w:after="0" w:line="240" w:lineRule="auto"/>
        <w:jc w:val="left"/>
        <w:rPr>
          <w:rFonts w:ascii="宋体" w:hAnsi="宋体" w:eastAsia="宋体"/>
          <w:sz w:val="21"/>
          <w:szCs w:val="21"/>
          <w:highlight w:val="none"/>
        </w:rPr>
      </w:pPr>
      <w:bookmarkStart w:id="712" w:name="_Toc132813149"/>
      <w:r>
        <w:rPr>
          <w:rFonts w:hint="eastAsia" w:ascii="宋体" w:hAnsi="宋体" w:eastAsia="宋体"/>
          <w:sz w:val="21"/>
          <w:szCs w:val="21"/>
          <w:highlight w:val="none"/>
        </w:rPr>
        <w:t>附件</w:t>
      </w:r>
      <w:r>
        <w:rPr>
          <w:rFonts w:ascii="宋体" w:hAnsi="宋体" w:eastAsia="宋体"/>
          <w:sz w:val="21"/>
          <w:szCs w:val="21"/>
          <w:highlight w:val="none"/>
        </w:rPr>
        <w:t>4</w:t>
      </w:r>
      <w:r>
        <w:rPr>
          <w:rFonts w:hint="eastAsia" w:ascii="宋体" w:hAnsi="宋体" w:eastAsia="宋体"/>
          <w:sz w:val="21"/>
          <w:szCs w:val="21"/>
          <w:highlight w:val="none"/>
        </w:rPr>
        <w:t>：工期承诺书</w:t>
      </w:r>
      <w:bookmarkEnd w:id="712"/>
    </w:p>
    <w:p>
      <w:pPr>
        <w:pStyle w:val="8"/>
        <w:spacing w:after="240" w:line="360" w:lineRule="auto"/>
        <w:ind w:firstLine="0" w:firstLineChars="0"/>
        <w:jc w:val="center"/>
        <w:rPr>
          <w:sz w:val="44"/>
          <w:szCs w:val="44"/>
          <w:highlight w:val="none"/>
        </w:rPr>
      </w:pPr>
      <w:r>
        <w:rPr>
          <w:rFonts w:hint="eastAsia"/>
          <w:b/>
          <w:sz w:val="44"/>
          <w:szCs w:val="44"/>
          <w:highlight w:val="none"/>
        </w:rPr>
        <w:t>工期承诺书</w:t>
      </w: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spacing w:line="400" w:lineRule="exact"/>
        <w:rPr>
          <w:szCs w:val="21"/>
          <w:highlight w:val="none"/>
        </w:rPr>
      </w:pPr>
      <w:r>
        <w:rPr>
          <w:szCs w:val="21"/>
          <w:highlight w:val="none"/>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pPr>
        <w:pStyle w:val="8"/>
        <w:spacing w:line="400" w:lineRule="exact"/>
        <w:rPr>
          <w:szCs w:val="21"/>
          <w:highlight w:val="none"/>
        </w:rPr>
      </w:pPr>
      <w:r>
        <w:rPr>
          <w:szCs w:val="21"/>
          <w:highlight w:val="none"/>
        </w:rPr>
        <w:t>1、</w:t>
      </w:r>
      <w:r>
        <w:rPr>
          <w:rFonts w:hint="eastAsia"/>
          <w:szCs w:val="21"/>
          <w:highlight w:val="none"/>
        </w:rPr>
        <w:t>对于我司原因造成的工期延误，工期一概不得顺延；</w:t>
      </w:r>
      <w:r>
        <w:rPr>
          <w:szCs w:val="21"/>
          <w:highlight w:val="none"/>
        </w:rPr>
        <w:t>对于非我司原因发生的工期延误，我司</w:t>
      </w:r>
      <w:r>
        <w:rPr>
          <w:rFonts w:hint="eastAsia"/>
          <w:szCs w:val="21"/>
          <w:highlight w:val="none"/>
        </w:rPr>
        <w:t>承诺争取</w:t>
      </w:r>
      <w:r>
        <w:rPr>
          <w:szCs w:val="21"/>
          <w:highlight w:val="none"/>
        </w:rPr>
        <w:t>采取合理有效的赶工措施</w:t>
      </w:r>
      <w:r>
        <w:rPr>
          <w:rFonts w:hint="eastAsia"/>
          <w:szCs w:val="21"/>
          <w:highlight w:val="none"/>
        </w:rPr>
        <w:t>，并</w:t>
      </w:r>
      <w:r>
        <w:rPr>
          <w:szCs w:val="21"/>
          <w:highlight w:val="none"/>
        </w:rPr>
        <w:t>在工期延误发生之日起及时（原则上为14天内）就延误的内容和因此发生的经济支出向总监理工程师及发包人提出书面报告及申请。</w:t>
      </w:r>
    </w:p>
    <w:p>
      <w:pPr>
        <w:pStyle w:val="8"/>
        <w:spacing w:line="400" w:lineRule="exact"/>
        <w:rPr>
          <w:szCs w:val="21"/>
          <w:highlight w:val="none"/>
        </w:rPr>
      </w:pPr>
      <w:r>
        <w:rPr>
          <w:szCs w:val="21"/>
          <w:highlight w:val="none"/>
        </w:rPr>
        <w:t>2、配合发包人工期计划安排，按投标工期及关键节点工期完成招标范围内的各项工作。</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57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highlight w:val="none"/>
              </w:rPr>
            </w:pPr>
            <w:r>
              <w:rPr>
                <w:b/>
                <w:szCs w:val="21"/>
                <w:highlight w:val="none"/>
              </w:rPr>
              <w:t>序号</w:t>
            </w:r>
          </w:p>
        </w:tc>
        <w:tc>
          <w:tcPr>
            <w:tcW w:w="4579" w:type="dxa"/>
            <w:vAlign w:val="center"/>
          </w:tcPr>
          <w:p>
            <w:pPr>
              <w:adjustRightInd w:val="0"/>
              <w:snapToGrid w:val="0"/>
              <w:jc w:val="center"/>
              <w:rPr>
                <w:b/>
                <w:szCs w:val="21"/>
                <w:highlight w:val="none"/>
              </w:rPr>
            </w:pPr>
            <w:r>
              <w:rPr>
                <w:rFonts w:hint="eastAsia"/>
                <w:b/>
                <w:szCs w:val="21"/>
                <w:highlight w:val="none"/>
              </w:rPr>
              <w:t>施工阶段</w:t>
            </w:r>
            <w:r>
              <w:rPr>
                <w:b/>
                <w:szCs w:val="21"/>
                <w:highlight w:val="none"/>
              </w:rPr>
              <w:t>关键工期节点</w:t>
            </w:r>
          </w:p>
        </w:tc>
        <w:tc>
          <w:tcPr>
            <w:tcW w:w="2977" w:type="dxa"/>
            <w:vAlign w:val="center"/>
          </w:tcPr>
          <w:p>
            <w:pPr>
              <w:adjustRightInd w:val="0"/>
              <w:snapToGrid w:val="0"/>
              <w:ind w:hanging="15"/>
              <w:jc w:val="center"/>
              <w:rPr>
                <w:b/>
                <w:szCs w:val="21"/>
                <w:highlight w:val="none"/>
              </w:rPr>
            </w:pPr>
            <w:r>
              <w:rPr>
                <w:b/>
                <w:szCs w:val="21"/>
                <w:highlight w:val="none"/>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1</w:t>
            </w:r>
          </w:p>
        </w:tc>
        <w:tc>
          <w:tcPr>
            <w:tcW w:w="4579" w:type="dxa"/>
            <w:vAlign w:val="center"/>
          </w:tcPr>
          <w:p>
            <w:pPr>
              <w:jc w:val="left"/>
              <w:rPr>
                <w:highlight w:val="none"/>
              </w:rPr>
            </w:pPr>
            <w:r>
              <w:rPr>
                <w:rFonts w:hint="eastAsia"/>
                <w:highlight w:val="none"/>
              </w:rPr>
              <w:t>完成桩基础（含支护桩、土方开挖工程）</w:t>
            </w:r>
          </w:p>
        </w:tc>
        <w:tc>
          <w:tcPr>
            <w:tcW w:w="2977" w:type="dxa"/>
          </w:tcPr>
          <w:p>
            <w:pPr>
              <w:jc w:val="center"/>
              <w:rPr>
                <w:highlight w:val="none"/>
              </w:rPr>
            </w:pPr>
            <w:r>
              <w:rPr>
                <w:rFonts w:hint="eastAsia"/>
                <w:highlight w:val="none"/>
              </w:rPr>
              <w:t>发出开工令37日历天内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2</w:t>
            </w:r>
          </w:p>
        </w:tc>
        <w:tc>
          <w:tcPr>
            <w:tcW w:w="4579" w:type="dxa"/>
            <w:vAlign w:val="center"/>
          </w:tcPr>
          <w:p>
            <w:pPr>
              <w:jc w:val="left"/>
              <w:rPr>
                <w:highlight w:val="none"/>
              </w:rPr>
            </w:pPr>
            <w:r>
              <w:rPr>
                <w:rFonts w:hint="eastAsia"/>
                <w:highlight w:val="none"/>
              </w:rPr>
              <w:t>地下室结构工程（正负零以下）</w:t>
            </w:r>
          </w:p>
        </w:tc>
        <w:tc>
          <w:tcPr>
            <w:tcW w:w="2977" w:type="dxa"/>
          </w:tcPr>
          <w:p>
            <w:pPr>
              <w:jc w:val="center"/>
              <w:rPr>
                <w:highlight w:val="none"/>
              </w:rPr>
            </w:pPr>
            <w:r>
              <w:rPr>
                <w:rFonts w:hint="eastAsia"/>
                <w:highlight w:val="none"/>
              </w:rPr>
              <w:t>发出开工令130日历天内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3</w:t>
            </w:r>
          </w:p>
        </w:tc>
        <w:tc>
          <w:tcPr>
            <w:tcW w:w="4579" w:type="dxa"/>
            <w:vAlign w:val="center"/>
          </w:tcPr>
          <w:p>
            <w:pPr>
              <w:jc w:val="left"/>
              <w:rPr>
                <w:highlight w:val="none"/>
              </w:rPr>
            </w:pPr>
            <w:r>
              <w:rPr>
                <w:rFonts w:hint="eastAsia"/>
                <w:highlight w:val="none"/>
              </w:rPr>
              <w:t>主体结构工程（封顶）</w:t>
            </w:r>
          </w:p>
        </w:tc>
        <w:tc>
          <w:tcPr>
            <w:tcW w:w="2977" w:type="dxa"/>
          </w:tcPr>
          <w:p>
            <w:pPr>
              <w:jc w:val="center"/>
              <w:rPr>
                <w:highlight w:val="none"/>
              </w:rPr>
            </w:pPr>
            <w:r>
              <w:rPr>
                <w:rFonts w:hint="eastAsia"/>
                <w:highlight w:val="none"/>
              </w:rPr>
              <w:t>发出开工令180日历天内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4</w:t>
            </w:r>
          </w:p>
        </w:tc>
        <w:tc>
          <w:tcPr>
            <w:tcW w:w="4579" w:type="dxa"/>
            <w:vAlign w:val="center"/>
          </w:tcPr>
          <w:p>
            <w:pPr>
              <w:jc w:val="left"/>
              <w:rPr>
                <w:highlight w:val="none"/>
              </w:rPr>
            </w:pPr>
            <w:r>
              <w:rPr>
                <w:rFonts w:hint="eastAsia"/>
                <w:highlight w:val="none"/>
              </w:rPr>
              <w:t>砌体工程</w:t>
            </w:r>
          </w:p>
        </w:tc>
        <w:tc>
          <w:tcPr>
            <w:tcW w:w="2977" w:type="dxa"/>
          </w:tcPr>
          <w:p>
            <w:pPr>
              <w:jc w:val="center"/>
              <w:rPr>
                <w:highlight w:val="none"/>
              </w:rPr>
            </w:pPr>
            <w:r>
              <w:rPr>
                <w:rFonts w:hint="eastAsia"/>
                <w:highlight w:val="none"/>
              </w:rPr>
              <w:t>发出开工令270日历天内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5</w:t>
            </w:r>
          </w:p>
        </w:tc>
        <w:tc>
          <w:tcPr>
            <w:tcW w:w="4579" w:type="dxa"/>
            <w:vAlign w:val="center"/>
          </w:tcPr>
          <w:p>
            <w:pPr>
              <w:jc w:val="left"/>
              <w:rPr>
                <w:highlight w:val="none"/>
              </w:rPr>
            </w:pPr>
            <w:r>
              <w:rPr>
                <w:rFonts w:hint="eastAsia"/>
                <w:highlight w:val="none"/>
              </w:rPr>
              <w:t>外墙抹灰及饰面工程</w:t>
            </w:r>
          </w:p>
        </w:tc>
        <w:tc>
          <w:tcPr>
            <w:tcW w:w="2977" w:type="dxa"/>
          </w:tcPr>
          <w:p>
            <w:pPr>
              <w:jc w:val="center"/>
              <w:rPr>
                <w:highlight w:val="none"/>
              </w:rPr>
            </w:pPr>
            <w:r>
              <w:rPr>
                <w:rFonts w:hint="eastAsia"/>
                <w:highlight w:val="none"/>
              </w:rPr>
              <w:t>发出开工令315日历天内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6</w:t>
            </w:r>
          </w:p>
        </w:tc>
        <w:tc>
          <w:tcPr>
            <w:tcW w:w="4579" w:type="dxa"/>
            <w:vAlign w:val="center"/>
          </w:tcPr>
          <w:p>
            <w:pPr>
              <w:jc w:val="left"/>
              <w:rPr>
                <w:highlight w:val="none"/>
              </w:rPr>
            </w:pPr>
            <w:r>
              <w:rPr>
                <w:rFonts w:hint="eastAsia"/>
                <w:highlight w:val="none"/>
              </w:rPr>
              <w:t>室内装饰工程（含地下室）</w:t>
            </w:r>
          </w:p>
        </w:tc>
        <w:tc>
          <w:tcPr>
            <w:tcW w:w="2977" w:type="dxa"/>
          </w:tcPr>
          <w:p>
            <w:pPr>
              <w:jc w:val="center"/>
              <w:rPr>
                <w:highlight w:val="none"/>
              </w:rPr>
            </w:pPr>
            <w:r>
              <w:rPr>
                <w:rFonts w:hint="eastAsia"/>
                <w:highlight w:val="none"/>
              </w:rPr>
              <w:t>发出开工令365日历天内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7</w:t>
            </w:r>
          </w:p>
        </w:tc>
        <w:tc>
          <w:tcPr>
            <w:tcW w:w="4579" w:type="dxa"/>
            <w:vAlign w:val="center"/>
          </w:tcPr>
          <w:p>
            <w:pPr>
              <w:jc w:val="left"/>
              <w:rPr>
                <w:highlight w:val="none"/>
              </w:rPr>
            </w:pPr>
            <w:r>
              <w:rPr>
                <w:rFonts w:hint="eastAsia"/>
                <w:highlight w:val="none"/>
              </w:rPr>
              <w:t>室内设备安装工程</w:t>
            </w:r>
          </w:p>
        </w:tc>
        <w:tc>
          <w:tcPr>
            <w:tcW w:w="2977" w:type="dxa"/>
          </w:tcPr>
          <w:p>
            <w:pPr>
              <w:jc w:val="center"/>
              <w:rPr>
                <w:highlight w:val="none"/>
              </w:rPr>
            </w:pPr>
            <w:r>
              <w:rPr>
                <w:rFonts w:hint="eastAsia"/>
                <w:highlight w:val="none"/>
              </w:rPr>
              <w:t>发出开工令665日历天内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8</w:t>
            </w:r>
          </w:p>
        </w:tc>
        <w:tc>
          <w:tcPr>
            <w:tcW w:w="4579" w:type="dxa"/>
            <w:vAlign w:val="center"/>
          </w:tcPr>
          <w:p>
            <w:pPr>
              <w:jc w:val="left"/>
              <w:rPr>
                <w:highlight w:val="none"/>
              </w:rPr>
            </w:pPr>
            <w:r>
              <w:rPr>
                <w:rFonts w:hint="eastAsia"/>
                <w:highlight w:val="none"/>
              </w:rPr>
              <w:t>室外配套工程（含管网、绿化、道路、球场）</w:t>
            </w:r>
          </w:p>
        </w:tc>
        <w:tc>
          <w:tcPr>
            <w:tcW w:w="2977" w:type="dxa"/>
          </w:tcPr>
          <w:p>
            <w:pPr>
              <w:jc w:val="center"/>
              <w:rPr>
                <w:highlight w:val="none"/>
              </w:rPr>
            </w:pPr>
            <w:r>
              <w:rPr>
                <w:rFonts w:hint="eastAsia"/>
                <w:highlight w:val="none"/>
              </w:rPr>
              <w:t>发出开工令770日历天内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highlight w:val="none"/>
              </w:rPr>
            </w:pPr>
            <w:r>
              <w:rPr>
                <w:rFonts w:hint="eastAsia"/>
                <w:szCs w:val="21"/>
                <w:highlight w:val="none"/>
              </w:rPr>
              <w:t>9</w:t>
            </w:r>
          </w:p>
        </w:tc>
        <w:tc>
          <w:tcPr>
            <w:tcW w:w="4579" w:type="dxa"/>
            <w:vAlign w:val="center"/>
          </w:tcPr>
          <w:p>
            <w:pPr>
              <w:jc w:val="left"/>
              <w:rPr>
                <w:highlight w:val="none"/>
              </w:rPr>
            </w:pPr>
            <w:r>
              <w:rPr>
                <w:rFonts w:hint="eastAsia"/>
                <w:highlight w:val="none"/>
              </w:rPr>
              <w:t>竣工验收</w:t>
            </w:r>
          </w:p>
        </w:tc>
        <w:tc>
          <w:tcPr>
            <w:tcW w:w="2977" w:type="dxa"/>
          </w:tcPr>
          <w:p>
            <w:pPr>
              <w:jc w:val="center"/>
              <w:rPr>
                <w:highlight w:val="none"/>
              </w:rPr>
            </w:pPr>
            <w:r>
              <w:rPr>
                <w:rFonts w:hint="eastAsia"/>
                <w:highlight w:val="none"/>
              </w:rPr>
              <w:t>发出开工令821日历天内</w:t>
            </w:r>
          </w:p>
        </w:tc>
      </w:tr>
    </w:tbl>
    <w:p>
      <w:pPr>
        <w:pStyle w:val="8"/>
        <w:spacing w:line="400" w:lineRule="exact"/>
        <w:rPr>
          <w:szCs w:val="21"/>
          <w:highlight w:val="none"/>
        </w:rPr>
      </w:pPr>
      <w:r>
        <w:rPr>
          <w:szCs w:val="21"/>
          <w:highlight w:val="none"/>
        </w:rPr>
        <w:t>3、我司</w:t>
      </w:r>
      <w:r>
        <w:rPr>
          <w:rFonts w:hint="eastAsia"/>
          <w:szCs w:val="21"/>
          <w:highlight w:val="none"/>
        </w:rPr>
        <w:t>承诺将积极</w:t>
      </w:r>
      <w:r>
        <w:rPr>
          <w:szCs w:val="21"/>
          <w:highlight w:val="none"/>
        </w:rPr>
        <w:t>响应</w:t>
      </w:r>
      <w:r>
        <w:rPr>
          <w:rFonts w:hint="eastAsia"/>
          <w:szCs w:val="21"/>
          <w:highlight w:val="none"/>
        </w:rPr>
        <w:t>发包人对工期</w:t>
      </w:r>
      <w:r>
        <w:rPr>
          <w:szCs w:val="21"/>
          <w:highlight w:val="none"/>
        </w:rPr>
        <w:t>的要求而调整工期，加大人材机投入，优化施工方案，以满足</w:t>
      </w:r>
      <w:r>
        <w:rPr>
          <w:rFonts w:hint="eastAsia"/>
          <w:szCs w:val="21"/>
          <w:highlight w:val="none"/>
        </w:rPr>
        <w:t>发包人</w:t>
      </w:r>
      <w:r>
        <w:rPr>
          <w:szCs w:val="21"/>
          <w:highlight w:val="none"/>
        </w:rPr>
        <w:t>竣工要求。</w:t>
      </w:r>
    </w:p>
    <w:p>
      <w:pPr>
        <w:pStyle w:val="8"/>
        <w:spacing w:line="400" w:lineRule="exact"/>
        <w:rPr>
          <w:szCs w:val="21"/>
          <w:highlight w:val="none"/>
        </w:rPr>
      </w:pPr>
      <w:r>
        <w:rPr>
          <w:szCs w:val="21"/>
          <w:highlight w:val="none"/>
        </w:rPr>
        <w:t>我司承诺执行上述内容而需赶工的费用已综合考虑到投标总报价中，除非发包人同意，否则不再向发包人申请赶工费。</w:t>
      </w:r>
    </w:p>
    <w:p>
      <w:pPr>
        <w:pStyle w:val="8"/>
        <w:spacing w:line="400" w:lineRule="exact"/>
        <w:rPr>
          <w:szCs w:val="21"/>
          <w:highlight w:val="none"/>
        </w:rPr>
      </w:pPr>
      <w:r>
        <w:rPr>
          <w:szCs w:val="21"/>
          <w:highlight w:val="none"/>
        </w:rPr>
        <w:t>我司也充分了解到合同条款中专用条款的违约责任中的所有违约责任。</w:t>
      </w:r>
    </w:p>
    <w:p>
      <w:pPr>
        <w:pStyle w:val="8"/>
        <w:spacing w:line="400" w:lineRule="exact"/>
        <w:rPr>
          <w:szCs w:val="21"/>
          <w:highlight w:val="none"/>
        </w:rPr>
      </w:pPr>
      <w:r>
        <w:rPr>
          <w:szCs w:val="21"/>
          <w:highlight w:val="none"/>
        </w:rPr>
        <w:t>我司承诺由于我司原因造成的</w:t>
      </w:r>
      <w:r>
        <w:rPr>
          <w:szCs w:val="21"/>
          <w:highlight w:val="none"/>
        </w:rPr>
        <w:fldChar w:fldCharType="begin"/>
      </w:r>
      <w:r>
        <w:rPr>
          <w:szCs w:val="21"/>
          <w:highlight w:val="none"/>
        </w:rPr>
        <w:instrText xml:space="preserve"> = 1 \* ROMAN \* MERGEFORMAT </w:instrText>
      </w:r>
      <w:r>
        <w:rPr>
          <w:szCs w:val="21"/>
          <w:highlight w:val="none"/>
        </w:rPr>
        <w:fldChar w:fldCharType="separate"/>
      </w:r>
      <w:r>
        <w:rPr>
          <w:szCs w:val="21"/>
          <w:highlight w:val="none"/>
        </w:rPr>
        <w:t>I</w:t>
      </w:r>
      <w:r>
        <w:rPr>
          <w:szCs w:val="21"/>
          <w:highlight w:val="none"/>
        </w:rPr>
        <w:fldChar w:fldCharType="end"/>
      </w:r>
      <w:r>
        <w:rPr>
          <w:szCs w:val="21"/>
          <w:highlight w:val="none"/>
        </w:rPr>
        <w:t>级关键节点工期延误，</w:t>
      </w:r>
      <w:r>
        <w:rPr>
          <w:rFonts w:hint="eastAsia"/>
          <w:szCs w:val="21"/>
          <w:highlight w:val="none"/>
        </w:rPr>
        <w:t>在收到书面通知后，不挑剔、不争辩，</w:t>
      </w:r>
      <w:r>
        <w:rPr>
          <w:szCs w:val="21"/>
          <w:highlight w:val="none"/>
        </w:rPr>
        <w:t>自愿承担</w:t>
      </w:r>
      <w:r>
        <w:rPr>
          <w:rFonts w:hint="eastAsia"/>
          <w:szCs w:val="21"/>
          <w:highlight w:val="none"/>
        </w:rPr>
        <w:t>合同相应违约责任</w:t>
      </w:r>
      <w:r>
        <w:rPr>
          <w:szCs w:val="21"/>
          <w:highlight w:val="none"/>
        </w:rPr>
        <w:t>。</w:t>
      </w:r>
    </w:p>
    <w:p>
      <w:pPr>
        <w:pStyle w:val="8"/>
        <w:spacing w:line="400" w:lineRule="exact"/>
        <w:rPr>
          <w:szCs w:val="21"/>
          <w:highlight w:val="none"/>
        </w:rPr>
      </w:pPr>
    </w:p>
    <w:p>
      <w:pPr>
        <w:pStyle w:val="8"/>
        <w:spacing w:line="360" w:lineRule="auto"/>
        <w:ind w:firstLine="556" w:firstLineChars="232"/>
        <w:rPr>
          <w:sz w:val="24"/>
          <w:highlight w:val="none"/>
        </w:rPr>
      </w:pPr>
    </w:p>
    <w:p>
      <w:pPr>
        <w:pStyle w:val="8"/>
        <w:spacing w:line="360" w:lineRule="auto"/>
        <w:ind w:left="5103" w:leftChars="2430" w:firstLine="480"/>
        <w:rPr>
          <w:sz w:val="24"/>
          <w:highlight w:val="none"/>
        </w:rPr>
      </w:pPr>
      <w:r>
        <w:rPr>
          <w:sz w:val="24"/>
          <w:highlight w:val="none"/>
        </w:rPr>
        <w:t xml:space="preserve">单位名称（盖公章）：   </w:t>
      </w:r>
    </w:p>
    <w:p>
      <w:pPr>
        <w:pStyle w:val="8"/>
        <w:spacing w:line="360" w:lineRule="auto"/>
        <w:ind w:left="5103" w:leftChars="2430" w:firstLine="480"/>
        <w:rPr>
          <w:sz w:val="24"/>
          <w:highlight w:val="none"/>
        </w:rPr>
      </w:pPr>
      <w:r>
        <w:rPr>
          <w:sz w:val="24"/>
          <w:highlight w:val="none"/>
        </w:rPr>
        <w:t xml:space="preserve">法定代表人（签字）：   </w:t>
      </w:r>
    </w:p>
    <w:p>
      <w:pPr>
        <w:pStyle w:val="8"/>
        <w:spacing w:line="360" w:lineRule="auto"/>
        <w:ind w:left="5103" w:leftChars="2430" w:firstLine="480"/>
        <w:rPr>
          <w:sz w:val="24"/>
          <w:highlight w:val="none"/>
        </w:rPr>
      </w:pPr>
      <w:r>
        <w:rPr>
          <w:sz w:val="24"/>
          <w:highlight w:val="none"/>
        </w:rPr>
        <w:t>日期：</w:t>
      </w:r>
      <w:r>
        <w:rPr>
          <w:rFonts w:hint="eastAsia"/>
          <w:sz w:val="24"/>
          <w:highlight w:val="none"/>
        </w:rPr>
        <w:t>2023</w:t>
      </w:r>
      <w:r>
        <w:rPr>
          <w:sz w:val="24"/>
          <w:highlight w:val="none"/>
        </w:rPr>
        <w:t>年   月   日</w:t>
      </w:r>
    </w:p>
    <w:p>
      <w:pPr>
        <w:pStyle w:val="4"/>
        <w:jc w:val="left"/>
        <w:rPr>
          <w:rFonts w:ascii="宋体" w:hAnsi="宋体" w:eastAsia="宋体"/>
          <w:sz w:val="21"/>
          <w:szCs w:val="21"/>
          <w:highlight w:val="none"/>
        </w:rPr>
      </w:pPr>
      <w:r>
        <w:rPr>
          <w:sz w:val="24"/>
          <w:highlight w:val="none"/>
        </w:rPr>
        <w:br w:type="page"/>
      </w:r>
      <w:bookmarkStart w:id="713" w:name="_Toc132813150"/>
      <w:r>
        <w:rPr>
          <w:rFonts w:hint="eastAsia" w:ascii="宋体" w:hAnsi="宋体" w:eastAsia="宋体"/>
          <w:sz w:val="21"/>
          <w:szCs w:val="21"/>
          <w:highlight w:val="none"/>
        </w:rPr>
        <w:t>附件</w:t>
      </w:r>
      <w:r>
        <w:rPr>
          <w:rFonts w:ascii="宋体" w:hAnsi="宋体" w:eastAsia="宋体"/>
          <w:sz w:val="21"/>
          <w:szCs w:val="21"/>
          <w:highlight w:val="none"/>
        </w:rPr>
        <w:t>5</w:t>
      </w:r>
      <w:r>
        <w:rPr>
          <w:rFonts w:hint="eastAsia" w:ascii="宋体" w:hAnsi="宋体" w:eastAsia="宋体"/>
          <w:sz w:val="21"/>
          <w:szCs w:val="21"/>
          <w:highlight w:val="none"/>
        </w:rPr>
        <w:t>：施工交叉作业承诺书</w:t>
      </w:r>
      <w:bookmarkEnd w:id="713"/>
    </w:p>
    <w:p>
      <w:pPr>
        <w:pStyle w:val="8"/>
        <w:spacing w:after="240" w:line="360" w:lineRule="auto"/>
        <w:ind w:firstLine="0" w:firstLineChars="0"/>
        <w:jc w:val="center"/>
        <w:rPr>
          <w:sz w:val="44"/>
          <w:szCs w:val="44"/>
          <w:highlight w:val="none"/>
        </w:rPr>
      </w:pPr>
      <w:r>
        <w:rPr>
          <w:rFonts w:hint="eastAsia"/>
          <w:b/>
          <w:sz w:val="44"/>
          <w:szCs w:val="44"/>
          <w:highlight w:val="none"/>
        </w:rPr>
        <w:t>施工交叉作业承诺书</w:t>
      </w: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spacing w:line="360" w:lineRule="auto"/>
        <w:ind w:firstLine="480"/>
        <w:rPr>
          <w:sz w:val="24"/>
          <w:highlight w:val="none"/>
        </w:rPr>
      </w:pPr>
      <w:r>
        <w:rPr>
          <w:rFonts w:hint="eastAsia"/>
          <w:sz w:val="24"/>
          <w:highlight w:val="none"/>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5万元人民币罚款。</w:t>
      </w:r>
    </w:p>
    <w:p>
      <w:pPr>
        <w:pStyle w:val="8"/>
        <w:spacing w:line="360" w:lineRule="auto"/>
        <w:ind w:firstLine="480"/>
        <w:rPr>
          <w:sz w:val="24"/>
          <w:highlight w:val="none"/>
        </w:rPr>
      </w:pPr>
      <w:r>
        <w:rPr>
          <w:rFonts w:hint="eastAsia"/>
          <w:sz w:val="24"/>
          <w:highlight w:val="none"/>
        </w:rPr>
        <w:t>与其他承包人交叉作业时，如发生有工作面，经发包人协调仍未施工的情况，发包人有权指定其他承包人完成该项工程，费用按实际发生的1.5倍从我司工程款中扣除，并自愿接受每次5万元人民币罚款。如因我司原因未能按发包人要求移交场地，自愿接受每次5万元人民币罚款。</w:t>
      </w:r>
    </w:p>
    <w:p>
      <w:pPr>
        <w:pStyle w:val="8"/>
        <w:spacing w:line="360" w:lineRule="auto"/>
        <w:ind w:firstLine="480"/>
        <w:rPr>
          <w:sz w:val="24"/>
          <w:highlight w:val="none"/>
        </w:rPr>
      </w:pPr>
      <w:r>
        <w:rPr>
          <w:rFonts w:hint="eastAsia"/>
          <w:sz w:val="24"/>
          <w:highlight w:val="none"/>
        </w:rPr>
        <w:t>罚款以下列方式、顺序扣付：</w:t>
      </w:r>
    </w:p>
    <w:p>
      <w:pPr>
        <w:pStyle w:val="8"/>
        <w:numPr>
          <w:ilvl w:val="0"/>
          <w:numId w:val="18"/>
        </w:numPr>
        <w:spacing w:line="360" w:lineRule="auto"/>
        <w:ind w:firstLineChars="0"/>
        <w:rPr>
          <w:sz w:val="24"/>
          <w:highlight w:val="none"/>
        </w:rPr>
      </w:pP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spacing w:line="360" w:lineRule="auto"/>
        <w:ind w:firstLine="480"/>
        <w:rPr>
          <w:sz w:val="24"/>
          <w:highlight w:val="none"/>
        </w:rPr>
      </w:pPr>
    </w:p>
    <w:p>
      <w:pPr>
        <w:pStyle w:val="8"/>
        <w:spacing w:line="360" w:lineRule="auto"/>
        <w:ind w:firstLine="556" w:firstLineChars="232"/>
        <w:rPr>
          <w:sz w:val="24"/>
          <w:highlight w:val="none"/>
        </w:rPr>
      </w:pPr>
    </w:p>
    <w:p>
      <w:pPr>
        <w:pStyle w:val="8"/>
        <w:spacing w:line="360" w:lineRule="auto"/>
        <w:ind w:firstLine="556" w:firstLineChars="232"/>
        <w:rPr>
          <w:sz w:val="24"/>
          <w:highlight w:val="none"/>
        </w:rPr>
      </w:pPr>
    </w:p>
    <w:p>
      <w:pPr>
        <w:pStyle w:val="8"/>
        <w:spacing w:line="360" w:lineRule="auto"/>
        <w:ind w:firstLine="5580" w:firstLineChars="2325"/>
        <w:jc w:val="left"/>
        <w:rPr>
          <w:sz w:val="24"/>
          <w:highlight w:val="none"/>
        </w:rPr>
      </w:pPr>
      <w:r>
        <w:rPr>
          <w:rFonts w:hint="eastAsia"/>
          <w:sz w:val="24"/>
          <w:highlight w:val="none"/>
        </w:rPr>
        <w:t>单位名称（盖公章）：</w:t>
      </w:r>
    </w:p>
    <w:p>
      <w:pPr>
        <w:pStyle w:val="8"/>
        <w:spacing w:line="360" w:lineRule="auto"/>
        <w:ind w:firstLine="5580" w:firstLineChars="2325"/>
        <w:jc w:val="left"/>
        <w:rPr>
          <w:sz w:val="24"/>
          <w:highlight w:val="none"/>
        </w:rPr>
      </w:pPr>
    </w:p>
    <w:p>
      <w:pPr>
        <w:pStyle w:val="8"/>
        <w:spacing w:line="360" w:lineRule="auto"/>
        <w:ind w:firstLine="5580" w:firstLineChars="2325"/>
        <w:jc w:val="left"/>
        <w:rPr>
          <w:sz w:val="24"/>
          <w:highlight w:val="none"/>
        </w:rPr>
      </w:pPr>
      <w:r>
        <w:rPr>
          <w:rFonts w:hint="eastAsia"/>
          <w:sz w:val="24"/>
          <w:highlight w:val="none"/>
        </w:rPr>
        <w:t>法定代表人（签字）：</w:t>
      </w:r>
    </w:p>
    <w:p>
      <w:pPr>
        <w:pStyle w:val="8"/>
        <w:spacing w:line="360" w:lineRule="auto"/>
        <w:ind w:firstLine="5580" w:firstLineChars="2325"/>
        <w:jc w:val="left"/>
        <w:rPr>
          <w:sz w:val="24"/>
          <w:highlight w:val="none"/>
        </w:rPr>
      </w:pPr>
    </w:p>
    <w:p>
      <w:pPr>
        <w:pStyle w:val="8"/>
        <w:spacing w:line="360" w:lineRule="auto"/>
        <w:ind w:left="5527" w:leftChars="2632" w:firstLine="0" w:firstLineChars="0"/>
        <w:jc w:val="left"/>
        <w:rPr>
          <w:sz w:val="24"/>
          <w:highlight w:val="none"/>
        </w:rPr>
      </w:pPr>
      <w:r>
        <w:rPr>
          <w:rFonts w:hint="eastAsia"/>
          <w:sz w:val="24"/>
          <w:highlight w:val="none"/>
        </w:rPr>
        <w:t>日期：2023年   月   日</w:t>
      </w:r>
    </w:p>
    <w:p>
      <w:pPr>
        <w:pStyle w:val="8"/>
        <w:spacing w:line="360" w:lineRule="auto"/>
        <w:ind w:firstLine="4756" w:firstLineChars="1982"/>
        <w:rPr>
          <w:sz w:val="24"/>
          <w:highlight w:val="none"/>
        </w:rPr>
      </w:pPr>
    </w:p>
    <w:p>
      <w:pPr>
        <w:pStyle w:val="8"/>
        <w:spacing w:line="360" w:lineRule="auto"/>
        <w:ind w:firstLine="4756" w:firstLineChars="1982"/>
        <w:rPr>
          <w:sz w:val="24"/>
          <w:highlight w:val="none"/>
        </w:rPr>
      </w:pPr>
    </w:p>
    <w:p>
      <w:pPr>
        <w:widowControl/>
        <w:jc w:val="left"/>
        <w:rPr>
          <w:sz w:val="24"/>
          <w:highlight w:val="none"/>
        </w:rPr>
      </w:pP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14" w:name="_Toc132813151"/>
      <w:r>
        <w:rPr>
          <w:rFonts w:hint="eastAsia" w:ascii="宋体" w:hAnsi="宋体" w:eastAsia="宋体"/>
          <w:sz w:val="21"/>
          <w:szCs w:val="21"/>
          <w:highlight w:val="none"/>
        </w:rPr>
        <w:t>附件</w:t>
      </w:r>
      <w:r>
        <w:rPr>
          <w:rFonts w:ascii="宋体" w:hAnsi="宋体" w:eastAsia="宋体"/>
          <w:sz w:val="21"/>
          <w:szCs w:val="21"/>
          <w:highlight w:val="none"/>
        </w:rPr>
        <w:t>6</w:t>
      </w:r>
      <w:r>
        <w:rPr>
          <w:rFonts w:hint="eastAsia" w:ascii="宋体" w:hAnsi="宋体" w:eastAsia="宋体"/>
          <w:sz w:val="21"/>
          <w:szCs w:val="21"/>
          <w:highlight w:val="none"/>
        </w:rPr>
        <w:t>：施工投入承诺书</w:t>
      </w:r>
      <w:bookmarkEnd w:id="714"/>
    </w:p>
    <w:p>
      <w:pPr>
        <w:pStyle w:val="8"/>
        <w:ind w:firstLine="0" w:firstLineChars="0"/>
        <w:jc w:val="center"/>
        <w:rPr>
          <w:b/>
          <w:sz w:val="44"/>
          <w:szCs w:val="44"/>
          <w:highlight w:val="none"/>
        </w:rPr>
      </w:pPr>
      <w:r>
        <w:rPr>
          <w:rFonts w:hint="eastAsia"/>
          <w:b/>
          <w:sz w:val="44"/>
          <w:szCs w:val="44"/>
          <w:highlight w:val="none"/>
        </w:rPr>
        <w:t>施工投入承诺书</w:t>
      </w:r>
    </w:p>
    <w:p>
      <w:pPr>
        <w:pStyle w:val="8"/>
        <w:ind w:firstLine="883"/>
        <w:jc w:val="center"/>
        <w:rPr>
          <w:b/>
          <w:sz w:val="44"/>
          <w:szCs w:val="4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spacing w:line="360" w:lineRule="auto"/>
        <w:ind w:firstLine="480"/>
        <w:rPr>
          <w:sz w:val="24"/>
          <w:highlight w:val="none"/>
        </w:rPr>
      </w:pPr>
      <w:r>
        <w:rPr>
          <w:sz w:val="24"/>
          <w:highlight w:val="none"/>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pPr>
        <w:pStyle w:val="8"/>
        <w:spacing w:line="360" w:lineRule="auto"/>
        <w:ind w:firstLine="480"/>
        <w:rPr>
          <w:sz w:val="24"/>
          <w:highlight w:val="none"/>
        </w:rPr>
      </w:pPr>
      <w:r>
        <w:rPr>
          <w:sz w:val="24"/>
          <w:highlight w:val="none"/>
        </w:rPr>
        <w:t>1、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pPr>
        <w:pStyle w:val="8"/>
        <w:spacing w:line="360" w:lineRule="auto"/>
        <w:ind w:firstLine="480"/>
        <w:rPr>
          <w:sz w:val="24"/>
          <w:highlight w:val="none"/>
        </w:rPr>
      </w:pPr>
      <w:r>
        <w:rPr>
          <w:sz w:val="24"/>
          <w:highlight w:val="none"/>
        </w:rPr>
        <w:t>如因临水、临电、临建搭设等造成工期延误，在收到书面通知后，不挑剔、不争辩，也不要求出具证明，7天内整改并征得发包人批复同意，否则自愿接受罚款：每项每造成一天工期延误处罚3万元人民币，造成工期延误7天及以上，临水原因造成工期延误追加处罚30万元人民币，临电原因造成工期延误追加处罚30万元人民币，临设搭建原因造成工期延误追加处罚30万元人民币。</w:t>
      </w:r>
    </w:p>
    <w:p>
      <w:pPr>
        <w:pStyle w:val="8"/>
        <w:spacing w:line="360" w:lineRule="auto"/>
        <w:ind w:firstLine="480"/>
        <w:rPr>
          <w:sz w:val="24"/>
          <w:highlight w:val="none"/>
        </w:rPr>
      </w:pPr>
      <w:r>
        <w:rPr>
          <w:sz w:val="24"/>
          <w:highlight w:val="none"/>
        </w:rPr>
        <w:t>2、按施工设备配置表要求配置满足现场施工进度要求的施工机械，机械设备及配套施工人员开工前7天内到位，并承诺现场配备杂工人数不少于30人，配合冲孔灌注桩、CFG桩施工的杂工人数不少于10人。如未能完成承诺，在收到书面通知后，不挑剔、不争辩，也不要求出具证明，5天内整改并征得发包人批复同意，否则每延迟1天自愿接受罚款10万元（人民币），少一台机械每天自愿接受罚款10万元（人民币）。</w:t>
      </w:r>
    </w:p>
    <w:p>
      <w:pPr>
        <w:pStyle w:val="8"/>
        <w:spacing w:line="360" w:lineRule="auto"/>
        <w:ind w:firstLine="480"/>
        <w:rPr>
          <w:sz w:val="24"/>
          <w:highlight w:val="none"/>
        </w:rPr>
      </w:pPr>
      <w:r>
        <w:rPr>
          <w:sz w:val="24"/>
          <w:highlight w:val="none"/>
        </w:rPr>
        <w:t>罚款以下列方式、顺序扣付：</w:t>
      </w:r>
    </w:p>
    <w:p>
      <w:pPr>
        <w:pStyle w:val="8"/>
        <w:numPr>
          <w:ilvl w:val="0"/>
          <w:numId w:val="19"/>
        </w:numPr>
        <w:spacing w:line="360" w:lineRule="auto"/>
        <w:ind w:firstLineChars="0"/>
        <w:rPr>
          <w:sz w:val="24"/>
          <w:highlight w:val="none"/>
        </w:rPr>
      </w:pP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spacing w:line="360" w:lineRule="auto"/>
        <w:ind w:firstLine="556" w:firstLineChars="232"/>
        <w:rPr>
          <w:sz w:val="24"/>
          <w:highlight w:val="none"/>
        </w:rPr>
      </w:pPr>
    </w:p>
    <w:p>
      <w:pPr>
        <w:pStyle w:val="8"/>
        <w:spacing w:line="360" w:lineRule="auto"/>
        <w:ind w:firstLine="556" w:firstLineChars="232"/>
        <w:rPr>
          <w:sz w:val="24"/>
          <w:highlight w:val="none"/>
        </w:rPr>
      </w:pPr>
    </w:p>
    <w:p>
      <w:pPr>
        <w:pStyle w:val="8"/>
        <w:spacing w:line="360" w:lineRule="auto"/>
        <w:ind w:firstLine="480"/>
        <w:rPr>
          <w:sz w:val="24"/>
          <w:highlight w:val="none"/>
        </w:rPr>
      </w:pPr>
    </w:p>
    <w:p>
      <w:pPr>
        <w:pStyle w:val="8"/>
        <w:spacing w:line="360" w:lineRule="auto"/>
        <w:ind w:firstLine="120" w:firstLineChars="50"/>
        <w:rPr>
          <w:sz w:val="24"/>
          <w:highlight w:val="none"/>
        </w:rPr>
      </w:pPr>
      <w:r>
        <w:rPr>
          <w:sz w:val="24"/>
          <w:highlight w:val="none"/>
        </w:rPr>
        <w:t>附：施工设备配置表</w:t>
      </w:r>
    </w:p>
    <w:p>
      <w:pPr>
        <w:pStyle w:val="8"/>
        <w:spacing w:line="360" w:lineRule="auto"/>
        <w:ind w:firstLine="482"/>
        <w:jc w:val="center"/>
        <w:rPr>
          <w:rFonts w:ascii="宋体" w:hAnsi="宋体"/>
          <w:b/>
          <w:sz w:val="24"/>
          <w:highlight w:val="none"/>
        </w:rPr>
      </w:pPr>
      <w:r>
        <w:rPr>
          <w:rFonts w:hint="eastAsia" w:ascii="宋体" w:hAnsi="宋体"/>
          <w:b/>
          <w:sz w:val="24"/>
          <w:highlight w:val="none"/>
        </w:rPr>
        <w:t>施工设备配置表</w:t>
      </w:r>
    </w:p>
    <w:p>
      <w:pPr>
        <w:spacing w:line="360" w:lineRule="auto"/>
        <w:jc w:val="center"/>
        <w:rPr>
          <w:rFonts w:eastAsia="Times New Roman"/>
          <w:b/>
          <w:sz w:val="24"/>
          <w:highlight w:val="none"/>
        </w:rPr>
      </w:pPr>
      <w:r>
        <w:rPr>
          <w:rFonts w:hint="eastAsia"/>
          <w:b/>
          <w:sz w:val="24"/>
          <w:highlight w:val="none"/>
        </w:rPr>
        <w:t>主体工程投入主要机械设备一览表</w:t>
      </w:r>
    </w:p>
    <w:tbl>
      <w:tblPr>
        <w:tblStyle w:val="76"/>
        <w:tblW w:w="0" w:type="auto"/>
        <w:tblInd w:w="185" w:type="dxa"/>
        <w:tblLayout w:type="fixed"/>
        <w:tblCellMar>
          <w:top w:w="0" w:type="dxa"/>
          <w:left w:w="108" w:type="dxa"/>
          <w:bottom w:w="0" w:type="dxa"/>
          <w:right w:w="108" w:type="dxa"/>
        </w:tblCellMar>
      </w:tblPr>
      <w:tblGrid>
        <w:gridCol w:w="710"/>
        <w:gridCol w:w="1701"/>
        <w:gridCol w:w="1275"/>
        <w:gridCol w:w="993"/>
        <w:gridCol w:w="850"/>
        <w:gridCol w:w="2126"/>
        <w:gridCol w:w="1051"/>
      </w:tblGrid>
      <w:tr>
        <w:tblPrEx>
          <w:tblCellMar>
            <w:top w:w="0" w:type="dxa"/>
            <w:left w:w="108" w:type="dxa"/>
            <w:bottom w:w="0" w:type="dxa"/>
            <w:right w:w="108" w:type="dxa"/>
          </w:tblCellMar>
        </w:tblPrEx>
        <w:trPr>
          <w:trHeight w:val="355"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序号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设备名称</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规格型号</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单位</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数量</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进场时间</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highlight w:val="none"/>
              </w:rPr>
            </w:pPr>
            <w:r>
              <w:rPr>
                <w:rFonts w:hint="eastAsia" w:ascii="宋体" w:hAnsi="宋体"/>
                <w:kern w:val="0"/>
                <w:sz w:val="22"/>
                <w:highlight w:val="none"/>
              </w:rPr>
              <w:t>备注</w:t>
            </w: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3</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5</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6</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7</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8</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9</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10</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11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12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13</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14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highlight w:val="none"/>
              </w:rPr>
            </w:pPr>
            <w:r>
              <w:rPr>
                <w:rFonts w:hint="eastAsia" w:ascii="宋体" w:hAnsi="宋体"/>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highlight w:val="none"/>
              </w:rPr>
            </w:pPr>
          </w:p>
        </w:tc>
      </w:tr>
    </w:tbl>
    <w:p>
      <w:pPr>
        <w:spacing w:before="156" w:beforeLines="50" w:after="156" w:afterLines="50"/>
        <w:jc w:val="center"/>
        <w:rPr>
          <w:rFonts w:ascii="宋体" w:hAnsi="宋体"/>
          <w:b/>
          <w:sz w:val="24"/>
          <w:highlight w:val="none"/>
        </w:rPr>
      </w:pPr>
    </w:p>
    <w:p>
      <w:pPr>
        <w:spacing w:before="156" w:beforeLines="50" w:after="156" w:afterLines="50"/>
        <w:jc w:val="center"/>
        <w:rPr>
          <w:rFonts w:ascii="宋体" w:hAnsi="宋体"/>
          <w:b/>
          <w:sz w:val="24"/>
          <w:highlight w:val="none"/>
        </w:rPr>
      </w:pPr>
      <w:r>
        <w:rPr>
          <w:rFonts w:hint="eastAsia" w:ascii="宋体" w:hAnsi="宋体"/>
          <w:b/>
          <w:sz w:val="24"/>
          <w:highlight w:val="none"/>
        </w:rPr>
        <w:t>机电工程投入主要机械不少于设备一览表内数量</w:t>
      </w:r>
    </w:p>
    <w:tbl>
      <w:tblPr>
        <w:tblStyle w:val="7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6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序号</w:t>
            </w:r>
          </w:p>
        </w:tc>
        <w:tc>
          <w:tcPr>
            <w:tcW w:w="216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机具名称</w:t>
            </w:r>
          </w:p>
        </w:tc>
        <w:tc>
          <w:tcPr>
            <w:tcW w:w="170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规格型号</w:t>
            </w: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单位</w:t>
            </w: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 w:val="22"/>
                <w:szCs w:val="22"/>
                <w:highlight w:val="none"/>
              </w:rPr>
              <w:t>投入数量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2</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jc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套</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3</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4</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5</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6</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7</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部</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8</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部</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9</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部</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10</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11</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12</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jc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13</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部</w:t>
            </w:r>
          </w:p>
        </w:tc>
        <w:tc>
          <w:tcPr>
            <w:tcW w:w="1705" w:type="dxa"/>
            <w:noWrap/>
            <w:vAlign w:val="center"/>
          </w:tcPr>
          <w:p>
            <w:pPr>
              <w:widowControl/>
              <w:jc w:val="center"/>
              <w:textAlignment w:val="center"/>
              <w:rPr>
                <w:rFonts w:ascii="宋体" w:hAnsi="宋体"/>
                <w:sz w:val="24"/>
                <w:highlight w:val="none"/>
              </w:rPr>
            </w:pPr>
            <w:r>
              <w:rPr>
                <w:rFonts w:hint="eastAsia" w:ascii="宋体" w:hAnsi="宋体" w:cs="宋体"/>
                <w:kern w:val="0"/>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14</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把</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15</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16</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17</w:t>
            </w:r>
          </w:p>
        </w:tc>
        <w:tc>
          <w:tcPr>
            <w:tcW w:w="2164" w:type="dxa"/>
            <w:noWrap/>
            <w:vAlign w:val="center"/>
          </w:tcPr>
          <w:p>
            <w:pPr>
              <w:widowControl/>
              <w:jc w:val="center"/>
              <w:textAlignment w:val="center"/>
              <w:rPr>
                <w:rFonts w:ascii="宋体" w:hAnsi="宋体"/>
                <w:b/>
                <w:sz w:val="24"/>
                <w:highlight w:val="none"/>
              </w:rPr>
            </w:pPr>
          </w:p>
        </w:tc>
        <w:tc>
          <w:tcPr>
            <w:tcW w:w="1704" w:type="dxa"/>
            <w:noWrap/>
            <w:vAlign w:val="center"/>
          </w:tcPr>
          <w:p>
            <w:pPr>
              <w:jc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块</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18</w:t>
            </w:r>
          </w:p>
        </w:tc>
        <w:tc>
          <w:tcPr>
            <w:tcW w:w="2164" w:type="dxa"/>
            <w:noWrap/>
            <w:vAlign w:val="center"/>
          </w:tcPr>
          <w:p>
            <w:pPr>
              <w:widowControl/>
              <w:jc w:val="left"/>
              <w:textAlignment w:val="center"/>
              <w:rPr>
                <w:rFonts w:ascii="宋体" w:hAnsi="宋体"/>
                <w:b/>
                <w:sz w:val="24"/>
                <w:highlight w:val="none"/>
              </w:rPr>
            </w:pPr>
          </w:p>
        </w:tc>
        <w:tc>
          <w:tcPr>
            <w:tcW w:w="1704" w:type="dxa"/>
            <w:noWrap/>
            <w:vAlign w:val="center"/>
          </w:tcPr>
          <w:p>
            <w:pP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台</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19</w:t>
            </w:r>
          </w:p>
        </w:tc>
        <w:tc>
          <w:tcPr>
            <w:tcW w:w="2164" w:type="dxa"/>
            <w:noWrap/>
            <w:vAlign w:val="center"/>
          </w:tcPr>
          <w:p>
            <w:pPr>
              <w:widowControl/>
              <w:jc w:val="left"/>
              <w:textAlignment w:val="center"/>
              <w:rPr>
                <w:rFonts w:ascii="宋体" w:hAnsi="宋体"/>
                <w:b/>
                <w:sz w:val="24"/>
                <w:highlight w:val="none"/>
              </w:rPr>
            </w:pPr>
          </w:p>
        </w:tc>
        <w:tc>
          <w:tcPr>
            <w:tcW w:w="1704" w:type="dxa"/>
            <w:noWrap/>
            <w:vAlign w:val="center"/>
          </w:tcPr>
          <w:p>
            <w:pPr>
              <w:widowControl/>
              <w:jc w:val="center"/>
              <w:textAlignment w:val="center"/>
              <w:rPr>
                <w:rFonts w:ascii="宋体" w:hAnsi="宋体"/>
                <w:b/>
                <w:sz w:val="24"/>
                <w:highlight w:val="none"/>
              </w:rPr>
            </w:pPr>
          </w:p>
        </w:tc>
        <w:tc>
          <w:tcPr>
            <w:tcW w:w="1705" w:type="dxa"/>
            <w:noWrap/>
            <w:vAlign w:val="center"/>
          </w:tcPr>
          <w:p>
            <w:pPr>
              <w:widowControl/>
              <w:jc w:val="center"/>
              <w:textAlignment w:val="center"/>
              <w:rPr>
                <w:rFonts w:ascii="宋体" w:hAnsi="宋体"/>
                <w:b/>
                <w:sz w:val="24"/>
                <w:highlight w:val="none"/>
              </w:rPr>
            </w:pPr>
            <w:r>
              <w:rPr>
                <w:rFonts w:hint="eastAsia" w:ascii="宋体" w:hAnsi="宋体" w:cs="宋体"/>
                <w:kern w:val="0"/>
                <w:szCs w:val="21"/>
                <w:highlight w:val="none"/>
              </w:rPr>
              <w:t>套</w:t>
            </w:r>
          </w:p>
        </w:tc>
        <w:tc>
          <w:tcPr>
            <w:tcW w:w="1705" w:type="dxa"/>
            <w:noWrap/>
            <w:vAlign w:val="center"/>
          </w:tcPr>
          <w:p>
            <w:pPr>
              <w:widowControl/>
              <w:jc w:val="center"/>
              <w:textAlignment w:val="center"/>
              <w:rPr>
                <w:rFonts w:ascii="宋体" w:hAnsi="宋体"/>
                <w:sz w:val="24"/>
                <w:highlight w:val="none"/>
              </w:rPr>
            </w:pPr>
            <w:r>
              <w:rPr>
                <w:rFonts w:hint="eastAsia" w:ascii="宋体" w:hAnsi="宋体"/>
                <w:sz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20</w:t>
            </w:r>
          </w:p>
        </w:tc>
        <w:tc>
          <w:tcPr>
            <w:tcW w:w="2164" w:type="dxa"/>
            <w:noWrap/>
            <w:vAlign w:val="center"/>
          </w:tcPr>
          <w:p>
            <w:pPr>
              <w:widowControl/>
              <w:jc w:val="left"/>
              <w:textAlignment w:val="center"/>
              <w:rPr>
                <w:rFonts w:ascii="宋体" w:hAnsi="宋体" w:cs="宋体"/>
                <w:kern w:val="0"/>
                <w:sz w:val="22"/>
                <w:szCs w:val="22"/>
                <w:highlight w:val="none"/>
              </w:rPr>
            </w:pPr>
          </w:p>
        </w:tc>
        <w:tc>
          <w:tcPr>
            <w:tcW w:w="1704" w:type="dxa"/>
            <w:noWrap/>
            <w:vAlign w:val="center"/>
          </w:tcPr>
          <w:p>
            <w:pPr>
              <w:widowControl/>
              <w:jc w:val="center"/>
              <w:textAlignment w:val="center"/>
              <w:rPr>
                <w:rFonts w:ascii="宋体" w:hAnsi="宋体" w:cs="宋体"/>
                <w:kern w:val="0"/>
                <w:szCs w:val="21"/>
                <w:highlight w:val="none"/>
              </w:rPr>
            </w:pPr>
          </w:p>
        </w:tc>
        <w:tc>
          <w:tcPr>
            <w:tcW w:w="1705" w:type="dxa"/>
            <w:noWrap/>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套</w:t>
            </w:r>
          </w:p>
        </w:tc>
        <w:tc>
          <w:tcPr>
            <w:tcW w:w="1705" w:type="dxa"/>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2</w:t>
            </w:r>
          </w:p>
        </w:tc>
      </w:tr>
    </w:tbl>
    <w:p>
      <w:pPr>
        <w:pStyle w:val="8"/>
        <w:spacing w:line="360" w:lineRule="auto"/>
        <w:ind w:firstLine="480"/>
        <w:rPr>
          <w:sz w:val="24"/>
          <w:highlight w:val="none"/>
        </w:rPr>
      </w:pPr>
    </w:p>
    <w:p>
      <w:pPr>
        <w:pStyle w:val="8"/>
        <w:spacing w:line="360" w:lineRule="auto"/>
        <w:ind w:firstLine="240" w:firstLineChars="100"/>
        <w:rPr>
          <w:sz w:val="24"/>
          <w:highlight w:val="none"/>
        </w:rPr>
      </w:pPr>
      <w:r>
        <w:rPr>
          <w:sz w:val="24"/>
          <w:highlight w:val="none"/>
        </w:rPr>
        <w:t>注：1.需要附设备发票或租赁合同复印件，配套熟练施工人员。</w:t>
      </w:r>
    </w:p>
    <w:p>
      <w:pPr>
        <w:pStyle w:val="8"/>
        <w:spacing w:line="360" w:lineRule="auto"/>
        <w:ind w:firstLine="4876" w:firstLineChars="2032"/>
        <w:rPr>
          <w:sz w:val="24"/>
          <w:highlight w:val="none"/>
        </w:rPr>
      </w:pPr>
    </w:p>
    <w:p>
      <w:pPr>
        <w:pStyle w:val="8"/>
        <w:spacing w:line="360" w:lineRule="auto"/>
        <w:ind w:left="4819" w:leftChars="2295" w:firstLine="480"/>
        <w:rPr>
          <w:sz w:val="24"/>
          <w:highlight w:val="none"/>
        </w:rPr>
      </w:pPr>
    </w:p>
    <w:p>
      <w:pPr>
        <w:pStyle w:val="8"/>
        <w:spacing w:line="360" w:lineRule="auto"/>
        <w:ind w:left="4819" w:leftChars="2295" w:firstLine="480"/>
        <w:rPr>
          <w:sz w:val="24"/>
          <w:highlight w:val="none"/>
        </w:rPr>
      </w:pPr>
    </w:p>
    <w:p>
      <w:pPr>
        <w:pStyle w:val="8"/>
        <w:spacing w:line="360" w:lineRule="auto"/>
        <w:ind w:left="4819" w:leftChars="2295" w:firstLine="480"/>
        <w:rPr>
          <w:sz w:val="24"/>
          <w:highlight w:val="none"/>
        </w:rPr>
      </w:pPr>
      <w:r>
        <w:rPr>
          <w:rFonts w:hint="eastAsia"/>
          <w:sz w:val="24"/>
          <w:highlight w:val="none"/>
        </w:rPr>
        <w:t xml:space="preserve">单位名称（盖公章）：  </w:t>
      </w:r>
    </w:p>
    <w:p>
      <w:pPr>
        <w:pStyle w:val="8"/>
        <w:spacing w:line="360" w:lineRule="auto"/>
        <w:ind w:left="4819" w:leftChars="2295" w:firstLine="480"/>
        <w:rPr>
          <w:sz w:val="24"/>
          <w:highlight w:val="none"/>
        </w:rPr>
      </w:pPr>
      <w:r>
        <w:rPr>
          <w:rFonts w:hint="eastAsia"/>
          <w:sz w:val="24"/>
          <w:highlight w:val="none"/>
        </w:rPr>
        <w:t xml:space="preserve">法定代表人（签字）：  </w:t>
      </w:r>
    </w:p>
    <w:p>
      <w:pPr>
        <w:pStyle w:val="8"/>
        <w:spacing w:line="360" w:lineRule="auto"/>
        <w:ind w:left="4819" w:leftChars="2295" w:firstLine="480"/>
        <w:rPr>
          <w:sz w:val="24"/>
          <w:highlight w:val="none"/>
        </w:rPr>
      </w:pPr>
      <w:r>
        <w:rPr>
          <w:rFonts w:hint="eastAsia"/>
          <w:sz w:val="24"/>
          <w:highlight w:val="none"/>
        </w:rPr>
        <w:t>日期：2023年   月   日</w:t>
      </w:r>
    </w:p>
    <w:p>
      <w:pPr>
        <w:pStyle w:val="8"/>
        <w:spacing w:line="360" w:lineRule="auto"/>
        <w:ind w:firstLine="4756" w:firstLineChars="1982"/>
        <w:rPr>
          <w:sz w:val="24"/>
          <w:highlight w:val="none"/>
        </w:rPr>
      </w:pP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15" w:name="_Toc132813152"/>
      <w:r>
        <w:rPr>
          <w:rFonts w:hint="eastAsia" w:ascii="宋体" w:hAnsi="宋体" w:eastAsia="宋体"/>
          <w:sz w:val="21"/>
          <w:szCs w:val="21"/>
          <w:highlight w:val="none"/>
        </w:rPr>
        <w:t>附件</w:t>
      </w:r>
      <w:r>
        <w:rPr>
          <w:rFonts w:ascii="宋体" w:hAnsi="宋体" w:eastAsia="宋体"/>
          <w:sz w:val="21"/>
          <w:szCs w:val="21"/>
          <w:highlight w:val="none"/>
        </w:rPr>
        <w:t>7</w:t>
      </w:r>
      <w:r>
        <w:rPr>
          <w:rFonts w:hint="eastAsia" w:ascii="宋体" w:hAnsi="宋体" w:eastAsia="宋体"/>
          <w:sz w:val="21"/>
          <w:szCs w:val="21"/>
          <w:highlight w:val="none"/>
        </w:rPr>
        <w:t>：土石方运输承诺书</w:t>
      </w:r>
      <w:bookmarkEnd w:id="715"/>
    </w:p>
    <w:p>
      <w:pPr>
        <w:pStyle w:val="8"/>
        <w:spacing w:after="240" w:line="360" w:lineRule="auto"/>
        <w:ind w:firstLine="0" w:firstLineChars="0"/>
        <w:jc w:val="center"/>
        <w:rPr>
          <w:b/>
          <w:sz w:val="44"/>
          <w:szCs w:val="44"/>
          <w:highlight w:val="none"/>
        </w:rPr>
      </w:pPr>
      <w:r>
        <w:rPr>
          <w:rFonts w:hint="eastAsia"/>
          <w:b/>
          <w:sz w:val="44"/>
          <w:szCs w:val="44"/>
          <w:highlight w:val="none"/>
        </w:rPr>
        <w:t>土石方运输承诺书</w:t>
      </w: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spacing w:line="360" w:lineRule="auto"/>
        <w:rPr>
          <w:szCs w:val="21"/>
          <w:highlight w:val="none"/>
        </w:rPr>
      </w:pPr>
      <w:r>
        <w:rPr>
          <w:szCs w:val="21"/>
          <w:highlight w:val="none"/>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pPr>
        <w:pStyle w:val="8"/>
        <w:spacing w:line="360" w:lineRule="auto"/>
        <w:rPr>
          <w:szCs w:val="21"/>
          <w:highlight w:val="none"/>
        </w:rPr>
      </w:pPr>
      <w:r>
        <w:rPr>
          <w:szCs w:val="21"/>
          <w:highlight w:val="none"/>
        </w:rPr>
        <w:t>1、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pPr>
        <w:pStyle w:val="8"/>
        <w:numPr>
          <w:ilvl w:val="0"/>
          <w:numId w:val="20"/>
        </w:numPr>
        <w:spacing w:line="360" w:lineRule="auto"/>
        <w:rPr>
          <w:szCs w:val="21"/>
          <w:highlight w:val="none"/>
        </w:rPr>
      </w:pPr>
      <w:r>
        <w:rPr>
          <w:szCs w:val="21"/>
          <w:highlight w:val="none"/>
        </w:rPr>
        <w:t>场外土石方弃置运输</w:t>
      </w:r>
    </w:p>
    <w:p>
      <w:pPr>
        <w:pStyle w:val="8"/>
        <w:spacing w:line="360" w:lineRule="auto"/>
        <w:rPr>
          <w:szCs w:val="21"/>
          <w:highlight w:val="none"/>
        </w:rPr>
      </w:pPr>
      <w:r>
        <w:rPr>
          <w:szCs w:val="21"/>
          <w:highlight w:val="none"/>
        </w:rPr>
        <w:t>2.1 我司承诺本项目的土石方弃置优先选择区国有消纳场，土石方的支付（含纳土费）以区财政部门认可的合法有效的凭证为依据，按清单相应的综合单价执行，运距按实</w:t>
      </w:r>
      <w:r>
        <w:rPr>
          <w:rFonts w:hint="eastAsia"/>
          <w:szCs w:val="21"/>
          <w:highlight w:val="none"/>
        </w:rPr>
        <w:t>按清单</w:t>
      </w:r>
      <w:r>
        <w:rPr>
          <w:szCs w:val="21"/>
          <w:highlight w:val="none"/>
        </w:rPr>
        <w:t>。</w:t>
      </w:r>
    </w:p>
    <w:p>
      <w:pPr>
        <w:pStyle w:val="8"/>
        <w:spacing w:line="360" w:lineRule="auto"/>
        <w:rPr>
          <w:szCs w:val="21"/>
          <w:highlight w:val="none"/>
        </w:rPr>
      </w:pPr>
      <w:r>
        <w:rPr>
          <w:szCs w:val="21"/>
          <w:highlight w:val="none"/>
        </w:rPr>
        <w:t>2.2 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区合法消纳场）弃置费用清单相应的综合单价执行，运距按实。否则，该项弃置费用为零，我司承诺自行消化，并在其它报价中已综合考虑，并放弃一切索偿的权力。</w:t>
      </w:r>
    </w:p>
    <w:p>
      <w:pPr>
        <w:pStyle w:val="8"/>
        <w:spacing w:line="360" w:lineRule="auto"/>
        <w:rPr>
          <w:szCs w:val="21"/>
          <w:highlight w:val="none"/>
        </w:rPr>
      </w:pPr>
      <w:r>
        <w:rPr>
          <w:szCs w:val="21"/>
          <w:highlight w:val="none"/>
        </w:rPr>
        <w:t>2.3 我司承诺本项目的土石方弃置无法采用花都区国有消纳场和合法的非国有消纳场，自行选择并运送至合法弃土点, 经发包人同意后，按相应综合单价包干计算，包括但不限于挖土、运输、纳土费、不可预见费、运距增加等一切费用，结算时综合单价不另作调整。</w:t>
      </w:r>
    </w:p>
    <w:p>
      <w:pPr>
        <w:pStyle w:val="8"/>
        <w:numPr>
          <w:ilvl w:val="0"/>
          <w:numId w:val="20"/>
        </w:numPr>
        <w:spacing w:line="360" w:lineRule="auto"/>
        <w:rPr>
          <w:szCs w:val="21"/>
          <w:highlight w:val="none"/>
        </w:rPr>
      </w:pPr>
      <w:r>
        <w:rPr>
          <w:szCs w:val="21"/>
          <w:highlight w:val="none"/>
        </w:rPr>
        <w:t>场外土方外购运输</w:t>
      </w:r>
    </w:p>
    <w:p>
      <w:pPr>
        <w:pStyle w:val="8"/>
        <w:spacing w:line="360" w:lineRule="auto"/>
        <w:rPr>
          <w:szCs w:val="21"/>
          <w:highlight w:val="none"/>
        </w:rPr>
      </w:pPr>
      <w:r>
        <w:rPr>
          <w:szCs w:val="21"/>
          <w:highlight w:val="none"/>
        </w:rPr>
        <w:t>3.1我司承诺本项目的土方外购优先选择区国有消纳场，土方的支付（含取土费）以区财政部门认可的合法有效的凭证为依据，按清单相应的综合单价执行，运距按实。</w:t>
      </w:r>
    </w:p>
    <w:p>
      <w:pPr>
        <w:pStyle w:val="8"/>
        <w:spacing w:line="360" w:lineRule="auto"/>
        <w:rPr>
          <w:szCs w:val="21"/>
          <w:highlight w:val="none"/>
        </w:rPr>
      </w:pPr>
      <w:r>
        <w:rPr>
          <w:szCs w:val="21"/>
          <w:highlight w:val="none"/>
        </w:rPr>
        <w:t>3.2 我司承诺本项目的土方外购如花都区国有消纳场无法购买本项目的土方，经发包人同意后，本项目的取土选择合法的非国有消纳场取土，结算时必须提供区财政部门认可的合法有效的凭证；按外购土方（区国有消纳场/区合法消纳场）取土费用清单相应的综合单价执行，运距按实。否则，该项取土费用为零，我司承诺自行消化，并在其它报价中已综合考虑，并放弃一切索偿的权力。</w:t>
      </w:r>
    </w:p>
    <w:p>
      <w:pPr>
        <w:pStyle w:val="8"/>
        <w:spacing w:line="360" w:lineRule="auto"/>
        <w:rPr>
          <w:szCs w:val="21"/>
          <w:highlight w:val="none"/>
        </w:rPr>
      </w:pPr>
      <w:r>
        <w:rPr>
          <w:szCs w:val="21"/>
          <w:highlight w:val="none"/>
        </w:rPr>
        <w:t>3.3 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pPr>
        <w:pStyle w:val="8"/>
        <w:spacing w:line="360" w:lineRule="auto"/>
        <w:rPr>
          <w:szCs w:val="21"/>
          <w:highlight w:val="none"/>
        </w:rPr>
      </w:pPr>
      <w:r>
        <w:rPr>
          <w:szCs w:val="21"/>
          <w:highlight w:val="none"/>
        </w:rPr>
        <w:t>4、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pPr>
        <w:pStyle w:val="8"/>
        <w:spacing w:line="360" w:lineRule="auto"/>
        <w:rPr>
          <w:szCs w:val="21"/>
          <w:highlight w:val="none"/>
        </w:rPr>
      </w:pPr>
      <w:r>
        <w:rPr>
          <w:szCs w:val="21"/>
          <w:highlight w:val="none"/>
        </w:rPr>
        <w:t>调整办法如下：</w:t>
      </w:r>
    </w:p>
    <w:p>
      <w:pPr>
        <w:pStyle w:val="8"/>
        <w:spacing w:line="360" w:lineRule="auto"/>
        <w:rPr>
          <w:szCs w:val="21"/>
          <w:highlight w:val="none"/>
        </w:rPr>
      </w:pPr>
      <w:r>
        <w:rPr>
          <w:szCs w:val="21"/>
          <w:highlight w:val="none"/>
        </w:rPr>
        <w:t>4.1因发包人调配原因，套用工程量清单相应子目按实结算。</w:t>
      </w:r>
    </w:p>
    <w:p>
      <w:pPr>
        <w:pStyle w:val="8"/>
        <w:spacing w:line="360" w:lineRule="auto"/>
        <w:rPr>
          <w:szCs w:val="21"/>
          <w:highlight w:val="none"/>
        </w:rPr>
      </w:pPr>
      <w:r>
        <w:rPr>
          <w:szCs w:val="21"/>
          <w:highlight w:val="none"/>
        </w:rPr>
        <w:t>4.2如有区政府出具相关弃土平衡政策的，承包人应严格按照发包人的土方转堆方案处置土方堆放及外运，弃土外运运距则按实结算，弃土费用按区政府相关文件执行。</w:t>
      </w:r>
    </w:p>
    <w:p>
      <w:pPr>
        <w:pStyle w:val="8"/>
        <w:spacing w:line="360" w:lineRule="auto"/>
        <w:rPr>
          <w:szCs w:val="21"/>
          <w:highlight w:val="none"/>
        </w:rPr>
      </w:pPr>
      <w:r>
        <w:rPr>
          <w:szCs w:val="21"/>
          <w:highlight w:val="none"/>
        </w:rPr>
        <w:t>发包人对本工程范围内多余土方拥有优先处置权，本工程与其他工程间的土方调配要服从发包人安排。</w:t>
      </w:r>
    </w:p>
    <w:p>
      <w:pPr>
        <w:pStyle w:val="8"/>
        <w:spacing w:line="360" w:lineRule="auto"/>
        <w:rPr>
          <w:szCs w:val="21"/>
          <w:highlight w:val="none"/>
        </w:rPr>
      </w:pPr>
      <w:r>
        <w:rPr>
          <w:szCs w:val="21"/>
          <w:highlight w:val="none"/>
        </w:rPr>
        <w:t>我司承诺现场土石方服从发包人调配且严格按照发包人的土方转堆方案处置土方堆放及外运，若未服从调配，自愿承担处罚10万元人民币。</w:t>
      </w:r>
    </w:p>
    <w:p>
      <w:pPr>
        <w:pStyle w:val="8"/>
        <w:spacing w:line="360" w:lineRule="auto"/>
        <w:rPr>
          <w:szCs w:val="21"/>
          <w:highlight w:val="none"/>
        </w:rPr>
      </w:pPr>
      <w:r>
        <w:rPr>
          <w:szCs w:val="21"/>
          <w:highlight w:val="none"/>
        </w:rPr>
        <w:t>5、因土石方运输造成工期延误，在收到书面通知后，不挑剔、不争辩，也不要求出具证明，3天内整改并征得发包人批复同意，否则自愿承担处罚：每延迟一天处罚2万元人民币，造成工期严重滞后的追加处罚10万元人民币。</w:t>
      </w:r>
    </w:p>
    <w:p>
      <w:pPr>
        <w:pStyle w:val="8"/>
        <w:spacing w:line="360" w:lineRule="auto"/>
        <w:ind w:firstLine="487" w:firstLineChars="232"/>
        <w:rPr>
          <w:szCs w:val="21"/>
          <w:highlight w:val="none"/>
        </w:rPr>
      </w:pPr>
      <w:r>
        <w:rPr>
          <w:szCs w:val="21"/>
          <w:highlight w:val="none"/>
        </w:rPr>
        <w:t>6、罚款以下列方式、顺序扣付：</w:t>
      </w:r>
    </w:p>
    <w:p>
      <w:pPr>
        <w:pStyle w:val="8"/>
        <w:spacing w:line="360" w:lineRule="auto"/>
        <w:ind w:firstLine="487" w:firstLineChars="232"/>
        <w:rPr>
          <w:szCs w:val="21"/>
          <w:highlight w:val="none"/>
        </w:rPr>
      </w:pPr>
      <w:r>
        <w:rPr>
          <w:rFonts w:hint="eastAsia"/>
          <w:szCs w:val="21"/>
          <w:highlight w:val="none"/>
        </w:rPr>
        <w:t>①</w:t>
      </w:r>
      <w:r>
        <w:rPr>
          <w:szCs w:val="21"/>
          <w:highlight w:val="none"/>
        </w:rPr>
        <w:t xml:space="preserve">．进度款  </w:t>
      </w:r>
      <w:r>
        <w:rPr>
          <w:rFonts w:hint="eastAsia"/>
          <w:szCs w:val="21"/>
          <w:highlight w:val="none"/>
        </w:rPr>
        <w:t>②</w:t>
      </w:r>
      <w:r>
        <w:rPr>
          <w:szCs w:val="21"/>
          <w:highlight w:val="none"/>
        </w:rPr>
        <w:t>．履约担保</w:t>
      </w:r>
    </w:p>
    <w:p>
      <w:pPr>
        <w:pStyle w:val="8"/>
        <w:spacing w:line="360" w:lineRule="auto"/>
        <w:ind w:firstLine="556" w:firstLineChars="232"/>
        <w:rPr>
          <w:sz w:val="24"/>
          <w:highlight w:val="none"/>
        </w:rPr>
      </w:pPr>
    </w:p>
    <w:p>
      <w:pPr>
        <w:pStyle w:val="8"/>
        <w:spacing w:line="360" w:lineRule="auto"/>
        <w:rPr>
          <w:szCs w:val="21"/>
          <w:highlight w:val="none"/>
        </w:rPr>
      </w:pPr>
    </w:p>
    <w:p>
      <w:pPr>
        <w:pStyle w:val="8"/>
        <w:spacing w:line="360" w:lineRule="auto"/>
        <w:ind w:firstLine="480"/>
        <w:rPr>
          <w:sz w:val="24"/>
          <w:highlight w:val="none"/>
        </w:rPr>
      </w:pPr>
    </w:p>
    <w:p>
      <w:pPr>
        <w:pStyle w:val="8"/>
        <w:spacing w:line="360" w:lineRule="auto"/>
        <w:ind w:left="5244" w:leftChars="2497"/>
        <w:jc w:val="left"/>
        <w:rPr>
          <w:szCs w:val="21"/>
          <w:highlight w:val="none"/>
        </w:rPr>
      </w:pPr>
      <w:r>
        <w:rPr>
          <w:szCs w:val="21"/>
          <w:highlight w:val="none"/>
        </w:rPr>
        <w:t>单位名称（盖公章）：</w:t>
      </w:r>
    </w:p>
    <w:p>
      <w:pPr>
        <w:pStyle w:val="8"/>
        <w:spacing w:line="360" w:lineRule="auto"/>
        <w:ind w:left="5244" w:leftChars="2497"/>
        <w:jc w:val="left"/>
        <w:rPr>
          <w:szCs w:val="21"/>
          <w:highlight w:val="none"/>
        </w:rPr>
      </w:pPr>
      <w:r>
        <w:rPr>
          <w:szCs w:val="21"/>
          <w:highlight w:val="none"/>
        </w:rPr>
        <w:t>法定代表人（签字）：</w:t>
      </w:r>
    </w:p>
    <w:p>
      <w:pPr>
        <w:pStyle w:val="8"/>
        <w:spacing w:line="360" w:lineRule="auto"/>
        <w:ind w:left="5311" w:leftChars="2529" w:firstLine="482" w:firstLineChars="230"/>
        <w:rPr>
          <w:sz w:val="24"/>
          <w:highlight w:val="none"/>
        </w:rPr>
      </w:pPr>
      <w:r>
        <w:rPr>
          <w:szCs w:val="21"/>
          <w:highlight w:val="none"/>
        </w:rPr>
        <w:t>日期：</w:t>
      </w:r>
      <w:r>
        <w:rPr>
          <w:rFonts w:hint="eastAsia"/>
          <w:szCs w:val="21"/>
          <w:highlight w:val="none"/>
        </w:rPr>
        <w:t>2023</w:t>
      </w:r>
      <w:r>
        <w:rPr>
          <w:szCs w:val="21"/>
          <w:highlight w:val="none"/>
        </w:rPr>
        <w:t>年    月    日</w:t>
      </w:r>
    </w:p>
    <w:p>
      <w:pPr>
        <w:widowControl/>
        <w:jc w:val="left"/>
        <w:rPr>
          <w:sz w:val="24"/>
          <w:highlight w:val="none"/>
        </w:rPr>
      </w:pPr>
      <w:r>
        <w:rPr>
          <w:sz w:val="24"/>
          <w:highlight w:val="none"/>
        </w:rPr>
        <w:br w:type="page"/>
      </w:r>
    </w:p>
    <w:p>
      <w:pPr>
        <w:pStyle w:val="4"/>
        <w:spacing w:before="0" w:after="0" w:line="240" w:lineRule="auto"/>
        <w:jc w:val="left"/>
        <w:rPr>
          <w:rFonts w:ascii="宋体" w:hAnsi="宋体" w:eastAsia="宋体"/>
          <w:sz w:val="21"/>
          <w:szCs w:val="21"/>
          <w:highlight w:val="none"/>
        </w:rPr>
      </w:pPr>
      <w:bookmarkStart w:id="716" w:name="_Toc132813153"/>
      <w:r>
        <w:rPr>
          <w:rFonts w:hint="eastAsia" w:ascii="宋体" w:hAnsi="宋体" w:eastAsia="宋体"/>
          <w:sz w:val="21"/>
          <w:szCs w:val="21"/>
          <w:highlight w:val="none"/>
        </w:rPr>
        <w:t>附件</w:t>
      </w:r>
      <w:r>
        <w:rPr>
          <w:rFonts w:ascii="宋体" w:hAnsi="宋体" w:eastAsia="宋体"/>
          <w:sz w:val="21"/>
          <w:szCs w:val="21"/>
          <w:highlight w:val="none"/>
        </w:rPr>
        <w:t>8</w:t>
      </w:r>
      <w:r>
        <w:rPr>
          <w:rFonts w:hint="eastAsia" w:ascii="宋体" w:hAnsi="宋体" w:eastAsia="宋体"/>
          <w:sz w:val="21"/>
          <w:szCs w:val="21"/>
          <w:highlight w:val="none"/>
        </w:rPr>
        <w:t>：检测配合承诺书</w:t>
      </w:r>
      <w:bookmarkEnd w:id="716"/>
    </w:p>
    <w:p>
      <w:pPr>
        <w:pStyle w:val="8"/>
        <w:spacing w:after="240" w:line="360" w:lineRule="auto"/>
        <w:ind w:firstLine="0" w:firstLineChars="0"/>
        <w:jc w:val="center"/>
        <w:rPr>
          <w:sz w:val="44"/>
          <w:szCs w:val="44"/>
          <w:highlight w:val="none"/>
        </w:rPr>
      </w:pPr>
      <w:r>
        <w:rPr>
          <w:rFonts w:hint="eastAsia"/>
          <w:b/>
          <w:sz w:val="44"/>
          <w:szCs w:val="44"/>
          <w:highlight w:val="none"/>
        </w:rPr>
        <w:t>检测配合承诺书</w:t>
      </w: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440" w:lineRule="exact"/>
        <w:ind w:firstLine="480"/>
        <w:rPr>
          <w:sz w:val="24"/>
          <w:highlight w:val="none"/>
        </w:rPr>
      </w:pPr>
    </w:p>
    <w:p>
      <w:pPr>
        <w:pStyle w:val="8"/>
        <w:adjustRightInd w:val="0"/>
        <w:snapToGrid w:val="0"/>
        <w:spacing w:line="360" w:lineRule="auto"/>
        <w:rPr>
          <w:szCs w:val="21"/>
          <w:highlight w:val="none"/>
        </w:rPr>
      </w:pPr>
      <w:r>
        <w:rPr>
          <w:szCs w:val="21"/>
          <w:highlight w:val="none"/>
        </w:rPr>
        <w:t>我司已充分阅读了招标文件并充分了解本工程检测要求。保证无条件配合发包人委托的第三方检测单位对本项目进行检测，并在投标报价中已综合考虑到相关的检测配合费用，我司承诺：</w:t>
      </w:r>
    </w:p>
    <w:p>
      <w:pPr>
        <w:pStyle w:val="8"/>
        <w:adjustRightInd w:val="0"/>
        <w:snapToGrid w:val="0"/>
        <w:spacing w:line="360" w:lineRule="auto"/>
        <w:rPr>
          <w:szCs w:val="21"/>
          <w:highlight w:val="none"/>
        </w:rPr>
      </w:pPr>
      <w:r>
        <w:rPr>
          <w:szCs w:val="21"/>
          <w:highlight w:val="none"/>
        </w:rPr>
        <w:t>1、提供有关该工程检测所需的相关工程技术资料；</w:t>
      </w:r>
    </w:p>
    <w:p>
      <w:pPr>
        <w:pStyle w:val="8"/>
        <w:adjustRightInd w:val="0"/>
        <w:snapToGrid w:val="0"/>
        <w:spacing w:line="360" w:lineRule="auto"/>
        <w:rPr>
          <w:szCs w:val="21"/>
          <w:highlight w:val="none"/>
        </w:rPr>
      </w:pPr>
      <w:r>
        <w:rPr>
          <w:szCs w:val="21"/>
          <w:highlight w:val="none"/>
        </w:rPr>
        <w:t>2、现场保障足够的安全措施，符合安全施工要求，保障检测人员及设备的安全；</w:t>
      </w:r>
    </w:p>
    <w:p>
      <w:pPr>
        <w:pStyle w:val="8"/>
        <w:adjustRightInd w:val="0"/>
        <w:snapToGrid w:val="0"/>
        <w:spacing w:line="360" w:lineRule="auto"/>
        <w:rPr>
          <w:szCs w:val="21"/>
          <w:highlight w:val="none"/>
        </w:rPr>
      </w:pPr>
      <w:r>
        <w:rPr>
          <w:szCs w:val="21"/>
          <w:highlight w:val="none"/>
        </w:rPr>
        <w:t>3、协助检测单位的检测设备进退场，包括但不限于提供场内小型机械设备吊运，安排专人协助检测单位主要检测设备场内搬运等，安排必须的人员配合检测单位工作；</w:t>
      </w:r>
    </w:p>
    <w:p>
      <w:pPr>
        <w:pStyle w:val="8"/>
        <w:adjustRightInd w:val="0"/>
        <w:snapToGrid w:val="0"/>
        <w:spacing w:line="360" w:lineRule="auto"/>
        <w:rPr>
          <w:szCs w:val="21"/>
          <w:highlight w:val="none"/>
        </w:rPr>
      </w:pPr>
      <w:r>
        <w:rPr>
          <w:szCs w:val="21"/>
          <w:highlight w:val="none"/>
        </w:rPr>
        <w:t>4、负责协调相关方的关系，及时解决现场检测作业时与相关方产生的矛盾。对由于未能协调好相关方关系而影响检测工作的顺利进行，造成相应的经济损失承担责任；</w:t>
      </w:r>
    </w:p>
    <w:p>
      <w:pPr>
        <w:pStyle w:val="8"/>
        <w:adjustRightInd w:val="0"/>
        <w:snapToGrid w:val="0"/>
        <w:spacing w:line="360" w:lineRule="auto"/>
        <w:rPr>
          <w:szCs w:val="21"/>
          <w:highlight w:val="none"/>
        </w:rPr>
      </w:pPr>
      <w:r>
        <w:rPr>
          <w:szCs w:val="21"/>
          <w:highlight w:val="none"/>
        </w:rPr>
        <w:t>5、现场配合工作：</w:t>
      </w:r>
    </w:p>
    <w:p>
      <w:pPr>
        <w:pStyle w:val="8"/>
        <w:adjustRightInd w:val="0"/>
        <w:snapToGrid w:val="0"/>
        <w:spacing w:line="360" w:lineRule="auto"/>
        <w:rPr>
          <w:szCs w:val="21"/>
          <w:highlight w:val="none"/>
        </w:rPr>
      </w:pPr>
      <w:r>
        <w:rPr>
          <w:szCs w:val="21"/>
          <w:highlight w:val="none"/>
        </w:rPr>
        <w:t>收到进场检测通知后，根据检测单位要求做好配合工作，包括且不限于：</w:t>
      </w:r>
    </w:p>
    <w:p>
      <w:pPr>
        <w:pStyle w:val="363"/>
        <w:adjustRightInd w:val="0"/>
        <w:snapToGrid w:val="0"/>
        <w:spacing w:line="360" w:lineRule="auto"/>
        <w:rPr>
          <w:szCs w:val="21"/>
          <w:highlight w:val="none"/>
        </w:rPr>
      </w:pPr>
      <w:r>
        <w:rPr>
          <w:szCs w:val="21"/>
          <w:highlight w:val="none"/>
        </w:rPr>
        <w:t>提供场地、水、电，修筑满足检测要求的临时施工便道、检测用反力板、桩帽，做好挖土方、换填、检测用梯子、门式架、排水等工作；</w:t>
      </w:r>
    </w:p>
    <w:p>
      <w:pPr>
        <w:pStyle w:val="8"/>
        <w:adjustRightInd w:val="0"/>
        <w:snapToGrid w:val="0"/>
        <w:spacing w:line="360" w:lineRule="auto"/>
        <w:rPr>
          <w:szCs w:val="21"/>
          <w:highlight w:val="none"/>
        </w:rPr>
      </w:pPr>
      <w:r>
        <w:rPr>
          <w:szCs w:val="21"/>
          <w:highlight w:val="none"/>
        </w:rPr>
        <w:t>6、检测过程中可能造成桩头钢筋、砖胎模、垫层、承台钢筋等损坏，我司负责修复，所产生的费用我司已在投标报价中综合考虑。</w:t>
      </w:r>
    </w:p>
    <w:p>
      <w:pPr>
        <w:pStyle w:val="8"/>
        <w:adjustRightInd w:val="0"/>
        <w:snapToGrid w:val="0"/>
        <w:spacing w:line="360" w:lineRule="auto"/>
        <w:rPr>
          <w:szCs w:val="21"/>
          <w:highlight w:val="none"/>
        </w:rPr>
      </w:pPr>
      <w:r>
        <w:rPr>
          <w:szCs w:val="21"/>
          <w:highlight w:val="none"/>
        </w:rPr>
        <w:t>若未能实现上述承诺影响检测进度，在收到书面通知后，不挑剔、不争辩，也不要求出具证明，2天内整改并征得发包人批复同意，否则自愿接受罚款：每影响一次处罚5万元人民币。</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rPr>
          <w:szCs w:val="21"/>
          <w:highlight w:val="none"/>
        </w:rPr>
      </w:pPr>
    </w:p>
    <w:p>
      <w:pPr>
        <w:pStyle w:val="8"/>
        <w:adjustRightInd w:val="0"/>
        <w:snapToGrid w:val="0"/>
        <w:spacing w:line="360" w:lineRule="auto"/>
        <w:ind w:firstLine="487" w:firstLineChars="232"/>
        <w:rPr>
          <w:szCs w:val="21"/>
          <w:highlight w:val="none"/>
        </w:rPr>
      </w:pPr>
    </w:p>
    <w:p>
      <w:pPr>
        <w:pStyle w:val="8"/>
        <w:adjustRightInd w:val="0"/>
        <w:snapToGrid w:val="0"/>
        <w:spacing w:line="360" w:lineRule="auto"/>
        <w:ind w:firstLine="487" w:firstLineChars="232"/>
        <w:rPr>
          <w:szCs w:val="21"/>
          <w:highlight w:val="none"/>
        </w:rPr>
      </w:pPr>
    </w:p>
    <w:p>
      <w:pPr>
        <w:pStyle w:val="8"/>
        <w:adjustRightInd w:val="0"/>
        <w:snapToGrid w:val="0"/>
        <w:spacing w:line="360" w:lineRule="auto"/>
        <w:ind w:firstLine="4588" w:firstLineChars="2185"/>
        <w:rPr>
          <w:szCs w:val="21"/>
          <w:highlight w:val="none"/>
        </w:rPr>
      </w:pPr>
      <w:r>
        <w:rPr>
          <w:szCs w:val="21"/>
          <w:highlight w:val="none"/>
        </w:rPr>
        <w:t xml:space="preserve">单位名称（盖公章）： </w:t>
      </w:r>
    </w:p>
    <w:p>
      <w:pPr>
        <w:pStyle w:val="8"/>
        <w:adjustRightInd w:val="0"/>
        <w:snapToGrid w:val="0"/>
        <w:spacing w:line="360" w:lineRule="auto"/>
        <w:ind w:firstLine="4588" w:firstLineChars="2185"/>
        <w:rPr>
          <w:szCs w:val="21"/>
          <w:highlight w:val="none"/>
        </w:rPr>
      </w:pPr>
      <w:r>
        <w:rPr>
          <w:szCs w:val="21"/>
          <w:highlight w:val="none"/>
        </w:rPr>
        <w:t xml:space="preserve">法定代表人（签字）： </w:t>
      </w:r>
    </w:p>
    <w:p>
      <w:pPr>
        <w:pStyle w:val="8"/>
        <w:adjustRightInd w:val="0"/>
        <w:snapToGrid w:val="0"/>
        <w:spacing w:line="360" w:lineRule="auto"/>
        <w:ind w:firstLine="4588" w:firstLineChars="2185"/>
        <w:rPr>
          <w:szCs w:val="21"/>
          <w:highlight w:val="none"/>
        </w:rPr>
      </w:pPr>
      <w:r>
        <w:rPr>
          <w:szCs w:val="21"/>
          <w:highlight w:val="none"/>
        </w:rPr>
        <w:t>日期：</w:t>
      </w:r>
      <w:r>
        <w:rPr>
          <w:rFonts w:hint="eastAsia"/>
          <w:szCs w:val="21"/>
          <w:highlight w:val="none"/>
        </w:rPr>
        <w:t>2023</w:t>
      </w:r>
      <w:r>
        <w:rPr>
          <w:szCs w:val="21"/>
          <w:highlight w:val="none"/>
        </w:rPr>
        <w:t>年   月   日</w:t>
      </w: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17" w:name="_Toc132813154"/>
      <w:r>
        <w:rPr>
          <w:rFonts w:hint="eastAsia" w:ascii="宋体" w:hAnsi="宋体" w:eastAsia="宋体"/>
          <w:sz w:val="21"/>
          <w:szCs w:val="21"/>
          <w:highlight w:val="none"/>
        </w:rPr>
        <w:t>附件</w:t>
      </w:r>
      <w:r>
        <w:rPr>
          <w:rFonts w:ascii="宋体" w:hAnsi="宋体" w:eastAsia="宋体"/>
          <w:sz w:val="21"/>
          <w:szCs w:val="21"/>
          <w:highlight w:val="none"/>
        </w:rPr>
        <w:t>9</w:t>
      </w:r>
      <w:r>
        <w:rPr>
          <w:rFonts w:hint="eastAsia" w:ascii="宋体" w:hAnsi="宋体" w:eastAsia="宋体"/>
          <w:sz w:val="21"/>
          <w:szCs w:val="21"/>
          <w:highlight w:val="none"/>
        </w:rPr>
        <w:t>：CFG桩、预制管桩处理承诺书</w:t>
      </w:r>
      <w:bookmarkEnd w:id="717"/>
    </w:p>
    <w:p>
      <w:pPr>
        <w:pStyle w:val="8"/>
        <w:spacing w:after="240" w:line="360" w:lineRule="auto"/>
        <w:ind w:firstLine="0" w:firstLineChars="0"/>
        <w:jc w:val="center"/>
        <w:rPr>
          <w:b/>
          <w:sz w:val="44"/>
          <w:szCs w:val="44"/>
          <w:highlight w:val="none"/>
        </w:rPr>
      </w:pPr>
      <w:r>
        <w:rPr>
          <w:b/>
          <w:sz w:val="44"/>
          <w:szCs w:val="44"/>
          <w:highlight w:val="none"/>
        </w:rPr>
        <w:t>CFG桩</w:t>
      </w:r>
      <w:r>
        <w:rPr>
          <w:rFonts w:hint="eastAsia"/>
          <w:b/>
          <w:sz w:val="44"/>
          <w:szCs w:val="44"/>
          <w:highlight w:val="none"/>
        </w:rPr>
        <w:t>、预制管桩</w:t>
      </w:r>
      <w:r>
        <w:rPr>
          <w:b/>
          <w:sz w:val="44"/>
          <w:szCs w:val="44"/>
          <w:highlight w:val="none"/>
        </w:rPr>
        <w:t>处理承诺书</w:t>
      </w:r>
    </w:p>
    <w:p>
      <w:pPr>
        <w:pStyle w:val="8"/>
        <w:adjustRightInd w:val="0"/>
        <w:snapToGrid w:val="0"/>
        <w:spacing w:line="360" w:lineRule="auto"/>
        <w:ind w:firstLine="480"/>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sz w:val="24"/>
          <w:highlight w:val="none"/>
        </w:rPr>
        <w:t>我司已充分阅读了招标文件，并充分了解本工程岩溶地质条件复杂性及在本工程冲孔灌注桩施工过程中可能出现的不利情况，我司保证尽一切力量确保CFG桩</w:t>
      </w:r>
      <w:r>
        <w:rPr>
          <w:rFonts w:hint="eastAsia"/>
          <w:sz w:val="24"/>
          <w:highlight w:val="none"/>
        </w:rPr>
        <w:t>、预制管桩</w:t>
      </w:r>
      <w:r>
        <w:rPr>
          <w:sz w:val="24"/>
          <w:highlight w:val="none"/>
        </w:rPr>
        <w:t>施工质量及工期，对CFG桩</w:t>
      </w:r>
      <w:r>
        <w:rPr>
          <w:rFonts w:hint="eastAsia"/>
          <w:sz w:val="24"/>
          <w:highlight w:val="none"/>
        </w:rPr>
        <w:t>、预制管桩</w:t>
      </w:r>
      <w:r>
        <w:rPr>
          <w:sz w:val="24"/>
          <w:highlight w:val="none"/>
        </w:rPr>
        <w:t>检测发现需要补强处理的，承诺如下：</w:t>
      </w:r>
    </w:p>
    <w:p>
      <w:pPr>
        <w:pStyle w:val="8"/>
        <w:adjustRightInd w:val="0"/>
        <w:snapToGrid w:val="0"/>
        <w:spacing w:line="360" w:lineRule="auto"/>
        <w:ind w:firstLine="480"/>
        <w:rPr>
          <w:sz w:val="24"/>
          <w:highlight w:val="none"/>
        </w:rPr>
      </w:pPr>
      <w:r>
        <w:rPr>
          <w:sz w:val="24"/>
          <w:highlight w:val="none"/>
        </w:rPr>
        <w:t>1、在接到通知2天内投入设备，4天内完成补强处理工作；</w:t>
      </w:r>
    </w:p>
    <w:p>
      <w:pPr>
        <w:pStyle w:val="8"/>
        <w:adjustRightInd w:val="0"/>
        <w:snapToGrid w:val="0"/>
        <w:spacing w:line="360" w:lineRule="auto"/>
        <w:ind w:firstLine="480"/>
        <w:rPr>
          <w:sz w:val="24"/>
          <w:highlight w:val="none"/>
        </w:rPr>
      </w:pPr>
      <w:r>
        <w:rPr>
          <w:sz w:val="24"/>
          <w:highlight w:val="none"/>
        </w:rPr>
        <w:t>2、无论何种原因造成补强处理，所产生的费用已在投标总价中综合考虑，不要求发包人现场签证、增加工程量；</w:t>
      </w:r>
    </w:p>
    <w:p>
      <w:pPr>
        <w:pStyle w:val="8"/>
        <w:adjustRightInd w:val="0"/>
        <w:snapToGrid w:val="0"/>
        <w:spacing w:line="360" w:lineRule="auto"/>
        <w:ind w:firstLine="480"/>
        <w:rPr>
          <w:sz w:val="24"/>
          <w:highlight w:val="none"/>
        </w:rPr>
      </w:pPr>
      <w:r>
        <w:rPr>
          <w:sz w:val="24"/>
          <w:highlight w:val="none"/>
        </w:rPr>
        <w:t>3、若未能实现上述承诺，在收到书面通知后，不挑剔、不争辩，也不要求出具证明，2天内整改并征得发包人批复同意，否则将自愿接受每发生一次处罚5万元人民币。</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left="5386" w:leftChars="2565" w:firstLine="480"/>
        <w:rPr>
          <w:sz w:val="24"/>
          <w:highlight w:val="none"/>
        </w:rPr>
      </w:pPr>
      <w:r>
        <w:rPr>
          <w:sz w:val="24"/>
          <w:highlight w:val="none"/>
        </w:rPr>
        <w:t>单位名称（盖公章）：</w:t>
      </w:r>
    </w:p>
    <w:p>
      <w:pPr>
        <w:pStyle w:val="8"/>
        <w:adjustRightInd w:val="0"/>
        <w:snapToGrid w:val="0"/>
        <w:spacing w:line="360" w:lineRule="auto"/>
        <w:ind w:left="5386" w:leftChars="2565" w:firstLine="480"/>
        <w:rPr>
          <w:sz w:val="24"/>
          <w:highlight w:val="none"/>
        </w:rPr>
      </w:pPr>
      <w:r>
        <w:rPr>
          <w:sz w:val="24"/>
          <w:highlight w:val="none"/>
        </w:rPr>
        <w:t xml:space="preserve">法定代表人（签字）： </w:t>
      </w:r>
    </w:p>
    <w:p>
      <w:pPr>
        <w:pStyle w:val="8"/>
        <w:adjustRightInd w:val="0"/>
        <w:snapToGrid w:val="0"/>
        <w:spacing w:line="360" w:lineRule="auto"/>
        <w:ind w:left="5386" w:leftChars="2565" w:firstLine="480"/>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 w:val="24"/>
          <w:highlight w:val="none"/>
        </w:rPr>
      </w:pPr>
      <w:r>
        <w:rPr>
          <w:sz w:val="24"/>
          <w:highlight w:val="none"/>
        </w:rPr>
        <w:br w:type="page"/>
      </w:r>
    </w:p>
    <w:p>
      <w:pPr>
        <w:pStyle w:val="4"/>
        <w:rPr>
          <w:rFonts w:ascii="宋体" w:hAnsi="宋体" w:eastAsia="宋体"/>
          <w:sz w:val="21"/>
          <w:szCs w:val="21"/>
          <w:highlight w:val="none"/>
        </w:rPr>
      </w:pPr>
      <w:bookmarkStart w:id="718" w:name="_Toc132813155"/>
      <w:r>
        <w:rPr>
          <w:rFonts w:hint="eastAsia" w:ascii="宋体" w:hAnsi="宋体" w:eastAsia="宋体"/>
          <w:sz w:val="21"/>
          <w:szCs w:val="21"/>
          <w:highlight w:val="none"/>
        </w:rPr>
        <w:t>附件</w:t>
      </w:r>
      <w:r>
        <w:rPr>
          <w:rFonts w:ascii="宋体" w:hAnsi="宋体" w:eastAsia="宋体"/>
          <w:sz w:val="21"/>
          <w:szCs w:val="21"/>
          <w:highlight w:val="none"/>
        </w:rPr>
        <w:t>10</w:t>
      </w:r>
      <w:r>
        <w:rPr>
          <w:rFonts w:hint="eastAsia" w:ascii="宋体" w:hAnsi="宋体" w:eastAsia="宋体"/>
          <w:sz w:val="21"/>
          <w:szCs w:val="21"/>
          <w:highlight w:val="none"/>
        </w:rPr>
        <w:t>：防水工程质量问题处理承诺书</w:t>
      </w:r>
      <w:bookmarkEnd w:id="718"/>
    </w:p>
    <w:p>
      <w:pPr>
        <w:pStyle w:val="8"/>
        <w:spacing w:after="240" w:line="360" w:lineRule="auto"/>
        <w:ind w:firstLine="0" w:firstLineChars="0"/>
        <w:jc w:val="center"/>
        <w:rPr>
          <w:sz w:val="44"/>
          <w:szCs w:val="44"/>
          <w:highlight w:val="none"/>
        </w:rPr>
      </w:pPr>
      <w:r>
        <w:rPr>
          <w:rFonts w:hint="eastAsia"/>
          <w:b/>
          <w:sz w:val="44"/>
          <w:szCs w:val="44"/>
          <w:highlight w:val="none"/>
        </w:rPr>
        <w:t>防水工程质量问题处理承诺书</w:t>
      </w:r>
    </w:p>
    <w:p>
      <w:pPr>
        <w:pStyle w:val="8"/>
        <w:snapToGrid w:val="0"/>
        <w:spacing w:line="360" w:lineRule="auto"/>
        <w:ind w:firstLine="480"/>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snapToGrid w:val="0"/>
        <w:spacing w:line="360" w:lineRule="auto"/>
        <w:ind w:firstLine="480"/>
        <w:rPr>
          <w:sz w:val="24"/>
          <w:highlight w:val="none"/>
        </w:rPr>
      </w:pPr>
      <w:r>
        <w:rPr>
          <w:sz w:val="24"/>
          <w:highlight w:val="none"/>
        </w:rPr>
        <w:t>我司承诺防水工程质量符合设计图纸及现行验收规范要求，在施工期间发现渗水、漏水等情况，在收到书面通知后，不挑剔、不争辩，也不要求出具证明，3天内整改并征得发包人批复同意，否则我司愿承担罚款：每处每延迟1天自愿接受罚款2万元（人民币）。</w:t>
      </w:r>
    </w:p>
    <w:p>
      <w:pPr>
        <w:pStyle w:val="8"/>
        <w:snapToGrid w:val="0"/>
        <w:spacing w:line="360" w:lineRule="auto"/>
        <w:ind w:firstLine="480"/>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napToGrid w:val="0"/>
        <w:spacing w:line="360" w:lineRule="auto"/>
        <w:ind w:firstLine="480"/>
        <w:rPr>
          <w:sz w:val="24"/>
          <w:highlight w:val="none"/>
        </w:rPr>
      </w:pPr>
    </w:p>
    <w:p>
      <w:pPr>
        <w:pStyle w:val="8"/>
        <w:snapToGrid w:val="0"/>
        <w:spacing w:line="360" w:lineRule="auto"/>
        <w:ind w:firstLine="480"/>
        <w:rPr>
          <w:sz w:val="24"/>
          <w:highlight w:val="none"/>
        </w:rPr>
      </w:pPr>
      <w:r>
        <w:rPr>
          <w:sz w:val="24"/>
          <w:highlight w:val="none"/>
        </w:rPr>
        <w:t>我司承诺，若在质保期内出现渗水、漏水等影响正常办公、生活的情况，在收到通知后24小时内必须赶到现场并及时进行维修，并赔偿由此引起的所有损失；未在约定期限内派人维修，发包人有权指定其他人员维修，费用按实际发生费用的1.5倍从我司质保金中扣除，并赔偿由此引起的所有损失。若有出现维修项目，我司承诺本工程防水项目质保期延长6个月。</w:t>
      </w:r>
    </w:p>
    <w:p>
      <w:pPr>
        <w:pStyle w:val="8"/>
        <w:snapToGrid w:val="0"/>
        <w:spacing w:line="360" w:lineRule="auto"/>
        <w:ind w:firstLine="480"/>
        <w:rPr>
          <w:sz w:val="24"/>
          <w:highlight w:val="none"/>
        </w:rPr>
      </w:pPr>
    </w:p>
    <w:p>
      <w:pPr>
        <w:pStyle w:val="8"/>
        <w:snapToGrid w:val="0"/>
        <w:spacing w:line="360" w:lineRule="auto"/>
        <w:ind w:firstLine="480"/>
        <w:rPr>
          <w:sz w:val="24"/>
          <w:highlight w:val="none"/>
        </w:rPr>
      </w:pPr>
    </w:p>
    <w:p>
      <w:pPr>
        <w:pStyle w:val="8"/>
        <w:snapToGrid w:val="0"/>
        <w:spacing w:line="360" w:lineRule="auto"/>
        <w:ind w:left="5670" w:leftChars="2700" w:firstLine="480"/>
        <w:rPr>
          <w:sz w:val="24"/>
          <w:highlight w:val="none"/>
        </w:rPr>
      </w:pPr>
      <w:r>
        <w:rPr>
          <w:sz w:val="24"/>
          <w:highlight w:val="none"/>
        </w:rPr>
        <w:t>单位名称（盖公章）：</w:t>
      </w:r>
    </w:p>
    <w:p>
      <w:pPr>
        <w:pStyle w:val="8"/>
        <w:snapToGrid w:val="0"/>
        <w:spacing w:line="360" w:lineRule="auto"/>
        <w:ind w:left="5670" w:leftChars="2700" w:firstLine="480"/>
        <w:rPr>
          <w:sz w:val="24"/>
          <w:highlight w:val="none"/>
        </w:rPr>
      </w:pPr>
      <w:r>
        <w:rPr>
          <w:sz w:val="24"/>
          <w:highlight w:val="none"/>
        </w:rPr>
        <w:t xml:space="preserve">法定代表人（签字）： </w:t>
      </w:r>
    </w:p>
    <w:p>
      <w:pPr>
        <w:pStyle w:val="8"/>
        <w:snapToGrid w:val="0"/>
        <w:spacing w:line="360" w:lineRule="auto"/>
        <w:ind w:left="5670" w:leftChars="2700" w:firstLine="480"/>
        <w:rPr>
          <w:sz w:val="24"/>
          <w:highlight w:val="none"/>
        </w:rPr>
      </w:pPr>
      <w:r>
        <w:rPr>
          <w:sz w:val="24"/>
          <w:highlight w:val="none"/>
        </w:rPr>
        <w:t>日期：</w:t>
      </w:r>
      <w:r>
        <w:rPr>
          <w:rFonts w:hint="eastAsia"/>
          <w:sz w:val="24"/>
          <w:highlight w:val="none"/>
        </w:rPr>
        <w:t>2023</w:t>
      </w:r>
      <w:r>
        <w:rPr>
          <w:sz w:val="24"/>
          <w:highlight w:val="none"/>
        </w:rPr>
        <w:t xml:space="preserve">年 </w:t>
      </w:r>
      <w:r>
        <w:rPr>
          <w:rFonts w:hint="eastAsia"/>
          <w:sz w:val="24"/>
          <w:highlight w:val="none"/>
        </w:rPr>
        <w:t xml:space="preserve"> </w:t>
      </w:r>
      <w:r>
        <w:rPr>
          <w:sz w:val="24"/>
          <w:highlight w:val="none"/>
        </w:rPr>
        <w:t>月  日</w:t>
      </w: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19" w:name="_Toc132813156"/>
      <w:r>
        <w:rPr>
          <w:rFonts w:hint="eastAsia" w:ascii="宋体" w:hAnsi="宋体" w:eastAsia="宋体"/>
          <w:sz w:val="21"/>
          <w:szCs w:val="21"/>
          <w:highlight w:val="none"/>
        </w:rPr>
        <w:t>附件</w:t>
      </w:r>
      <w:r>
        <w:rPr>
          <w:rFonts w:ascii="宋体" w:hAnsi="宋体" w:eastAsia="宋体"/>
          <w:sz w:val="21"/>
          <w:szCs w:val="21"/>
          <w:highlight w:val="none"/>
        </w:rPr>
        <w:t>11</w:t>
      </w:r>
      <w:r>
        <w:rPr>
          <w:rFonts w:hint="eastAsia" w:ascii="宋体" w:hAnsi="宋体" w:eastAsia="宋体"/>
          <w:sz w:val="21"/>
          <w:szCs w:val="21"/>
          <w:highlight w:val="none"/>
        </w:rPr>
        <w:t>：成品保护及卫生保洁承诺书</w:t>
      </w:r>
      <w:bookmarkEnd w:id="719"/>
    </w:p>
    <w:p>
      <w:pPr>
        <w:pStyle w:val="8"/>
        <w:spacing w:after="240" w:line="360" w:lineRule="auto"/>
        <w:ind w:firstLine="0" w:firstLineChars="0"/>
        <w:jc w:val="center"/>
        <w:rPr>
          <w:sz w:val="44"/>
          <w:szCs w:val="44"/>
          <w:highlight w:val="none"/>
        </w:rPr>
      </w:pPr>
      <w:r>
        <w:rPr>
          <w:rFonts w:hint="eastAsia"/>
          <w:b/>
          <w:sz w:val="44"/>
          <w:szCs w:val="44"/>
          <w:highlight w:val="none"/>
        </w:rPr>
        <w:t>成品保护及卫生保洁承诺书</w:t>
      </w:r>
    </w:p>
    <w:p>
      <w:pPr>
        <w:pStyle w:val="8"/>
        <w:spacing w:line="360" w:lineRule="auto"/>
        <w:ind w:firstLine="480"/>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sz w:val="24"/>
          <w:highlight w:val="none"/>
        </w:rPr>
        <w:t>我司承诺，在工程整体交付使用前，负责成品保护及项目红线范围内卫生保洁工作。若出现成品保护及卫生保洁措施落实不到位的情况，在收到书面通知后，不挑剔、不争辩，也不要求出具证明，2天内整改并征得发包人批复同意，否则我司愿承担罚款：每延迟1天自愿接受罚款5万元（人民币）。</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left="4960" w:leftChars="2362" w:firstLine="480"/>
        <w:rPr>
          <w:sz w:val="24"/>
          <w:highlight w:val="none"/>
        </w:rPr>
      </w:pPr>
      <w:r>
        <w:rPr>
          <w:sz w:val="24"/>
          <w:highlight w:val="none"/>
        </w:rPr>
        <w:t xml:space="preserve">单位名称（盖公章）： </w:t>
      </w:r>
    </w:p>
    <w:p>
      <w:pPr>
        <w:pStyle w:val="8"/>
        <w:adjustRightInd w:val="0"/>
        <w:snapToGrid w:val="0"/>
        <w:spacing w:line="360" w:lineRule="auto"/>
        <w:ind w:left="4960" w:leftChars="2362" w:firstLine="480"/>
        <w:rPr>
          <w:sz w:val="24"/>
          <w:highlight w:val="none"/>
        </w:rPr>
      </w:pPr>
      <w:r>
        <w:rPr>
          <w:sz w:val="24"/>
          <w:highlight w:val="none"/>
        </w:rPr>
        <w:t xml:space="preserve">法定代表人（签字）： </w:t>
      </w:r>
    </w:p>
    <w:p>
      <w:pPr>
        <w:pStyle w:val="8"/>
        <w:adjustRightInd w:val="0"/>
        <w:snapToGrid w:val="0"/>
        <w:spacing w:line="360" w:lineRule="auto"/>
        <w:ind w:left="4960" w:leftChars="2362" w:firstLine="480"/>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 w:val="24"/>
          <w:highlight w:val="none"/>
        </w:rPr>
      </w:pPr>
      <w:r>
        <w:rPr>
          <w:sz w:val="24"/>
          <w:highlight w:val="none"/>
        </w:rPr>
        <w:br w:type="page"/>
      </w:r>
    </w:p>
    <w:p>
      <w:pPr>
        <w:pStyle w:val="4"/>
        <w:jc w:val="left"/>
        <w:rPr>
          <w:rFonts w:asciiTheme="minorEastAsia" w:hAnsiTheme="minorEastAsia" w:eastAsiaTheme="minorEastAsia"/>
          <w:sz w:val="21"/>
          <w:szCs w:val="21"/>
          <w:highlight w:val="none"/>
        </w:rPr>
      </w:pPr>
      <w:bookmarkStart w:id="720" w:name="_Toc132813157"/>
      <w:r>
        <w:rPr>
          <w:rFonts w:hint="eastAsia" w:asciiTheme="minorEastAsia" w:hAnsiTheme="minorEastAsia" w:eastAsiaTheme="minorEastAsia"/>
          <w:sz w:val="21"/>
          <w:szCs w:val="21"/>
          <w:highlight w:val="none"/>
        </w:rPr>
        <w:t>附件</w:t>
      </w:r>
      <w:r>
        <w:rPr>
          <w:rFonts w:asciiTheme="minorEastAsia" w:hAnsiTheme="minorEastAsia" w:eastAsiaTheme="minorEastAsia"/>
          <w:sz w:val="21"/>
          <w:szCs w:val="21"/>
          <w:highlight w:val="none"/>
        </w:rPr>
        <w:t>12</w:t>
      </w:r>
      <w:r>
        <w:rPr>
          <w:rFonts w:hint="eastAsia" w:asciiTheme="minorEastAsia" w:hAnsiTheme="minorEastAsia" w:eastAsiaTheme="minorEastAsia"/>
          <w:sz w:val="21"/>
          <w:szCs w:val="21"/>
          <w:highlight w:val="none"/>
        </w:rPr>
        <w:t>：周边管线及地下管线保护承诺书</w:t>
      </w:r>
      <w:bookmarkEnd w:id="720"/>
    </w:p>
    <w:p>
      <w:pPr>
        <w:pStyle w:val="8"/>
        <w:spacing w:after="240" w:line="360" w:lineRule="auto"/>
        <w:ind w:firstLine="0" w:firstLineChars="0"/>
        <w:jc w:val="center"/>
        <w:rPr>
          <w:sz w:val="44"/>
          <w:szCs w:val="44"/>
          <w:highlight w:val="none"/>
        </w:rPr>
      </w:pPr>
      <w:r>
        <w:rPr>
          <w:rFonts w:hint="eastAsia"/>
          <w:b/>
          <w:sz w:val="44"/>
          <w:szCs w:val="44"/>
          <w:highlight w:val="none"/>
        </w:rPr>
        <w:t>周边管线及地下管线保护承诺书</w:t>
      </w:r>
    </w:p>
    <w:p>
      <w:pPr>
        <w:pStyle w:val="8"/>
        <w:spacing w:line="360" w:lineRule="auto"/>
        <w:ind w:firstLine="480"/>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rFonts w:hint="eastAsia"/>
          <w:sz w:val="24"/>
          <w:highlight w:val="none"/>
        </w:rPr>
        <w:t>我司承诺，在工程整体交付使用前，我司已充分考虑现场周边管线及地下管线等情况，并承诺采取有效的保护措施，若出现保护措施落实不到位的情况，在收到书面通知后，不挑剔、不争辩，也不要求出具证明，2天内整改并征得发包人批复同意，否则我司愿承担罚款：每延迟1天自愿接受处罚5万元（人民币）；若造成周边管线及地下管线等损坏的，我司负责修复，承担所造成的所有损失，并自愿接受处罚2万元（人民币）。</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pStyle w:val="8"/>
        <w:spacing w:line="360" w:lineRule="auto"/>
        <w:ind w:firstLine="556" w:firstLineChars="232"/>
        <w:rPr>
          <w:sz w:val="24"/>
          <w:highlight w:val="none"/>
        </w:rPr>
      </w:pPr>
    </w:p>
    <w:p>
      <w:pPr>
        <w:pStyle w:val="8"/>
        <w:spacing w:line="360" w:lineRule="auto"/>
        <w:ind w:firstLine="556" w:firstLineChars="232"/>
        <w:rPr>
          <w:sz w:val="24"/>
          <w:highlight w:val="none"/>
        </w:rPr>
      </w:pPr>
    </w:p>
    <w:p>
      <w:pPr>
        <w:pStyle w:val="8"/>
        <w:spacing w:line="360" w:lineRule="auto"/>
        <w:ind w:firstLine="556" w:firstLineChars="232"/>
        <w:rPr>
          <w:sz w:val="24"/>
          <w:highlight w:val="none"/>
        </w:rPr>
      </w:pPr>
    </w:p>
    <w:p>
      <w:pPr>
        <w:pStyle w:val="8"/>
        <w:spacing w:line="360" w:lineRule="auto"/>
        <w:ind w:left="5670" w:leftChars="2700" w:firstLine="480"/>
        <w:rPr>
          <w:sz w:val="24"/>
          <w:highlight w:val="none"/>
        </w:rPr>
      </w:pPr>
      <w:r>
        <w:rPr>
          <w:rFonts w:hint="eastAsia"/>
          <w:sz w:val="24"/>
          <w:highlight w:val="none"/>
        </w:rPr>
        <w:t>单位名称（盖公章）：</w:t>
      </w:r>
    </w:p>
    <w:p>
      <w:pPr>
        <w:pStyle w:val="8"/>
        <w:spacing w:line="360" w:lineRule="auto"/>
        <w:ind w:left="5670" w:leftChars="2700" w:firstLine="480"/>
        <w:rPr>
          <w:sz w:val="24"/>
          <w:highlight w:val="none"/>
        </w:rPr>
      </w:pPr>
      <w:r>
        <w:rPr>
          <w:rFonts w:hint="eastAsia"/>
          <w:sz w:val="24"/>
          <w:highlight w:val="none"/>
        </w:rPr>
        <w:t xml:space="preserve">法定代表人（签字）： </w:t>
      </w:r>
    </w:p>
    <w:p>
      <w:pPr>
        <w:pStyle w:val="8"/>
        <w:spacing w:line="360" w:lineRule="auto"/>
        <w:ind w:left="5103" w:leftChars="2430" w:firstLine="960" w:firstLineChars="400"/>
        <w:rPr>
          <w:sz w:val="24"/>
          <w:highlight w:val="none"/>
        </w:rPr>
      </w:pPr>
      <w:r>
        <w:rPr>
          <w:rFonts w:hint="eastAsia"/>
          <w:sz w:val="24"/>
          <w:highlight w:val="none"/>
        </w:rPr>
        <w:t>日期：2023年  月  日</w:t>
      </w:r>
    </w:p>
    <w:p>
      <w:pPr>
        <w:pStyle w:val="8"/>
        <w:spacing w:line="360" w:lineRule="auto"/>
        <w:ind w:left="5103" w:leftChars="2430" w:firstLine="480"/>
        <w:rPr>
          <w:sz w:val="24"/>
          <w:highlight w:val="none"/>
        </w:rPr>
      </w:pPr>
    </w:p>
    <w:p>
      <w:pPr>
        <w:widowControl/>
        <w:jc w:val="left"/>
        <w:rPr>
          <w:sz w:val="24"/>
          <w:highlight w:val="none"/>
        </w:rPr>
      </w:pPr>
      <w:r>
        <w:rPr>
          <w:sz w:val="24"/>
          <w:highlight w:val="none"/>
        </w:rPr>
        <w:br w:type="page"/>
      </w:r>
    </w:p>
    <w:p>
      <w:pPr>
        <w:pStyle w:val="4"/>
        <w:adjustRightInd w:val="0"/>
        <w:snapToGrid w:val="0"/>
        <w:spacing w:before="0" w:after="0" w:line="240" w:lineRule="auto"/>
        <w:jc w:val="left"/>
        <w:rPr>
          <w:rFonts w:ascii="宋体" w:hAnsi="宋体" w:eastAsia="宋体"/>
          <w:sz w:val="21"/>
          <w:szCs w:val="21"/>
          <w:highlight w:val="none"/>
        </w:rPr>
      </w:pPr>
      <w:bookmarkStart w:id="721" w:name="_Toc132813158"/>
      <w:r>
        <w:rPr>
          <w:rFonts w:hint="eastAsia" w:ascii="宋体" w:hAnsi="宋体" w:eastAsia="宋体"/>
          <w:sz w:val="21"/>
          <w:szCs w:val="21"/>
          <w:highlight w:val="none"/>
        </w:rPr>
        <w:t>附件</w:t>
      </w:r>
      <w:r>
        <w:rPr>
          <w:rFonts w:ascii="宋体" w:hAnsi="宋体" w:eastAsia="宋体"/>
          <w:sz w:val="21"/>
          <w:szCs w:val="21"/>
          <w:highlight w:val="none"/>
        </w:rPr>
        <w:t>13</w:t>
      </w:r>
      <w:r>
        <w:rPr>
          <w:rFonts w:hint="eastAsia" w:ascii="宋体" w:hAnsi="宋体" w:eastAsia="宋体"/>
          <w:sz w:val="21"/>
          <w:szCs w:val="21"/>
          <w:highlight w:val="none"/>
        </w:rPr>
        <w:t>：施工班组投入承诺书</w:t>
      </w:r>
      <w:bookmarkEnd w:id="721"/>
    </w:p>
    <w:p>
      <w:pPr>
        <w:pStyle w:val="8"/>
        <w:spacing w:after="240" w:line="360" w:lineRule="auto"/>
        <w:ind w:firstLine="0" w:firstLineChars="0"/>
        <w:jc w:val="center"/>
        <w:rPr>
          <w:b/>
          <w:sz w:val="44"/>
          <w:szCs w:val="44"/>
          <w:highlight w:val="none"/>
        </w:rPr>
      </w:pPr>
      <w:r>
        <w:rPr>
          <w:rFonts w:hint="eastAsia"/>
          <w:b/>
          <w:sz w:val="44"/>
          <w:szCs w:val="44"/>
          <w:highlight w:val="none"/>
        </w:rPr>
        <w:t>施工班组投入承诺书</w:t>
      </w: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exact"/>
        <w:rPr>
          <w:szCs w:val="21"/>
          <w:highlight w:val="none"/>
        </w:rPr>
      </w:pPr>
      <w:r>
        <w:rPr>
          <w:rFonts w:hint="eastAsia"/>
          <w:szCs w:val="21"/>
          <w:highlight w:val="none"/>
        </w:rPr>
        <w:t>我司承诺保证按以下“ 施工班组人员投入表”投入使用。</w:t>
      </w:r>
    </w:p>
    <w:p>
      <w:pPr>
        <w:pStyle w:val="8"/>
        <w:adjustRightInd w:val="0"/>
        <w:snapToGrid w:val="0"/>
        <w:spacing w:line="360" w:lineRule="exact"/>
        <w:rPr>
          <w:szCs w:val="21"/>
          <w:highlight w:val="none"/>
        </w:rPr>
      </w:pPr>
      <w:r>
        <w:rPr>
          <w:rFonts w:hint="eastAsia"/>
          <w:szCs w:val="21"/>
          <w:highlight w:val="none"/>
        </w:rPr>
        <w:t>若经发包人审查所投入的施工班级人员未能满足本项目的要求，发包人有权提出调整施工班组以满足本项目的需要，在收到书面通知后，不挑剔、不争辩，也不要求出具证明，5天内整改并征得发包人批复同意，否则我司愿承担罚款：施工班组人员未按审批进度计划开始施工前3天内到位，每班组每延迟1天自愿接受罚款2万元（人民币）。</w:t>
      </w:r>
    </w:p>
    <w:p>
      <w:pPr>
        <w:pStyle w:val="8"/>
        <w:spacing w:line="360" w:lineRule="auto"/>
        <w:ind w:firstLine="487" w:firstLineChars="232"/>
        <w:rPr>
          <w:szCs w:val="21"/>
          <w:highlight w:val="none"/>
        </w:rPr>
      </w:pPr>
      <w:r>
        <w:rPr>
          <w:szCs w:val="21"/>
          <w:highlight w:val="none"/>
        </w:rPr>
        <w:t>罚款以下列方式、顺序扣付：</w:t>
      </w:r>
    </w:p>
    <w:p>
      <w:pPr>
        <w:pStyle w:val="8"/>
        <w:spacing w:line="360" w:lineRule="auto"/>
        <w:ind w:firstLine="487" w:firstLineChars="232"/>
        <w:rPr>
          <w:szCs w:val="21"/>
          <w:highlight w:val="none"/>
        </w:rPr>
      </w:pPr>
      <w:r>
        <w:rPr>
          <w:rFonts w:hint="eastAsia"/>
          <w:szCs w:val="21"/>
          <w:highlight w:val="none"/>
        </w:rPr>
        <w:t>①</w:t>
      </w:r>
      <w:r>
        <w:rPr>
          <w:szCs w:val="21"/>
          <w:highlight w:val="none"/>
        </w:rPr>
        <w:t xml:space="preserve">．进度款  </w:t>
      </w:r>
      <w:r>
        <w:rPr>
          <w:rFonts w:hint="eastAsia"/>
          <w:szCs w:val="21"/>
          <w:highlight w:val="none"/>
        </w:rPr>
        <w:t>②</w:t>
      </w:r>
      <w:r>
        <w:rPr>
          <w:szCs w:val="21"/>
          <w:highlight w:val="none"/>
        </w:rPr>
        <w:t>．履约担保</w:t>
      </w:r>
    </w:p>
    <w:p>
      <w:pPr>
        <w:pStyle w:val="8"/>
        <w:spacing w:line="360" w:lineRule="auto"/>
        <w:ind w:firstLine="480"/>
        <w:jc w:val="center"/>
        <w:rPr>
          <w:sz w:val="24"/>
          <w:highlight w:val="none"/>
        </w:rPr>
      </w:pPr>
      <w:r>
        <w:rPr>
          <w:rFonts w:hint="eastAsia"/>
          <w:sz w:val="24"/>
          <w:highlight w:val="none"/>
        </w:rPr>
        <w:t>主要施工班组人员投入要求表</w:t>
      </w:r>
    </w:p>
    <w:tbl>
      <w:tblPr>
        <w:tblStyle w:val="76"/>
        <w:tblW w:w="85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1"/>
        <w:gridCol w:w="1189"/>
        <w:gridCol w:w="1500"/>
        <w:gridCol w:w="198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22"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highlight w:val="none"/>
              </w:rPr>
            </w:pPr>
            <w:r>
              <w:rPr>
                <w:rFonts w:hint="eastAsia" w:ascii="宋体" w:hAnsi="宋体"/>
                <w:b/>
                <w:sz w:val="24"/>
                <w:highlight w:val="none"/>
              </w:rPr>
              <w:t>主体阶段施工班组人员投入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序号</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工种</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班组数量</w:t>
            </w: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人数（人）</w:t>
            </w: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进场日期</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砌砖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模板工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钢筋工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外架工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砼工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水电工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8</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砌体工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9</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防水工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10</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栏杆</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铝合金门窗</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装修工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园林绿化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塔吊司机、司索工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施工电梯</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17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焊工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r>
              <w:rPr>
                <w:rFonts w:hint="eastAsia" w:ascii="宋体" w:hAnsi="宋体"/>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highlight w:val="none"/>
              </w:rPr>
            </w:pPr>
          </w:p>
        </w:tc>
      </w:tr>
    </w:tbl>
    <w:p>
      <w:pPr>
        <w:adjustRightInd w:val="0"/>
        <w:snapToGrid w:val="0"/>
        <w:spacing w:line="360" w:lineRule="exact"/>
        <w:ind w:firstLine="420" w:firstLineChars="200"/>
        <w:rPr>
          <w:szCs w:val="21"/>
          <w:highlight w:val="none"/>
        </w:rPr>
      </w:pPr>
      <w:r>
        <w:rPr>
          <w:szCs w:val="21"/>
          <w:highlight w:val="none"/>
        </w:rPr>
        <w:t>增大特殊工种的投入，实现三班制轮班作业，计划安排塔吊司机3人/台，安排塔吊司索工6人/台，安排施工电梯司机3人/台。</w:t>
      </w:r>
    </w:p>
    <w:p>
      <w:pPr>
        <w:adjustRightInd w:val="0"/>
        <w:snapToGrid w:val="0"/>
        <w:spacing w:line="360" w:lineRule="exact"/>
        <w:ind w:firstLine="420" w:firstLineChars="200"/>
        <w:rPr>
          <w:szCs w:val="21"/>
          <w:highlight w:val="none"/>
        </w:rPr>
      </w:pPr>
      <w:r>
        <w:rPr>
          <w:szCs w:val="21"/>
          <w:highlight w:val="none"/>
        </w:rPr>
        <w:t>组建突击班</w:t>
      </w:r>
      <w:r>
        <w:rPr>
          <w:rFonts w:hint="eastAsia"/>
          <w:szCs w:val="21"/>
          <w:highlight w:val="none"/>
        </w:rPr>
        <w:t>20</w:t>
      </w:r>
      <w:r>
        <w:rPr>
          <w:szCs w:val="21"/>
          <w:highlight w:val="none"/>
        </w:rPr>
        <w:t>～</w:t>
      </w:r>
      <w:r>
        <w:rPr>
          <w:rFonts w:hint="eastAsia"/>
          <w:szCs w:val="21"/>
          <w:highlight w:val="none"/>
        </w:rPr>
        <w:t>30</w:t>
      </w:r>
      <w:r>
        <w:rPr>
          <w:szCs w:val="21"/>
          <w:highlight w:val="none"/>
        </w:rPr>
        <w:t>人（木工</w:t>
      </w:r>
      <w:r>
        <w:rPr>
          <w:rFonts w:hint="eastAsia"/>
          <w:szCs w:val="21"/>
          <w:highlight w:val="none"/>
        </w:rPr>
        <w:t>8</w:t>
      </w:r>
      <w:r>
        <w:rPr>
          <w:szCs w:val="21"/>
          <w:highlight w:val="none"/>
        </w:rPr>
        <w:t>～</w:t>
      </w:r>
      <w:r>
        <w:rPr>
          <w:rFonts w:hint="eastAsia"/>
          <w:szCs w:val="21"/>
          <w:highlight w:val="none"/>
        </w:rPr>
        <w:t>12</w:t>
      </w:r>
      <w:r>
        <w:rPr>
          <w:szCs w:val="21"/>
          <w:highlight w:val="none"/>
        </w:rPr>
        <w:t>、铁工</w:t>
      </w:r>
      <w:r>
        <w:rPr>
          <w:rFonts w:hint="eastAsia"/>
          <w:szCs w:val="21"/>
          <w:highlight w:val="none"/>
        </w:rPr>
        <w:t>8</w:t>
      </w:r>
      <w:r>
        <w:rPr>
          <w:szCs w:val="21"/>
          <w:highlight w:val="none"/>
        </w:rPr>
        <w:t>～</w:t>
      </w:r>
      <w:r>
        <w:rPr>
          <w:rFonts w:hint="eastAsia"/>
          <w:szCs w:val="21"/>
          <w:highlight w:val="none"/>
        </w:rPr>
        <w:t>12</w:t>
      </w:r>
      <w:r>
        <w:rPr>
          <w:szCs w:val="21"/>
          <w:highlight w:val="none"/>
        </w:rPr>
        <w:t>、水电工</w:t>
      </w:r>
      <w:r>
        <w:rPr>
          <w:rFonts w:hint="eastAsia"/>
          <w:szCs w:val="21"/>
          <w:highlight w:val="none"/>
        </w:rPr>
        <w:t>4</w:t>
      </w:r>
      <w:r>
        <w:rPr>
          <w:szCs w:val="21"/>
          <w:highlight w:val="none"/>
        </w:rPr>
        <w:t>～</w:t>
      </w:r>
      <w:r>
        <w:rPr>
          <w:rFonts w:hint="eastAsia"/>
          <w:szCs w:val="21"/>
          <w:highlight w:val="none"/>
        </w:rPr>
        <w:t>6</w:t>
      </w:r>
      <w:r>
        <w:rPr>
          <w:szCs w:val="21"/>
          <w:highlight w:val="none"/>
        </w:rPr>
        <w:t>人）突击队应对滞后区域连续突击。</w:t>
      </w:r>
    </w:p>
    <w:p>
      <w:pPr>
        <w:pStyle w:val="8"/>
        <w:spacing w:line="360" w:lineRule="exact"/>
        <w:ind w:left="4819" w:leftChars="2295"/>
        <w:rPr>
          <w:szCs w:val="21"/>
          <w:highlight w:val="none"/>
        </w:rPr>
      </w:pPr>
      <w:r>
        <w:rPr>
          <w:rFonts w:hint="eastAsia"/>
          <w:szCs w:val="21"/>
          <w:highlight w:val="none"/>
        </w:rPr>
        <w:t>单位名称（盖公章）：</w:t>
      </w:r>
    </w:p>
    <w:p>
      <w:pPr>
        <w:pStyle w:val="8"/>
        <w:spacing w:line="360" w:lineRule="exact"/>
        <w:ind w:left="4819" w:leftChars="2295"/>
        <w:rPr>
          <w:szCs w:val="21"/>
          <w:highlight w:val="none"/>
        </w:rPr>
      </w:pPr>
      <w:r>
        <w:rPr>
          <w:rFonts w:hint="eastAsia"/>
          <w:szCs w:val="21"/>
          <w:highlight w:val="none"/>
        </w:rPr>
        <w:t xml:space="preserve">法定代表人（签字）： </w:t>
      </w:r>
    </w:p>
    <w:p>
      <w:pPr>
        <w:pStyle w:val="8"/>
        <w:spacing w:line="360" w:lineRule="exact"/>
        <w:ind w:left="4819" w:leftChars="2295"/>
        <w:rPr>
          <w:szCs w:val="21"/>
          <w:highlight w:val="none"/>
        </w:rPr>
      </w:pPr>
      <w:r>
        <w:rPr>
          <w:rFonts w:hint="eastAsia"/>
          <w:szCs w:val="21"/>
          <w:highlight w:val="none"/>
        </w:rPr>
        <w:t>日期：2023年   月   日</w:t>
      </w:r>
    </w:p>
    <w:p>
      <w:pPr>
        <w:pStyle w:val="4"/>
        <w:jc w:val="left"/>
        <w:rPr>
          <w:rFonts w:ascii="宋体" w:hAnsi="宋体" w:eastAsia="宋体"/>
          <w:sz w:val="21"/>
          <w:szCs w:val="21"/>
          <w:highlight w:val="none"/>
        </w:rPr>
      </w:pPr>
      <w:r>
        <w:rPr>
          <w:szCs w:val="21"/>
          <w:highlight w:val="none"/>
        </w:rPr>
        <w:br w:type="page"/>
      </w:r>
      <w:bookmarkStart w:id="722" w:name="_Toc132813159"/>
      <w:r>
        <w:rPr>
          <w:rFonts w:hint="eastAsia" w:ascii="宋体" w:hAnsi="宋体" w:eastAsia="宋体"/>
          <w:sz w:val="21"/>
          <w:szCs w:val="21"/>
          <w:highlight w:val="none"/>
        </w:rPr>
        <w:t>附件1</w:t>
      </w:r>
      <w:r>
        <w:rPr>
          <w:rFonts w:ascii="宋体" w:hAnsi="宋体" w:eastAsia="宋体"/>
          <w:sz w:val="21"/>
          <w:szCs w:val="21"/>
          <w:highlight w:val="none"/>
        </w:rPr>
        <w:t>4</w:t>
      </w:r>
      <w:r>
        <w:rPr>
          <w:rFonts w:hint="eastAsia" w:ascii="宋体" w:hAnsi="宋体" w:eastAsia="宋体"/>
          <w:sz w:val="21"/>
          <w:szCs w:val="21"/>
          <w:highlight w:val="none"/>
        </w:rPr>
        <w:t>：周边管线（建筑物、构筑物等）变形监测及其保护承诺书</w:t>
      </w:r>
      <w:bookmarkEnd w:id="722"/>
    </w:p>
    <w:p>
      <w:pPr>
        <w:pStyle w:val="8"/>
        <w:spacing w:after="240" w:line="360" w:lineRule="auto"/>
        <w:ind w:firstLine="0" w:firstLineChars="0"/>
        <w:jc w:val="center"/>
        <w:rPr>
          <w:b/>
          <w:sz w:val="44"/>
          <w:szCs w:val="44"/>
          <w:highlight w:val="none"/>
        </w:rPr>
      </w:pPr>
      <w:r>
        <w:rPr>
          <w:rFonts w:hint="eastAsia"/>
          <w:b/>
          <w:sz w:val="44"/>
          <w:szCs w:val="44"/>
          <w:highlight w:val="none"/>
        </w:rPr>
        <w:t>周边管线（建筑物、构筑物等）变形监测及其保护承诺书</w:t>
      </w:r>
    </w:p>
    <w:p>
      <w:pPr>
        <w:pStyle w:val="8"/>
        <w:adjustRightInd w:val="0"/>
        <w:snapToGrid w:val="0"/>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sz w:val="24"/>
          <w:highlight w:val="none"/>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2天内整改完成并征得发包人批复同意，否则我司愿承担罚款：每延迟1天自愿接受处罚5万元（人民币）；若造成周边管线（建筑物、构筑物）等损坏的，我司负责修复，承担所造成的所有损失，并自愿接受处罚20万元（人民币）。同时我司承诺不能因第三方监测单位进行变形监测而免除我司作为施工主体单位的安全和质量责任。</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shd w:val="clear" w:color="auto" w:fill="FFFFFF"/>
        <w:spacing w:line="500" w:lineRule="exact"/>
        <w:jc w:val="center"/>
        <w:rPr>
          <w:rFonts w:ascii="仿宋" w:hAnsi="仿宋" w:eastAsia="仿宋" w:cs="仿宋"/>
          <w:spacing w:val="2"/>
          <w:sz w:val="24"/>
          <w:highlight w:val="none"/>
          <w:shd w:val="clear" w:color="auto" w:fill="FFFFFF"/>
        </w:rPr>
      </w:pPr>
    </w:p>
    <w:p>
      <w:pPr>
        <w:shd w:val="clear" w:color="auto" w:fill="FFFFFF"/>
        <w:spacing w:line="500" w:lineRule="exact"/>
        <w:ind w:firstLine="4392" w:firstLineChars="1800"/>
        <w:rPr>
          <w:rFonts w:ascii="仿宋" w:hAnsi="仿宋" w:eastAsia="仿宋" w:cs="仿宋"/>
          <w:spacing w:val="2"/>
          <w:sz w:val="24"/>
          <w:highlight w:val="none"/>
          <w:shd w:val="clear" w:color="auto" w:fill="FFFFFF"/>
        </w:rPr>
      </w:pPr>
    </w:p>
    <w:p>
      <w:pPr>
        <w:shd w:val="clear" w:color="auto" w:fill="FFFFFF"/>
        <w:spacing w:line="500" w:lineRule="exact"/>
        <w:ind w:firstLine="4392" w:firstLineChars="1800"/>
        <w:rPr>
          <w:rFonts w:ascii="仿宋" w:hAnsi="仿宋" w:eastAsia="仿宋" w:cs="仿宋"/>
          <w:spacing w:val="2"/>
          <w:sz w:val="24"/>
          <w:highlight w:val="none"/>
          <w:shd w:val="clear" w:color="auto" w:fill="FFFFFF"/>
        </w:rPr>
      </w:pPr>
    </w:p>
    <w:p>
      <w:pPr>
        <w:pStyle w:val="8"/>
        <w:spacing w:line="360" w:lineRule="auto"/>
        <w:ind w:left="5527" w:leftChars="2632" w:firstLine="480"/>
        <w:rPr>
          <w:sz w:val="24"/>
          <w:highlight w:val="none"/>
        </w:rPr>
      </w:pPr>
      <w:r>
        <w:rPr>
          <w:rFonts w:hint="eastAsia"/>
          <w:sz w:val="24"/>
          <w:highlight w:val="none"/>
        </w:rPr>
        <w:t>单位名称（盖公章）：</w:t>
      </w:r>
    </w:p>
    <w:p>
      <w:pPr>
        <w:pStyle w:val="8"/>
        <w:spacing w:line="360" w:lineRule="auto"/>
        <w:ind w:left="5527" w:leftChars="2632" w:firstLine="480"/>
        <w:rPr>
          <w:sz w:val="24"/>
          <w:highlight w:val="none"/>
        </w:rPr>
      </w:pPr>
      <w:r>
        <w:rPr>
          <w:rFonts w:hint="eastAsia"/>
          <w:sz w:val="24"/>
          <w:highlight w:val="none"/>
        </w:rPr>
        <w:t>法定代表人（签字）：</w:t>
      </w:r>
    </w:p>
    <w:p>
      <w:pPr>
        <w:pStyle w:val="8"/>
        <w:spacing w:line="360" w:lineRule="auto"/>
        <w:ind w:left="5527" w:leftChars="2632" w:firstLine="480"/>
        <w:rPr>
          <w:sz w:val="24"/>
          <w:highlight w:val="none"/>
        </w:rPr>
      </w:pPr>
      <w:r>
        <w:rPr>
          <w:rFonts w:hint="eastAsia"/>
          <w:sz w:val="24"/>
          <w:highlight w:val="none"/>
        </w:rPr>
        <w:t>日期：2023年  月  日</w:t>
      </w:r>
    </w:p>
    <w:p>
      <w:pPr>
        <w:widowControl/>
        <w:jc w:val="left"/>
        <w:rPr>
          <w:szCs w:val="21"/>
          <w:highlight w:val="none"/>
        </w:rPr>
      </w:pPr>
    </w:p>
    <w:p>
      <w:pPr>
        <w:widowControl/>
        <w:jc w:val="left"/>
        <w:rPr>
          <w:szCs w:val="21"/>
          <w:highlight w:val="none"/>
        </w:rPr>
      </w:pPr>
      <w:r>
        <w:rPr>
          <w:szCs w:val="21"/>
          <w:highlight w:val="none"/>
        </w:rPr>
        <w:br w:type="page"/>
      </w:r>
    </w:p>
    <w:p>
      <w:pPr>
        <w:pStyle w:val="4"/>
        <w:jc w:val="left"/>
        <w:rPr>
          <w:rFonts w:ascii="宋体" w:hAnsi="宋体" w:eastAsia="宋体"/>
          <w:sz w:val="21"/>
          <w:szCs w:val="21"/>
          <w:highlight w:val="none"/>
        </w:rPr>
      </w:pPr>
      <w:bookmarkStart w:id="723" w:name="_Toc132813160"/>
      <w:r>
        <w:rPr>
          <w:rFonts w:hint="eastAsia" w:ascii="宋体" w:hAnsi="宋体" w:eastAsia="宋体"/>
          <w:sz w:val="21"/>
          <w:szCs w:val="21"/>
          <w:highlight w:val="none"/>
        </w:rPr>
        <w:t>附件1</w:t>
      </w:r>
      <w:r>
        <w:rPr>
          <w:rFonts w:ascii="宋体" w:hAnsi="宋体" w:eastAsia="宋体"/>
          <w:sz w:val="21"/>
          <w:szCs w:val="21"/>
          <w:highlight w:val="none"/>
        </w:rPr>
        <w:t>5</w:t>
      </w:r>
      <w:r>
        <w:rPr>
          <w:rFonts w:hint="eastAsia" w:ascii="宋体" w:hAnsi="宋体" w:eastAsia="宋体"/>
          <w:sz w:val="21"/>
          <w:szCs w:val="21"/>
          <w:highlight w:val="none"/>
        </w:rPr>
        <w:t>：基坑、高支模、主体沉降监测承诺书</w:t>
      </w:r>
      <w:bookmarkEnd w:id="723"/>
    </w:p>
    <w:p>
      <w:pPr>
        <w:pStyle w:val="8"/>
        <w:spacing w:after="240" w:line="360" w:lineRule="auto"/>
        <w:ind w:firstLine="0" w:firstLineChars="0"/>
        <w:jc w:val="center"/>
        <w:rPr>
          <w:b/>
          <w:sz w:val="44"/>
          <w:szCs w:val="44"/>
          <w:highlight w:val="none"/>
        </w:rPr>
      </w:pPr>
      <w:r>
        <w:rPr>
          <w:rFonts w:hint="eastAsia"/>
          <w:b/>
          <w:sz w:val="44"/>
          <w:szCs w:val="44"/>
          <w:highlight w:val="none"/>
        </w:rPr>
        <w:t>基坑、高支模、主体沉降监测承诺书</w:t>
      </w:r>
    </w:p>
    <w:p>
      <w:pPr>
        <w:snapToGrid w:val="0"/>
        <w:spacing w:line="360" w:lineRule="auto"/>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sz w:val="24"/>
          <w:highlight w:val="none"/>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10万元（人民币）。</w:t>
      </w:r>
    </w:p>
    <w:p>
      <w:pPr>
        <w:pStyle w:val="8"/>
        <w:adjustRightInd w:val="0"/>
        <w:snapToGrid w:val="0"/>
        <w:spacing w:line="360" w:lineRule="auto"/>
        <w:ind w:firstLine="480"/>
        <w:rPr>
          <w:sz w:val="24"/>
          <w:highlight w:val="none"/>
        </w:rPr>
      </w:pPr>
      <w:r>
        <w:rPr>
          <w:sz w:val="24"/>
          <w:highlight w:val="none"/>
        </w:rPr>
        <w:t>我司承诺不因第三方监测单位进行监测而取消或暂停该项工作，保证与第三方监测单位独立同步实时进行基坑、高支模、主体沉降监测。</w:t>
      </w:r>
    </w:p>
    <w:p>
      <w:pPr>
        <w:pStyle w:val="8"/>
        <w:adjustRightInd w:val="0"/>
        <w:snapToGrid w:val="0"/>
        <w:spacing w:line="360" w:lineRule="auto"/>
        <w:ind w:firstLine="480"/>
        <w:rPr>
          <w:sz w:val="24"/>
          <w:highlight w:val="none"/>
        </w:rPr>
      </w:pPr>
      <w:r>
        <w:rPr>
          <w:sz w:val="24"/>
          <w:highlight w:val="none"/>
        </w:rPr>
        <w:t>我司承诺不因第三方监测单位进行监测而免除我司作为施工主体单位的安全和质量责任。</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left="5386" w:leftChars="2565" w:firstLine="480"/>
        <w:rPr>
          <w:sz w:val="24"/>
          <w:highlight w:val="none"/>
        </w:rPr>
      </w:pPr>
      <w:r>
        <w:rPr>
          <w:sz w:val="24"/>
          <w:highlight w:val="none"/>
        </w:rPr>
        <w:t>单位名称（盖公章）：</w:t>
      </w:r>
    </w:p>
    <w:p>
      <w:pPr>
        <w:pStyle w:val="8"/>
        <w:adjustRightInd w:val="0"/>
        <w:snapToGrid w:val="0"/>
        <w:spacing w:line="360" w:lineRule="auto"/>
        <w:ind w:left="5386" w:leftChars="2565" w:firstLine="480"/>
        <w:rPr>
          <w:sz w:val="24"/>
          <w:highlight w:val="none"/>
        </w:rPr>
      </w:pPr>
      <w:r>
        <w:rPr>
          <w:sz w:val="24"/>
          <w:highlight w:val="none"/>
        </w:rPr>
        <w:t>法定代表人（签字）：</w:t>
      </w:r>
    </w:p>
    <w:p>
      <w:pPr>
        <w:pStyle w:val="8"/>
        <w:adjustRightInd w:val="0"/>
        <w:snapToGrid w:val="0"/>
        <w:spacing w:line="360" w:lineRule="auto"/>
        <w:ind w:left="5386" w:leftChars="2565" w:firstLine="480"/>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Cs w:val="21"/>
          <w:highlight w:val="none"/>
        </w:rPr>
      </w:pPr>
      <w:r>
        <w:rPr>
          <w:szCs w:val="21"/>
          <w:highlight w:val="none"/>
        </w:rPr>
        <w:br w:type="page"/>
      </w:r>
    </w:p>
    <w:p>
      <w:pPr>
        <w:pStyle w:val="4"/>
        <w:jc w:val="left"/>
        <w:rPr>
          <w:rFonts w:ascii="宋体" w:hAnsi="宋体" w:eastAsia="宋体"/>
          <w:sz w:val="21"/>
          <w:szCs w:val="21"/>
          <w:highlight w:val="none"/>
        </w:rPr>
      </w:pPr>
      <w:bookmarkStart w:id="724" w:name="_Toc132813161"/>
      <w:r>
        <w:rPr>
          <w:rFonts w:hint="eastAsia" w:ascii="宋体" w:hAnsi="宋体" w:eastAsia="宋体"/>
          <w:sz w:val="21"/>
          <w:szCs w:val="21"/>
          <w:highlight w:val="none"/>
        </w:rPr>
        <w:t>附件</w:t>
      </w:r>
      <w:r>
        <w:rPr>
          <w:rFonts w:ascii="宋体" w:hAnsi="宋体" w:eastAsia="宋体"/>
          <w:sz w:val="21"/>
          <w:szCs w:val="21"/>
          <w:highlight w:val="none"/>
        </w:rPr>
        <w:t>16</w:t>
      </w:r>
      <w:r>
        <w:rPr>
          <w:rFonts w:hint="eastAsia" w:ascii="宋体" w:hAnsi="宋体" w:eastAsia="宋体"/>
          <w:sz w:val="21"/>
          <w:szCs w:val="21"/>
          <w:highlight w:val="none"/>
        </w:rPr>
        <w:t>：工程检测承诺书</w:t>
      </w:r>
      <w:bookmarkEnd w:id="724"/>
    </w:p>
    <w:p>
      <w:pPr>
        <w:pStyle w:val="8"/>
        <w:spacing w:after="240" w:line="360" w:lineRule="auto"/>
        <w:ind w:firstLine="0" w:firstLineChars="0"/>
        <w:jc w:val="center"/>
        <w:rPr>
          <w:b/>
          <w:sz w:val="44"/>
          <w:szCs w:val="44"/>
          <w:highlight w:val="none"/>
        </w:rPr>
      </w:pPr>
      <w:r>
        <w:rPr>
          <w:rFonts w:hint="eastAsia"/>
          <w:b/>
          <w:sz w:val="44"/>
          <w:szCs w:val="44"/>
          <w:highlight w:val="none"/>
        </w:rPr>
        <w:t>工程检测承诺书</w:t>
      </w:r>
    </w:p>
    <w:p>
      <w:pPr>
        <w:snapToGrid w:val="0"/>
        <w:spacing w:line="360" w:lineRule="auto"/>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sz w:val="24"/>
          <w:highlight w:val="none"/>
        </w:rPr>
        <w:t>我司承诺，合理安排批次采购合格的建筑材料和设备，采用合理科学先进工艺，确保按图施工，确保工程质量，若出现工程检测异常的情况（地质原因造成地基及基础检测结果异常除外）：</w:t>
      </w:r>
      <w:r>
        <w:rPr>
          <w:rFonts w:hint="eastAsia" w:ascii="宋体" w:hAnsi="宋体" w:cs="宋体"/>
          <w:sz w:val="24"/>
          <w:highlight w:val="none"/>
        </w:rPr>
        <w:t>①</w:t>
      </w:r>
      <w:r>
        <w:rPr>
          <w:sz w:val="24"/>
          <w:highlight w:val="none"/>
        </w:rPr>
        <w:t>检测项目、检测数量超过现行国家、行业、省（市）规范、标准和规定的；</w:t>
      </w:r>
      <w:r>
        <w:rPr>
          <w:rFonts w:hint="eastAsia" w:ascii="宋体" w:hAnsi="宋体" w:cs="宋体"/>
          <w:sz w:val="24"/>
          <w:highlight w:val="none"/>
        </w:rPr>
        <w:t>②</w:t>
      </w:r>
      <w:r>
        <w:rPr>
          <w:sz w:val="24"/>
          <w:highlight w:val="none"/>
        </w:rPr>
        <w:t>检测结果为不合格（或无效）的；</w:t>
      </w:r>
      <w:r>
        <w:rPr>
          <w:rFonts w:hint="eastAsia" w:ascii="宋体" w:hAnsi="宋体" w:cs="宋体"/>
          <w:sz w:val="24"/>
          <w:highlight w:val="none"/>
        </w:rPr>
        <w:t>③</w:t>
      </w:r>
      <w:r>
        <w:rPr>
          <w:sz w:val="24"/>
          <w:highlight w:val="none"/>
        </w:rPr>
        <w:t>检测结果为不合格或无效造成复检、扩检或采用其他检测手段检测的，我司愿意承担因此增加的检测费用。</w:t>
      </w:r>
    </w:p>
    <w:p>
      <w:pPr>
        <w:pStyle w:val="8"/>
        <w:adjustRightInd w:val="0"/>
        <w:snapToGrid w:val="0"/>
        <w:spacing w:line="360" w:lineRule="auto"/>
        <w:ind w:firstLine="480"/>
        <w:rPr>
          <w:sz w:val="24"/>
          <w:highlight w:val="none"/>
        </w:rPr>
      </w:pPr>
      <w:r>
        <w:rPr>
          <w:sz w:val="24"/>
          <w:highlight w:val="none"/>
        </w:rPr>
        <w:t>检测结果为不合格（或无效）造成复检、扩检或采用其他检测手段检测仍然不合格的，我司承担由此造成的损失并自愿接受每次处罚1万元（人民币）。</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shd w:val="clear" w:color="auto" w:fill="FFFFFF"/>
        <w:adjustRightInd w:val="0"/>
        <w:snapToGrid w:val="0"/>
        <w:spacing w:line="360" w:lineRule="auto"/>
        <w:ind w:firstLine="488" w:firstLineChars="200"/>
        <w:rPr>
          <w:rFonts w:eastAsia="仿宋"/>
          <w:spacing w:val="2"/>
          <w:sz w:val="24"/>
          <w:highlight w:val="none"/>
          <w:shd w:val="clear" w:color="auto" w:fill="FFFFFF"/>
        </w:rPr>
      </w:pPr>
    </w:p>
    <w:p>
      <w:pPr>
        <w:shd w:val="clear" w:color="auto" w:fill="FFFFFF"/>
        <w:adjustRightInd w:val="0"/>
        <w:snapToGrid w:val="0"/>
        <w:spacing w:line="360" w:lineRule="auto"/>
        <w:ind w:firstLine="488" w:firstLineChars="200"/>
        <w:rPr>
          <w:rFonts w:eastAsia="仿宋"/>
          <w:spacing w:val="2"/>
          <w:sz w:val="24"/>
          <w:highlight w:val="none"/>
          <w:shd w:val="clear" w:color="auto" w:fill="FFFFFF"/>
        </w:rPr>
      </w:pPr>
    </w:p>
    <w:p>
      <w:pPr>
        <w:shd w:val="clear" w:color="auto" w:fill="FFFFFF"/>
        <w:adjustRightInd w:val="0"/>
        <w:snapToGrid w:val="0"/>
        <w:spacing w:line="360" w:lineRule="auto"/>
        <w:ind w:firstLine="488" w:firstLineChars="200"/>
        <w:rPr>
          <w:rFonts w:eastAsia="仿宋"/>
          <w:spacing w:val="2"/>
          <w:sz w:val="24"/>
          <w:highlight w:val="none"/>
          <w:shd w:val="clear" w:color="auto" w:fill="FFFFFF"/>
        </w:rPr>
      </w:pPr>
    </w:p>
    <w:p>
      <w:pPr>
        <w:pStyle w:val="8"/>
        <w:adjustRightInd w:val="0"/>
        <w:snapToGrid w:val="0"/>
        <w:spacing w:line="360" w:lineRule="auto"/>
        <w:ind w:left="4819" w:leftChars="2295" w:firstLine="480"/>
        <w:rPr>
          <w:sz w:val="24"/>
          <w:highlight w:val="none"/>
        </w:rPr>
      </w:pPr>
      <w:r>
        <w:rPr>
          <w:sz w:val="24"/>
          <w:highlight w:val="none"/>
        </w:rPr>
        <w:t>单位名称（盖公章）：</w:t>
      </w:r>
    </w:p>
    <w:p>
      <w:pPr>
        <w:pStyle w:val="8"/>
        <w:adjustRightInd w:val="0"/>
        <w:snapToGrid w:val="0"/>
        <w:spacing w:line="360" w:lineRule="auto"/>
        <w:ind w:left="4819" w:leftChars="2295" w:firstLine="480"/>
        <w:rPr>
          <w:sz w:val="24"/>
          <w:highlight w:val="none"/>
        </w:rPr>
      </w:pPr>
      <w:r>
        <w:rPr>
          <w:sz w:val="24"/>
          <w:highlight w:val="none"/>
        </w:rPr>
        <w:t>法定代表人（签字）：</w:t>
      </w:r>
    </w:p>
    <w:p>
      <w:pPr>
        <w:pStyle w:val="8"/>
        <w:adjustRightInd w:val="0"/>
        <w:snapToGrid w:val="0"/>
        <w:spacing w:line="360" w:lineRule="auto"/>
        <w:ind w:left="4819" w:leftChars="2295" w:firstLine="480"/>
        <w:rPr>
          <w:sz w:val="24"/>
          <w:highlight w:val="none"/>
        </w:rPr>
      </w:pPr>
      <w:r>
        <w:rPr>
          <w:sz w:val="24"/>
          <w:highlight w:val="none"/>
        </w:rPr>
        <w:t>日期：</w:t>
      </w:r>
      <w:r>
        <w:rPr>
          <w:rFonts w:hint="eastAsia"/>
          <w:sz w:val="24"/>
          <w:highlight w:val="none"/>
        </w:rPr>
        <w:t>2023</w:t>
      </w:r>
      <w:r>
        <w:rPr>
          <w:sz w:val="24"/>
          <w:highlight w:val="none"/>
        </w:rPr>
        <w:t>年   月   日</w:t>
      </w:r>
    </w:p>
    <w:p>
      <w:pPr>
        <w:pStyle w:val="8"/>
        <w:spacing w:line="360" w:lineRule="exact"/>
        <w:ind w:left="4819" w:leftChars="2295"/>
        <w:rPr>
          <w:szCs w:val="21"/>
          <w:highlight w:val="none"/>
        </w:rPr>
      </w:pP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25" w:name="_Toc132813162"/>
      <w:r>
        <w:rPr>
          <w:rFonts w:hint="eastAsia" w:ascii="宋体" w:hAnsi="宋体" w:eastAsia="宋体"/>
          <w:sz w:val="21"/>
          <w:szCs w:val="21"/>
          <w:highlight w:val="none"/>
        </w:rPr>
        <w:t>附件</w:t>
      </w:r>
      <w:r>
        <w:rPr>
          <w:rFonts w:ascii="宋体" w:hAnsi="宋体" w:eastAsia="宋体"/>
          <w:sz w:val="21"/>
          <w:szCs w:val="21"/>
          <w:highlight w:val="none"/>
        </w:rPr>
        <w:t>17</w:t>
      </w:r>
      <w:r>
        <w:rPr>
          <w:rFonts w:hint="eastAsia" w:ascii="宋体" w:hAnsi="宋体" w:eastAsia="宋体"/>
          <w:sz w:val="21"/>
          <w:szCs w:val="21"/>
          <w:highlight w:val="none"/>
        </w:rPr>
        <w:t>：关于及时支付劳动者报酬的承诺函</w:t>
      </w:r>
      <w:bookmarkEnd w:id="725"/>
    </w:p>
    <w:p>
      <w:pPr>
        <w:pStyle w:val="8"/>
        <w:spacing w:after="240" w:line="360" w:lineRule="auto"/>
        <w:ind w:firstLine="0" w:firstLineChars="0"/>
        <w:jc w:val="center"/>
        <w:rPr>
          <w:b/>
          <w:sz w:val="44"/>
          <w:szCs w:val="44"/>
          <w:highlight w:val="none"/>
        </w:rPr>
      </w:pPr>
      <w:r>
        <w:rPr>
          <w:rFonts w:hint="eastAsia"/>
          <w:b/>
          <w:sz w:val="44"/>
          <w:szCs w:val="44"/>
          <w:highlight w:val="none"/>
        </w:rPr>
        <w:t>关于及时支付劳动者报酬的承诺函</w:t>
      </w:r>
    </w:p>
    <w:p>
      <w:pPr>
        <w:pStyle w:val="8"/>
        <w:spacing w:line="360" w:lineRule="auto"/>
        <w:ind w:firstLine="480"/>
        <w:rPr>
          <w:sz w:val="24"/>
          <w:highlight w:val="none"/>
        </w:rPr>
      </w:pPr>
    </w:p>
    <w:p>
      <w:pPr>
        <w:pStyle w:val="8"/>
        <w:spacing w:line="500" w:lineRule="exact"/>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adjustRightInd w:val="0"/>
        <w:snapToGrid w:val="0"/>
        <w:spacing w:line="500" w:lineRule="exact"/>
        <w:ind w:firstLine="480" w:firstLineChars="200"/>
        <w:rPr>
          <w:sz w:val="24"/>
          <w:highlight w:val="none"/>
        </w:rPr>
      </w:pPr>
      <w:r>
        <w:rPr>
          <w:sz w:val="24"/>
          <w:highlight w:val="none"/>
        </w:rPr>
        <w:t>对于贵单位与我公司签订的</w:t>
      </w:r>
      <w:r>
        <w:rPr>
          <w:rFonts w:hint="eastAsia"/>
          <w:sz w:val="24"/>
          <w:highlight w:val="none"/>
          <w:u w:val="single"/>
        </w:rPr>
        <w:t>新华街莲塘小学扩建改造项目设计施工总承包</w:t>
      </w:r>
      <w:r>
        <w:rPr>
          <w:sz w:val="24"/>
          <w:highlight w:val="none"/>
        </w:rPr>
        <w:t>合同及其补充合同（简称施工合同），我公司承诺如下：</w:t>
      </w:r>
    </w:p>
    <w:p>
      <w:pPr>
        <w:adjustRightInd w:val="0"/>
        <w:snapToGrid w:val="0"/>
        <w:spacing w:line="500" w:lineRule="exact"/>
        <w:ind w:firstLine="480" w:firstLineChars="200"/>
        <w:rPr>
          <w:sz w:val="24"/>
          <w:highlight w:val="none"/>
        </w:rPr>
      </w:pPr>
      <w:r>
        <w:rPr>
          <w:sz w:val="24"/>
          <w:highlight w:val="none"/>
        </w:rPr>
        <w:t>一、根据国家和当地劳动法规，我公司已与在贵单位的</w:t>
      </w:r>
      <w:r>
        <w:rPr>
          <w:rFonts w:hint="eastAsia"/>
          <w:sz w:val="24"/>
          <w:highlight w:val="none"/>
          <w:u w:val="single"/>
        </w:rPr>
        <w:t>新华街莲塘小学扩建改造项目</w:t>
      </w:r>
      <w:r>
        <w:rPr>
          <w:sz w:val="24"/>
          <w:highlight w:val="none"/>
        </w:rPr>
        <w:t>施工的所有劳动者（含农民工、下同）签订了劳动合同，将严格履行支付劳动报酬等合同义务。</w:t>
      </w:r>
    </w:p>
    <w:p>
      <w:pPr>
        <w:adjustRightInd w:val="0"/>
        <w:snapToGrid w:val="0"/>
        <w:spacing w:line="500" w:lineRule="exact"/>
        <w:ind w:firstLine="480" w:firstLineChars="200"/>
        <w:rPr>
          <w:sz w:val="24"/>
          <w:highlight w:val="none"/>
        </w:rPr>
      </w:pPr>
      <w:r>
        <w:rPr>
          <w:sz w:val="24"/>
          <w:highlight w:val="none"/>
        </w:rPr>
        <w:t>二、对贵公司支付的工程款，我公司将优先用于支付劳动者报酬。</w:t>
      </w:r>
    </w:p>
    <w:p>
      <w:pPr>
        <w:adjustRightInd w:val="0"/>
        <w:snapToGrid w:val="0"/>
        <w:spacing w:line="500" w:lineRule="exact"/>
        <w:ind w:firstLine="480" w:firstLineChars="200"/>
        <w:rPr>
          <w:sz w:val="24"/>
          <w:highlight w:val="none"/>
        </w:rPr>
      </w:pPr>
      <w:r>
        <w:rPr>
          <w:sz w:val="24"/>
          <w:highlight w:val="none"/>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pPr>
        <w:adjustRightInd w:val="0"/>
        <w:snapToGrid w:val="0"/>
        <w:spacing w:line="500" w:lineRule="exact"/>
        <w:ind w:firstLine="480" w:firstLineChars="200"/>
        <w:rPr>
          <w:sz w:val="24"/>
          <w:highlight w:val="none"/>
        </w:rPr>
      </w:pPr>
      <w:r>
        <w:rPr>
          <w:sz w:val="24"/>
          <w:highlight w:val="none"/>
        </w:rPr>
        <w:t>本承诺是不可撤销的，在施工合同终止前一直有效。</w:t>
      </w:r>
    </w:p>
    <w:p>
      <w:pPr>
        <w:adjustRightInd w:val="0"/>
        <w:snapToGrid w:val="0"/>
        <w:spacing w:line="360" w:lineRule="auto"/>
        <w:ind w:firstLine="480" w:firstLineChars="200"/>
        <w:rPr>
          <w:sz w:val="24"/>
          <w:highlight w:val="none"/>
        </w:rPr>
      </w:pPr>
    </w:p>
    <w:p>
      <w:pPr>
        <w:adjustRightInd w:val="0"/>
        <w:snapToGrid w:val="0"/>
        <w:spacing w:line="360" w:lineRule="auto"/>
        <w:ind w:firstLine="480" w:firstLineChars="200"/>
        <w:jc w:val="left"/>
        <w:textAlignment w:val="top"/>
        <w:rPr>
          <w:sz w:val="24"/>
          <w:highlight w:val="none"/>
        </w:rPr>
      </w:pPr>
    </w:p>
    <w:p>
      <w:pPr>
        <w:adjustRightInd w:val="0"/>
        <w:snapToGrid w:val="0"/>
        <w:spacing w:line="360" w:lineRule="auto"/>
        <w:ind w:firstLine="480" w:firstLineChars="200"/>
        <w:rPr>
          <w:sz w:val="24"/>
          <w:highlight w:val="none"/>
        </w:rPr>
      </w:pPr>
    </w:p>
    <w:p>
      <w:pPr>
        <w:pStyle w:val="8"/>
        <w:adjustRightInd w:val="0"/>
        <w:snapToGrid w:val="0"/>
        <w:spacing w:line="360" w:lineRule="auto"/>
        <w:ind w:left="4819" w:leftChars="2295" w:firstLine="480"/>
        <w:rPr>
          <w:sz w:val="24"/>
          <w:highlight w:val="none"/>
        </w:rPr>
      </w:pPr>
      <w:r>
        <w:rPr>
          <w:sz w:val="24"/>
          <w:highlight w:val="none"/>
        </w:rPr>
        <w:t>单位名称（盖公章）：</w:t>
      </w:r>
    </w:p>
    <w:p>
      <w:pPr>
        <w:pStyle w:val="8"/>
        <w:adjustRightInd w:val="0"/>
        <w:snapToGrid w:val="0"/>
        <w:spacing w:line="360" w:lineRule="auto"/>
        <w:ind w:left="4819" w:leftChars="2295" w:firstLine="480"/>
        <w:rPr>
          <w:sz w:val="24"/>
          <w:highlight w:val="none"/>
        </w:rPr>
      </w:pPr>
      <w:r>
        <w:rPr>
          <w:sz w:val="24"/>
          <w:highlight w:val="none"/>
        </w:rPr>
        <w:t>法定代表人（签字）：</w:t>
      </w:r>
    </w:p>
    <w:p>
      <w:pPr>
        <w:pStyle w:val="8"/>
        <w:spacing w:line="360" w:lineRule="auto"/>
        <w:ind w:left="5103" w:leftChars="2430" w:firstLine="240" w:firstLineChars="100"/>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 w:val="24"/>
          <w:highlight w:val="none"/>
        </w:rPr>
      </w:pPr>
      <w:r>
        <w:rPr>
          <w:sz w:val="24"/>
          <w:highlight w:val="none"/>
        </w:rPr>
        <w:br w:type="page"/>
      </w:r>
    </w:p>
    <w:p>
      <w:pPr>
        <w:pStyle w:val="4"/>
        <w:rPr>
          <w:rFonts w:ascii="宋体" w:hAnsi="宋体" w:eastAsia="宋体"/>
          <w:sz w:val="21"/>
          <w:szCs w:val="21"/>
          <w:highlight w:val="none"/>
        </w:rPr>
      </w:pPr>
      <w:bookmarkStart w:id="726" w:name="_Toc132813163"/>
      <w:r>
        <w:rPr>
          <w:rFonts w:hint="eastAsia" w:ascii="宋体" w:hAnsi="宋体" w:eastAsia="宋体"/>
          <w:sz w:val="21"/>
          <w:szCs w:val="21"/>
          <w:highlight w:val="none"/>
        </w:rPr>
        <w:t>附件</w:t>
      </w:r>
      <w:r>
        <w:rPr>
          <w:rFonts w:ascii="宋体" w:hAnsi="宋体" w:eastAsia="宋体"/>
          <w:sz w:val="21"/>
          <w:szCs w:val="21"/>
          <w:highlight w:val="none"/>
        </w:rPr>
        <w:t>18</w:t>
      </w:r>
      <w:r>
        <w:rPr>
          <w:rFonts w:hint="eastAsia" w:ascii="宋体" w:hAnsi="宋体" w:eastAsia="宋体"/>
          <w:sz w:val="21"/>
          <w:szCs w:val="21"/>
          <w:highlight w:val="none"/>
        </w:rPr>
        <w:t>：专业工程深化设计承诺书</w:t>
      </w:r>
      <w:bookmarkEnd w:id="726"/>
    </w:p>
    <w:p>
      <w:pPr>
        <w:pStyle w:val="8"/>
        <w:spacing w:after="240" w:line="360" w:lineRule="auto"/>
        <w:ind w:firstLine="0" w:firstLineChars="0"/>
        <w:jc w:val="center"/>
        <w:rPr>
          <w:b/>
          <w:sz w:val="44"/>
          <w:szCs w:val="44"/>
          <w:highlight w:val="none"/>
        </w:rPr>
      </w:pPr>
      <w:r>
        <w:rPr>
          <w:rFonts w:hint="eastAsia"/>
          <w:b/>
          <w:sz w:val="44"/>
          <w:szCs w:val="44"/>
          <w:highlight w:val="none"/>
        </w:rPr>
        <w:t>专业工程深化设计承诺书</w:t>
      </w:r>
    </w:p>
    <w:p>
      <w:pPr>
        <w:pStyle w:val="8"/>
        <w:spacing w:line="360" w:lineRule="auto"/>
        <w:ind w:firstLine="480"/>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sz w:val="24"/>
          <w:highlight w:val="none"/>
        </w:rPr>
        <w:t>我司承诺进场后安排、落实有资质的单位编制专业工程深化设计图，包括但不限于以下（具体详图纸）内容：</w:t>
      </w:r>
    </w:p>
    <w:p>
      <w:pPr>
        <w:pStyle w:val="8"/>
        <w:adjustRightInd w:val="0"/>
        <w:snapToGrid w:val="0"/>
        <w:spacing w:line="360" w:lineRule="auto"/>
        <w:ind w:firstLine="480"/>
        <w:rPr>
          <w:sz w:val="24"/>
          <w:highlight w:val="none"/>
        </w:rPr>
      </w:pPr>
      <w:r>
        <w:rPr>
          <w:sz w:val="24"/>
          <w:highlight w:val="none"/>
        </w:rPr>
        <w:t>1、装修深化图；2、幕墙深化图；3、空调深化图；4、钢结构图；5、厨房专业图6、地下室管线综合图、室外管网综合图（如设计合同已含，则设计院负责出图，施工单位简单调整即可）。7、电井设施布置图（需布置配电箱、电表箱、强弱电桥架、母线槽、电信网络配线架等）。8、电梯机房布置图（电梯单位负责出图）。9、柴油发电机基础图（发电机厂家出图）。10、高低压配电柜基础图（高低压施工单位出图）。11、风机、水箱基础图（施工单位协调厂家出图）。12、停车场道闸基础图（施工单位协调厂家出图）。12、IT网络、电视、电话（由智能化施工单位根据实际选用产品结合出图）。13、精装交房（施工单位出室内精装开关插座洁具设备设施布置图）。</w:t>
      </w:r>
      <w:r>
        <w:rPr>
          <w:rFonts w:hint="eastAsia"/>
          <w:sz w:val="24"/>
          <w:highlight w:val="none"/>
        </w:rPr>
        <w:t>14、铝合金门窗等。15、园林景观深化图。并于收到开工令后3个月完成，并完善审批手续，每项每延迟1天自愿接受罚款5万元（人民币），少一个方案自愿接受罚款20万元（人民币）。</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spacing w:line="360" w:lineRule="auto"/>
        <w:rPr>
          <w:highlight w:val="none"/>
        </w:rPr>
      </w:pPr>
    </w:p>
    <w:p>
      <w:pPr>
        <w:spacing w:line="360" w:lineRule="auto"/>
        <w:rPr>
          <w:highlight w:val="none"/>
        </w:rPr>
      </w:pPr>
    </w:p>
    <w:p>
      <w:pPr>
        <w:pStyle w:val="8"/>
        <w:spacing w:line="360" w:lineRule="auto"/>
        <w:ind w:left="4819" w:leftChars="2295" w:firstLine="480"/>
        <w:rPr>
          <w:sz w:val="24"/>
          <w:highlight w:val="none"/>
        </w:rPr>
      </w:pPr>
      <w:r>
        <w:rPr>
          <w:sz w:val="24"/>
          <w:highlight w:val="none"/>
        </w:rPr>
        <w:t>单位名称（盖公章）：</w:t>
      </w:r>
    </w:p>
    <w:p>
      <w:pPr>
        <w:pStyle w:val="8"/>
        <w:spacing w:line="360" w:lineRule="auto"/>
        <w:ind w:left="4819" w:leftChars="2295" w:firstLine="480"/>
        <w:rPr>
          <w:sz w:val="24"/>
          <w:highlight w:val="none"/>
        </w:rPr>
      </w:pPr>
      <w:r>
        <w:rPr>
          <w:sz w:val="24"/>
          <w:highlight w:val="none"/>
        </w:rPr>
        <w:t>法定代表人（签字）：</w:t>
      </w:r>
    </w:p>
    <w:p>
      <w:pPr>
        <w:pStyle w:val="8"/>
        <w:spacing w:line="360" w:lineRule="auto"/>
        <w:ind w:left="4819" w:leftChars="2295" w:firstLine="480"/>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27" w:name="_Toc132813164"/>
      <w:r>
        <w:rPr>
          <w:rFonts w:hint="eastAsia" w:ascii="宋体" w:hAnsi="宋体" w:eastAsia="宋体"/>
          <w:sz w:val="21"/>
          <w:szCs w:val="21"/>
          <w:highlight w:val="none"/>
        </w:rPr>
        <w:t>附件</w:t>
      </w:r>
      <w:r>
        <w:rPr>
          <w:rFonts w:ascii="宋体" w:hAnsi="宋体" w:eastAsia="宋体"/>
          <w:sz w:val="21"/>
          <w:szCs w:val="21"/>
          <w:highlight w:val="none"/>
        </w:rPr>
        <w:t>19</w:t>
      </w:r>
      <w:r>
        <w:rPr>
          <w:rFonts w:hint="eastAsia" w:ascii="宋体" w:hAnsi="宋体" w:eastAsia="宋体"/>
          <w:sz w:val="21"/>
          <w:szCs w:val="21"/>
          <w:highlight w:val="none"/>
        </w:rPr>
        <w:t>：水电空转承诺书</w:t>
      </w:r>
      <w:bookmarkEnd w:id="727"/>
    </w:p>
    <w:p>
      <w:pPr>
        <w:pStyle w:val="8"/>
        <w:spacing w:after="240" w:line="360" w:lineRule="auto"/>
        <w:ind w:firstLine="0" w:firstLineChars="0"/>
        <w:jc w:val="center"/>
        <w:rPr>
          <w:b/>
          <w:sz w:val="44"/>
          <w:szCs w:val="44"/>
          <w:highlight w:val="none"/>
        </w:rPr>
      </w:pPr>
      <w:r>
        <w:rPr>
          <w:rFonts w:hint="eastAsia"/>
          <w:b/>
          <w:sz w:val="44"/>
          <w:szCs w:val="44"/>
          <w:highlight w:val="none"/>
        </w:rPr>
        <w:t>水电空转承诺书</w:t>
      </w:r>
    </w:p>
    <w:p>
      <w:pPr>
        <w:pStyle w:val="8"/>
        <w:spacing w:line="360" w:lineRule="auto"/>
        <w:ind w:firstLine="480"/>
        <w:rPr>
          <w:rFonts w:ascii="宋体" w:hAnsi="宋体"/>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pStyle w:val="8"/>
        <w:adjustRightInd w:val="0"/>
        <w:snapToGrid w:val="0"/>
        <w:spacing w:line="360" w:lineRule="auto"/>
        <w:ind w:firstLine="480"/>
        <w:rPr>
          <w:sz w:val="24"/>
          <w:highlight w:val="none"/>
        </w:rPr>
      </w:pPr>
      <w:r>
        <w:rPr>
          <w:sz w:val="24"/>
          <w:highlight w:val="none"/>
        </w:rPr>
        <w:t>我司已充分阅读了招标文件，并充分了解现场情况，本工程为抓紧工期，临水、临电已提前报装，开工前已发生部分空置（损耗）费用，我司承诺如下：</w:t>
      </w:r>
    </w:p>
    <w:p>
      <w:pPr>
        <w:pStyle w:val="8"/>
        <w:adjustRightInd w:val="0"/>
        <w:snapToGrid w:val="0"/>
        <w:spacing w:line="360" w:lineRule="auto"/>
        <w:ind w:firstLine="480"/>
        <w:rPr>
          <w:sz w:val="24"/>
          <w:highlight w:val="none"/>
        </w:rPr>
      </w:pPr>
      <w:r>
        <w:rPr>
          <w:sz w:val="24"/>
          <w:highlight w:val="none"/>
        </w:rPr>
        <w:t>1、前期的空置（损耗）费用由我司自行承担；</w:t>
      </w:r>
    </w:p>
    <w:p>
      <w:pPr>
        <w:pStyle w:val="8"/>
        <w:adjustRightInd w:val="0"/>
        <w:snapToGrid w:val="0"/>
        <w:spacing w:line="360" w:lineRule="auto"/>
        <w:ind w:firstLine="480"/>
        <w:rPr>
          <w:sz w:val="24"/>
          <w:highlight w:val="none"/>
        </w:rPr>
      </w:pPr>
      <w:r>
        <w:rPr>
          <w:sz w:val="24"/>
          <w:highlight w:val="none"/>
        </w:rPr>
        <w:t>2、所产生的费用已在投标总价中综合考虑，不要求发包人增加；</w:t>
      </w:r>
    </w:p>
    <w:p>
      <w:pPr>
        <w:pStyle w:val="8"/>
        <w:adjustRightInd w:val="0"/>
        <w:snapToGrid w:val="0"/>
        <w:spacing w:line="360" w:lineRule="auto"/>
        <w:ind w:firstLine="480"/>
        <w:rPr>
          <w:sz w:val="24"/>
          <w:highlight w:val="none"/>
        </w:rPr>
      </w:pPr>
      <w:r>
        <w:rPr>
          <w:sz w:val="24"/>
          <w:highlight w:val="none"/>
        </w:rPr>
        <w:t>3、若未能实现上述承诺，在收到书面通知后，不挑剔、不争辩，也不要求出具证明，2天内整改并征得发包人批复同意，否则将自愿接受每发生一次处罚5万元人民币。</w:t>
      </w:r>
    </w:p>
    <w:p>
      <w:pPr>
        <w:pStyle w:val="8"/>
        <w:spacing w:line="360" w:lineRule="auto"/>
        <w:ind w:firstLine="556" w:firstLineChars="232"/>
        <w:rPr>
          <w:sz w:val="24"/>
          <w:highlight w:val="none"/>
        </w:rPr>
      </w:pPr>
      <w:r>
        <w:rPr>
          <w:sz w:val="24"/>
          <w:highlight w:val="none"/>
        </w:rPr>
        <w:t>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left="4819" w:leftChars="2295" w:firstLine="480"/>
        <w:rPr>
          <w:sz w:val="24"/>
          <w:highlight w:val="none"/>
        </w:rPr>
      </w:pPr>
      <w:r>
        <w:rPr>
          <w:sz w:val="24"/>
          <w:highlight w:val="none"/>
        </w:rPr>
        <w:t>单位名称（盖公章）：</w:t>
      </w:r>
    </w:p>
    <w:p>
      <w:pPr>
        <w:pStyle w:val="8"/>
        <w:adjustRightInd w:val="0"/>
        <w:snapToGrid w:val="0"/>
        <w:spacing w:line="360" w:lineRule="auto"/>
        <w:ind w:left="4819" w:leftChars="2295" w:firstLine="480"/>
        <w:rPr>
          <w:sz w:val="24"/>
          <w:highlight w:val="none"/>
        </w:rPr>
      </w:pPr>
      <w:r>
        <w:rPr>
          <w:sz w:val="24"/>
          <w:highlight w:val="none"/>
        </w:rPr>
        <w:t>法定代表人（签字）：</w:t>
      </w:r>
    </w:p>
    <w:p>
      <w:pPr>
        <w:pStyle w:val="8"/>
        <w:adjustRightInd w:val="0"/>
        <w:snapToGrid w:val="0"/>
        <w:spacing w:line="360" w:lineRule="auto"/>
        <w:ind w:left="4819" w:leftChars="2295" w:firstLine="480"/>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28" w:name="_Toc132813165"/>
      <w:r>
        <w:rPr>
          <w:rFonts w:hint="eastAsia" w:ascii="宋体" w:hAnsi="宋体" w:eastAsia="宋体"/>
          <w:sz w:val="21"/>
          <w:szCs w:val="21"/>
          <w:highlight w:val="none"/>
        </w:rPr>
        <w:t>附件2</w:t>
      </w:r>
      <w:r>
        <w:rPr>
          <w:rFonts w:ascii="宋体" w:hAnsi="宋体" w:eastAsia="宋体"/>
          <w:sz w:val="21"/>
          <w:szCs w:val="21"/>
          <w:highlight w:val="none"/>
        </w:rPr>
        <w:t>0</w:t>
      </w:r>
      <w:r>
        <w:rPr>
          <w:rFonts w:hint="eastAsia" w:ascii="宋体" w:hAnsi="宋体" w:eastAsia="宋体"/>
          <w:sz w:val="21"/>
          <w:szCs w:val="21"/>
          <w:highlight w:val="none"/>
        </w:rPr>
        <w:t>：文明施工与环境保护承诺书</w:t>
      </w:r>
      <w:bookmarkEnd w:id="728"/>
    </w:p>
    <w:p>
      <w:pPr>
        <w:pStyle w:val="8"/>
        <w:spacing w:after="240" w:line="360" w:lineRule="auto"/>
        <w:ind w:firstLine="0" w:firstLineChars="0"/>
        <w:jc w:val="center"/>
        <w:rPr>
          <w:b/>
          <w:sz w:val="44"/>
          <w:szCs w:val="44"/>
          <w:highlight w:val="none"/>
        </w:rPr>
      </w:pPr>
      <w:r>
        <w:rPr>
          <w:rFonts w:hint="eastAsia"/>
          <w:b/>
          <w:sz w:val="44"/>
          <w:szCs w:val="44"/>
          <w:highlight w:val="none"/>
        </w:rPr>
        <w:t>文明施工与环境保护承诺书</w:t>
      </w:r>
    </w:p>
    <w:p>
      <w:pPr>
        <w:pStyle w:val="8"/>
        <w:spacing w:line="360" w:lineRule="auto"/>
        <w:ind w:firstLine="480"/>
        <w:rPr>
          <w:sz w:val="24"/>
          <w:highlight w:val="none"/>
        </w:rPr>
      </w:pPr>
    </w:p>
    <w:p>
      <w:pPr>
        <w:pStyle w:val="8"/>
        <w:spacing w:line="360" w:lineRule="auto"/>
        <w:ind w:firstLine="0" w:firstLineChars="0"/>
        <w:rPr>
          <w:sz w:val="24"/>
          <w:highlight w:val="none"/>
        </w:rPr>
      </w:pPr>
      <w:r>
        <w:rPr>
          <w:rFonts w:hint="eastAsia"/>
          <w:sz w:val="24"/>
          <w:highlight w:val="none"/>
        </w:rPr>
        <w:t>致：</w:t>
      </w:r>
      <w:r>
        <w:rPr>
          <w:rFonts w:hint="eastAsia" w:ascii="宋体" w:hAnsi="宋体" w:cs="宋体"/>
          <w:b/>
          <w:sz w:val="24"/>
          <w:highlight w:val="none"/>
          <w:u w:val="single"/>
        </w:rPr>
        <w:t>广州市花都区公共建设项目管理中心</w:t>
      </w:r>
    </w:p>
    <w:p>
      <w:pPr>
        <w:adjustRightInd w:val="0"/>
        <w:snapToGrid w:val="0"/>
        <w:spacing w:line="360" w:lineRule="auto"/>
        <w:ind w:firstLine="480" w:firstLineChars="200"/>
        <w:rPr>
          <w:sz w:val="24"/>
          <w:highlight w:val="none"/>
        </w:rPr>
      </w:pPr>
      <w:r>
        <w:rPr>
          <w:sz w:val="24"/>
          <w:highlight w:val="none"/>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pPr>
        <w:adjustRightInd w:val="0"/>
        <w:snapToGrid w:val="0"/>
        <w:spacing w:line="360" w:lineRule="auto"/>
        <w:ind w:firstLine="480" w:firstLineChars="200"/>
        <w:rPr>
          <w:snapToGrid w:val="0"/>
          <w:kern w:val="0"/>
          <w:sz w:val="24"/>
          <w:highlight w:val="none"/>
        </w:rPr>
      </w:pPr>
      <w:r>
        <w:rPr>
          <w:snapToGrid w:val="0"/>
          <w:kern w:val="0"/>
          <w:sz w:val="24"/>
          <w:highlight w:val="none"/>
        </w:rPr>
        <w:t>1、我司承诺严格落实文明施工措施，否则按合同专用条款第38.12款的约定承担违约责任。</w:t>
      </w:r>
    </w:p>
    <w:p>
      <w:pPr>
        <w:adjustRightInd w:val="0"/>
        <w:snapToGrid w:val="0"/>
        <w:spacing w:line="360" w:lineRule="auto"/>
        <w:ind w:right="11" w:firstLine="480" w:firstLineChars="200"/>
        <w:rPr>
          <w:bCs/>
          <w:snapToGrid w:val="0"/>
          <w:kern w:val="0"/>
          <w:sz w:val="24"/>
          <w:highlight w:val="none"/>
        </w:rPr>
      </w:pPr>
      <w:r>
        <w:rPr>
          <w:bCs/>
          <w:snapToGrid w:val="0"/>
          <w:kern w:val="0"/>
          <w:sz w:val="24"/>
          <w:highlight w:val="none"/>
        </w:rPr>
        <w:t>2、</w:t>
      </w:r>
      <w:r>
        <w:rPr>
          <w:snapToGrid w:val="0"/>
          <w:kern w:val="0"/>
          <w:sz w:val="24"/>
          <w:highlight w:val="none"/>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80" w:firstLineChars="200"/>
        <w:rPr>
          <w:bCs/>
          <w:snapToGrid w:val="0"/>
          <w:kern w:val="0"/>
          <w:sz w:val="24"/>
          <w:highlight w:val="none"/>
        </w:rPr>
      </w:pPr>
      <w:r>
        <w:rPr>
          <w:snapToGrid w:val="0"/>
          <w:kern w:val="0"/>
          <w:sz w:val="24"/>
          <w:highlight w:val="none"/>
        </w:rPr>
        <w:t>3、我司承诺明确扬尘污染防治责任，并</w:t>
      </w:r>
      <w:r>
        <w:rPr>
          <w:bCs/>
          <w:snapToGrid w:val="0"/>
          <w:kern w:val="0"/>
          <w:sz w:val="24"/>
          <w:highlight w:val="none"/>
        </w:rPr>
        <w:t>制定具体的施工扬 尘污染防治实施方案，在施工工地公示扬尘污染防治措施、负责人、扬尘监督管理主管部门等信息。</w:t>
      </w:r>
    </w:p>
    <w:p>
      <w:pPr>
        <w:adjustRightInd w:val="0"/>
        <w:snapToGrid w:val="0"/>
        <w:spacing w:line="360" w:lineRule="auto"/>
        <w:ind w:right="11" w:firstLine="480" w:firstLineChars="200"/>
        <w:rPr>
          <w:bCs/>
          <w:snapToGrid w:val="0"/>
          <w:kern w:val="0"/>
          <w:sz w:val="24"/>
          <w:highlight w:val="none"/>
        </w:rPr>
      </w:pPr>
      <w:r>
        <w:rPr>
          <w:snapToGrid w:val="0"/>
          <w:kern w:val="0"/>
          <w:sz w:val="24"/>
          <w:highlight w:val="none"/>
        </w:rPr>
        <w:t>4、我司承诺</w:t>
      </w:r>
      <w:r>
        <w:rPr>
          <w:bCs/>
          <w:snapToGrid w:val="0"/>
          <w:kern w:val="0"/>
          <w:sz w:val="24"/>
          <w:highlight w:val="none"/>
        </w:rPr>
        <w:t>采取有效防尘降尘措施，减少施工作业过程扬尘污染，并做好扬尘污染防治工作：</w:t>
      </w:r>
    </w:p>
    <w:p>
      <w:pPr>
        <w:adjustRightInd w:val="0"/>
        <w:snapToGrid w:val="0"/>
        <w:spacing w:line="360" w:lineRule="auto"/>
        <w:ind w:right="11" w:firstLine="480" w:firstLineChars="200"/>
        <w:rPr>
          <w:bCs/>
          <w:snapToGrid w:val="0"/>
          <w:kern w:val="0"/>
          <w:sz w:val="24"/>
          <w:highlight w:val="none"/>
        </w:rPr>
      </w:pPr>
      <w:r>
        <w:rPr>
          <w:bCs/>
          <w:snapToGrid w:val="0"/>
          <w:kern w:val="0"/>
          <w:sz w:val="24"/>
          <w:highlight w:val="none"/>
        </w:rPr>
        <w:t>（1）对施工现场实行封闭管理。城市范围内主要路段的施工工地应设置高度不小于2.5m的封闭围挡，一般路段的施工工地应设置高度不小于1.8m的封闭围挡。施工工地的封闭围挡应坚固、稳定、整洁、美观。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firstLine="480" w:firstLineChars="200"/>
        <w:rPr>
          <w:bCs/>
          <w:snapToGrid w:val="0"/>
          <w:kern w:val="0"/>
          <w:sz w:val="24"/>
          <w:highlight w:val="none"/>
        </w:rPr>
      </w:pPr>
      <w:r>
        <w:rPr>
          <w:bCs/>
          <w:snapToGrid w:val="0"/>
          <w:kern w:val="0"/>
          <w:sz w:val="24"/>
          <w:highlight w:val="none"/>
        </w:rPr>
        <w:t>（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firstLine="480" w:firstLineChars="200"/>
        <w:rPr>
          <w:bCs/>
          <w:snapToGrid w:val="0"/>
          <w:kern w:val="0"/>
          <w:sz w:val="24"/>
          <w:highlight w:val="none"/>
        </w:rPr>
      </w:pPr>
      <w:r>
        <w:rPr>
          <w:bCs/>
          <w:snapToGrid w:val="0"/>
          <w:kern w:val="0"/>
          <w:sz w:val="24"/>
          <w:highlight w:val="none"/>
        </w:rPr>
        <w:t>（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firstLine="480" w:firstLineChars="200"/>
        <w:rPr>
          <w:bCs/>
          <w:snapToGrid w:val="0"/>
          <w:kern w:val="0"/>
          <w:sz w:val="24"/>
          <w:highlight w:val="none"/>
        </w:rPr>
      </w:pPr>
      <w:r>
        <w:rPr>
          <w:bCs/>
          <w:snapToGrid w:val="0"/>
          <w:kern w:val="0"/>
          <w:sz w:val="24"/>
          <w:highlight w:val="none"/>
        </w:rPr>
        <w:t>（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firstLine="480" w:firstLineChars="200"/>
        <w:rPr>
          <w:bCs/>
          <w:snapToGrid w:val="0"/>
          <w:kern w:val="0"/>
          <w:sz w:val="24"/>
          <w:highlight w:val="none"/>
        </w:rPr>
      </w:pPr>
      <w:r>
        <w:rPr>
          <w:bCs/>
          <w:snapToGrid w:val="0"/>
          <w:kern w:val="0"/>
          <w:sz w:val="24"/>
          <w:highlight w:val="none"/>
        </w:rPr>
        <w:t>（5）清运建筑垃圾。土方和建筑垃圾的运输应采用封闭式运输车辆或采取覆盖措施。建筑物内施工垃圾的清运，应采用器具或管道运输，严禁随意抛掷。施工现场严禁焚烧各类废弃物。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firstLine="480" w:firstLineChars="200"/>
        <w:rPr>
          <w:bCs/>
          <w:snapToGrid w:val="0"/>
          <w:kern w:val="0"/>
          <w:sz w:val="24"/>
          <w:highlight w:val="none"/>
        </w:rPr>
      </w:pPr>
      <w:r>
        <w:rPr>
          <w:bCs/>
          <w:snapToGrid w:val="0"/>
          <w:kern w:val="0"/>
          <w:sz w:val="24"/>
          <w:highlight w:val="none"/>
        </w:rPr>
        <w:t>（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right="11" w:firstLine="480" w:firstLineChars="200"/>
        <w:rPr>
          <w:sz w:val="24"/>
          <w:highlight w:val="none"/>
        </w:rPr>
      </w:pPr>
      <w:r>
        <w:rPr>
          <w:sz w:val="24"/>
          <w:highlight w:val="none"/>
        </w:rPr>
        <w:t>5、若未能实现上述承诺，出现文明施工和环境保护落实不到位的情况，在收到书面通知后，不挑剔、不争辩，也不要求出具证明，2天内整改完成并征得发包人批复同意，否则我司愿承担罚款：每延迟1天自愿接受处罚5万元（人民币）。</w:t>
      </w:r>
    </w:p>
    <w:p>
      <w:pPr>
        <w:pStyle w:val="8"/>
        <w:spacing w:line="360" w:lineRule="auto"/>
        <w:ind w:firstLine="556" w:firstLineChars="232"/>
        <w:rPr>
          <w:sz w:val="24"/>
          <w:highlight w:val="none"/>
        </w:rPr>
      </w:pPr>
      <w:r>
        <w:rPr>
          <w:sz w:val="24"/>
          <w:highlight w:val="none"/>
        </w:rPr>
        <w:t>6、罚款以下列方式、顺序扣付：</w:t>
      </w:r>
    </w:p>
    <w:p>
      <w:pPr>
        <w:pStyle w:val="8"/>
        <w:spacing w:line="360" w:lineRule="auto"/>
        <w:ind w:firstLine="556" w:firstLineChars="232"/>
        <w:rPr>
          <w:sz w:val="24"/>
          <w:highlight w:val="none"/>
        </w:rPr>
      </w:pPr>
      <w:r>
        <w:rPr>
          <w:rFonts w:hint="eastAsia" w:ascii="宋体" w:hAnsi="宋体" w:cs="宋体"/>
          <w:sz w:val="24"/>
          <w:highlight w:val="none"/>
        </w:rPr>
        <w:t>①</w:t>
      </w:r>
      <w:r>
        <w:rPr>
          <w:sz w:val="24"/>
          <w:highlight w:val="none"/>
        </w:rPr>
        <w:t xml:space="preserve">．进度款  </w:t>
      </w:r>
      <w:r>
        <w:rPr>
          <w:rFonts w:hint="eastAsia" w:ascii="宋体" w:hAnsi="宋体" w:cs="宋体"/>
          <w:sz w:val="24"/>
          <w:highlight w:val="none"/>
        </w:rPr>
        <w:t>②</w:t>
      </w:r>
      <w:r>
        <w:rPr>
          <w:sz w:val="24"/>
          <w:highlight w:val="none"/>
        </w:rPr>
        <w:t>．履约担保</w:t>
      </w:r>
    </w:p>
    <w:p>
      <w:pPr>
        <w:pStyle w:val="8"/>
        <w:spacing w:line="360" w:lineRule="auto"/>
        <w:ind w:firstLine="556" w:firstLineChars="232"/>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firstLine="480"/>
        <w:rPr>
          <w:sz w:val="24"/>
          <w:highlight w:val="none"/>
        </w:rPr>
      </w:pPr>
    </w:p>
    <w:p>
      <w:pPr>
        <w:pStyle w:val="8"/>
        <w:adjustRightInd w:val="0"/>
        <w:snapToGrid w:val="0"/>
        <w:spacing w:line="360" w:lineRule="auto"/>
        <w:ind w:left="3969" w:leftChars="1890" w:firstLine="480"/>
        <w:rPr>
          <w:sz w:val="24"/>
          <w:highlight w:val="none"/>
        </w:rPr>
      </w:pPr>
      <w:r>
        <w:rPr>
          <w:sz w:val="24"/>
          <w:highlight w:val="none"/>
        </w:rPr>
        <w:t xml:space="preserve">单位名称（盖公章）：  </w:t>
      </w:r>
    </w:p>
    <w:p>
      <w:pPr>
        <w:pStyle w:val="8"/>
        <w:adjustRightInd w:val="0"/>
        <w:snapToGrid w:val="0"/>
        <w:spacing w:line="360" w:lineRule="auto"/>
        <w:ind w:left="3969" w:leftChars="1890" w:firstLine="480"/>
        <w:rPr>
          <w:sz w:val="24"/>
          <w:highlight w:val="none"/>
        </w:rPr>
      </w:pPr>
      <w:r>
        <w:rPr>
          <w:sz w:val="24"/>
          <w:highlight w:val="none"/>
        </w:rPr>
        <w:t xml:space="preserve">法定代表人（签字）： </w:t>
      </w:r>
    </w:p>
    <w:p>
      <w:pPr>
        <w:pStyle w:val="8"/>
        <w:adjustRightInd w:val="0"/>
        <w:snapToGrid w:val="0"/>
        <w:spacing w:line="360" w:lineRule="auto"/>
        <w:ind w:left="3969" w:leftChars="1890" w:firstLine="480"/>
        <w:rPr>
          <w:sz w:val="24"/>
          <w:highlight w:val="none"/>
        </w:rPr>
      </w:pPr>
      <w:r>
        <w:rPr>
          <w:sz w:val="24"/>
          <w:highlight w:val="none"/>
        </w:rPr>
        <w:t>日期：</w:t>
      </w:r>
      <w:r>
        <w:rPr>
          <w:rFonts w:hint="eastAsia"/>
          <w:sz w:val="24"/>
          <w:highlight w:val="none"/>
        </w:rPr>
        <w:t>2023</w:t>
      </w:r>
      <w:r>
        <w:rPr>
          <w:sz w:val="24"/>
          <w:highlight w:val="none"/>
        </w:rPr>
        <w:t>年   月   日</w:t>
      </w:r>
    </w:p>
    <w:p>
      <w:pPr>
        <w:widowControl/>
        <w:jc w:val="left"/>
        <w:rPr>
          <w:sz w:val="24"/>
          <w:highlight w:val="none"/>
        </w:rPr>
      </w:pPr>
      <w:r>
        <w:rPr>
          <w:sz w:val="24"/>
          <w:highlight w:val="none"/>
        </w:rPr>
        <w:br w:type="page"/>
      </w:r>
    </w:p>
    <w:p>
      <w:pPr>
        <w:pStyle w:val="4"/>
        <w:jc w:val="left"/>
        <w:rPr>
          <w:rFonts w:ascii="宋体" w:hAnsi="宋体" w:eastAsia="宋体"/>
          <w:sz w:val="21"/>
          <w:szCs w:val="21"/>
          <w:highlight w:val="none"/>
        </w:rPr>
      </w:pPr>
      <w:bookmarkStart w:id="729" w:name="_Toc132813166"/>
      <w:r>
        <w:rPr>
          <w:rFonts w:hint="eastAsia" w:ascii="宋体" w:hAnsi="宋体" w:eastAsia="宋体"/>
          <w:sz w:val="21"/>
          <w:szCs w:val="21"/>
          <w:highlight w:val="none"/>
        </w:rPr>
        <w:t>附件2</w:t>
      </w:r>
      <w:r>
        <w:rPr>
          <w:rFonts w:ascii="宋体" w:hAnsi="宋体" w:eastAsia="宋体"/>
          <w:sz w:val="21"/>
          <w:szCs w:val="21"/>
          <w:highlight w:val="none"/>
        </w:rPr>
        <w:t>1</w:t>
      </w:r>
      <w:r>
        <w:rPr>
          <w:rFonts w:hint="eastAsia" w:ascii="宋体" w:hAnsi="宋体" w:eastAsia="宋体"/>
          <w:sz w:val="21"/>
          <w:szCs w:val="21"/>
          <w:highlight w:val="none"/>
        </w:rPr>
        <w:t>：工程量模拟清单</w:t>
      </w:r>
      <w:bookmarkEnd w:id="729"/>
    </w:p>
    <w:p>
      <w:pPr>
        <w:pStyle w:val="8"/>
        <w:adjustRightInd w:val="0"/>
        <w:snapToGrid w:val="0"/>
        <w:spacing w:line="360" w:lineRule="auto"/>
        <w:ind w:firstLine="482"/>
        <w:jc w:val="left"/>
        <w:rPr>
          <w:b/>
          <w:sz w:val="24"/>
          <w:highlight w:val="none"/>
        </w:rPr>
      </w:pPr>
    </w:p>
    <w:p>
      <w:pPr>
        <w:pStyle w:val="8"/>
        <w:adjustRightInd w:val="0"/>
        <w:snapToGrid w:val="0"/>
        <w:spacing w:line="360" w:lineRule="auto"/>
        <w:ind w:firstLine="482"/>
        <w:jc w:val="left"/>
        <w:rPr>
          <w:b/>
          <w:sz w:val="24"/>
          <w:highlight w:val="none"/>
        </w:rPr>
      </w:pPr>
    </w:p>
    <w:p>
      <w:pPr>
        <w:pStyle w:val="8"/>
        <w:adjustRightInd w:val="0"/>
        <w:snapToGrid w:val="0"/>
        <w:spacing w:line="360" w:lineRule="auto"/>
        <w:ind w:firstLine="482"/>
        <w:jc w:val="left"/>
        <w:rPr>
          <w:b/>
          <w:sz w:val="24"/>
          <w:highlight w:val="none"/>
        </w:rPr>
      </w:pPr>
    </w:p>
    <w:p>
      <w:pPr>
        <w:pStyle w:val="8"/>
        <w:adjustRightInd w:val="0"/>
        <w:snapToGrid w:val="0"/>
        <w:spacing w:line="360" w:lineRule="auto"/>
        <w:ind w:firstLine="482"/>
        <w:jc w:val="left"/>
        <w:rPr>
          <w:b/>
          <w:sz w:val="24"/>
          <w:highlight w:val="none"/>
        </w:rPr>
      </w:pPr>
    </w:p>
    <w:p>
      <w:pPr>
        <w:pStyle w:val="8"/>
        <w:adjustRightInd w:val="0"/>
        <w:snapToGrid w:val="0"/>
        <w:spacing w:line="360" w:lineRule="auto"/>
        <w:ind w:firstLine="0" w:firstLineChars="0"/>
        <w:jc w:val="center"/>
        <w:rPr>
          <w:b/>
          <w:sz w:val="72"/>
          <w:szCs w:val="72"/>
          <w:highlight w:val="none"/>
        </w:rPr>
      </w:pPr>
      <w:r>
        <w:rPr>
          <w:rFonts w:hint="eastAsia"/>
          <w:b/>
          <w:sz w:val="72"/>
          <w:szCs w:val="72"/>
          <w:highlight w:val="none"/>
        </w:rPr>
        <w:t>（另册）</w:t>
      </w:r>
    </w:p>
    <w:p>
      <w:pPr>
        <w:widowControl/>
        <w:jc w:val="left"/>
        <w:rPr>
          <w:sz w:val="24"/>
          <w:highlight w:val="none"/>
        </w:rPr>
      </w:pPr>
      <w:r>
        <w:rPr>
          <w:sz w:val="24"/>
          <w:highlight w:val="none"/>
        </w:rPr>
        <w:br w:type="page"/>
      </w:r>
    </w:p>
    <w:p>
      <w:pPr>
        <w:adjustRightInd w:val="0"/>
        <w:snapToGrid w:val="0"/>
        <w:spacing w:line="360" w:lineRule="auto"/>
        <w:jc w:val="center"/>
        <w:rPr>
          <w:b/>
          <w:bCs/>
          <w:snapToGrid w:val="0"/>
          <w:kern w:val="0"/>
          <w:sz w:val="44"/>
          <w:szCs w:val="44"/>
          <w:highlight w:val="none"/>
        </w:rPr>
      </w:pPr>
      <w:r>
        <w:rPr>
          <w:rFonts w:hint="eastAsia"/>
          <w:b/>
          <w:bCs/>
          <w:snapToGrid w:val="0"/>
          <w:kern w:val="0"/>
          <w:sz w:val="44"/>
          <w:szCs w:val="44"/>
          <w:highlight w:val="none"/>
        </w:rPr>
        <w:t xml:space="preserve">第三部分 </w:t>
      </w:r>
      <w:r>
        <w:rPr>
          <w:b/>
          <w:bCs/>
          <w:snapToGrid w:val="0"/>
          <w:kern w:val="0"/>
          <w:sz w:val="44"/>
          <w:szCs w:val="44"/>
          <w:highlight w:val="none"/>
        </w:rPr>
        <w:t xml:space="preserve"> </w:t>
      </w:r>
      <w:r>
        <w:rPr>
          <w:rFonts w:hint="eastAsia"/>
          <w:b/>
          <w:bCs/>
          <w:snapToGrid w:val="0"/>
          <w:kern w:val="0"/>
          <w:sz w:val="44"/>
          <w:szCs w:val="44"/>
          <w:highlight w:val="none"/>
        </w:rPr>
        <w:t>设计</w:t>
      </w:r>
      <w:r>
        <w:rPr>
          <w:rFonts w:hint="eastAsia"/>
          <w:b/>
          <w:bCs/>
          <w:snapToGrid w:val="0"/>
          <w:sz w:val="44"/>
          <w:szCs w:val="44"/>
          <w:highlight w:val="none"/>
        </w:rPr>
        <w:t>合同</w:t>
      </w: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adjustRightInd w:val="0"/>
        <w:snapToGrid w:val="0"/>
        <w:spacing w:line="360" w:lineRule="auto"/>
        <w:jc w:val="center"/>
        <w:rPr>
          <w:b/>
          <w:bCs/>
          <w:snapToGrid w:val="0"/>
          <w:sz w:val="44"/>
          <w:szCs w:val="44"/>
          <w:highlight w:val="none"/>
        </w:rPr>
      </w:pPr>
    </w:p>
    <w:p>
      <w:pPr>
        <w:spacing w:line="360" w:lineRule="auto"/>
        <w:jc w:val="center"/>
        <w:rPr>
          <w:b/>
          <w:sz w:val="72"/>
          <w:szCs w:val="72"/>
          <w:highlight w:val="none"/>
        </w:rPr>
      </w:pPr>
      <w:r>
        <w:rPr>
          <w:rFonts w:hint="eastAsia"/>
          <w:b/>
          <w:sz w:val="72"/>
          <w:szCs w:val="72"/>
          <w:highlight w:val="none"/>
        </w:rPr>
        <w:t>设计</w:t>
      </w:r>
      <w:r>
        <w:rPr>
          <w:b/>
          <w:sz w:val="72"/>
          <w:szCs w:val="72"/>
          <w:highlight w:val="none"/>
        </w:rPr>
        <w:t>合同</w:t>
      </w:r>
    </w:p>
    <w:p>
      <w:pPr>
        <w:widowControl/>
        <w:jc w:val="left"/>
        <w:rPr>
          <w:sz w:val="24"/>
          <w:highlight w:val="none"/>
        </w:rPr>
      </w:pPr>
      <w:r>
        <w:rPr>
          <w:sz w:val="24"/>
          <w:highlight w:val="none"/>
        </w:rPr>
        <w:br w:type="page"/>
      </w:r>
    </w:p>
    <w:p>
      <w:pPr>
        <w:adjustRightInd w:val="0"/>
        <w:snapToGrid w:val="0"/>
        <w:spacing w:line="440" w:lineRule="exact"/>
        <w:jc w:val="center"/>
        <w:rPr>
          <w:b/>
          <w:bCs/>
          <w:snapToGrid w:val="0"/>
          <w:kern w:val="0"/>
          <w:sz w:val="36"/>
          <w:szCs w:val="36"/>
          <w:highlight w:val="none"/>
        </w:rPr>
      </w:pPr>
      <w:r>
        <w:rPr>
          <w:b/>
          <w:bCs/>
          <w:snapToGrid w:val="0"/>
          <w:kern w:val="0"/>
          <w:sz w:val="36"/>
          <w:szCs w:val="36"/>
          <w:highlight w:val="none"/>
        </w:rPr>
        <w:t>第一篇  合同协议书</w:t>
      </w:r>
    </w:p>
    <w:p>
      <w:pPr>
        <w:adjustRightInd w:val="0"/>
        <w:snapToGrid w:val="0"/>
        <w:spacing w:line="440" w:lineRule="exact"/>
        <w:jc w:val="center"/>
        <w:rPr>
          <w:b/>
          <w:bCs/>
          <w:snapToGrid w:val="0"/>
          <w:kern w:val="0"/>
          <w:sz w:val="44"/>
          <w:szCs w:val="44"/>
          <w:highlight w:val="none"/>
        </w:rPr>
      </w:pPr>
    </w:p>
    <w:p>
      <w:pPr>
        <w:spacing w:line="360" w:lineRule="auto"/>
        <w:ind w:firstLine="422" w:firstLineChars="200"/>
        <w:rPr>
          <w:bCs/>
          <w:snapToGrid w:val="0"/>
          <w:kern w:val="0"/>
          <w:szCs w:val="21"/>
          <w:highlight w:val="none"/>
          <w:u w:val="single" w:color="000000"/>
        </w:rPr>
      </w:pPr>
      <w:bookmarkStart w:id="730" w:name="_Toc375751354"/>
      <w:bookmarkStart w:id="731" w:name="_Toc375751377"/>
      <w:bookmarkStart w:id="732" w:name="_Toc375751426"/>
      <w:r>
        <w:rPr>
          <w:rFonts w:hint="eastAsia" w:ascii="宋体" w:hAnsi="宋体"/>
          <w:b/>
          <w:snapToGrid w:val="0"/>
          <w:kern w:val="0"/>
          <w:szCs w:val="21"/>
          <w:highlight w:val="none"/>
          <w:u w:val="single" w:color="000000"/>
        </w:rPr>
        <w:t>广州市花都区公共建设项目管理中心</w:t>
      </w:r>
      <w:r>
        <w:rPr>
          <w:snapToGrid w:val="0"/>
          <w:kern w:val="0"/>
          <w:szCs w:val="21"/>
          <w:highlight w:val="none"/>
        </w:rPr>
        <w:t>（以下称</w:t>
      </w:r>
      <w:r>
        <w:rPr>
          <w:rFonts w:hint="eastAsia"/>
          <w:snapToGrid w:val="0"/>
          <w:kern w:val="0"/>
          <w:szCs w:val="21"/>
          <w:highlight w:val="none"/>
        </w:rPr>
        <w:t>发包人</w:t>
      </w:r>
      <w:r>
        <w:rPr>
          <w:snapToGrid w:val="0"/>
          <w:kern w:val="0"/>
          <w:szCs w:val="21"/>
          <w:highlight w:val="none"/>
        </w:rPr>
        <w:t>）与</w:t>
      </w:r>
      <w:bookmarkEnd w:id="730"/>
      <w:bookmarkEnd w:id="731"/>
      <w:bookmarkEnd w:id="732"/>
      <w:r>
        <w:rPr>
          <w:rFonts w:hint="eastAsia" w:ascii="宋体" w:hAnsi="宋体"/>
          <w:b/>
          <w:snapToGrid w:val="0"/>
          <w:kern w:val="0"/>
          <w:szCs w:val="21"/>
          <w:highlight w:val="none"/>
          <w:u w:val="single" w:color="000000"/>
        </w:rPr>
        <w:t xml:space="preserve"> </w:t>
      </w:r>
      <w:r>
        <w:rPr>
          <w:rFonts w:ascii="宋体" w:hAnsi="宋体"/>
          <w:b/>
          <w:snapToGrid w:val="0"/>
          <w:kern w:val="0"/>
          <w:szCs w:val="21"/>
          <w:highlight w:val="none"/>
          <w:u w:val="single" w:color="000000"/>
        </w:rPr>
        <w:t xml:space="preserve">             </w:t>
      </w:r>
      <w:r>
        <w:rPr>
          <w:szCs w:val="21"/>
          <w:highlight w:val="none"/>
        </w:rPr>
        <w:t>（以下称承包人）</w:t>
      </w:r>
      <w:r>
        <w:rPr>
          <w:bCs/>
          <w:snapToGrid w:val="0"/>
          <w:kern w:val="0"/>
          <w:szCs w:val="21"/>
          <w:highlight w:val="none"/>
        </w:rPr>
        <w:t>依照《中华人民共和国</w:t>
      </w:r>
      <w:r>
        <w:rPr>
          <w:rFonts w:hint="eastAsia"/>
          <w:szCs w:val="21"/>
          <w:highlight w:val="none"/>
        </w:rPr>
        <w:t>民</w:t>
      </w:r>
      <w:r>
        <w:rPr>
          <w:szCs w:val="21"/>
          <w:highlight w:val="none"/>
        </w:rPr>
        <w:t>法</w:t>
      </w:r>
      <w:r>
        <w:rPr>
          <w:rFonts w:hint="eastAsia"/>
          <w:szCs w:val="21"/>
          <w:highlight w:val="none"/>
        </w:rPr>
        <w:t>典</w:t>
      </w:r>
      <w:r>
        <w:rPr>
          <w:bCs/>
          <w:snapToGrid w:val="0"/>
          <w:kern w:val="0"/>
          <w:szCs w:val="21"/>
          <w:highlight w:val="none"/>
        </w:rPr>
        <w:t>》、《中华人民共和国建筑法》及其他有关法律、行政法规、部门规章、地方性法规和规章，以及国家和广东省、广州市及花都区人民政府及有关主管部门关于本项目的有关文件，遵循平等、自愿、公平和诚实信用的原则，</w:t>
      </w:r>
      <w:r>
        <w:rPr>
          <w:szCs w:val="21"/>
          <w:highlight w:val="none"/>
        </w:rPr>
        <w:t>发包人、承包人（以下统称双方）就</w:t>
      </w:r>
      <w:r>
        <w:rPr>
          <w:rFonts w:hint="eastAsia"/>
          <w:b/>
          <w:szCs w:val="21"/>
          <w:highlight w:val="none"/>
          <w:u w:val="single"/>
        </w:rPr>
        <w:t>新华街莲塘小学扩建改造项目</w:t>
      </w:r>
      <w:r>
        <w:rPr>
          <w:szCs w:val="21"/>
          <w:highlight w:val="none"/>
        </w:rPr>
        <w:t>（以下称本工程）</w:t>
      </w:r>
      <w:r>
        <w:rPr>
          <w:b/>
          <w:bCs/>
          <w:snapToGrid w:val="0"/>
          <w:kern w:val="0"/>
          <w:szCs w:val="21"/>
          <w:highlight w:val="none"/>
          <w:u w:val="single" w:color="000000"/>
        </w:rPr>
        <w:t>设计</w:t>
      </w:r>
      <w:r>
        <w:rPr>
          <w:bCs/>
          <w:snapToGrid w:val="0"/>
          <w:kern w:val="0"/>
          <w:szCs w:val="21"/>
          <w:highlight w:val="none"/>
        </w:rPr>
        <w:t>事宜协商一致，订立本合同。</w:t>
      </w:r>
    </w:p>
    <w:p>
      <w:pPr>
        <w:adjustRightInd w:val="0"/>
        <w:snapToGrid w:val="0"/>
        <w:spacing w:line="360" w:lineRule="auto"/>
        <w:ind w:right="11" w:firstLine="422" w:firstLineChars="200"/>
        <w:rPr>
          <w:b/>
          <w:bCs/>
          <w:snapToGrid w:val="0"/>
          <w:kern w:val="0"/>
          <w:szCs w:val="21"/>
          <w:highlight w:val="none"/>
        </w:rPr>
      </w:pPr>
      <w:r>
        <w:rPr>
          <w:b/>
          <w:bCs/>
          <w:snapToGrid w:val="0"/>
          <w:kern w:val="0"/>
          <w:szCs w:val="21"/>
          <w:highlight w:val="none"/>
        </w:rPr>
        <w:t>1  工程概况</w:t>
      </w:r>
    </w:p>
    <w:p>
      <w:pPr>
        <w:adjustRightInd w:val="0"/>
        <w:snapToGrid w:val="0"/>
        <w:spacing w:line="360" w:lineRule="auto"/>
        <w:ind w:right="11" w:firstLine="420" w:firstLineChars="200"/>
        <w:rPr>
          <w:bCs/>
          <w:snapToGrid w:val="0"/>
          <w:kern w:val="0"/>
          <w:szCs w:val="21"/>
          <w:highlight w:val="none"/>
          <w:u w:val="single" w:color="000000"/>
        </w:rPr>
      </w:pPr>
      <w:r>
        <w:rPr>
          <w:rFonts w:hint="eastAsia"/>
          <w:bCs/>
          <w:snapToGrid w:val="0"/>
          <w:kern w:val="0"/>
          <w:szCs w:val="21"/>
          <w:highlight w:val="none"/>
        </w:rPr>
        <w:t>1.</w:t>
      </w:r>
      <w:r>
        <w:rPr>
          <w:bCs/>
          <w:snapToGrid w:val="0"/>
          <w:kern w:val="0"/>
          <w:szCs w:val="21"/>
          <w:highlight w:val="none"/>
        </w:rPr>
        <w:t>1工程名称：</w:t>
      </w:r>
      <w:r>
        <w:rPr>
          <w:rFonts w:hint="eastAsia"/>
          <w:bCs/>
          <w:snapToGrid w:val="0"/>
          <w:kern w:val="0"/>
          <w:szCs w:val="21"/>
          <w:highlight w:val="none"/>
          <w:u w:val="single" w:color="000000"/>
        </w:rPr>
        <w:t>新华街莲塘小学扩建改造项目</w:t>
      </w:r>
    </w:p>
    <w:p>
      <w:pPr>
        <w:adjustRightInd w:val="0"/>
        <w:snapToGrid w:val="0"/>
        <w:spacing w:line="360" w:lineRule="auto"/>
        <w:ind w:firstLine="420" w:firstLineChars="200"/>
        <w:jc w:val="left"/>
        <w:rPr>
          <w:bCs/>
          <w:snapToGrid w:val="0"/>
          <w:kern w:val="0"/>
          <w:szCs w:val="21"/>
          <w:highlight w:val="none"/>
        </w:rPr>
      </w:pPr>
      <w:r>
        <w:rPr>
          <w:rFonts w:hint="eastAsia"/>
          <w:bCs/>
          <w:snapToGrid w:val="0"/>
          <w:kern w:val="0"/>
          <w:szCs w:val="21"/>
          <w:highlight w:val="none"/>
        </w:rPr>
        <w:t>1.</w:t>
      </w:r>
      <w:r>
        <w:rPr>
          <w:bCs/>
          <w:snapToGrid w:val="0"/>
          <w:kern w:val="0"/>
          <w:szCs w:val="21"/>
          <w:highlight w:val="none"/>
        </w:rPr>
        <w:t>2工程地点：</w:t>
      </w:r>
      <w:r>
        <w:rPr>
          <w:rFonts w:hint="eastAsia"/>
          <w:bCs/>
          <w:snapToGrid w:val="0"/>
          <w:kern w:val="0"/>
          <w:szCs w:val="21"/>
          <w:highlight w:val="none"/>
          <w:u w:val="single"/>
        </w:rPr>
        <w:t>广州市花都区建设北路129号</w:t>
      </w:r>
    </w:p>
    <w:p>
      <w:pPr>
        <w:adjustRightInd w:val="0"/>
        <w:snapToGrid w:val="0"/>
        <w:spacing w:line="360" w:lineRule="auto"/>
        <w:ind w:right="11" w:firstLine="420" w:firstLineChars="200"/>
        <w:rPr>
          <w:bCs/>
          <w:snapToGrid w:val="0"/>
          <w:kern w:val="0"/>
          <w:szCs w:val="21"/>
          <w:highlight w:val="none"/>
          <w:u w:val="single"/>
        </w:rPr>
      </w:pPr>
      <w:r>
        <w:rPr>
          <w:rFonts w:hint="eastAsia"/>
          <w:bCs/>
          <w:snapToGrid w:val="0"/>
          <w:kern w:val="0"/>
          <w:szCs w:val="21"/>
          <w:highlight w:val="none"/>
        </w:rPr>
        <w:t>1.</w:t>
      </w:r>
      <w:r>
        <w:rPr>
          <w:bCs/>
          <w:snapToGrid w:val="0"/>
          <w:kern w:val="0"/>
          <w:szCs w:val="21"/>
          <w:highlight w:val="none"/>
        </w:rPr>
        <w:t>3工程</w:t>
      </w:r>
      <w:r>
        <w:rPr>
          <w:rFonts w:hint="eastAsia"/>
          <w:bCs/>
          <w:snapToGrid w:val="0"/>
          <w:kern w:val="0"/>
          <w:szCs w:val="21"/>
          <w:highlight w:val="none"/>
        </w:rPr>
        <w:t>可研</w:t>
      </w:r>
      <w:r>
        <w:rPr>
          <w:bCs/>
          <w:snapToGrid w:val="0"/>
          <w:kern w:val="0"/>
          <w:szCs w:val="21"/>
          <w:highlight w:val="none"/>
        </w:rPr>
        <w:t>批准文号：</w:t>
      </w:r>
      <w:r>
        <w:rPr>
          <w:rFonts w:hint="eastAsia"/>
          <w:bCs/>
          <w:snapToGrid w:val="0"/>
          <w:kern w:val="0"/>
          <w:szCs w:val="21"/>
          <w:highlight w:val="none"/>
          <w:u w:val="single"/>
        </w:rPr>
        <w:t>穗花发改投批〔2023〕2</w:t>
      </w:r>
      <w:r>
        <w:rPr>
          <w:bCs/>
          <w:snapToGrid w:val="0"/>
          <w:kern w:val="0"/>
          <w:szCs w:val="21"/>
          <w:highlight w:val="none"/>
          <w:u w:val="single"/>
        </w:rPr>
        <w:t>3</w:t>
      </w:r>
      <w:r>
        <w:rPr>
          <w:rFonts w:hint="eastAsia"/>
          <w:bCs/>
          <w:snapToGrid w:val="0"/>
          <w:kern w:val="0"/>
          <w:szCs w:val="21"/>
          <w:highlight w:val="none"/>
          <w:u w:val="single"/>
        </w:rPr>
        <w:t>号</w:t>
      </w:r>
    </w:p>
    <w:p>
      <w:pPr>
        <w:adjustRightInd w:val="0"/>
        <w:snapToGrid w:val="0"/>
        <w:spacing w:line="360" w:lineRule="auto"/>
        <w:ind w:right="11" w:firstLine="420" w:firstLineChars="200"/>
        <w:rPr>
          <w:bCs/>
          <w:snapToGrid w:val="0"/>
          <w:kern w:val="0"/>
          <w:szCs w:val="21"/>
          <w:highlight w:val="none"/>
          <w:u w:val="single"/>
        </w:rPr>
      </w:pPr>
      <w:r>
        <w:rPr>
          <w:rFonts w:hint="eastAsia"/>
          <w:bCs/>
          <w:snapToGrid w:val="0"/>
          <w:kern w:val="0"/>
          <w:szCs w:val="21"/>
          <w:highlight w:val="none"/>
        </w:rPr>
        <w:t>1.</w:t>
      </w:r>
      <w:r>
        <w:rPr>
          <w:bCs/>
          <w:snapToGrid w:val="0"/>
          <w:kern w:val="0"/>
          <w:szCs w:val="21"/>
          <w:highlight w:val="none"/>
        </w:rPr>
        <w:t>4资金来源：</w:t>
      </w:r>
      <w:r>
        <w:rPr>
          <w:rFonts w:hint="eastAsia"/>
          <w:bCs/>
          <w:snapToGrid w:val="0"/>
          <w:kern w:val="0"/>
          <w:szCs w:val="21"/>
          <w:highlight w:val="none"/>
          <w:u w:val="single"/>
        </w:rPr>
        <w:t>财政资金</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1.5工程规模：</w:t>
      </w:r>
      <w:r>
        <w:rPr>
          <w:rFonts w:hint="eastAsia"/>
          <w:szCs w:val="21"/>
          <w:highlight w:val="none"/>
          <w:u w:val="single"/>
        </w:rPr>
        <w:t>学校原办学规模21班初中、42班高中，本项目拟增加18班办学规模初中，主要建设内容包括：拆除原来的室外泳池、看台、道路、景观等室外工程以及部分办公辅助用房共6500平方米，新建一栋综合楼，建筑面积约14091.21平方米（其中1#艺术楼2089.15平方米、2#教研楼5279.40平方米、3#教学楼3060.55平方米和地下车库3662.11平方米）以及1项室外工程，包括室外景观、园建、道路等。</w:t>
      </w:r>
    </w:p>
    <w:p>
      <w:pPr>
        <w:adjustRightInd w:val="0"/>
        <w:snapToGrid w:val="0"/>
        <w:spacing w:line="360" w:lineRule="auto"/>
        <w:ind w:firstLine="420" w:firstLineChars="200"/>
        <w:rPr>
          <w:snapToGrid w:val="0"/>
          <w:kern w:val="0"/>
          <w:szCs w:val="21"/>
          <w:highlight w:val="none"/>
        </w:rPr>
      </w:pPr>
      <w:r>
        <w:rPr>
          <w:rFonts w:hint="eastAsia"/>
          <w:snapToGrid w:val="0"/>
          <w:kern w:val="0"/>
          <w:szCs w:val="21"/>
          <w:highlight w:val="none"/>
        </w:rPr>
        <w:t>1.</w:t>
      </w:r>
      <w:r>
        <w:rPr>
          <w:snapToGrid w:val="0"/>
          <w:kern w:val="0"/>
          <w:szCs w:val="21"/>
          <w:highlight w:val="none"/>
        </w:rPr>
        <w:t>6本工程设计合理使用年限为</w:t>
      </w:r>
      <w:r>
        <w:rPr>
          <w:snapToGrid w:val="0"/>
          <w:kern w:val="0"/>
          <w:szCs w:val="21"/>
          <w:highlight w:val="none"/>
          <w:u w:val="single"/>
        </w:rPr>
        <w:t xml:space="preserve"> 50 </w:t>
      </w:r>
      <w:r>
        <w:rPr>
          <w:snapToGrid w:val="0"/>
          <w:kern w:val="0"/>
          <w:szCs w:val="21"/>
          <w:highlight w:val="none"/>
        </w:rPr>
        <w:t>年（主体结构）。</w:t>
      </w:r>
    </w:p>
    <w:p>
      <w:pPr>
        <w:adjustRightInd w:val="0"/>
        <w:snapToGrid w:val="0"/>
        <w:spacing w:line="360" w:lineRule="auto"/>
        <w:ind w:right="11" w:firstLine="422" w:firstLineChars="200"/>
        <w:rPr>
          <w:b/>
          <w:bCs/>
          <w:snapToGrid w:val="0"/>
          <w:kern w:val="0"/>
          <w:szCs w:val="21"/>
          <w:highlight w:val="none"/>
        </w:rPr>
      </w:pPr>
      <w:r>
        <w:rPr>
          <w:b/>
          <w:bCs/>
          <w:snapToGrid w:val="0"/>
          <w:kern w:val="0"/>
          <w:szCs w:val="21"/>
          <w:highlight w:val="none"/>
        </w:rPr>
        <w:t>2 设计</w:t>
      </w:r>
      <w:r>
        <w:rPr>
          <w:rFonts w:hint="eastAsia"/>
          <w:b/>
          <w:bCs/>
          <w:snapToGrid w:val="0"/>
          <w:kern w:val="0"/>
          <w:szCs w:val="21"/>
          <w:highlight w:val="none"/>
        </w:rPr>
        <w:t>工作</w:t>
      </w:r>
      <w:r>
        <w:rPr>
          <w:b/>
          <w:bCs/>
          <w:snapToGrid w:val="0"/>
          <w:kern w:val="0"/>
          <w:szCs w:val="21"/>
          <w:highlight w:val="none"/>
        </w:rPr>
        <w:t>范围、内容和方式</w:t>
      </w:r>
    </w:p>
    <w:p>
      <w:pPr>
        <w:adjustRightInd w:val="0"/>
        <w:snapToGrid w:val="0"/>
        <w:spacing w:line="360" w:lineRule="auto"/>
        <w:ind w:right="11" w:firstLine="420" w:firstLineChars="200"/>
        <w:rPr>
          <w:bCs/>
          <w:snapToGrid w:val="0"/>
          <w:kern w:val="0"/>
          <w:szCs w:val="21"/>
          <w:highlight w:val="none"/>
        </w:rPr>
      </w:pPr>
      <w:r>
        <w:rPr>
          <w:bCs/>
          <w:snapToGrid w:val="0"/>
          <w:kern w:val="0"/>
          <w:szCs w:val="21"/>
          <w:highlight w:val="none"/>
        </w:rPr>
        <w:t>2.1 设计</w:t>
      </w:r>
      <w:r>
        <w:rPr>
          <w:rFonts w:hint="eastAsia"/>
          <w:bCs/>
          <w:snapToGrid w:val="0"/>
          <w:kern w:val="0"/>
          <w:szCs w:val="21"/>
          <w:highlight w:val="none"/>
        </w:rPr>
        <w:t>工作</w:t>
      </w:r>
      <w:r>
        <w:rPr>
          <w:bCs/>
          <w:snapToGrid w:val="0"/>
          <w:kern w:val="0"/>
          <w:szCs w:val="21"/>
          <w:highlight w:val="none"/>
        </w:rPr>
        <w:t>范围和内容（见下表）：</w:t>
      </w:r>
    </w:p>
    <w:tbl>
      <w:tblPr>
        <w:tblStyle w:val="76"/>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795"/>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93" w:type="dxa"/>
            <w:vAlign w:val="center"/>
          </w:tcPr>
          <w:p>
            <w:pPr>
              <w:adjustRightInd w:val="0"/>
              <w:snapToGrid w:val="0"/>
              <w:ind w:right="11"/>
              <w:jc w:val="center"/>
              <w:rPr>
                <w:bCs/>
                <w:snapToGrid w:val="0"/>
                <w:kern w:val="0"/>
                <w:szCs w:val="21"/>
                <w:highlight w:val="none"/>
              </w:rPr>
            </w:pPr>
            <w:r>
              <w:rPr>
                <w:bCs/>
                <w:snapToGrid w:val="0"/>
                <w:kern w:val="0"/>
                <w:szCs w:val="21"/>
                <w:highlight w:val="none"/>
              </w:rPr>
              <w:t>项目名称</w:t>
            </w:r>
          </w:p>
        </w:tc>
        <w:tc>
          <w:tcPr>
            <w:tcW w:w="1795" w:type="dxa"/>
            <w:vAlign w:val="center"/>
          </w:tcPr>
          <w:p>
            <w:pPr>
              <w:adjustRightInd w:val="0"/>
              <w:snapToGrid w:val="0"/>
              <w:ind w:right="11"/>
              <w:jc w:val="center"/>
              <w:rPr>
                <w:bCs/>
                <w:snapToGrid w:val="0"/>
                <w:kern w:val="0"/>
                <w:szCs w:val="21"/>
                <w:highlight w:val="none"/>
              </w:rPr>
            </w:pPr>
            <w:r>
              <w:rPr>
                <w:bCs/>
                <w:snapToGrid w:val="0"/>
                <w:kern w:val="0"/>
                <w:szCs w:val="21"/>
                <w:highlight w:val="none"/>
              </w:rPr>
              <w:t>施工图设计</w:t>
            </w:r>
            <w:r>
              <w:rPr>
                <w:rFonts w:hint="eastAsia"/>
                <w:bCs/>
                <w:snapToGrid w:val="0"/>
                <w:kern w:val="0"/>
                <w:szCs w:val="21"/>
                <w:highlight w:val="none"/>
              </w:rPr>
              <w:t>与深化</w:t>
            </w:r>
          </w:p>
        </w:tc>
        <w:tc>
          <w:tcPr>
            <w:tcW w:w="1796" w:type="dxa"/>
            <w:vAlign w:val="center"/>
          </w:tcPr>
          <w:p>
            <w:pPr>
              <w:adjustRightInd w:val="0"/>
              <w:snapToGrid w:val="0"/>
              <w:ind w:right="11"/>
              <w:jc w:val="center"/>
              <w:rPr>
                <w:bCs/>
                <w:snapToGrid w:val="0"/>
                <w:kern w:val="0"/>
                <w:szCs w:val="21"/>
                <w:highlight w:val="none"/>
              </w:rPr>
            </w:pPr>
            <w:r>
              <w:rPr>
                <w:rFonts w:hint="eastAsia"/>
                <w:bCs/>
                <w:snapToGrid w:val="0"/>
                <w:kern w:val="0"/>
                <w:szCs w:val="21"/>
                <w:highlight w:val="none"/>
              </w:rPr>
              <w:t>设计配合与报审</w:t>
            </w:r>
            <w:r>
              <w:rPr>
                <w:bCs/>
                <w:snapToGrid w:val="0"/>
                <w:kern w:val="0"/>
                <w:szCs w:val="21"/>
                <w:highlight w:val="none"/>
              </w:rPr>
              <w:t>服务</w:t>
            </w:r>
          </w:p>
        </w:tc>
        <w:tc>
          <w:tcPr>
            <w:tcW w:w="1796" w:type="dxa"/>
            <w:vAlign w:val="center"/>
          </w:tcPr>
          <w:p>
            <w:pPr>
              <w:adjustRightInd w:val="0"/>
              <w:snapToGrid w:val="0"/>
              <w:ind w:right="11"/>
              <w:jc w:val="center"/>
              <w:rPr>
                <w:bCs/>
                <w:snapToGrid w:val="0"/>
                <w:kern w:val="0"/>
                <w:szCs w:val="21"/>
                <w:highlight w:val="none"/>
              </w:rPr>
            </w:pPr>
            <w:r>
              <w:rPr>
                <w:rFonts w:hint="eastAsia"/>
                <w:bCs/>
                <w:snapToGrid w:val="0"/>
                <w:kern w:val="0"/>
                <w:szCs w:val="21"/>
                <w:highlight w:val="none"/>
              </w:rPr>
              <w:t>协助</w:t>
            </w:r>
            <w:r>
              <w:rPr>
                <w:bCs/>
                <w:snapToGrid w:val="0"/>
                <w:kern w:val="0"/>
                <w:szCs w:val="21"/>
                <w:highlight w:val="none"/>
              </w:rPr>
              <w:t>编制竣工图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693" w:type="dxa"/>
            <w:vAlign w:val="center"/>
          </w:tcPr>
          <w:p>
            <w:pPr>
              <w:adjustRightInd w:val="0"/>
              <w:snapToGrid w:val="0"/>
              <w:ind w:right="11"/>
              <w:jc w:val="center"/>
              <w:rPr>
                <w:bCs/>
                <w:snapToGrid w:val="0"/>
                <w:kern w:val="0"/>
                <w:szCs w:val="21"/>
                <w:highlight w:val="none"/>
              </w:rPr>
            </w:pPr>
            <w:r>
              <w:rPr>
                <w:rFonts w:hint="eastAsia"/>
                <w:bCs/>
                <w:snapToGrid w:val="0"/>
                <w:kern w:val="0"/>
                <w:szCs w:val="21"/>
                <w:highlight w:val="none"/>
              </w:rPr>
              <w:t>新华街莲塘小学扩建改造项目</w:t>
            </w:r>
          </w:p>
        </w:tc>
        <w:tc>
          <w:tcPr>
            <w:tcW w:w="1795" w:type="dxa"/>
            <w:vAlign w:val="center"/>
          </w:tcPr>
          <w:p>
            <w:pPr>
              <w:snapToGrid w:val="0"/>
              <w:jc w:val="center"/>
              <w:rPr>
                <w:szCs w:val="21"/>
                <w:highlight w:val="none"/>
              </w:rPr>
            </w:pPr>
            <w:r>
              <w:rPr>
                <w:snapToGrid w:val="0"/>
                <w:kern w:val="0"/>
                <w:szCs w:val="21"/>
                <w:highlight w:val="none"/>
              </w:rPr>
              <w:t>√</w:t>
            </w:r>
          </w:p>
        </w:tc>
        <w:tc>
          <w:tcPr>
            <w:tcW w:w="1796" w:type="dxa"/>
            <w:vAlign w:val="center"/>
          </w:tcPr>
          <w:p>
            <w:pPr>
              <w:snapToGrid w:val="0"/>
              <w:jc w:val="center"/>
              <w:rPr>
                <w:szCs w:val="21"/>
                <w:highlight w:val="none"/>
              </w:rPr>
            </w:pPr>
            <w:r>
              <w:rPr>
                <w:snapToGrid w:val="0"/>
                <w:kern w:val="0"/>
                <w:szCs w:val="21"/>
                <w:highlight w:val="none"/>
              </w:rPr>
              <w:t>√</w:t>
            </w:r>
          </w:p>
        </w:tc>
        <w:tc>
          <w:tcPr>
            <w:tcW w:w="1796" w:type="dxa"/>
            <w:vAlign w:val="center"/>
          </w:tcPr>
          <w:p>
            <w:pPr>
              <w:adjustRightInd w:val="0"/>
              <w:snapToGrid w:val="0"/>
              <w:jc w:val="center"/>
              <w:rPr>
                <w:snapToGrid w:val="0"/>
                <w:kern w:val="0"/>
                <w:szCs w:val="21"/>
                <w:highlight w:val="none"/>
              </w:rPr>
            </w:pPr>
            <w:r>
              <w:rPr>
                <w:snapToGrid w:val="0"/>
                <w:kern w:val="0"/>
                <w:szCs w:val="21"/>
                <w:highlight w:val="none"/>
              </w:rPr>
              <w:t>√</w:t>
            </w:r>
          </w:p>
        </w:tc>
      </w:tr>
    </w:tbl>
    <w:p>
      <w:pPr>
        <w:adjustRightInd w:val="0"/>
        <w:snapToGrid w:val="0"/>
        <w:spacing w:before="156" w:beforeLines="50" w:line="360" w:lineRule="auto"/>
        <w:ind w:right="11" w:firstLine="422" w:firstLineChars="200"/>
        <w:rPr>
          <w:b/>
          <w:bCs/>
          <w:snapToGrid w:val="0"/>
          <w:kern w:val="0"/>
          <w:szCs w:val="21"/>
          <w:highlight w:val="none"/>
        </w:rPr>
      </w:pPr>
      <w:r>
        <w:rPr>
          <w:b/>
          <w:bCs/>
          <w:snapToGrid w:val="0"/>
          <w:kern w:val="0"/>
          <w:szCs w:val="21"/>
          <w:highlight w:val="none"/>
        </w:rPr>
        <w:t>（本</w:t>
      </w:r>
      <w:r>
        <w:rPr>
          <w:rFonts w:hint="eastAsia"/>
          <w:b/>
          <w:bCs/>
          <w:snapToGrid w:val="0"/>
          <w:kern w:val="0"/>
          <w:szCs w:val="21"/>
          <w:highlight w:val="none"/>
        </w:rPr>
        <w:t>工程</w:t>
      </w:r>
      <w:r>
        <w:rPr>
          <w:b/>
          <w:bCs/>
          <w:snapToGrid w:val="0"/>
          <w:kern w:val="0"/>
          <w:szCs w:val="21"/>
          <w:highlight w:val="none"/>
        </w:rPr>
        <w:t>设计</w:t>
      </w:r>
      <w:r>
        <w:rPr>
          <w:rFonts w:hint="eastAsia"/>
          <w:b/>
          <w:bCs/>
          <w:snapToGrid w:val="0"/>
          <w:kern w:val="0"/>
          <w:szCs w:val="21"/>
          <w:highlight w:val="none"/>
        </w:rPr>
        <w:t>工作</w:t>
      </w:r>
      <w:r>
        <w:rPr>
          <w:b/>
          <w:bCs/>
          <w:snapToGrid w:val="0"/>
          <w:kern w:val="0"/>
          <w:szCs w:val="21"/>
          <w:highlight w:val="none"/>
        </w:rPr>
        <w:t>范围</w:t>
      </w:r>
      <w:r>
        <w:rPr>
          <w:rFonts w:hint="eastAsia"/>
          <w:b/>
          <w:bCs/>
          <w:snapToGrid w:val="0"/>
          <w:kern w:val="0"/>
          <w:szCs w:val="21"/>
          <w:highlight w:val="none"/>
        </w:rPr>
        <w:t>和内容</w:t>
      </w:r>
      <w:r>
        <w:rPr>
          <w:b/>
          <w:bCs/>
          <w:snapToGrid w:val="0"/>
          <w:kern w:val="0"/>
          <w:szCs w:val="21"/>
          <w:highlight w:val="none"/>
        </w:rPr>
        <w:t>的具体描述详见设计任务书）</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2.2开始实施时间：</w:t>
      </w:r>
      <w:r>
        <w:rPr>
          <w:rFonts w:hint="eastAsia"/>
          <w:bCs/>
          <w:snapToGrid w:val="0"/>
          <w:kern w:val="0"/>
          <w:szCs w:val="21"/>
          <w:highlight w:val="none"/>
        </w:rPr>
        <w:t>以收到发包人书面通知为准，</w:t>
      </w:r>
      <w:r>
        <w:rPr>
          <w:bCs/>
          <w:snapToGrid w:val="0"/>
          <w:kern w:val="0"/>
          <w:szCs w:val="21"/>
          <w:highlight w:val="none"/>
        </w:rPr>
        <w:t>设计周期</w:t>
      </w:r>
      <w:r>
        <w:rPr>
          <w:rFonts w:hint="eastAsia"/>
          <w:bCs/>
          <w:snapToGrid w:val="0"/>
          <w:kern w:val="0"/>
          <w:szCs w:val="21"/>
          <w:highlight w:val="none"/>
        </w:rPr>
        <w:t>按设计任务书及建设单位工作计划要求</w:t>
      </w:r>
      <w:r>
        <w:rPr>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2.3</w:t>
      </w:r>
      <w:r>
        <w:rPr>
          <w:rFonts w:hint="eastAsia"/>
          <w:bCs/>
          <w:snapToGrid w:val="0"/>
          <w:kern w:val="0"/>
          <w:szCs w:val="21"/>
          <w:highlight w:val="none"/>
        </w:rPr>
        <w:t>承包人</w:t>
      </w:r>
      <w:r>
        <w:rPr>
          <w:bCs/>
          <w:snapToGrid w:val="0"/>
          <w:kern w:val="0"/>
          <w:szCs w:val="21"/>
          <w:highlight w:val="none"/>
        </w:rPr>
        <w:t>向</w:t>
      </w:r>
      <w:r>
        <w:rPr>
          <w:rFonts w:hint="eastAsia"/>
          <w:bCs/>
          <w:snapToGrid w:val="0"/>
          <w:kern w:val="0"/>
          <w:szCs w:val="21"/>
          <w:highlight w:val="none"/>
        </w:rPr>
        <w:t>发包人</w:t>
      </w:r>
      <w:r>
        <w:rPr>
          <w:bCs/>
          <w:snapToGrid w:val="0"/>
          <w:kern w:val="0"/>
          <w:szCs w:val="21"/>
          <w:highlight w:val="none"/>
        </w:rPr>
        <w:t>提交设计成果的时间按本</w:t>
      </w:r>
      <w:r>
        <w:rPr>
          <w:rFonts w:hint="eastAsia"/>
          <w:bCs/>
          <w:snapToGrid w:val="0"/>
          <w:kern w:val="0"/>
          <w:szCs w:val="21"/>
          <w:highlight w:val="none"/>
        </w:rPr>
        <w:t>设计</w:t>
      </w:r>
      <w:r>
        <w:rPr>
          <w:bCs/>
          <w:snapToGrid w:val="0"/>
          <w:kern w:val="0"/>
          <w:szCs w:val="21"/>
          <w:highlight w:val="none"/>
        </w:rPr>
        <w:t>合同条款第二章第8条的约定执行。</w:t>
      </w:r>
    </w:p>
    <w:p>
      <w:pPr>
        <w:adjustRightInd w:val="0"/>
        <w:snapToGrid w:val="0"/>
        <w:spacing w:line="360" w:lineRule="auto"/>
        <w:ind w:firstLine="420" w:firstLineChars="200"/>
        <w:rPr>
          <w:bCs/>
          <w:strike/>
          <w:snapToGrid w:val="0"/>
          <w:kern w:val="0"/>
          <w:szCs w:val="21"/>
          <w:highlight w:val="none"/>
        </w:rPr>
      </w:pPr>
      <w:r>
        <w:rPr>
          <w:bCs/>
          <w:snapToGrid w:val="0"/>
          <w:kern w:val="0"/>
          <w:szCs w:val="21"/>
          <w:highlight w:val="none"/>
        </w:rPr>
        <w:t>2.4</w:t>
      </w:r>
      <w:r>
        <w:rPr>
          <w:rFonts w:hint="eastAsia"/>
          <w:bCs/>
          <w:snapToGrid w:val="0"/>
          <w:kern w:val="0"/>
          <w:szCs w:val="21"/>
          <w:highlight w:val="none"/>
        </w:rPr>
        <w:t>发包人</w:t>
      </w:r>
      <w:r>
        <w:rPr>
          <w:bCs/>
          <w:snapToGrid w:val="0"/>
          <w:kern w:val="0"/>
          <w:szCs w:val="21"/>
          <w:highlight w:val="none"/>
        </w:rPr>
        <w:t>根据工程实施情况，有权对</w:t>
      </w:r>
      <w:r>
        <w:rPr>
          <w:rFonts w:hint="eastAsia"/>
          <w:bCs/>
          <w:snapToGrid w:val="0"/>
          <w:kern w:val="0"/>
          <w:szCs w:val="21"/>
          <w:highlight w:val="none"/>
        </w:rPr>
        <w:t>承包人</w:t>
      </w:r>
      <w:r>
        <w:rPr>
          <w:bCs/>
          <w:snapToGrid w:val="0"/>
          <w:kern w:val="0"/>
          <w:szCs w:val="21"/>
          <w:highlight w:val="none"/>
        </w:rPr>
        <w:t>的承包范围及内容进行适当调整，</w:t>
      </w:r>
      <w:r>
        <w:rPr>
          <w:rFonts w:hint="eastAsia"/>
          <w:bCs/>
          <w:snapToGrid w:val="0"/>
          <w:kern w:val="0"/>
          <w:szCs w:val="21"/>
          <w:highlight w:val="none"/>
        </w:rPr>
        <w:t>以双方签订签证单或补充协议内容为准。</w:t>
      </w:r>
    </w:p>
    <w:p>
      <w:pPr>
        <w:adjustRightInd w:val="0"/>
        <w:snapToGrid w:val="0"/>
        <w:spacing w:line="360" w:lineRule="auto"/>
        <w:ind w:firstLine="422" w:firstLineChars="200"/>
        <w:rPr>
          <w:b/>
          <w:bCs/>
          <w:snapToGrid w:val="0"/>
          <w:kern w:val="0"/>
          <w:szCs w:val="21"/>
          <w:highlight w:val="none"/>
        </w:rPr>
      </w:pPr>
      <w:r>
        <w:rPr>
          <w:b/>
          <w:bCs/>
          <w:snapToGrid w:val="0"/>
          <w:kern w:val="0"/>
          <w:szCs w:val="21"/>
          <w:highlight w:val="none"/>
        </w:rPr>
        <w:t>3、合同价款</w:t>
      </w:r>
    </w:p>
    <w:p>
      <w:pPr>
        <w:pStyle w:val="24"/>
        <w:adjustRightInd w:val="0"/>
        <w:snapToGrid w:val="0"/>
        <w:spacing w:line="360" w:lineRule="auto"/>
        <w:ind w:firstLine="420" w:firstLineChars="200"/>
        <w:rPr>
          <w:bCs/>
          <w:snapToGrid w:val="0"/>
          <w:kern w:val="0"/>
          <w:szCs w:val="21"/>
          <w:highlight w:val="none"/>
        </w:rPr>
      </w:pPr>
      <w:r>
        <w:rPr>
          <w:rFonts w:ascii="Times New Roman" w:hAnsi="Times New Roman" w:cs="Times New Roman"/>
          <w:bCs/>
          <w:snapToGrid w:val="0"/>
          <w:kern w:val="0"/>
          <w:szCs w:val="21"/>
          <w:highlight w:val="none"/>
        </w:rPr>
        <w:t>3.1</w:t>
      </w:r>
      <w:r>
        <w:rPr>
          <w:bCs/>
          <w:snapToGrid w:val="0"/>
          <w:kern w:val="0"/>
          <w:szCs w:val="21"/>
          <w:highlight w:val="none"/>
        </w:rPr>
        <w:t>本合同以人民币为计价和结算货币，除非双方另有约定。</w:t>
      </w:r>
      <w:r>
        <w:rPr>
          <w:rFonts w:hint="eastAsia"/>
          <w:b/>
          <w:bCs/>
          <w:snapToGrid w:val="0"/>
          <w:kern w:val="0"/>
          <w:szCs w:val="21"/>
          <w:highlight w:val="none"/>
        </w:rPr>
        <w:t>（超出限额设计部分，设计人应及时优化设计，超出部分发包人不予支付</w:t>
      </w:r>
      <w:r>
        <w:rPr>
          <w:b/>
          <w:bCs/>
          <w:snapToGrid w:val="0"/>
          <w:kern w:val="0"/>
          <w:szCs w:val="21"/>
          <w:highlight w:val="none"/>
        </w:rPr>
        <w:t>）</w:t>
      </w:r>
      <w:r>
        <w:rPr>
          <w:szCs w:val="21"/>
          <w:highlight w:val="none"/>
        </w:rPr>
        <w:t>；</w:t>
      </w:r>
      <w:r>
        <w:rPr>
          <w:bCs/>
          <w:snapToGrid w:val="0"/>
          <w:kern w:val="0"/>
          <w:szCs w:val="21"/>
          <w:highlight w:val="none"/>
        </w:rPr>
        <w:t>依据国家计委、建设部颁布的工程设计收费标准（</w:t>
      </w:r>
      <w:r>
        <w:rPr>
          <w:rFonts w:ascii="Times New Roman" w:hAnsi="Times New Roman" w:cs="Times New Roman"/>
          <w:bCs/>
          <w:snapToGrid w:val="0"/>
          <w:kern w:val="0"/>
          <w:szCs w:val="21"/>
          <w:highlight w:val="none"/>
        </w:rPr>
        <w:t>2002</w:t>
      </w:r>
      <w:r>
        <w:rPr>
          <w:bCs/>
          <w:snapToGrid w:val="0"/>
          <w:kern w:val="0"/>
          <w:szCs w:val="21"/>
          <w:highlight w:val="none"/>
        </w:rPr>
        <w:t>年修订本）执行。</w:t>
      </w:r>
    </w:p>
    <w:p>
      <w:pPr>
        <w:pStyle w:val="24"/>
        <w:adjustRightInd w:val="0"/>
        <w:snapToGrid w:val="0"/>
        <w:spacing w:line="360" w:lineRule="auto"/>
        <w:ind w:firstLine="422" w:firstLineChars="200"/>
        <w:jc w:val="both"/>
        <w:rPr>
          <w:bCs/>
          <w:snapToGrid w:val="0"/>
          <w:kern w:val="0"/>
          <w:szCs w:val="21"/>
          <w:highlight w:val="none"/>
        </w:rPr>
      </w:pPr>
      <w:r>
        <w:rPr>
          <w:rFonts w:ascii="Times New Roman" w:hAnsi="Times New Roman" w:cs="Times New Roman"/>
          <w:b/>
          <w:bCs/>
          <w:snapToGrid w:val="0"/>
          <w:kern w:val="0"/>
          <w:szCs w:val="21"/>
          <w:highlight w:val="none"/>
        </w:rPr>
        <w:t>3.2</w:t>
      </w:r>
      <w:r>
        <w:rPr>
          <w:rFonts w:ascii="Times New Roman" w:hAnsi="Times New Roman" w:cs="Times New Roman"/>
          <w:b/>
          <w:snapToGrid w:val="0"/>
          <w:kern w:val="0"/>
          <w:szCs w:val="21"/>
          <w:highlight w:val="none"/>
        </w:rPr>
        <w:t>设计</w:t>
      </w:r>
      <w:r>
        <w:rPr>
          <w:rFonts w:ascii="Times New Roman" w:hAnsi="Times New Roman" w:cs="Times New Roman"/>
          <w:b/>
          <w:bCs/>
          <w:snapToGrid w:val="0"/>
          <w:kern w:val="0"/>
          <w:szCs w:val="21"/>
          <w:highlight w:val="none"/>
        </w:rPr>
        <w:t>费合同暂定价为：</w:t>
      </w:r>
      <w:r>
        <w:rPr>
          <w:rFonts w:ascii="Times New Roman" w:hAnsi="Times New Roman" w:cs="Times New Roman"/>
          <w:b/>
          <w:bCs/>
          <w:snapToGrid w:val="0"/>
          <w:kern w:val="0"/>
          <w:szCs w:val="21"/>
          <w:highlight w:val="none"/>
          <w:u w:val="single"/>
        </w:rPr>
        <w:t xml:space="preserve">￥      </w:t>
      </w:r>
      <w:r>
        <w:rPr>
          <w:rFonts w:ascii="Times New Roman" w:hAnsi="Times New Roman" w:cs="Times New Roman"/>
          <w:b/>
          <w:bCs/>
          <w:snapToGrid w:val="0"/>
          <w:kern w:val="0"/>
          <w:szCs w:val="21"/>
          <w:highlight w:val="none"/>
        </w:rPr>
        <w:t>万元，</w:t>
      </w:r>
      <w:r>
        <w:rPr>
          <w:rFonts w:ascii="Times New Roman" w:hAnsi="Times New Roman" w:cs="Times New Roman"/>
          <w:szCs w:val="21"/>
          <w:highlight w:val="none"/>
        </w:rPr>
        <w:t>中标</w:t>
      </w:r>
      <w:r>
        <w:rPr>
          <w:rFonts w:hint="eastAsia" w:ascii="Times New Roman" w:hAnsi="Times New Roman" w:cs="Times New Roman"/>
          <w:szCs w:val="21"/>
          <w:highlight w:val="none"/>
        </w:rPr>
        <w:t>费</w:t>
      </w:r>
      <w:r>
        <w:rPr>
          <w:rFonts w:ascii="Times New Roman" w:hAnsi="Times New Roman" w:cs="Times New Roman"/>
          <w:szCs w:val="21"/>
          <w:highlight w:val="none"/>
        </w:rPr>
        <w:t>率</w:t>
      </w:r>
      <w:r>
        <w:rPr>
          <w:rFonts w:hint="eastAsia" w:ascii="Times New Roman" w:hAnsi="Times New Roman" w:cs="Times New Roman"/>
          <w:szCs w:val="21"/>
          <w:highlight w:val="none"/>
        </w:rPr>
        <w:t>为</w:t>
      </w:r>
      <w:r>
        <w:rPr>
          <w:rFonts w:ascii="Times New Roman" w:hAnsi="Times New Roman" w:cs="Times New Roman"/>
          <w:b/>
          <w:bCs/>
          <w:snapToGrid w:val="0"/>
          <w:kern w:val="0"/>
          <w:szCs w:val="21"/>
          <w:highlight w:val="none"/>
          <w:u w:val="single"/>
        </w:rPr>
        <w:t xml:space="preserve">       </w:t>
      </w:r>
      <w:r>
        <w:rPr>
          <w:rFonts w:ascii="Times New Roman" w:hAnsi="Times New Roman" w:cs="Times New Roman"/>
          <w:bCs/>
          <w:szCs w:val="21"/>
          <w:highlight w:val="none"/>
          <w:u w:val="single"/>
        </w:rPr>
        <w:t>%</w:t>
      </w:r>
      <w:r>
        <w:rPr>
          <w:rFonts w:ascii="Times New Roman" w:hAnsi="Times New Roman" w:cs="Times New Roman"/>
          <w:b/>
          <w:bCs/>
          <w:snapToGrid w:val="0"/>
          <w:kern w:val="0"/>
          <w:szCs w:val="21"/>
          <w:highlight w:val="none"/>
        </w:rPr>
        <w:t>（中标费率</w:t>
      </w:r>
      <w:r>
        <w:rPr>
          <w:rFonts w:cs="Times New Roman" w:asciiTheme="minorEastAsia" w:hAnsiTheme="minorEastAsia" w:eastAsiaTheme="minorEastAsia"/>
          <w:b/>
          <w:bCs/>
          <w:snapToGrid w:val="0"/>
          <w:kern w:val="0"/>
          <w:szCs w:val="21"/>
          <w:highlight w:val="none"/>
        </w:rPr>
        <w:t>=</w:t>
      </w:r>
      <w:r>
        <w:rPr>
          <w:rFonts w:ascii="Times New Roman" w:hAnsi="Times New Roman" w:cs="Times New Roman"/>
          <w:b/>
          <w:bCs/>
          <w:snapToGrid w:val="0"/>
          <w:kern w:val="0"/>
          <w:szCs w:val="21"/>
          <w:highlight w:val="none"/>
        </w:rPr>
        <w:t>设计费中标价</w:t>
      </w:r>
      <w:r>
        <w:rPr>
          <w:rFonts w:cs="Times New Roman" w:asciiTheme="minorEastAsia" w:hAnsiTheme="minorEastAsia" w:eastAsiaTheme="minorEastAsia"/>
          <w:b/>
          <w:bCs/>
          <w:snapToGrid w:val="0"/>
          <w:kern w:val="0"/>
          <w:szCs w:val="21"/>
          <w:highlight w:val="none"/>
        </w:rPr>
        <w:t>/</w:t>
      </w:r>
      <w:r>
        <w:rPr>
          <w:rFonts w:ascii="Times New Roman" w:hAnsi="Times New Roman" w:cs="Times New Roman"/>
          <w:b/>
          <w:bCs/>
          <w:snapToGrid w:val="0"/>
          <w:kern w:val="0"/>
          <w:szCs w:val="21"/>
          <w:highlight w:val="none"/>
        </w:rPr>
        <w:t>建安费的中标价）</w:t>
      </w:r>
      <w:r>
        <w:rPr>
          <w:rFonts w:hint="eastAsia" w:ascii="Times New Roman" w:hAnsi="Times New Roman" w:cs="Times New Roman"/>
          <w:b/>
          <w:bCs/>
          <w:snapToGrid w:val="0"/>
          <w:kern w:val="0"/>
          <w:szCs w:val="21"/>
          <w:highlight w:val="none"/>
        </w:rPr>
        <w:t>。</w:t>
      </w:r>
      <w:r>
        <w:rPr>
          <w:bCs/>
          <w:snapToGrid w:val="0"/>
          <w:kern w:val="0"/>
          <w:szCs w:val="21"/>
          <w:highlight w:val="none"/>
        </w:rPr>
        <w:t>最终</w:t>
      </w:r>
      <w:r>
        <w:rPr>
          <w:rFonts w:hint="eastAsia"/>
          <w:bCs/>
          <w:snapToGrid w:val="0"/>
          <w:kern w:val="0"/>
          <w:szCs w:val="21"/>
          <w:highlight w:val="none"/>
        </w:rPr>
        <w:t>设计费</w:t>
      </w:r>
      <w:r>
        <w:rPr>
          <w:bCs/>
          <w:snapToGrid w:val="0"/>
          <w:kern w:val="0"/>
          <w:szCs w:val="21"/>
          <w:highlight w:val="none"/>
        </w:rPr>
        <w:t>以甲方委托的审核单位审定的结算价为准。</w:t>
      </w:r>
    </w:p>
    <w:p>
      <w:pPr>
        <w:pStyle w:val="24"/>
        <w:adjustRightInd w:val="0"/>
        <w:snapToGrid w:val="0"/>
        <w:spacing w:line="360" w:lineRule="auto"/>
        <w:ind w:firstLine="422" w:firstLineChars="200"/>
        <w:jc w:val="both"/>
        <w:rPr>
          <w:b/>
          <w:bCs/>
          <w:snapToGrid w:val="0"/>
          <w:kern w:val="0"/>
          <w:szCs w:val="21"/>
          <w:highlight w:val="none"/>
        </w:rPr>
      </w:pPr>
      <w:r>
        <w:rPr>
          <w:rFonts w:ascii="Times New Roman" w:hAnsi="Times New Roman" w:cs="Times New Roman" w:eastAsiaTheme="minorEastAsia"/>
          <w:b/>
          <w:bCs/>
          <w:snapToGrid w:val="0"/>
          <w:kern w:val="0"/>
          <w:szCs w:val="21"/>
          <w:highlight w:val="none"/>
        </w:rPr>
        <w:t>3.3</w:t>
      </w:r>
      <w:r>
        <w:rPr>
          <w:bCs/>
          <w:snapToGrid w:val="0"/>
          <w:kern w:val="0"/>
          <w:szCs w:val="21"/>
          <w:highlight w:val="none"/>
        </w:rPr>
        <w:t>临时用水、</w:t>
      </w:r>
      <w:r>
        <w:rPr>
          <w:rFonts w:hint="eastAsia"/>
          <w:bCs/>
          <w:snapToGrid w:val="0"/>
          <w:kern w:val="0"/>
          <w:szCs w:val="21"/>
          <w:highlight w:val="none"/>
        </w:rPr>
        <w:t>永久</w:t>
      </w:r>
      <w:r>
        <w:rPr>
          <w:bCs/>
          <w:snapToGrid w:val="0"/>
          <w:kern w:val="0"/>
          <w:szCs w:val="21"/>
          <w:highlight w:val="none"/>
        </w:rPr>
        <w:t>用水、燃气工程</w:t>
      </w:r>
      <w:r>
        <w:rPr>
          <w:rFonts w:hint="eastAsia"/>
          <w:bCs/>
          <w:snapToGrid w:val="0"/>
          <w:kern w:val="0"/>
          <w:szCs w:val="21"/>
          <w:highlight w:val="none"/>
        </w:rPr>
        <w:t>、临时用电</w:t>
      </w:r>
      <w:r>
        <w:rPr>
          <w:bCs/>
          <w:snapToGrid w:val="0"/>
          <w:kern w:val="0"/>
          <w:szCs w:val="21"/>
          <w:highlight w:val="none"/>
        </w:rPr>
        <w:t>、永久用电</w:t>
      </w:r>
      <w:r>
        <w:rPr>
          <w:snapToGrid w:val="0"/>
          <w:kern w:val="0"/>
          <w:szCs w:val="21"/>
          <w:highlight w:val="none"/>
        </w:rPr>
        <w:t>为</w:t>
      </w:r>
      <w:r>
        <w:rPr>
          <w:rFonts w:hint="eastAsia"/>
          <w:snapToGrid w:val="0"/>
          <w:kern w:val="0"/>
          <w:szCs w:val="21"/>
          <w:highlight w:val="none"/>
        </w:rPr>
        <w:t>承包人</w:t>
      </w:r>
      <w:r>
        <w:rPr>
          <w:snapToGrid w:val="0"/>
          <w:kern w:val="0"/>
          <w:szCs w:val="21"/>
          <w:highlight w:val="none"/>
        </w:rPr>
        <w:t>所承接的专项工程设计内容，</w:t>
      </w:r>
      <w:r>
        <w:rPr>
          <w:rFonts w:hint="eastAsia"/>
          <w:snapToGrid w:val="0"/>
          <w:kern w:val="0"/>
          <w:szCs w:val="21"/>
          <w:highlight w:val="none"/>
        </w:rPr>
        <w:t>若</w:t>
      </w:r>
      <w:r>
        <w:rPr>
          <w:snapToGrid w:val="0"/>
          <w:kern w:val="0"/>
          <w:szCs w:val="21"/>
          <w:highlight w:val="none"/>
        </w:rPr>
        <w:t>由于</w:t>
      </w:r>
      <w:r>
        <w:rPr>
          <w:rFonts w:hint="eastAsia"/>
          <w:snapToGrid w:val="0"/>
          <w:kern w:val="0"/>
          <w:szCs w:val="21"/>
          <w:highlight w:val="none"/>
        </w:rPr>
        <w:t>承包人</w:t>
      </w:r>
      <w:r>
        <w:rPr>
          <w:snapToGrid w:val="0"/>
          <w:kern w:val="0"/>
          <w:szCs w:val="21"/>
          <w:highlight w:val="none"/>
        </w:rPr>
        <w:t>自身的资质及所属设计人员的限制，或</w:t>
      </w:r>
      <w:r>
        <w:rPr>
          <w:rFonts w:hint="eastAsia"/>
          <w:snapToGrid w:val="0"/>
          <w:kern w:val="0"/>
          <w:szCs w:val="21"/>
          <w:highlight w:val="none"/>
        </w:rPr>
        <w:t>承包人</w:t>
      </w:r>
      <w:r>
        <w:rPr>
          <w:snapToGrid w:val="0"/>
          <w:kern w:val="0"/>
          <w:szCs w:val="21"/>
          <w:highlight w:val="none"/>
        </w:rPr>
        <w:t>指定的专项设计分包单位不能满足</w:t>
      </w:r>
      <w:r>
        <w:rPr>
          <w:rFonts w:hint="eastAsia"/>
          <w:snapToGrid w:val="0"/>
          <w:kern w:val="0"/>
          <w:szCs w:val="21"/>
          <w:highlight w:val="none"/>
        </w:rPr>
        <w:t>发包人</w:t>
      </w:r>
      <w:r>
        <w:rPr>
          <w:snapToGrid w:val="0"/>
          <w:kern w:val="0"/>
          <w:szCs w:val="21"/>
          <w:highlight w:val="none"/>
        </w:rPr>
        <w:t>的要求，</w:t>
      </w:r>
      <w:r>
        <w:rPr>
          <w:rFonts w:hint="eastAsia"/>
          <w:snapToGrid w:val="0"/>
          <w:kern w:val="0"/>
          <w:szCs w:val="21"/>
          <w:highlight w:val="none"/>
        </w:rPr>
        <w:t>承包人</w:t>
      </w:r>
      <w:r>
        <w:rPr>
          <w:snapToGrid w:val="0"/>
          <w:kern w:val="0"/>
          <w:szCs w:val="21"/>
          <w:highlight w:val="none"/>
        </w:rPr>
        <w:t>可进行分包或由</w:t>
      </w:r>
      <w:r>
        <w:rPr>
          <w:rFonts w:hint="eastAsia"/>
          <w:snapToGrid w:val="0"/>
          <w:kern w:val="0"/>
          <w:szCs w:val="21"/>
          <w:highlight w:val="none"/>
        </w:rPr>
        <w:t>发包人</w:t>
      </w:r>
      <w:r>
        <w:rPr>
          <w:snapToGrid w:val="0"/>
          <w:kern w:val="0"/>
          <w:szCs w:val="21"/>
          <w:highlight w:val="none"/>
        </w:rPr>
        <w:t>将该项专业设计内容指定分包给专业设计单位；</w:t>
      </w:r>
      <w:r>
        <w:rPr>
          <w:rFonts w:hint="eastAsia"/>
          <w:snapToGrid w:val="0"/>
          <w:kern w:val="0"/>
          <w:szCs w:val="21"/>
          <w:highlight w:val="none"/>
        </w:rPr>
        <w:t>承包人</w:t>
      </w:r>
      <w:r>
        <w:rPr>
          <w:snapToGrid w:val="0"/>
          <w:kern w:val="0"/>
          <w:szCs w:val="21"/>
          <w:highlight w:val="none"/>
        </w:rPr>
        <w:t>因自行分包进行设计的，须事先征得</w:t>
      </w:r>
      <w:r>
        <w:rPr>
          <w:rFonts w:hint="eastAsia"/>
          <w:snapToGrid w:val="0"/>
          <w:kern w:val="0"/>
          <w:szCs w:val="21"/>
          <w:highlight w:val="none"/>
        </w:rPr>
        <w:t>发包人</w:t>
      </w:r>
      <w:r>
        <w:rPr>
          <w:snapToGrid w:val="0"/>
          <w:kern w:val="0"/>
          <w:szCs w:val="21"/>
          <w:highlight w:val="none"/>
        </w:rPr>
        <w:t>书面同意。</w:t>
      </w:r>
      <w:r>
        <w:rPr>
          <w:b/>
          <w:bCs/>
          <w:snapToGrid w:val="0"/>
          <w:kern w:val="0"/>
          <w:szCs w:val="21"/>
          <w:highlight w:val="none"/>
        </w:rPr>
        <w:t>若</w:t>
      </w:r>
      <w:r>
        <w:rPr>
          <w:rFonts w:hint="eastAsia"/>
          <w:b/>
          <w:bCs/>
          <w:snapToGrid w:val="0"/>
          <w:kern w:val="0"/>
          <w:szCs w:val="21"/>
          <w:highlight w:val="none"/>
        </w:rPr>
        <w:t>承包人</w:t>
      </w:r>
      <w:r>
        <w:rPr>
          <w:b/>
          <w:bCs/>
          <w:snapToGrid w:val="0"/>
          <w:kern w:val="0"/>
          <w:szCs w:val="21"/>
          <w:highlight w:val="none"/>
        </w:rPr>
        <w:t>未能按照</w:t>
      </w:r>
      <w:r>
        <w:rPr>
          <w:rFonts w:hint="eastAsia"/>
          <w:b/>
          <w:bCs/>
          <w:snapToGrid w:val="0"/>
          <w:kern w:val="0"/>
          <w:szCs w:val="21"/>
          <w:highlight w:val="none"/>
        </w:rPr>
        <w:t>发包人</w:t>
      </w:r>
      <w:r>
        <w:rPr>
          <w:b/>
          <w:bCs/>
          <w:snapToGrid w:val="0"/>
          <w:kern w:val="0"/>
          <w:szCs w:val="21"/>
          <w:highlight w:val="none"/>
        </w:rPr>
        <w:t>要求完成以上专业内容的设计工作，</w:t>
      </w:r>
      <w:r>
        <w:rPr>
          <w:rFonts w:hint="eastAsia"/>
          <w:b/>
          <w:bCs/>
          <w:snapToGrid w:val="0"/>
          <w:kern w:val="0"/>
          <w:szCs w:val="21"/>
          <w:highlight w:val="none"/>
        </w:rPr>
        <w:t>发包人</w:t>
      </w:r>
      <w:r>
        <w:rPr>
          <w:b/>
          <w:bCs/>
          <w:snapToGrid w:val="0"/>
          <w:kern w:val="0"/>
          <w:szCs w:val="21"/>
          <w:highlight w:val="none"/>
        </w:rPr>
        <w:t>有权自行将该部分设计任务另行发包，并由</w:t>
      </w:r>
      <w:r>
        <w:rPr>
          <w:rFonts w:hint="eastAsia"/>
          <w:b/>
          <w:bCs/>
          <w:snapToGrid w:val="0"/>
          <w:kern w:val="0"/>
          <w:szCs w:val="21"/>
          <w:highlight w:val="none"/>
        </w:rPr>
        <w:t>发包人</w:t>
      </w:r>
      <w:r>
        <w:rPr>
          <w:b/>
          <w:bCs/>
          <w:snapToGrid w:val="0"/>
          <w:kern w:val="0"/>
          <w:szCs w:val="21"/>
          <w:highlight w:val="none"/>
        </w:rPr>
        <w:t>从</w:t>
      </w:r>
      <w:r>
        <w:rPr>
          <w:rFonts w:hint="eastAsia"/>
          <w:b/>
          <w:bCs/>
          <w:snapToGrid w:val="0"/>
          <w:kern w:val="0"/>
          <w:szCs w:val="21"/>
          <w:highlight w:val="none"/>
        </w:rPr>
        <w:t>承包人</w:t>
      </w:r>
      <w:r>
        <w:rPr>
          <w:b/>
          <w:bCs/>
          <w:snapToGrid w:val="0"/>
          <w:kern w:val="0"/>
          <w:szCs w:val="21"/>
          <w:highlight w:val="none"/>
        </w:rPr>
        <w:t>设计费总额中扣除相应部分的设计费用，</w:t>
      </w:r>
      <w:r>
        <w:rPr>
          <w:b/>
          <w:bCs/>
          <w:snapToGrid w:val="0"/>
          <w:szCs w:val="21"/>
          <w:highlight w:val="none"/>
        </w:rPr>
        <w:t>并按本合同</w:t>
      </w:r>
      <w:r>
        <w:rPr>
          <w:rFonts w:hint="eastAsia"/>
          <w:b/>
          <w:bCs/>
          <w:snapToGrid w:val="0"/>
          <w:szCs w:val="21"/>
          <w:highlight w:val="none"/>
        </w:rPr>
        <w:t>条款</w:t>
      </w:r>
      <w:r>
        <w:rPr>
          <w:b/>
          <w:bCs/>
          <w:snapToGrid w:val="0"/>
          <w:szCs w:val="21"/>
          <w:highlight w:val="none"/>
        </w:rPr>
        <w:t>第</w:t>
      </w:r>
      <w:r>
        <w:rPr>
          <w:rFonts w:hint="eastAsia"/>
          <w:b/>
          <w:bCs/>
          <w:snapToGrid w:val="0"/>
          <w:szCs w:val="21"/>
          <w:highlight w:val="none"/>
        </w:rPr>
        <w:t>十章第</w:t>
      </w:r>
      <w:r>
        <w:rPr>
          <w:b/>
          <w:bCs/>
          <w:snapToGrid w:val="0"/>
          <w:szCs w:val="21"/>
          <w:highlight w:val="none"/>
        </w:rPr>
        <w:t>19条的相关约定承担违约责任。</w:t>
      </w:r>
    </w:p>
    <w:p>
      <w:pPr>
        <w:pStyle w:val="24"/>
        <w:adjustRightInd w:val="0"/>
        <w:snapToGrid w:val="0"/>
        <w:spacing w:line="360" w:lineRule="auto"/>
        <w:ind w:firstLine="422" w:firstLineChars="200"/>
        <w:jc w:val="both"/>
        <w:rPr>
          <w:b/>
          <w:bCs/>
          <w:snapToGrid w:val="0"/>
          <w:kern w:val="0"/>
          <w:szCs w:val="21"/>
          <w:highlight w:val="none"/>
        </w:rPr>
      </w:pPr>
      <w:r>
        <w:rPr>
          <w:rFonts w:hint="eastAsia" w:ascii="Times New Roman" w:hAnsi="Times New Roman" w:cs="Times New Roman"/>
          <w:b/>
          <w:bCs/>
          <w:snapToGrid w:val="0"/>
          <w:kern w:val="0"/>
          <w:szCs w:val="21"/>
          <w:highlight w:val="none"/>
        </w:rPr>
        <w:t>3.</w:t>
      </w:r>
      <w:r>
        <w:rPr>
          <w:rFonts w:ascii="Times New Roman" w:hAnsi="Times New Roman" w:cs="Times New Roman"/>
          <w:b/>
          <w:bCs/>
          <w:snapToGrid w:val="0"/>
          <w:kern w:val="0"/>
          <w:szCs w:val="21"/>
          <w:highlight w:val="none"/>
        </w:rPr>
        <w:t>4</w:t>
      </w:r>
      <w:r>
        <w:rPr>
          <w:b/>
          <w:bCs/>
          <w:snapToGrid w:val="0"/>
          <w:kern w:val="0"/>
          <w:szCs w:val="21"/>
          <w:highlight w:val="none"/>
        </w:rPr>
        <w:t>特别提醒：设计费总额为本合同项目的全部设计费用，包含但不限于以下费用：根据相关行政主管部门、行业主管部门的审批意见和施工图审查单位的审查、</w:t>
      </w:r>
      <w:r>
        <w:rPr>
          <w:rFonts w:hint="eastAsia"/>
          <w:b/>
          <w:bCs/>
          <w:snapToGrid w:val="0"/>
          <w:kern w:val="0"/>
          <w:szCs w:val="21"/>
          <w:highlight w:val="none"/>
        </w:rPr>
        <w:t>发包人</w:t>
      </w:r>
      <w:r>
        <w:rPr>
          <w:b/>
          <w:bCs/>
          <w:snapToGrid w:val="0"/>
          <w:kern w:val="0"/>
          <w:szCs w:val="21"/>
          <w:highlight w:val="none"/>
        </w:rPr>
        <w:t>的设计评审、</w:t>
      </w:r>
      <w:r>
        <w:rPr>
          <w:rFonts w:hint="eastAsia"/>
          <w:b/>
          <w:bCs/>
          <w:snapToGrid w:val="0"/>
          <w:kern w:val="0"/>
          <w:szCs w:val="21"/>
          <w:highlight w:val="none"/>
        </w:rPr>
        <w:t>发包人</w:t>
      </w:r>
      <w:r>
        <w:rPr>
          <w:b/>
          <w:bCs/>
          <w:snapToGrid w:val="0"/>
          <w:kern w:val="0"/>
          <w:szCs w:val="21"/>
          <w:highlight w:val="none"/>
        </w:rPr>
        <w:t>组织的专业人士的意见对设计成果文件进行的修改完善费用</w:t>
      </w:r>
      <w:r>
        <w:rPr>
          <w:rFonts w:hint="eastAsia"/>
          <w:b/>
          <w:bCs/>
          <w:snapToGrid w:val="0"/>
          <w:kern w:val="0"/>
          <w:szCs w:val="21"/>
          <w:highlight w:val="none"/>
        </w:rPr>
        <w:t>（</w:t>
      </w:r>
      <w:r>
        <w:rPr>
          <w:b/>
          <w:bCs/>
          <w:snapToGrid w:val="0"/>
          <w:kern w:val="0"/>
          <w:szCs w:val="21"/>
          <w:highlight w:val="none"/>
        </w:rPr>
        <w:t>含相应的建筑平面图、立面图、剖面图及三维的效果图）；配合报建报批所产生的所有相关费用（除行政事业性收费由</w:t>
      </w:r>
      <w:r>
        <w:rPr>
          <w:rFonts w:hint="eastAsia"/>
          <w:b/>
          <w:bCs/>
          <w:snapToGrid w:val="0"/>
          <w:kern w:val="0"/>
          <w:szCs w:val="21"/>
          <w:highlight w:val="none"/>
        </w:rPr>
        <w:t>发包人</w:t>
      </w:r>
      <w:r>
        <w:rPr>
          <w:b/>
          <w:bCs/>
          <w:snapToGrid w:val="0"/>
          <w:kern w:val="0"/>
          <w:szCs w:val="21"/>
          <w:highlight w:val="none"/>
        </w:rPr>
        <w:t>负责缴纳外），</w:t>
      </w:r>
      <w:r>
        <w:rPr>
          <w:rFonts w:hint="eastAsia"/>
          <w:b/>
          <w:bCs/>
          <w:snapToGrid w:val="0"/>
          <w:kern w:val="0"/>
          <w:szCs w:val="21"/>
          <w:highlight w:val="none"/>
        </w:rPr>
        <w:t>协助</w:t>
      </w:r>
      <w:r>
        <w:rPr>
          <w:b/>
          <w:bCs/>
          <w:snapToGrid w:val="0"/>
          <w:kern w:val="0"/>
          <w:szCs w:val="21"/>
          <w:highlight w:val="none"/>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Pr>
          <w:b/>
          <w:bCs/>
          <w:snapToGrid w:val="0"/>
          <w:spacing w:val="-2"/>
          <w:kern w:val="0"/>
          <w:szCs w:val="21"/>
          <w:highlight w:val="none"/>
        </w:rPr>
        <w:t>外）、会务费等。发包人不再支付合同中费用外的任何其它费用。</w:t>
      </w:r>
    </w:p>
    <w:p>
      <w:pPr>
        <w:adjustRightInd w:val="0"/>
        <w:snapToGrid w:val="0"/>
        <w:spacing w:line="360" w:lineRule="auto"/>
        <w:ind w:firstLine="422" w:firstLineChars="200"/>
        <w:rPr>
          <w:b/>
          <w:bCs/>
          <w:snapToGrid w:val="0"/>
          <w:kern w:val="0"/>
          <w:szCs w:val="21"/>
          <w:highlight w:val="none"/>
        </w:rPr>
      </w:pPr>
      <w:r>
        <w:rPr>
          <w:b/>
          <w:bCs/>
          <w:snapToGrid w:val="0"/>
          <w:kern w:val="0"/>
          <w:szCs w:val="21"/>
          <w:highlight w:val="none"/>
        </w:rPr>
        <w:t>4、</w:t>
      </w:r>
      <w:r>
        <w:rPr>
          <w:bCs/>
          <w:snapToGrid w:val="0"/>
          <w:kern w:val="0"/>
          <w:szCs w:val="21"/>
          <w:highlight w:val="none"/>
        </w:rPr>
        <w:t>组成合同的文件</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4.1</w:t>
      </w:r>
      <w:r>
        <w:rPr>
          <w:bCs/>
          <w:snapToGrid w:val="0"/>
          <w:kern w:val="0"/>
          <w:szCs w:val="21"/>
          <w:highlight w:val="none"/>
        </w:rPr>
        <w:t>下列文件应被认为是组成本合同的一部分，并互为补充和解释，如各文件存在冲突之处，以如下排列次序在前者优先适用：</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（1）本合同履行期间双方签订的补充合同（协议）或修正文件；</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（2）本合同协议书；</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（3）本合同专用条款；</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（4）国家及广东省、广州市及花都区的标准、规范及有关技术文件；</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（5）组成本合同的其他文件（含招标文件、招标答疑会纪要、</w:t>
      </w:r>
      <w:r>
        <w:rPr>
          <w:rFonts w:hint="eastAsia"/>
          <w:bCs/>
          <w:snapToGrid w:val="0"/>
          <w:kern w:val="0"/>
          <w:szCs w:val="21"/>
          <w:highlight w:val="none"/>
        </w:rPr>
        <w:t>设计任务书等</w:t>
      </w:r>
      <w:r>
        <w:rPr>
          <w:bCs/>
          <w:snapToGrid w:val="0"/>
          <w:kern w:val="0"/>
          <w:szCs w:val="21"/>
          <w:highlight w:val="none"/>
        </w:rPr>
        <w:t>）。</w:t>
      </w:r>
    </w:p>
    <w:p>
      <w:pPr>
        <w:adjustRightInd w:val="0"/>
        <w:snapToGrid w:val="0"/>
        <w:spacing w:line="360" w:lineRule="auto"/>
        <w:ind w:firstLine="420" w:firstLineChars="200"/>
        <w:rPr>
          <w:bCs/>
          <w:snapToGrid w:val="0"/>
          <w:kern w:val="0"/>
          <w:szCs w:val="21"/>
          <w:highlight w:val="none"/>
        </w:rPr>
      </w:pPr>
      <w:r>
        <w:rPr>
          <w:snapToGrid w:val="0"/>
          <w:kern w:val="0"/>
          <w:szCs w:val="21"/>
          <w:highlight w:val="none"/>
        </w:rPr>
        <w:t>通过上述顺序解释仍无法明确的事项，由</w:t>
      </w:r>
      <w:r>
        <w:rPr>
          <w:rFonts w:hint="eastAsia"/>
          <w:bCs/>
          <w:snapToGrid w:val="0"/>
          <w:kern w:val="0"/>
          <w:szCs w:val="21"/>
          <w:highlight w:val="none"/>
        </w:rPr>
        <w:t>双方</w:t>
      </w:r>
      <w:r>
        <w:rPr>
          <w:snapToGrid w:val="0"/>
          <w:kern w:val="0"/>
          <w:szCs w:val="21"/>
          <w:highlight w:val="none"/>
        </w:rPr>
        <w:t>协商解决；如协商不成，由</w:t>
      </w:r>
      <w:r>
        <w:rPr>
          <w:rFonts w:hint="eastAsia"/>
          <w:bCs/>
          <w:snapToGrid w:val="0"/>
          <w:kern w:val="0"/>
          <w:szCs w:val="21"/>
          <w:highlight w:val="none"/>
        </w:rPr>
        <w:t>发包人</w:t>
      </w:r>
      <w:r>
        <w:rPr>
          <w:snapToGrid w:val="0"/>
          <w:kern w:val="0"/>
          <w:szCs w:val="21"/>
          <w:highlight w:val="none"/>
        </w:rPr>
        <w:t>按照公平合理和有利于本合同工程建设的原则作出决定。如</w:t>
      </w:r>
      <w:r>
        <w:rPr>
          <w:rFonts w:hint="eastAsia"/>
          <w:bCs/>
          <w:snapToGrid w:val="0"/>
          <w:kern w:val="0"/>
          <w:szCs w:val="21"/>
          <w:highlight w:val="none"/>
        </w:rPr>
        <w:t>承包人</w:t>
      </w:r>
      <w:r>
        <w:rPr>
          <w:snapToGrid w:val="0"/>
          <w:kern w:val="0"/>
          <w:szCs w:val="21"/>
          <w:highlight w:val="none"/>
        </w:rPr>
        <w:t>对此决定不服的，应在接到</w:t>
      </w:r>
      <w:r>
        <w:rPr>
          <w:rFonts w:hint="eastAsia"/>
          <w:bCs/>
          <w:snapToGrid w:val="0"/>
          <w:kern w:val="0"/>
          <w:szCs w:val="21"/>
          <w:highlight w:val="none"/>
        </w:rPr>
        <w:t>发包人</w:t>
      </w:r>
      <w:r>
        <w:rPr>
          <w:snapToGrid w:val="0"/>
          <w:kern w:val="0"/>
          <w:szCs w:val="21"/>
          <w:highlight w:val="none"/>
        </w:rPr>
        <w:t>决定之日起三日内提出书面异议；如期满不提出书面异议的，视为同意</w:t>
      </w:r>
      <w:r>
        <w:rPr>
          <w:rFonts w:hint="eastAsia"/>
          <w:bCs/>
          <w:snapToGrid w:val="0"/>
          <w:kern w:val="0"/>
          <w:szCs w:val="21"/>
          <w:highlight w:val="none"/>
        </w:rPr>
        <w:t>发包人</w:t>
      </w:r>
      <w:r>
        <w:rPr>
          <w:snapToGrid w:val="0"/>
          <w:kern w:val="0"/>
          <w:szCs w:val="21"/>
          <w:highlight w:val="none"/>
        </w:rPr>
        <w:t>的决定。</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4.2</w:t>
      </w:r>
      <w:r>
        <w:rPr>
          <w:bCs/>
          <w:snapToGrid w:val="0"/>
          <w:kern w:val="0"/>
          <w:szCs w:val="21"/>
          <w:highlight w:val="none"/>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rPr>
          <w:bCs/>
          <w:snapToGrid w:val="0"/>
          <w:kern w:val="0"/>
          <w:szCs w:val="21"/>
          <w:highlight w:val="none"/>
        </w:rPr>
      </w:pPr>
      <w:r>
        <w:rPr>
          <w:b/>
          <w:snapToGrid w:val="0"/>
          <w:kern w:val="0"/>
          <w:szCs w:val="21"/>
          <w:highlight w:val="none"/>
        </w:rPr>
        <w:t xml:space="preserve">    5、</w:t>
      </w:r>
      <w:r>
        <w:rPr>
          <w:rFonts w:hint="eastAsia"/>
          <w:bCs/>
          <w:snapToGrid w:val="0"/>
          <w:kern w:val="0"/>
          <w:szCs w:val="21"/>
          <w:highlight w:val="none"/>
        </w:rPr>
        <w:t>承包人</w:t>
      </w:r>
      <w:r>
        <w:rPr>
          <w:bCs/>
          <w:snapToGrid w:val="0"/>
          <w:kern w:val="0"/>
          <w:szCs w:val="21"/>
          <w:highlight w:val="none"/>
        </w:rPr>
        <w:t>必须</w:t>
      </w:r>
      <w:r>
        <w:rPr>
          <w:rFonts w:hint="eastAsia"/>
          <w:bCs/>
          <w:snapToGrid w:val="0"/>
          <w:kern w:val="0"/>
          <w:szCs w:val="21"/>
          <w:highlight w:val="none"/>
        </w:rPr>
        <w:t>自行</w:t>
      </w:r>
      <w:r>
        <w:rPr>
          <w:bCs/>
          <w:snapToGrid w:val="0"/>
          <w:kern w:val="0"/>
          <w:szCs w:val="21"/>
          <w:highlight w:val="none"/>
        </w:rPr>
        <w:t>完成设计项目，未取得</w:t>
      </w:r>
      <w:r>
        <w:rPr>
          <w:rFonts w:hint="eastAsia"/>
          <w:bCs/>
          <w:snapToGrid w:val="0"/>
          <w:kern w:val="0"/>
          <w:szCs w:val="21"/>
          <w:highlight w:val="none"/>
        </w:rPr>
        <w:t>发包人</w:t>
      </w:r>
      <w:r>
        <w:rPr>
          <w:bCs/>
          <w:snapToGrid w:val="0"/>
          <w:kern w:val="0"/>
          <w:szCs w:val="21"/>
          <w:highlight w:val="none"/>
        </w:rPr>
        <w:t>书面同意，不得委托或分包他人完成，凡参与本项目的设计人员必须</w:t>
      </w:r>
      <w:r>
        <w:rPr>
          <w:rFonts w:hint="eastAsia"/>
          <w:bCs/>
          <w:snapToGrid w:val="0"/>
          <w:kern w:val="0"/>
          <w:szCs w:val="21"/>
          <w:highlight w:val="none"/>
        </w:rPr>
        <w:t>为本单位员工</w:t>
      </w:r>
      <w:r>
        <w:rPr>
          <w:bCs/>
          <w:snapToGrid w:val="0"/>
          <w:kern w:val="0"/>
          <w:szCs w:val="21"/>
          <w:highlight w:val="none"/>
        </w:rPr>
        <w:t>。否则按合同条款的有关约定承担违约责任。</w:t>
      </w:r>
    </w:p>
    <w:p>
      <w:pPr>
        <w:adjustRightInd w:val="0"/>
        <w:snapToGrid w:val="0"/>
        <w:spacing w:line="360" w:lineRule="auto"/>
        <w:ind w:firstLine="422" w:firstLineChars="200"/>
        <w:rPr>
          <w:bCs/>
          <w:snapToGrid w:val="0"/>
          <w:kern w:val="0"/>
          <w:szCs w:val="21"/>
          <w:highlight w:val="none"/>
        </w:rPr>
      </w:pPr>
      <w:r>
        <w:rPr>
          <w:b/>
          <w:snapToGrid w:val="0"/>
          <w:kern w:val="0"/>
          <w:szCs w:val="21"/>
          <w:highlight w:val="none"/>
        </w:rPr>
        <w:t>6、</w:t>
      </w:r>
      <w:r>
        <w:rPr>
          <w:rFonts w:hint="eastAsia"/>
          <w:bCs/>
          <w:snapToGrid w:val="0"/>
          <w:kern w:val="0"/>
          <w:szCs w:val="21"/>
          <w:highlight w:val="none"/>
        </w:rPr>
        <w:t>发包人</w:t>
      </w:r>
      <w:r>
        <w:rPr>
          <w:bCs/>
          <w:snapToGrid w:val="0"/>
          <w:kern w:val="0"/>
          <w:szCs w:val="21"/>
          <w:highlight w:val="none"/>
        </w:rPr>
        <w:t>如有需要，可要求</w:t>
      </w:r>
      <w:r>
        <w:rPr>
          <w:rFonts w:hint="eastAsia"/>
          <w:bCs/>
          <w:snapToGrid w:val="0"/>
          <w:kern w:val="0"/>
          <w:szCs w:val="21"/>
          <w:highlight w:val="none"/>
        </w:rPr>
        <w:t>承包人</w:t>
      </w:r>
      <w:r>
        <w:rPr>
          <w:bCs/>
          <w:snapToGrid w:val="0"/>
          <w:kern w:val="0"/>
          <w:szCs w:val="21"/>
          <w:highlight w:val="none"/>
        </w:rPr>
        <w:t>对设计项目的设计事宜作出详细的说明或解释</w:t>
      </w:r>
    </w:p>
    <w:p>
      <w:pPr>
        <w:adjustRightInd w:val="0"/>
        <w:snapToGrid w:val="0"/>
        <w:spacing w:line="360" w:lineRule="auto"/>
        <w:ind w:firstLine="422" w:firstLineChars="200"/>
        <w:rPr>
          <w:bCs/>
          <w:snapToGrid w:val="0"/>
          <w:kern w:val="0"/>
          <w:szCs w:val="21"/>
          <w:highlight w:val="none"/>
        </w:rPr>
      </w:pPr>
      <w:r>
        <w:rPr>
          <w:b/>
          <w:snapToGrid w:val="0"/>
          <w:kern w:val="0"/>
          <w:szCs w:val="21"/>
          <w:highlight w:val="none"/>
        </w:rPr>
        <w:t>7、</w:t>
      </w:r>
      <w:r>
        <w:rPr>
          <w:rFonts w:hint="eastAsia"/>
          <w:bCs/>
          <w:snapToGrid w:val="0"/>
          <w:kern w:val="0"/>
          <w:szCs w:val="21"/>
          <w:highlight w:val="none"/>
        </w:rPr>
        <w:t>承包人</w:t>
      </w:r>
      <w:r>
        <w:rPr>
          <w:bCs/>
          <w:snapToGrid w:val="0"/>
          <w:kern w:val="0"/>
          <w:szCs w:val="21"/>
          <w:highlight w:val="none"/>
        </w:rPr>
        <w:t>应在收到</w:t>
      </w:r>
      <w:r>
        <w:rPr>
          <w:rFonts w:hint="eastAsia"/>
          <w:bCs/>
          <w:snapToGrid w:val="0"/>
          <w:kern w:val="0"/>
          <w:szCs w:val="21"/>
          <w:highlight w:val="none"/>
        </w:rPr>
        <w:t>发包人</w:t>
      </w:r>
      <w:r>
        <w:rPr>
          <w:bCs/>
          <w:snapToGrid w:val="0"/>
          <w:kern w:val="0"/>
          <w:szCs w:val="21"/>
          <w:highlight w:val="none"/>
        </w:rPr>
        <w:t>通知之日起5日内以书面形式向</w:t>
      </w:r>
      <w:r>
        <w:rPr>
          <w:rFonts w:hint="eastAsia"/>
          <w:bCs/>
          <w:snapToGrid w:val="0"/>
          <w:kern w:val="0"/>
          <w:szCs w:val="21"/>
          <w:highlight w:val="none"/>
        </w:rPr>
        <w:t>发包人</w:t>
      </w:r>
      <w:r>
        <w:rPr>
          <w:bCs/>
          <w:snapToGrid w:val="0"/>
          <w:kern w:val="0"/>
          <w:szCs w:val="21"/>
          <w:highlight w:val="none"/>
        </w:rPr>
        <w:t>提交其法定代表人、项目负责人的姓名、身份证复印件、职务、职称、联系方式（包括办公电话、手机、传真号码）、通信地址等信息作为合同附件。</w:t>
      </w:r>
    </w:p>
    <w:p>
      <w:pPr>
        <w:adjustRightInd w:val="0"/>
        <w:snapToGrid w:val="0"/>
        <w:spacing w:line="360" w:lineRule="auto"/>
        <w:ind w:firstLine="422" w:firstLineChars="200"/>
        <w:rPr>
          <w:bCs/>
          <w:snapToGrid w:val="0"/>
          <w:kern w:val="0"/>
          <w:szCs w:val="21"/>
          <w:highlight w:val="none"/>
        </w:rPr>
      </w:pPr>
      <w:r>
        <w:rPr>
          <w:b/>
          <w:snapToGrid w:val="0"/>
          <w:kern w:val="0"/>
          <w:szCs w:val="21"/>
          <w:highlight w:val="none"/>
        </w:rPr>
        <w:t>8、</w:t>
      </w:r>
      <w:r>
        <w:rPr>
          <w:bCs/>
          <w:snapToGrid w:val="0"/>
          <w:kern w:val="0"/>
          <w:szCs w:val="21"/>
          <w:highlight w:val="none"/>
        </w:rPr>
        <w:t>在本合同有效期内，</w:t>
      </w:r>
      <w:r>
        <w:rPr>
          <w:rFonts w:hint="eastAsia"/>
          <w:bCs/>
          <w:snapToGrid w:val="0"/>
          <w:kern w:val="0"/>
          <w:szCs w:val="21"/>
          <w:highlight w:val="none"/>
        </w:rPr>
        <w:t>承包人</w:t>
      </w:r>
      <w:r>
        <w:rPr>
          <w:bCs/>
          <w:snapToGrid w:val="0"/>
          <w:kern w:val="0"/>
          <w:szCs w:val="21"/>
          <w:highlight w:val="none"/>
        </w:rPr>
        <w:t>的单位名称变更的，应及时以书面形式通知</w:t>
      </w:r>
      <w:r>
        <w:rPr>
          <w:rFonts w:hint="eastAsia"/>
          <w:bCs/>
          <w:snapToGrid w:val="0"/>
          <w:kern w:val="0"/>
          <w:szCs w:val="21"/>
          <w:highlight w:val="none"/>
        </w:rPr>
        <w:t>发包人</w:t>
      </w:r>
      <w:r>
        <w:rPr>
          <w:bCs/>
          <w:snapToGrid w:val="0"/>
          <w:kern w:val="0"/>
          <w:szCs w:val="21"/>
          <w:highlight w:val="none"/>
        </w:rPr>
        <w:t>并附上变更登记资料；</w:t>
      </w:r>
      <w:r>
        <w:rPr>
          <w:rFonts w:hint="eastAsia"/>
          <w:bCs/>
          <w:snapToGrid w:val="0"/>
          <w:kern w:val="0"/>
          <w:szCs w:val="21"/>
          <w:highlight w:val="none"/>
        </w:rPr>
        <w:t>承包人</w:t>
      </w:r>
      <w:r>
        <w:rPr>
          <w:bCs/>
          <w:snapToGrid w:val="0"/>
          <w:kern w:val="0"/>
          <w:szCs w:val="21"/>
          <w:highlight w:val="none"/>
        </w:rPr>
        <w:t>法定代表人变更的，应在变更后15日内向</w:t>
      </w:r>
      <w:r>
        <w:rPr>
          <w:rFonts w:hint="eastAsia"/>
          <w:bCs/>
          <w:snapToGrid w:val="0"/>
          <w:kern w:val="0"/>
          <w:szCs w:val="21"/>
          <w:highlight w:val="none"/>
        </w:rPr>
        <w:t>发包人</w:t>
      </w:r>
      <w:r>
        <w:rPr>
          <w:bCs/>
          <w:snapToGrid w:val="0"/>
          <w:kern w:val="0"/>
          <w:szCs w:val="21"/>
          <w:highlight w:val="none"/>
        </w:rPr>
        <w:t>提交新法定代表人的姓名、身份证复印件、职务、职称、联系电话、通信地址等信息。</w:t>
      </w:r>
    </w:p>
    <w:p>
      <w:pPr>
        <w:adjustRightInd w:val="0"/>
        <w:snapToGrid w:val="0"/>
        <w:spacing w:line="360" w:lineRule="auto"/>
        <w:ind w:firstLine="422" w:firstLineChars="200"/>
        <w:rPr>
          <w:bCs/>
          <w:snapToGrid w:val="0"/>
          <w:kern w:val="0"/>
          <w:szCs w:val="21"/>
          <w:highlight w:val="none"/>
        </w:rPr>
      </w:pPr>
      <w:r>
        <w:rPr>
          <w:b/>
          <w:snapToGrid w:val="0"/>
          <w:kern w:val="0"/>
          <w:szCs w:val="21"/>
          <w:highlight w:val="none"/>
        </w:rPr>
        <w:t>9、</w:t>
      </w:r>
      <w:r>
        <w:rPr>
          <w:bCs/>
          <w:snapToGrid w:val="0"/>
          <w:kern w:val="0"/>
          <w:szCs w:val="21"/>
          <w:highlight w:val="none"/>
        </w:rPr>
        <w:t>在本合同有效期内，未经</w:t>
      </w:r>
      <w:r>
        <w:rPr>
          <w:rFonts w:hint="eastAsia"/>
          <w:bCs/>
          <w:snapToGrid w:val="0"/>
          <w:kern w:val="0"/>
          <w:szCs w:val="21"/>
          <w:highlight w:val="none"/>
        </w:rPr>
        <w:t>发包人</w:t>
      </w:r>
      <w:r>
        <w:rPr>
          <w:bCs/>
          <w:snapToGrid w:val="0"/>
          <w:kern w:val="0"/>
          <w:szCs w:val="21"/>
          <w:highlight w:val="none"/>
        </w:rPr>
        <w:t>同意，</w:t>
      </w:r>
      <w:r>
        <w:rPr>
          <w:rFonts w:hint="eastAsia"/>
          <w:bCs/>
          <w:snapToGrid w:val="0"/>
          <w:kern w:val="0"/>
          <w:szCs w:val="21"/>
          <w:highlight w:val="none"/>
        </w:rPr>
        <w:t>承包人</w:t>
      </w:r>
      <w:r>
        <w:rPr>
          <w:bCs/>
          <w:snapToGrid w:val="0"/>
          <w:kern w:val="0"/>
          <w:szCs w:val="21"/>
          <w:highlight w:val="none"/>
        </w:rPr>
        <w:t>私自更换项目负责人的，除按合同条款的有关约定承担违约责任外，还应在更换后7日内将新项目负责人的姓名、职务、职称、联系电话、通信地址等信息提交给</w:t>
      </w:r>
      <w:r>
        <w:rPr>
          <w:rFonts w:hint="eastAsia"/>
          <w:bCs/>
          <w:snapToGrid w:val="0"/>
          <w:kern w:val="0"/>
          <w:szCs w:val="21"/>
          <w:highlight w:val="none"/>
        </w:rPr>
        <w:t>发包人</w:t>
      </w:r>
      <w:r>
        <w:rPr>
          <w:bCs/>
          <w:snapToGrid w:val="0"/>
          <w:kern w:val="0"/>
          <w:szCs w:val="21"/>
          <w:highlight w:val="none"/>
        </w:rPr>
        <w:t>。</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10、</w:t>
      </w:r>
      <w:r>
        <w:rPr>
          <w:bCs/>
          <w:snapToGrid w:val="0"/>
          <w:kern w:val="0"/>
          <w:szCs w:val="21"/>
          <w:highlight w:val="none"/>
        </w:rPr>
        <w:t>本合同协议书中有关词语定义与合同条款中分别赋予它们的定义相同。</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11、</w:t>
      </w:r>
      <w:r>
        <w:rPr>
          <w:rFonts w:hint="eastAsia"/>
          <w:bCs/>
          <w:snapToGrid w:val="0"/>
          <w:kern w:val="0"/>
          <w:szCs w:val="21"/>
          <w:highlight w:val="none"/>
        </w:rPr>
        <w:t>承包人</w:t>
      </w:r>
      <w:r>
        <w:rPr>
          <w:bCs/>
          <w:snapToGrid w:val="0"/>
          <w:kern w:val="0"/>
          <w:szCs w:val="21"/>
          <w:highlight w:val="none"/>
        </w:rPr>
        <w:t>向</w:t>
      </w:r>
      <w:r>
        <w:rPr>
          <w:rFonts w:hint="eastAsia"/>
          <w:bCs/>
          <w:snapToGrid w:val="0"/>
          <w:kern w:val="0"/>
          <w:szCs w:val="21"/>
          <w:highlight w:val="none"/>
        </w:rPr>
        <w:t>发包人</w:t>
      </w:r>
      <w:r>
        <w:rPr>
          <w:bCs/>
          <w:snapToGrid w:val="0"/>
          <w:kern w:val="0"/>
          <w:szCs w:val="21"/>
          <w:highlight w:val="none"/>
        </w:rPr>
        <w:t>承诺按照本合同约定履行义务。</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12、</w:t>
      </w:r>
      <w:r>
        <w:rPr>
          <w:rFonts w:hint="eastAsia"/>
          <w:bCs/>
          <w:snapToGrid w:val="0"/>
          <w:kern w:val="0"/>
          <w:szCs w:val="21"/>
          <w:highlight w:val="none"/>
        </w:rPr>
        <w:t>发包人</w:t>
      </w:r>
      <w:r>
        <w:rPr>
          <w:bCs/>
          <w:snapToGrid w:val="0"/>
          <w:kern w:val="0"/>
          <w:szCs w:val="21"/>
          <w:highlight w:val="none"/>
        </w:rPr>
        <w:t>向</w:t>
      </w:r>
      <w:r>
        <w:rPr>
          <w:rFonts w:hint="eastAsia"/>
          <w:bCs/>
          <w:snapToGrid w:val="0"/>
          <w:kern w:val="0"/>
          <w:szCs w:val="21"/>
          <w:highlight w:val="none"/>
        </w:rPr>
        <w:t>承包人</w:t>
      </w:r>
      <w:r>
        <w:rPr>
          <w:bCs/>
          <w:snapToGrid w:val="0"/>
          <w:kern w:val="0"/>
          <w:szCs w:val="21"/>
          <w:highlight w:val="none"/>
        </w:rPr>
        <w:t>承诺按照本合同约定履行义务。</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13、</w:t>
      </w:r>
      <w:r>
        <w:rPr>
          <w:rFonts w:hint="eastAsia"/>
          <w:bCs/>
          <w:snapToGrid w:val="0"/>
          <w:kern w:val="0"/>
          <w:szCs w:val="21"/>
          <w:highlight w:val="none"/>
        </w:rPr>
        <w:t>承包人须按招标文件要求的时间和方式</w:t>
      </w:r>
      <w:r>
        <w:rPr>
          <w:bCs/>
          <w:snapToGrid w:val="0"/>
          <w:kern w:val="0"/>
          <w:szCs w:val="21"/>
          <w:highlight w:val="none"/>
        </w:rPr>
        <w:t>提供履约</w:t>
      </w:r>
      <w:r>
        <w:rPr>
          <w:rFonts w:hint="eastAsia"/>
          <w:bCs/>
          <w:snapToGrid w:val="0"/>
          <w:kern w:val="0"/>
          <w:szCs w:val="21"/>
          <w:highlight w:val="none"/>
        </w:rPr>
        <w:t>担保</w:t>
      </w:r>
      <w:r>
        <w:rPr>
          <w:bCs/>
          <w:snapToGrid w:val="0"/>
          <w:kern w:val="0"/>
          <w:szCs w:val="21"/>
          <w:highlight w:val="none"/>
        </w:rPr>
        <w:t>。</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14、</w:t>
      </w:r>
      <w:r>
        <w:rPr>
          <w:rFonts w:hint="eastAsia"/>
          <w:bCs/>
          <w:snapToGrid w:val="0"/>
          <w:kern w:val="0"/>
          <w:szCs w:val="21"/>
          <w:highlight w:val="none"/>
        </w:rPr>
        <w:t>承包人</w:t>
      </w:r>
      <w:r>
        <w:rPr>
          <w:bCs/>
          <w:snapToGrid w:val="0"/>
          <w:kern w:val="0"/>
          <w:szCs w:val="21"/>
          <w:highlight w:val="none"/>
        </w:rPr>
        <w:t>有义务配合</w:t>
      </w:r>
      <w:r>
        <w:rPr>
          <w:rFonts w:hint="eastAsia"/>
          <w:bCs/>
          <w:snapToGrid w:val="0"/>
          <w:kern w:val="0"/>
          <w:szCs w:val="21"/>
          <w:highlight w:val="none"/>
        </w:rPr>
        <w:t>发包人</w:t>
      </w:r>
      <w:r>
        <w:rPr>
          <w:bCs/>
          <w:snapToGrid w:val="0"/>
          <w:kern w:val="0"/>
          <w:szCs w:val="21"/>
          <w:highlight w:val="none"/>
        </w:rPr>
        <w:t>制定材料设备短名单以及技术需求书，明确装修及设备标准。</w:t>
      </w:r>
    </w:p>
    <w:p>
      <w:pPr>
        <w:adjustRightInd w:val="0"/>
        <w:snapToGrid w:val="0"/>
        <w:spacing w:line="360" w:lineRule="auto"/>
        <w:ind w:firstLine="422" w:firstLineChars="200"/>
        <w:rPr>
          <w:szCs w:val="21"/>
          <w:highlight w:val="none"/>
          <w:lang w:val="zh-CN"/>
        </w:rPr>
      </w:pPr>
      <w:r>
        <w:rPr>
          <w:rFonts w:hint="eastAsia"/>
          <w:b/>
          <w:szCs w:val="21"/>
          <w:highlight w:val="none"/>
        </w:rPr>
        <w:t>1</w:t>
      </w:r>
      <w:r>
        <w:rPr>
          <w:b/>
          <w:szCs w:val="21"/>
          <w:highlight w:val="none"/>
        </w:rPr>
        <w:t>5</w:t>
      </w:r>
      <w:r>
        <w:rPr>
          <w:rFonts w:hint="eastAsia"/>
          <w:b/>
          <w:szCs w:val="21"/>
          <w:highlight w:val="none"/>
        </w:rPr>
        <w:t>、</w:t>
      </w:r>
      <w:r>
        <w:rPr>
          <w:rFonts w:hint="eastAsia"/>
          <w:szCs w:val="21"/>
          <w:highlight w:val="none"/>
          <w:lang w:val="zh-CN"/>
        </w:rPr>
        <w:t>本合同自双方法定代表人或其委托代理人签字盖章（公章或合同专用章）之日起生效。本合同有效期至本工程质量保修期满且竣工结算满60日及双方的责任、义务履行完毕时终止。</w:t>
      </w:r>
    </w:p>
    <w:p>
      <w:pPr>
        <w:adjustRightInd w:val="0"/>
        <w:snapToGrid w:val="0"/>
        <w:spacing w:line="360" w:lineRule="auto"/>
        <w:ind w:firstLine="420" w:firstLineChars="200"/>
        <w:rPr>
          <w:szCs w:val="21"/>
          <w:highlight w:val="none"/>
          <w:lang w:val="zh-CN"/>
        </w:rPr>
      </w:pPr>
    </w:p>
    <w:p>
      <w:pPr>
        <w:adjustRightInd w:val="0"/>
        <w:snapToGrid w:val="0"/>
        <w:spacing w:line="360" w:lineRule="auto"/>
        <w:ind w:firstLine="422" w:firstLineChars="200"/>
        <w:rPr>
          <w:b/>
          <w:szCs w:val="21"/>
          <w:highlight w:val="none"/>
          <w:lang w:val="zh-CN"/>
        </w:rPr>
      </w:pPr>
      <w:r>
        <w:rPr>
          <w:rFonts w:hint="eastAsia"/>
          <w:b/>
          <w:szCs w:val="21"/>
          <w:highlight w:val="none"/>
          <w:lang w:val="zh-CN"/>
        </w:rPr>
        <w:t>附件1：设计任务书</w:t>
      </w:r>
    </w:p>
    <w:p>
      <w:pPr>
        <w:adjustRightInd w:val="0"/>
        <w:snapToGrid w:val="0"/>
        <w:spacing w:line="360" w:lineRule="auto"/>
        <w:ind w:firstLine="422" w:firstLineChars="200"/>
        <w:rPr>
          <w:b/>
          <w:szCs w:val="21"/>
          <w:highlight w:val="none"/>
          <w:lang w:val="zh-CN"/>
        </w:rPr>
      </w:pPr>
      <w:r>
        <w:rPr>
          <w:rFonts w:hint="eastAsia"/>
          <w:b/>
          <w:szCs w:val="21"/>
          <w:highlight w:val="none"/>
          <w:lang w:val="zh-CN"/>
        </w:rPr>
        <w:t>附件</w:t>
      </w:r>
      <w:r>
        <w:rPr>
          <w:b/>
          <w:szCs w:val="21"/>
          <w:highlight w:val="none"/>
          <w:lang w:val="zh-CN"/>
        </w:rPr>
        <w:t>2</w:t>
      </w:r>
      <w:r>
        <w:rPr>
          <w:rFonts w:hint="eastAsia"/>
          <w:b/>
          <w:szCs w:val="21"/>
          <w:highlight w:val="none"/>
          <w:lang w:val="zh-CN"/>
        </w:rPr>
        <w:t>：工程建设廉洁协议书</w:t>
      </w:r>
    </w:p>
    <w:p>
      <w:pPr>
        <w:adjustRightInd w:val="0"/>
        <w:snapToGrid w:val="0"/>
        <w:spacing w:line="360" w:lineRule="auto"/>
        <w:ind w:firstLine="422" w:firstLineChars="200"/>
        <w:rPr>
          <w:b/>
          <w:szCs w:val="21"/>
          <w:highlight w:val="none"/>
          <w:lang w:val="zh-CN"/>
        </w:rPr>
      </w:pPr>
      <w:r>
        <w:rPr>
          <w:rFonts w:hint="eastAsia"/>
          <w:b/>
          <w:szCs w:val="21"/>
          <w:highlight w:val="none"/>
          <w:lang w:val="zh-CN"/>
        </w:rPr>
        <w:t>附件</w:t>
      </w:r>
      <w:r>
        <w:rPr>
          <w:b/>
          <w:szCs w:val="21"/>
          <w:highlight w:val="none"/>
          <w:lang w:val="zh-CN"/>
        </w:rPr>
        <w:t>3</w:t>
      </w:r>
      <w:r>
        <w:rPr>
          <w:rFonts w:hint="eastAsia"/>
          <w:b/>
          <w:szCs w:val="21"/>
          <w:highlight w:val="none"/>
          <w:lang w:val="zh-CN"/>
        </w:rPr>
        <w:t>：建设工程设计责任保险单</w:t>
      </w:r>
    </w:p>
    <w:p>
      <w:pPr>
        <w:adjustRightInd w:val="0"/>
        <w:snapToGrid w:val="0"/>
        <w:spacing w:line="360" w:lineRule="auto"/>
        <w:ind w:firstLine="422" w:firstLineChars="200"/>
        <w:rPr>
          <w:b/>
          <w:szCs w:val="21"/>
          <w:highlight w:val="none"/>
          <w:lang w:val="zh-CN"/>
        </w:rPr>
      </w:pPr>
      <w:r>
        <w:rPr>
          <w:rFonts w:hint="eastAsia"/>
          <w:b/>
          <w:szCs w:val="21"/>
          <w:highlight w:val="none"/>
          <w:lang w:val="zh-CN"/>
        </w:rPr>
        <w:t>附件</w:t>
      </w:r>
      <w:r>
        <w:rPr>
          <w:b/>
          <w:szCs w:val="21"/>
          <w:highlight w:val="none"/>
          <w:lang w:val="zh-CN"/>
        </w:rPr>
        <w:t>4</w:t>
      </w:r>
      <w:r>
        <w:rPr>
          <w:rFonts w:hint="eastAsia"/>
          <w:b/>
          <w:szCs w:val="21"/>
          <w:highlight w:val="none"/>
          <w:lang w:val="zh-CN"/>
        </w:rPr>
        <w:t>：履约保函</w:t>
      </w:r>
    </w:p>
    <w:p>
      <w:pPr>
        <w:adjustRightInd w:val="0"/>
        <w:snapToGrid w:val="0"/>
        <w:spacing w:line="360" w:lineRule="auto"/>
        <w:ind w:firstLine="422" w:firstLineChars="200"/>
        <w:rPr>
          <w:b/>
          <w:szCs w:val="21"/>
          <w:highlight w:val="none"/>
          <w:lang w:val="zh-CN"/>
        </w:rPr>
      </w:pPr>
      <w:r>
        <w:rPr>
          <w:rFonts w:hint="eastAsia"/>
          <w:b/>
          <w:szCs w:val="21"/>
          <w:highlight w:val="none"/>
          <w:lang w:val="zh-CN"/>
        </w:rPr>
        <w:t>附件5：拟投入设计人员表</w:t>
      </w:r>
    </w:p>
    <w:p>
      <w:pPr>
        <w:adjustRightInd w:val="0"/>
        <w:snapToGrid w:val="0"/>
        <w:spacing w:line="360" w:lineRule="auto"/>
        <w:ind w:firstLine="422" w:firstLineChars="200"/>
        <w:rPr>
          <w:b/>
          <w:szCs w:val="21"/>
          <w:highlight w:val="none"/>
          <w:lang w:val="zh-CN"/>
        </w:rPr>
      </w:pPr>
    </w:p>
    <w:p>
      <w:pPr>
        <w:adjustRightInd w:val="0"/>
        <w:snapToGrid w:val="0"/>
        <w:spacing w:line="360" w:lineRule="auto"/>
        <w:ind w:firstLine="420" w:firstLineChars="200"/>
        <w:rPr>
          <w:szCs w:val="21"/>
          <w:highlight w:val="none"/>
          <w:lang w:val="zh-CN"/>
        </w:rPr>
      </w:pPr>
    </w:p>
    <w:p>
      <w:pPr>
        <w:widowControl/>
        <w:jc w:val="left"/>
        <w:rPr>
          <w:b/>
          <w:bCs/>
          <w:szCs w:val="21"/>
          <w:highlight w:val="none"/>
          <w:lang w:val="zh-CN"/>
        </w:rPr>
      </w:pPr>
      <w:r>
        <w:rPr>
          <w:b/>
          <w:bCs/>
          <w:szCs w:val="21"/>
          <w:highlight w:val="none"/>
          <w:lang w:val="zh-CN"/>
        </w:rPr>
        <w:br w:type="page"/>
      </w:r>
    </w:p>
    <w:p>
      <w:pPr>
        <w:adjustRightInd w:val="0"/>
        <w:snapToGrid w:val="0"/>
        <w:spacing w:line="360" w:lineRule="auto"/>
        <w:rPr>
          <w:bCs/>
          <w:szCs w:val="21"/>
          <w:highlight w:val="none"/>
          <w:lang w:val="zh-CN"/>
        </w:rPr>
      </w:pPr>
      <w:r>
        <w:rPr>
          <w:rFonts w:hint="eastAsia"/>
          <w:bCs/>
          <w:szCs w:val="21"/>
          <w:highlight w:val="none"/>
          <w:lang w:val="zh-CN"/>
        </w:rPr>
        <w:t>（本页无正文）</w:t>
      </w:r>
    </w:p>
    <w:p>
      <w:pPr>
        <w:adjustRightInd w:val="0"/>
        <w:snapToGrid w:val="0"/>
        <w:spacing w:line="360" w:lineRule="auto"/>
        <w:ind w:firstLine="420" w:firstLineChars="200"/>
        <w:rPr>
          <w:bCs/>
          <w:szCs w:val="21"/>
          <w:highlight w:val="none"/>
          <w:lang w:val="zh-CN"/>
        </w:rPr>
      </w:pPr>
    </w:p>
    <w:p>
      <w:pPr>
        <w:adjustRightInd w:val="0"/>
        <w:snapToGrid w:val="0"/>
        <w:spacing w:line="360" w:lineRule="auto"/>
        <w:ind w:firstLine="420" w:firstLineChars="200"/>
        <w:rPr>
          <w:bCs/>
          <w:szCs w:val="21"/>
          <w:highlight w:val="none"/>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highlight w:val="none"/>
                <w:lang w:val="zh-CN"/>
              </w:rPr>
            </w:pPr>
            <w:r>
              <w:rPr>
                <w:rFonts w:hAnsi="宋体"/>
                <w:bCs/>
                <w:sz w:val="24"/>
                <w:szCs w:val="21"/>
                <w:highlight w:val="none"/>
              </w:rPr>
              <w:t>甲方</w:t>
            </w:r>
            <w:r>
              <w:rPr>
                <w:rFonts w:hint="eastAsia" w:hAnsi="宋体"/>
                <w:bCs/>
                <w:sz w:val="24"/>
                <w:szCs w:val="21"/>
                <w:highlight w:val="none"/>
              </w:rPr>
              <w:t>（发包人）</w:t>
            </w:r>
            <w:r>
              <w:rPr>
                <w:rFonts w:hAnsi="宋体"/>
                <w:bCs/>
                <w:snapToGrid w:val="0"/>
                <w:sz w:val="24"/>
                <w:highlight w:val="none"/>
              </w:rPr>
              <w:t>：</w:t>
            </w:r>
          </w:p>
        </w:tc>
        <w:tc>
          <w:tcPr>
            <w:tcW w:w="283" w:type="dxa"/>
            <w:vAlign w:val="center"/>
          </w:tcPr>
          <w:p>
            <w:pPr>
              <w:rPr>
                <w:rFonts w:hAnsi="宋体"/>
                <w:bCs/>
                <w:snapToGrid w:val="0"/>
                <w:sz w:val="24"/>
                <w:highlight w:val="none"/>
              </w:rPr>
            </w:pPr>
          </w:p>
        </w:tc>
        <w:tc>
          <w:tcPr>
            <w:tcW w:w="4395" w:type="dxa"/>
            <w:vAlign w:val="center"/>
          </w:tcPr>
          <w:p>
            <w:pPr>
              <w:rPr>
                <w:rFonts w:hAnsi="宋体"/>
                <w:bCs/>
                <w:sz w:val="24"/>
                <w:highlight w:val="none"/>
                <w:lang w:val="zh-CN"/>
              </w:rPr>
            </w:pPr>
            <w:r>
              <w:rPr>
                <w:rFonts w:hAnsi="宋体"/>
                <w:bCs/>
                <w:sz w:val="24"/>
                <w:szCs w:val="21"/>
                <w:highlight w:val="none"/>
              </w:rPr>
              <w:t>乙方</w:t>
            </w:r>
            <w:r>
              <w:rPr>
                <w:rFonts w:hint="eastAsia" w:hAnsi="宋体"/>
                <w:bCs/>
                <w:sz w:val="24"/>
                <w:szCs w:val="21"/>
                <w:highlight w:val="none"/>
              </w:rPr>
              <w:t>（承包人）</w:t>
            </w:r>
            <w:r>
              <w:rPr>
                <w:rFonts w:hAnsi="宋体"/>
                <w:bCs/>
                <w:snapToGrid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highlight w:val="none"/>
              </w:rPr>
            </w:pPr>
            <w:r>
              <w:rPr>
                <w:rFonts w:hint="eastAsia" w:asciiTheme="majorEastAsia" w:hAnsiTheme="majorEastAsia" w:eastAsiaTheme="majorEastAsia"/>
                <w:b/>
                <w:bCs/>
                <w:sz w:val="24"/>
                <w:highlight w:val="none"/>
                <w:u w:val="single"/>
              </w:rPr>
              <w:t>广州市花都区公共建设项目管理中心</w:t>
            </w:r>
            <w:r>
              <w:rPr>
                <w:rFonts w:asciiTheme="majorEastAsia" w:hAnsiTheme="majorEastAsia" w:eastAsiaTheme="majorEastAsia"/>
                <w:b/>
                <w:bCs/>
                <w:sz w:val="24"/>
                <w:highlight w:val="none"/>
                <w:u w:val="single"/>
              </w:rPr>
              <w:t xml:space="preserve">   </w:t>
            </w:r>
            <w:r>
              <w:rPr>
                <w:rFonts w:hint="eastAsia" w:asciiTheme="majorEastAsia" w:hAnsiTheme="majorEastAsia" w:eastAsiaTheme="majorEastAsia"/>
                <w:b/>
                <w:bCs/>
                <w:sz w:val="24"/>
                <w:highlight w:val="none"/>
                <w:u w:val="single"/>
              </w:rPr>
              <w:t xml:space="preserve"> </w:t>
            </w:r>
            <w:r>
              <w:rPr>
                <w:rFonts w:asciiTheme="majorEastAsia" w:hAnsiTheme="majorEastAsia" w:eastAsiaTheme="majorEastAsia"/>
                <w:b/>
                <w:bCs/>
                <w:sz w:val="24"/>
                <w:highlight w:val="none"/>
                <w:u w:val="single"/>
              </w:rPr>
              <w:t xml:space="preserve">                      </w:t>
            </w:r>
          </w:p>
        </w:tc>
        <w:tc>
          <w:tcPr>
            <w:tcW w:w="283" w:type="dxa"/>
            <w:vAlign w:val="center"/>
          </w:tcPr>
          <w:p>
            <w:pPr>
              <w:rPr>
                <w:rFonts w:hAnsi="宋体"/>
                <w:bCs/>
                <w:snapToGrid w:val="0"/>
                <w:sz w:val="24"/>
                <w:highlight w:val="none"/>
              </w:rPr>
            </w:pPr>
          </w:p>
        </w:tc>
        <w:tc>
          <w:tcPr>
            <w:tcW w:w="4395" w:type="dxa"/>
            <w:vAlign w:val="center"/>
          </w:tcPr>
          <w:p>
            <w:pPr>
              <w:rPr>
                <w:rFonts w:asciiTheme="minorEastAsia" w:hAnsiTheme="minorEastAsia" w:eastAsiaTheme="minorEastAsia"/>
                <w:bCs/>
                <w:snapToGrid w:val="0"/>
                <w:sz w:val="24"/>
                <w:highlight w:val="none"/>
                <w:u w:val="single"/>
              </w:rPr>
            </w:pPr>
            <w:r>
              <w:rPr>
                <w:rFonts w:hint="eastAsia" w:asciiTheme="minorEastAsia" w:hAnsiTheme="minorEastAsia" w:eastAsiaTheme="minorEastAsia"/>
                <w:bCs/>
                <w:snapToGrid w:val="0"/>
                <w:sz w:val="24"/>
                <w:highlight w:val="none"/>
                <w:u w:val="single"/>
              </w:rPr>
              <w:t xml:space="preserve">                                  </w:t>
            </w:r>
            <w:r>
              <w:rPr>
                <w:rFonts w:asciiTheme="minorEastAsia" w:hAnsiTheme="minorEastAsia" w:eastAsiaTheme="minorEastAsia"/>
                <w:bCs/>
                <w:snapToGrid w:val="0"/>
                <w:sz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c>
          <w:tcPr>
            <w:tcW w:w="283" w:type="dxa"/>
            <w:vAlign w:val="center"/>
          </w:tcPr>
          <w:p>
            <w:pPr>
              <w:rPr>
                <w:rFonts w:hAnsi="宋体"/>
                <w:bCs/>
                <w:snapToGrid w:val="0"/>
                <w:highlight w:val="none"/>
              </w:rPr>
            </w:pPr>
          </w:p>
        </w:tc>
        <w:tc>
          <w:tcPr>
            <w:tcW w:w="4395"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highlight w:val="none"/>
              </w:rPr>
            </w:pPr>
            <w:r>
              <w:rPr>
                <w:rFonts w:hint="eastAsia" w:hAnsi="宋体"/>
                <w:bCs/>
                <w:snapToGrid w:val="0"/>
                <w:highlight w:val="none"/>
              </w:rPr>
              <w:t>地址：广州市花都区公益路3</w:t>
            </w:r>
            <w:r>
              <w:rPr>
                <w:rFonts w:hAnsi="宋体"/>
                <w:bCs/>
                <w:snapToGrid w:val="0"/>
                <w:highlight w:val="none"/>
              </w:rPr>
              <w:t>9</w:t>
            </w:r>
            <w:r>
              <w:rPr>
                <w:rFonts w:hint="eastAsia" w:hAnsi="宋体"/>
                <w:bCs/>
                <w:snapToGrid w:val="0"/>
                <w:highlight w:val="none"/>
              </w:rPr>
              <w:t>号</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Ansi="宋体"/>
                <w:bCs/>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highlight w:val="none"/>
              </w:rPr>
            </w:pPr>
            <w:r>
              <w:rPr>
                <w:rFonts w:hint="eastAsia" w:hAnsi="宋体"/>
                <w:bCs/>
                <w:snapToGrid w:val="0"/>
                <w:highlight w:val="none"/>
              </w:rPr>
              <w:t>电话：0</w:t>
            </w:r>
            <w:r>
              <w:rPr>
                <w:rFonts w:hAnsi="宋体"/>
                <w:bCs/>
                <w:snapToGrid w:val="0"/>
                <w:highlight w:val="none"/>
              </w:rPr>
              <w:t>20</w:t>
            </w:r>
            <w:r>
              <w:rPr>
                <w:rFonts w:hint="eastAsia" w:hAnsi="宋体"/>
                <w:bCs/>
                <w:snapToGrid w:val="0"/>
                <w:highlight w:val="none"/>
              </w:rPr>
              <w:t>-</w:t>
            </w:r>
            <w:r>
              <w:rPr>
                <w:rFonts w:hAnsi="宋体"/>
                <w:bCs/>
                <w:snapToGrid w:val="0"/>
                <w:highlight w:val="none"/>
              </w:rPr>
              <w:t>37760912</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int="eastAsia" w:hAnsi="宋体"/>
                <w:bCs/>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int="eastAsia" w:hAnsi="宋体"/>
                <w:bCs/>
                <w:snapToGrid w:val="0"/>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int="eastAsia" w:hAnsi="宋体"/>
                <w:bCs/>
                <w:snapToGrid w:val="0"/>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r>
              <w:rPr>
                <w:rFonts w:hint="eastAsia" w:hAnsi="宋体"/>
                <w:bCs/>
                <w:snapToGrid w:val="0"/>
                <w:highlight w:val="none"/>
              </w:rPr>
              <w:t>统一社会信用代码：</w:t>
            </w:r>
            <w:r>
              <w:rPr>
                <w:rFonts w:hAnsi="宋体"/>
                <w:bCs/>
                <w:snapToGrid w:val="0"/>
                <w:highlight w:val="none"/>
              </w:rPr>
              <w:t>12440114567901846M</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int="eastAsia" w:hAnsi="宋体"/>
                <w:bCs/>
                <w:snapToGrid w:val="0"/>
                <w:highlight w:val="none"/>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r>
              <w:rPr>
                <w:rFonts w:hAnsi="宋体"/>
                <w:bCs/>
                <w:snapToGrid w:val="0"/>
                <w:highlight w:val="none"/>
              </w:rPr>
              <w:t>签订时间：</w:t>
            </w:r>
            <w:r>
              <w:rPr>
                <w:rFonts w:hint="eastAsia" w:hAnsi="宋体"/>
                <w:bCs/>
                <w:snapToGrid w:val="0"/>
                <w:highlight w:val="none"/>
              </w:rPr>
              <w:t>2023</w:t>
            </w:r>
            <w:r>
              <w:rPr>
                <w:rFonts w:hAnsi="宋体"/>
                <w:bCs/>
                <w:snapToGrid w:val="0"/>
                <w:highlight w:val="none"/>
              </w:rPr>
              <w:t>年    月     日</w:t>
            </w:r>
          </w:p>
        </w:tc>
      </w:tr>
    </w:tbl>
    <w:p>
      <w:pPr>
        <w:adjustRightInd w:val="0"/>
        <w:snapToGrid w:val="0"/>
        <w:spacing w:line="360" w:lineRule="auto"/>
        <w:ind w:firstLine="422" w:firstLineChars="200"/>
        <w:rPr>
          <w:b/>
          <w:bCs/>
          <w:szCs w:val="21"/>
          <w:highlight w:val="none"/>
          <w:lang w:val="zh-CN"/>
        </w:rPr>
      </w:pPr>
    </w:p>
    <w:p>
      <w:pPr>
        <w:widowControl/>
        <w:jc w:val="left"/>
        <w:rPr>
          <w:b/>
          <w:bCs/>
          <w:szCs w:val="21"/>
          <w:highlight w:val="none"/>
          <w:lang w:val="zh-CN"/>
        </w:rPr>
      </w:pPr>
      <w:r>
        <w:rPr>
          <w:b/>
          <w:bCs/>
          <w:szCs w:val="21"/>
          <w:highlight w:val="none"/>
          <w:lang w:val="zh-CN"/>
        </w:rPr>
        <w:br w:type="page"/>
      </w:r>
    </w:p>
    <w:p>
      <w:pPr>
        <w:widowControl/>
        <w:jc w:val="center"/>
        <w:rPr>
          <w:b/>
          <w:bCs/>
          <w:snapToGrid w:val="0"/>
          <w:kern w:val="0"/>
          <w:sz w:val="36"/>
          <w:szCs w:val="36"/>
          <w:highlight w:val="none"/>
        </w:rPr>
      </w:pPr>
      <w:r>
        <w:rPr>
          <w:b/>
          <w:bCs/>
          <w:snapToGrid w:val="0"/>
          <w:kern w:val="0"/>
          <w:sz w:val="36"/>
          <w:szCs w:val="36"/>
          <w:highlight w:val="none"/>
        </w:rPr>
        <w:t>第二篇  合同专用条款</w:t>
      </w:r>
    </w:p>
    <w:p>
      <w:pPr>
        <w:adjustRightInd w:val="0"/>
        <w:snapToGrid w:val="0"/>
        <w:spacing w:line="440" w:lineRule="exact"/>
        <w:jc w:val="center"/>
        <w:rPr>
          <w:b/>
          <w:bCs/>
          <w:snapToGrid w:val="0"/>
          <w:kern w:val="0"/>
          <w:sz w:val="36"/>
          <w:szCs w:val="36"/>
          <w:highlight w:val="none"/>
        </w:rPr>
      </w:pPr>
    </w:p>
    <w:p>
      <w:pPr>
        <w:adjustRightInd w:val="0"/>
        <w:snapToGrid w:val="0"/>
        <w:spacing w:line="360" w:lineRule="auto"/>
        <w:jc w:val="center"/>
        <w:rPr>
          <w:b/>
          <w:snapToGrid w:val="0"/>
          <w:kern w:val="0"/>
          <w:sz w:val="30"/>
          <w:szCs w:val="30"/>
          <w:highlight w:val="none"/>
        </w:rPr>
      </w:pPr>
      <w:r>
        <w:rPr>
          <w:b/>
          <w:snapToGrid w:val="0"/>
          <w:kern w:val="0"/>
          <w:sz w:val="30"/>
          <w:szCs w:val="30"/>
          <w:highlight w:val="none"/>
        </w:rPr>
        <w:t>总  则</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一、</w:t>
      </w:r>
      <w:r>
        <w:rPr>
          <w:snapToGrid w:val="0"/>
          <w:kern w:val="0"/>
          <w:szCs w:val="21"/>
          <w:highlight w:val="none"/>
        </w:rPr>
        <w:t>根据项目设计管理相关规定和本项目管理实际，本合同工程将实行社会化、专业化的管理模式。</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二、</w:t>
      </w:r>
      <w:r>
        <w:rPr>
          <w:snapToGrid w:val="0"/>
          <w:kern w:val="0"/>
          <w:szCs w:val="21"/>
          <w:highlight w:val="none"/>
        </w:rPr>
        <w:t>承包人承诺遵守发包人所制订的针对本合同工程管理的各项制度、规定，这些管理制度、规定必须符合下列原则：</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（1）符合国家、广东省、广州市及花都区的有关法律法规、规范和标准；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（2）符合对本合同工程进行有效管理的基本精神和要求；</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（3）为确保设计质量、进度、效果所必须响应业主所要求的积极服务、诚信履约、经济合理，推行BIM、绿色节能、及装配式施工。</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（4）不是针对某一特定的设计人。</w:t>
      </w:r>
    </w:p>
    <w:p>
      <w:pPr>
        <w:adjustRightInd w:val="0"/>
        <w:snapToGrid w:val="0"/>
        <w:spacing w:line="360" w:lineRule="auto"/>
        <w:ind w:firstLine="420" w:firstLineChars="200"/>
        <w:rPr>
          <w:snapToGrid w:val="0"/>
          <w:kern w:val="0"/>
          <w:szCs w:val="21"/>
          <w:highlight w:val="none"/>
        </w:rPr>
      </w:pPr>
    </w:p>
    <w:p>
      <w:pPr>
        <w:adjustRightInd w:val="0"/>
        <w:snapToGrid w:val="0"/>
        <w:spacing w:before="156" w:beforeLines="50" w:line="360" w:lineRule="auto"/>
        <w:jc w:val="center"/>
        <w:rPr>
          <w:b/>
          <w:snapToGrid w:val="0"/>
          <w:kern w:val="0"/>
          <w:sz w:val="28"/>
          <w:szCs w:val="28"/>
          <w:highlight w:val="none"/>
        </w:rPr>
      </w:pPr>
      <w:r>
        <w:rPr>
          <w:b/>
          <w:snapToGrid w:val="0"/>
          <w:kern w:val="0"/>
          <w:sz w:val="28"/>
          <w:szCs w:val="28"/>
          <w:highlight w:val="none"/>
        </w:rPr>
        <w:t>第一章  一般规定</w:t>
      </w:r>
    </w:p>
    <w:p>
      <w:pPr>
        <w:adjustRightInd w:val="0"/>
        <w:snapToGrid w:val="0"/>
        <w:spacing w:line="360" w:lineRule="auto"/>
        <w:ind w:firstLine="413" w:firstLineChars="196"/>
        <w:rPr>
          <w:snapToGrid w:val="0"/>
          <w:kern w:val="0"/>
          <w:szCs w:val="21"/>
          <w:highlight w:val="none"/>
        </w:rPr>
      </w:pPr>
      <w:r>
        <w:rPr>
          <w:b/>
          <w:bCs/>
          <w:snapToGrid w:val="0"/>
          <w:kern w:val="0"/>
          <w:szCs w:val="21"/>
          <w:highlight w:val="none"/>
        </w:rPr>
        <w:t>1  词语定义</w:t>
      </w:r>
    </w:p>
    <w:p>
      <w:pPr>
        <w:spacing w:line="360" w:lineRule="auto"/>
        <w:jc w:val="left"/>
        <w:rPr>
          <w:snapToGrid w:val="0"/>
          <w:kern w:val="0"/>
          <w:szCs w:val="21"/>
          <w:highlight w:val="none"/>
          <w:u w:val="single"/>
        </w:rPr>
      </w:pPr>
      <w:r>
        <w:rPr>
          <w:b/>
          <w:snapToGrid w:val="0"/>
          <w:kern w:val="0"/>
          <w:szCs w:val="21"/>
          <w:highlight w:val="none"/>
        </w:rPr>
        <w:t xml:space="preserve">    1.1</w:t>
      </w:r>
      <w:r>
        <w:rPr>
          <w:snapToGrid w:val="0"/>
          <w:kern w:val="0"/>
          <w:szCs w:val="21"/>
          <w:highlight w:val="none"/>
        </w:rPr>
        <w:t>本合同工程：</w:t>
      </w:r>
      <w:r>
        <w:rPr>
          <w:rFonts w:hint="eastAsia"/>
          <w:b/>
          <w:snapToGrid w:val="0"/>
          <w:kern w:val="0"/>
          <w:szCs w:val="21"/>
          <w:highlight w:val="none"/>
          <w:u w:val="single"/>
        </w:rPr>
        <w:t>新华街莲塘小学扩建改造项目</w:t>
      </w:r>
      <w:r>
        <w:rPr>
          <w:rFonts w:hint="eastAsia"/>
          <w:snapToGrid w:val="0"/>
          <w:kern w:val="0"/>
          <w:szCs w:val="21"/>
          <w:highlight w:val="none"/>
          <w:u w:val="single"/>
        </w:rPr>
        <w:t>。</w:t>
      </w:r>
    </w:p>
    <w:p>
      <w:pPr>
        <w:adjustRightInd w:val="0"/>
        <w:snapToGrid w:val="0"/>
        <w:spacing w:line="360" w:lineRule="auto"/>
        <w:ind w:firstLine="413" w:firstLineChars="196"/>
        <w:rPr>
          <w:snapToGrid w:val="0"/>
          <w:kern w:val="0"/>
          <w:szCs w:val="21"/>
          <w:highlight w:val="none"/>
        </w:rPr>
      </w:pPr>
      <w:r>
        <w:rPr>
          <w:b/>
          <w:snapToGrid w:val="0"/>
          <w:kern w:val="0"/>
          <w:szCs w:val="21"/>
          <w:highlight w:val="none"/>
        </w:rPr>
        <w:t>1.2</w:t>
      </w:r>
      <w:r>
        <w:rPr>
          <w:snapToGrid w:val="0"/>
          <w:kern w:val="0"/>
          <w:szCs w:val="21"/>
          <w:highlight w:val="none"/>
        </w:rPr>
        <w:t>发包人：指具有本合同工程设计发包主体资格的当事人。</w:t>
      </w:r>
    </w:p>
    <w:p>
      <w:pPr>
        <w:adjustRightInd w:val="0"/>
        <w:snapToGrid w:val="0"/>
        <w:spacing w:line="360" w:lineRule="auto"/>
        <w:ind w:left="120" w:leftChars="57" w:firstLine="316" w:firstLineChars="150"/>
        <w:rPr>
          <w:snapToGrid w:val="0"/>
          <w:kern w:val="0"/>
          <w:szCs w:val="21"/>
          <w:highlight w:val="none"/>
        </w:rPr>
      </w:pPr>
      <w:r>
        <w:rPr>
          <w:b/>
          <w:snapToGrid w:val="0"/>
          <w:kern w:val="0"/>
          <w:szCs w:val="21"/>
          <w:highlight w:val="none"/>
        </w:rPr>
        <w:t>1.3</w:t>
      </w:r>
      <w:r>
        <w:rPr>
          <w:snapToGrid w:val="0"/>
          <w:kern w:val="0"/>
          <w:szCs w:val="21"/>
          <w:highlight w:val="none"/>
        </w:rPr>
        <w:t>承包人：指在本合同中约定，被发包人接受的具有工程设计资格的当事人以及取得该当事人资格的合法继承人。</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1.4</w:t>
      </w:r>
      <w:r>
        <w:rPr>
          <w:snapToGrid w:val="0"/>
          <w:kern w:val="0"/>
          <w:szCs w:val="21"/>
          <w:highlight w:val="none"/>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1.5</w:t>
      </w:r>
      <w:r>
        <w:rPr>
          <w:snapToGrid w:val="0"/>
          <w:kern w:val="0"/>
          <w:szCs w:val="21"/>
          <w:highlight w:val="none"/>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w:t>
      </w:r>
      <w:r>
        <w:rPr>
          <w:rFonts w:hint="eastAsia"/>
          <w:snapToGrid w:val="0"/>
          <w:kern w:val="0"/>
          <w:szCs w:val="21"/>
          <w:highlight w:val="none"/>
        </w:rPr>
        <w:t>（如有）</w:t>
      </w:r>
      <w:r>
        <w:rPr>
          <w:snapToGrid w:val="0"/>
          <w:kern w:val="0"/>
          <w:szCs w:val="21"/>
          <w:highlight w:val="none"/>
        </w:rPr>
        <w:t>、配合发包人招标工作而提供的技术规格书等技术资料。</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1.6</w:t>
      </w:r>
      <w:r>
        <w:rPr>
          <w:snapToGrid w:val="0"/>
          <w:kern w:val="0"/>
          <w:szCs w:val="21"/>
          <w:highlight w:val="none"/>
        </w:rPr>
        <w:t>工程投资估算：指以方案设计为基础编制而成，且编制深度达到国家有关的编制规定，并经发包人委托的第三方或按政府规定的评审通过的工程造价文件。</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1.7</w:t>
      </w:r>
      <w:r>
        <w:rPr>
          <w:snapToGrid w:val="0"/>
          <w:kern w:val="0"/>
          <w:szCs w:val="21"/>
          <w:highlight w:val="none"/>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1.8</w:t>
      </w:r>
      <w:r>
        <w:rPr>
          <w:snapToGrid w:val="0"/>
          <w:kern w:val="0"/>
          <w:szCs w:val="21"/>
          <w:highlight w:val="none"/>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kern w:val="0"/>
          <w:szCs w:val="21"/>
          <w:highlight w:val="none"/>
        </w:rPr>
        <w:t>区</w:t>
      </w:r>
      <w:r>
        <w:rPr>
          <w:snapToGrid w:val="0"/>
          <w:kern w:val="0"/>
          <w:szCs w:val="21"/>
          <w:highlight w:val="none"/>
        </w:rPr>
        <w:t>财政投资评审中心审查通过的工程造价文件。每份设计变更须附相应的设计预算并须注册造价师审定以满足造价过程控制的要求。</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1.9</w:t>
      </w:r>
      <w:r>
        <w:rPr>
          <w:snapToGrid w:val="0"/>
          <w:kern w:val="0"/>
          <w:szCs w:val="21"/>
          <w:highlight w:val="none"/>
        </w:rPr>
        <w:t>合同价款：指双方在本合同中约定，由发包人用以支付承包人按照合同约定完成设计范围内工程设计及服务的款项。</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1.10</w:t>
      </w:r>
      <w:r>
        <w:rPr>
          <w:snapToGrid w:val="0"/>
          <w:kern w:val="0"/>
          <w:szCs w:val="21"/>
          <w:highlight w:val="none"/>
        </w:rPr>
        <w:t>追加合同价款：指在合同履行中发生需要增加合同价款的情况，经发包人根据合同约定书面确认增加的合同价款。</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1.11</w:t>
      </w:r>
      <w:r>
        <w:rPr>
          <w:snapToGrid w:val="0"/>
          <w:kern w:val="0"/>
          <w:szCs w:val="21"/>
          <w:highlight w:val="none"/>
        </w:rPr>
        <w:t>设计周期：指双方在本合同中约定，按总日历天数（包括法定节假日）计算的提交设计成果文件的天数。</w:t>
      </w:r>
    </w:p>
    <w:p>
      <w:pPr>
        <w:adjustRightInd w:val="0"/>
        <w:snapToGrid w:val="0"/>
        <w:spacing w:line="360" w:lineRule="auto"/>
        <w:ind w:right="11" w:firstLine="422" w:firstLineChars="200"/>
        <w:rPr>
          <w:snapToGrid w:val="0"/>
          <w:kern w:val="0"/>
          <w:szCs w:val="21"/>
          <w:highlight w:val="none"/>
        </w:rPr>
      </w:pPr>
      <w:r>
        <w:rPr>
          <w:b/>
          <w:snapToGrid w:val="0"/>
          <w:kern w:val="0"/>
          <w:szCs w:val="21"/>
          <w:highlight w:val="none"/>
        </w:rPr>
        <w:t>1.12</w:t>
      </w:r>
      <w:r>
        <w:rPr>
          <w:snapToGrid w:val="0"/>
          <w:kern w:val="0"/>
          <w:szCs w:val="21"/>
          <w:highlight w:val="none"/>
        </w:rPr>
        <w:t>设计服务：本合同为设计</w:t>
      </w:r>
      <w:r>
        <w:rPr>
          <w:rFonts w:hint="eastAsia"/>
          <w:snapToGrid w:val="0"/>
          <w:kern w:val="0"/>
          <w:szCs w:val="21"/>
          <w:highlight w:val="none"/>
        </w:rPr>
        <w:t>总承包</w:t>
      </w:r>
      <w:r>
        <w:rPr>
          <w:snapToGrid w:val="0"/>
          <w:kern w:val="0"/>
          <w:szCs w:val="21"/>
          <w:highlight w:val="none"/>
        </w:rPr>
        <w:t>合同，包括本项目红线内及红线外所有相关专业的设计工作，包含但不限于以下内容：</w:t>
      </w:r>
      <w:r>
        <w:rPr>
          <w:b/>
          <w:bCs/>
          <w:snapToGrid w:val="0"/>
          <w:kern w:val="0"/>
          <w:szCs w:val="21"/>
          <w:highlight w:val="none"/>
        </w:rPr>
        <w:t>（详见设计任务书）</w:t>
      </w:r>
    </w:p>
    <w:p>
      <w:pPr>
        <w:spacing w:line="360" w:lineRule="auto"/>
        <w:ind w:firstLine="426" w:firstLineChars="202"/>
        <w:rPr>
          <w:snapToGrid w:val="0"/>
          <w:kern w:val="0"/>
          <w:szCs w:val="21"/>
          <w:highlight w:val="none"/>
        </w:rPr>
      </w:pPr>
      <w:r>
        <w:rPr>
          <w:b/>
          <w:snapToGrid w:val="0"/>
          <w:kern w:val="0"/>
          <w:szCs w:val="21"/>
          <w:highlight w:val="none"/>
        </w:rPr>
        <w:t xml:space="preserve">1.13 </w:t>
      </w:r>
      <w:r>
        <w:rPr>
          <w:snapToGrid w:val="0"/>
          <w:kern w:val="0"/>
          <w:szCs w:val="21"/>
          <w:highlight w:val="none"/>
        </w:rPr>
        <w:t>完整性：指承包人每批次交付的文件是合同及附件中规定的全部文件，并保证与提交人自己保留的该部分文件完全一致。（其中设计变更须附变更造价）</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1.14</w:t>
      </w:r>
      <w:r>
        <w:rPr>
          <w:snapToGrid w:val="0"/>
          <w:kern w:val="0"/>
          <w:szCs w:val="21"/>
          <w:highlight w:val="none"/>
        </w:rPr>
        <w:t>有效性：指承包人每批次交付的文件均符合合同约定并符合现行相关规范和标准规定的要求。并应完成相应的评审、报建程序，并同步提供相应的第三方评估、评审成果作为支撑附件。</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1.15</w:t>
      </w:r>
      <w:r>
        <w:rPr>
          <w:snapToGrid w:val="0"/>
          <w:kern w:val="0"/>
          <w:szCs w:val="21"/>
          <w:highlight w:val="none"/>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1.16</w:t>
      </w:r>
      <w:r>
        <w:rPr>
          <w:snapToGrid w:val="0"/>
          <w:kern w:val="0"/>
          <w:szCs w:val="21"/>
          <w:highlight w:val="none"/>
        </w:rPr>
        <w:t>经济合理性：指承包人提交的设计成果文件是在符合有效性要求的基础上，采用方案经济比选、价值工程等评价手段产生确定的。</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1.17</w:t>
      </w:r>
      <w:r>
        <w:rPr>
          <w:snapToGrid w:val="0"/>
          <w:kern w:val="0"/>
          <w:szCs w:val="21"/>
          <w:highlight w:val="none"/>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1.18</w:t>
      </w:r>
      <w:r>
        <w:rPr>
          <w:snapToGrid w:val="0"/>
          <w:kern w:val="0"/>
          <w:szCs w:val="21"/>
          <w:highlight w:val="none"/>
        </w:rPr>
        <w:t xml:space="preserve"> 先进性：指承包人的设计成果文件</w:t>
      </w:r>
      <w:r>
        <w:rPr>
          <w:szCs w:val="21"/>
          <w:highlight w:val="none"/>
        </w:rPr>
        <w:t>采用国际上先进和适用的施工</w:t>
      </w:r>
      <w:r>
        <w:rPr>
          <w:snapToGrid w:val="0"/>
          <w:kern w:val="0"/>
          <w:szCs w:val="21"/>
          <w:highlight w:val="none"/>
        </w:rPr>
        <w:t>方案、技术、工艺、工法、设备</w:t>
      </w:r>
      <w:r>
        <w:rPr>
          <w:szCs w:val="21"/>
          <w:highlight w:val="none"/>
        </w:rPr>
        <w:t>，或所采用的施工</w:t>
      </w:r>
      <w:r>
        <w:rPr>
          <w:snapToGrid w:val="0"/>
          <w:kern w:val="0"/>
          <w:szCs w:val="21"/>
          <w:highlight w:val="none"/>
        </w:rPr>
        <w:t>方案、技术、工艺、工法、设备为国内最优。</w:t>
      </w:r>
    </w:p>
    <w:p>
      <w:pPr>
        <w:adjustRightInd w:val="0"/>
        <w:snapToGrid w:val="0"/>
        <w:spacing w:line="360" w:lineRule="auto"/>
        <w:ind w:firstLine="422" w:firstLineChars="200"/>
        <w:rPr>
          <w:bCs/>
          <w:snapToGrid w:val="0"/>
          <w:kern w:val="0"/>
          <w:szCs w:val="21"/>
          <w:highlight w:val="none"/>
        </w:rPr>
      </w:pPr>
      <w:r>
        <w:rPr>
          <w:b/>
          <w:snapToGrid w:val="0"/>
          <w:kern w:val="0"/>
          <w:szCs w:val="21"/>
          <w:highlight w:val="none"/>
        </w:rPr>
        <w:t>1.19</w:t>
      </w:r>
      <w:r>
        <w:rPr>
          <w:bCs/>
          <w:snapToGrid w:val="0"/>
          <w:kern w:val="0"/>
          <w:szCs w:val="21"/>
          <w:highlight w:val="none"/>
        </w:rPr>
        <w:t>系统性：总体性，设计的思路与原则清晰，业主要求、规划条件相应完整全面，建筑与结构的技术路线清晰，结构安全稳妥，不遗漏。涉及专业分包深化设计的要求明确。</w:t>
      </w:r>
    </w:p>
    <w:p>
      <w:pPr>
        <w:adjustRightInd w:val="0"/>
        <w:snapToGrid w:val="0"/>
        <w:spacing w:line="360" w:lineRule="auto"/>
        <w:ind w:firstLine="422" w:firstLineChars="200"/>
        <w:rPr>
          <w:b/>
          <w:bCs/>
          <w:szCs w:val="21"/>
          <w:highlight w:val="none"/>
        </w:rPr>
      </w:pPr>
      <w:r>
        <w:rPr>
          <w:b/>
          <w:snapToGrid w:val="0"/>
          <w:kern w:val="0"/>
          <w:szCs w:val="21"/>
          <w:highlight w:val="none"/>
        </w:rPr>
        <w:t>1.20</w:t>
      </w:r>
      <w:r>
        <w:rPr>
          <w:snapToGrid w:val="0"/>
          <w:kern w:val="0"/>
          <w:szCs w:val="21"/>
          <w:highlight w:val="none"/>
        </w:rPr>
        <w:t>清晰：是指每次交付的设计成果文件中的图样、线条、术语、符号、尺寸标准、文字说明等清楚准确。</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1.21</w:t>
      </w:r>
      <w:r>
        <w:rPr>
          <w:snapToGrid w:val="0"/>
          <w:kern w:val="0"/>
          <w:szCs w:val="21"/>
          <w:highlight w:val="none"/>
        </w:rPr>
        <w:t>违约责任：指合同任何一方不履行或不完全履行合同约定的义务或者履行义务不符合合同约定所应承担的责任。</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（1）一般违约责任：指虽然违反本合同的约定，但其违约行为不对本合同的履行造成严重影响而应承担的责任。</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（2）严重违约责任。指违反本合同的约定且其违约行为足以对本合同的履行造成严重或实质性的影响而应承担的责任。</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1.22</w:t>
      </w:r>
      <w:r>
        <w:rPr>
          <w:snapToGrid w:val="0"/>
          <w:kern w:val="0"/>
          <w:szCs w:val="21"/>
          <w:highlight w:val="none"/>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1.23</w:t>
      </w:r>
      <w:r>
        <w:rPr>
          <w:snapToGrid w:val="0"/>
          <w:kern w:val="0"/>
          <w:szCs w:val="21"/>
          <w:highlight w:val="none"/>
        </w:rPr>
        <w:t>通知、同意、指令、证明和决定：指经发包人认可或按公开、规范的程序授权的驻场代表、设计负责人分别签字或盖章的书面通知、同意、指令、证明和决定。</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1.24</w:t>
      </w:r>
      <w:r>
        <w:rPr>
          <w:snapToGrid w:val="0"/>
          <w:kern w:val="0"/>
          <w:szCs w:val="21"/>
          <w:highlight w:val="none"/>
        </w:rPr>
        <w:t>书面材料：指合同书、信件和数据电文（电报、电传、传真、电子数据交换、电子邮件）等可以有形地表现所载内容的文件。</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1.25</w:t>
      </w:r>
      <w:r>
        <w:rPr>
          <w:snapToGrid w:val="0"/>
          <w:kern w:val="0"/>
          <w:szCs w:val="21"/>
          <w:highlight w:val="none"/>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1.26</w:t>
      </w:r>
      <w:r>
        <w:rPr>
          <w:snapToGrid w:val="0"/>
          <w:kern w:val="0"/>
          <w:szCs w:val="21"/>
          <w:highlight w:val="none"/>
        </w:rPr>
        <w:t>中国或国家：指中华人民共和国。</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1.27</w:t>
      </w:r>
      <w:r>
        <w:rPr>
          <w:snapToGrid w:val="0"/>
          <w:kern w:val="0"/>
          <w:szCs w:val="21"/>
          <w:highlight w:val="none"/>
        </w:rPr>
        <w:t>国内：指中华人民共和国大陆境内。</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1.28</w:t>
      </w:r>
      <w:r>
        <w:rPr>
          <w:bCs/>
          <w:snapToGrid w:val="0"/>
          <w:kern w:val="0"/>
          <w:szCs w:val="21"/>
          <w:highlight w:val="none"/>
        </w:rPr>
        <w:t>元：指人民币元。</w:t>
      </w:r>
    </w:p>
    <w:p>
      <w:pPr>
        <w:adjustRightInd w:val="0"/>
        <w:snapToGrid w:val="0"/>
        <w:spacing w:line="360" w:lineRule="auto"/>
        <w:ind w:firstLine="422" w:firstLineChars="200"/>
        <w:rPr>
          <w:snapToGrid w:val="0"/>
          <w:kern w:val="0"/>
          <w:szCs w:val="21"/>
          <w:highlight w:val="none"/>
        </w:rPr>
      </w:pPr>
      <w:r>
        <w:rPr>
          <w:b/>
          <w:bCs/>
          <w:snapToGrid w:val="0"/>
          <w:kern w:val="0"/>
          <w:szCs w:val="21"/>
          <w:highlight w:val="none"/>
        </w:rPr>
        <w:t>1.29</w:t>
      </w:r>
      <w:r>
        <w:rPr>
          <w:snapToGrid w:val="0"/>
          <w:kern w:val="0"/>
          <w:szCs w:val="21"/>
          <w:highlight w:val="none"/>
        </w:rPr>
        <w:t>设计变更材料电子版可先行提供，正式的设计文件必须以蓝图附电子文件的形式提交，且须</w:t>
      </w:r>
      <w:r>
        <w:rPr>
          <w:rFonts w:hint="eastAsia"/>
          <w:snapToGrid w:val="0"/>
          <w:kern w:val="0"/>
          <w:szCs w:val="21"/>
          <w:highlight w:val="none"/>
        </w:rPr>
        <w:t>经</w:t>
      </w:r>
      <w:r>
        <w:rPr>
          <w:snapToGrid w:val="0"/>
          <w:kern w:val="0"/>
          <w:szCs w:val="21"/>
          <w:highlight w:val="none"/>
        </w:rPr>
        <w:t>设计院内审</w:t>
      </w:r>
      <w:r>
        <w:rPr>
          <w:rFonts w:hint="eastAsia"/>
          <w:snapToGrid w:val="0"/>
          <w:kern w:val="0"/>
          <w:szCs w:val="21"/>
          <w:highlight w:val="none"/>
        </w:rPr>
        <w:t>通过</w:t>
      </w:r>
      <w:r>
        <w:rPr>
          <w:snapToGrid w:val="0"/>
          <w:kern w:val="0"/>
          <w:szCs w:val="21"/>
          <w:highlight w:val="none"/>
        </w:rPr>
        <w:t>。</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2  语言文字和适用法律、标准及规范</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2.1</w:t>
      </w:r>
      <w:r>
        <w:rPr>
          <w:snapToGrid w:val="0"/>
          <w:kern w:val="0"/>
          <w:szCs w:val="21"/>
          <w:highlight w:val="none"/>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2.2</w:t>
      </w:r>
      <w:r>
        <w:rPr>
          <w:snapToGrid w:val="0"/>
          <w:kern w:val="0"/>
          <w:szCs w:val="21"/>
          <w:highlight w:val="none"/>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3  本合同签订依据</w:t>
      </w:r>
    </w:p>
    <w:p>
      <w:pPr>
        <w:adjustRightInd w:val="0"/>
        <w:snapToGrid w:val="0"/>
        <w:spacing w:line="360" w:lineRule="auto"/>
        <w:ind w:firstLine="570"/>
        <w:rPr>
          <w:snapToGrid w:val="0"/>
          <w:kern w:val="0"/>
          <w:szCs w:val="21"/>
          <w:highlight w:val="none"/>
        </w:rPr>
      </w:pPr>
      <w:r>
        <w:rPr>
          <w:snapToGrid w:val="0"/>
          <w:kern w:val="0"/>
          <w:szCs w:val="21"/>
          <w:highlight w:val="none"/>
        </w:rPr>
        <w:t>（1）中华人民共和国</w:t>
      </w:r>
      <w:r>
        <w:rPr>
          <w:rFonts w:hint="eastAsia"/>
          <w:snapToGrid w:val="0"/>
          <w:kern w:val="0"/>
          <w:szCs w:val="21"/>
          <w:highlight w:val="none"/>
        </w:rPr>
        <w:t>民法典</w:t>
      </w:r>
      <w:r>
        <w:rPr>
          <w:snapToGrid w:val="0"/>
          <w:kern w:val="0"/>
          <w:szCs w:val="21"/>
          <w:highlight w:val="none"/>
        </w:rPr>
        <w:t>；</w:t>
      </w:r>
    </w:p>
    <w:p>
      <w:pPr>
        <w:adjustRightInd w:val="0"/>
        <w:snapToGrid w:val="0"/>
        <w:spacing w:line="360" w:lineRule="auto"/>
        <w:ind w:firstLine="570"/>
        <w:rPr>
          <w:snapToGrid w:val="0"/>
          <w:kern w:val="0"/>
          <w:szCs w:val="21"/>
          <w:highlight w:val="none"/>
        </w:rPr>
      </w:pPr>
      <w:r>
        <w:rPr>
          <w:snapToGrid w:val="0"/>
          <w:kern w:val="0"/>
          <w:szCs w:val="21"/>
          <w:highlight w:val="none"/>
        </w:rPr>
        <w:t>（2）中华人民共和国建筑法；</w:t>
      </w:r>
      <w:r>
        <w:rPr>
          <w:rFonts w:hint="eastAsia"/>
          <w:snapToGrid w:val="0"/>
          <w:kern w:val="0"/>
          <w:szCs w:val="21"/>
          <w:highlight w:val="none"/>
        </w:rPr>
        <w:t xml:space="preserve"> </w:t>
      </w:r>
    </w:p>
    <w:p>
      <w:pPr>
        <w:adjustRightInd w:val="0"/>
        <w:snapToGrid w:val="0"/>
        <w:spacing w:line="360" w:lineRule="auto"/>
        <w:ind w:firstLine="570"/>
        <w:rPr>
          <w:snapToGrid w:val="0"/>
          <w:kern w:val="0"/>
          <w:szCs w:val="21"/>
          <w:highlight w:val="none"/>
        </w:rPr>
      </w:pPr>
      <w:r>
        <w:rPr>
          <w:snapToGrid w:val="0"/>
          <w:kern w:val="0"/>
          <w:szCs w:val="21"/>
          <w:highlight w:val="none"/>
        </w:rPr>
        <w:t>（3）中华人民共和国城乡规划法；</w:t>
      </w:r>
    </w:p>
    <w:p>
      <w:pPr>
        <w:adjustRightInd w:val="0"/>
        <w:snapToGrid w:val="0"/>
        <w:spacing w:line="360" w:lineRule="auto"/>
        <w:ind w:firstLine="570"/>
        <w:rPr>
          <w:snapToGrid w:val="0"/>
          <w:kern w:val="0"/>
          <w:szCs w:val="21"/>
          <w:highlight w:val="none"/>
        </w:rPr>
      </w:pPr>
      <w:r>
        <w:rPr>
          <w:snapToGrid w:val="0"/>
          <w:kern w:val="0"/>
          <w:szCs w:val="21"/>
          <w:highlight w:val="none"/>
        </w:rPr>
        <w:t>（4）建设工程质量管理条例；</w:t>
      </w:r>
    </w:p>
    <w:p>
      <w:pPr>
        <w:adjustRightInd w:val="0"/>
        <w:snapToGrid w:val="0"/>
        <w:spacing w:line="360" w:lineRule="auto"/>
        <w:ind w:firstLine="525" w:firstLineChars="250"/>
        <w:rPr>
          <w:snapToGrid w:val="0"/>
          <w:kern w:val="0"/>
          <w:szCs w:val="21"/>
          <w:highlight w:val="none"/>
        </w:rPr>
      </w:pPr>
      <w:r>
        <w:rPr>
          <w:snapToGrid w:val="0"/>
          <w:kern w:val="0"/>
          <w:szCs w:val="21"/>
          <w:highlight w:val="none"/>
        </w:rPr>
        <w:t>（5）《建筑工程设计文件编制深度规定》（2016年版）；</w:t>
      </w:r>
    </w:p>
    <w:p>
      <w:pPr>
        <w:adjustRightInd w:val="0"/>
        <w:snapToGrid w:val="0"/>
        <w:spacing w:line="360" w:lineRule="auto"/>
        <w:ind w:firstLine="570"/>
        <w:rPr>
          <w:snapToGrid w:val="0"/>
          <w:kern w:val="0"/>
          <w:szCs w:val="21"/>
          <w:highlight w:val="none"/>
        </w:rPr>
      </w:pPr>
      <w:r>
        <w:rPr>
          <w:bCs/>
          <w:snapToGrid w:val="0"/>
          <w:kern w:val="0"/>
          <w:szCs w:val="21"/>
          <w:highlight w:val="none"/>
        </w:rPr>
        <w:t>（6）《市政公用工程设计文件编制深度规定》（建质〔2013〕57号）；</w:t>
      </w:r>
    </w:p>
    <w:p>
      <w:pPr>
        <w:adjustRightInd w:val="0"/>
        <w:snapToGrid w:val="0"/>
        <w:spacing w:line="360" w:lineRule="auto"/>
        <w:ind w:right="11" w:firstLine="525" w:firstLineChars="250"/>
        <w:rPr>
          <w:bCs/>
          <w:snapToGrid w:val="0"/>
          <w:kern w:val="0"/>
          <w:szCs w:val="21"/>
          <w:highlight w:val="none"/>
        </w:rPr>
      </w:pPr>
      <w:r>
        <w:rPr>
          <w:snapToGrid w:val="0"/>
          <w:kern w:val="0"/>
          <w:szCs w:val="21"/>
          <w:highlight w:val="none"/>
        </w:rPr>
        <w:t>（7）建设项目批准文件（包括但不限于立项批复文件、</w:t>
      </w:r>
      <w:r>
        <w:rPr>
          <w:rFonts w:hint="eastAsia"/>
          <w:snapToGrid w:val="0"/>
          <w:kern w:val="0"/>
          <w:szCs w:val="21"/>
          <w:highlight w:val="none"/>
        </w:rPr>
        <w:t>可行性研究批复文件、</w:t>
      </w:r>
      <w:r>
        <w:rPr>
          <w:snapToGrid w:val="0"/>
          <w:kern w:val="0"/>
          <w:szCs w:val="21"/>
          <w:highlight w:val="none"/>
        </w:rPr>
        <w:t>规划部门认可的用地红线和地形图、规划建设主管部门对本合同约定项目的规划设计要点）；</w:t>
      </w:r>
    </w:p>
    <w:p>
      <w:pPr>
        <w:adjustRightInd w:val="0"/>
        <w:snapToGrid w:val="0"/>
        <w:spacing w:line="360" w:lineRule="auto"/>
        <w:ind w:firstLine="570"/>
        <w:rPr>
          <w:snapToGrid w:val="0"/>
          <w:kern w:val="0"/>
          <w:szCs w:val="21"/>
          <w:highlight w:val="none"/>
        </w:rPr>
      </w:pPr>
      <w:r>
        <w:rPr>
          <w:snapToGrid w:val="0"/>
          <w:kern w:val="0"/>
          <w:szCs w:val="21"/>
          <w:highlight w:val="none"/>
        </w:rPr>
        <w:t>（8）设计任务书，业主需求书（含业主建筑功能要求，专业性规范）；</w:t>
      </w:r>
    </w:p>
    <w:p>
      <w:pPr>
        <w:adjustRightInd w:val="0"/>
        <w:snapToGrid w:val="0"/>
        <w:spacing w:line="360" w:lineRule="auto"/>
        <w:ind w:firstLine="570"/>
        <w:rPr>
          <w:snapToGrid w:val="0"/>
          <w:kern w:val="0"/>
          <w:szCs w:val="21"/>
          <w:highlight w:val="none"/>
        </w:rPr>
      </w:pPr>
      <w:r>
        <w:rPr>
          <w:snapToGrid w:val="0"/>
          <w:kern w:val="0"/>
          <w:szCs w:val="21"/>
          <w:highlight w:val="none"/>
        </w:rPr>
        <w:t>（9）本合同约定的项目基础资料，包括用地红线坐标（表）、场地标高、现有市政设施图的资料（绿化、道路、管线、建构筑物等）、地质勘察资料等；</w:t>
      </w:r>
    </w:p>
    <w:p>
      <w:pPr>
        <w:adjustRightInd w:val="0"/>
        <w:snapToGrid w:val="0"/>
        <w:spacing w:line="360" w:lineRule="auto"/>
        <w:ind w:firstLine="570"/>
        <w:rPr>
          <w:snapToGrid w:val="0"/>
          <w:kern w:val="0"/>
          <w:szCs w:val="21"/>
          <w:highlight w:val="none"/>
        </w:rPr>
      </w:pPr>
      <w:r>
        <w:rPr>
          <w:snapToGrid w:val="0"/>
          <w:kern w:val="0"/>
          <w:szCs w:val="21"/>
          <w:highlight w:val="none"/>
        </w:rPr>
        <w:t>（10）设计和建设过程中的政府审批意见，政府或发包人委托或组织的评审机构（会议）提出的或发包人发出的阶段性书面意见，双方来往的与双方权利义务有关的各类书面文件、会议纪要等；</w:t>
      </w:r>
    </w:p>
    <w:p>
      <w:pPr>
        <w:adjustRightInd w:val="0"/>
        <w:snapToGrid w:val="0"/>
        <w:spacing w:line="360" w:lineRule="auto"/>
        <w:ind w:firstLine="570"/>
        <w:rPr>
          <w:snapToGrid w:val="0"/>
          <w:kern w:val="0"/>
          <w:szCs w:val="21"/>
          <w:highlight w:val="none"/>
        </w:rPr>
      </w:pPr>
      <w:r>
        <w:rPr>
          <w:snapToGrid w:val="0"/>
          <w:kern w:val="0"/>
          <w:szCs w:val="21"/>
          <w:highlight w:val="none"/>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570"/>
        <w:rPr>
          <w:snapToGrid w:val="0"/>
          <w:kern w:val="0"/>
          <w:szCs w:val="21"/>
          <w:highlight w:val="none"/>
        </w:rPr>
      </w:pPr>
    </w:p>
    <w:p>
      <w:pPr>
        <w:adjustRightInd w:val="0"/>
        <w:snapToGrid w:val="0"/>
        <w:spacing w:before="156" w:beforeLines="50" w:line="360" w:lineRule="auto"/>
        <w:jc w:val="center"/>
        <w:rPr>
          <w:b/>
          <w:snapToGrid w:val="0"/>
          <w:kern w:val="0"/>
          <w:sz w:val="28"/>
          <w:szCs w:val="28"/>
          <w:highlight w:val="none"/>
        </w:rPr>
      </w:pPr>
      <w:r>
        <w:rPr>
          <w:b/>
          <w:snapToGrid w:val="0"/>
          <w:kern w:val="0"/>
          <w:sz w:val="28"/>
          <w:szCs w:val="28"/>
          <w:highlight w:val="none"/>
        </w:rPr>
        <w:t>第二章  设计工作内容</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4、设计范围</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4.1</w:t>
      </w:r>
      <w:r>
        <w:rPr>
          <w:snapToGrid w:val="0"/>
          <w:kern w:val="0"/>
          <w:szCs w:val="21"/>
          <w:highlight w:val="none"/>
        </w:rPr>
        <w:t xml:space="preserve"> 工程设计范围（包括但不限于）：</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（1）总体设计及专业设计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（2）相关评审与报建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（3）第三方评审及评估</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（4）材料设备短名单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（5）技术需求书</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（6）概算</w:t>
      </w:r>
      <w:r>
        <w:rPr>
          <w:rFonts w:hint="eastAsia"/>
          <w:snapToGrid w:val="0"/>
          <w:kern w:val="0"/>
          <w:szCs w:val="21"/>
          <w:highlight w:val="none"/>
        </w:rPr>
        <w:t>（如有）</w:t>
      </w:r>
      <w:r>
        <w:rPr>
          <w:snapToGrid w:val="0"/>
          <w:kern w:val="0"/>
          <w:szCs w:val="21"/>
          <w:highlight w:val="none"/>
        </w:rPr>
        <w:t>及预算清单编制，变更造价管理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（7）需二次装修及深化设计的专业清单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（8）装配式建筑的实施具体要求详见《广州市住房和城乡建设局关于加强设计阶段落实装配式建筑实施要求的通知》（穗建技</w:t>
      </w:r>
      <w:r>
        <w:rPr>
          <w:rFonts w:hint="eastAsia" w:ascii="宋体" w:hAnsi="宋体"/>
          <w:snapToGrid w:val="0"/>
          <w:kern w:val="0"/>
          <w:szCs w:val="21"/>
          <w:highlight w:val="none"/>
        </w:rPr>
        <w:t>〔</w:t>
      </w:r>
      <w:r>
        <w:rPr>
          <w:snapToGrid w:val="0"/>
          <w:kern w:val="0"/>
          <w:szCs w:val="21"/>
          <w:highlight w:val="none"/>
        </w:rPr>
        <w:t>2020</w:t>
      </w:r>
      <w:r>
        <w:rPr>
          <w:rFonts w:hint="eastAsia" w:ascii="宋体" w:hAnsi="宋体"/>
          <w:snapToGrid w:val="0"/>
          <w:kern w:val="0"/>
          <w:szCs w:val="21"/>
          <w:highlight w:val="none"/>
        </w:rPr>
        <w:t>〕</w:t>
      </w:r>
      <w:r>
        <w:rPr>
          <w:snapToGrid w:val="0"/>
          <w:kern w:val="0"/>
          <w:szCs w:val="21"/>
          <w:highlight w:val="none"/>
        </w:rPr>
        <w:t>79号），若有最新文件时即执行最新文件。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（9）设计配合与服务：</w:t>
      </w:r>
      <w:r>
        <w:rPr>
          <w:rFonts w:hint="eastAsia"/>
          <w:snapToGrid w:val="0"/>
          <w:kern w:val="0"/>
          <w:szCs w:val="21"/>
          <w:highlight w:val="none"/>
        </w:rPr>
        <w:t>在业主授权范围内，负责协助办理项目各专业报建、施工图报建、建设工程规划许可证、临水临电、临时排水、永久排水、外水外电等等涉及项目的等各专项报批报建和验收工作。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w:t>
      </w:r>
      <w:r>
        <w:rPr>
          <w:rFonts w:hint="eastAsia"/>
          <w:snapToGrid w:val="0"/>
          <w:kern w:val="0"/>
          <w:szCs w:val="21"/>
          <w:highlight w:val="none"/>
        </w:rPr>
        <w:t>10</w:t>
      </w:r>
      <w:r>
        <w:rPr>
          <w:snapToGrid w:val="0"/>
          <w:kern w:val="0"/>
          <w:szCs w:val="21"/>
          <w:highlight w:val="none"/>
        </w:rPr>
        <w:t>）</w:t>
      </w:r>
      <w:r>
        <w:rPr>
          <w:rFonts w:hint="eastAsia"/>
          <w:snapToGrid w:val="0"/>
          <w:kern w:val="0"/>
          <w:szCs w:val="21"/>
          <w:highlight w:val="none"/>
        </w:rPr>
        <w:t>其他未尽事宜</w:t>
      </w:r>
      <w:r>
        <w:rPr>
          <w:snapToGrid w:val="0"/>
          <w:kern w:val="0"/>
          <w:szCs w:val="21"/>
          <w:highlight w:val="none"/>
        </w:rPr>
        <w:t>详见设计任务书。</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4.2</w:t>
      </w:r>
      <w:r>
        <w:rPr>
          <w:snapToGrid w:val="0"/>
          <w:kern w:val="0"/>
          <w:szCs w:val="21"/>
          <w:highlight w:val="none"/>
        </w:rPr>
        <w:t xml:space="preserve"> 工程设计内容：</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4.2.1</w:t>
      </w:r>
      <w:r>
        <w:rPr>
          <w:snapToGrid w:val="0"/>
          <w:kern w:val="0"/>
          <w:szCs w:val="21"/>
          <w:highlight w:val="none"/>
        </w:rPr>
        <w:t>工程设计内容详见协议书2.1条款</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4.2.2本</w:t>
      </w:r>
      <w:r>
        <w:rPr>
          <w:rFonts w:hint="eastAsia"/>
          <w:b/>
          <w:snapToGrid w:val="0"/>
          <w:kern w:val="0"/>
          <w:szCs w:val="21"/>
          <w:highlight w:val="none"/>
        </w:rPr>
        <w:t>工程</w:t>
      </w:r>
      <w:r>
        <w:rPr>
          <w:b/>
          <w:snapToGrid w:val="0"/>
          <w:kern w:val="0"/>
          <w:szCs w:val="21"/>
          <w:highlight w:val="none"/>
        </w:rPr>
        <w:t>采用</w:t>
      </w:r>
      <w:r>
        <w:rPr>
          <w:b/>
          <w:bCs/>
          <w:snapToGrid w:val="0"/>
          <w:kern w:val="0"/>
          <w:szCs w:val="21"/>
          <w:highlight w:val="none"/>
        </w:rPr>
        <w:t>限额设计</w:t>
      </w:r>
      <w:r>
        <w:rPr>
          <w:b/>
          <w:snapToGrid w:val="0"/>
          <w:kern w:val="0"/>
          <w:szCs w:val="21"/>
          <w:highlight w:val="none"/>
        </w:rPr>
        <w:t>，建安</w:t>
      </w:r>
      <w:r>
        <w:rPr>
          <w:rFonts w:hint="eastAsia"/>
          <w:b/>
          <w:snapToGrid w:val="0"/>
          <w:kern w:val="0"/>
          <w:szCs w:val="21"/>
          <w:highlight w:val="none"/>
        </w:rPr>
        <w:t>工程费</w:t>
      </w:r>
      <w:r>
        <w:rPr>
          <w:b/>
          <w:snapToGrid w:val="0"/>
          <w:kern w:val="0"/>
          <w:szCs w:val="21"/>
          <w:highlight w:val="none"/>
        </w:rPr>
        <w:t>控制在</w:t>
      </w:r>
      <w:r>
        <w:rPr>
          <w:b/>
          <w:snapToGrid w:val="0"/>
          <w:kern w:val="0"/>
          <w:szCs w:val="21"/>
          <w:highlight w:val="none"/>
          <w:u w:val="single"/>
        </w:rPr>
        <w:t xml:space="preserve">         </w:t>
      </w:r>
      <w:r>
        <w:rPr>
          <w:b/>
          <w:snapToGrid w:val="0"/>
          <w:kern w:val="0"/>
          <w:szCs w:val="21"/>
          <w:highlight w:val="none"/>
        </w:rPr>
        <w:t>万元</w:t>
      </w:r>
      <w:r>
        <w:rPr>
          <w:rFonts w:hint="eastAsia"/>
          <w:b/>
          <w:snapToGrid w:val="0"/>
          <w:kern w:val="0"/>
          <w:szCs w:val="21"/>
          <w:highlight w:val="none"/>
        </w:rPr>
        <w:t>（建安工程费中标价）</w:t>
      </w:r>
      <w:r>
        <w:rPr>
          <w:b/>
          <w:snapToGrid w:val="0"/>
          <w:kern w:val="0"/>
          <w:szCs w:val="21"/>
          <w:highlight w:val="none"/>
        </w:rPr>
        <w:t>以内</w:t>
      </w:r>
      <w:r>
        <w:rPr>
          <w:snapToGrid w:val="0"/>
          <w:kern w:val="0"/>
          <w:szCs w:val="21"/>
          <w:highlight w:val="none"/>
        </w:rPr>
        <w:t>。设计单位未取得发包人同意超投资限额设计的，超过5万元须限期改正，超过100万元须</w:t>
      </w:r>
      <w:r>
        <w:rPr>
          <w:rFonts w:hint="eastAsia"/>
          <w:snapToGrid w:val="0"/>
          <w:kern w:val="0"/>
          <w:szCs w:val="21"/>
          <w:highlight w:val="none"/>
        </w:rPr>
        <w:t>扣罚合同价的5</w:t>
      </w:r>
      <w:r>
        <w:rPr>
          <w:snapToGrid w:val="0"/>
          <w:kern w:val="0"/>
          <w:szCs w:val="21"/>
          <w:highlight w:val="none"/>
        </w:rPr>
        <w:t>%，超过200万元须扣罚合同价的</w:t>
      </w:r>
      <w:r>
        <w:rPr>
          <w:rFonts w:hint="eastAsia"/>
          <w:snapToGrid w:val="0"/>
          <w:kern w:val="0"/>
          <w:szCs w:val="21"/>
          <w:highlight w:val="none"/>
        </w:rPr>
        <w:t>10</w:t>
      </w:r>
      <w:r>
        <w:rPr>
          <w:snapToGrid w:val="0"/>
          <w:kern w:val="0"/>
          <w:szCs w:val="21"/>
          <w:highlight w:val="none"/>
        </w:rPr>
        <w:t>%，超过500万元按部分解除设计合同处理，超过1000万元按解除设计合同处理，设计单位双倍返还定金。此外，还应扣减超限额部分相应设计费两倍的金额，同时设计单位还要承担由此造成的一切经济责任和法律责任。</w:t>
      </w:r>
      <w:r>
        <w:rPr>
          <w:rFonts w:hint="eastAsia"/>
          <w:b/>
          <w:bCs/>
          <w:szCs w:val="21"/>
          <w:highlight w:val="none"/>
        </w:rPr>
        <w:t>经</w:t>
      </w:r>
      <w:r>
        <w:rPr>
          <w:rFonts w:hint="eastAsia" w:ascii="宋体" w:hAnsi="宋体"/>
          <w:b/>
          <w:bCs/>
          <w:szCs w:val="21"/>
          <w:highlight w:val="none"/>
        </w:rPr>
        <w:t>上级主管部门或建设单位批准超出原招标规模、标准而引起费用变化的</w:t>
      </w:r>
      <w:r>
        <w:rPr>
          <w:rFonts w:hint="eastAsia"/>
          <w:b/>
          <w:bCs/>
          <w:szCs w:val="21"/>
          <w:highlight w:val="none"/>
        </w:rPr>
        <w:t>除外。</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4.2.2</w:t>
      </w:r>
      <w:r>
        <w:rPr>
          <w:snapToGrid w:val="0"/>
          <w:kern w:val="0"/>
          <w:szCs w:val="21"/>
          <w:highlight w:val="none"/>
        </w:rPr>
        <w:t>发包人变更委托设计项目、规模、条件或因提交的资料错误，或所提交资料作较大修改，以致造成设计人设计需返工、设计规模调整的，双方协商一致后，按程序上报并通过后，根据本合同协议书第3.3条调整设计费。</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4.3 工程设计的总体要求</w:t>
      </w:r>
    </w:p>
    <w:p>
      <w:pPr>
        <w:adjustRightInd w:val="0"/>
        <w:snapToGrid w:val="0"/>
        <w:spacing w:line="360" w:lineRule="auto"/>
        <w:ind w:firstLine="308" w:firstLineChars="147"/>
        <w:rPr>
          <w:snapToGrid w:val="0"/>
          <w:kern w:val="0"/>
          <w:szCs w:val="21"/>
          <w:highlight w:val="none"/>
        </w:rPr>
      </w:pPr>
      <w:r>
        <w:rPr>
          <w:snapToGrid w:val="0"/>
          <w:kern w:val="0"/>
          <w:szCs w:val="21"/>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（2）承包人应在设计成果文件中明确列出本合同工程设计涉及到的详细的设计规范、规定及标准（名称、编号与版本）。</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（5）承包人根据本合同约定进行设计、资料管理、技术管理、现场配合等工作时，必须同时遵守档案馆的相关设计、技术、图文、图档、工程的各项管理办法、规定和细则。</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（6）承包人应积极配合政府行政部门或行业主管部门的各项审批、施工图审查单位、发包人的审核、施工图强制审查及图纸会审，对审查过程中发现的设计质量问题，应及时解决并按规定出具修改图纸，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kern w:val="0"/>
          <w:szCs w:val="21"/>
          <w:highlight w:val="none"/>
        </w:rPr>
        <w:t>逾期未提供图纸，或提供图纸不符合要求的按合同条款的有关约定承担违约责任</w:t>
      </w:r>
      <w:r>
        <w:rPr>
          <w:snapToGrid w:val="0"/>
          <w:kern w:val="0"/>
          <w:szCs w:val="21"/>
          <w:highlight w:val="none"/>
        </w:rPr>
        <w:t>。</w:t>
      </w:r>
    </w:p>
    <w:p>
      <w:pPr>
        <w:adjustRightInd w:val="0"/>
        <w:snapToGrid w:val="0"/>
        <w:spacing w:line="360" w:lineRule="auto"/>
        <w:ind w:firstLine="315" w:firstLineChars="150"/>
        <w:rPr>
          <w:snapToGrid w:val="0"/>
          <w:kern w:val="0"/>
          <w:szCs w:val="21"/>
          <w:highlight w:val="none"/>
          <w:u w:val="single"/>
        </w:rPr>
      </w:pPr>
      <w:r>
        <w:rPr>
          <w:snapToGrid w:val="0"/>
          <w:kern w:val="0"/>
          <w:szCs w:val="21"/>
          <w:highlight w:val="none"/>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（8）承包人的设计成果文件应尽可能减少施工难度，为施工创造方便合理的施工条件；应尽量减少施工对城市交通、市民生活以及水利的干扰，并尽可能减少对施工工期的影响。</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9）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pPr>
        <w:adjustRightInd w:val="0"/>
        <w:snapToGrid w:val="0"/>
        <w:spacing w:line="360" w:lineRule="auto"/>
        <w:ind w:firstLine="315" w:firstLineChars="150"/>
        <w:rPr>
          <w:snapToGrid w:val="0"/>
          <w:kern w:val="0"/>
          <w:szCs w:val="21"/>
          <w:highlight w:val="none"/>
        </w:rPr>
      </w:pPr>
      <w:r>
        <w:rPr>
          <w:snapToGrid w:val="0"/>
          <w:kern w:val="0"/>
          <w:szCs w:val="21"/>
          <w:highlight w:val="none"/>
        </w:rPr>
        <w:t>（10）在交付项目的部分或全部设计文件后，如获悉有更好的新工艺、新技术、新材料、新设备等适用于本合同工程，承包人应向发包人推荐并提供科学的评估。</w:t>
      </w:r>
    </w:p>
    <w:p>
      <w:pPr>
        <w:adjustRightInd w:val="0"/>
        <w:snapToGrid w:val="0"/>
        <w:spacing w:line="360" w:lineRule="auto"/>
        <w:ind w:firstLine="415" w:firstLineChars="197"/>
        <w:rPr>
          <w:b/>
          <w:snapToGrid w:val="0"/>
          <w:kern w:val="0"/>
          <w:szCs w:val="21"/>
          <w:highlight w:val="none"/>
        </w:rPr>
      </w:pPr>
      <w:r>
        <w:rPr>
          <w:b/>
          <w:snapToGrid w:val="0"/>
          <w:kern w:val="0"/>
          <w:szCs w:val="21"/>
          <w:highlight w:val="none"/>
        </w:rPr>
        <w:t>4.4施工图设计阶段的主要工作及要求</w:t>
      </w:r>
    </w:p>
    <w:p>
      <w:pPr>
        <w:adjustRightInd w:val="0"/>
        <w:snapToGrid w:val="0"/>
        <w:spacing w:line="360" w:lineRule="auto"/>
        <w:ind w:firstLine="527" w:firstLineChars="250"/>
        <w:rPr>
          <w:snapToGrid w:val="0"/>
          <w:kern w:val="0"/>
          <w:szCs w:val="21"/>
          <w:highlight w:val="none"/>
        </w:rPr>
      </w:pPr>
      <w:r>
        <w:rPr>
          <w:b/>
          <w:snapToGrid w:val="0"/>
          <w:kern w:val="0"/>
          <w:szCs w:val="21"/>
          <w:highlight w:val="none"/>
        </w:rPr>
        <w:t>4.4.1</w:t>
      </w:r>
      <w:r>
        <w:rPr>
          <w:snapToGrid w:val="0"/>
          <w:kern w:val="0"/>
          <w:szCs w:val="21"/>
          <w:highlight w:val="none"/>
        </w:rPr>
        <w:t>施工图设计阶段的主要工作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（1）将施工图设计阶段的成果文件送施工图审查单位及发包人审查，并根据审查意见修改相关设计成果文件。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（2）按照广州市及花都区</w:t>
      </w:r>
      <w:r>
        <w:rPr>
          <w:rFonts w:hint="eastAsia"/>
          <w:snapToGrid w:val="0"/>
          <w:kern w:val="0"/>
          <w:szCs w:val="21"/>
          <w:highlight w:val="none"/>
        </w:rPr>
        <w:t>相关审批部门</w:t>
      </w:r>
      <w:r>
        <w:rPr>
          <w:snapToGrid w:val="0"/>
          <w:kern w:val="0"/>
          <w:szCs w:val="21"/>
          <w:highlight w:val="none"/>
        </w:rPr>
        <w:t xml:space="preserve">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1）总平面图（比例</w:t>
      </w:r>
      <w:r>
        <w:rPr>
          <w:snapToGrid w:val="0"/>
          <w:kern w:val="0"/>
          <w:szCs w:val="21"/>
          <w:highlight w:val="none"/>
          <w:u w:val="single"/>
        </w:rPr>
        <w:t xml:space="preserve"> 1：500～1000 </w:t>
      </w:r>
      <w:r>
        <w:rPr>
          <w:snapToGrid w:val="0"/>
          <w:kern w:val="0"/>
          <w:szCs w:val="21"/>
          <w:highlight w:val="none"/>
        </w:rPr>
        <w:t>，包括各项技术经济指标）；</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2）建筑构造和主要建筑材料说明；</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3）建筑平、立、剖面图（比例</w:t>
      </w:r>
      <w:r>
        <w:rPr>
          <w:snapToGrid w:val="0"/>
          <w:kern w:val="0"/>
          <w:szCs w:val="21"/>
          <w:highlight w:val="none"/>
          <w:u w:val="single"/>
        </w:rPr>
        <w:t xml:space="preserve"> 1：100～150 </w:t>
      </w:r>
      <w:r>
        <w:rPr>
          <w:snapToGrid w:val="0"/>
          <w:kern w:val="0"/>
          <w:szCs w:val="21"/>
          <w:highlight w:val="none"/>
        </w:rPr>
        <w:t>）。</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4）建筑综合管线图。</w:t>
      </w:r>
    </w:p>
    <w:p>
      <w:pPr>
        <w:adjustRightInd w:val="0"/>
        <w:snapToGrid w:val="0"/>
        <w:spacing w:line="360" w:lineRule="auto"/>
        <w:ind w:left="120" w:leftChars="57" w:firstLine="315" w:firstLineChars="150"/>
        <w:rPr>
          <w:snapToGrid w:val="0"/>
          <w:kern w:val="0"/>
          <w:szCs w:val="21"/>
          <w:highlight w:val="none"/>
        </w:rPr>
      </w:pPr>
      <w:r>
        <w:rPr>
          <w:snapToGrid w:val="0"/>
          <w:kern w:val="0"/>
          <w:szCs w:val="21"/>
          <w:highlight w:val="none"/>
        </w:rPr>
        <w:t>承包人应向发包人提交建筑施工报建所需相关设计成果文件（文件及图纸）文本文件</w:t>
      </w:r>
      <w:r>
        <w:rPr>
          <w:snapToGrid w:val="0"/>
          <w:kern w:val="0"/>
          <w:szCs w:val="21"/>
          <w:highlight w:val="none"/>
          <w:u w:val="single"/>
        </w:rPr>
        <w:t xml:space="preserve"> </w:t>
      </w:r>
      <w:r>
        <w:rPr>
          <w:rFonts w:hint="eastAsia"/>
          <w:snapToGrid w:val="0"/>
          <w:kern w:val="0"/>
          <w:szCs w:val="21"/>
          <w:highlight w:val="none"/>
          <w:u w:val="single"/>
        </w:rPr>
        <w:t>12</w:t>
      </w:r>
      <w:r>
        <w:rPr>
          <w:snapToGrid w:val="0"/>
          <w:kern w:val="0"/>
          <w:szCs w:val="21"/>
          <w:highlight w:val="none"/>
        </w:rPr>
        <w:t>套、电子文档光盘</w:t>
      </w:r>
      <w:r>
        <w:rPr>
          <w:snapToGrid w:val="0"/>
          <w:kern w:val="0"/>
          <w:szCs w:val="21"/>
          <w:highlight w:val="none"/>
          <w:u w:val="single"/>
        </w:rPr>
        <w:t xml:space="preserve"> 2 </w:t>
      </w:r>
      <w:r>
        <w:rPr>
          <w:snapToGrid w:val="0"/>
          <w:kern w:val="0"/>
          <w:szCs w:val="21"/>
          <w:highlight w:val="none"/>
        </w:rPr>
        <w:t>套（设计文件为DWG格式，CAD2004版本，费用已包含在本合同价款中，不另外增加）；文本文件加盖设计单位出图章、注册建筑师章。</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w:t>
      </w:r>
      <w:r>
        <w:rPr>
          <w:szCs w:val="21"/>
          <w:highlight w:val="none"/>
        </w:rPr>
        <w:t>对</w:t>
      </w:r>
      <w:r>
        <w:rPr>
          <w:snapToGrid w:val="0"/>
          <w:kern w:val="0"/>
          <w:szCs w:val="21"/>
          <w:highlight w:val="none"/>
        </w:rPr>
        <w:t>提交本合同范围内的</w:t>
      </w:r>
      <w:r>
        <w:rPr>
          <w:szCs w:val="21"/>
          <w:highlight w:val="none"/>
        </w:rPr>
        <w:t>各专项设计施工图</w:t>
      </w:r>
      <w:r>
        <w:rPr>
          <w:snapToGrid w:val="0"/>
          <w:kern w:val="0"/>
          <w:szCs w:val="21"/>
          <w:highlight w:val="none"/>
        </w:rPr>
        <w:t>设计成果文件，包括但不限于如下设计成果文件：</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1）总平面图；</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2）合同要求所涉及的所有专业（包括建筑、结构、给排水、电气、空调、园林景观等专业及各专项设计）的设计图纸及设计说明、计算书；</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3）设备材料表以及满足招投标要求的技术规格书；</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4）管线综合图（室外管线迁移图）；</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 xml:space="preserve">  5）苗木迁移方案（图）；</w:t>
      </w:r>
    </w:p>
    <w:p>
      <w:pPr>
        <w:adjustRightInd w:val="0"/>
        <w:snapToGrid w:val="0"/>
        <w:spacing w:line="360" w:lineRule="auto"/>
        <w:ind w:left="120" w:leftChars="57" w:firstLine="315" w:firstLineChars="150"/>
        <w:rPr>
          <w:snapToGrid w:val="0"/>
          <w:kern w:val="0"/>
          <w:szCs w:val="21"/>
          <w:highlight w:val="none"/>
        </w:rPr>
      </w:pPr>
      <w:r>
        <w:rPr>
          <w:snapToGrid w:val="0"/>
          <w:kern w:val="0"/>
          <w:szCs w:val="21"/>
          <w:highlight w:val="none"/>
        </w:rPr>
        <w:t>承包人应向发包人提交施工图设计成果文件（文件及图纸）文本文件</w:t>
      </w:r>
      <w:r>
        <w:rPr>
          <w:snapToGrid w:val="0"/>
          <w:kern w:val="0"/>
          <w:szCs w:val="21"/>
          <w:highlight w:val="none"/>
          <w:u w:val="single"/>
        </w:rPr>
        <w:t xml:space="preserve"> </w:t>
      </w:r>
      <w:r>
        <w:rPr>
          <w:rFonts w:hint="eastAsia"/>
          <w:snapToGrid w:val="0"/>
          <w:kern w:val="0"/>
          <w:szCs w:val="21"/>
          <w:highlight w:val="none"/>
          <w:u w:val="single"/>
        </w:rPr>
        <w:t>12</w:t>
      </w:r>
      <w:r>
        <w:rPr>
          <w:snapToGrid w:val="0"/>
          <w:kern w:val="0"/>
          <w:szCs w:val="21"/>
          <w:highlight w:val="none"/>
          <w:u w:val="single"/>
        </w:rPr>
        <w:t xml:space="preserve"> </w:t>
      </w:r>
      <w:r>
        <w:rPr>
          <w:snapToGrid w:val="0"/>
          <w:kern w:val="0"/>
          <w:szCs w:val="21"/>
          <w:highlight w:val="none"/>
        </w:rPr>
        <w:t>套、电子文档光盘</w:t>
      </w:r>
      <w:r>
        <w:rPr>
          <w:snapToGrid w:val="0"/>
          <w:kern w:val="0"/>
          <w:szCs w:val="21"/>
          <w:highlight w:val="none"/>
          <w:u w:val="single"/>
        </w:rPr>
        <w:t xml:space="preserve"> 2 </w:t>
      </w:r>
      <w:r>
        <w:rPr>
          <w:snapToGrid w:val="0"/>
          <w:kern w:val="0"/>
          <w:szCs w:val="21"/>
          <w:highlight w:val="none"/>
        </w:rPr>
        <w:t>套（设计文件为DWG格式，CAD2004版本，费用已包含在本合同价款中，不另外增加）；文本文件加盖设计单位出图章、注册建筑师章。</w:t>
      </w:r>
    </w:p>
    <w:p>
      <w:pPr>
        <w:adjustRightInd w:val="0"/>
        <w:snapToGrid w:val="0"/>
        <w:spacing w:line="360" w:lineRule="auto"/>
        <w:ind w:firstLine="527" w:firstLineChars="250"/>
        <w:rPr>
          <w:snapToGrid w:val="0"/>
          <w:kern w:val="0"/>
          <w:szCs w:val="21"/>
          <w:highlight w:val="none"/>
        </w:rPr>
      </w:pPr>
      <w:r>
        <w:rPr>
          <w:b/>
          <w:snapToGrid w:val="0"/>
          <w:kern w:val="0"/>
          <w:szCs w:val="21"/>
          <w:highlight w:val="none"/>
        </w:rPr>
        <w:t>4.4.2</w:t>
      </w:r>
      <w:r>
        <w:rPr>
          <w:snapToGrid w:val="0"/>
          <w:kern w:val="0"/>
          <w:szCs w:val="21"/>
          <w:highlight w:val="none"/>
        </w:rPr>
        <w:t>施工图设计阶段的工作要求</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（1）施工图设计文件均以各工程子项为编制单位。</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（2）施工图设计文件的深度要满足以下要求：</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1）应根据政府有关主管部门批准的初步设计进行编制；</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2）满足建设部批准的《建筑工程设计文件编制深度规定》（2016版）施工图设计阶段的要求；</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3）能据以安排材料、设备订货和非标准设备的制作；</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4）能据以进行施工和安装；</w:t>
      </w:r>
    </w:p>
    <w:p>
      <w:pPr>
        <w:adjustRightInd w:val="0"/>
        <w:snapToGrid w:val="0"/>
        <w:spacing w:line="360" w:lineRule="auto"/>
        <w:ind w:firstLine="630" w:firstLineChars="300"/>
        <w:rPr>
          <w:snapToGrid w:val="0"/>
          <w:kern w:val="0"/>
          <w:szCs w:val="21"/>
          <w:highlight w:val="none"/>
        </w:rPr>
      </w:pPr>
      <w:r>
        <w:rPr>
          <w:snapToGrid w:val="0"/>
          <w:kern w:val="0"/>
          <w:szCs w:val="21"/>
          <w:highlight w:val="none"/>
        </w:rPr>
        <w:t>5）能据以进行工程竣工验收。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（3）承包人提交给发包人的施工图设计成果文件应不存在错、漏、碰等问题。</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（4）承包人应重点对建筑单体室内外给水、排水、电气、采暖通风、空调、动力等管线进行各专业综合分析,协调并解决其中矛盾,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firstLine="420" w:firstLineChars="200"/>
        <w:rPr>
          <w:szCs w:val="21"/>
          <w:highlight w:val="none"/>
        </w:rPr>
      </w:pPr>
      <w:r>
        <w:rPr>
          <w:szCs w:val="21"/>
          <w:highlight w:val="none"/>
        </w:rPr>
        <w:t>（5）承包人应根据本合同工程设计的特点，提供施工安装操作、安全防护的有关要求。</w:t>
      </w:r>
    </w:p>
    <w:p>
      <w:pPr>
        <w:adjustRightInd w:val="0"/>
        <w:snapToGrid w:val="0"/>
        <w:spacing w:line="360" w:lineRule="auto"/>
        <w:ind w:firstLine="422" w:firstLineChars="200"/>
        <w:rPr>
          <w:b/>
          <w:bCs/>
          <w:snapToGrid w:val="0"/>
          <w:kern w:val="0"/>
          <w:szCs w:val="21"/>
          <w:highlight w:val="none"/>
        </w:rPr>
      </w:pPr>
      <w:r>
        <w:rPr>
          <w:b/>
          <w:bCs/>
          <w:snapToGrid w:val="0"/>
          <w:kern w:val="0"/>
          <w:szCs w:val="21"/>
          <w:highlight w:val="none"/>
        </w:rPr>
        <w:t>4.5材料、设备选型的设计配合</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4.5.1</w:t>
      </w:r>
      <w:r>
        <w:rPr>
          <w:snapToGrid w:val="0"/>
          <w:kern w:val="0"/>
          <w:szCs w:val="21"/>
          <w:highlight w:val="none"/>
        </w:rPr>
        <w:t>设计成果文件中选用的建筑材料、建筑构配件和设备，其质量标准必须符合国家规范、标准要求。</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4.5.2</w:t>
      </w:r>
      <w:r>
        <w:rPr>
          <w:snapToGrid w:val="0"/>
          <w:kern w:val="0"/>
          <w:szCs w:val="21"/>
          <w:highlight w:val="none"/>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4.5.3</w:t>
      </w:r>
      <w:r>
        <w:rPr>
          <w:snapToGrid w:val="0"/>
          <w:kern w:val="0"/>
          <w:szCs w:val="21"/>
          <w:highlight w:val="none"/>
        </w:rPr>
        <w:t>设计文件对于工艺、技术、材料、设备的选用应该满足施工进度的要求，充分考虑设计的可实施性，重视和吸收施工单位对施工安装提出的意见，并充分考虑国内承建商的施工能力。</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4.5.4</w:t>
      </w:r>
      <w:r>
        <w:rPr>
          <w:snapToGrid w:val="0"/>
          <w:kern w:val="0"/>
          <w:szCs w:val="21"/>
          <w:highlight w:val="none"/>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4.5.5</w:t>
      </w:r>
      <w:r>
        <w:rPr>
          <w:snapToGrid w:val="0"/>
          <w:kern w:val="0"/>
          <w:szCs w:val="21"/>
          <w:highlight w:val="none"/>
        </w:rPr>
        <w:t>承包人应及时提供工程的各主要建筑材料和设备的生产厂商及价格等资料，供发包人选择时参考。</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4.5.6</w:t>
      </w:r>
      <w:r>
        <w:rPr>
          <w:snapToGrid w:val="0"/>
          <w:kern w:val="0"/>
          <w:szCs w:val="21"/>
          <w:highlight w:val="none"/>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4.5.7</w:t>
      </w:r>
      <w:r>
        <w:rPr>
          <w:snapToGrid w:val="0"/>
          <w:kern w:val="0"/>
          <w:szCs w:val="21"/>
          <w:highlight w:val="none"/>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4.5.8</w:t>
      </w:r>
      <w:r>
        <w:rPr>
          <w:snapToGrid w:val="0"/>
          <w:kern w:val="0"/>
          <w:szCs w:val="21"/>
          <w:highlight w:val="none"/>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4.5.9</w:t>
      </w:r>
      <w:r>
        <w:rPr>
          <w:snapToGrid w:val="0"/>
          <w:kern w:val="0"/>
          <w:szCs w:val="21"/>
          <w:highlight w:val="none"/>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4.5.10</w:t>
      </w:r>
      <w:r>
        <w:rPr>
          <w:snapToGrid w:val="0"/>
          <w:kern w:val="0"/>
          <w:szCs w:val="21"/>
          <w:highlight w:val="none"/>
        </w:rPr>
        <w:t>承包人应详细了解市场上本合同工程的主要材料和设备生产商的供货能力和供货周期（包括生产时间和运输时间），并据此向发包人提出各种主要材料和设备（包括国产和国外进口的）的提前订货时间的建议。</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5  设计服务</w:t>
      </w:r>
    </w:p>
    <w:p>
      <w:pPr>
        <w:adjustRightInd w:val="0"/>
        <w:snapToGrid w:val="0"/>
        <w:spacing w:line="360" w:lineRule="auto"/>
        <w:ind w:firstLine="411" w:firstLineChars="196"/>
        <w:rPr>
          <w:b/>
          <w:bCs/>
          <w:snapToGrid w:val="0"/>
          <w:kern w:val="0"/>
          <w:szCs w:val="21"/>
          <w:highlight w:val="none"/>
        </w:rPr>
      </w:pPr>
      <w:r>
        <w:rPr>
          <w:snapToGrid w:val="0"/>
          <w:kern w:val="0"/>
          <w:szCs w:val="21"/>
          <w:highlight w:val="none"/>
        </w:rPr>
        <w:t>承包人的服务应符合国际通用的ISO9001质量管理体系对于工程设计所规定的标准及质量要求。承包人应及时地提供服务，满足发包人在时间上的要求。</w:t>
      </w:r>
    </w:p>
    <w:p>
      <w:pPr>
        <w:adjustRightInd w:val="0"/>
        <w:snapToGrid w:val="0"/>
        <w:spacing w:line="360" w:lineRule="auto"/>
        <w:ind w:firstLine="415" w:firstLineChars="197"/>
        <w:rPr>
          <w:b/>
          <w:snapToGrid w:val="0"/>
          <w:kern w:val="0"/>
          <w:szCs w:val="21"/>
          <w:highlight w:val="none"/>
        </w:rPr>
      </w:pPr>
      <w:r>
        <w:rPr>
          <w:b/>
          <w:snapToGrid w:val="0"/>
          <w:kern w:val="0"/>
          <w:szCs w:val="21"/>
          <w:highlight w:val="none"/>
        </w:rPr>
        <w:t>5.1驻场设计</w:t>
      </w:r>
    </w:p>
    <w:p>
      <w:pPr>
        <w:adjustRightInd w:val="0"/>
        <w:snapToGrid w:val="0"/>
        <w:spacing w:line="360" w:lineRule="auto"/>
        <w:ind w:firstLine="413" w:firstLineChars="197"/>
        <w:rPr>
          <w:snapToGrid w:val="0"/>
          <w:kern w:val="0"/>
          <w:szCs w:val="21"/>
          <w:highlight w:val="none"/>
        </w:rPr>
      </w:pPr>
      <w:r>
        <w:rPr>
          <w:rFonts w:hint="eastAsia"/>
          <w:snapToGrid w:val="0"/>
          <w:kern w:val="0"/>
          <w:szCs w:val="21"/>
          <w:highlight w:val="none"/>
        </w:rPr>
        <w:t>无</w:t>
      </w:r>
    </w:p>
    <w:p>
      <w:pPr>
        <w:adjustRightInd w:val="0"/>
        <w:snapToGrid w:val="0"/>
        <w:spacing w:line="360" w:lineRule="auto"/>
        <w:ind w:firstLine="480"/>
        <w:rPr>
          <w:b/>
          <w:snapToGrid w:val="0"/>
          <w:kern w:val="0"/>
          <w:szCs w:val="21"/>
          <w:highlight w:val="none"/>
        </w:rPr>
      </w:pPr>
      <w:r>
        <w:rPr>
          <w:b/>
          <w:snapToGrid w:val="0"/>
          <w:kern w:val="0"/>
          <w:szCs w:val="21"/>
          <w:highlight w:val="none"/>
        </w:rPr>
        <w:t>5.2报审报建配合服务</w:t>
      </w:r>
    </w:p>
    <w:p>
      <w:pPr>
        <w:adjustRightInd w:val="0"/>
        <w:snapToGrid w:val="0"/>
        <w:spacing w:line="360" w:lineRule="auto"/>
        <w:ind w:firstLine="480"/>
        <w:rPr>
          <w:snapToGrid w:val="0"/>
          <w:kern w:val="0"/>
          <w:szCs w:val="21"/>
          <w:highlight w:val="none"/>
        </w:rPr>
      </w:pPr>
      <w:r>
        <w:rPr>
          <w:b/>
          <w:snapToGrid w:val="0"/>
          <w:kern w:val="0"/>
          <w:szCs w:val="21"/>
          <w:highlight w:val="none"/>
        </w:rPr>
        <w:t>5.2.1</w:t>
      </w:r>
      <w:r>
        <w:rPr>
          <w:snapToGrid w:val="0"/>
          <w:kern w:val="0"/>
          <w:szCs w:val="21"/>
          <w:highlight w:val="none"/>
        </w:rPr>
        <w:t>承包人应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snapToGrid w:val="0"/>
          <w:kern w:val="0"/>
          <w:szCs w:val="21"/>
          <w:highlight w:val="none"/>
        </w:rPr>
      </w:pPr>
      <w:r>
        <w:rPr>
          <w:b/>
          <w:snapToGrid w:val="0"/>
          <w:kern w:val="0"/>
          <w:szCs w:val="21"/>
          <w:highlight w:val="none"/>
        </w:rPr>
        <w:t>5.2.2</w:t>
      </w:r>
      <w:r>
        <w:rPr>
          <w:snapToGrid w:val="0"/>
          <w:kern w:val="0"/>
          <w:szCs w:val="21"/>
          <w:highlight w:val="none"/>
        </w:rPr>
        <w:t>对承包人提交报审报建资料的要求：提交的文件、图纸及其相应的电子文件按照相关报审报建职能部门或主管部门的提交要求和份数要求。</w:t>
      </w:r>
    </w:p>
    <w:p>
      <w:pPr>
        <w:adjustRightInd w:val="0"/>
        <w:snapToGrid w:val="0"/>
        <w:spacing w:line="360" w:lineRule="auto"/>
        <w:ind w:firstLine="480"/>
        <w:rPr>
          <w:b/>
          <w:snapToGrid w:val="0"/>
          <w:kern w:val="0"/>
          <w:szCs w:val="21"/>
          <w:highlight w:val="none"/>
        </w:rPr>
      </w:pPr>
      <w:r>
        <w:rPr>
          <w:b/>
          <w:snapToGrid w:val="0"/>
          <w:kern w:val="0"/>
          <w:szCs w:val="21"/>
          <w:highlight w:val="none"/>
        </w:rPr>
        <w:t>5.2.3</w:t>
      </w:r>
      <w:r>
        <w:rPr>
          <w:snapToGrid w:val="0"/>
          <w:kern w:val="0"/>
          <w:szCs w:val="21"/>
          <w:highlight w:val="none"/>
        </w:rPr>
        <w:t>报审报建配合服务：</w:t>
      </w:r>
      <w:r>
        <w:rPr>
          <w:b/>
          <w:snapToGrid w:val="0"/>
          <w:kern w:val="0"/>
          <w:szCs w:val="21"/>
          <w:highlight w:val="none"/>
        </w:rPr>
        <w:t>承包人应安排专人（1名）全面配合跟进所有报审报建工作。</w:t>
      </w:r>
    </w:p>
    <w:p>
      <w:pPr>
        <w:adjustRightInd w:val="0"/>
        <w:snapToGrid w:val="0"/>
        <w:spacing w:line="360" w:lineRule="auto"/>
        <w:ind w:firstLine="480"/>
        <w:rPr>
          <w:snapToGrid w:val="0"/>
          <w:kern w:val="0"/>
          <w:szCs w:val="21"/>
          <w:highlight w:val="none"/>
        </w:rPr>
      </w:pPr>
      <w:r>
        <w:rPr>
          <w:b/>
          <w:snapToGrid w:val="0"/>
          <w:kern w:val="0"/>
          <w:szCs w:val="21"/>
          <w:highlight w:val="none"/>
        </w:rPr>
        <w:t xml:space="preserve">5.3 </w:t>
      </w:r>
      <w:r>
        <w:rPr>
          <w:snapToGrid w:val="0"/>
          <w:kern w:val="0"/>
          <w:szCs w:val="21"/>
          <w:highlight w:val="none"/>
        </w:rPr>
        <w:t>招标配合服务</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5.3.1</w:t>
      </w:r>
      <w:r>
        <w:rPr>
          <w:snapToGrid w:val="0"/>
          <w:kern w:val="0"/>
          <w:szCs w:val="21"/>
          <w:highlight w:val="none"/>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5.3.2</w:t>
      </w:r>
      <w:r>
        <w:rPr>
          <w:snapToGrid w:val="0"/>
          <w:kern w:val="0"/>
          <w:szCs w:val="21"/>
          <w:highlight w:val="none"/>
        </w:rPr>
        <w:t>对于发包人召开的相关招标会议（如招投标答疑会、预算会议等），承包人应根据发包人的要求派出相关专业人员参加，并积极配合发包人做好投标答疑文件、招标澄清文件等的编制工作。</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5.3.3</w:t>
      </w:r>
      <w:r>
        <w:rPr>
          <w:snapToGrid w:val="0"/>
          <w:kern w:val="0"/>
          <w:szCs w:val="21"/>
          <w:highlight w:val="none"/>
        </w:rPr>
        <w:t xml:space="preserve"> 承包人根据发包人要求（包括时间要求、深度要求等）提供本合同工程进行招标所需的设计成果文件。</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5.3.4</w:t>
      </w:r>
      <w:r>
        <w:rPr>
          <w:snapToGrid w:val="0"/>
          <w:kern w:val="0"/>
          <w:szCs w:val="21"/>
          <w:highlight w:val="none"/>
        </w:rPr>
        <w:t>承包人应负责协调各专业设计单位编写工程施工、材料设备等招标文件中的技术和质量标准。</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5.4</w:t>
      </w:r>
      <w:r>
        <w:rPr>
          <w:snapToGrid w:val="0"/>
          <w:kern w:val="0"/>
          <w:szCs w:val="21"/>
          <w:highlight w:val="none"/>
        </w:rPr>
        <w:t>施工阶段的现场服务</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5.4.1</w:t>
      </w:r>
      <w:r>
        <w:rPr>
          <w:snapToGrid w:val="0"/>
          <w:kern w:val="0"/>
          <w:szCs w:val="21"/>
          <w:highlight w:val="none"/>
        </w:rPr>
        <w:t>承包人承诺将根据本合同工程建设进展情况和发包人的要求提供现场服务，解决工程中涉及到的设计问题。主要工作如下（包括但不限于）：</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（1）参与设计的技术协调会，做好设计交底工作。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（2）各施工阶段开始前，按承包人的设计分工，参与图纸会审，解答有关设计问题，并按规定及时出具相应的修改图纸、补充图纸及技术文件。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当建设过程中对设计文件有疑问时，承包人在接到通知后，应及时派出专业工程师解决。属于一般设计问题，若无特殊情况，应在1天内解决；属于重大设计问题，可在5天内书面提出解决意见；对设计图纸与现场不符之处，应一周内提出解决办法，否则按照严重违约处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w:t>
      </w:r>
      <w:r>
        <w:rPr>
          <w:rFonts w:hint="eastAsia"/>
          <w:snapToGrid w:val="0"/>
          <w:kern w:val="0"/>
          <w:szCs w:val="21"/>
          <w:highlight w:val="none"/>
        </w:rPr>
        <w:t>5</w:t>
      </w:r>
      <w:r>
        <w:rPr>
          <w:snapToGrid w:val="0"/>
          <w:kern w:val="0"/>
          <w:szCs w:val="21"/>
          <w:highlight w:val="none"/>
        </w:rPr>
        <w:t>）承包人应在设备、材料采购订货前对有关性能、参数、规格及主要设备数量进行确认；按发包人要求对己订购的主要设备、材料进行到货验收。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w:t>
      </w:r>
      <w:r>
        <w:rPr>
          <w:rFonts w:hint="eastAsia"/>
          <w:snapToGrid w:val="0"/>
          <w:kern w:val="0"/>
          <w:szCs w:val="21"/>
          <w:highlight w:val="none"/>
        </w:rPr>
        <w:t>6</w:t>
      </w:r>
      <w:r>
        <w:rPr>
          <w:snapToGrid w:val="0"/>
          <w:kern w:val="0"/>
          <w:szCs w:val="21"/>
          <w:highlight w:val="none"/>
        </w:rPr>
        <w:t>）承包人应协助制订设备系统的调试计划和参与设备试车调试。</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w:t>
      </w:r>
      <w:r>
        <w:rPr>
          <w:rFonts w:hint="eastAsia"/>
          <w:snapToGrid w:val="0"/>
          <w:kern w:val="0"/>
          <w:szCs w:val="21"/>
          <w:highlight w:val="none"/>
        </w:rPr>
        <w:t>7</w:t>
      </w:r>
      <w:r>
        <w:rPr>
          <w:snapToGrid w:val="0"/>
          <w:kern w:val="0"/>
          <w:szCs w:val="21"/>
          <w:highlight w:val="none"/>
        </w:rPr>
        <w:t>）承包人应参与工程的报建与竣工验收，参与编写工程总结。</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w:t>
      </w:r>
      <w:r>
        <w:rPr>
          <w:rFonts w:hint="eastAsia"/>
          <w:snapToGrid w:val="0"/>
          <w:kern w:val="0"/>
          <w:szCs w:val="21"/>
          <w:highlight w:val="none"/>
        </w:rPr>
        <w:t>8</w:t>
      </w:r>
      <w:r>
        <w:rPr>
          <w:snapToGrid w:val="0"/>
          <w:kern w:val="0"/>
          <w:szCs w:val="21"/>
          <w:highlight w:val="none"/>
        </w:rPr>
        <w:t>）承包人项目负责人应参加发包人召开的协调会、调度会。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w:t>
      </w:r>
      <w:r>
        <w:rPr>
          <w:rFonts w:hint="eastAsia"/>
          <w:snapToGrid w:val="0"/>
          <w:kern w:val="0"/>
          <w:szCs w:val="21"/>
          <w:highlight w:val="none"/>
        </w:rPr>
        <w:t>9</w:t>
      </w:r>
      <w:r>
        <w:rPr>
          <w:snapToGrid w:val="0"/>
          <w:kern w:val="0"/>
          <w:szCs w:val="21"/>
          <w:highlight w:val="none"/>
        </w:rPr>
        <w:t>）承包人应出具施工过程中设计变更的预算造价文件，预算造价文件的编制及软件使用应符合发包人要求。</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w:t>
      </w:r>
      <w:r>
        <w:rPr>
          <w:rFonts w:hint="eastAsia"/>
          <w:snapToGrid w:val="0"/>
          <w:kern w:val="0"/>
          <w:szCs w:val="21"/>
          <w:highlight w:val="none"/>
        </w:rPr>
        <w:t>0</w:t>
      </w:r>
      <w:r>
        <w:rPr>
          <w:snapToGrid w:val="0"/>
          <w:kern w:val="0"/>
          <w:szCs w:val="21"/>
          <w:highlight w:val="none"/>
        </w:rPr>
        <w:t>）由承包人提供的工作联系单或设计变更须加盖设计出图章和相应注册师章。</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5.4.2</w:t>
      </w:r>
      <w:r>
        <w:rPr>
          <w:snapToGrid w:val="0"/>
          <w:kern w:val="0"/>
          <w:szCs w:val="21"/>
          <w:highlight w:val="none"/>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22" w:firstLineChars="200"/>
        <w:rPr>
          <w:kern w:val="0"/>
          <w:szCs w:val="21"/>
          <w:highlight w:val="none"/>
        </w:rPr>
      </w:pPr>
      <w:r>
        <w:rPr>
          <w:b/>
          <w:snapToGrid w:val="0"/>
          <w:kern w:val="0"/>
          <w:szCs w:val="21"/>
          <w:highlight w:val="none"/>
        </w:rPr>
        <w:t>5.4.</w:t>
      </w:r>
      <w:r>
        <w:rPr>
          <w:b/>
          <w:szCs w:val="21"/>
          <w:highlight w:val="none"/>
        </w:rPr>
        <w:t>3</w:t>
      </w:r>
      <w:r>
        <w:rPr>
          <w:kern w:val="0"/>
          <w:szCs w:val="21"/>
          <w:highlight w:val="none"/>
        </w:rPr>
        <w:t>参加隐蔽工程验收、分部子分部及工程竣工验收，根据国家、省、市相关规定出具隐蔽工程验收、分部子分部工程和工程竣工验收意见。隐蔽工程验收、分部子分部验收在2天内出具设计单位意见，在工程竣工验收前5天内按时提交《设计文件质量检查报告》各一式六份。</w:t>
      </w:r>
    </w:p>
    <w:p>
      <w:pPr>
        <w:adjustRightInd w:val="0"/>
        <w:snapToGrid w:val="0"/>
        <w:spacing w:line="360" w:lineRule="auto"/>
        <w:ind w:firstLine="422" w:firstLineChars="200"/>
        <w:rPr>
          <w:szCs w:val="21"/>
          <w:highlight w:val="none"/>
        </w:rPr>
      </w:pPr>
      <w:r>
        <w:rPr>
          <w:b/>
          <w:szCs w:val="21"/>
          <w:highlight w:val="none"/>
        </w:rPr>
        <w:t>5.4.4</w:t>
      </w:r>
      <w:r>
        <w:rPr>
          <w:szCs w:val="21"/>
          <w:highlight w:val="none"/>
        </w:rPr>
        <w:t xml:space="preserve"> 对项目各专项工程（包括但不限于规划、防雷、卫生防疫、环保、煤气、给水、消防、电梯、人防、节能、园林绿化等）的验收、备案工作予以配合，具体验收配合工作包括但不限于：</w:t>
      </w:r>
    </w:p>
    <w:p>
      <w:pPr>
        <w:adjustRightInd w:val="0"/>
        <w:snapToGrid w:val="0"/>
        <w:spacing w:line="360" w:lineRule="auto"/>
        <w:ind w:firstLine="420" w:firstLineChars="200"/>
        <w:rPr>
          <w:szCs w:val="21"/>
          <w:highlight w:val="none"/>
        </w:rPr>
      </w:pPr>
      <w:r>
        <w:rPr>
          <w:szCs w:val="21"/>
          <w:highlight w:val="none"/>
        </w:rPr>
        <w:t>（1）于各专项验收申请表送达后2天内，出具设计单位意见；</w:t>
      </w:r>
    </w:p>
    <w:p>
      <w:pPr>
        <w:adjustRightInd w:val="0"/>
        <w:snapToGrid w:val="0"/>
        <w:spacing w:line="360" w:lineRule="auto"/>
        <w:ind w:firstLine="420" w:firstLineChars="200"/>
        <w:rPr>
          <w:szCs w:val="21"/>
          <w:highlight w:val="none"/>
        </w:rPr>
      </w:pPr>
      <w:r>
        <w:rPr>
          <w:szCs w:val="21"/>
          <w:highlight w:val="none"/>
        </w:rPr>
        <w:t>（2）对因专项工程验收、备案需增加晒制的图纸，在收到发包人通知后3天内提交，相关费用按合同条款第14</w:t>
      </w:r>
      <w:r>
        <w:rPr>
          <w:rFonts w:hint="eastAsia"/>
          <w:szCs w:val="21"/>
          <w:highlight w:val="none"/>
        </w:rPr>
        <w:t>.</w:t>
      </w:r>
      <w:r>
        <w:rPr>
          <w:szCs w:val="21"/>
          <w:highlight w:val="none"/>
        </w:rPr>
        <w:t>4条的相关约定执行。</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5.5</w:t>
      </w:r>
      <w:r>
        <w:rPr>
          <w:snapToGrid w:val="0"/>
          <w:kern w:val="0"/>
          <w:szCs w:val="21"/>
          <w:highlight w:val="none"/>
        </w:rPr>
        <w:t>工程结算配合服务</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5.5.1</w:t>
      </w:r>
      <w:r>
        <w:rPr>
          <w:snapToGrid w:val="0"/>
          <w:kern w:val="0"/>
          <w:szCs w:val="21"/>
          <w:highlight w:val="none"/>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5.5.2</w:t>
      </w:r>
      <w:r>
        <w:rPr>
          <w:snapToGrid w:val="0"/>
          <w:kern w:val="0"/>
          <w:szCs w:val="21"/>
          <w:highlight w:val="none"/>
        </w:rPr>
        <w:t>承包人应根据发包人的要求提供结算工作所涉及的设计变更的相关设计文件（如设计变更预估算书等）。</w:t>
      </w:r>
    </w:p>
    <w:p>
      <w:pPr>
        <w:adjustRightInd w:val="0"/>
        <w:snapToGrid w:val="0"/>
        <w:spacing w:line="360" w:lineRule="auto"/>
        <w:ind w:left="120" w:leftChars="57" w:firstLine="316" w:firstLineChars="150"/>
        <w:rPr>
          <w:snapToGrid w:val="0"/>
          <w:kern w:val="0"/>
          <w:szCs w:val="21"/>
          <w:highlight w:val="none"/>
        </w:rPr>
      </w:pPr>
      <w:r>
        <w:rPr>
          <w:b/>
          <w:snapToGrid w:val="0"/>
          <w:kern w:val="0"/>
          <w:szCs w:val="21"/>
          <w:highlight w:val="none"/>
        </w:rPr>
        <w:t>5.5.3承包人应负责完成其设计范围内的竣工图审核和编制工作，相关费用已含于设计费中。</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 xml:space="preserve">5.5.4 </w:t>
      </w:r>
      <w:r>
        <w:rPr>
          <w:snapToGrid w:val="0"/>
          <w:kern w:val="0"/>
          <w:szCs w:val="21"/>
          <w:highlight w:val="none"/>
        </w:rPr>
        <w:t>承包人应根据发包人要求在工程结算过程中提供相关的技术支持。</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5.5.5</w:t>
      </w:r>
      <w:r>
        <w:rPr>
          <w:snapToGrid w:val="0"/>
          <w:kern w:val="0"/>
          <w:szCs w:val="21"/>
          <w:highlight w:val="none"/>
        </w:rPr>
        <w:t xml:space="preserve"> 为确保本合同工程结算的顺利进行，发包人可能对本合同工程按分部分项或单位工程进行分段结算，承包人在接到发包人关于分段结算配合工作的指令后7天内向发包人提交相关的分段结算配合服务工作计划。</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承包人应根据经过发包人批准的分段结算配合服务工作计划积极配合相关的分段结算工作。</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5.6</w:t>
      </w:r>
      <w:r>
        <w:rPr>
          <w:snapToGrid w:val="0"/>
          <w:kern w:val="0"/>
          <w:szCs w:val="21"/>
          <w:highlight w:val="none"/>
        </w:rPr>
        <w:t>保修阶段的服务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承包人应根据发包人或本合同工程使用单位的要求积极配合并参与工程的保修工作，提供相应的技术支持，对期间发生的工程问题提交书面的技术建议及相关的工程设计资料。</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6、设计人员</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6.1</w:t>
      </w:r>
      <w:r>
        <w:rPr>
          <w:snapToGrid w:val="0"/>
          <w:kern w:val="0"/>
          <w:szCs w:val="21"/>
          <w:highlight w:val="none"/>
        </w:rPr>
        <w:t>为确保本合同工程的设计质量，在明确分工各负其责的基础上，承包人在本合同履行期内为本合同工程派出的设计</w:t>
      </w:r>
      <w:r>
        <w:rPr>
          <w:rFonts w:hint="eastAsia"/>
          <w:snapToGrid w:val="0"/>
          <w:kern w:val="0"/>
          <w:szCs w:val="21"/>
          <w:highlight w:val="none"/>
        </w:rPr>
        <w:t>人员</w:t>
      </w:r>
      <w:r>
        <w:rPr>
          <w:snapToGrid w:val="0"/>
          <w:kern w:val="0"/>
          <w:szCs w:val="21"/>
          <w:highlight w:val="none"/>
        </w:rPr>
        <w:t>职务、资历、资格须满足合同约定, 在本合同履行期间，非经过发包人同意，不得更换</w:t>
      </w:r>
      <w:r>
        <w:rPr>
          <w:rStyle w:val="90"/>
          <w:highlight w:val="none"/>
        </w:rPr>
        <w:t>或再参与本合同项目以外的其他工作。</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6.2</w:t>
      </w:r>
      <w:r>
        <w:rPr>
          <w:snapToGrid w:val="0"/>
          <w:kern w:val="0"/>
          <w:szCs w:val="21"/>
          <w:highlight w:val="none"/>
        </w:rPr>
        <w:t>设计单位应根据设计任务建立项目组，从组织上保证投入的人力、物力能满足设计开展的需要，保证不同设计时段设计工作的连续性和外部条件接口衔接的连贯性。</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6.3</w:t>
      </w:r>
      <w:r>
        <w:rPr>
          <w:snapToGrid w:val="0"/>
          <w:kern w:val="0"/>
          <w:szCs w:val="21"/>
          <w:highlight w:val="none"/>
        </w:rPr>
        <w:t>发包人认为设计</w:t>
      </w:r>
      <w:r>
        <w:rPr>
          <w:rFonts w:hint="eastAsia"/>
          <w:snapToGrid w:val="0"/>
          <w:kern w:val="0"/>
          <w:szCs w:val="21"/>
          <w:highlight w:val="none"/>
        </w:rPr>
        <w:t>人员</w:t>
      </w:r>
      <w:r>
        <w:rPr>
          <w:snapToGrid w:val="0"/>
          <w:kern w:val="0"/>
          <w:szCs w:val="21"/>
          <w:highlight w:val="none"/>
        </w:rPr>
        <w:t>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pPr>
        <w:adjustRightInd w:val="0"/>
        <w:snapToGrid w:val="0"/>
        <w:spacing w:line="360" w:lineRule="auto"/>
        <w:ind w:firstLine="422" w:firstLineChars="200"/>
        <w:rPr>
          <w:b/>
          <w:bCs/>
          <w:snapToGrid w:val="0"/>
          <w:kern w:val="0"/>
          <w:szCs w:val="21"/>
          <w:highlight w:val="none"/>
          <w:u w:val="single"/>
        </w:rPr>
      </w:pPr>
      <w:r>
        <w:rPr>
          <w:b/>
          <w:bCs/>
          <w:snapToGrid w:val="0"/>
          <w:kern w:val="0"/>
          <w:szCs w:val="21"/>
          <w:highlight w:val="none"/>
        </w:rPr>
        <w:t>7、设计分包</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7.1</w:t>
      </w:r>
      <w:r>
        <w:rPr>
          <w:snapToGrid w:val="0"/>
          <w:kern w:val="0"/>
          <w:szCs w:val="21"/>
          <w:highlight w:val="none"/>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pPr>
        <w:adjustRightInd w:val="0"/>
        <w:snapToGrid w:val="0"/>
        <w:spacing w:line="360" w:lineRule="auto"/>
        <w:ind w:firstLine="480"/>
        <w:rPr>
          <w:snapToGrid w:val="0"/>
          <w:kern w:val="0"/>
          <w:szCs w:val="21"/>
          <w:highlight w:val="none"/>
        </w:rPr>
      </w:pPr>
      <w:r>
        <w:rPr>
          <w:b/>
          <w:snapToGrid w:val="0"/>
          <w:kern w:val="0"/>
          <w:szCs w:val="21"/>
          <w:highlight w:val="none"/>
        </w:rPr>
        <w:t>7.2</w:t>
      </w:r>
      <w:r>
        <w:rPr>
          <w:snapToGrid w:val="0"/>
          <w:kern w:val="0"/>
          <w:szCs w:val="21"/>
          <w:highlight w:val="none"/>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szCs w:val="21"/>
          <w:highlight w:val="none"/>
        </w:rPr>
        <w:t>备案</w:t>
      </w:r>
      <w:r>
        <w:rPr>
          <w:snapToGrid w:val="0"/>
          <w:kern w:val="0"/>
          <w:szCs w:val="21"/>
          <w:highlight w:val="none"/>
        </w:rPr>
        <w:t>。</w:t>
      </w:r>
    </w:p>
    <w:p>
      <w:pPr>
        <w:adjustRightInd w:val="0"/>
        <w:snapToGrid w:val="0"/>
        <w:spacing w:line="360" w:lineRule="auto"/>
        <w:ind w:firstLine="480"/>
        <w:rPr>
          <w:snapToGrid w:val="0"/>
          <w:kern w:val="0"/>
          <w:szCs w:val="21"/>
          <w:highlight w:val="none"/>
        </w:rPr>
      </w:pPr>
      <w:r>
        <w:rPr>
          <w:snapToGrid w:val="0"/>
          <w:kern w:val="0"/>
          <w:szCs w:val="21"/>
          <w:highlight w:val="none"/>
        </w:rPr>
        <w:t>为顺利推进项目设计进展，承包人应对以下工作内容分包给相应资质条件的设计单位：</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7.2.1  临水、永水设计及服务内容（取水点至总表段）</w:t>
      </w:r>
      <w:r>
        <w:rPr>
          <w:snapToGrid w:val="0"/>
          <w:kern w:val="0"/>
          <w:szCs w:val="21"/>
          <w:highlight w:val="none"/>
        </w:rPr>
        <w:t>：</w:t>
      </w:r>
    </w:p>
    <w:p>
      <w:pPr>
        <w:adjustRightInd w:val="0"/>
        <w:snapToGrid w:val="0"/>
        <w:spacing w:line="360" w:lineRule="auto"/>
        <w:ind w:firstLine="480"/>
        <w:rPr>
          <w:snapToGrid w:val="0"/>
          <w:kern w:val="0"/>
          <w:szCs w:val="21"/>
          <w:highlight w:val="none"/>
        </w:rPr>
      </w:pPr>
      <w:r>
        <w:rPr>
          <w:snapToGrid w:val="0"/>
          <w:kern w:val="0"/>
          <w:szCs w:val="21"/>
          <w:highlight w:val="none"/>
        </w:rPr>
        <w:t>（1）负责办理临水和永水报装、及验收工作。并提供报装时所需的图纸。</w:t>
      </w:r>
    </w:p>
    <w:p>
      <w:pPr>
        <w:adjustRightInd w:val="0"/>
        <w:snapToGrid w:val="0"/>
        <w:spacing w:line="360" w:lineRule="auto"/>
        <w:ind w:firstLine="480"/>
        <w:rPr>
          <w:snapToGrid w:val="0"/>
          <w:kern w:val="0"/>
          <w:szCs w:val="21"/>
          <w:highlight w:val="none"/>
        </w:rPr>
      </w:pPr>
      <w:r>
        <w:rPr>
          <w:snapToGrid w:val="0"/>
          <w:kern w:val="0"/>
          <w:szCs w:val="21"/>
          <w:highlight w:val="none"/>
        </w:rPr>
        <w:t>（2）根据自来水公司的要求完成红线外规划报建图设计、施工图设计。负责办理规划报建手续、施工和竣工验收等相关咨询和服务工作。</w:t>
      </w:r>
    </w:p>
    <w:p>
      <w:pPr>
        <w:adjustRightInd w:val="0"/>
        <w:snapToGrid w:val="0"/>
        <w:spacing w:line="360" w:lineRule="auto"/>
        <w:ind w:firstLine="480"/>
        <w:rPr>
          <w:snapToGrid w:val="0"/>
          <w:kern w:val="0"/>
          <w:szCs w:val="21"/>
          <w:highlight w:val="none"/>
        </w:rPr>
      </w:pPr>
      <w:r>
        <w:rPr>
          <w:snapToGrid w:val="0"/>
          <w:kern w:val="0"/>
          <w:szCs w:val="21"/>
          <w:highlight w:val="none"/>
        </w:rPr>
        <w:t>（3）根据业主提供的设计任务书完成项目红线内外临水、永水设计方案及施工图设计、给排水咨询等内容。</w:t>
      </w:r>
    </w:p>
    <w:p>
      <w:pPr>
        <w:adjustRightInd w:val="0"/>
        <w:snapToGrid w:val="0"/>
        <w:spacing w:line="360" w:lineRule="auto"/>
        <w:ind w:firstLine="480"/>
        <w:rPr>
          <w:snapToGrid w:val="0"/>
          <w:kern w:val="0"/>
          <w:szCs w:val="21"/>
          <w:highlight w:val="none"/>
        </w:rPr>
      </w:pPr>
      <w:r>
        <w:rPr>
          <w:snapToGrid w:val="0"/>
          <w:kern w:val="0"/>
          <w:szCs w:val="21"/>
          <w:highlight w:val="none"/>
        </w:rPr>
        <w:t>（4）负责图纸送审工作，协调并解决审图公司和主管部门提出的问题。</w:t>
      </w:r>
    </w:p>
    <w:p>
      <w:pPr>
        <w:adjustRightInd w:val="0"/>
        <w:snapToGrid w:val="0"/>
        <w:spacing w:line="360" w:lineRule="auto"/>
        <w:ind w:firstLine="480"/>
        <w:rPr>
          <w:snapToGrid w:val="0"/>
          <w:kern w:val="0"/>
          <w:szCs w:val="21"/>
          <w:highlight w:val="none"/>
        </w:rPr>
      </w:pPr>
      <w:r>
        <w:rPr>
          <w:snapToGrid w:val="0"/>
          <w:kern w:val="0"/>
          <w:szCs w:val="21"/>
          <w:highlight w:val="none"/>
        </w:rPr>
        <w:t>（5）配合概、预算审核及咨询工作。</w:t>
      </w:r>
    </w:p>
    <w:p>
      <w:pPr>
        <w:adjustRightInd w:val="0"/>
        <w:snapToGrid w:val="0"/>
        <w:spacing w:line="360" w:lineRule="auto"/>
        <w:ind w:firstLine="480"/>
        <w:rPr>
          <w:snapToGrid w:val="0"/>
          <w:kern w:val="0"/>
          <w:szCs w:val="21"/>
          <w:highlight w:val="none"/>
        </w:rPr>
      </w:pPr>
      <w:r>
        <w:rPr>
          <w:snapToGrid w:val="0"/>
          <w:kern w:val="0"/>
          <w:szCs w:val="21"/>
          <w:highlight w:val="none"/>
        </w:rPr>
        <w:t>（6）在项目施工过程中进行现场指导与监督等施工配合指导工作，配合完成中间检查、竣工验收的全过程工作。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highlight w:val="none"/>
        </w:rPr>
      </w:pPr>
      <w:r>
        <w:rPr>
          <w:snapToGrid w:val="0"/>
          <w:kern w:val="0"/>
          <w:szCs w:val="21"/>
          <w:highlight w:val="none"/>
        </w:rPr>
        <w:t>（7）报装及建设期间图纸变更修改、编制竣工图等建设全过程设计服务及咨询工作。</w:t>
      </w:r>
    </w:p>
    <w:p>
      <w:pPr>
        <w:adjustRightInd w:val="0"/>
        <w:snapToGrid w:val="0"/>
        <w:spacing w:line="360" w:lineRule="auto"/>
        <w:ind w:firstLine="480"/>
        <w:rPr>
          <w:snapToGrid w:val="0"/>
          <w:kern w:val="0"/>
          <w:szCs w:val="21"/>
          <w:highlight w:val="none"/>
        </w:rPr>
      </w:pPr>
      <w:r>
        <w:rPr>
          <w:snapToGrid w:val="0"/>
          <w:kern w:val="0"/>
          <w:szCs w:val="21"/>
          <w:highlight w:val="none"/>
        </w:rPr>
        <w:t>（8）其他与本项目相关的设计及咨询服务工作。</w:t>
      </w:r>
    </w:p>
    <w:p>
      <w:pPr>
        <w:adjustRightInd w:val="0"/>
        <w:snapToGrid w:val="0"/>
        <w:spacing w:line="360" w:lineRule="auto"/>
        <w:ind w:firstLine="480"/>
        <w:rPr>
          <w:b/>
          <w:snapToGrid w:val="0"/>
          <w:kern w:val="0"/>
          <w:szCs w:val="21"/>
          <w:highlight w:val="none"/>
        </w:rPr>
      </w:pPr>
      <w:r>
        <w:rPr>
          <w:b/>
          <w:snapToGrid w:val="0"/>
          <w:kern w:val="0"/>
          <w:szCs w:val="21"/>
          <w:highlight w:val="none"/>
        </w:rPr>
        <w:t>7.2.2 燃气设计及服务内容：（取气点后所有燃气管道工程）</w:t>
      </w:r>
    </w:p>
    <w:p>
      <w:pPr>
        <w:adjustRightInd w:val="0"/>
        <w:snapToGrid w:val="0"/>
        <w:spacing w:line="360" w:lineRule="auto"/>
        <w:ind w:firstLine="480"/>
        <w:rPr>
          <w:snapToGrid w:val="0"/>
          <w:kern w:val="0"/>
          <w:szCs w:val="21"/>
          <w:highlight w:val="none"/>
        </w:rPr>
      </w:pPr>
      <w:r>
        <w:rPr>
          <w:snapToGrid w:val="0"/>
          <w:kern w:val="0"/>
          <w:szCs w:val="21"/>
          <w:highlight w:val="none"/>
        </w:rPr>
        <w:t>（1）负责办理燃气的报装及验收工作。并提供报装时所需的图纸。</w:t>
      </w:r>
    </w:p>
    <w:p>
      <w:pPr>
        <w:adjustRightInd w:val="0"/>
        <w:snapToGrid w:val="0"/>
        <w:spacing w:line="360" w:lineRule="auto"/>
        <w:ind w:firstLine="480"/>
        <w:rPr>
          <w:snapToGrid w:val="0"/>
          <w:kern w:val="0"/>
          <w:szCs w:val="21"/>
          <w:highlight w:val="none"/>
        </w:rPr>
      </w:pPr>
      <w:r>
        <w:rPr>
          <w:snapToGrid w:val="0"/>
          <w:kern w:val="0"/>
          <w:szCs w:val="21"/>
          <w:highlight w:val="none"/>
        </w:rPr>
        <w:t>（2）按照项目工程的规模及相关功能要求，完成红线内外燃气设施配套工程设计方案图及燃气设施配套工程设计施工图，提供成果文件的纸质文件及电子文件。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highlight w:val="none"/>
        </w:rPr>
      </w:pPr>
      <w:r>
        <w:rPr>
          <w:snapToGrid w:val="0"/>
          <w:kern w:val="0"/>
          <w:szCs w:val="21"/>
          <w:highlight w:val="none"/>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highlight w:val="none"/>
        </w:rPr>
      </w:pPr>
      <w:r>
        <w:rPr>
          <w:snapToGrid w:val="0"/>
          <w:kern w:val="0"/>
          <w:szCs w:val="21"/>
          <w:highlight w:val="none"/>
        </w:rPr>
        <w:t>（4）负责图纸送审工作，协调并解决审图公司和主管部门提出的问题。</w:t>
      </w:r>
    </w:p>
    <w:p>
      <w:pPr>
        <w:adjustRightInd w:val="0"/>
        <w:snapToGrid w:val="0"/>
        <w:spacing w:line="360" w:lineRule="auto"/>
        <w:ind w:firstLine="480"/>
        <w:rPr>
          <w:snapToGrid w:val="0"/>
          <w:kern w:val="0"/>
          <w:szCs w:val="21"/>
          <w:highlight w:val="none"/>
        </w:rPr>
      </w:pPr>
      <w:r>
        <w:rPr>
          <w:snapToGrid w:val="0"/>
          <w:kern w:val="0"/>
          <w:szCs w:val="21"/>
          <w:highlight w:val="none"/>
        </w:rPr>
        <w:t>（5）建设期间图纸变更修改、编制竣工图等建设全过程设计服务及咨询工作。</w:t>
      </w:r>
    </w:p>
    <w:p>
      <w:pPr>
        <w:adjustRightInd w:val="0"/>
        <w:snapToGrid w:val="0"/>
        <w:spacing w:line="360" w:lineRule="auto"/>
        <w:ind w:firstLine="480"/>
        <w:rPr>
          <w:snapToGrid w:val="0"/>
          <w:kern w:val="0"/>
          <w:szCs w:val="21"/>
          <w:highlight w:val="none"/>
        </w:rPr>
      </w:pPr>
      <w:r>
        <w:rPr>
          <w:snapToGrid w:val="0"/>
          <w:kern w:val="0"/>
          <w:szCs w:val="21"/>
          <w:highlight w:val="none"/>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highlight w:val="none"/>
        </w:rPr>
      </w:pPr>
      <w:r>
        <w:rPr>
          <w:snapToGrid w:val="0"/>
          <w:kern w:val="0"/>
          <w:szCs w:val="21"/>
          <w:highlight w:val="none"/>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b/>
          <w:snapToGrid w:val="0"/>
          <w:kern w:val="0"/>
          <w:szCs w:val="21"/>
          <w:highlight w:val="none"/>
        </w:rPr>
      </w:pPr>
      <w:r>
        <w:rPr>
          <w:b/>
          <w:snapToGrid w:val="0"/>
          <w:kern w:val="0"/>
          <w:szCs w:val="21"/>
          <w:highlight w:val="none"/>
        </w:rPr>
        <w:t xml:space="preserve">7.2.3 </w:t>
      </w:r>
      <w:r>
        <w:rPr>
          <w:rFonts w:hint="eastAsia"/>
          <w:b/>
          <w:snapToGrid w:val="0"/>
          <w:kern w:val="0"/>
          <w:szCs w:val="21"/>
          <w:highlight w:val="none"/>
        </w:rPr>
        <w:t>永电</w:t>
      </w:r>
      <w:r>
        <w:rPr>
          <w:b/>
          <w:snapToGrid w:val="0"/>
          <w:kern w:val="0"/>
          <w:szCs w:val="21"/>
          <w:highlight w:val="none"/>
        </w:rPr>
        <w:t>设计及服务内容：</w:t>
      </w:r>
    </w:p>
    <w:p>
      <w:pPr>
        <w:adjustRightInd w:val="0"/>
        <w:snapToGrid w:val="0"/>
        <w:spacing w:line="360" w:lineRule="auto"/>
        <w:ind w:firstLine="480"/>
        <w:rPr>
          <w:snapToGrid w:val="0"/>
          <w:kern w:val="0"/>
          <w:szCs w:val="21"/>
          <w:highlight w:val="none"/>
        </w:rPr>
      </w:pPr>
      <w:r>
        <w:rPr>
          <w:snapToGrid w:val="0"/>
          <w:kern w:val="0"/>
          <w:szCs w:val="21"/>
          <w:highlight w:val="none"/>
        </w:rPr>
        <w:t>（1）负责办理</w:t>
      </w:r>
      <w:r>
        <w:rPr>
          <w:rFonts w:hint="eastAsia"/>
          <w:snapToGrid w:val="0"/>
          <w:kern w:val="0"/>
          <w:szCs w:val="21"/>
          <w:highlight w:val="none"/>
        </w:rPr>
        <w:t>永电</w:t>
      </w:r>
      <w:r>
        <w:rPr>
          <w:snapToGrid w:val="0"/>
          <w:kern w:val="0"/>
          <w:szCs w:val="21"/>
          <w:highlight w:val="none"/>
        </w:rPr>
        <w:t>的报装及验收工作。并提供报装时所需的图纸。</w:t>
      </w:r>
    </w:p>
    <w:p>
      <w:pPr>
        <w:adjustRightInd w:val="0"/>
        <w:snapToGrid w:val="0"/>
        <w:spacing w:line="360" w:lineRule="auto"/>
        <w:ind w:firstLine="480"/>
        <w:rPr>
          <w:snapToGrid w:val="0"/>
          <w:kern w:val="0"/>
          <w:szCs w:val="21"/>
          <w:highlight w:val="none"/>
        </w:rPr>
      </w:pPr>
      <w:r>
        <w:rPr>
          <w:snapToGrid w:val="0"/>
          <w:kern w:val="0"/>
          <w:szCs w:val="21"/>
          <w:highlight w:val="none"/>
        </w:rPr>
        <w:t>（2）按照项目工程的规模及相关功能要求，完成红线内外</w:t>
      </w:r>
      <w:r>
        <w:rPr>
          <w:rFonts w:hint="eastAsia"/>
          <w:snapToGrid w:val="0"/>
          <w:kern w:val="0"/>
          <w:szCs w:val="21"/>
          <w:highlight w:val="none"/>
        </w:rPr>
        <w:t>永电</w:t>
      </w:r>
      <w:r>
        <w:rPr>
          <w:snapToGrid w:val="0"/>
          <w:kern w:val="0"/>
          <w:szCs w:val="21"/>
          <w:highlight w:val="none"/>
        </w:rPr>
        <w:t>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highlight w:val="none"/>
        </w:rPr>
      </w:pPr>
      <w:r>
        <w:rPr>
          <w:snapToGrid w:val="0"/>
          <w:kern w:val="0"/>
          <w:szCs w:val="21"/>
          <w:highlight w:val="none"/>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highlight w:val="none"/>
        </w:rPr>
      </w:pPr>
      <w:r>
        <w:rPr>
          <w:snapToGrid w:val="0"/>
          <w:kern w:val="0"/>
          <w:szCs w:val="21"/>
          <w:highlight w:val="none"/>
        </w:rPr>
        <w:t>（4）负责图纸送审工作，协调并解决审图公司和主管部门提出的问题。</w:t>
      </w:r>
    </w:p>
    <w:p>
      <w:pPr>
        <w:adjustRightInd w:val="0"/>
        <w:snapToGrid w:val="0"/>
        <w:spacing w:line="360" w:lineRule="auto"/>
        <w:ind w:firstLine="480"/>
        <w:rPr>
          <w:snapToGrid w:val="0"/>
          <w:kern w:val="0"/>
          <w:szCs w:val="21"/>
          <w:highlight w:val="none"/>
        </w:rPr>
      </w:pPr>
      <w:r>
        <w:rPr>
          <w:snapToGrid w:val="0"/>
          <w:kern w:val="0"/>
          <w:szCs w:val="21"/>
          <w:highlight w:val="none"/>
        </w:rPr>
        <w:t>（5）建设期间图纸变更修改、编制竣工图等建设全过程设计服务及咨询工作。</w:t>
      </w:r>
    </w:p>
    <w:p>
      <w:pPr>
        <w:adjustRightInd w:val="0"/>
        <w:snapToGrid w:val="0"/>
        <w:spacing w:line="360" w:lineRule="auto"/>
        <w:ind w:firstLine="480"/>
        <w:rPr>
          <w:snapToGrid w:val="0"/>
          <w:kern w:val="0"/>
          <w:szCs w:val="21"/>
          <w:highlight w:val="none"/>
        </w:rPr>
      </w:pPr>
      <w:r>
        <w:rPr>
          <w:snapToGrid w:val="0"/>
          <w:kern w:val="0"/>
          <w:szCs w:val="21"/>
          <w:highlight w:val="none"/>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highlight w:val="none"/>
        </w:rPr>
      </w:pPr>
      <w:r>
        <w:rPr>
          <w:snapToGrid w:val="0"/>
          <w:kern w:val="0"/>
          <w:szCs w:val="21"/>
          <w:highlight w:val="none"/>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snapToGrid w:val="0"/>
          <w:kern w:val="0"/>
          <w:szCs w:val="21"/>
          <w:highlight w:val="none"/>
        </w:rPr>
      </w:pP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7.3</w:t>
      </w:r>
      <w:r>
        <w:rPr>
          <w:snapToGrid w:val="0"/>
          <w:kern w:val="0"/>
          <w:szCs w:val="21"/>
          <w:highlight w:val="none"/>
        </w:rPr>
        <w:t>承包人应严格按照本合同约定及项目建设管理需要做好分包管理工作，禁止转包或违法分包，禁止转让、出借企业资质证书或者以其他方式允许他人以本企业名义承揽设计业务。</w:t>
      </w:r>
    </w:p>
    <w:p>
      <w:pPr>
        <w:adjustRightInd w:val="0"/>
        <w:snapToGrid w:val="0"/>
        <w:spacing w:line="360" w:lineRule="auto"/>
        <w:ind w:firstLine="480"/>
        <w:rPr>
          <w:snapToGrid w:val="0"/>
          <w:kern w:val="0"/>
          <w:szCs w:val="21"/>
          <w:highlight w:val="none"/>
        </w:rPr>
      </w:pPr>
      <w:r>
        <w:rPr>
          <w:b/>
          <w:snapToGrid w:val="0"/>
          <w:kern w:val="0"/>
          <w:szCs w:val="21"/>
          <w:highlight w:val="none"/>
        </w:rPr>
        <w:t>7.3.1</w:t>
      </w:r>
      <w:r>
        <w:rPr>
          <w:snapToGrid w:val="0"/>
          <w:kern w:val="0"/>
          <w:szCs w:val="21"/>
          <w:highlight w:val="none"/>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pPr>
        <w:adjustRightInd w:val="0"/>
        <w:snapToGrid w:val="0"/>
        <w:spacing w:line="360" w:lineRule="auto"/>
        <w:ind w:firstLine="480"/>
        <w:rPr>
          <w:snapToGrid w:val="0"/>
          <w:kern w:val="0"/>
          <w:szCs w:val="21"/>
          <w:highlight w:val="none"/>
        </w:rPr>
      </w:pPr>
      <w:r>
        <w:rPr>
          <w:b/>
          <w:snapToGrid w:val="0"/>
          <w:kern w:val="0"/>
          <w:szCs w:val="21"/>
          <w:highlight w:val="none"/>
        </w:rPr>
        <w:t>7.3.2</w:t>
      </w:r>
      <w:r>
        <w:rPr>
          <w:snapToGrid w:val="0"/>
          <w:kern w:val="0"/>
          <w:szCs w:val="21"/>
          <w:highlight w:val="none"/>
        </w:rPr>
        <w:t>下列行为，属于违法分包：</w:t>
      </w:r>
    </w:p>
    <w:p>
      <w:pPr>
        <w:adjustRightInd w:val="0"/>
        <w:snapToGrid w:val="0"/>
        <w:spacing w:line="360" w:lineRule="auto"/>
        <w:ind w:firstLine="480"/>
        <w:rPr>
          <w:snapToGrid w:val="0"/>
          <w:kern w:val="0"/>
          <w:szCs w:val="21"/>
          <w:highlight w:val="none"/>
        </w:rPr>
      </w:pPr>
      <w:r>
        <w:rPr>
          <w:snapToGrid w:val="0"/>
          <w:kern w:val="0"/>
          <w:szCs w:val="21"/>
          <w:highlight w:val="none"/>
        </w:rPr>
        <w:t>（1）承包人将设计项目分包给不具备相应资质条件的分包人的；</w:t>
      </w:r>
    </w:p>
    <w:p>
      <w:pPr>
        <w:adjustRightInd w:val="0"/>
        <w:snapToGrid w:val="0"/>
        <w:spacing w:line="360" w:lineRule="auto"/>
        <w:ind w:firstLine="480"/>
        <w:rPr>
          <w:snapToGrid w:val="0"/>
          <w:kern w:val="0"/>
          <w:szCs w:val="21"/>
          <w:highlight w:val="none"/>
        </w:rPr>
      </w:pPr>
      <w:r>
        <w:rPr>
          <w:snapToGrid w:val="0"/>
          <w:kern w:val="0"/>
          <w:szCs w:val="21"/>
          <w:highlight w:val="none"/>
        </w:rPr>
        <w:t>（2）本合同中未有约定，又未经发包人认可，承包人将承包的部分设计项目分包给他人的。</w:t>
      </w:r>
    </w:p>
    <w:p>
      <w:pPr>
        <w:adjustRightInd w:val="0"/>
        <w:snapToGrid w:val="0"/>
        <w:spacing w:line="360" w:lineRule="auto"/>
        <w:ind w:firstLine="480"/>
        <w:rPr>
          <w:snapToGrid w:val="0"/>
          <w:kern w:val="0"/>
          <w:szCs w:val="21"/>
          <w:highlight w:val="none"/>
        </w:rPr>
      </w:pPr>
      <w:r>
        <w:rPr>
          <w:b/>
          <w:snapToGrid w:val="0"/>
          <w:kern w:val="0"/>
          <w:szCs w:val="21"/>
          <w:highlight w:val="none"/>
        </w:rPr>
        <w:t>7.3.3</w:t>
      </w:r>
      <w:r>
        <w:rPr>
          <w:snapToGrid w:val="0"/>
          <w:kern w:val="0"/>
          <w:szCs w:val="21"/>
          <w:highlight w:val="none"/>
        </w:rPr>
        <w:t>承包人虽然没有将其承包的设计项目进行分包，但在设计现场所设项目管理机构的设计</w:t>
      </w:r>
      <w:r>
        <w:rPr>
          <w:rFonts w:hint="eastAsia"/>
          <w:snapToGrid w:val="0"/>
          <w:kern w:val="0"/>
          <w:szCs w:val="21"/>
          <w:highlight w:val="none"/>
        </w:rPr>
        <w:t>人员</w:t>
      </w:r>
      <w:r>
        <w:rPr>
          <w:snapToGrid w:val="0"/>
          <w:kern w:val="0"/>
          <w:szCs w:val="21"/>
          <w:highlight w:val="none"/>
        </w:rPr>
        <w:t>不是承包人本单位人员的，视同允许他人以本企业名义承揽设计业务。</w:t>
      </w:r>
    </w:p>
    <w:p>
      <w:pPr>
        <w:adjustRightInd w:val="0"/>
        <w:snapToGrid w:val="0"/>
        <w:spacing w:line="360" w:lineRule="auto"/>
        <w:ind w:firstLine="480"/>
        <w:rPr>
          <w:snapToGrid w:val="0"/>
          <w:kern w:val="0"/>
          <w:szCs w:val="21"/>
          <w:highlight w:val="none"/>
        </w:rPr>
      </w:pPr>
      <w:r>
        <w:rPr>
          <w:b/>
          <w:snapToGrid w:val="0"/>
          <w:kern w:val="0"/>
          <w:szCs w:val="21"/>
          <w:highlight w:val="none"/>
        </w:rPr>
        <w:t>7.3.4</w:t>
      </w:r>
      <w:r>
        <w:rPr>
          <w:snapToGrid w:val="0"/>
          <w:kern w:val="0"/>
          <w:szCs w:val="21"/>
          <w:highlight w:val="none"/>
        </w:rPr>
        <w:t>分包单位必须自行完成所承包的设计，严禁再分包，并承担下列责任（包括但不限于）：</w:t>
      </w:r>
    </w:p>
    <w:p>
      <w:pPr>
        <w:adjustRightInd w:val="0"/>
        <w:snapToGrid w:val="0"/>
        <w:spacing w:line="360" w:lineRule="auto"/>
        <w:ind w:firstLine="480"/>
        <w:rPr>
          <w:snapToGrid w:val="0"/>
          <w:kern w:val="0"/>
          <w:szCs w:val="21"/>
          <w:highlight w:val="none"/>
        </w:rPr>
      </w:pPr>
      <w:r>
        <w:rPr>
          <w:snapToGrid w:val="0"/>
          <w:kern w:val="0"/>
          <w:szCs w:val="21"/>
          <w:highlight w:val="none"/>
        </w:rPr>
        <w:t>（1）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pPr>
        <w:adjustRightInd w:val="0"/>
        <w:snapToGrid w:val="0"/>
        <w:spacing w:line="360" w:lineRule="auto"/>
        <w:ind w:firstLine="480"/>
        <w:rPr>
          <w:snapToGrid w:val="0"/>
          <w:kern w:val="0"/>
          <w:szCs w:val="21"/>
          <w:highlight w:val="none"/>
        </w:rPr>
      </w:pPr>
      <w:r>
        <w:rPr>
          <w:snapToGrid w:val="0"/>
          <w:kern w:val="0"/>
          <w:szCs w:val="21"/>
          <w:highlight w:val="none"/>
        </w:rPr>
        <w:t>（2）按本合同及分包合同约定按时、按质、按量完成分包的设计任务并提交设计成果文件，对分包设计的进度、质量、</w:t>
      </w:r>
      <w:r>
        <w:rPr>
          <w:bCs/>
          <w:snapToGrid w:val="0"/>
          <w:kern w:val="0"/>
          <w:szCs w:val="21"/>
          <w:highlight w:val="none"/>
        </w:rPr>
        <w:t>安全、</w:t>
      </w:r>
      <w:r>
        <w:rPr>
          <w:snapToGrid w:val="0"/>
          <w:kern w:val="0"/>
          <w:szCs w:val="21"/>
          <w:highlight w:val="none"/>
        </w:rPr>
        <w:t>工程投资控制</w:t>
      </w:r>
      <w:r>
        <w:rPr>
          <w:bCs/>
          <w:snapToGrid w:val="0"/>
          <w:kern w:val="0"/>
          <w:szCs w:val="21"/>
          <w:highlight w:val="none"/>
        </w:rPr>
        <w:t>等负责。</w:t>
      </w:r>
    </w:p>
    <w:p>
      <w:pPr>
        <w:adjustRightInd w:val="0"/>
        <w:snapToGrid w:val="0"/>
        <w:spacing w:line="360" w:lineRule="auto"/>
        <w:ind w:right="11" w:firstLine="420" w:firstLineChars="200"/>
        <w:rPr>
          <w:snapToGrid w:val="0"/>
          <w:kern w:val="0"/>
          <w:szCs w:val="21"/>
          <w:highlight w:val="none"/>
        </w:rPr>
      </w:pPr>
      <w:r>
        <w:rPr>
          <w:bCs/>
          <w:iCs/>
          <w:snapToGrid w:val="0"/>
          <w:kern w:val="0"/>
          <w:szCs w:val="21"/>
          <w:highlight w:val="none"/>
        </w:rPr>
        <w:t>（3）</w:t>
      </w:r>
      <w:r>
        <w:rPr>
          <w:snapToGrid w:val="0"/>
          <w:kern w:val="0"/>
          <w:szCs w:val="21"/>
          <w:highlight w:val="none"/>
        </w:rPr>
        <w:t>本合同及分包合同中与分包设计项目有关的其他工作内容。</w:t>
      </w:r>
    </w:p>
    <w:p>
      <w:pPr>
        <w:adjustRightInd w:val="0"/>
        <w:snapToGrid w:val="0"/>
        <w:spacing w:line="360" w:lineRule="auto"/>
        <w:ind w:firstLine="480"/>
        <w:rPr>
          <w:snapToGrid w:val="0"/>
          <w:kern w:val="0"/>
          <w:szCs w:val="21"/>
          <w:highlight w:val="none"/>
        </w:rPr>
      </w:pPr>
      <w:r>
        <w:rPr>
          <w:b/>
          <w:snapToGrid w:val="0"/>
          <w:kern w:val="0"/>
          <w:szCs w:val="21"/>
          <w:highlight w:val="none"/>
        </w:rPr>
        <w:t>7.4</w:t>
      </w:r>
      <w:r>
        <w:rPr>
          <w:snapToGrid w:val="0"/>
          <w:kern w:val="0"/>
          <w:szCs w:val="21"/>
          <w:highlight w:val="none"/>
        </w:rPr>
        <w:t>承包人的设计总承包管理部是承包人的分包项目管理机构，应当具有与所承包设计的规模、技术复杂程度相适应的技术、经济管理人员；其中，设计总负责人、设计总承包管理负责人必须是本单位的人员。</w:t>
      </w:r>
    </w:p>
    <w:p>
      <w:pPr>
        <w:adjustRightInd w:val="0"/>
        <w:snapToGrid w:val="0"/>
        <w:spacing w:line="360" w:lineRule="auto"/>
        <w:ind w:firstLine="480"/>
        <w:rPr>
          <w:snapToGrid w:val="0"/>
          <w:kern w:val="0"/>
          <w:szCs w:val="21"/>
          <w:highlight w:val="none"/>
        </w:rPr>
      </w:pPr>
      <w:r>
        <w:rPr>
          <w:snapToGrid w:val="0"/>
          <w:kern w:val="0"/>
          <w:szCs w:val="21"/>
          <w:highlight w:val="none"/>
        </w:rPr>
        <w:t>承包人应在发包人批准分包后5天内将分包单位设计技术管理人员名单及设备仪器投入计划报送发包人且负责落实到位，并接受施工图审查单位和发包人代表的查验。</w:t>
      </w:r>
    </w:p>
    <w:p>
      <w:pPr>
        <w:adjustRightInd w:val="0"/>
        <w:snapToGrid w:val="0"/>
        <w:spacing w:line="360" w:lineRule="auto"/>
        <w:ind w:firstLine="480"/>
        <w:rPr>
          <w:snapToGrid w:val="0"/>
          <w:kern w:val="0"/>
          <w:szCs w:val="21"/>
          <w:highlight w:val="none"/>
        </w:rPr>
      </w:pPr>
      <w:r>
        <w:rPr>
          <w:snapToGrid w:val="0"/>
          <w:kern w:val="0"/>
          <w:szCs w:val="21"/>
          <w:highlight w:val="none"/>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pPr>
        <w:adjustRightInd w:val="0"/>
        <w:snapToGrid w:val="0"/>
        <w:spacing w:line="360" w:lineRule="auto"/>
        <w:ind w:firstLine="480"/>
        <w:rPr>
          <w:b/>
          <w:bCs/>
          <w:snapToGrid w:val="0"/>
          <w:kern w:val="0"/>
          <w:szCs w:val="21"/>
          <w:highlight w:val="none"/>
        </w:rPr>
      </w:pPr>
      <w:r>
        <w:rPr>
          <w:b/>
          <w:bCs/>
          <w:snapToGrid w:val="0"/>
          <w:kern w:val="0"/>
          <w:szCs w:val="21"/>
          <w:highlight w:val="none"/>
        </w:rPr>
        <w:t>7.5专业设计分包单位的管理</w:t>
      </w:r>
    </w:p>
    <w:p>
      <w:pPr>
        <w:adjustRightInd w:val="0"/>
        <w:snapToGrid w:val="0"/>
        <w:spacing w:line="360" w:lineRule="auto"/>
        <w:ind w:firstLine="480"/>
        <w:rPr>
          <w:snapToGrid w:val="0"/>
          <w:kern w:val="0"/>
          <w:szCs w:val="21"/>
          <w:highlight w:val="none"/>
        </w:rPr>
      </w:pPr>
      <w:r>
        <w:rPr>
          <w:snapToGrid w:val="0"/>
          <w:kern w:val="0"/>
          <w:szCs w:val="21"/>
          <w:highlight w:val="none"/>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pPr>
        <w:adjustRightInd w:val="0"/>
        <w:snapToGrid w:val="0"/>
        <w:spacing w:line="360" w:lineRule="auto"/>
        <w:ind w:firstLine="480"/>
        <w:rPr>
          <w:snapToGrid w:val="0"/>
          <w:kern w:val="0"/>
          <w:szCs w:val="21"/>
          <w:highlight w:val="none"/>
        </w:rPr>
      </w:pPr>
      <w:r>
        <w:rPr>
          <w:snapToGrid w:val="0"/>
          <w:kern w:val="0"/>
          <w:szCs w:val="21"/>
          <w:highlight w:val="none"/>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pPr>
        <w:adjustRightInd w:val="0"/>
        <w:snapToGrid w:val="0"/>
        <w:spacing w:line="360" w:lineRule="auto"/>
        <w:ind w:firstLine="480"/>
        <w:rPr>
          <w:snapToGrid w:val="0"/>
          <w:kern w:val="0"/>
          <w:szCs w:val="21"/>
          <w:highlight w:val="none"/>
        </w:rPr>
      </w:pPr>
      <w:r>
        <w:rPr>
          <w:snapToGrid w:val="0"/>
          <w:kern w:val="0"/>
          <w:szCs w:val="21"/>
          <w:highlight w:val="none"/>
        </w:rPr>
        <w:t>承包人负责其设计总承包范围内的各项专业设计的相关专业和接口、界面的协调工作。</w:t>
      </w:r>
    </w:p>
    <w:p>
      <w:pPr>
        <w:adjustRightInd w:val="0"/>
        <w:snapToGrid w:val="0"/>
        <w:spacing w:line="360" w:lineRule="auto"/>
        <w:ind w:firstLine="480"/>
        <w:rPr>
          <w:szCs w:val="21"/>
          <w:highlight w:val="none"/>
        </w:rPr>
      </w:pPr>
      <w:r>
        <w:rPr>
          <w:b/>
          <w:szCs w:val="21"/>
          <w:highlight w:val="none"/>
        </w:rPr>
        <w:t>7.6</w:t>
      </w:r>
      <w:r>
        <w:rPr>
          <w:szCs w:val="21"/>
          <w:highlight w:val="none"/>
        </w:rPr>
        <w:t>专业</w:t>
      </w:r>
      <w:r>
        <w:rPr>
          <w:bCs/>
          <w:snapToGrid w:val="0"/>
          <w:kern w:val="0"/>
          <w:szCs w:val="21"/>
          <w:highlight w:val="none"/>
        </w:rPr>
        <w:t>设计分包单位</w:t>
      </w:r>
      <w:r>
        <w:rPr>
          <w:szCs w:val="21"/>
          <w:highlight w:val="none"/>
        </w:rPr>
        <w:t>与施工图审查单位的关系</w:t>
      </w:r>
    </w:p>
    <w:p>
      <w:pPr>
        <w:adjustRightInd w:val="0"/>
        <w:snapToGrid w:val="0"/>
        <w:spacing w:line="360" w:lineRule="auto"/>
        <w:ind w:firstLine="480"/>
        <w:rPr>
          <w:snapToGrid w:val="0"/>
          <w:kern w:val="0"/>
          <w:szCs w:val="21"/>
          <w:highlight w:val="none"/>
        </w:rPr>
      </w:pPr>
      <w:r>
        <w:rPr>
          <w:snapToGrid w:val="0"/>
          <w:kern w:val="0"/>
          <w:szCs w:val="21"/>
          <w:highlight w:val="none"/>
        </w:rPr>
        <w:t>无论是承包人分包的专业设计分包单位还是发包人另外发包的专业设计承包单位，都要接受施工图审查单位对其成果文件的审查。</w:t>
      </w:r>
    </w:p>
    <w:p>
      <w:pPr>
        <w:adjustRightInd w:val="0"/>
        <w:snapToGrid w:val="0"/>
        <w:spacing w:line="360" w:lineRule="auto"/>
        <w:ind w:firstLine="480"/>
        <w:rPr>
          <w:snapToGrid w:val="0"/>
          <w:kern w:val="0"/>
          <w:szCs w:val="21"/>
          <w:highlight w:val="none"/>
        </w:rPr>
      </w:pPr>
      <w:r>
        <w:rPr>
          <w:b/>
          <w:snapToGrid w:val="0"/>
          <w:kern w:val="0"/>
          <w:szCs w:val="21"/>
          <w:highlight w:val="none"/>
        </w:rPr>
        <w:t>7.7</w:t>
      </w:r>
      <w:r>
        <w:rPr>
          <w:snapToGrid w:val="0"/>
          <w:kern w:val="0"/>
          <w:szCs w:val="21"/>
          <w:highlight w:val="none"/>
        </w:rPr>
        <w:t>各专业设计单位的权利和义务详见各专项设计的分包合同。</w:t>
      </w:r>
    </w:p>
    <w:p>
      <w:pPr>
        <w:adjustRightInd w:val="0"/>
        <w:snapToGrid w:val="0"/>
        <w:spacing w:line="360" w:lineRule="auto"/>
        <w:ind w:firstLine="480"/>
        <w:rPr>
          <w:snapToGrid w:val="0"/>
          <w:kern w:val="0"/>
          <w:szCs w:val="21"/>
          <w:highlight w:val="none"/>
        </w:rPr>
      </w:pPr>
      <w:r>
        <w:rPr>
          <w:b/>
          <w:snapToGrid w:val="0"/>
          <w:kern w:val="0"/>
          <w:szCs w:val="21"/>
          <w:highlight w:val="none"/>
        </w:rPr>
        <w:t>7.8</w:t>
      </w:r>
      <w:r>
        <w:rPr>
          <w:snapToGrid w:val="0"/>
          <w:kern w:val="0"/>
          <w:szCs w:val="21"/>
          <w:highlight w:val="none"/>
        </w:rPr>
        <w:t>分包设计项目的价款由承包人与发包人结算。承包人应按本合同及分包合同的有关约定及时审核、申请支付各种设计款项。</w:t>
      </w:r>
    </w:p>
    <w:p>
      <w:pPr>
        <w:adjustRightInd w:val="0"/>
        <w:snapToGrid w:val="0"/>
        <w:spacing w:line="360" w:lineRule="auto"/>
        <w:ind w:firstLine="480"/>
        <w:rPr>
          <w:snapToGrid w:val="0"/>
          <w:kern w:val="0"/>
          <w:szCs w:val="21"/>
          <w:highlight w:val="none"/>
        </w:rPr>
      </w:pPr>
      <w:r>
        <w:rPr>
          <w:b/>
          <w:snapToGrid w:val="0"/>
          <w:kern w:val="0"/>
          <w:szCs w:val="21"/>
          <w:highlight w:val="none"/>
        </w:rPr>
        <w:t>7.9</w:t>
      </w:r>
      <w:r>
        <w:rPr>
          <w:snapToGrid w:val="0"/>
          <w:kern w:val="0"/>
          <w:szCs w:val="21"/>
          <w:highlight w:val="none"/>
        </w:rPr>
        <w:t>承包人对设计现场安全负责，并对专业设计单位的安全生产进行管理，发现事故隐患，应当及时作出处理。</w:t>
      </w:r>
    </w:p>
    <w:p>
      <w:pPr>
        <w:adjustRightInd w:val="0"/>
        <w:snapToGrid w:val="0"/>
        <w:spacing w:line="360" w:lineRule="auto"/>
        <w:ind w:firstLine="480"/>
        <w:rPr>
          <w:snapToGrid w:val="0"/>
          <w:kern w:val="0"/>
          <w:szCs w:val="21"/>
          <w:highlight w:val="none"/>
        </w:rPr>
      </w:pPr>
      <w:r>
        <w:rPr>
          <w:snapToGrid w:val="0"/>
          <w:kern w:val="0"/>
          <w:szCs w:val="21"/>
          <w:highlight w:val="none"/>
        </w:rPr>
        <w:t>专业设计单位就其所在的设计现场安全向承包人负责，服从承包人对设计现场的安全管理。</w:t>
      </w:r>
    </w:p>
    <w:p>
      <w:pPr>
        <w:adjustRightInd w:val="0"/>
        <w:snapToGrid w:val="0"/>
        <w:spacing w:line="360" w:lineRule="auto"/>
        <w:ind w:firstLine="413" w:firstLineChars="196"/>
        <w:rPr>
          <w:snapToGrid w:val="0"/>
          <w:kern w:val="0"/>
          <w:szCs w:val="21"/>
          <w:highlight w:val="none"/>
        </w:rPr>
      </w:pPr>
      <w:r>
        <w:rPr>
          <w:b/>
          <w:snapToGrid w:val="0"/>
          <w:kern w:val="0"/>
          <w:szCs w:val="21"/>
          <w:highlight w:val="none"/>
        </w:rPr>
        <w:t>7.10</w:t>
      </w:r>
      <w:r>
        <w:rPr>
          <w:snapToGrid w:val="0"/>
          <w:kern w:val="0"/>
          <w:szCs w:val="21"/>
          <w:highlight w:val="none"/>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8、 设计成果文件的提交及设计工期要求：</w:t>
      </w:r>
    </w:p>
    <w:p>
      <w:pPr>
        <w:pStyle w:val="69"/>
        <w:adjustRightInd w:val="0"/>
        <w:snapToGrid w:val="0"/>
        <w:spacing w:line="360" w:lineRule="auto"/>
        <w:ind w:firstLine="422" w:firstLineChars="200"/>
        <w:rPr>
          <w:sz w:val="21"/>
          <w:szCs w:val="21"/>
          <w:highlight w:val="none"/>
        </w:rPr>
      </w:pPr>
      <w:r>
        <w:rPr>
          <w:b/>
          <w:bCs/>
          <w:snapToGrid w:val="0"/>
          <w:sz w:val="21"/>
          <w:szCs w:val="21"/>
          <w:highlight w:val="none"/>
        </w:rPr>
        <w:t>8.1</w:t>
      </w:r>
      <w:r>
        <w:rPr>
          <w:snapToGrid w:val="0"/>
          <w:sz w:val="21"/>
          <w:szCs w:val="21"/>
          <w:highlight w:val="none"/>
        </w:rPr>
        <w:t>承包人提交的设计成果文件应满足合同约定的时间要求，施工图设计在初步设计经相关部门审定后或</w:t>
      </w:r>
      <w:r>
        <w:rPr>
          <w:rFonts w:hint="eastAsia"/>
          <w:snapToGrid w:val="0"/>
          <w:sz w:val="21"/>
          <w:szCs w:val="21"/>
          <w:highlight w:val="none"/>
        </w:rPr>
        <w:t>收到发包人</w:t>
      </w:r>
      <w:r>
        <w:rPr>
          <w:snapToGrid w:val="0"/>
          <w:sz w:val="21"/>
          <w:szCs w:val="21"/>
          <w:highlight w:val="none"/>
        </w:rPr>
        <w:t>书面通知后</w:t>
      </w:r>
      <w:r>
        <w:rPr>
          <w:snapToGrid w:val="0"/>
          <w:sz w:val="21"/>
          <w:szCs w:val="21"/>
          <w:highlight w:val="none"/>
          <w:u w:val="single"/>
        </w:rPr>
        <w:t>30个日历天</w:t>
      </w:r>
      <w:r>
        <w:rPr>
          <w:snapToGrid w:val="0"/>
          <w:sz w:val="21"/>
          <w:szCs w:val="21"/>
          <w:highlight w:val="none"/>
        </w:rPr>
        <w:t>内完成。相关设计成果文件的质量须一次性通过发包人或发包人委托的第三方根据合同约定标准进行的审核。</w:t>
      </w:r>
      <w:r>
        <w:rPr>
          <w:sz w:val="21"/>
          <w:szCs w:val="21"/>
          <w:highlight w:val="none"/>
        </w:rPr>
        <w:t>承包人设计成果文件的提交时间以符合合同约定质量的设计成果文件的提交时间为准。设计成果文件提交的时间及套数如下：</w:t>
      </w:r>
    </w:p>
    <w:tbl>
      <w:tblPr>
        <w:tblStyle w:val="76"/>
        <w:tblW w:w="8363" w:type="dxa"/>
        <w:tblInd w:w="137" w:type="dxa"/>
        <w:tblLayout w:type="fixed"/>
        <w:tblCellMar>
          <w:top w:w="0" w:type="dxa"/>
          <w:left w:w="0" w:type="dxa"/>
          <w:bottom w:w="0" w:type="dxa"/>
          <w:right w:w="0" w:type="dxa"/>
        </w:tblCellMar>
      </w:tblPr>
      <w:tblGrid>
        <w:gridCol w:w="633"/>
        <w:gridCol w:w="1635"/>
        <w:gridCol w:w="1418"/>
        <w:gridCol w:w="1701"/>
        <w:gridCol w:w="1559"/>
        <w:gridCol w:w="1417"/>
      </w:tblGrid>
      <w:tr>
        <w:tblPrEx>
          <w:tblCellMar>
            <w:top w:w="0" w:type="dxa"/>
            <w:left w:w="0" w:type="dxa"/>
            <w:bottom w:w="0" w:type="dxa"/>
            <w:right w:w="0" w:type="dxa"/>
          </w:tblCellMar>
        </w:tblPrEx>
        <w:trPr>
          <w:trHeight w:val="478" w:hRule="exact"/>
        </w:trPr>
        <w:tc>
          <w:tcPr>
            <w:tcW w:w="633"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highlight w:val="none"/>
                <w:lang w:eastAsia="en-US"/>
              </w:rPr>
            </w:pPr>
            <w:r>
              <w:rPr>
                <w:kern w:val="0"/>
                <w:szCs w:val="21"/>
                <w:highlight w:val="none"/>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highlight w:val="none"/>
                <w:lang w:eastAsia="en-US"/>
              </w:rPr>
            </w:pPr>
            <w:r>
              <w:rPr>
                <w:kern w:val="0"/>
                <w:szCs w:val="21"/>
                <w:highlight w:val="none"/>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highlight w:val="none"/>
                <w:lang w:eastAsia="en-US"/>
              </w:rPr>
            </w:pPr>
            <w:r>
              <w:rPr>
                <w:kern w:val="0"/>
                <w:szCs w:val="21"/>
                <w:highlight w:val="none"/>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before="40"/>
              <w:ind w:left="103"/>
              <w:jc w:val="center"/>
              <w:rPr>
                <w:kern w:val="0"/>
                <w:szCs w:val="21"/>
                <w:highlight w:val="none"/>
                <w:lang w:eastAsia="en-US"/>
              </w:rPr>
            </w:pPr>
            <w:r>
              <w:rPr>
                <w:kern w:val="0"/>
                <w:szCs w:val="21"/>
                <w:highlight w:val="none"/>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highlight w:val="none"/>
                <w:lang w:eastAsia="en-US"/>
              </w:rPr>
            </w:pPr>
            <w:r>
              <w:rPr>
                <w:kern w:val="0"/>
                <w:szCs w:val="21"/>
                <w:highlight w:val="none"/>
                <w:lang w:eastAsia="en-US"/>
              </w:rPr>
              <w:t>备注</w:t>
            </w:r>
          </w:p>
        </w:tc>
      </w:tr>
      <w:tr>
        <w:tblPrEx>
          <w:tblCellMar>
            <w:top w:w="0" w:type="dxa"/>
            <w:left w:w="0" w:type="dxa"/>
            <w:bottom w:w="0" w:type="dxa"/>
            <w:right w:w="0" w:type="dxa"/>
          </w:tblCellMar>
        </w:tblPrEx>
        <w:trPr>
          <w:trHeight w:val="1237"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highlight w:val="none"/>
                <w:lang w:eastAsia="en-US"/>
              </w:rPr>
            </w:pPr>
            <w:r>
              <w:rPr>
                <w:w w:val="99"/>
                <w:kern w:val="0"/>
                <w:szCs w:val="21"/>
                <w:highlight w:val="none"/>
                <w:lang w:eastAsia="en-US"/>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rPr>
                <w:kern w:val="0"/>
                <w:sz w:val="18"/>
                <w:szCs w:val="18"/>
                <w:highlight w:val="none"/>
              </w:rPr>
            </w:pPr>
            <w:r>
              <w:rPr>
                <w:kern w:val="0"/>
                <w:sz w:val="18"/>
                <w:szCs w:val="18"/>
                <w:highlight w:val="none"/>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highlight w:val="none"/>
              </w:rPr>
            </w:pPr>
            <w:r>
              <w:rPr>
                <w:rFonts w:hint="eastAsia"/>
                <w:kern w:val="0"/>
                <w:sz w:val="18"/>
                <w:szCs w:val="18"/>
                <w:highlight w:val="none"/>
              </w:rPr>
              <w:t>发出中标通知书</w:t>
            </w:r>
            <w:r>
              <w:rPr>
                <w:kern w:val="0"/>
                <w:sz w:val="18"/>
                <w:szCs w:val="18"/>
                <w:highlight w:val="none"/>
              </w:rPr>
              <w:t>后</w:t>
            </w:r>
          </w:p>
          <w:p>
            <w:pPr>
              <w:jc w:val="center"/>
              <w:rPr>
                <w:kern w:val="0"/>
                <w:sz w:val="18"/>
                <w:szCs w:val="18"/>
                <w:highlight w:val="none"/>
              </w:rPr>
            </w:pPr>
            <w:r>
              <w:rPr>
                <w:kern w:val="0"/>
                <w:sz w:val="18"/>
                <w:szCs w:val="18"/>
                <w:highlight w:val="none"/>
              </w:rPr>
              <w:t>30天内</w:t>
            </w:r>
          </w:p>
        </w:tc>
        <w:tc>
          <w:tcPr>
            <w:tcW w:w="1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02" w:right="102"/>
              <w:jc w:val="center"/>
              <w:rPr>
                <w:kern w:val="0"/>
                <w:sz w:val="18"/>
                <w:szCs w:val="18"/>
                <w:highlight w:val="none"/>
              </w:rPr>
            </w:pPr>
            <w:r>
              <w:rPr>
                <w:sz w:val="20"/>
                <w:szCs w:val="20"/>
                <w:highlight w:val="none"/>
              </w:rPr>
              <w:t>按</w:t>
            </w:r>
            <w:r>
              <w:rPr>
                <w:kern w:val="0"/>
                <w:sz w:val="18"/>
                <w:szCs w:val="18"/>
                <w:highlight w:val="none"/>
              </w:rPr>
              <w:t>发包人</w:t>
            </w:r>
            <w:r>
              <w:rPr>
                <w:sz w:val="20"/>
                <w:szCs w:val="20"/>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 w:val="18"/>
                <w:szCs w:val="18"/>
                <w:highlight w:val="none"/>
              </w:rPr>
            </w:pPr>
            <w:r>
              <w:rPr>
                <w:sz w:val="18"/>
                <w:szCs w:val="18"/>
                <w:highlight w:val="none"/>
              </w:rPr>
              <w:t>电子文档1份</w:t>
            </w:r>
          </w:p>
        </w:tc>
      </w:tr>
      <w:tr>
        <w:tblPrEx>
          <w:tblCellMar>
            <w:top w:w="0" w:type="dxa"/>
            <w:left w:w="0" w:type="dxa"/>
            <w:bottom w:w="0" w:type="dxa"/>
            <w:right w:w="0" w:type="dxa"/>
          </w:tblCellMar>
        </w:tblPrEx>
        <w:trPr>
          <w:trHeight w:val="846" w:hRule="exact"/>
        </w:trPr>
        <w:tc>
          <w:tcPr>
            <w:tcW w:w="633" w:type="dxa"/>
            <w:vMerge w:val="restart"/>
            <w:tcBorders>
              <w:top w:val="single" w:color="000000" w:sz="4" w:space="0"/>
              <w:left w:val="single" w:color="000000" w:sz="4" w:space="0"/>
              <w:right w:val="single" w:color="000000" w:sz="4" w:space="0"/>
            </w:tcBorders>
            <w:vAlign w:val="center"/>
          </w:tcPr>
          <w:p>
            <w:pPr>
              <w:jc w:val="center"/>
              <w:rPr>
                <w:kern w:val="0"/>
                <w:szCs w:val="21"/>
                <w:highlight w:val="none"/>
                <w:lang w:eastAsia="en-US"/>
              </w:rPr>
            </w:pPr>
            <w:r>
              <w:rPr>
                <w:w w:val="99"/>
                <w:kern w:val="0"/>
                <w:szCs w:val="21"/>
                <w:highlight w:val="none"/>
                <w:lang w:eastAsia="en-US"/>
              </w:rPr>
              <w:t>2</w:t>
            </w:r>
          </w:p>
        </w:tc>
        <w:tc>
          <w:tcPr>
            <w:tcW w:w="1635" w:type="dxa"/>
            <w:vMerge w:val="restart"/>
            <w:tcBorders>
              <w:top w:val="single" w:color="000000" w:sz="4" w:space="0"/>
              <w:left w:val="single" w:color="000000" w:sz="4" w:space="0"/>
              <w:right w:val="single" w:color="000000" w:sz="4" w:space="0"/>
            </w:tcBorders>
            <w:vAlign w:val="center"/>
          </w:tcPr>
          <w:p>
            <w:pPr>
              <w:ind w:left="102" w:right="20"/>
              <w:jc w:val="left"/>
              <w:rPr>
                <w:kern w:val="0"/>
                <w:sz w:val="18"/>
                <w:szCs w:val="18"/>
                <w:highlight w:val="none"/>
              </w:rPr>
            </w:pPr>
            <w:r>
              <w:rPr>
                <w:spacing w:val="-16"/>
                <w:kern w:val="0"/>
                <w:sz w:val="18"/>
                <w:szCs w:val="18"/>
                <w:highlight w:val="none"/>
              </w:rPr>
              <w:t>施工图（按</w:t>
            </w:r>
            <w:r>
              <w:rPr>
                <w:kern w:val="0"/>
                <w:sz w:val="18"/>
                <w:szCs w:val="18"/>
                <w:highlight w:val="none"/>
              </w:rPr>
              <w:t>施</w:t>
            </w:r>
            <w:r>
              <w:rPr>
                <w:spacing w:val="-60"/>
                <w:kern w:val="0"/>
                <w:sz w:val="18"/>
                <w:szCs w:val="18"/>
                <w:highlight w:val="none"/>
              </w:rPr>
              <w:t xml:space="preserve"> </w:t>
            </w:r>
            <w:r>
              <w:rPr>
                <w:kern w:val="0"/>
                <w:sz w:val="18"/>
                <w:szCs w:val="18"/>
                <w:highlight w:val="none"/>
              </w:rPr>
              <w:t>工</w:t>
            </w:r>
            <w:r>
              <w:rPr>
                <w:spacing w:val="-60"/>
                <w:kern w:val="0"/>
                <w:sz w:val="18"/>
                <w:szCs w:val="18"/>
                <w:highlight w:val="none"/>
              </w:rPr>
              <w:t xml:space="preserve"> </w:t>
            </w:r>
            <w:r>
              <w:rPr>
                <w:kern w:val="0"/>
                <w:sz w:val="18"/>
                <w:szCs w:val="18"/>
                <w:highlight w:val="none"/>
              </w:rPr>
              <w:t>图</w:t>
            </w:r>
            <w:r>
              <w:rPr>
                <w:spacing w:val="-60"/>
                <w:kern w:val="0"/>
                <w:sz w:val="18"/>
                <w:szCs w:val="18"/>
                <w:highlight w:val="none"/>
              </w:rPr>
              <w:t xml:space="preserve"> </w:t>
            </w:r>
            <w:r>
              <w:rPr>
                <w:kern w:val="0"/>
                <w:sz w:val="18"/>
                <w:szCs w:val="18"/>
                <w:highlight w:val="none"/>
              </w:rPr>
              <w:t>审</w:t>
            </w:r>
            <w:r>
              <w:rPr>
                <w:w w:val="99"/>
                <w:kern w:val="0"/>
                <w:sz w:val="18"/>
                <w:szCs w:val="18"/>
                <w:highlight w:val="none"/>
              </w:rPr>
              <w:t xml:space="preserve"> </w:t>
            </w:r>
            <w:r>
              <w:rPr>
                <w:kern w:val="0"/>
                <w:sz w:val="18"/>
                <w:szCs w:val="18"/>
                <w:highlight w:val="none"/>
              </w:rPr>
              <w:t>查</w:t>
            </w:r>
            <w:r>
              <w:rPr>
                <w:spacing w:val="-60"/>
                <w:kern w:val="0"/>
                <w:sz w:val="18"/>
                <w:szCs w:val="18"/>
                <w:highlight w:val="none"/>
              </w:rPr>
              <w:t xml:space="preserve"> </w:t>
            </w:r>
            <w:r>
              <w:rPr>
                <w:kern w:val="0"/>
                <w:sz w:val="18"/>
                <w:szCs w:val="18"/>
                <w:highlight w:val="none"/>
              </w:rPr>
              <w:t>单</w:t>
            </w:r>
            <w:r>
              <w:rPr>
                <w:spacing w:val="-60"/>
                <w:kern w:val="0"/>
                <w:sz w:val="18"/>
                <w:szCs w:val="18"/>
                <w:highlight w:val="none"/>
              </w:rPr>
              <w:t xml:space="preserve"> </w:t>
            </w:r>
            <w:r>
              <w:rPr>
                <w:kern w:val="0"/>
                <w:sz w:val="18"/>
                <w:szCs w:val="18"/>
                <w:highlight w:val="none"/>
              </w:rPr>
              <w:t>位</w:t>
            </w:r>
            <w:r>
              <w:rPr>
                <w:spacing w:val="-60"/>
                <w:kern w:val="0"/>
                <w:sz w:val="18"/>
                <w:szCs w:val="18"/>
                <w:highlight w:val="none"/>
              </w:rPr>
              <w:t xml:space="preserve"> </w:t>
            </w:r>
            <w:r>
              <w:rPr>
                <w:kern w:val="0"/>
                <w:sz w:val="18"/>
                <w:szCs w:val="18"/>
                <w:highlight w:val="none"/>
              </w:rPr>
              <w:t>意见</w:t>
            </w:r>
            <w:r>
              <w:rPr>
                <w:spacing w:val="-60"/>
                <w:kern w:val="0"/>
                <w:sz w:val="18"/>
                <w:szCs w:val="18"/>
                <w:highlight w:val="none"/>
              </w:rPr>
              <w:t xml:space="preserve"> </w:t>
            </w:r>
            <w:r>
              <w:rPr>
                <w:kern w:val="0"/>
                <w:sz w:val="18"/>
                <w:szCs w:val="18"/>
                <w:highlight w:val="none"/>
              </w:rPr>
              <w:t>修</w:t>
            </w:r>
            <w:r>
              <w:rPr>
                <w:spacing w:val="-60"/>
                <w:kern w:val="0"/>
                <w:sz w:val="18"/>
                <w:szCs w:val="18"/>
                <w:highlight w:val="none"/>
              </w:rPr>
              <w:t xml:space="preserve"> </w:t>
            </w:r>
            <w:r>
              <w:rPr>
                <w:kern w:val="0"/>
                <w:sz w:val="18"/>
                <w:szCs w:val="18"/>
                <w:highlight w:val="none"/>
              </w:rPr>
              <w:t>改</w:t>
            </w:r>
            <w:r>
              <w:rPr>
                <w:spacing w:val="-60"/>
                <w:kern w:val="0"/>
                <w:sz w:val="18"/>
                <w:szCs w:val="18"/>
                <w:highlight w:val="none"/>
              </w:rPr>
              <w:t xml:space="preserve"> </w:t>
            </w:r>
            <w:r>
              <w:rPr>
                <w:kern w:val="0"/>
                <w:sz w:val="18"/>
                <w:szCs w:val="18"/>
                <w:highlight w:val="none"/>
              </w:rPr>
              <w:t>并</w:t>
            </w:r>
            <w:r>
              <w:rPr>
                <w:w w:val="99"/>
                <w:kern w:val="0"/>
                <w:sz w:val="18"/>
                <w:szCs w:val="18"/>
                <w:highlight w:val="none"/>
              </w:rPr>
              <w:t xml:space="preserve"> </w:t>
            </w:r>
            <w:r>
              <w:rPr>
                <w:kern w:val="0"/>
                <w:sz w:val="18"/>
                <w:szCs w:val="18"/>
                <w:highlight w:val="none"/>
              </w:rPr>
              <w:t>审批通过，包</w:t>
            </w:r>
            <w:r>
              <w:rPr>
                <w:spacing w:val="-60"/>
                <w:kern w:val="0"/>
                <w:sz w:val="18"/>
                <w:szCs w:val="18"/>
                <w:highlight w:val="none"/>
              </w:rPr>
              <w:t xml:space="preserve"> </w:t>
            </w:r>
            <w:r>
              <w:rPr>
                <w:kern w:val="0"/>
                <w:sz w:val="18"/>
                <w:szCs w:val="18"/>
                <w:highlight w:val="none"/>
              </w:rPr>
              <w:t>括</w:t>
            </w:r>
            <w:r>
              <w:rPr>
                <w:spacing w:val="-60"/>
                <w:kern w:val="0"/>
                <w:sz w:val="18"/>
                <w:szCs w:val="18"/>
                <w:highlight w:val="none"/>
              </w:rPr>
              <w:t xml:space="preserve"> </w:t>
            </w:r>
            <w:r>
              <w:rPr>
                <w:kern w:val="0"/>
                <w:sz w:val="18"/>
                <w:szCs w:val="18"/>
                <w:highlight w:val="none"/>
              </w:rPr>
              <w:t>主</w:t>
            </w:r>
            <w:r>
              <w:rPr>
                <w:spacing w:val="-60"/>
                <w:kern w:val="0"/>
                <w:sz w:val="18"/>
                <w:szCs w:val="18"/>
                <w:highlight w:val="none"/>
              </w:rPr>
              <w:t xml:space="preserve"> </w:t>
            </w:r>
            <w:r>
              <w:rPr>
                <w:kern w:val="0"/>
                <w:sz w:val="18"/>
                <w:szCs w:val="18"/>
                <w:highlight w:val="none"/>
              </w:rPr>
              <w:t>要材料清单、技</w:t>
            </w:r>
            <w:r>
              <w:rPr>
                <w:spacing w:val="-60"/>
                <w:kern w:val="0"/>
                <w:sz w:val="18"/>
                <w:szCs w:val="18"/>
                <w:highlight w:val="none"/>
              </w:rPr>
              <w:t xml:space="preserve"> </w:t>
            </w:r>
            <w:r>
              <w:rPr>
                <w:kern w:val="0"/>
                <w:sz w:val="18"/>
                <w:szCs w:val="18"/>
                <w:highlight w:val="none"/>
              </w:rPr>
              <w:t>术</w:t>
            </w:r>
            <w:r>
              <w:rPr>
                <w:spacing w:val="-60"/>
                <w:kern w:val="0"/>
                <w:sz w:val="18"/>
                <w:szCs w:val="18"/>
                <w:highlight w:val="none"/>
              </w:rPr>
              <w:t xml:space="preserve"> </w:t>
            </w:r>
            <w:r>
              <w:rPr>
                <w:kern w:val="0"/>
                <w:sz w:val="18"/>
                <w:szCs w:val="18"/>
                <w:highlight w:val="none"/>
              </w:rPr>
              <w:t>规</w:t>
            </w:r>
            <w:r>
              <w:rPr>
                <w:spacing w:val="-60"/>
                <w:kern w:val="0"/>
                <w:sz w:val="18"/>
                <w:szCs w:val="18"/>
                <w:highlight w:val="none"/>
              </w:rPr>
              <w:t xml:space="preserve"> </w:t>
            </w:r>
            <w:r>
              <w:rPr>
                <w:kern w:val="0"/>
                <w:sz w:val="18"/>
                <w:szCs w:val="18"/>
                <w:highlight w:val="none"/>
              </w:rPr>
              <w:t>范要</w:t>
            </w:r>
            <w:r>
              <w:rPr>
                <w:spacing w:val="-60"/>
                <w:kern w:val="0"/>
                <w:sz w:val="18"/>
                <w:szCs w:val="18"/>
                <w:highlight w:val="none"/>
              </w:rPr>
              <w:t xml:space="preserve"> </w:t>
            </w:r>
            <w:r>
              <w:rPr>
                <w:kern w:val="0"/>
                <w:sz w:val="18"/>
                <w:szCs w:val="18"/>
                <w:highlight w:val="none"/>
              </w:rPr>
              <w:t>求</w:t>
            </w:r>
            <w:r>
              <w:rPr>
                <w:spacing w:val="-60"/>
                <w:kern w:val="0"/>
                <w:sz w:val="18"/>
                <w:szCs w:val="18"/>
                <w:highlight w:val="none"/>
              </w:rPr>
              <w:t xml:space="preserve"> </w:t>
            </w:r>
            <w:r>
              <w:rPr>
                <w:kern w:val="0"/>
                <w:sz w:val="18"/>
                <w:szCs w:val="18"/>
                <w:highlight w:val="none"/>
              </w:rPr>
              <w:t>等</w:t>
            </w:r>
            <w:r>
              <w:rPr>
                <w:spacing w:val="-60"/>
                <w:kern w:val="0"/>
                <w:sz w:val="18"/>
                <w:szCs w:val="18"/>
                <w:highlight w:val="none"/>
              </w:rPr>
              <w:t xml:space="preserve"> </w:t>
            </w:r>
            <w:r>
              <w:rPr>
                <w:kern w:val="0"/>
                <w:sz w:val="18"/>
                <w:szCs w:val="18"/>
                <w:highlight w:val="none"/>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highlight w:val="none"/>
                <w:lang w:eastAsia="en-US"/>
              </w:rPr>
            </w:pPr>
            <w:r>
              <w:rPr>
                <w:kern w:val="0"/>
                <w:sz w:val="18"/>
                <w:szCs w:val="18"/>
                <w:highlight w:val="none"/>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highlight w:val="none"/>
                <w:lang w:eastAsia="en-US"/>
              </w:rPr>
            </w:pPr>
            <w:r>
              <w:rPr>
                <w:kern w:val="0"/>
                <w:sz w:val="18"/>
                <w:szCs w:val="18"/>
                <w:highlight w:val="none"/>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highlight w:val="none"/>
              </w:rPr>
            </w:pPr>
            <w:r>
              <w:rPr>
                <w:rFonts w:hint="eastAsia"/>
                <w:kern w:val="0"/>
                <w:sz w:val="18"/>
                <w:szCs w:val="18"/>
                <w:highlight w:val="none"/>
              </w:rPr>
              <w:t>按报建要求或</w:t>
            </w:r>
            <w:r>
              <w:rPr>
                <w:kern w:val="0"/>
                <w:sz w:val="18"/>
                <w:szCs w:val="18"/>
                <w:highlight w:val="none"/>
              </w:rPr>
              <w:t>发包人</w:t>
            </w:r>
            <w:r>
              <w:rPr>
                <w:rFonts w:hint="eastAsia"/>
                <w:kern w:val="0"/>
                <w:sz w:val="18"/>
                <w:szCs w:val="18"/>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highlight w:val="none"/>
                <w:lang w:eastAsia="en-US"/>
              </w:rPr>
            </w:pPr>
            <w:r>
              <w:rPr>
                <w:kern w:val="0"/>
                <w:sz w:val="18"/>
                <w:szCs w:val="18"/>
                <w:highlight w:val="none"/>
                <w:lang w:eastAsia="en-US"/>
              </w:rPr>
              <w:t>电子文档</w:t>
            </w:r>
            <w:r>
              <w:rPr>
                <w:spacing w:val="-49"/>
                <w:kern w:val="0"/>
                <w:sz w:val="18"/>
                <w:szCs w:val="18"/>
                <w:highlight w:val="none"/>
                <w:lang w:eastAsia="en-US"/>
              </w:rPr>
              <w:t xml:space="preserve"> </w:t>
            </w:r>
            <w:r>
              <w:rPr>
                <w:kern w:val="0"/>
                <w:sz w:val="18"/>
                <w:szCs w:val="18"/>
                <w:highlight w:val="none"/>
                <w:lang w:eastAsia="en-US"/>
              </w:rPr>
              <w:t>1</w:t>
            </w:r>
            <w:r>
              <w:rPr>
                <w:spacing w:val="-53"/>
                <w:kern w:val="0"/>
                <w:sz w:val="18"/>
                <w:szCs w:val="18"/>
                <w:highlight w:val="none"/>
                <w:lang w:eastAsia="en-US"/>
              </w:rPr>
              <w:t xml:space="preserve"> </w:t>
            </w:r>
            <w:r>
              <w:rPr>
                <w:kern w:val="0"/>
                <w:sz w:val="18"/>
                <w:szCs w:val="18"/>
                <w:highlight w:val="none"/>
                <w:lang w:eastAsia="en-US"/>
              </w:rPr>
              <w:t>份</w:t>
            </w:r>
          </w:p>
        </w:tc>
      </w:tr>
      <w:tr>
        <w:tblPrEx>
          <w:tblCellMar>
            <w:top w:w="0" w:type="dxa"/>
            <w:left w:w="0" w:type="dxa"/>
            <w:bottom w:w="0" w:type="dxa"/>
            <w:right w:w="0" w:type="dxa"/>
          </w:tblCellMar>
        </w:tblPrEx>
        <w:trPr>
          <w:trHeight w:val="1105" w:hRule="exact"/>
        </w:trPr>
        <w:tc>
          <w:tcPr>
            <w:tcW w:w="633" w:type="dxa"/>
            <w:vMerge w:val="continue"/>
            <w:tcBorders>
              <w:left w:val="single" w:color="000000" w:sz="4" w:space="0"/>
              <w:right w:val="single" w:color="000000" w:sz="4" w:space="0"/>
            </w:tcBorders>
            <w:vAlign w:val="center"/>
          </w:tcPr>
          <w:p>
            <w:pPr>
              <w:jc w:val="center"/>
              <w:rPr>
                <w:szCs w:val="21"/>
                <w:highlight w:val="none"/>
              </w:rPr>
            </w:pPr>
          </w:p>
        </w:tc>
        <w:tc>
          <w:tcPr>
            <w:tcW w:w="1635" w:type="dxa"/>
            <w:vMerge w:val="continue"/>
            <w:tcBorders>
              <w:left w:val="single" w:color="000000" w:sz="4" w:space="0"/>
              <w:right w:val="single" w:color="000000" w:sz="4" w:space="0"/>
            </w:tcBorders>
            <w:vAlign w:val="center"/>
          </w:tcPr>
          <w:p>
            <w:pPr>
              <w:jc w:val="center"/>
              <w:rPr>
                <w:sz w:val="18"/>
                <w:szCs w:val="18"/>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highlight w:val="none"/>
                <w:lang w:eastAsia="en-US"/>
              </w:rPr>
            </w:pPr>
            <w:r>
              <w:rPr>
                <w:kern w:val="0"/>
                <w:sz w:val="18"/>
                <w:szCs w:val="18"/>
                <w:highlight w:val="none"/>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highlight w:val="none"/>
                <w:lang w:eastAsia="en-US"/>
              </w:rPr>
            </w:pPr>
            <w:r>
              <w:rPr>
                <w:kern w:val="0"/>
                <w:sz w:val="18"/>
                <w:szCs w:val="18"/>
                <w:highlight w:val="none"/>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highlight w:val="none"/>
              </w:rPr>
            </w:pPr>
            <w:r>
              <w:rPr>
                <w:rFonts w:hint="eastAsia"/>
                <w:kern w:val="0"/>
                <w:sz w:val="18"/>
                <w:szCs w:val="18"/>
                <w:highlight w:val="none"/>
              </w:rPr>
              <w:t>按</w:t>
            </w:r>
            <w:r>
              <w:rPr>
                <w:kern w:val="0"/>
                <w:sz w:val="18"/>
                <w:szCs w:val="18"/>
                <w:highlight w:val="none"/>
              </w:rPr>
              <w:t>发包人</w:t>
            </w:r>
            <w:r>
              <w:rPr>
                <w:rFonts w:hint="eastAsia"/>
                <w:kern w:val="0"/>
                <w:sz w:val="18"/>
                <w:szCs w:val="18"/>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highlight w:val="none"/>
                <w:lang w:eastAsia="en-US"/>
              </w:rPr>
            </w:pPr>
            <w:r>
              <w:rPr>
                <w:kern w:val="0"/>
                <w:sz w:val="18"/>
                <w:szCs w:val="18"/>
                <w:highlight w:val="none"/>
                <w:lang w:eastAsia="en-US"/>
              </w:rPr>
              <w:t>电子文档</w:t>
            </w:r>
            <w:r>
              <w:rPr>
                <w:spacing w:val="-49"/>
                <w:kern w:val="0"/>
                <w:sz w:val="18"/>
                <w:szCs w:val="18"/>
                <w:highlight w:val="none"/>
                <w:lang w:eastAsia="en-US"/>
              </w:rPr>
              <w:t xml:space="preserve"> </w:t>
            </w:r>
            <w:r>
              <w:rPr>
                <w:kern w:val="0"/>
                <w:sz w:val="18"/>
                <w:szCs w:val="18"/>
                <w:highlight w:val="none"/>
                <w:lang w:eastAsia="en-US"/>
              </w:rPr>
              <w:t>1</w:t>
            </w:r>
            <w:r>
              <w:rPr>
                <w:spacing w:val="-53"/>
                <w:kern w:val="0"/>
                <w:sz w:val="18"/>
                <w:szCs w:val="18"/>
                <w:highlight w:val="none"/>
                <w:lang w:eastAsia="en-US"/>
              </w:rPr>
              <w:t xml:space="preserve"> </w:t>
            </w:r>
            <w:r>
              <w:rPr>
                <w:kern w:val="0"/>
                <w:sz w:val="18"/>
                <w:szCs w:val="18"/>
                <w:highlight w:val="none"/>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w w:val="99"/>
                <w:kern w:val="0"/>
                <w:szCs w:val="21"/>
                <w:highlight w:val="none"/>
              </w:rPr>
            </w:pPr>
            <w:r>
              <w:rPr>
                <w:w w:val="99"/>
                <w:kern w:val="0"/>
                <w:szCs w:val="21"/>
                <w:highlight w:val="none"/>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highlight w:val="none"/>
              </w:rPr>
            </w:pPr>
            <w:r>
              <w:rPr>
                <w:kern w:val="0"/>
                <w:sz w:val="18"/>
                <w:szCs w:val="18"/>
                <w:highlight w:val="none"/>
              </w:rPr>
              <w:t>项目完工的完整版竣工图</w:t>
            </w:r>
          </w:p>
          <w:p>
            <w:pPr>
              <w:jc w:val="center"/>
              <w:rPr>
                <w:kern w:val="0"/>
                <w:sz w:val="18"/>
                <w:szCs w:val="18"/>
                <w:highlight w:val="none"/>
              </w:rPr>
            </w:pPr>
            <w:r>
              <w:rPr>
                <w:rFonts w:hint="eastAsia"/>
                <w:kern w:val="0"/>
                <w:sz w:val="18"/>
                <w:szCs w:val="18"/>
                <w:highlight w:val="none"/>
              </w:rPr>
              <w:t>（包含所有设计变更及各专项设计）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highlight w:val="none"/>
                <w:lang w:eastAsia="en-US"/>
              </w:rPr>
            </w:pPr>
            <w:r>
              <w:rPr>
                <w:kern w:val="0"/>
                <w:sz w:val="18"/>
                <w:szCs w:val="18"/>
                <w:highlight w:val="none"/>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highlight w:val="none"/>
              </w:rPr>
            </w:pPr>
            <w:r>
              <w:rPr>
                <w:rFonts w:hint="eastAsia"/>
                <w:kern w:val="0"/>
                <w:sz w:val="18"/>
                <w:szCs w:val="18"/>
                <w:highlight w:val="none"/>
              </w:rPr>
              <w:t>按</w:t>
            </w:r>
            <w:r>
              <w:rPr>
                <w:kern w:val="0"/>
                <w:sz w:val="18"/>
                <w:szCs w:val="18"/>
                <w:highlight w:val="none"/>
              </w:rPr>
              <w:t>发包人</w:t>
            </w:r>
            <w:r>
              <w:rPr>
                <w:rFonts w:hint="eastAsia"/>
                <w:kern w:val="0"/>
                <w:sz w:val="18"/>
                <w:szCs w:val="18"/>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highlight w:val="none"/>
                <w:lang w:eastAsia="en-US"/>
              </w:rPr>
            </w:pPr>
            <w:r>
              <w:rPr>
                <w:kern w:val="0"/>
                <w:sz w:val="18"/>
                <w:szCs w:val="18"/>
                <w:highlight w:val="none"/>
                <w:lang w:eastAsia="en-US"/>
              </w:rPr>
              <w:t>电子文档</w:t>
            </w:r>
            <w:r>
              <w:rPr>
                <w:spacing w:val="-49"/>
                <w:kern w:val="0"/>
                <w:sz w:val="18"/>
                <w:szCs w:val="18"/>
                <w:highlight w:val="none"/>
                <w:lang w:eastAsia="en-US"/>
              </w:rPr>
              <w:t xml:space="preserve"> </w:t>
            </w:r>
            <w:r>
              <w:rPr>
                <w:kern w:val="0"/>
                <w:sz w:val="18"/>
                <w:szCs w:val="18"/>
                <w:highlight w:val="none"/>
                <w:lang w:eastAsia="en-US"/>
              </w:rPr>
              <w:t>1</w:t>
            </w:r>
            <w:r>
              <w:rPr>
                <w:spacing w:val="-53"/>
                <w:kern w:val="0"/>
                <w:sz w:val="18"/>
                <w:szCs w:val="18"/>
                <w:highlight w:val="none"/>
                <w:lang w:eastAsia="en-US"/>
              </w:rPr>
              <w:t xml:space="preserve"> </w:t>
            </w:r>
            <w:r>
              <w:rPr>
                <w:kern w:val="0"/>
                <w:sz w:val="18"/>
                <w:szCs w:val="18"/>
                <w:highlight w:val="none"/>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highlight w:val="none"/>
                <w:lang w:eastAsia="en-US"/>
              </w:rPr>
            </w:pPr>
            <w:r>
              <w:rPr>
                <w:w w:val="99"/>
                <w:kern w:val="0"/>
                <w:szCs w:val="21"/>
                <w:highlight w:val="none"/>
                <w:lang w:eastAsia="en-US"/>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jc w:val="left"/>
              <w:rPr>
                <w:kern w:val="0"/>
                <w:sz w:val="18"/>
                <w:szCs w:val="18"/>
                <w:highlight w:val="none"/>
              </w:rPr>
            </w:pPr>
            <w:r>
              <w:rPr>
                <w:kern w:val="0"/>
                <w:sz w:val="18"/>
                <w:szCs w:val="18"/>
                <w:highlight w:val="none"/>
              </w:rPr>
              <w:t>总图设计成果文件（包括区域内各相关专</w:t>
            </w:r>
            <w:r>
              <w:rPr>
                <w:w w:val="99"/>
                <w:kern w:val="0"/>
                <w:sz w:val="18"/>
                <w:szCs w:val="18"/>
                <w:highlight w:val="none"/>
              </w:rPr>
              <w:t xml:space="preserve"> </w:t>
            </w:r>
            <w:r>
              <w:rPr>
                <w:kern w:val="0"/>
                <w:sz w:val="18"/>
                <w:szCs w:val="18"/>
                <w:highlight w:val="none"/>
              </w:rPr>
              <w:t>业、管线综合、园林景观等内容）</w:t>
            </w:r>
          </w:p>
        </w:tc>
        <w:tc>
          <w:tcPr>
            <w:tcW w:w="1701" w:type="dxa"/>
            <w:tcBorders>
              <w:top w:val="single" w:color="000000" w:sz="4" w:space="0"/>
              <w:left w:val="single" w:color="000000" w:sz="4" w:space="0"/>
              <w:bottom w:val="single" w:color="000000" w:sz="4" w:space="0"/>
              <w:right w:val="single" w:color="000000" w:sz="4" w:space="0"/>
            </w:tcBorders>
            <w:vAlign w:val="center"/>
          </w:tcPr>
          <w:p>
            <w:pPr>
              <w:ind w:right="45"/>
              <w:jc w:val="center"/>
              <w:rPr>
                <w:kern w:val="0"/>
                <w:sz w:val="18"/>
                <w:szCs w:val="18"/>
                <w:highlight w:val="none"/>
              </w:rPr>
            </w:pPr>
            <w:r>
              <w:rPr>
                <w:kern w:val="0"/>
                <w:sz w:val="18"/>
                <w:szCs w:val="18"/>
                <w:highlight w:val="none"/>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highlight w:val="none"/>
                <w:lang w:eastAsia="en-US"/>
              </w:rPr>
            </w:pPr>
            <w:r>
              <w:rPr>
                <w:kern w:val="0"/>
                <w:sz w:val="18"/>
                <w:szCs w:val="18"/>
                <w:highlight w:val="none"/>
                <w:lang w:eastAsia="en-US"/>
              </w:rPr>
              <w:t>按</w:t>
            </w:r>
            <w:r>
              <w:rPr>
                <w:spacing w:val="-73"/>
                <w:kern w:val="0"/>
                <w:sz w:val="18"/>
                <w:szCs w:val="18"/>
                <w:highlight w:val="none"/>
                <w:lang w:eastAsia="en-US"/>
              </w:rPr>
              <w:t xml:space="preserve"> </w:t>
            </w:r>
            <w:r>
              <w:rPr>
                <w:kern w:val="0"/>
                <w:sz w:val="18"/>
                <w:szCs w:val="18"/>
                <w:highlight w:val="none"/>
              </w:rPr>
              <w:t>发包人</w:t>
            </w:r>
            <w:r>
              <w:rPr>
                <w:spacing w:val="-71"/>
                <w:kern w:val="0"/>
                <w:sz w:val="18"/>
                <w:szCs w:val="18"/>
                <w:highlight w:val="none"/>
                <w:lang w:eastAsia="en-US"/>
              </w:rPr>
              <w:t xml:space="preserve"> </w:t>
            </w:r>
            <w:r>
              <w:rPr>
                <w:kern w:val="0"/>
                <w:sz w:val="18"/>
                <w:szCs w:val="18"/>
                <w:highlight w:val="none"/>
                <w:lang w:eastAsia="en-US"/>
              </w:rPr>
              <w:t>要</w:t>
            </w:r>
            <w:r>
              <w:rPr>
                <w:spacing w:val="-73"/>
                <w:kern w:val="0"/>
                <w:sz w:val="18"/>
                <w:szCs w:val="18"/>
                <w:highlight w:val="none"/>
                <w:lang w:eastAsia="en-US"/>
              </w:rPr>
              <w:t xml:space="preserve"> </w:t>
            </w:r>
            <w:r>
              <w:rPr>
                <w:kern w:val="0"/>
                <w:sz w:val="18"/>
                <w:szCs w:val="18"/>
                <w:highlight w:val="none"/>
                <w:lang w:eastAsia="en-US"/>
              </w:rPr>
              <w:t>求</w:t>
            </w:r>
            <w:r>
              <w:rPr>
                <w:spacing w:val="-73"/>
                <w:kern w:val="0"/>
                <w:sz w:val="18"/>
                <w:szCs w:val="18"/>
                <w:highlight w:val="none"/>
                <w:lang w:eastAsia="en-US"/>
              </w:rPr>
              <w:t xml:space="preserve"> </w:t>
            </w:r>
            <w:r>
              <w:rPr>
                <w:kern w:val="0"/>
                <w:sz w:val="18"/>
                <w:szCs w:val="18"/>
                <w:highlight w:val="none"/>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highlight w:val="none"/>
                <w:lang w:eastAsia="en-US"/>
              </w:rPr>
            </w:pPr>
            <w:r>
              <w:rPr>
                <w:kern w:val="0"/>
                <w:sz w:val="18"/>
                <w:szCs w:val="18"/>
                <w:highlight w:val="none"/>
                <w:lang w:eastAsia="en-US"/>
              </w:rPr>
              <w:t>电子文档</w:t>
            </w:r>
            <w:r>
              <w:rPr>
                <w:spacing w:val="-49"/>
                <w:kern w:val="0"/>
                <w:sz w:val="18"/>
                <w:szCs w:val="18"/>
                <w:highlight w:val="none"/>
                <w:lang w:eastAsia="en-US"/>
              </w:rPr>
              <w:t xml:space="preserve"> </w:t>
            </w:r>
            <w:r>
              <w:rPr>
                <w:kern w:val="0"/>
                <w:sz w:val="18"/>
                <w:szCs w:val="18"/>
                <w:highlight w:val="none"/>
                <w:lang w:eastAsia="en-US"/>
              </w:rPr>
              <w:t>1</w:t>
            </w:r>
            <w:r>
              <w:rPr>
                <w:spacing w:val="-53"/>
                <w:kern w:val="0"/>
                <w:sz w:val="18"/>
                <w:szCs w:val="18"/>
                <w:highlight w:val="none"/>
                <w:lang w:eastAsia="en-US"/>
              </w:rPr>
              <w:t xml:space="preserve"> </w:t>
            </w:r>
            <w:r>
              <w:rPr>
                <w:kern w:val="0"/>
                <w:sz w:val="18"/>
                <w:szCs w:val="18"/>
                <w:highlight w:val="none"/>
                <w:lang w:eastAsia="en-US"/>
              </w:rPr>
              <w:t>份</w:t>
            </w:r>
          </w:p>
        </w:tc>
      </w:tr>
    </w:tbl>
    <w:p>
      <w:pPr>
        <w:autoSpaceDE w:val="0"/>
        <w:autoSpaceDN w:val="0"/>
        <w:adjustRightInd w:val="0"/>
        <w:snapToGrid w:val="0"/>
        <w:spacing w:before="156" w:beforeLines="50" w:line="360" w:lineRule="auto"/>
        <w:ind w:left="420" w:hanging="420" w:hangingChars="200"/>
        <w:rPr>
          <w:kern w:val="0"/>
          <w:szCs w:val="21"/>
          <w:highlight w:val="none"/>
        </w:rPr>
      </w:pPr>
      <w:r>
        <w:rPr>
          <w:szCs w:val="21"/>
          <w:highlight w:val="none"/>
        </w:rPr>
        <w:t>注：</w:t>
      </w:r>
      <w:r>
        <w:rPr>
          <w:kern w:val="0"/>
          <w:szCs w:val="21"/>
          <w:highlight w:val="none"/>
        </w:rPr>
        <w:t>1.消防审核阶段，初步修改意见出来后，5天内修改完毕，蓝图送至发包人或指定接受单位；第二次修改意见出来后，3天内修改完毕，蓝图送至发包人或指定接受单位；</w:t>
      </w:r>
    </w:p>
    <w:p>
      <w:pPr>
        <w:autoSpaceDE w:val="0"/>
        <w:autoSpaceDN w:val="0"/>
        <w:adjustRightInd w:val="0"/>
        <w:snapToGrid w:val="0"/>
        <w:spacing w:line="360" w:lineRule="auto"/>
        <w:ind w:firstLine="420" w:firstLineChars="200"/>
        <w:rPr>
          <w:kern w:val="0"/>
          <w:szCs w:val="21"/>
          <w:highlight w:val="none"/>
        </w:rPr>
      </w:pPr>
      <w:r>
        <w:rPr>
          <w:kern w:val="0"/>
          <w:szCs w:val="21"/>
          <w:highlight w:val="none"/>
        </w:rPr>
        <w:t xml:space="preserve">2.防雷审查阶段，修改意见出来后，3天内修改完毕，蓝图送至发包人或指定接受单位； </w:t>
      </w:r>
    </w:p>
    <w:p>
      <w:pPr>
        <w:autoSpaceDE w:val="0"/>
        <w:autoSpaceDN w:val="0"/>
        <w:adjustRightInd w:val="0"/>
        <w:snapToGrid w:val="0"/>
        <w:spacing w:line="360" w:lineRule="auto"/>
        <w:ind w:firstLine="420" w:firstLineChars="200"/>
        <w:rPr>
          <w:kern w:val="0"/>
          <w:szCs w:val="21"/>
          <w:highlight w:val="none"/>
        </w:rPr>
      </w:pPr>
      <w:r>
        <w:rPr>
          <w:kern w:val="0"/>
          <w:szCs w:val="21"/>
          <w:highlight w:val="none"/>
        </w:rPr>
        <w:t>3.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pPr>
        <w:autoSpaceDE w:val="0"/>
        <w:autoSpaceDN w:val="0"/>
        <w:adjustRightInd w:val="0"/>
        <w:snapToGrid w:val="0"/>
        <w:spacing w:line="360" w:lineRule="auto"/>
        <w:ind w:firstLine="420" w:firstLineChars="200"/>
        <w:rPr>
          <w:kern w:val="0"/>
          <w:szCs w:val="21"/>
          <w:highlight w:val="none"/>
        </w:rPr>
      </w:pPr>
      <w:r>
        <w:rPr>
          <w:kern w:val="0"/>
          <w:szCs w:val="21"/>
          <w:highlight w:val="none"/>
        </w:rPr>
        <w:t xml:space="preserve">4.供电预审阶段，初步修改意见出来后，4天内修改完毕，蓝图送至发包人或指定接受单位；第二次修改意见出来后，2天内修改完毕，蓝图送至发包人或指定接受单位； </w:t>
      </w:r>
    </w:p>
    <w:p>
      <w:pPr>
        <w:autoSpaceDE w:val="0"/>
        <w:autoSpaceDN w:val="0"/>
        <w:adjustRightInd w:val="0"/>
        <w:snapToGrid w:val="0"/>
        <w:spacing w:line="360" w:lineRule="auto"/>
        <w:ind w:firstLine="420" w:firstLineChars="200"/>
        <w:rPr>
          <w:kern w:val="0"/>
          <w:szCs w:val="21"/>
          <w:highlight w:val="none"/>
        </w:rPr>
      </w:pPr>
      <w:r>
        <w:rPr>
          <w:kern w:val="0"/>
          <w:szCs w:val="21"/>
          <w:highlight w:val="none"/>
        </w:rPr>
        <w:t>5.财审阶段，初审意见出来后，5天内修改完毕，蓝图送至发包人或指定接受单位；复审意见出来后，2天内修改完毕，蓝图送至发包人或指定接受单位；</w:t>
      </w:r>
    </w:p>
    <w:p>
      <w:pPr>
        <w:autoSpaceDE w:val="0"/>
        <w:autoSpaceDN w:val="0"/>
        <w:adjustRightInd w:val="0"/>
        <w:snapToGrid w:val="0"/>
        <w:spacing w:line="360" w:lineRule="auto"/>
        <w:ind w:firstLine="420" w:firstLineChars="200"/>
        <w:rPr>
          <w:b/>
          <w:snapToGrid w:val="0"/>
          <w:szCs w:val="21"/>
          <w:highlight w:val="none"/>
        </w:rPr>
      </w:pPr>
      <w:r>
        <w:rPr>
          <w:kern w:val="0"/>
          <w:szCs w:val="21"/>
          <w:highlight w:val="none"/>
        </w:rPr>
        <w:t>6.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pPr>
        <w:pStyle w:val="69"/>
        <w:adjustRightInd w:val="0"/>
        <w:snapToGrid w:val="0"/>
        <w:spacing w:line="360" w:lineRule="auto"/>
        <w:ind w:firstLine="413" w:firstLineChars="196"/>
        <w:rPr>
          <w:bCs/>
          <w:snapToGrid w:val="0"/>
          <w:sz w:val="21"/>
          <w:szCs w:val="21"/>
          <w:highlight w:val="none"/>
        </w:rPr>
      </w:pPr>
      <w:r>
        <w:rPr>
          <w:b/>
          <w:snapToGrid w:val="0"/>
          <w:sz w:val="21"/>
          <w:szCs w:val="21"/>
          <w:highlight w:val="none"/>
        </w:rPr>
        <w:t>8.2</w:t>
      </w:r>
      <w:r>
        <w:rPr>
          <w:snapToGrid w:val="0"/>
          <w:sz w:val="21"/>
          <w:szCs w:val="21"/>
          <w:highlight w:val="none"/>
        </w:rPr>
        <w:t>承包人必须</w:t>
      </w:r>
      <w:r>
        <w:rPr>
          <w:snapToGrid w:val="0"/>
          <w:sz w:val="21"/>
          <w:szCs w:val="21"/>
          <w:highlight w:val="none"/>
          <w:u w:val="single"/>
        </w:rPr>
        <w:t>按照经过发包人审批确定的设计进度计划</w:t>
      </w:r>
      <w:r>
        <w:rPr>
          <w:snapToGrid w:val="0"/>
          <w:sz w:val="21"/>
          <w:szCs w:val="21"/>
          <w:highlight w:val="none"/>
        </w:rPr>
        <w:t>及时提交</w:t>
      </w:r>
      <w:r>
        <w:rPr>
          <w:bCs/>
          <w:snapToGrid w:val="0"/>
          <w:sz w:val="21"/>
          <w:szCs w:val="21"/>
          <w:highlight w:val="none"/>
        </w:rPr>
        <w:t>设计中间资料，以满足发包人开展有关工作的需要，有关费用已包含在本合同约定的设计费用之内。</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8.3</w:t>
      </w:r>
      <w:r>
        <w:rPr>
          <w:snapToGrid w:val="0"/>
          <w:kern w:val="0"/>
          <w:szCs w:val="21"/>
          <w:highlight w:val="none"/>
        </w:rPr>
        <w:t>承包人向发包人提交的各版次设计成果文件应满足设计文件审批的要求及本合同工程各阶段建设的需要。</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8.4</w:t>
      </w:r>
      <w:r>
        <w:rPr>
          <w:snapToGrid w:val="0"/>
          <w:kern w:val="0"/>
          <w:szCs w:val="21"/>
          <w:highlight w:val="none"/>
        </w:rPr>
        <w:t>承包人按合同约定的时限将设计成果文件或资料交付至发包人指定的地点，相关费用（包括运输、邮寄、电传、税费等费用）已经含于设计费中。</w:t>
      </w:r>
    </w:p>
    <w:p>
      <w:pPr>
        <w:pStyle w:val="8"/>
        <w:adjustRightInd w:val="0"/>
        <w:snapToGrid w:val="0"/>
        <w:spacing w:line="360" w:lineRule="auto"/>
        <w:ind w:firstLineChars="0"/>
        <w:rPr>
          <w:snapToGrid w:val="0"/>
          <w:kern w:val="0"/>
          <w:szCs w:val="21"/>
          <w:highlight w:val="none"/>
        </w:rPr>
      </w:pPr>
      <w:r>
        <w:rPr>
          <w:b/>
          <w:snapToGrid w:val="0"/>
          <w:kern w:val="0"/>
          <w:szCs w:val="21"/>
          <w:highlight w:val="none"/>
        </w:rPr>
        <w:t>8.5</w:t>
      </w:r>
      <w:r>
        <w:rPr>
          <w:snapToGrid w:val="0"/>
          <w:kern w:val="0"/>
          <w:szCs w:val="21"/>
          <w:highlight w:val="none"/>
        </w:rPr>
        <w:t>在报建过程中需要提供设计成果文件或设计中间资料的电子文档的，承包人应无偿提供。</w:t>
      </w:r>
    </w:p>
    <w:p>
      <w:pPr>
        <w:pStyle w:val="8"/>
        <w:spacing w:line="360" w:lineRule="auto"/>
        <w:ind w:firstLineChars="0"/>
        <w:rPr>
          <w:snapToGrid w:val="0"/>
          <w:kern w:val="0"/>
          <w:szCs w:val="21"/>
          <w:highlight w:val="none"/>
        </w:rPr>
      </w:pPr>
    </w:p>
    <w:p>
      <w:pPr>
        <w:adjustRightInd w:val="0"/>
        <w:snapToGrid w:val="0"/>
        <w:spacing w:before="156" w:beforeLines="50" w:line="360" w:lineRule="auto"/>
        <w:jc w:val="center"/>
        <w:rPr>
          <w:b/>
          <w:snapToGrid w:val="0"/>
          <w:kern w:val="0"/>
          <w:szCs w:val="21"/>
          <w:highlight w:val="none"/>
        </w:rPr>
      </w:pPr>
      <w:r>
        <w:rPr>
          <w:b/>
          <w:snapToGrid w:val="0"/>
          <w:kern w:val="0"/>
          <w:sz w:val="28"/>
          <w:szCs w:val="28"/>
          <w:highlight w:val="none"/>
        </w:rPr>
        <w:t>第三章 设计质量</w:t>
      </w:r>
    </w:p>
    <w:p>
      <w:pPr>
        <w:adjustRightInd w:val="0"/>
        <w:snapToGrid w:val="0"/>
        <w:spacing w:line="360" w:lineRule="auto"/>
        <w:ind w:firstLine="413" w:firstLineChars="196"/>
        <w:rPr>
          <w:bCs/>
          <w:snapToGrid w:val="0"/>
          <w:kern w:val="0"/>
          <w:szCs w:val="21"/>
          <w:highlight w:val="none"/>
        </w:rPr>
      </w:pPr>
      <w:r>
        <w:rPr>
          <w:b/>
          <w:bCs/>
          <w:snapToGrid w:val="0"/>
          <w:kern w:val="0"/>
          <w:szCs w:val="21"/>
          <w:highlight w:val="none"/>
        </w:rPr>
        <w:t>9、设计的质量要求</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9.1</w:t>
      </w:r>
      <w:r>
        <w:rPr>
          <w:snapToGrid w:val="0"/>
          <w:kern w:val="0"/>
          <w:szCs w:val="21"/>
          <w:highlight w:val="none"/>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9.2</w:t>
      </w:r>
      <w:r>
        <w:rPr>
          <w:snapToGrid w:val="0"/>
          <w:kern w:val="0"/>
          <w:szCs w:val="21"/>
          <w:highlight w:val="none"/>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pPr>
        <w:adjustRightInd w:val="0"/>
        <w:snapToGrid w:val="0"/>
        <w:spacing w:line="360" w:lineRule="auto"/>
        <w:ind w:firstLine="422" w:firstLineChars="200"/>
        <w:rPr>
          <w:b/>
          <w:snapToGrid w:val="0"/>
          <w:kern w:val="0"/>
          <w:szCs w:val="21"/>
          <w:highlight w:val="none"/>
        </w:rPr>
      </w:pPr>
      <w:r>
        <w:rPr>
          <w:b/>
          <w:snapToGrid w:val="0"/>
          <w:kern w:val="0"/>
          <w:szCs w:val="21"/>
          <w:highlight w:val="none"/>
        </w:rPr>
        <w:t xml:space="preserve">9.3 </w:t>
      </w:r>
      <w:r>
        <w:rPr>
          <w:snapToGrid w:val="0"/>
          <w:kern w:val="0"/>
          <w:szCs w:val="21"/>
          <w:highlight w:val="none"/>
        </w:rPr>
        <w:t>承包人在设计过程中应考虑工程实施的可操作性，对工序方案提出相应的技术要求，应明确提出关键工序的工艺要求、质量控制要求及安全技术措施方案。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22" w:firstLineChars="200"/>
        <w:rPr>
          <w:strike/>
          <w:snapToGrid w:val="0"/>
          <w:kern w:val="0"/>
          <w:szCs w:val="21"/>
          <w:highlight w:val="none"/>
        </w:rPr>
      </w:pPr>
      <w:r>
        <w:rPr>
          <w:b/>
          <w:snapToGrid w:val="0"/>
          <w:kern w:val="0"/>
          <w:szCs w:val="21"/>
          <w:highlight w:val="none"/>
        </w:rPr>
        <w:t>9.4</w:t>
      </w:r>
      <w:r>
        <w:rPr>
          <w:snapToGrid w:val="0"/>
          <w:kern w:val="0"/>
          <w:szCs w:val="21"/>
          <w:highlight w:val="none"/>
        </w:rPr>
        <w:t>设计成果文件的计量单位均应采用国际标准计量单位。</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9.5</w:t>
      </w:r>
      <w:r>
        <w:rPr>
          <w:snapToGrid w:val="0"/>
          <w:kern w:val="0"/>
          <w:szCs w:val="21"/>
          <w:highlight w:val="none"/>
        </w:rPr>
        <w:t>设计图纸必须按照国家对工程图纸规格的规定绘制，保持同类图纸规格统一。</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9.6</w:t>
      </w:r>
      <w:r>
        <w:rPr>
          <w:snapToGrid w:val="0"/>
          <w:kern w:val="0"/>
          <w:szCs w:val="21"/>
          <w:highlight w:val="none"/>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9.7</w:t>
      </w:r>
      <w:r>
        <w:rPr>
          <w:snapToGrid w:val="0"/>
          <w:sz w:val="21"/>
          <w:szCs w:val="21"/>
          <w:highlight w:val="none"/>
        </w:rPr>
        <w:t>承包人应提供国际权威机构或国内有关部门对新材料及特殊结构的试验报告，并提供相应新材料及特殊结构在工程中应用的经验供发包人参考。</w:t>
      </w:r>
    </w:p>
    <w:p>
      <w:pPr>
        <w:pStyle w:val="69"/>
        <w:adjustRightInd w:val="0"/>
        <w:snapToGrid w:val="0"/>
        <w:spacing w:line="360" w:lineRule="auto"/>
        <w:ind w:firstLine="422" w:firstLineChars="200"/>
        <w:rPr>
          <w:b/>
          <w:snapToGrid w:val="0"/>
          <w:sz w:val="21"/>
          <w:szCs w:val="21"/>
          <w:highlight w:val="none"/>
        </w:rPr>
      </w:pPr>
      <w:r>
        <w:rPr>
          <w:b/>
          <w:snapToGrid w:val="0"/>
          <w:sz w:val="21"/>
          <w:szCs w:val="21"/>
          <w:highlight w:val="none"/>
        </w:rPr>
        <w:t>9.8本项目（或标段）原则上只委托（或招标）一个设计单位，本项目图纸中，严禁标注“由专业公司深化设计”“待专业公司深化设计”和“待确定设备厂家后补充大样”等字眼。否则视为严重违约。</w:t>
      </w:r>
    </w:p>
    <w:p>
      <w:pPr>
        <w:pStyle w:val="69"/>
        <w:adjustRightInd w:val="0"/>
        <w:snapToGrid w:val="0"/>
        <w:spacing w:line="460" w:lineRule="exact"/>
        <w:ind w:firstLine="422" w:firstLineChars="200"/>
        <w:rPr>
          <w:b/>
          <w:snapToGrid w:val="0"/>
          <w:sz w:val="21"/>
          <w:szCs w:val="21"/>
          <w:highlight w:val="none"/>
        </w:rPr>
      </w:pPr>
    </w:p>
    <w:p>
      <w:pPr>
        <w:adjustRightInd w:val="0"/>
        <w:snapToGrid w:val="0"/>
        <w:spacing w:before="156" w:beforeLines="50" w:line="460" w:lineRule="exact"/>
        <w:jc w:val="center"/>
        <w:rPr>
          <w:b/>
          <w:snapToGrid w:val="0"/>
          <w:kern w:val="0"/>
          <w:szCs w:val="21"/>
          <w:highlight w:val="none"/>
        </w:rPr>
      </w:pPr>
      <w:r>
        <w:rPr>
          <w:b/>
          <w:snapToGrid w:val="0"/>
          <w:kern w:val="0"/>
          <w:sz w:val="28"/>
          <w:szCs w:val="28"/>
          <w:highlight w:val="none"/>
        </w:rPr>
        <w:t>第四章 设计变更</w:t>
      </w:r>
    </w:p>
    <w:p>
      <w:pPr>
        <w:adjustRightInd w:val="0"/>
        <w:snapToGrid w:val="0"/>
        <w:spacing w:line="360" w:lineRule="auto"/>
        <w:ind w:firstLine="413" w:firstLineChars="196"/>
        <w:rPr>
          <w:b/>
          <w:bCs/>
          <w:snapToGrid w:val="0"/>
          <w:kern w:val="0"/>
          <w:szCs w:val="21"/>
          <w:highlight w:val="none"/>
        </w:rPr>
      </w:pPr>
      <w:bookmarkStart w:id="733" w:name="_Toc81895175"/>
      <w:bookmarkStart w:id="734" w:name="_Toc81802534"/>
      <w:r>
        <w:rPr>
          <w:b/>
          <w:bCs/>
          <w:snapToGrid w:val="0"/>
          <w:kern w:val="0"/>
          <w:szCs w:val="21"/>
          <w:highlight w:val="none"/>
        </w:rPr>
        <w:t>10、设计变更</w:t>
      </w:r>
    </w:p>
    <w:p>
      <w:pPr>
        <w:pStyle w:val="69"/>
        <w:adjustRightInd w:val="0"/>
        <w:snapToGrid w:val="0"/>
        <w:spacing w:line="360" w:lineRule="auto"/>
        <w:ind w:firstLine="422" w:firstLineChars="200"/>
        <w:rPr>
          <w:snapToGrid w:val="0"/>
          <w:sz w:val="21"/>
          <w:szCs w:val="21"/>
          <w:highlight w:val="none"/>
        </w:rPr>
      </w:pPr>
      <w:r>
        <w:rPr>
          <w:b/>
          <w:bCs/>
          <w:snapToGrid w:val="0"/>
          <w:sz w:val="21"/>
          <w:szCs w:val="21"/>
          <w:highlight w:val="none"/>
        </w:rPr>
        <w:t>10</w:t>
      </w:r>
      <w:r>
        <w:rPr>
          <w:b/>
          <w:snapToGrid w:val="0"/>
          <w:sz w:val="21"/>
          <w:szCs w:val="21"/>
          <w:highlight w:val="none"/>
        </w:rPr>
        <w:t>.1</w:t>
      </w:r>
      <w:r>
        <w:rPr>
          <w:snapToGrid w:val="0"/>
          <w:sz w:val="21"/>
          <w:szCs w:val="21"/>
          <w:highlight w:val="none"/>
        </w:rPr>
        <w:t xml:space="preserve"> 承包人</w:t>
      </w:r>
      <w:r>
        <w:rPr>
          <w:sz w:val="21"/>
          <w:szCs w:val="21"/>
          <w:highlight w:val="none"/>
        </w:rPr>
        <w:t>应本着对工程质量、工期、投资等三大控制相结合的原则</w:t>
      </w:r>
      <w:r>
        <w:rPr>
          <w:bCs/>
          <w:snapToGrid w:val="0"/>
          <w:sz w:val="21"/>
          <w:szCs w:val="21"/>
          <w:highlight w:val="none"/>
        </w:rPr>
        <w:t>中的相关规定</w:t>
      </w:r>
      <w:r>
        <w:rPr>
          <w:sz w:val="21"/>
          <w:szCs w:val="21"/>
          <w:highlight w:val="none"/>
        </w:rPr>
        <w:t>对设计变更进行管理。</w:t>
      </w:r>
    </w:p>
    <w:p>
      <w:pPr>
        <w:pStyle w:val="69"/>
        <w:adjustRightInd w:val="0"/>
        <w:snapToGrid w:val="0"/>
        <w:spacing w:line="360" w:lineRule="auto"/>
        <w:ind w:firstLine="422" w:firstLineChars="200"/>
        <w:rPr>
          <w:snapToGrid w:val="0"/>
          <w:sz w:val="21"/>
          <w:szCs w:val="21"/>
          <w:highlight w:val="none"/>
        </w:rPr>
      </w:pPr>
      <w:r>
        <w:rPr>
          <w:b/>
          <w:bCs/>
          <w:snapToGrid w:val="0"/>
          <w:sz w:val="21"/>
          <w:szCs w:val="21"/>
          <w:highlight w:val="none"/>
        </w:rPr>
        <w:t>10</w:t>
      </w:r>
      <w:r>
        <w:rPr>
          <w:b/>
          <w:snapToGrid w:val="0"/>
          <w:sz w:val="21"/>
          <w:szCs w:val="21"/>
          <w:highlight w:val="none"/>
        </w:rPr>
        <w:t>.2</w:t>
      </w:r>
      <w:r>
        <w:rPr>
          <w:snapToGrid w:val="0"/>
          <w:sz w:val="21"/>
          <w:szCs w:val="21"/>
          <w:highlight w:val="none"/>
        </w:rPr>
        <w:t>由于承包人的成果文件的</w:t>
      </w:r>
      <w:r>
        <w:rPr>
          <w:bCs/>
          <w:snapToGrid w:val="0"/>
          <w:sz w:val="21"/>
          <w:szCs w:val="21"/>
          <w:highlight w:val="none"/>
        </w:rPr>
        <w:t>完整性及有效性问题、</w:t>
      </w:r>
      <w:r>
        <w:rPr>
          <w:snapToGrid w:val="0"/>
          <w:sz w:val="21"/>
          <w:szCs w:val="21"/>
          <w:highlight w:val="none"/>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pPr>
        <w:pStyle w:val="69"/>
        <w:adjustRightInd w:val="0"/>
        <w:snapToGrid w:val="0"/>
        <w:spacing w:line="360" w:lineRule="auto"/>
        <w:ind w:firstLine="422" w:firstLineChars="200"/>
        <w:rPr>
          <w:snapToGrid w:val="0"/>
          <w:sz w:val="21"/>
          <w:szCs w:val="21"/>
          <w:highlight w:val="none"/>
        </w:rPr>
      </w:pPr>
      <w:r>
        <w:rPr>
          <w:b/>
          <w:bCs/>
          <w:snapToGrid w:val="0"/>
          <w:sz w:val="21"/>
          <w:szCs w:val="21"/>
          <w:highlight w:val="none"/>
        </w:rPr>
        <w:t>10</w:t>
      </w:r>
      <w:r>
        <w:rPr>
          <w:b/>
          <w:snapToGrid w:val="0"/>
          <w:sz w:val="21"/>
          <w:szCs w:val="21"/>
          <w:highlight w:val="none"/>
        </w:rPr>
        <w:t>.3</w:t>
      </w:r>
      <w:r>
        <w:rPr>
          <w:snapToGrid w:val="0"/>
          <w:sz w:val="21"/>
          <w:szCs w:val="21"/>
          <w:highlight w:val="none"/>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sz w:val="21"/>
          <w:szCs w:val="21"/>
          <w:highlight w:val="none"/>
        </w:rPr>
        <w:t>28</w:t>
      </w:r>
      <w:r>
        <w:rPr>
          <w:snapToGrid w:val="0"/>
          <w:sz w:val="21"/>
          <w:szCs w:val="21"/>
          <w:highlight w:val="none"/>
        </w:rPr>
        <w:t>条的相关约定承担违约责任。</w:t>
      </w:r>
    </w:p>
    <w:p>
      <w:pPr>
        <w:pStyle w:val="69"/>
        <w:adjustRightInd w:val="0"/>
        <w:snapToGrid w:val="0"/>
        <w:spacing w:line="360" w:lineRule="auto"/>
        <w:ind w:firstLine="422" w:firstLineChars="200"/>
        <w:rPr>
          <w:snapToGrid w:val="0"/>
          <w:sz w:val="21"/>
          <w:szCs w:val="21"/>
          <w:highlight w:val="none"/>
        </w:rPr>
      </w:pPr>
      <w:r>
        <w:rPr>
          <w:b/>
          <w:bCs/>
          <w:snapToGrid w:val="0"/>
          <w:sz w:val="21"/>
          <w:szCs w:val="21"/>
          <w:highlight w:val="none"/>
        </w:rPr>
        <w:t>10</w:t>
      </w:r>
      <w:r>
        <w:rPr>
          <w:b/>
          <w:snapToGrid w:val="0"/>
          <w:sz w:val="21"/>
          <w:szCs w:val="21"/>
          <w:highlight w:val="none"/>
        </w:rPr>
        <w:t>.4</w:t>
      </w:r>
      <w:r>
        <w:rPr>
          <w:snapToGrid w:val="0"/>
          <w:sz w:val="21"/>
          <w:szCs w:val="21"/>
          <w:highlight w:val="none"/>
        </w:rPr>
        <w:t>承包人负责根据国家及地方的相关规范、规定对本合同实施过程中产生的图纸会审记录进行审核；图纸会审记录中的内容须承包人核准并转化为设计变更后方可作为正式的设计文件执行。</w:t>
      </w:r>
    </w:p>
    <w:p>
      <w:pPr>
        <w:pStyle w:val="69"/>
        <w:adjustRightInd w:val="0"/>
        <w:snapToGrid w:val="0"/>
        <w:spacing w:line="360" w:lineRule="auto"/>
        <w:ind w:firstLine="422" w:firstLineChars="200"/>
        <w:rPr>
          <w:snapToGrid w:val="0"/>
          <w:sz w:val="21"/>
          <w:szCs w:val="21"/>
          <w:highlight w:val="none"/>
        </w:rPr>
      </w:pPr>
      <w:r>
        <w:rPr>
          <w:b/>
          <w:bCs/>
          <w:snapToGrid w:val="0"/>
          <w:sz w:val="21"/>
          <w:szCs w:val="21"/>
          <w:highlight w:val="none"/>
        </w:rPr>
        <w:t>10</w:t>
      </w:r>
      <w:r>
        <w:rPr>
          <w:b/>
          <w:snapToGrid w:val="0"/>
          <w:sz w:val="21"/>
          <w:szCs w:val="21"/>
          <w:highlight w:val="none"/>
        </w:rPr>
        <w:t>.5</w:t>
      </w:r>
      <w:r>
        <w:rPr>
          <w:snapToGrid w:val="0"/>
          <w:sz w:val="21"/>
          <w:szCs w:val="21"/>
          <w:highlight w:val="none"/>
        </w:rPr>
        <w:t>承包人应在设计变更正式发出前对可能的方案进行比选，综合考虑工期、质量、造价等方面的因素，确保设计变更的经济性及有效性。</w:t>
      </w:r>
    </w:p>
    <w:p>
      <w:pPr>
        <w:pStyle w:val="69"/>
        <w:adjustRightInd w:val="0"/>
        <w:snapToGrid w:val="0"/>
        <w:spacing w:line="360" w:lineRule="auto"/>
        <w:ind w:firstLine="422" w:firstLineChars="200"/>
        <w:rPr>
          <w:snapToGrid w:val="0"/>
          <w:sz w:val="21"/>
          <w:szCs w:val="21"/>
          <w:highlight w:val="none"/>
        </w:rPr>
      </w:pPr>
      <w:r>
        <w:rPr>
          <w:b/>
          <w:bCs/>
          <w:snapToGrid w:val="0"/>
          <w:sz w:val="21"/>
          <w:szCs w:val="21"/>
          <w:highlight w:val="none"/>
        </w:rPr>
        <w:t>10</w:t>
      </w:r>
      <w:r>
        <w:rPr>
          <w:b/>
          <w:snapToGrid w:val="0"/>
          <w:sz w:val="21"/>
          <w:szCs w:val="21"/>
          <w:highlight w:val="none"/>
        </w:rPr>
        <w:t>.6</w:t>
      </w:r>
      <w:r>
        <w:rPr>
          <w:snapToGrid w:val="0"/>
          <w:sz w:val="21"/>
          <w:szCs w:val="21"/>
          <w:highlight w:val="none"/>
        </w:rPr>
        <w:t xml:space="preserve"> 承包人应对本合同范围内的设计变更的完整性、有效性、正确性、可靠性、可操作性、经济性负总体责任，承包人应按相关要求对设计变更进行管理，不得随意分拆、合并设计变更。</w:t>
      </w:r>
    </w:p>
    <w:p>
      <w:pPr>
        <w:pStyle w:val="69"/>
        <w:adjustRightInd w:val="0"/>
        <w:snapToGrid w:val="0"/>
        <w:spacing w:line="360" w:lineRule="auto"/>
        <w:ind w:firstLine="422" w:firstLineChars="200"/>
        <w:rPr>
          <w:sz w:val="21"/>
          <w:szCs w:val="21"/>
          <w:highlight w:val="none"/>
        </w:rPr>
      </w:pPr>
      <w:r>
        <w:rPr>
          <w:b/>
          <w:bCs/>
          <w:snapToGrid w:val="0"/>
          <w:sz w:val="21"/>
          <w:szCs w:val="21"/>
          <w:highlight w:val="none"/>
        </w:rPr>
        <w:t>10</w:t>
      </w:r>
      <w:r>
        <w:rPr>
          <w:b/>
          <w:snapToGrid w:val="0"/>
          <w:sz w:val="21"/>
          <w:szCs w:val="21"/>
          <w:highlight w:val="none"/>
        </w:rPr>
        <w:t>.7</w:t>
      </w:r>
      <w:r>
        <w:rPr>
          <w:sz w:val="21"/>
          <w:szCs w:val="21"/>
          <w:highlight w:val="none"/>
        </w:rPr>
        <w:t>承包人应准确判定设计变更的类别，对因设计变更而引起的工程造价变化须提出预算造价分析，提交设计变更对工期影响评估的书面意见。</w:t>
      </w:r>
    </w:p>
    <w:p>
      <w:pPr>
        <w:adjustRightInd w:val="0"/>
        <w:snapToGrid w:val="0"/>
        <w:spacing w:line="360" w:lineRule="auto"/>
        <w:ind w:firstLine="422" w:firstLineChars="200"/>
        <w:rPr>
          <w:snapToGrid w:val="0"/>
          <w:kern w:val="0"/>
          <w:szCs w:val="21"/>
          <w:highlight w:val="none"/>
        </w:rPr>
      </w:pPr>
      <w:r>
        <w:rPr>
          <w:b/>
          <w:bCs/>
          <w:snapToGrid w:val="0"/>
          <w:kern w:val="0"/>
          <w:szCs w:val="21"/>
          <w:highlight w:val="none"/>
        </w:rPr>
        <w:t>10</w:t>
      </w:r>
      <w:r>
        <w:rPr>
          <w:b/>
          <w:snapToGrid w:val="0"/>
          <w:kern w:val="0"/>
          <w:szCs w:val="21"/>
          <w:highlight w:val="none"/>
        </w:rPr>
        <w:t xml:space="preserve">.8 </w:t>
      </w:r>
      <w:r>
        <w:rPr>
          <w:snapToGrid w:val="0"/>
          <w:kern w:val="0"/>
          <w:szCs w:val="21"/>
          <w:highlight w:val="none"/>
        </w:rPr>
        <w:t>承包人有关设计的任何修改、变动或由于修改设计所引起的工艺、技术、材料、设备的变更均须经过发包人的同意。</w:t>
      </w:r>
    </w:p>
    <w:p>
      <w:pPr>
        <w:adjustRightInd w:val="0"/>
        <w:snapToGrid w:val="0"/>
        <w:spacing w:line="360" w:lineRule="auto"/>
        <w:ind w:firstLine="422" w:firstLineChars="200"/>
        <w:rPr>
          <w:kern w:val="0"/>
          <w:szCs w:val="21"/>
          <w:highlight w:val="none"/>
        </w:rPr>
      </w:pPr>
      <w:r>
        <w:rPr>
          <w:b/>
          <w:bCs/>
          <w:snapToGrid w:val="0"/>
          <w:kern w:val="0"/>
          <w:szCs w:val="21"/>
          <w:highlight w:val="none"/>
        </w:rPr>
        <w:t>10.9</w:t>
      </w:r>
      <w:r>
        <w:rPr>
          <w:kern w:val="0"/>
          <w:szCs w:val="21"/>
          <w:highlight w:val="none"/>
        </w:rPr>
        <w:t>承包人提交服务成果文件前或提交服务成果文件后实施新规范造成修改或返工，不另行收费。</w:t>
      </w:r>
    </w:p>
    <w:p>
      <w:pPr>
        <w:adjustRightInd w:val="0"/>
        <w:snapToGrid w:val="0"/>
        <w:spacing w:line="360" w:lineRule="auto"/>
        <w:ind w:firstLine="422" w:firstLineChars="200"/>
        <w:rPr>
          <w:snapToGrid w:val="0"/>
          <w:kern w:val="0"/>
          <w:szCs w:val="21"/>
          <w:highlight w:val="none"/>
        </w:rPr>
      </w:pPr>
      <w:r>
        <w:rPr>
          <w:b/>
          <w:bCs/>
          <w:snapToGrid w:val="0"/>
          <w:kern w:val="0"/>
          <w:szCs w:val="21"/>
          <w:highlight w:val="none"/>
        </w:rPr>
        <w:t>10.10</w:t>
      </w:r>
      <w:r>
        <w:rPr>
          <w:snapToGrid w:val="0"/>
          <w:kern w:val="0"/>
          <w:szCs w:val="21"/>
          <w:highlight w:val="none"/>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pPr>
        <w:adjustRightInd w:val="0"/>
        <w:snapToGrid w:val="0"/>
        <w:spacing w:line="360" w:lineRule="auto"/>
        <w:ind w:firstLine="422" w:firstLineChars="200"/>
        <w:rPr>
          <w:snapToGrid w:val="0"/>
          <w:kern w:val="0"/>
          <w:szCs w:val="21"/>
          <w:highlight w:val="none"/>
        </w:rPr>
      </w:pPr>
      <w:r>
        <w:rPr>
          <w:b/>
          <w:bCs/>
          <w:snapToGrid w:val="0"/>
          <w:kern w:val="0"/>
          <w:szCs w:val="21"/>
          <w:highlight w:val="none"/>
        </w:rPr>
        <w:t>10.11</w:t>
      </w:r>
      <w:r>
        <w:rPr>
          <w:snapToGrid w:val="0"/>
          <w:kern w:val="0"/>
          <w:szCs w:val="21"/>
          <w:highlight w:val="none"/>
        </w:rPr>
        <w:t>设计单位应对发出的变更进行台账管理，并定期发送建设单位及各参建单位核对，并应做好超概防控工作。</w:t>
      </w:r>
    </w:p>
    <w:p>
      <w:pPr>
        <w:adjustRightInd w:val="0"/>
        <w:snapToGrid w:val="0"/>
        <w:spacing w:line="460" w:lineRule="exact"/>
        <w:ind w:firstLine="420" w:firstLineChars="200"/>
        <w:rPr>
          <w:kern w:val="0"/>
          <w:szCs w:val="21"/>
          <w:highlight w:val="none"/>
        </w:rPr>
      </w:pPr>
    </w:p>
    <w:p>
      <w:pPr>
        <w:adjustRightInd w:val="0"/>
        <w:snapToGrid w:val="0"/>
        <w:spacing w:before="156" w:beforeLines="50" w:line="460" w:lineRule="exact"/>
        <w:ind w:firstLine="562" w:firstLineChars="200"/>
        <w:jc w:val="center"/>
        <w:rPr>
          <w:b/>
          <w:bCs/>
          <w:snapToGrid w:val="0"/>
          <w:kern w:val="0"/>
          <w:szCs w:val="21"/>
          <w:highlight w:val="none"/>
        </w:rPr>
      </w:pPr>
      <w:r>
        <w:rPr>
          <w:b/>
          <w:snapToGrid w:val="0"/>
          <w:kern w:val="0"/>
          <w:sz w:val="28"/>
          <w:szCs w:val="28"/>
          <w:highlight w:val="none"/>
        </w:rPr>
        <w:t>第五章 工程投资控制</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11、 工程投资控制</w:t>
      </w:r>
      <w:bookmarkEnd w:id="733"/>
      <w:bookmarkEnd w:id="734"/>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11.1</w:t>
      </w:r>
      <w:r>
        <w:rPr>
          <w:snapToGrid w:val="0"/>
          <w:kern w:val="0"/>
          <w:szCs w:val="21"/>
          <w:highlight w:val="none"/>
        </w:rPr>
        <w:t>承包人承诺在不降低设计任务书中的主要设计指标（建筑高度、建筑面积等）的前提下，确保工程</w:t>
      </w:r>
      <w:r>
        <w:rPr>
          <w:rFonts w:hint="eastAsia"/>
          <w:snapToGrid w:val="0"/>
          <w:kern w:val="0"/>
          <w:szCs w:val="21"/>
          <w:highlight w:val="none"/>
        </w:rPr>
        <w:t>施工图</w:t>
      </w:r>
      <w:r>
        <w:rPr>
          <w:snapToGrid w:val="0"/>
          <w:kern w:val="0"/>
          <w:szCs w:val="21"/>
          <w:highlight w:val="none"/>
        </w:rPr>
        <w:t>设计</w:t>
      </w:r>
      <w:r>
        <w:rPr>
          <w:rFonts w:hint="eastAsia"/>
          <w:bCs/>
          <w:snapToGrid w:val="0"/>
          <w:kern w:val="0"/>
          <w:szCs w:val="21"/>
          <w:highlight w:val="none"/>
        </w:rPr>
        <w:t>按照</w:t>
      </w:r>
      <w:r>
        <w:rPr>
          <w:rFonts w:hint="eastAsia"/>
          <w:szCs w:val="21"/>
          <w:highlight w:val="none"/>
        </w:rPr>
        <w:t>本项目的</w:t>
      </w:r>
      <w:r>
        <w:rPr>
          <w:rFonts w:hint="eastAsia" w:asciiTheme="minorEastAsia" w:hAnsiTheme="minorEastAsia" w:eastAsiaTheme="minorEastAsia"/>
          <w:b/>
          <w:szCs w:val="21"/>
          <w:highlight w:val="none"/>
        </w:rPr>
        <w:t>建安工程费中标价</w:t>
      </w:r>
      <w:r>
        <w:rPr>
          <w:rFonts w:hint="eastAsia"/>
          <w:szCs w:val="21"/>
          <w:highlight w:val="none"/>
        </w:rPr>
        <w:t>开展限额设计工作，按招标文件方案设计、初步设计（概算）、设计任务书等的要求进行限额投资、限额设计，如超出限额，设计人应及时提出优化方案以确保整个项目的限额标准</w:t>
      </w:r>
      <w:r>
        <w:rPr>
          <w:rFonts w:hint="eastAsia"/>
          <w:b/>
          <w:szCs w:val="21"/>
          <w:highlight w:val="none"/>
        </w:rPr>
        <w:t>（因发包人或使用单位需求发生变化引起的变更除外）。</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11.2</w:t>
      </w:r>
      <w:r>
        <w:rPr>
          <w:snapToGrid w:val="0"/>
          <w:kern w:val="0"/>
          <w:szCs w:val="21"/>
          <w:highlight w:val="none"/>
        </w:rPr>
        <w:t>承包人应保证所提供的初步设计成果文件中的工程设计概算</w:t>
      </w:r>
      <w:r>
        <w:rPr>
          <w:rFonts w:hint="eastAsia"/>
          <w:snapToGrid w:val="0"/>
          <w:kern w:val="0"/>
          <w:szCs w:val="21"/>
          <w:highlight w:val="none"/>
        </w:rPr>
        <w:t>（如有）</w:t>
      </w:r>
      <w:r>
        <w:rPr>
          <w:snapToGrid w:val="0"/>
          <w:kern w:val="0"/>
          <w:szCs w:val="21"/>
          <w:highlight w:val="none"/>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11.3</w:t>
      </w:r>
      <w:r>
        <w:rPr>
          <w:snapToGrid w:val="0"/>
          <w:kern w:val="0"/>
          <w:szCs w:val="21"/>
          <w:highlight w:val="none"/>
        </w:rPr>
        <w:t>设计概算</w:t>
      </w:r>
      <w:r>
        <w:rPr>
          <w:rFonts w:hint="eastAsia"/>
          <w:snapToGrid w:val="0"/>
          <w:kern w:val="0"/>
          <w:szCs w:val="21"/>
          <w:highlight w:val="none"/>
        </w:rPr>
        <w:t>（如有）</w:t>
      </w:r>
      <w:r>
        <w:rPr>
          <w:snapToGrid w:val="0"/>
          <w:kern w:val="0"/>
          <w:szCs w:val="21"/>
          <w:highlight w:val="none"/>
        </w:rPr>
        <w:t>须以施工图为基础进行编制，编制范围应包括本合同专用条款第二章约定的全部设计内容（发包人另外发包的各专项设计的内容的施工图预算由其自行负责）。</w:t>
      </w:r>
    </w:p>
    <w:p>
      <w:pPr>
        <w:adjustRightInd w:val="0"/>
        <w:snapToGrid w:val="0"/>
        <w:spacing w:line="360" w:lineRule="auto"/>
        <w:ind w:firstLine="422" w:firstLineChars="200"/>
        <w:rPr>
          <w:snapToGrid w:val="0"/>
          <w:kern w:val="0"/>
          <w:szCs w:val="21"/>
          <w:highlight w:val="none"/>
        </w:rPr>
      </w:pPr>
      <w:r>
        <w:rPr>
          <w:b/>
          <w:bCs/>
          <w:snapToGrid w:val="0"/>
          <w:kern w:val="0"/>
          <w:szCs w:val="21"/>
          <w:highlight w:val="none"/>
        </w:rPr>
        <w:t>11.4</w:t>
      </w:r>
      <w:r>
        <w:rPr>
          <w:snapToGrid w:val="0"/>
          <w:kern w:val="0"/>
          <w:szCs w:val="21"/>
          <w:highlight w:val="none"/>
        </w:rPr>
        <w:t>施工过程中如发生因图纸会审、设计变更等引起工程造价变化的，承包人需根据图纸会审、设计变更等资料及时出具相应的</w:t>
      </w:r>
      <w:r>
        <w:rPr>
          <w:b/>
          <w:bCs/>
          <w:snapToGrid w:val="0"/>
          <w:kern w:val="0"/>
          <w:szCs w:val="21"/>
          <w:highlight w:val="none"/>
        </w:rPr>
        <w:t>预算书等投资控制分析报告</w:t>
      </w:r>
      <w:r>
        <w:rPr>
          <w:snapToGrid w:val="0"/>
          <w:kern w:val="0"/>
          <w:szCs w:val="21"/>
          <w:highlight w:val="none"/>
        </w:rPr>
        <w:t>，并及时报发包人。如设计单位没有出具相应的预算书，发包人有权处罚一次一般违约，承包人承担一般违约责任累计达3次的，另行追加严重违约责任1次。</w:t>
      </w:r>
    </w:p>
    <w:p>
      <w:pPr>
        <w:adjustRightInd w:val="0"/>
        <w:snapToGrid w:val="0"/>
        <w:spacing w:line="360" w:lineRule="auto"/>
        <w:ind w:firstLine="422" w:firstLineChars="200"/>
        <w:rPr>
          <w:snapToGrid w:val="0"/>
          <w:kern w:val="0"/>
          <w:szCs w:val="21"/>
          <w:highlight w:val="none"/>
        </w:rPr>
      </w:pPr>
      <w:r>
        <w:rPr>
          <w:b/>
          <w:bCs/>
          <w:snapToGrid w:val="0"/>
          <w:kern w:val="0"/>
          <w:szCs w:val="21"/>
          <w:highlight w:val="none"/>
        </w:rPr>
        <w:t>11.5</w:t>
      </w:r>
      <w:r>
        <w:rPr>
          <w:snapToGrid w:val="0"/>
          <w:kern w:val="0"/>
          <w:szCs w:val="21"/>
          <w:highlight w:val="none"/>
        </w:rPr>
        <w:t>如果因承包人的过错造成施工图预算超出</w:t>
      </w:r>
      <w:r>
        <w:rPr>
          <w:rFonts w:hint="eastAsia"/>
          <w:snapToGrid w:val="0"/>
          <w:kern w:val="0"/>
          <w:szCs w:val="21"/>
          <w:highlight w:val="none"/>
        </w:rPr>
        <w:t>限额设计标准</w:t>
      </w:r>
      <w:r>
        <w:rPr>
          <w:snapToGrid w:val="0"/>
          <w:kern w:val="0"/>
          <w:szCs w:val="21"/>
          <w:highlight w:val="none"/>
        </w:rPr>
        <w:t>，承包人必须在初步设计的基础上对施工图进行修改，并保证设计质量标准和施工进度。</w:t>
      </w:r>
    </w:p>
    <w:p>
      <w:pPr>
        <w:pStyle w:val="8"/>
        <w:spacing w:line="360" w:lineRule="auto"/>
        <w:ind w:firstLineChars="0"/>
        <w:rPr>
          <w:snapToGrid w:val="0"/>
          <w:kern w:val="0"/>
          <w:szCs w:val="21"/>
          <w:highlight w:val="none"/>
        </w:rPr>
      </w:pPr>
    </w:p>
    <w:p>
      <w:pPr>
        <w:adjustRightInd w:val="0"/>
        <w:snapToGrid w:val="0"/>
        <w:spacing w:before="156" w:beforeLines="50" w:line="360" w:lineRule="auto"/>
        <w:jc w:val="center"/>
        <w:rPr>
          <w:b/>
          <w:snapToGrid w:val="0"/>
          <w:kern w:val="0"/>
          <w:sz w:val="28"/>
          <w:szCs w:val="28"/>
          <w:highlight w:val="none"/>
        </w:rPr>
      </w:pPr>
      <w:r>
        <w:rPr>
          <w:b/>
          <w:snapToGrid w:val="0"/>
          <w:kern w:val="0"/>
          <w:sz w:val="28"/>
          <w:szCs w:val="28"/>
          <w:highlight w:val="none"/>
        </w:rPr>
        <w:t>第六章 设计评审</w:t>
      </w:r>
    </w:p>
    <w:p>
      <w:pPr>
        <w:adjustRightInd w:val="0"/>
        <w:snapToGrid w:val="0"/>
        <w:spacing w:line="360" w:lineRule="auto"/>
        <w:ind w:firstLine="480"/>
        <w:rPr>
          <w:b/>
          <w:bCs/>
          <w:snapToGrid w:val="0"/>
          <w:kern w:val="0"/>
          <w:szCs w:val="21"/>
          <w:highlight w:val="none"/>
        </w:rPr>
      </w:pPr>
      <w:r>
        <w:rPr>
          <w:b/>
          <w:bCs/>
          <w:snapToGrid w:val="0"/>
          <w:kern w:val="0"/>
          <w:szCs w:val="21"/>
          <w:highlight w:val="none"/>
        </w:rPr>
        <w:t>12、设计评审</w:t>
      </w:r>
    </w:p>
    <w:p>
      <w:pPr>
        <w:adjustRightInd w:val="0"/>
        <w:snapToGrid w:val="0"/>
        <w:spacing w:line="360" w:lineRule="auto"/>
        <w:ind w:firstLine="480"/>
        <w:rPr>
          <w:bCs/>
          <w:snapToGrid w:val="0"/>
          <w:kern w:val="0"/>
          <w:szCs w:val="21"/>
          <w:highlight w:val="none"/>
        </w:rPr>
      </w:pPr>
      <w:r>
        <w:rPr>
          <w:b/>
          <w:bCs/>
          <w:snapToGrid w:val="0"/>
          <w:kern w:val="0"/>
          <w:szCs w:val="21"/>
          <w:highlight w:val="none"/>
        </w:rPr>
        <w:t>12.1</w:t>
      </w:r>
      <w:r>
        <w:rPr>
          <w:bCs/>
          <w:snapToGrid w:val="0"/>
          <w:kern w:val="0"/>
          <w:szCs w:val="21"/>
          <w:highlight w:val="none"/>
        </w:rPr>
        <w:t>对承包人设计成果文件的设计评审包括国家相关行政主管部门及行业主管部门的审查、施工图审查单位的审查、发包人的设计管理部门及技术评审部门评审、发包人组织的专家评审。</w:t>
      </w:r>
    </w:p>
    <w:p>
      <w:pPr>
        <w:adjustRightInd w:val="0"/>
        <w:snapToGrid w:val="0"/>
        <w:spacing w:line="360" w:lineRule="auto"/>
        <w:ind w:firstLine="480"/>
        <w:rPr>
          <w:bCs/>
          <w:snapToGrid w:val="0"/>
          <w:kern w:val="0"/>
          <w:szCs w:val="21"/>
          <w:highlight w:val="none"/>
        </w:rPr>
      </w:pPr>
      <w:r>
        <w:rPr>
          <w:b/>
          <w:bCs/>
          <w:snapToGrid w:val="0"/>
          <w:kern w:val="0"/>
          <w:szCs w:val="21"/>
          <w:highlight w:val="none"/>
        </w:rPr>
        <w:t>12.2</w:t>
      </w:r>
      <w:r>
        <w:rPr>
          <w:bCs/>
          <w:snapToGrid w:val="0"/>
          <w:kern w:val="0"/>
          <w:szCs w:val="21"/>
          <w:highlight w:val="none"/>
        </w:rPr>
        <w:t xml:space="preserve"> 设计评审的依据包括：</w:t>
      </w:r>
    </w:p>
    <w:p>
      <w:pPr>
        <w:adjustRightInd w:val="0"/>
        <w:snapToGrid w:val="0"/>
        <w:spacing w:line="360" w:lineRule="auto"/>
        <w:ind w:firstLine="480"/>
        <w:rPr>
          <w:bCs/>
          <w:snapToGrid w:val="0"/>
          <w:kern w:val="0"/>
          <w:szCs w:val="21"/>
          <w:highlight w:val="none"/>
        </w:rPr>
      </w:pPr>
      <w:r>
        <w:rPr>
          <w:bCs/>
          <w:snapToGrid w:val="0"/>
          <w:kern w:val="0"/>
          <w:szCs w:val="21"/>
          <w:highlight w:val="none"/>
        </w:rPr>
        <w:t>（1）国家、省、市的施工图设计审查的相关规定；</w:t>
      </w:r>
    </w:p>
    <w:p>
      <w:pPr>
        <w:adjustRightInd w:val="0"/>
        <w:snapToGrid w:val="0"/>
        <w:spacing w:line="360" w:lineRule="auto"/>
        <w:ind w:firstLine="480"/>
        <w:rPr>
          <w:bCs/>
          <w:snapToGrid w:val="0"/>
          <w:kern w:val="0"/>
          <w:szCs w:val="21"/>
          <w:highlight w:val="none"/>
        </w:rPr>
      </w:pPr>
      <w:r>
        <w:rPr>
          <w:bCs/>
          <w:snapToGrid w:val="0"/>
          <w:kern w:val="0"/>
          <w:szCs w:val="21"/>
          <w:highlight w:val="none"/>
        </w:rPr>
        <w:t>（2）消防、节能、环保、抗震、卫生、人防等有关工程建设的强制性标准和规范；</w:t>
      </w:r>
    </w:p>
    <w:p>
      <w:pPr>
        <w:adjustRightInd w:val="0"/>
        <w:snapToGrid w:val="0"/>
        <w:spacing w:line="360" w:lineRule="auto"/>
        <w:ind w:firstLine="480"/>
        <w:rPr>
          <w:bCs/>
          <w:snapToGrid w:val="0"/>
          <w:kern w:val="0"/>
          <w:szCs w:val="21"/>
          <w:highlight w:val="none"/>
        </w:rPr>
      </w:pPr>
      <w:r>
        <w:rPr>
          <w:bCs/>
          <w:snapToGrid w:val="0"/>
          <w:kern w:val="0"/>
          <w:szCs w:val="21"/>
          <w:highlight w:val="none"/>
        </w:rPr>
        <w:t>（3）本合同工程的相关政府批文（包括但不限于立项许可文件、用地规划文件等）；</w:t>
      </w:r>
    </w:p>
    <w:p>
      <w:pPr>
        <w:adjustRightInd w:val="0"/>
        <w:snapToGrid w:val="0"/>
        <w:spacing w:line="360" w:lineRule="auto"/>
        <w:ind w:firstLine="480"/>
        <w:rPr>
          <w:bCs/>
          <w:snapToGrid w:val="0"/>
          <w:kern w:val="0"/>
          <w:szCs w:val="21"/>
          <w:highlight w:val="none"/>
        </w:rPr>
      </w:pPr>
      <w:r>
        <w:rPr>
          <w:bCs/>
          <w:snapToGrid w:val="0"/>
          <w:kern w:val="0"/>
          <w:szCs w:val="21"/>
          <w:highlight w:val="none"/>
        </w:rPr>
        <w:t>（4）本合同中与设计工作的内容、范围、管理、服务相关的约定；</w:t>
      </w:r>
    </w:p>
    <w:p>
      <w:pPr>
        <w:adjustRightInd w:val="0"/>
        <w:snapToGrid w:val="0"/>
        <w:spacing w:line="360" w:lineRule="auto"/>
        <w:ind w:firstLine="480"/>
        <w:rPr>
          <w:bCs/>
          <w:snapToGrid w:val="0"/>
          <w:kern w:val="0"/>
          <w:szCs w:val="21"/>
          <w:highlight w:val="none"/>
        </w:rPr>
      </w:pPr>
      <w:r>
        <w:rPr>
          <w:bCs/>
          <w:snapToGrid w:val="0"/>
          <w:kern w:val="0"/>
          <w:szCs w:val="21"/>
          <w:highlight w:val="none"/>
        </w:rPr>
        <w:t>（5）发包人关于设计、图档、图文、工程等的相关管理办法及规定；</w:t>
      </w:r>
    </w:p>
    <w:p>
      <w:pPr>
        <w:adjustRightInd w:val="0"/>
        <w:snapToGrid w:val="0"/>
        <w:spacing w:line="360" w:lineRule="auto"/>
        <w:ind w:firstLine="525" w:firstLineChars="250"/>
        <w:rPr>
          <w:bCs/>
          <w:snapToGrid w:val="0"/>
          <w:kern w:val="0"/>
          <w:szCs w:val="21"/>
          <w:highlight w:val="none"/>
        </w:rPr>
      </w:pPr>
      <w:r>
        <w:rPr>
          <w:bCs/>
          <w:snapToGrid w:val="0"/>
          <w:kern w:val="0"/>
          <w:szCs w:val="21"/>
          <w:highlight w:val="none"/>
        </w:rPr>
        <w:t>(6) 政府相关行政主管部门、行业主管部门对承包人设计成果文件的审批意见；</w:t>
      </w:r>
    </w:p>
    <w:p>
      <w:pPr>
        <w:adjustRightInd w:val="0"/>
        <w:snapToGrid w:val="0"/>
        <w:spacing w:line="360" w:lineRule="auto"/>
        <w:ind w:firstLine="480"/>
        <w:rPr>
          <w:bCs/>
          <w:snapToGrid w:val="0"/>
          <w:kern w:val="0"/>
          <w:szCs w:val="21"/>
          <w:highlight w:val="none"/>
        </w:rPr>
      </w:pPr>
      <w:r>
        <w:rPr>
          <w:bCs/>
          <w:snapToGrid w:val="0"/>
          <w:kern w:val="0"/>
          <w:szCs w:val="21"/>
          <w:highlight w:val="none"/>
        </w:rPr>
        <w:t>（7）发包人在设计过程中提出的明确书面意见。</w:t>
      </w:r>
    </w:p>
    <w:p>
      <w:pPr>
        <w:adjustRightInd w:val="0"/>
        <w:snapToGrid w:val="0"/>
        <w:spacing w:line="360" w:lineRule="auto"/>
        <w:ind w:firstLine="480"/>
        <w:rPr>
          <w:bCs/>
          <w:snapToGrid w:val="0"/>
          <w:kern w:val="0"/>
          <w:szCs w:val="21"/>
          <w:highlight w:val="none"/>
        </w:rPr>
      </w:pPr>
      <w:r>
        <w:rPr>
          <w:b/>
          <w:bCs/>
          <w:snapToGrid w:val="0"/>
          <w:kern w:val="0"/>
          <w:szCs w:val="21"/>
          <w:highlight w:val="none"/>
        </w:rPr>
        <w:t xml:space="preserve">12.3 </w:t>
      </w:r>
      <w:r>
        <w:rPr>
          <w:bCs/>
          <w:snapToGrid w:val="0"/>
          <w:kern w:val="0"/>
          <w:szCs w:val="21"/>
          <w:highlight w:val="none"/>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pPr>
        <w:adjustRightInd w:val="0"/>
        <w:snapToGrid w:val="0"/>
        <w:spacing w:line="360" w:lineRule="auto"/>
        <w:ind w:firstLine="480"/>
        <w:rPr>
          <w:bCs/>
          <w:snapToGrid w:val="0"/>
          <w:kern w:val="0"/>
          <w:szCs w:val="21"/>
          <w:highlight w:val="none"/>
        </w:rPr>
      </w:pPr>
      <w:r>
        <w:rPr>
          <w:b/>
          <w:bCs/>
          <w:snapToGrid w:val="0"/>
          <w:kern w:val="0"/>
          <w:szCs w:val="21"/>
          <w:highlight w:val="none"/>
        </w:rPr>
        <w:t>12.4</w:t>
      </w:r>
      <w:r>
        <w:rPr>
          <w:bCs/>
          <w:snapToGrid w:val="0"/>
          <w:kern w:val="0"/>
          <w:szCs w:val="21"/>
          <w:highlight w:val="none"/>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pPr>
        <w:adjustRightInd w:val="0"/>
        <w:snapToGrid w:val="0"/>
        <w:spacing w:line="360" w:lineRule="auto"/>
        <w:ind w:firstLine="480"/>
        <w:rPr>
          <w:bCs/>
          <w:snapToGrid w:val="0"/>
          <w:kern w:val="0"/>
          <w:szCs w:val="21"/>
          <w:highlight w:val="none"/>
        </w:rPr>
      </w:pPr>
      <w:r>
        <w:rPr>
          <w:b/>
          <w:bCs/>
          <w:snapToGrid w:val="0"/>
          <w:kern w:val="0"/>
          <w:szCs w:val="21"/>
          <w:highlight w:val="none"/>
        </w:rPr>
        <w:t>12.5</w:t>
      </w:r>
      <w:r>
        <w:rPr>
          <w:bCs/>
          <w:snapToGrid w:val="0"/>
          <w:kern w:val="0"/>
          <w:szCs w:val="21"/>
          <w:highlight w:val="none"/>
        </w:rPr>
        <w:t>如承包人未能在设计评审的最终意见发出之日起3日内积极响应或逾期未能完成相关设计成果文件的修改完善工作，承包人应按本合同条款第19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22" w:firstLineChars="200"/>
        <w:rPr>
          <w:bCs/>
          <w:snapToGrid w:val="0"/>
          <w:kern w:val="0"/>
          <w:szCs w:val="21"/>
          <w:highlight w:val="none"/>
        </w:rPr>
      </w:pPr>
      <w:r>
        <w:rPr>
          <w:b/>
          <w:bCs/>
          <w:snapToGrid w:val="0"/>
          <w:kern w:val="0"/>
          <w:szCs w:val="21"/>
          <w:highlight w:val="none"/>
        </w:rPr>
        <w:t xml:space="preserve">12.6 </w:t>
      </w:r>
      <w:r>
        <w:rPr>
          <w:bCs/>
          <w:snapToGrid w:val="0"/>
          <w:kern w:val="0"/>
          <w:szCs w:val="21"/>
          <w:highlight w:val="none"/>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pPr>
        <w:adjustRightInd w:val="0"/>
        <w:snapToGrid w:val="0"/>
        <w:spacing w:before="156" w:beforeLines="50" w:after="156" w:afterLines="50" w:line="360" w:lineRule="auto"/>
        <w:jc w:val="center"/>
        <w:rPr>
          <w:b/>
          <w:snapToGrid w:val="0"/>
          <w:kern w:val="0"/>
          <w:szCs w:val="21"/>
          <w:highlight w:val="none"/>
        </w:rPr>
      </w:pPr>
    </w:p>
    <w:p>
      <w:pPr>
        <w:adjustRightInd w:val="0"/>
        <w:snapToGrid w:val="0"/>
        <w:spacing w:before="156" w:beforeLines="50" w:line="360" w:lineRule="auto"/>
        <w:jc w:val="center"/>
        <w:rPr>
          <w:b/>
          <w:snapToGrid w:val="0"/>
          <w:kern w:val="0"/>
          <w:sz w:val="28"/>
          <w:szCs w:val="28"/>
          <w:highlight w:val="none"/>
        </w:rPr>
      </w:pPr>
      <w:r>
        <w:rPr>
          <w:b/>
          <w:snapToGrid w:val="0"/>
          <w:kern w:val="0"/>
          <w:sz w:val="28"/>
          <w:szCs w:val="28"/>
          <w:highlight w:val="none"/>
        </w:rPr>
        <w:t>第七章  设计收费的计取及支付</w:t>
      </w:r>
    </w:p>
    <w:p>
      <w:pPr>
        <w:tabs>
          <w:tab w:val="left" w:pos="0"/>
        </w:tabs>
        <w:adjustRightInd w:val="0"/>
        <w:snapToGrid w:val="0"/>
        <w:spacing w:line="360" w:lineRule="auto"/>
        <w:ind w:left="424" w:leftChars="202" w:firstLine="1"/>
        <w:rPr>
          <w:b/>
          <w:bCs/>
          <w:snapToGrid w:val="0"/>
          <w:kern w:val="0"/>
          <w:szCs w:val="21"/>
          <w:highlight w:val="none"/>
        </w:rPr>
      </w:pPr>
      <w:r>
        <w:rPr>
          <w:b/>
          <w:bCs/>
          <w:snapToGrid w:val="0"/>
          <w:kern w:val="0"/>
          <w:szCs w:val="21"/>
          <w:highlight w:val="none"/>
        </w:rPr>
        <w:t>13、设计收费的计取</w:t>
      </w:r>
    </w:p>
    <w:p>
      <w:pPr>
        <w:adjustRightInd w:val="0"/>
        <w:snapToGrid w:val="0"/>
        <w:spacing w:line="360" w:lineRule="auto"/>
        <w:ind w:right="11" w:firstLine="422" w:firstLineChars="200"/>
        <w:rPr>
          <w:szCs w:val="21"/>
          <w:highlight w:val="none"/>
        </w:rPr>
      </w:pPr>
      <w:r>
        <w:rPr>
          <w:b/>
          <w:bCs/>
          <w:snapToGrid w:val="0"/>
          <w:kern w:val="0"/>
          <w:szCs w:val="21"/>
          <w:highlight w:val="none"/>
        </w:rPr>
        <w:t>13</w:t>
      </w:r>
      <w:r>
        <w:rPr>
          <w:rFonts w:hint="eastAsia"/>
          <w:b/>
          <w:bCs/>
          <w:snapToGrid w:val="0"/>
          <w:kern w:val="0"/>
          <w:szCs w:val="21"/>
          <w:highlight w:val="none"/>
        </w:rPr>
        <w:t>.</w:t>
      </w:r>
      <w:r>
        <w:rPr>
          <w:b/>
          <w:bCs/>
          <w:snapToGrid w:val="0"/>
          <w:kern w:val="0"/>
          <w:szCs w:val="21"/>
          <w:highlight w:val="none"/>
        </w:rPr>
        <w:t xml:space="preserve">1 </w:t>
      </w:r>
      <w:r>
        <w:rPr>
          <w:bCs/>
          <w:snapToGrid w:val="0"/>
          <w:kern w:val="0"/>
          <w:szCs w:val="21"/>
          <w:highlight w:val="none"/>
        </w:rPr>
        <w:t>设计收费的计取方式按</w:t>
      </w:r>
      <w:r>
        <w:rPr>
          <w:rFonts w:hint="eastAsia"/>
          <w:bCs/>
          <w:snapToGrid w:val="0"/>
          <w:kern w:val="0"/>
          <w:szCs w:val="21"/>
          <w:highlight w:val="none"/>
        </w:rPr>
        <w:t>设计合同协议书第3条规定；</w:t>
      </w:r>
      <w:r>
        <w:rPr>
          <w:szCs w:val="21"/>
          <w:highlight w:val="none"/>
        </w:rPr>
        <w:t>设计费最终结算价送</w:t>
      </w:r>
      <w:r>
        <w:rPr>
          <w:rFonts w:hint="eastAsia"/>
          <w:szCs w:val="21"/>
          <w:highlight w:val="none"/>
        </w:rPr>
        <w:t>甲方</w:t>
      </w:r>
      <w:r>
        <w:rPr>
          <w:szCs w:val="21"/>
          <w:highlight w:val="none"/>
        </w:rPr>
        <w:t>委托的审核单位审定。</w:t>
      </w:r>
    </w:p>
    <w:p>
      <w:pPr>
        <w:adjustRightInd w:val="0"/>
        <w:snapToGrid w:val="0"/>
        <w:spacing w:line="360" w:lineRule="auto"/>
        <w:ind w:firstLine="422" w:firstLineChars="200"/>
        <w:rPr>
          <w:b/>
          <w:bCs/>
          <w:snapToGrid w:val="0"/>
          <w:kern w:val="0"/>
          <w:szCs w:val="21"/>
          <w:highlight w:val="none"/>
        </w:rPr>
      </w:pPr>
      <w:r>
        <w:rPr>
          <w:b/>
          <w:bCs/>
          <w:snapToGrid w:val="0"/>
          <w:kern w:val="0"/>
          <w:szCs w:val="21"/>
          <w:highlight w:val="none"/>
        </w:rPr>
        <w:t>14、设计收费的支付</w:t>
      </w:r>
      <w:r>
        <w:rPr>
          <w:rFonts w:hint="eastAsia"/>
          <w:b/>
          <w:bCs/>
          <w:snapToGrid w:val="0"/>
          <w:kern w:val="0"/>
          <w:szCs w:val="21"/>
          <w:highlight w:val="none"/>
        </w:rPr>
        <w:t>：</w:t>
      </w:r>
      <w:r>
        <w:rPr>
          <w:rFonts w:hint="eastAsia"/>
          <w:bCs/>
          <w:snapToGrid w:val="0"/>
          <w:kern w:val="0"/>
          <w:szCs w:val="21"/>
          <w:highlight w:val="none"/>
        </w:rPr>
        <w:t>（</w:t>
      </w:r>
      <w:r>
        <w:rPr>
          <w:rFonts w:hint="eastAsia"/>
          <w:snapToGrid w:val="0"/>
          <w:kern w:val="0"/>
          <w:szCs w:val="21"/>
          <w:highlight w:val="none"/>
        </w:rPr>
        <w:t>本合同全部款项的支付均为无息）</w:t>
      </w:r>
    </w:p>
    <w:p>
      <w:pPr>
        <w:adjustRightInd w:val="0"/>
        <w:snapToGrid w:val="0"/>
        <w:spacing w:line="360" w:lineRule="auto"/>
        <w:ind w:right="11" w:firstLine="422" w:firstLineChars="200"/>
        <w:rPr>
          <w:b/>
          <w:snapToGrid w:val="0"/>
          <w:kern w:val="0"/>
          <w:szCs w:val="21"/>
          <w:highlight w:val="none"/>
        </w:rPr>
      </w:pPr>
      <w:r>
        <w:rPr>
          <w:b/>
          <w:snapToGrid w:val="0"/>
          <w:kern w:val="0"/>
          <w:szCs w:val="21"/>
          <w:highlight w:val="none"/>
        </w:rPr>
        <w:t>14.1</w:t>
      </w:r>
      <w:r>
        <w:rPr>
          <w:snapToGrid w:val="0"/>
          <w:kern w:val="0"/>
          <w:szCs w:val="21"/>
          <w:highlight w:val="none"/>
        </w:rPr>
        <w:t>承包人必须</w:t>
      </w:r>
      <w:r>
        <w:rPr>
          <w:rFonts w:hint="eastAsia"/>
          <w:snapToGrid w:val="0"/>
          <w:kern w:val="0"/>
          <w:szCs w:val="21"/>
          <w:highlight w:val="none"/>
        </w:rPr>
        <w:t>按本合同总则第六条相关规定</w:t>
      </w:r>
      <w:r>
        <w:rPr>
          <w:snapToGrid w:val="0"/>
          <w:kern w:val="0"/>
          <w:szCs w:val="21"/>
          <w:highlight w:val="none"/>
        </w:rPr>
        <w:t>提交</w:t>
      </w:r>
      <w:r>
        <w:rPr>
          <w:rFonts w:hint="eastAsia"/>
          <w:snapToGrid w:val="0"/>
          <w:kern w:val="0"/>
          <w:szCs w:val="21"/>
          <w:highlight w:val="none"/>
        </w:rPr>
        <w:t>履约担保</w:t>
      </w:r>
      <w:r>
        <w:rPr>
          <w:snapToGrid w:val="0"/>
          <w:kern w:val="0"/>
          <w:szCs w:val="21"/>
          <w:highlight w:val="none"/>
        </w:rPr>
        <w:t>，本合同生效后，承包人按要求提交申请支付文件资料进行申请支付：</w:t>
      </w:r>
    </w:p>
    <w:p>
      <w:pPr>
        <w:adjustRightInd w:val="0"/>
        <w:snapToGrid w:val="0"/>
        <w:spacing w:line="360" w:lineRule="auto"/>
        <w:ind w:right="11" w:firstLine="403" w:firstLineChars="192"/>
        <w:rPr>
          <w:snapToGrid w:val="0"/>
          <w:kern w:val="0"/>
          <w:szCs w:val="21"/>
          <w:highlight w:val="none"/>
        </w:rPr>
      </w:pPr>
      <w:r>
        <w:rPr>
          <w:rFonts w:hint="eastAsia"/>
          <w:snapToGrid w:val="0"/>
          <w:kern w:val="0"/>
          <w:szCs w:val="21"/>
          <w:highlight w:val="none"/>
        </w:rPr>
        <w:t>（1）设计费</w:t>
      </w:r>
      <w:r>
        <w:rPr>
          <w:snapToGrid w:val="0"/>
          <w:kern w:val="0"/>
          <w:szCs w:val="21"/>
          <w:highlight w:val="none"/>
        </w:rPr>
        <w:t>进度款支付</w:t>
      </w:r>
      <w:r>
        <w:rPr>
          <w:rFonts w:hint="eastAsia"/>
          <w:snapToGrid w:val="0"/>
          <w:kern w:val="0"/>
          <w:szCs w:val="21"/>
          <w:highlight w:val="none"/>
        </w:rPr>
        <w:t>按下</w:t>
      </w:r>
      <w:r>
        <w:rPr>
          <w:snapToGrid w:val="0"/>
          <w:kern w:val="0"/>
          <w:szCs w:val="21"/>
          <w:highlight w:val="none"/>
        </w:rPr>
        <w:t>表：</w:t>
      </w:r>
    </w:p>
    <w:tbl>
      <w:tblPr>
        <w:tblStyle w:val="7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dxa"/>
            <w:vAlign w:val="center"/>
          </w:tcPr>
          <w:p>
            <w:pPr>
              <w:autoSpaceDE w:val="0"/>
              <w:autoSpaceDN w:val="0"/>
              <w:adjustRightInd w:val="0"/>
              <w:snapToGrid w:val="0"/>
              <w:jc w:val="center"/>
              <w:rPr>
                <w:b/>
                <w:kern w:val="0"/>
                <w:sz w:val="18"/>
                <w:szCs w:val="18"/>
                <w:highlight w:val="none"/>
              </w:rPr>
            </w:pPr>
            <w:r>
              <w:rPr>
                <w:b/>
                <w:kern w:val="0"/>
                <w:sz w:val="18"/>
                <w:szCs w:val="18"/>
                <w:highlight w:val="none"/>
              </w:rPr>
              <w:t>支付</w:t>
            </w:r>
            <w:r>
              <w:rPr>
                <w:rFonts w:hint="eastAsia"/>
                <w:b/>
                <w:kern w:val="0"/>
                <w:sz w:val="18"/>
                <w:szCs w:val="18"/>
                <w:highlight w:val="none"/>
              </w:rPr>
              <w:t>阶段</w:t>
            </w:r>
          </w:p>
        </w:tc>
        <w:tc>
          <w:tcPr>
            <w:tcW w:w="4000" w:type="dxa"/>
            <w:vAlign w:val="center"/>
          </w:tcPr>
          <w:p>
            <w:pPr>
              <w:autoSpaceDE w:val="0"/>
              <w:autoSpaceDN w:val="0"/>
              <w:adjustRightInd w:val="0"/>
              <w:snapToGrid w:val="0"/>
              <w:jc w:val="center"/>
              <w:rPr>
                <w:b/>
                <w:kern w:val="0"/>
                <w:sz w:val="18"/>
                <w:szCs w:val="18"/>
                <w:highlight w:val="none"/>
              </w:rPr>
            </w:pPr>
            <w:r>
              <w:rPr>
                <w:b/>
                <w:kern w:val="0"/>
                <w:sz w:val="18"/>
                <w:szCs w:val="18"/>
                <w:highlight w:val="none"/>
              </w:rPr>
              <w:t>支付条件</w:t>
            </w:r>
          </w:p>
        </w:tc>
        <w:tc>
          <w:tcPr>
            <w:tcW w:w="3366" w:type="dxa"/>
            <w:vAlign w:val="center"/>
          </w:tcPr>
          <w:p>
            <w:pPr>
              <w:autoSpaceDE w:val="0"/>
              <w:autoSpaceDN w:val="0"/>
              <w:adjustRightInd w:val="0"/>
              <w:snapToGrid w:val="0"/>
              <w:jc w:val="center"/>
              <w:rPr>
                <w:b/>
                <w:kern w:val="0"/>
                <w:sz w:val="18"/>
                <w:szCs w:val="18"/>
                <w:highlight w:val="none"/>
              </w:rPr>
            </w:pPr>
            <w:r>
              <w:rPr>
                <w:b/>
                <w:kern w:val="0"/>
                <w:sz w:val="18"/>
                <w:szCs w:val="18"/>
                <w:highlight w:val="none"/>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highlight w:val="none"/>
              </w:rPr>
            </w:pPr>
            <w:r>
              <w:rPr>
                <w:kern w:val="0"/>
                <w:sz w:val="18"/>
                <w:szCs w:val="18"/>
                <w:highlight w:val="none"/>
              </w:rPr>
              <w:t>预付款</w:t>
            </w:r>
          </w:p>
        </w:tc>
        <w:tc>
          <w:tcPr>
            <w:tcW w:w="4000" w:type="dxa"/>
            <w:vAlign w:val="center"/>
          </w:tcPr>
          <w:p>
            <w:pPr>
              <w:autoSpaceDE w:val="0"/>
              <w:autoSpaceDN w:val="0"/>
              <w:adjustRightInd w:val="0"/>
              <w:snapToGrid w:val="0"/>
              <w:rPr>
                <w:kern w:val="0"/>
                <w:sz w:val="18"/>
                <w:szCs w:val="18"/>
                <w:highlight w:val="none"/>
              </w:rPr>
            </w:pPr>
            <w:r>
              <w:rPr>
                <w:rFonts w:hint="eastAsia"/>
                <w:kern w:val="0"/>
                <w:sz w:val="18"/>
                <w:szCs w:val="18"/>
                <w:highlight w:val="none"/>
              </w:rPr>
              <w:t>承包人完成签订合同，且按招标文件规定提交履约担保后</w:t>
            </w:r>
          </w:p>
        </w:tc>
        <w:tc>
          <w:tcPr>
            <w:tcW w:w="3366" w:type="dxa"/>
            <w:vAlign w:val="center"/>
          </w:tcPr>
          <w:p>
            <w:pPr>
              <w:autoSpaceDE w:val="0"/>
              <w:autoSpaceDN w:val="0"/>
              <w:adjustRightInd w:val="0"/>
              <w:snapToGrid w:val="0"/>
              <w:rPr>
                <w:kern w:val="0"/>
                <w:sz w:val="18"/>
                <w:szCs w:val="18"/>
                <w:highlight w:val="none"/>
              </w:rPr>
            </w:pPr>
            <w:r>
              <w:rPr>
                <w:kern w:val="0"/>
                <w:sz w:val="18"/>
                <w:szCs w:val="18"/>
                <w:highlight w:val="none"/>
              </w:rPr>
              <w:t>支付工程设计费暂定</w:t>
            </w:r>
            <w:r>
              <w:rPr>
                <w:rFonts w:hint="eastAsia"/>
                <w:kern w:val="0"/>
                <w:sz w:val="18"/>
                <w:szCs w:val="18"/>
                <w:highlight w:val="none"/>
              </w:rPr>
              <w:t>合同价</w:t>
            </w:r>
            <w:r>
              <w:rPr>
                <w:kern w:val="0"/>
                <w:sz w:val="18"/>
                <w:szCs w:val="18"/>
                <w:highlight w:val="none"/>
              </w:rPr>
              <w:t>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pPr>
              <w:autoSpaceDE w:val="0"/>
              <w:autoSpaceDN w:val="0"/>
              <w:adjustRightInd w:val="0"/>
              <w:snapToGrid w:val="0"/>
              <w:jc w:val="center"/>
              <w:rPr>
                <w:kern w:val="0"/>
                <w:sz w:val="18"/>
                <w:szCs w:val="18"/>
                <w:highlight w:val="none"/>
              </w:rPr>
            </w:pPr>
            <w:r>
              <w:rPr>
                <w:kern w:val="0"/>
                <w:sz w:val="18"/>
                <w:szCs w:val="18"/>
                <w:highlight w:val="none"/>
              </w:rPr>
              <w:t>第二期支付</w:t>
            </w:r>
          </w:p>
        </w:tc>
        <w:tc>
          <w:tcPr>
            <w:tcW w:w="4000" w:type="dxa"/>
            <w:vAlign w:val="center"/>
          </w:tcPr>
          <w:p>
            <w:pPr>
              <w:autoSpaceDE w:val="0"/>
              <w:autoSpaceDN w:val="0"/>
              <w:adjustRightInd w:val="0"/>
              <w:snapToGrid w:val="0"/>
              <w:rPr>
                <w:kern w:val="0"/>
                <w:sz w:val="18"/>
                <w:szCs w:val="18"/>
                <w:highlight w:val="none"/>
              </w:rPr>
            </w:pPr>
            <w:r>
              <w:rPr>
                <w:rFonts w:hint="eastAsia"/>
                <w:kern w:val="0"/>
                <w:sz w:val="18"/>
                <w:szCs w:val="18"/>
                <w:highlight w:val="none"/>
              </w:rPr>
              <w:t>承包人完成施工图设计，并获施工图审查通过，取得施工图审查合格书或技术审查报告</w:t>
            </w:r>
          </w:p>
        </w:tc>
        <w:tc>
          <w:tcPr>
            <w:tcW w:w="3366" w:type="dxa"/>
            <w:vAlign w:val="center"/>
          </w:tcPr>
          <w:p>
            <w:pPr>
              <w:autoSpaceDE w:val="0"/>
              <w:autoSpaceDN w:val="0"/>
              <w:adjustRightInd w:val="0"/>
              <w:snapToGrid w:val="0"/>
              <w:rPr>
                <w:kern w:val="0"/>
                <w:sz w:val="18"/>
                <w:szCs w:val="18"/>
                <w:highlight w:val="none"/>
              </w:rPr>
            </w:pPr>
            <w:r>
              <w:rPr>
                <w:kern w:val="0"/>
                <w:sz w:val="18"/>
                <w:szCs w:val="18"/>
                <w:highlight w:val="none"/>
              </w:rPr>
              <w:t>累计支付至工程设计费暂定</w:t>
            </w:r>
            <w:r>
              <w:rPr>
                <w:rFonts w:hint="eastAsia"/>
                <w:kern w:val="0"/>
                <w:sz w:val="18"/>
                <w:szCs w:val="18"/>
                <w:highlight w:val="none"/>
              </w:rPr>
              <w:t>合同价</w:t>
            </w:r>
            <w:r>
              <w:rPr>
                <w:kern w:val="0"/>
                <w:sz w:val="18"/>
                <w:szCs w:val="18"/>
                <w:highlight w:val="none"/>
              </w:rPr>
              <w:t>的</w:t>
            </w:r>
            <w:r>
              <w:rPr>
                <w:rFonts w:hint="eastAsia"/>
                <w:kern w:val="0"/>
                <w:sz w:val="18"/>
                <w:szCs w:val="18"/>
                <w:highlight w:val="none"/>
              </w:rPr>
              <w:t>40</w:t>
            </w:r>
            <w:r>
              <w:rPr>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18" w:type="dxa"/>
            <w:vAlign w:val="center"/>
          </w:tcPr>
          <w:p>
            <w:pPr>
              <w:autoSpaceDE w:val="0"/>
              <w:autoSpaceDN w:val="0"/>
              <w:adjustRightInd w:val="0"/>
              <w:snapToGrid w:val="0"/>
              <w:jc w:val="center"/>
              <w:rPr>
                <w:kern w:val="0"/>
                <w:sz w:val="18"/>
                <w:szCs w:val="18"/>
                <w:highlight w:val="none"/>
              </w:rPr>
            </w:pPr>
            <w:r>
              <w:rPr>
                <w:kern w:val="0"/>
                <w:sz w:val="18"/>
                <w:szCs w:val="18"/>
                <w:highlight w:val="none"/>
              </w:rPr>
              <w:t>第</w:t>
            </w:r>
            <w:r>
              <w:rPr>
                <w:rFonts w:hint="eastAsia"/>
                <w:kern w:val="0"/>
                <w:sz w:val="18"/>
                <w:szCs w:val="18"/>
                <w:highlight w:val="none"/>
              </w:rPr>
              <w:t>三</w:t>
            </w:r>
            <w:r>
              <w:rPr>
                <w:kern w:val="0"/>
                <w:sz w:val="18"/>
                <w:szCs w:val="18"/>
                <w:highlight w:val="none"/>
              </w:rPr>
              <w:t>期支付</w:t>
            </w:r>
          </w:p>
        </w:tc>
        <w:tc>
          <w:tcPr>
            <w:tcW w:w="4000" w:type="dxa"/>
            <w:vAlign w:val="center"/>
          </w:tcPr>
          <w:p>
            <w:pPr>
              <w:autoSpaceDE w:val="0"/>
              <w:autoSpaceDN w:val="0"/>
              <w:adjustRightInd w:val="0"/>
              <w:snapToGrid w:val="0"/>
              <w:rPr>
                <w:kern w:val="0"/>
                <w:sz w:val="18"/>
                <w:szCs w:val="18"/>
                <w:highlight w:val="none"/>
              </w:rPr>
            </w:pPr>
            <w:r>
              <w:rPr>
                <w:kern w:val="0"/>
                <w:sz w:val="18"/>
                <w:szCs w:val="18"/>
                <w:highlight w:val="none"/>
              </w:rPr>
              <w:t>完成施工阶段的施工图深化设计，配合发包人完成施工图预算工作</w:t>
            </w:r>
          </w:p>
        </w:tc>
        <w:tc>
          <w:tcPr>
            <w:tcW w:w="3366" w:type="dxa"/>
            <w:vAlign w:val="center"/>
          </w:tcPr>
          <w:p>
            <w:pPr>
              <w:autoSpaceDE w:val="0"/>
              <w:autoSpaceDN w:val="0"/>
              <w:adjustRightInd w:val="0"/>
              <w:snapToGrid w:val="0"/>
              <w:rPr>
                <w:kern w:val="0"/>
                <w:sz w:val="18"/>
                <w:szCs w:val="18"/>
                <w:highlight w:val="none"/>
              </w:rPr>
            </w:pPr>
            <w:r>
              <w:rPr>
                <w:kern w:val="0"/>
                <w:sz w:val="18"/>
                <w:szCs w:val="18"/>
                <w:highlight w:val="none"/>
              </w:rPr>
              <w:t>累计支付至工程设计费暂定</w:t>
            </w:r>
            <w:r>
              <w:rPr>
                <w:rFonts w:hint="eastAsia"/>
                <w:kern w:val="0"/>
                <w:sz w:val="18"/>
                <w:szCs w:val="18"/>
                <w:highlight w:val="none"/>
              </w:rPr>
              <w:t>合同价</w:t>
            </w:r>
            <w:r>
              <w:rPr>
                <w:kern w:val="0"/>
                <w:sz w:val="18"/>
                <w:szCs w:val="18"/>
                <w:highlight w:val="none"/>
              </w:rPr>
              <w:t>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highlight w:val="none"/>
              </w:rPr>
            </w:pPr>
            <w:r>
              <w:rPr>
                <w:kern w:val="0"/>
                <w:sz w:val="18"/>
                <w:szCs w:val="18"/>
                <w:highlight w:val="none"/>
              </w:rPr>
              <w:t>第</w:t>
            </w:r>
            <w:r>
              <w:rPr>
                <w:rFonts w:hint="eastAsia"/>
                <w:kern w:val="0"/>
                <w:sz w:val="18"/>
                <w:szCs w:val="18"/>
                <w:highlight w:val="none"/>
              </w:rPr>
              <w:t>四</w:t>
            </w:r>
            <w:r>
              <w:rPr>
                <w:kern w:val="0"/>
                <w:sz w:val="18"/>
                <w:szCs w:val="18"/>
                <w:highlight w:val="none"/>
              </w:rPr>
              <w:t>期支付</w:t>
            </w:r>
          </w:p>
        </w:tc>
        <w:tc>
          <w:tcPr>
            <w:tcW w:w="4000" w:type="dxa"/>
            <w:vAlign w:val="center"/>
          </w:tcPr>
          <w:p>
            <w:pPr>
              <w:autoSpaceDE w:val="0"/>
              <w:autoSpaceDN w:val="0"/>
              <w:adjustRightInd w:val="0"/>
              <w:snapToGrid w:val="0"/>
              <w:rPr>
                <w:kern w:val="0"/>
                <w:sz w:val="18"/>
                <w:szCs w:val="18"/>
                <w:highlight w:val="none"/>
              </w:rPr>
            </w:pPr>
            <w:r>
              <w:rPr>
                <w:kern w:val="0"/>
                <w:sz w:val="18"/>
                <w:szCs w:val="18"/>
                <w:highlight w:val="none"/>
              </w:rPr>
              <w:t>待本项目设计范围内的全部建安工程竣工验收合格后</w:t>
            </w:r>
          </w:p>
        </w:tc>
        <w:tc>
          <w:tcPr>
            <w:tcW w:w="3366" w:type="dxa"/>
            <w:vAlign w:val="center"/>
          </w:tcPr>
          <w:p>
            <w:pPr>
              <w:autoSpaceDE w:val="0"/>
              <w:autoSpaceDN w:val="0"/>
              <w:adjustRightInd w:val="0"/>
              <w:snapToGrid w:val="0"/>
              <w:rPr>
                <w:kern w:val="0"/>
                <w:sz w:val="18"/>
                <w:szCs w:val="18"/>
                <w:highlight w:val="none"/>
              </w:rPr>
            </w:pPr>
            <w:r>
              <w:rPr>
                <w:rFonts w:hint="eastAsia"/>
                <w:kern w:val="0"/>
                <w:sz w:val="18"/>
                <w:szCs w:val="18"/>
                <w:highlight w:val="none"/>
              </w:rPr>
              <w:t>承包人</w:t>
            </w:r>
            <w:r>
              <w:rPr>
                <w:kern w:val="0"/>
                <w:sz w:val="18"/>
                <w:szCs w:val="18"/>
                <w:highlight w:val="none"/>
              </w:rPr>
              <w:t>可申请支付至设计费暂定</w:t>
            </w:r>
            <w:r>
              <w:rPr>
                <w:rFonts w:hint="eastAsia"/>
                <w:kern w:val="0"/>
                <w:sz w:val="18"/>
                <w:szCs w:val="18"/>
                <w:highlight w:val="none"/>
              </w:rPr>
              <w:t>合同价</w:t>
            </w:r>
            <w:r>
              <w:rPr>
                <w:kern w:val="0"/>
                <w:sz w:val="18"/>
                <w:szCs w:val="18"/>
                <w:highlight w:val="none"/>
              </w:rPr>
              <w:t>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highlight w:val="none"/>
              </w:rPr>
            </w:pPr>
            <w:r>
              <w:rPr>
                <w:rFonts w:hint="eastAsia"/>
                <w:kern w:val="0"/>
                <w:sz w:val="18"/>
                <w:szCs w:val="18"/>
                <w:highlight w:val="none"/>
              </w:rPr>
              <w:t>尾款</w:t>
            </w:r>
          </w:p>
        </w:tc>
        <w:tc>
          <w:tcPr>
            <w:tcW w:w="4000" w:type="dxa"/>
            <w:vAlign w:val="center"/>
          </w:tcPr>
          <w:p>
            <w:pPr>
              <w:autoSpaceDE w:val="0"/>
              <w:autoSpaceDN w:val="0"/>
              <w:adjustRightInd w:val="0"/>
              <w:snapToGrid w:val="0"/>
              <w:rPr>
                <w:kern w:val="0"/>
                <w:sz w:val="18"/>
                <w:szCs w:val="18"/>
                <w:highlight w:val="none"/>
              </w:rPr>
            </w:pPr>
            <w:r>
              <w:rPr>
                <w:rFonts w:hint="eastAsia"/>
                <w:kern w:val="0"/>
                <w:sz w:val="18"/>
                <w:szCs w:val="18"/>
                <w:highlight w:val="none"/>
              </w:rPr>
              <w:t>待本项目完成最终结算审核后</w:t>
            </w:r>
          </w:p>
        </w:tc>
        <w:tc>
          <w:tcPr>
            <w:tcW w:w="3366" w:type="dxa"/>
            <w:vAlign w:val="center"/>
          </w:tcPr>
          <w:p>
            <w:pPr>
              <w:autoSpaceDE w:val="0"/>
              <w:autoSpaceDN w:val="0"/>
              <w:adjustRightInd w:val="0"/>
              <w:snapToGrid w:val="0"/>
              <w:rPr>
                <w:kern w:val="0"/>
                <w:sz w:val="18"/>
                <w:szCs w:val="18"/>
                <w:highlight w:val="none"/>
              </w:rPr>
            </w:pPr>
            <w:r>
              <w:rPr>
                <w:rFonts w:hint="eastAsia"/>
                <w:kern w:val="0"/>
                <w:sz w:val="18"/>
                <w:szCs w:val="18"/>
                <w:highlight w:val="none"/>
              </w:rPr>
              <w:t>承包人</w:t>
            </w:r>
            <w:r>
              <w:rPr>
                <w:kern w:val="0"/>
                <w:sz w:val="18"/>
                <w:szCs w:val="18"/>
                <w:highlight w:val="none"/>
              </w:rPr>
              <w:t>可一次申请支付结算尾款</w:t>
            </w:r>
          </w:p>
        </w:tc>
      </w:tr>
    </w:tbl>
    <w:p>
      <w:pPr>
        <w:adjustRightInd w:val="0"/>
        <w:snapToGrid w:val="0"/>
        <w:spacing w:before="312" w:beforeLines="100" w:line="360" w:lineRule="auto"/>
        <w:ind w:right="11" w:firstLine="403" w:firstLineChars="192"/>
        <w:rPr>
          <w:szCs w:val="21"/>
          <w:highlight w:val="none"/>
        </w:rPr>
      </w:pPr>
      <w:r>
        <w:rPr>
          <w:snapToGrid w:val="0"/>
          <w:kern w:val="0"/>
          <w:szCs w:val="21"/>
          <w:highlight w:val="none"/>
        </w:rPr>
        <w:t>（2）</w:t>
      </w:r>
      <w:r>
        <w:rPr>
          <w:rFonts w:hint="eastAsia"/>
          <w:bCs/>
          <w:snapToGrid w:val="0"/>
          <w:kern w:val="0"/>
          <w:szCs w:val="21"/>
          <w:highlight w:val="none"/>
        </w:rPr>
        <w:t>设计费原则上不得超过其中标价，</w:t>
      </w:r>
      <w:r>
        <w:rPr>
          <w:rFonts w:hint="eastAsia"/>
          <w:szCs w:val="21"/>
          <w:highlight w:val="none"/>
        </w:rPr>
        <w:t>结算时设计费金额未超出由承包人实际实施范围所对应的中标价时，按实际结算金额支付，如有超出，承包人应自行消化，超出部分发包人将不予支付。</w:t>
      </w:r>
      <w:r>
        <w:rPr>
          <w:rFonts w:hint="eastAsia"/>
          <w:b/>
          <w:bCs/>
          <w:szCs w:val="21"/>
          <w:highlight w:val="none"/>
        </w:rPr>
        <w:t>经</w:t>
      </w:r>
      <w:r>
        <w:rPr>
          <w:rFonts w:hint="eastAsia" w:ascii="宋体" w:hAnsi="宋体"/>
          <w:b/>
          <w:bCs/>
          <w:szCs w:val="21"/>
          <w:highlight w:val="none"/>
        </w:rPr>
        <w:t>上级主管部门或建设单位批准超出原招标规模、标准而引起费用变化的</w:t>
      </w:r>
      <w:r>
        <w:rPr>
          <w:rFonts w:hint="eastAsia"/>
          <w:b/>
          <w:bCs/>
          <w:szCs w:val="21"/>
          <w:highlight w:val="none"/>
        </w:rPr>
        <w:t>除外。</w:t>
      </w:r>
    </w:p>
    <w:p>
      <w:pPr>
        <w:adjustRightInd w:val="0"/>
        <w:snapToGrid w:val="0"/>
        <w:spacing w:line="360" w:lineRule="auto"/>
        <w:ind w:right="11" w:firstLine="403" w:firstLineChars="192"/>
        <w:rPr>
          <w:bCs/>
          <w:snapToGrid w:val="0"/>
          <w:kern w:val="0"/>
          <w:szCs w:val="21"/>
          <w:highlight w:val="none"/>
        </w:rPr>
      </w:pPr>
      <w:r>
        <w:rPr>
          <w:snapToGrid w:val="0"/>
          <w:kern w:val="0"/>
          <w:szCs w:val="21"/>
          <w:highlight w:val="none"/>
        </w:rPr>
        <w:t>（3）</w:t>
      </w:r>
      <w:r>
        <w:rPr>
          <w:bCs/>
          <w:snapToGrid w:val="0"/>
          <w:kern w:val="0"/>
          <w:szCs w:val="21"/>
          <w:highlight w:val="none"/>
        </w:rPr>
        <w:t>专家评审费、报建费用及</w:t>
      </w:r>
      <w:r>
        <w:rPr>
          <w:rFonts w:hint="eastAsia"/>
          <w:bCs/>
          <w:snapToGrid w:val="0"/>
          <w:kern w:val="0"/>
          <w:szCs w:val="21"/>
          <w:highlight w:val="none"/>
        </w:rPr>
        <w:t>现场</w:t>
      </w:r>
      <w:r>
        <w:rPr>
          <w:bCs/>
          <w:snapToGrid w:val="0"/>
          <w:kern w:val="0"/>
          <w:szCs w:val="21"/>
          <w:highlight w:val="none"/>
        </w:rPr>
        <w:t>服务费用等已包含于工程设计费中，发包人不再另行计取。报建费用包括公示费、管线图纸、各阶段的汇报文件和送审文件晒制费用、修详通、报建通、竣工通编制等（城市基础设施配套费和高可靠性供电费除外）。</w:t>
      </w:r>
    </w:p>
    <w:p>
      <w:pPr>
        <w:adjustRightInd w:val="0"/>
        <w:snapToGrid w:val="0"/>
        <w:spacing w:line="360" w:lineRule="auto"/>
        <w:ind w:right="11" w:firstLine="403" w:firstLineChars="192"/>
        <w:rPr>
          <w:b/>
          <w:szCs w:val="21"/>
          <w:highlight w:val="none"/>
        </w:rPr>
      </w:pPr>
      <w:r>
        <w:rPr>
          <w:bCs/>
          <w:snapToGrid w:val="0"/>
          <w:kern w:val="0"/>
          <w:szCs w:val="21"/>
          <w:highlight w:val="none"/>
        </w:rPr>
        <w:t>（4）设计单位</w:t>
      </w:r>
      <w:r>
        <w:rPr>
          <w:rFonts w:hint="eastAsia"/>
          <w:bCs/>
          <w:snapToGrid w:val="0"/>
          <w:kern w:val="0"/>
          <w:szCs w:val="21"/>
          <w:highlight w:val="none"/>
        </w:rPr>
        <w:t>按照</w:t>
      </w:r>
      <w:r>
        <w:rPr>
          <w:rFonts w:hint="eastAsia"/>
          <w:szCs w:val="21"/>
          <w:highlight w:val="none"/>
        </w:rPr>
        <w:t>本项目的</w:t>
      </w:r>
      <w:r>
        <w:rPr>
          <w:rFonts w:hint="eastAsia"/>
          <w:b/>
          <w:szCs w:val="21"/>
          <w:highlight w:val="none"/>
        </w:rPr>
        <w:t>建安工程费中标价</w:t>
      </w:r>
      <w:r>
        <w:rPr>
          <w:szCs w:val="21"/>
          <w:highlight w:val="none"/>
        </w:rPr>
        <w:t>，按招标文件方案设计、初步设计（概算）、设计任务书等的要求进行限额投资、限额设计、限额施工。</w:t>
      </w:r>
      <w:r>
        <w:rPr>
          <w:rFonts w:hint="eastAsia"/>
          <w:b/>
          <w:szCs w:val="21"/>
          <w:highlight w:val="none"/>
        </w:rPr>
        <w:t>本项目的概算价≥中标价（暂定合同价）≥基于中标下浮率及施工图纸确定的预算价≥结算价</w:t>
      </w:r>
    </w:p>
    <w:p>
      <w:pPr>
        <w:adjustRightInd w:val="0"/>
        <w:snapToGrid w:val="0"/>
        <w:spacing w:line="360" w:lineRule="auto"/>
        <w:ind w:right="11" w:firstLine="420" w:firstLineChars="200"/>
        <w:rPr>
          <w:szCs w:val="21"/>
          <w:highlight w:val="none"/>
        </w:rPr>
      </w:pPr>
      <w:r>
        <w:rPr>
          <w:szCs w:val="21"/>
          <w:highlight w:val="none"/>
        </w:rPr>
        <w:t>（5）收款单位收款时需开具有效票据，相关税费由收款单位承担。</w:t>
      </w:r>
    </w:p>
    <w:p>
      <w:pPr>
        <w:adjustRightInd w:val="0"/>
        <w:snapToGrid w:val="0"/>
        <w:spacing w:line="360" w:lineRule="auto"/>
        <w:ind w:right="11" w:firstLine="420" w:firstLineChars="200"/>
        <w:rPr>
          <w:szCs w:val="21"/>
          <w:highlight w:val="none"/>
        </w:rPr>
      </w:pPr>
      <w:r>
        <w:rPr>
          <w:szCs w:val="21"/>
          <w:highlight w:val="none"/>
        </w:rPr>
        <w:t>（6）本项目的支付执行花财支付</w:t>
      </w:r>
      <w:r>
        <w:rPr>
          <w:rFonts w:hint="eastAsia" w:ascii="宋体" w:hAnsi="宋体"/>
          <w:szCs w:val="21"/>
          <w:highlight w:val="none"/>
        </w:rPr>
        <w:t>〔</w:t>
      </w:r>
      <w:r>
        <w:rPr>
          <w:szCs w:val="21"/>
          <w:highlight w:val="none"/>
        </w:rPr>
        <w:t>2013</w:t>
      </w:r>
      <w:r>
        <w:rPr>
          <w:rFonts w:hint="eastAsia" w:ascii="宋体" w:hAnsi="宋体"/>
          <w:szCs w:val="21"/>
          <w:highlight w:val="none"/>
        </w:rPr>
        <w:t>〕</w:t>
      </w:r>
      <w:r>
        <w:rPr>
          <w:szCs w:val="21"/>
          <w:highlight w:val="none"/>
        </w:rPr>
        <w:t>1号、花财支付</w:t>
      </w:r>
      <w:r>
        <w:rPr>
          <w:rFonts w:hint="eastAsia" w:ascii="宋体" w:hAnsi="宋体"/>
          <w:szCs w:val="21"/>
          <w:highlight w:val="none"/>
        </w:rPr>
        <w:t>〔</w:t>
      </w:r>
      <w:r>
        <w:rPr>
          <w:szCs w:val="21"/>
          <w:highlight w:val="none"/>
        </w:rPr>
        <w:t>2016</w:t>
      </w:r>
      <w:r>
        <w:rPr>
          <w:rFonts w:hint="eastAsia" w:ascii="宋体" w:hAnsi="宋体"/>
          <w:szCs w:val="21"/>
          <w:highlight w:val="none"/>
        </w:rPr>
        <w:t>〕</w:t>
      </w:r>
      <w:r>
        <w:rPr>
          <w:szCs w:val="21"/>
          <w:highlight w:val="none"/>
        </w:rPr>
        <w:t>4号及相关财政支付的规定。如财政评审及财政支付出具新的文件规定，则按新文件执行。</w:t>
      </w:r>
    </w:p>
    <w:p>
      <w:pPr>
        <w:adjustRightInd w:val="0"/>
        <w:snapToGrid w:val="0"/>
        <w:spacing w:line="360" w:lineRule="auto"/>
        <w:ind w:right="11" w:firstLine="420" w:firstLineChars="200"/>
        <w:rPr>
          <w:bCs/>
          <w:szCs w:val="21"/>
          <w:highlight w:val="none"/>
        </w:rPr>
      </w:pPr>
      <w:r>
        <w:rPr>
          <w:bCs/>
          <w:szCs w:val="21"/>
          <w:highlight w:val="none"/>
        </w:rPr>
        <w:t>（7）发包人在上述约定时间向相关部门提交付款申请手续，即视为发包人已履行付款义务。</w:t>
      </w:r>
    </w:p>
    <w:p>
      <w:pPr>
        <w:adjustRightInd w:val="0"/>
        <w:snapToGrid w:val="0"/>
        <w:spacing w:line="360" w:lineRule="auto"/>
        <w:ind w:right="11" w:firstLine="420" w:firstLineChars="200"/>
        <w:rPr>
          <w:bCs/>
          <w:szCs w:val="21"/>
          <w:highlight w:val="none"/>
        </w:rPr>
      </w:pPr>
      <w:r>
        <w:rPr>
          <w:rFonts w:hint="eastAsia"/>
          <w:bCs/>
          <w:szCs w:val="21"/>
          <w:highlight w:val="none"/>
        </w:rPr>
        <w:t>（</w:t>
      </w:r>
      <w:r>
        <w:rPr>
          <w:bCs/>
          <w:szCs w:val="21"/>
          <w:highlight w:val="none"/>
        </w:rPr>
        <w:t>8</w:t>
      </w:r>
      <w:r>
        <w:rPr>
          <w:rFonts w:hint="eastAsia"/>
          <w:bCs/>
          <w:szCs w:val="21"/>
          <w:highlight w:val="none"/>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pPr>
        <w:adjustRightInd w:val="0"/>
        <w:snapToGrid w:val="0"/>
        <w:spacing w:line="360" w:lineRule="auto"/>
        <w:ind w:left="480"/>
        <w:rPr>
          <w:snapToGrid w:val="0"/>
          <w:kern w:val="0"/>
          <w:szCs w:val="21"/>
          <w:highlight w:val="none"/>
        </w:rPr>
      </w:pPr>
      <w:r>
        <w:rPr>
          <w:b/>
          <w:snapToGrid w:val="0"/>
          <w:kern w:val="0"/>
          <w:szCs w:val="21"/>
          <w:highlight w:val="none"/>
        </w:rPr>
        <w:t>14.2</w:t>
      </w:r>
      <w:r>
        <w:rPr>
          <w:snapToGrid w:val="0"/>
          <w:kern w:val="0"/>
          <w:szCs w:val="21"/>
          <w:highlight w:val="none"/>
        </w:rPr>
        <w:t>设计收费的结算余额收取</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本合同工程完成并交付发包人使用后60-180日内，承包人应向发包人提交本合同的余额结算书及完整的余额结算资料。否则，发包人将自行进行本合同余额结算并上报，结算终审部门据此审定的金额即为本合同设计收费的余额。</w:t>
      </w:r>
    </w:p>
    <w:p>
      <w:pPr>
        <w:adjustRightInd w:val="0"/>
        <w:snapToGrid w:val="0"/>
        <w:spacing w:line="360" w:lineRule="auto"/>
        <w:ind w:firstLine="480"/>
        <w:rPr>
          <w:snapToGrid w:val="0"/>
          <w:kern w:val="0"/>
          <w:szCs w:val="21"/>
          <w:highlight w:val="none"/>
        </w:rPr>
      </w:pPr>
      <w:r>
        <w:rPr>
          <w:b/>
          <w:snapToGrid w:val="0"/>
          <w:kern w:val="0"/>
          <w:szCs w:val="21"/>
          <w:highlight w:val="none"/>
        </w:rPr>
        <w:t>14.3</w:t>
      </w:r>
      <w:r>
        <w:rPr>
          <w:snapToGrid w:val="0"/>
          <w:kern w:val="0"/>
          <w:szCs w:val="21"/>
          <w:highlight w:val="none"/>
        </w:rPr>
        <w:t>承包人领取款项前须按发包人的财务管理制度办理有关手续并向发包人出具合法有效的可报销凭证。</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14.4</w:t>
      </w:r>
      <w:r>
        <w:rPr>
          <w:snapToGrid w:val="0"/>
          <w:sz w:val="21"/>
          <w:szCs w:val="21"/>
          <w:highlight w:val="none"/>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pPr>
        <w:spacing w:line="360" w:lineRule="auto"/>
        <w:ind w:firstLine="435"/>
        <w:rPr>
          <w:b/>
          <w:bCs/>
          <w:szCs w:val="21"/>
          <w:highlight w:val="none"/>
        </w:rPr>
      </w:pPr>
      <w:r>
        <w:rPr>
          <w:b/>
          <w:bCs/>
          <w:szCs w:val="21"/>
          <w:highlight w:val="none"/>
        </w:rPr>
        <w:t>14.5提交结算资料</w:t>
      </w:r>
    </w:p>
    <w:p>
      <w:pPr>
        <w:spacing w:line="360" w:lineRule="auto"/>
        <w:ind w:firstLine="435"/>
        <w:rPr>
          <w:b/>
          <w:bCs/>
          <w:szCs w:val="21"/>
          <w:highlight w:val="none"/>
          <w:u w:val="single"/>
        </w:rPr>
      </w:pPr>
      <w:r>
        <w:rPr>
          <w:b/>
          <w:bCs/>
          <w:szCs w:val="21"/>
          <w:highlight w:val="none"/>
          <w:u w:val="single"/>
        </w:rPr>
        <w:t>14.5.1结算资料的格式、内容和份数：格式：按</w:t>
      </w:r>
      <w:r>
        <w:rPr>
          <w:rFonts w:hint="eastAsia"/>
          <w:b/>
          <w:bCs/>
          <w:szCs w:val="21"/>
          <w:highlight w:val="none"/>
          <w:u w:val="single"/>
        </w:rPr>
        <w:t>《花都区财政投资项目评审资料编制指南》及</w:t>
      </w:r>
      <w:r>
        <w:rPr>
          <w:b/>
          <w:bCs/>
          <w:szCs w:val="21"/>
          <w:highlight w:val="none"/>
          <w:u w:val="single"/>
        </w:rPr>
        <w:t>花都区财政投资评审中心的要求；内容：对本项目结算所需的成果文件等；份数：一式五份（其中四份建设单位存档、一份送结算评审）。</w:t>
      </w:r>
    </w:p>
    <w:p>
      <w:pPr>
        <w:spacing w:line="360" w:lineRule="auto"/>
        <w:ind w:firstLine="435"/>
        <w:rPr>
          <w:b/>
          <w:bCs/>
          <w:szCs w:val="21"/>
          <w:highlight w:val="none"/>
          <w:u w:val="single"/>
        </w:rPr>
      </w:pPr>
      <w:r>
        <w:rPr>
          <w:b/>
          <w:bCs/>
          <w:szCs w:val="21"/>
          <w:highlight w:val="none"/>
          <w:u w:val="single"/>
        </w:rPr>
        <w:t>14.5.2</w:t>
      </w:r>
      <w:r>
        <w:rPr>
          <w:rFonts w:hint="eastAsia"/>
          <w:b/>
          <w:bCs/>
          <w:szCs w:val="21"/>
          <w:highlight w:val="none"/>
          <w:u w:val="single"/>
        </w:rPr>
        <w:t>承包人提交结算资料的时间：竣工验收合格之日起</w:t>
      </w:r>
      <w:r>
        <w:rPr>
          <w:b/>
          <w:bCs/>
          <w:szCs w:val="21"/>
          <w:highlight w:val="none"/>
          <w:u w:val="single"/>
        </w:rPr>
        <w:t>180</w:t>
      </w:r>
      <w:r>
        <w:rPr>
          <w:rFonts w:hint="eastAsia"/>
          <w:b/>
          <w:bCs/>
          <w:szCs w:val="21"/>
          <w:highlight w:val="none"/>
          <w:u w:val="single"/>
        </w:rPr>
        <w:t>天内。如因承包人原因逾期提交竣工结算资料而造成的不良后果，由承包人承担。</w:t>
      </w:r>
    </w:p>
    <w:p>
      <w:pPr>
        <w:pStyle w:val="8"/>
        <w:spacing w:line="360" w:lineRule="auto"/>
        <w:ind w:firstLineChars="0"/>
        <w:rPr>
          <w:snapToGrid w:val="0"/>
          <w:kern w:val="0"/>
          <w:szCs w:val="21"/>
          <w:highlight w:val="none"/>
        </w:rPr>
      </w:pPr>
    </w:p>
    <w:p>
      <w:pPr>
        <w:adjustRightInd w:val="0"/>
        <w:snapToGrid w:val="0"/>
        <w:spacing w:before="156" w:beforeLines="50" w:line="360" w:lineRule="auto"/>
        <w:jc w:val="center"/>
        <w:rPr>
          <w:b/>
          <w:snapToGrid w:val="0"/>
          <w:kern w:val="0"/>
          <w:sz w:val="28"/>
          <w:szCs w:val="28"/>
          <w:highlight w:val="none"/>
        </w:rPr>
      </w:pPr>
      <w:r>
        <w:rPr>
          <w:b/>
          <w:snapToGrid w:val="0"/>
          <w:kern w:val="0"/>
          <w:sz w:val="28"/>
          <w:szCs w:val="28"/>
          <w:highlight w:val="none"/>
        </w:rPr>
        <w:t>第</w:t>
      </w:r>
      <w:r>
        <w:rPr>
          <w:rFonts w:hint="eastAsia"/>
          <w:b/>
          <w:snapToGrid w:val="0"/>
          <w:kern w:val="0"/>
          <w:sz w:val="28"/>
          <w:szCs w:val="28"/>
          <w:highlight w:val="none"/>
        </w:rPr>
        <w:t>八</w:t>
      </w:r>
      <w:r>
        <w:rPr>
          <w:b/>
          <w:snapToGrid w:val="0"/>
          <w:kern w:val="0"/>
          <w:sz w:val="28"/>
          <w:szCs w:val="28"/>
          <w:highlight w:val="none"/>
        </w:rPr>
        <w:t>章 综合考评</w:t>
      </w:r>
    </w:p>
    <w:p>
      <w:pPr>
        <w:spacing w:line="420" w:lineRule="exact"/>
        <w:ind w:firstLine="422" w:firstLineChars="200"/>
        <w:jc w:val="left"/>
        <w:rPr>
          <w:b/>
          <w:bCs/>
          <w:snapToGrid w:val="0"/>
          <w:kern w:val="0"/>
          <w:szCs w:val="21"/>
          <w:highlight w:val="none"/>
        </w:rPr>
      </w:pPr>
      <w:r>
        <w:rPr>
          <w:b/>
          <w:snapToGrid w:val="0"/>
          <w:kern w:val="0"/>
          <w:szCs w:val="21"/>
          <w:highlight w:val="none"/>
        </w:rPr>
        <w:t>15、</w:t>
      </w:r>
      <w:r>
        <w:rPr>
          <w:b/>
          <w:bCs/>
          <w:snapToGrid w:val="0"/>
          <w:kern w:val="0"/>
          <w:szCs w:val="21"/>
          <w:highlight w:val="none"/>
        </w:rPr>
        <w:t>综合考评</w:t>
      </w:r>
    </w:p>
    <w:p>
      <w:pPr>
        <w:spacing w:line="420" w:lineRule="exact"/>
        <w:ind w:firstLine="422" w:firstLineChars="200"/>
        <w:rPr>
          <w:bCs/>
          <w:snapToGrid w:val="0"/>
          <w:kern w:val="0"/>
          <w:szCs w:val="21"/>
          <w:highlight w:val="none"/>
        </w:rPr>
      </w:pPr>
      <w:r>
        <w:rPr>
          <w:b/>
          <w:snapToGrid w:val="0"/>
          <w:kern w:val="0"/>
          <w:szCs w:val="21"/>
          <w:highlight w:val="none"/>
        </w:rPr>
        <w:t>15.1</w:t>
      </w:r>
      <w:r>
        <w:rPr>
          <w:bCs/>
          <w:snapToGrid w:val="0"/>
          <w:kern w:val="0"/>
          <w:szCs w:val="21"/>
          <w:highlight w:val="none"/>
        </w:rPr>
        <w:t>承包人考评被评为不合格的按一次严重违约处理，并通报批评、责令限期整改。同一单位两次（不管是否同一项目）被评为不合格的，上报行政主管部门列入黑名单，暂停该单位在花都区的投标资格2年。</w:t>
      </w:r>
    </w:p>
    <w:p>
      <w:pPr>
        <w:spacing w:line="420" w:lineRule="exact"/>
        <w:ind w:firstLine="422" w:firstLineChars="200"/>
        <w:rPr>
          <w:bCs/>
          <w:snapToGrid w:val="0"/>
          <w:kern w:val="0"/>
          <w:szCs w:val="21"/>
          <w:highlight w:val="none"/>
        </w:rPr>
      </w:pPr>
      <w:r>
        <w:rPr>
          <w:b/>
          <w:snapToGrid w:val="0"/>
          <w:kern w:val="0"/>
          <w:szCs w:val="21"/>
          <w:highlight w:val="none"/>
        </w:rPr>
        <w:t>15.2</w:t>
      </w:r>
      <w:r>
        <w:rPr>
          <w:bCs/>
          <w:snapToGrid w:val="0"/>
          <w:kern w:val="0"/>
          <w:szCs w:val="21"/>
          <w:highlight w:val="none"/>
        </w:rPr>
        <w:t>承包人考评办法</w:t>
      </w:r>
    </w:p>
    <w:p>
      <w:pPr>
        <w:spacing w:line="420" w:lineRule="exact"/>
        <w:ind w:firstLine="420" w:firstLineChars="200"/>
        <w:rPr>
          <w:bCs/>
          <w:snapToGrid w:val="0"/>
          <w:kern w:val="0"/>
          <w:szCs w:val="21"/>
          <w:highlight w:val="none"/>
        </w:rPr>
      </w:pPr>
      <w:r>
        <w:rPr>
          <w:bCs/>
          <w:snapToGrid w:val="0"/>
          <w:kern w:val="0"/>
          <w:szCs w:val="21"/>
          <w:highlight w:val="none"/>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pPr>
        <w:spacing w:line="420" w:lineRule="exact"/>
        <w:ind w:firstLine="420" w:firstLineChars="200"/>
        <w:rPr>
          <w:bCs/>
          <w:snapToGrid w:val="0"/>
          <w:kern w:val="0"/>
          <w:szCs w:val="21"/>
          <w:highlight w:val="none"/>
        </w:rPr>
      </w:pPr>
      <w:r>
        <w:rPr>
          <w:bCs/>
          <w:snapToGrid w:val="0"/>
          <w:kern w:val="0"/>
          <w:szCs w:val="21"/>
          <w:highlight w:val="none"/>
        </w:rPr>
        <w:t>（2）考评内容及评分方法</w:t>
      </w:r>
    </w:p>
    <w:p>
      <w:pPr>
        <w:spacing w:line="420" w:lineRule="exact"/>
        <w:ind w:firstLine="420" w:firstLineChars="200"/>
        <w:rPr>
          <w:bCs/>
          <w:snapToGrid w:val="0"/>
          <w:kern w:val="0"/>
          <w:szCs w:val="21"/>
          <w:highlight w:val="none"/>
        </w:rPr>
      </w:pPr>
      <w:r>
        <w:rPr>
          <w:bCs/>
          <w:snapToGrid w:val="0"/>
          <w:kern w:val="0"/>
          <w:szCs w:val="21"/>
          <w:highlight w:val="none"/>
        </w:rPr>
        <w:t>1）考评内容主要是对承包人的设计文件合理性、人员能力、现场服务等工作进行考评（见附表）。</w:t>
      </w:r>
    </w:p>
    <w:p>
      <w:pPr>
        <w:spacing w:line="420" w:lineRule="exact"/>
        <w:ind w:firstLine="420" w:firstLineChars="200"/>
        <w:rPr>
          <w:bCs/>
          <w:snapToGrid w:val="0"/>
          <w:kern w:val="0"/>
          <w:szCs w:val="21"/>
          <w:highlight w:val="none"/>
        </w:rPr>
      </w:pPr>
      <w:r>
        <w:rPr>
          <w:bCs/>
          <w:snapToGrid w:val="0"/>
          <w:kern w:val="0"/>
          <w:szCs w:val="21"/>
          <w:highlight w:val="none"/>
        </w:rPr>
        <w:t>2）根据《设计单位考评评分表》的得分（平均分），综合考评结果分为：优秀（平均分≥85分）、合格（平均分＜85分，≥60分）、不及格（平均分＜60分）三个等级。</w:t>
      </w:r>
    </w:p>
    <w:p>
      <w:pPr>
        <w:spacing w:line="420" w:lineRule="exact"/>
        <w:ind w:firstLine="420" w:firstLineChars="200"/>
        <w:rPr>
          <w:bCs/>
          <w:snapToGrid w:val="0"/>
          <w:kern w:val="0"/>
          <w:szCs w:val="21"/>
          <w:highlight w:val="none"/>
        </w:rPr>
      </w:pPr>
      <w:r>
        <w:rPr>
          <w:bCs/>
          <w:snapToGrid w:val="0"/>
          <w:kern w:val="0"/>
          <w:szCs w:val="21"/>
          <w:highlight w:val="none"/>
        </w:rPr>
        <w:t>3） 综合考评结果为优秀的单位，由本中心通报表扬并上报行政主管部门。综合考评结果为不及格的单位，按15.1条处理。</w:t>
      </w:r>
    </w:p>
    <w:p>
      <w:pPr>
        <w:tabs>
          <w:tab w:val="left" w:pos="360"/>
          <w:tab w:val="left" w:pos="900"/>
        </w:tabs>
        <w:spacing w:line="460" w:lineRule="exact"/>
        <w:jc w:val="center"/>
        <w:rPr>
          <w:b/>
          <w:bCs/>
          <w:szCs w:val="21"/>
          <w:highlight w:val="none"/>
        </w:rPr>
      </w:pPr>
      <w:r>
        <w:rPr>
          <w:b/>
          <w:snapToGrid w:val="0"/>
          <w:kern w:val="0"/>
          <w:szCs w:val="21"/>
          <w:highlight w:val="none"/>
        </w:rPr>
        <w:t>附表：</w:t>
      </w:r>
      <w:r>
        <w:rPr>
          <w:b/>
          <w:bCs/>
          <w:szCs w:val="21"/>
          <w:highlight w:val="none"/>
        </w:rPr>
        <w:t>设计单位考评评分表</w:t>
      </w:r>
    </w:p>
    <w:p>
      <w:pPr>
        <w:tabs>
          <w:tab w:val="left" w:pos="360"/>
          <w:tab w:val="left" w:pos="900"/>
        </w:tabs>
        <w:spacing w:line="460" w:lineRule="exact"/>
        <w:ind w:left="567" w:leftChars="270"/>
        <w:rPr>
          <w:bCs/>
          <w:szCs w:val="21"/>
          <w:highlight w:val="none"/>
        </w:rPr>
      </w:pPr>
      <w:r>
        <w:rPr>
          <w:bCs/>
          <w:szCs w:val="21"/>
          <w:highlight w:val="none"/>
        </w:rPr>
        <w:t xml:space="preserve">被考评单位：                             项目名称：         </w:t>
      </w:r>
    </w:p>
    <w:tbl>
      <w:tblPr>
        <w:tblStyle w:val="7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94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序号</w:t>
            </w:r>
          </w:p>
        </w:tc>
        <w:tc>
          <w:tcPr>
            <w:tcW w:w="1091" w:type="dxa"/>
            <w:vMerge w:val="restart"/>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考评内容</w:t>
            </w:r>
          </w:p>
        </w:tc>
        <w:tc>
          <w:tcPr>
            <w:tcW w:w="632" w:type="dxa"/>
            <w:vMerge w:val="restart"/>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分项分数</w:t>
            </w:r>
          </w:p>
        </w:tc>
        <w:tc>
          <w:tcPr>
            <w:tcW w:w="1729" w:type="dxa"/>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优秀</w:t>
            </w:r>
          </w:p>
        </w:tc>
        <w:tc>
          <w:tcPr>
            <w:tcW w:w="1547" w:type="dxa"/>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合格</w:t>
            </w:r>
          </w:p>
        </w:tc>
        <w:tc>
          <w:tcPr>
            <w:tcW w:w="1946" w:type="dxa"/>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不合格</w:t>
            </w:r>
          </w:p>
        </w:tc>
        <w:tc>
          <w:tcPr>
            <w:tcW w:w="708" w:type="dxa"/>
            <w:vMerge w:val="restart"/>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pPr>
              <w:tabs>
                <w:tab w:val="left" w:pos="360"/>
                <w:tab w:val="left" w:pos="900"/>
              </w:tabs>
              <w:jc w:val="center"/>
              <w:rPr>
                <w:sz w:val="18"/>
                <w:szCs w:val="18"/>
                <w:highlight w:val="none"/>
              </w:rPr>
            </w:pPr>
          </w:p>
        </w:tc>
        <w:tc>
          <w:tcPr>
            <w:tcW w:w="1091" w:type="dxa"/>
            <w:vMerge w:val="continue"/>
            <w:tcMar>
              <w:top w:w="28" w:type="dxa"/>
              <w:left w:w="28" w:type="dxa"/>
              <w:bottom w:w="28" w:type="dxa"/>
              <w:right w:w="28" w:type="dxa"/>
            </w:tcMar>
            <w:vAlign w:val="center"/>
          </w:tcPr>
          <w:p>
            <w:pPr>
              <w:tabs>
                <w:tab w:val="left" w:pos="360"/>
                <w:tab w:val="left" w:pos="900"/>
              </w:tabs>
              <w:jc w:val="center"/>
              <w:rPr>
                <w:sz w:val="18"/>
                <w:szCs w:val="18"/>
                <w:highlight w:val="none"/>
              </w:rPr>
            </w:pPr>
          </w:p>
        </w:tc>
        <w:tc>
          <w:tcPr>
            <w:tcW w:w="632" w:type="dxa"/>
            <w:vMerge w:val="continue"/>
            <w:tcMar>
              <w:top w:w="28" w:type="dxa"/>
              <w:left w:w="28" w:type="dxa"/>
              <w:bottom w:w="28" w:type="dxa"/>
              <w:right w:w="28" w:type="dxa"/>
            </w:tcMar>
            <w:vAlign w:val="center"/>
          </w:tcPr>
          <w:p>
            <w:pPr>
              <w:tabs>
                <w:tab w:val="left" w:pos="360"/>
                <w:tab w:val="left" w:pos="900"/>
              </w:tabs>
              <w:jc w:val="center"/>
              <w:rPr>
                <w:sz w:val="18"/>
                <w:szCs w:val="18"/>
                <w:highlight w:val="none"/>
              </w:rPr>
            </w:pPr>
          </w:p>
        </w:tc>
        <w:tc>
          <w:tcPr>
            <w:tcW w:w="1729" w:type="dxa"/>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≥85分</w:t>
            </w:r>
          </w:p>
        </w:tc>
        <w:tc>
          <w:tcPr>
            <w:tcW w:w="1547" w:type="dxa"/>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＜85分，≥60分</w:t>
            </w:r>
          </w:p>
        </w:tc>
        <w:tc>
          <w:tcPr>
            <w:tcW w:w="1946" w:type="dxa"/>
            <w:tcMar>
              <w:top w:w="28" w:type="dxa"/>
              <w:left w:w="28" w:type="dxa"/>
              <w:bottom w:w="28" w:type="dxa"/>
              <w:right w:w="28" w:type="dxa"/>
            </w:tcMar>
            <w:vAlign w:val="center"/>
          </w:tcPr>
          <w:p>
            <w:pPr>
              <w:tabs>
                <w:tab w:val="left" w:pos="360"/>
                <w:tab w:val="left" w:pos="900"/>
              </w:tabs>
              <w:jc w:val="center"/>
              <w:rPr>
                <w:sz w:val="18"/>
                <w:szCs w:val="18"/>
                <w:highlight w:val="none"/>
              </w:rPr>
            </w:pPr>
            <w:r>
              <w:rPr>
                <w:sz w:val="18"/>
                <w:szCs w:val="18"/>
                <w:highlight w:val="none"/>
              </w:rPr>
              <w:t>＜60分</w:t>
            </w:r>
          </w:p>
        </w:tc>
        <w:tc>
          <w:tcPr>
            <w:tcW w:w="708" w:type="dxa"/>
            <w:vMerge w:val="continue"/>
            <w:tcMar>
              <w:top w:w="28" w:type="dxa"/>
              <w:left w:w="28" w:type="dxa"/>
              <w:bottom w:w="28" w:type="dxa"/>
              <w:right w:w="28" w:type="dxa"/>
            </w:tcMar>
            <w:vAlign w:val="center"/>
          </w:tcPr>
          <w:p>
            <w:pPr>
              <w:tabs>
                <w:tab w:val="left" w:pos="360"/>
                <w:tab w:val="left" w:pos="900"/>
              </w:tabs>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51" w:type="dxa"/>
            <w:vAlign w:val="center"/>
          </w:tcPr>
          <w:p>
            <w:pPr>
              <w:tabs>
                <w:tab w:val="left" w:pos="360"/>
                <w:tab w:val="left" w:pos="900"/>
              </w:tabs>
              <w:jc w:val="center"/>
              <w:rPr>
                <w:sz w:val="18"/>
                <w:szCs w:val="18"/>
                <w:highlight w:val="none"/>
              </w:rPr>
            </w:pPr>
            <w:r>
              <w:rPr>
                <w:sz w:val="18"/>
                <w:szCs w:val="18"/>
                <w:highlight w:val="none"/>
              </w:rPr>
              <w:t>1</w:t>
            </w:r>
          </w:p>
        </w:tc>
        <w:tc>
          <w:tcPr>
            <w:tcW w:w="1091" w:type="dxa"/>
            <w:vAlign w:val="center"/>
          </w:tcPr>
          <w:p>
            <w:pPr>
              <w:tabs>
                <w:tab w:val="left" w:pos="360"/>
                <w:tab w:val="left" w:pos="900"/>
              </w:tabs>
              <w:jc w:val="center"/>
              <w:rPr>
                <w:sz w:val="18"/>
                <w:szCs w:val="18"/>
                <w:highlight w:val="none"/>
              </w:rPr>
            </w:pPr>
            <w:r>
              <w:rPr>
                <w:sz w:val="18"/>
                <w:szCs w:val="18"/>
                <w:highlight w:val="none"/>
              </w:rPr>
              <w:t>设计文件合理性</w:t>
            </w:r>
          </w:p>
        </w:tc>
        <w:tc>
          <w:tcPr>
            <w:tcW w:w="632" w:type="dxa"/>
            <w:vAlign w:val="center"/>
          </w:tcPr>
          <w:p>
            <w:pPr>
              <w:tabs>
                <w:tab w:val="left" w:pos="360"/>
                <w:tab w:val="left" w:pos="900"/>
              </w:tabs>
              <w:jc w:val="center"/>
              <w:rPr>
                <w:sz w:val="18"/>
                <w:szCs w:val="18"/>
                <w:highlight w:val="none"/>
              </w:rPr>
            </w:pPr>
            <w:r>
              <w:rPr>
                <w:sz w:val="18"/>
                <w:szCs w:val="18"/>
                <w:highlight w:val="none"/>
              </w:rPr>
              <w:t>30</w:t>
            </w:r>
          </w:p>
        </w:tc>
        <w:tc>
          <w:tcPr>
            <w:tcW w:w="1729" w:type="dxa"/>
            <w:vAlign w:val="center"/>
          </w:tcPr>
          <w:p>
            <w:pPr>
              <w:tabs>
                <w:tab w:val="left" w:pos="360"/>
                <w:tab w:val="left" w:pos="900"/>
              </w:tabs>
              <w:rPr>
                <w:sz w:val="18"/>
                <w:szCs w:val="18"/>
                <w:highlight w:val="none"/>
              </w:rPr>
            </w:pPr>
            <w:r>
              <w:rPr>
                <w:sz w:val="18"/>
                <w:szCs w:val="18"/>
                <w:highlight w:val="none"/>
              </w:rPr>
              <w:t>设计文件质量优，充分考虑施工条件，很好地满足工程需要。</w:t>
            </w:r>
          </w:p>
        </w:tc>
        <w:tc>
          <w:tcPr>
            <w:tcW w:w="1547" w:type="dxa"/>
            <w:vAlign w:val="center"/>
          </w:tcPr>
          <w:p>
            <w:pPr>
              <w:tabs>
                <w:tab w:val="left" w:pos="360"/>
                <w:tab w:val="left" w:pos="900"/>
              </w:tabs>
              <w:rPr>
                <w:sz w:val="18"/>
                <w:szCs w:val="18"/>
                <w:highlight w:val="none"/>
              </w:rPr>
            </w:pPr>
            <w:r>
              <w:rPr>
                <w:sz w:val="18"/>
                <w:szCs w:val="18"/>
                <w:highlight w:val="none"/>
              </w:rPr>
              <w:t>设计文件质量合格，基本考虑施工条件，可以满足工程需要。</w:t>
            </w:r>
          </w:p>
        </w:tc>
        <w:tc>
          <w:tcPr>
            <w:tcW w:w="1946" w:type="dxa"/>
            <w:vAlign w:val="center"/>
          </w:tcPr>
          <w:p>
            <w:pPr>
              <w:tabs>
                <w:tab w:val="left" w:pos="360"/>
                <w:tab w:val="left" w:pos="900"/>
              </w:tabs>
              <w:rPr>
                <w:sz w:val="18"/>
                <w:szCs w:val="18"/>
                <w:highlight w:val="none"/>
              </w:rPr>
            </w:pPr>
            <w:r>
              <w:rPr>
                <w:sz w:val="18"/>
                <w:szCs w:val="18"/>
                <w:highlight w:val="none"/>
              </w:rPr>
              <w:t>设计文件质量差，不或很少考虑施工条件，难以满足工程需要。</w:t>
            </w:r>
          </w:p>
        </w:tc>
        <w:tc>
          <w:tcPr>
            <w:tcW w:w="708" w:type="dxa"/>
            <w:vAlign w:val="center"/>
          </w:tcPr>
          <w:p>
            <w:pPr>
              <w:tabs>
                <w:tab w:val="left" w:pos="360"/>
                <w:tab w:val="left" w:pos="900"/>
              </w:tabs>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51" w:type="dxa"/>
            <w:vAlign w:val="center"/>
          </w:tcPr>
          <w:p>
            <w:pPr>
              <w:tabs>
                <w:tab w:val="left" w:pos="360"/>
                <w:tab w:val="left" w:pos="900"/>
              </w:tabs>
              <w:jc w:val="center"/>
              <w:rPr>
                <w:sz w:val="18"/>
                <w:szCs w:val="18"/>
                <w:highlight w:val="none"/>
              </w:rPr>
            </w:pPr>
            <w:r>
              <w:rPr>
                <w:sz w:val="18"/>
                <w:szCs w:val="18"/>
                <w:highlight w:val="none"/>
              </w:rPr>
              <w:t>2</w:t>
            </w:r>
          </w:p>
        </w:tc>
        <w:tc>
          <w:tcPr>
            <w:tcW w:w="1091" w:type="dxa"/>
            <w:vAlign w:val="center"/>
          </w:tcPr>
          <w:p>
            <w:pPr>
              <w:tabs>
                <w:tab w:val="left" w:pos="360"/>
                <w:tab w:val="left" w:pos="900"/>
              </w:tabs>
              <w:jc w:val="center"/>
              <w:rPr>
                <w:sz w:val="18"/>
                <w:szCs w:val="18"/>
                <w:highlight w:val="none"/>
              </w:rPr>
            </w:pPr>
            <w:r>
              <w:rPr>
                <w:sz w:val="18"/>
                <w:szCs w:val="18"/>
                <w:highlight w:val="none"/>
              </w:rPr>
              <w:t>人员现场处理问题能力</w:t>
            </w:r>
          </w:p>
        </w:tc>
        <w:tc>
          <w:tcPr>
            <w:tcW w:w="632" w:type="dxa"/>
            <w:vAlign w:val="center"/>
          </w:tcPr>
          <w:p>
            <w:pPr>
              <w:tabs>
                <w:tab w:val="left" w:pos="360"/>
                <w:tab w:val="left" w:pos="900"/>
              </w:tabs>
              <w:jc w:val="center"/>
              <w:rPr>
                <w:sz w:val="18"/>
                <w:szCs w:val="18"/>
                <w:highlight w:val="none"/>
              </w:rPr>
            </w:pPr>
            <w:r>
              <w:rPr>
                <w:sz w:val="18"/>
                <w:szCs w:val="18"/>
                <w:highlight w:val="none"/>
              </w:rPr>
              <w:t>40</w:t>
            </w:r>
          </w:p>
        </w:tc>
        <w:tc>
          <w:tcPr>
            <w:tcW w:w="1729" w:type="dxa"/>
            <w:vAlign w:val="center"/>
          </w:tcPr>
          <w:p>
            <w:pPr>
              <w:tabs>
                <w:tab w:val="left" w:pos="360"/>
                <w:tab w:val="left" w:pos="900"/>
              </w:tabs>
              <w:rPr>
                <w:sz w:val="18"/>
                <w:szCs w:val="18"/>
                <w:highlight w:val="none"/>
              </w:rPr>
            </w:pPr>
            <w:r>
              <w:rPr>
                <w:sz w:val="18"/>
                <w:szCs w:val="18"/>
                <w:highlight w:val="none"/>
              </w:rPr>
              <w:t>人员全部到位，积极主动，现场处理问题及时、准确。并能及时发现问题。</w:t>
            </w:r>
          </w:p>
        </w:tc>
        <w:tc>
          <w:tcPr>
            <w:tcW w:w="1547" w:type="dxa"/>
            <w:vAlign w:val="center"/>
          </w:tcPr>
          <w:p>
            <w:pPr>
              <w:tabs>
                <w:tab w:val="left" w:pos="360"/>
                <w:tab w:val="left" w:pos="900"/>
              </w:tabs>
              <w:rPr>
                <w:sz w:val="18"/>
                <w:szCs w:val="18"/>
                <w:highlight w:val="none"/>
              </w:rPr>
            </w:pPr>
            <w:r>
              <w:rPr>
                <w:sz w:val="18"/>
                <w:szCs w:val="18"/>
                <w:highlight w:val="none"/>
              </w:rPr>
              <w:t>人员基本到位，工作主动，现场能处理问题。基本能发现问题。</w:t>
            </w:r>
          </w:p>
        </w:tc>
        <w:tc>
          <w:tcPr>
            <w:tcW w:w="1946" w:type="dxa"/>
            <w:vAlign w:val="center"/>
          </w:tcPr>
          <w:p>
            <w:pPr>
              <w:tabs>
                <w:tab w:val="left" w:pos="360"/>
                <w:tab w:val="left" w:pos="900"/>
              </w:tabs>
              <w:rPr>
                <w:sz w:val="18"/>
                <w:szCs w:val="18"/>
                <w:highlight w:val="none"/>
              </w:rPr>
            </w:pPr>
            <w:r>
              <w:rPr>
                <w:sz w:val="18"/>
                <w:szCs w:val="18"/>
                <w:highlight w:val="none"/>
              </w:rPr>
              <w:t>人员不能满足需求，工作怠慢，现场处理问题不及时或处理失当。不能发现问题。</w:t>
            </w:r>
          </w:p>
        </w:tc>
        <w:tc>
          <w:tcPr>
            <w:tcW w:w="708" w:type="dxa"/>
            <w:vAlign w:val="center"/>
          </w:tcPr>
          <w:p>
            <w:pPr>
              <w:tabs>
                <w:tab w:val="left" w:pos="360"/>
                <w:tab w:val="left" w:pos="900"/>
              </w:tabs>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51" w:type="dxa"/>
            <w:vAlign w:val="center"/>
          </w:tcPr>
          <w:p>
            <w:pPr>
              <w:tabs>
                <w:tab w:val="left" w:pos="360"/>
                <w:tab w:val="left" w:pos="900"/>
              </w:tabs>
              <w:jc w:val="center"/>
              <w:rPr>
                <w:sz w:val="18"/>
                <w:szCs w:val="18"/>
                <w:highlight w:val="none"/>
              </w:rPr>
            </w:pPr>
            <w:r>
              <w:rPr>
                <w:sz w:val="18"/>
                <w:szCs w:val="18"/>
                <w:highlight w:val="none"/>
              </w:rPr>
              <w:t>3</w:t>
            </w:r>
          </w:p>
        </w:tc>
        <w:tc>
          <w:tcPr>
            <w:tcW w:w="1091" w:type="dxa"/>
            <w:vAlign w:val="center"/>
          </w:tcPr>
          <w:p>
            <w:pPr>
              <w:tabs>
                <w:tab w:val="left" w:pos="360"/>
                <w:tab w:val="left" w:pos="900"/>
              </w:tabs>
              <w:jc w:val="center"/>
              <w:rPr>
                <w:sz w:val="18"/>
                <w:szCs w:val="18"/>
                <w:highlight w:val="none"/>
              </w:rPr>
            </w:pPr>
            <w:r>
              <w:rPr>
                <w:sz w:val="18"/>
                <w:szCs w:val="18"/>
                <w:highlight w:val="none"/>
              </w:rPr>
              <w:t>参加会议及协调解决。合理化建议</w:t>
            </w:r>
          </w:p>
        </w:tc>
        <w:tc>
          <w:tcPr>
            <w:tcW w:w="632" w:type="dxa"/>
            <w:vAlign w:val="center"/>
          </w:tcPr>
          <w:p>
            <w:pPr>
              <w:tabs>
                <w:tab w:val="left" w:pos="360"/>
                <w:tab w:val="left" w:pos="900"/>
              </w:tabs>
              <w:jc w:val="center"/>
              <w:rPr>
                <w:sz w:val="18"/>
                <w:szCs w:val="18"/>
                <w:highlight w:val="none"/>
              </w:rPr>
            </w:pPr>
            <w:r>
              <w:rPr>
                <w:sz w:val="18"/>
                <w:szCs w:val="18"/>
                <w:highlight w:val="none"/>
              </w:rPr>
              <w:t>30</w:t>
            </w:r>
          </w:p>
        </w:tc>
        <w:tc>
          <w:tcPr>
            <w:tcW w:w="1729" w:type="dxa"/>
            <w:vAlign w:val="center"/>
          </w:tcPr>
          <w:p>
            <w:pPr>
              <w:tabs>
                <w:tab w:val="left" w:pos="360"/>
                <w:tab w:val="left" w:pos="900"/>
              </w:tabs>
              <w:rPr>
                <w:sz w:val="18"/>
                <w:szCs w:val="18"/>
                <w:highlight w:val="none"/>
              </w:rPr>
            </w:pPr>
            <w:r>
              <w:rPr>
                <w:sz w:val="18"/>
                <w:szCs w:val="18"/>
                <w:highlight w:val="none"/>
              </w:rPr>
              <w:t>积极主动参加会议及解决问题，主动提出降低投资的合理化建设，设计配合良好。</w:t>
            </w:r>
          </w:p>
        </w:tc>
        <w:tc>
          <w:tcPr>
            <w:tcW w:w="1547" w:type="dxa"/>
            <w:vAlign w:val="center"/>
          </w:tcPr>
          <w:p>
            <w:pPr>
              <w:tabs>
                <w:tab w:val="left" w:pos="360"/>
                <w:tab w:val="left" w:pos="900"/>
              </w:tabs>
              <w:rPr>
                <w:sz w:val="18"/>
                <w:szCs w:val="18"/>
                <w:highlight w:val="none"/>
              </w:rPr>
            </w:pPr>
            <w:r>
              <w:rPr>
                <w:sz w:val="18"/>
                <w:szCs w:val="18"/>
                <w:highlight w:val="none"/>
              </w:rPr>
              <w:t>能参加会议及解决问题，无降低投资的合理化建议，设计配合一般。</w:t>
            </w:r>
          </w:p>
        </w:tc>
        <w:tc>
          <w:tcPr>
            <w:tcW w:w="1946" w:type="dxa"/>
            <w:vAlign w:val="center"/>
          </w:tcPr>
          <w:p>
            <w:pPr>
              <w:tabs>
                <w:tab w:val="left" w:pos="360"/>
                <w:tab w:val="left" w:pos="900"/>
              </w:tabs>
              <w:rPr>
                <w:sz w:val="18"/>
                <w:szCs w:val="18"/>
                <w:highlight w:val="none"/>
              </w:rPr>
            </w:pPr>
            <w:r>
              <w:rPr>
                <w:sz w:val="18"/>
                <w:szCs w:val="18"/>
                <w:highlight w:val="none"/>
              </w:rPr>
              <w:t>不参加会议及解决问题，无合理化建议，并导致投资增加，基本不能进行设计配合。</w:t>
            </w:r>
          </w:p>
        </w:tc>
        <w:tc>
          <w:tcPr>
            <w:tcW w:w="708" w:type="dxa"/>
            <w:vAlign w:val="center"/>
          </w:tcPr>
          <w:p>
            <w:pPr>
              <w:tabs>
                <w:tab w:val="left" w:pos="360"/>
                <w:tab w:val="left" w:pos="900"/>
              </w:tabs>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tabs>
                <w:tab w:val="left" w:pos="360"/>
                <w:tab w:val="left" w:pos="900"/>
              </w:tabs>
              <w:jc w:val="center"/>
              <w:rPr>
                <w:sz w:val="18"/>
                <w:szCs w:val="18"/>
                <w:highlight w:val="none"/>
              </w:rPr>
            </w:pPr>
          </w:p>
        </w:tc>
        <w:tc>
          <w:tcPr>
            <w:tcW w:w="1091" w:type="dxa"/>
            <w:vAlign w:val="center"/>
          </w:tcPr>
          <w:p>
            <w:pPr>
              <w:tabs>
                <w:tab w:val="left" w:pos="360"/>
                <w:tab w:val="left" w:pos="900"/>
              </w:tabs>
              <w:jc w:val="center"/>
              <w:rPr>
                <w:sz w:val="18"/>
                <w:szCs w:val="18"/>
                <w:highlight w:val="none"/>
              </w:rPr>
            </w:pPr>
            <w:r>
              <w:rPr>
                <w:sz w:val="18"/>
                <w:szCs w:val="18"/>
                <w:highlight w:val="none"/>
              </w:rPr>
              <w:t>合计</w:t>
            </w:r>
          </w:p>
        </w:tc>
        <w:tc>
          <w:tcPr>
            <w:tcW w:w="632" w:type="dxa"/>
            <w:vAlign w:val="center"/>
          </w:tcPr>
          <w:p>
            <w:pPr>
              <w:tabs>
                <w:tab w:val="left" w:pos="360"/>
                <w:tab w:val="left" w:pos="900"/>
              </w:tabs>
              <w:jc w:val="center"/>
              <w:rPr>
                <w:sz w:val="18"/>
                <w:szCs w:val="18"/>
                <w:highlight w:val="none"/>
              </w:rPr>
            </w:pPr>
            <w:r>
              <w:rPr>
                <w:sz w:val="18"/>
                <w:szCs w:val="18"/>
                <w:highlight w:val="none"/>
              </w:rPr>
              <w:t>100</w:t>
            </w:r>
          </w:p>
        </w:tc>
        <w:tc>
          <w:tcPr>
            <w:tcW w:w="1729" w:type="dxa"/>
            <w:vAlign w:val="center"/>
          </w:tcPr>
          <w:p>
            <w:pPr>
              <w:tabs>
                <w:tab w:val="left" w:pos="360"/>
                <w:tab w:val="left" w:pos="900"/>
              </w:tabs>
              <w:rPr>
                <w:sz w:val="18"/>
                <w:szCs w:val="18"/>
                <w:highlight w:val="none"/>
              </w:rPr>
            </w:pPr>
          </w:p>
        </w:tc>
        <w:tc>
          <w:tcPr>
            <w:tcW w:w="1547" w:type="dxa"/>
            <w:vAlign w:val="center"/>
          </w:tcPr>
          <w:p>
            <w:pPr>
              <w:tabs>
                <w:tab w:val="left" w:pos="360"/>
                <w:tab w:val="left" w:pos="900"/>
              </w:tabs>
              <w:rPr>
                <w:sz w:val="18"/>
                <w:szCs w:val="18"/>
                <w:highlight w:val="none"/>
              </w:rPr>
            </w:pPr>
          </w:p>
        </w:tc>
        <w:tc>
          <w:tcPr>
            <w:tcW w:w="1946" w:type="dxa"/>
            <w:vAlign w:val="center"/>
          </w:tcPr>
          <w:p>
            <w:pPr>
              <w:tabs>
                <w:tab w:val="left" w:pos="360"/>
                <w:tab w:val="left" w:pos="900"/>
              </w:tabs>
              <w:rPr>
                <w:sz w:val="18"/>
                <w:szCs w:val="18"/>
                <w:highlight w:val="none"/>
              </w:rPr>
            </w:pPr>
          </w:p>
        </w:tc>
        <w:tc>
          <w:tcPr>
            <w:tcW w:w="708" w:type="dxa"/>
            <w:vAlign w:val="center"/>
          </w:tcPr>
          <w:p>
            <w:pPr>
              <w:tabs>
                <w:tab w:val="left" w:pos="360"/>
                <w:tab w:val="left" w:pos="900"/>
              </w:tabs>
              <w:jc w:val="center"/>
              <w:rPr>
                <w:sz w:val="18"/>
                <w:szCs w:val="18"/>
                <w:highlight w:val="none"/>
              </w:rPr>
            </w:pPr>
          </w:p>
        </w:tc>
      </w:tr>
    </w:tbl>
    <w:p>
      <w:pPr>
        <w:spacing w:line="460" w:lineRule="exact"/>
        <w:jc w:val="center"/>
        <w:rPr>
          <w:bCs/>
          <w:szCs w:val="21"/>
          <w:highlight w:val="none"/>
        </w:rPr>
      </w:pPr>
      <w:r>
        <w:rPr>
          <w:bCs/>
          <w:szCs w:val="21"/>
          <w:highlight w:val="none"/>
        </w:rPr>
        <w:t>考评单位（签章）：                              日期：   年   月   日</w:t>
      </w:r>
    </w:p>
    <w:p>
      <w:pPr>
        <w:adjustRightInd w:val="0"/>
        <w:snapToGrid w:val="0"/>
        <w:spacing w:before="156" w:beforeLines="50" w:line="360" w:lineRule="auto"/>
        <w:jc w:val="center"/>
        <w:rPr>
          <w:b/>
          <w:snapToGrid w:val="0"/>
          <w:kern w:val="0"/>
          <w:sz w:val="28"/>
          <w:szCs w:val="28"/>
          <w:highlight w:val="none"/>
        </w:rPr>
      </w:pPr>
      <w:bookmarkStart w:id="735" w:name="_Toc81802526"/>
      <w:bookmarkStart w:id="736" w:name="_Toc81895168"/>
      <w:r>
        <w:rPr>
          <w:b/>
          <w:snapToGrid w:val="0"/>
          <w:kern w:val="0"/>
          <w:sz w:val="28"/>
          <w:szCs w:val="28"/>
          <w:highlight w:val="none"/>
        </w:rPr>
        <w:t>第</w:t>
      </w:r>
      <w:r>
        <w:rPr>
          <w:rFonts w:hint="eastAsia"/>
          <w:b/>
          <w:snapToGrid w:val="0"/>
          <w:kern w:val="0"/>
          <w:sz w:val="28"/>
          <w:szCs w:val="28"/>
          <w:highlight w:val="none"/>
        </w:rPr>
        <w:t>九</w:t>
      </w:r>
      <w:r>
        <w:rPr>
          <w:b/>
          <w:snapToGrid w:val="0"/>
          <w:kern w:val="0"/>
          <w:sz w:val="28"/>
          <w:szCs w:val="28"/>
          <w:highlight w:val="none"/>
        </w:rPr>
        <w:t>章  双方的权利与义务</w:t>
      </w:r>
      <w:bookmarkEnd w:id="735"/>
      <w:bookmarkEnd w:id="736"/>
    </w:p>
    <w:p>
      <w:pPr>
        <w:adjustRightInd w:val="0"/>
        <w:snapToGrid w:val="0"/>
        <w:spacing w:line="360" w:lineRule="auto"/>
        <w:ind w:firstLine="413" w:firstLineChars="196"/>
        <w:rPr>
          <w:bCs/>
          <w:snapToGrid w:val="0"/>
          <w:kern w:val="0"/>
          <w:szCs w:val="21"/>
          <w:highlight w:val="none"/>
        </w:rPr>
      </w:pPr>
      <w:r>
        <w:rPr>
          <w:b/>
          <w:bCs/>
          <w:snapToGrid w:val="0"/>
          <w:kern w:val="0"/>
          <w:szCs w:val="21"/>
          <w:highlight w:val="none"/>
        </w:rPr>
        <w:t>16、发包人的权利与义务</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16.1</w:t>
      </w:r>
      <w:r>
        <w:rPr>
          <w:snapToGrid w:val="0"/>
          <w:kern w:val="0"/>
          <w:szCs w:val="21"/>
          <w:highlight w:val="none"/>
        </w:rPr>
        <w:t>发包人的权利：</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（1）享有承包人设计文件的版权和全部使用权。</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（3）发包人有权聘请施工图审查单位作为本合同工程的设计咨询单位，承包人应接受该施工图审查单位按照相关设计咨询法规和发包人赋予的权利所进行的咨询工作。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（4）设计变更的审批权，设计进度的监督权。</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（5）其他依据合同和法律规定属于发包人的权利。</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16.2</w:t>
      </w:r>
      <w:r>
        <w:rPr>
          <w:snapToGrid w:val="0"/>
          <w:kern w:val="0"/>
          <w:szCs w:val="21"/>
          <w:highlight w:val="none"/>
        </w:rPr>
        <w:t>发包人的义务：</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（1）按本合同约定及时向承包人提供有关资料及文件，发包人提供的资料及文件具体如下：</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 方案深化设计阶段提供的资料</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①</w:t>
      </w:r>
      <w:r>
        <w:rPr>
          <w:snapToGrid w:val="0"/>
          <w:kern w:val="0"/>
          <w:szCs w:val="21"/>
          <w:highlight w:val="none"/>
        </w:rPr>
        <w:t>设计任务书；</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②</w:t>
      </w:r>
      <w:r>
        <w:rPr>
          <w:snapToGrid w:val="0"/>
          <w:kern w:val="0"/>
          <w:szCs w:val="21"/>
          <w:highlight w:val="none"/>
        </w:rPr>
        <w:t>立项批复文件；</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③</w:t>
      </w:r>
      <w:r>
        <w:rPr>
          <w:snapToGrid w:val="0"/>
          <w:kern w:val="0"/>
          <w:szCs w:val="21"/>
          <w:highlight w:val="none"/>
        </w:rPr>
        <w:t>规划建设主管部门对本合同约定项目的规划设计要点；</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④</w:t>
      </w:r>
      <w:r>
        <w:rPr>
          <w:snapToGrid w:val="0"/>
          <w:kern w:val="0"/>
          <w:szCs w:val="21"/>
          <w:highlight w:val="none"/>
        </w:rPr>
        <w:t>由规划部门认可的用地红线和地形图；</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⑤</w:t>
      </w:r>
      <w:r>
        <w:rPr>
          <w:snapToGrid w:val="0"/>
          <w:kern w:val="0"/>
          <w:szCs w:val="21"/>
          <w:highlight w:val="none"/>
        </w:rPr>
        <w:t>本合同约定的项目基础资料，包括用地红线坐标(表)、场地标高、市政设施图的资料（绿化、道路、管线、建构筑物等）；</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⑥</w:t>
      </w:r>
      <w:r>
        <w:rPr>
          <w:snapToGrid w:val="0"/>
          <w:kern w:val="0"/>
          <w:szCs w:val="21"/>
          <w:highlight w:val="none"/>
        </w:rPr>
        <w:t>地质勘察资料等；</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⑦</w:t>
      </w:r>
      <w:r>
        <w:rPr>
          <w:snapToGrid w:val="0"/>
          <w:kern w:val="0"/>
          <w:szCs w:val="21"/>
          <w:highlight w:val="none"/>
        </w:rPr>
        <w:t>发包人关于设计、图档、图文、工程等相关管理办法，具体见附件；</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⑧</w:t>
      </w:r>
      <w:r>
        <w:rPr>
          <w:snapToGrid w:val="0"/>
          <w:kern w:val="0"/>
          <w:szCs w:val="21"/>
          <w:highlight w:val="none"/>
        </w:rPr>
        <w:t>评标委员会的意见、发包人提出的修改意见，和版权属于发包人的其他投标方案。</w:t>
      </w:r>
    </w:p>
    <w:p>
      <w:pPr>
        <w:adjustRightInd w:val="0"/>
        <w:snapToGrid w:val="0"/>
        <w:spacing w:line="360" w:lineRule="auto"/>
        <w:ind w:left="210" w:leftChars="100" w:firstLine="420" w:firstLineChars="200"/>
        <w:rPr>
          <w:snapToGrid w:val="0"/>
          <w:kern w:val="0"/>
          <w:szCs w:val="21"/>
          <w:highlight w:val="none"/>
        </w:rPr>
      </w:pPr>
      <w:r>
        <w:rPr>
          <w:snapToGrid w:val="0"/>
          <w:kern w:val="0"/>
          <w:szCs w:val="21"/>
          <w:highlight w:val="none"/>
        </w:rPr>
        <w:t>2) 初步设计及施工图设计阶段提供的资料</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①</w:t>
      </w:r>
      <w:r>
        <w:rPr>
          <w:snapToGrid w:val="0"/>
          <w:kern w:val="0"/>
          <w:szCs w:val="21"/>
          <w:highlight w:val="none"/>
        </w:rPr>
        <w:t>发包人对于设计方案的修改意见；</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②</w:t>
      </w:r>
      <w:r>
        <w:rPr>
          <w:snapToGrid w:val="0"/>
          <w:kern w:val="0"/>
          <w:szCs w:val="21"/>
          <w:highlight w:val="none"/>
        </w:rPr>
        <w:t>政府部门、职能部门审批意见；</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③</w:t>
      </w:r>
      <w:r>
        <w:rPr>
          <w:snapToGrid w:val="0"/>
          <w:kern w:val="0"/>
          <w:szCs w:val="21"/>
          <w:highlight w:val="none"/>
        </w:rPr>
        <w:t>政府或发包人委托，或组织的评审机构（会议）提出的阶段性书面意见；</w:t>
      </w:r>
    </w:p>
    <w:p>
      <w:pPr>
        <w:adjustRightInd w:val="0"/>
        <w:snapToGrid w:val="0"/>
        <w:spacing w:line="360" w:lineRule="auto"/>
        <w:ind w:left="210" w:leftChars="100" w:firstLine="420" w:firstLineChars="200"/>
        <w:rPr>
          <w:snapToGrid w:val="0"/>
          <w:kern w:val="0"/>
          <w:szCs w:val="21"/>
          <w:highlight w:val="none"/>
        </w:rPr>
      </w:pPr>
      <w:r>
        <w:rPr>
          <w:rFonts w:hint="eastAsia" w:ascii="宋体" w:hAnsi="宋体" w:cs="宋体"/>
          <w:snapToGrid w:val="0"/>
          <w:kern w:val="0"/>
          <w:szCs w:val="21"/>
          <w:highlight w:val="none"/>
        </w:rPr>
        <w:t>④</w:t>
      </w:r>
      <w:r>
        <w:rPr>
          <w:snapToGrid w:val="0"/>
          <w:kern w:val="0"/>
          <w:szCs w:val="21"/>
          <w:highlight w:val="none"/>
        </w:rPr>
        <w:t>双方来往的各类书面文件、会议纪要等。</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（2）按本合同约定按时支付设计费。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（3）发包人变更委托设计项目、规模、条件或所提交资料作较大修改，以致造成承包人设计返工时，双方应酌情签订补充协议。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（4）工程实施前，若发包人负责提供材料的，应根据承包人提出的工程用料计划，按时提供各种材料及其产品合格证明，派人与承包人的人员一起验收。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（5）按本合同约定的设计进度和阶段及时将承包人提交的所有设计文件转送相关部门审批，并根据时间表的规定将必要的审批件交付承包人。</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（6）发包人要求承包人比合同约定时间提前交付设计文件时，须征得承包人同意，并不得严重背离合理设计周期。</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（7）发包人及施工图审查单位在收到承包人有关设计问题及确认问题的函件后，应在5个工作日内给予书面答复，每次设计会议纪要应在该次会议结束后两日内书面交付承包人</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17、承包人的权利与义务</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17.1</w:t>
      </w:r>
      <w:r>
        <w:rPr>
          <w:snapToGrid w:val="0"/>
          <w:kern w:val="0"/>
          <w:szCs w:val="21"/>
          <w:highlight w:val="none"/>
        </w:rPr>
        <w:t>承包人的权利：</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（1）根据合同约定收取设计费。</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（2）拥有设计成果文件的署名权。</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（3）设计方案、图纸未审批之前，在不影响工期及合同约定的提交成果文件的时间的情况下，有权提出修改方案、图纸的建议。</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（4）有权依据发包人的意图和本合同工程设计工作进展情况指令各专业设计单位按时、按质、按量完成本合同专项工程的设计工作。</w:t>
      </w:r>
    </w:p>
    <w:p>
      <w:pPr>
        <w:adjustRightInd w:val="0"/>
        <w:snapToGrid w:val="0"/>
        <w:spacing w:line="360" w:lineRule="auto"/>
        <w:ind w:firstLine="422" w:firstLineChars="200"/>
        <w:rPr>
          <w:snapToGrid w:val="0"/>
          <w:kern w:val="0"/>
          <w:szCs w:val="21"/>
          <w:highlight w:val="none"/>
        </w:rPr>
      </w:pPr>
      <w:r>
        <w:rPr>
          <w:b/>
          <w:snapToGrid w:val="0"/>
          <w:kern w:val="0"/>
          <w:szCs w:val="21"/>
          <w:highlight w:val="none"/>
        </w:rPr>
        <w:t xml:space="preserve">17.2 </w:t>
      </w:r>
      <w:r>
        <w:rPr>
          <w:snapToGrid w:val="0"/>
          <w:kern w:val="0"/>
          <w:szCs w:val="21"/>
          <w:highlight w:val="none"/>
        </w:rPr>
        <w:t>除根据本合同约定的完成设计工作外，承包人义务还包括但不限于：</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（2）在设计各阶段，承包人应根据发包人或有权审核部门的意见，及时修改、完善设计，负责完成由于设计失误未获有权审核部门批准而出现的反复修改的工作。</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（3）承包人不享有对设计文件的留置权，由承包人完成的设计文件应依据本合同约定的时间提交给发包人的，均不得拒绝或拖延向发包人提交。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（4）承包人应加强对设计和管理服务人员职业操守的教育，恪守职业道德守则，并严格遵守下列规定：</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1）严防重产值、轻质量倾向，确保公众人身及财产安全；</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2）禁止向发包人及施工单位推销材料、设备，或以倾向性、排他性设计变相推销；</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3）禁止与材料、设备供应商串通，设计中选用价高质次的材料、设备；</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4）禁止与材料、设备供应商串通，在材料、设备的监造或调试过程中对不合格材料、设备产品进行包庇或以次充好，提高产品验收级别；</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5）禁止与施工单位串通，对不合格材料、设备、产品、工程进行包庇及验收；</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6）禁止与施工单位串通，对材料用量、工程量进行虚假签认；</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7）禁止与施工单位串通，不合理提高施工难度及增加材料用量，以增大施工费用，获取不正当收益。</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（5）其他依据法律规定和本合同约定应由承包人履行的义务。</w:t>
      </w:r>
    </w:p>
    <w:p>
      <w:pPr>
        <w:adjustRightInd w:val="0"/>
        <w:snapToGrid w:val="0"/>
        <w:spacing w:before="156" w:beforeLines="50" w:line="360" w:lineRule="auto"/>
        <w:jc w:val="center"/>
        <w:rPr>
          <w:b/>
          <w:snapToGrid w:val="0"/>
          <w:kern w:val="0"/>
          <w:sz w:val="28"/>
          <w:szCs w:val="28"/>
          <w:highlight w:val="none"/>
        </w:rPr>
      </w:pPr>
      <w:r>
        <w:rPr>
          <w:b/>
          <w:snapToGrid w:val="0"/>
          <w:kern w:val="0"/>
          <w:sz w:val="28"/>
          <w:szCs w:val="28"/>
          <w:highlight w:val="none"/>
        </w:rPr>
        <w:t>第十章  违约责任</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18、发包人的违约责任</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18.1</w:t>
      </w:r>
      <w:r>
        <w:rPr>
          <w:snapToGrid w:val="0"/>
          <w:sz w:val="21"/>
          <w:szCs w:val="21"/>
          <w:highlight w:val="none"/>
        </w:rPr>
        <w:t>发包人无正当理由应按合同约定支付承包人设计进度款。</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18.2</w:t>
      </w:r>
      <w:r>
        <w:rPr>
          <w:snapToGrid w:val="0"/>
          <w:sz w:val="21"/>
          <w:szCs w:val="21"/>
          <w:highlight w:val="none"/>
        </w:rPr>
        <w:t>发包人无正当理由应按合同约定支付承包人设计竣工结算款。</w:t>
      </w:r>
    </w:p>
    <w:p>
      <w:pPr>
        <w:adjustRightInd w:val="0"/>
        <w:snapToGrid w:val="0"/>
        <w:spacing w:line="360" w:lineRule="auto"/>
        <w:ind w:firstLine="413" w:firstLineChars="196"/>
        <w:rPr>
          <w:bCs/>
          <w:snapToGrid w:val="0"/>
          <w:kern w:val="0"/>
          <w:szCs w:val="21"/>
          <w:highlight w:val="none"/>
        </w:rPr>
      </w:pPr>
      <w:r>
        <w:rPr>
          <w:b/>
          <w:bCs/>
          <w:snapToGrid w:val="0"/>
          <w:kern w:val="0"/>
          <w:szCs w:val="21"/>
          <w:highlight w:val="none"/>
        </w:rPr>
        <w:t>19、承包人的违约责任</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19.1</w:t>
      </w:r>
      <w:r>
        <w:rPr>
          <w:snapToGrid w:val="0"/>
          <w:sz w:val="21"/>
          <w:szCs w:val="21"/>
          <w:highlight w:val="none"/>
        </w:rPr>
        <w:t>承包人承担违约责任的方式包括但不限于：</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（1）一般违约责任。承包人违反本合同的约定须承担一般违约责任时，必须向发包人交纳违约金</w:t>
      </w:r>
      <w:r>
        <w:rPr>
          <w:snapToGrid w:val="0"/>
          <w:sz w:val="21"/>
          <w:szCs w:val="21"/>
          <w:highlight w:val="none"/>
          <w:u w:val="single"/>
        </w:rPr>
        <w:t>(10000元</w:t>
      </w:r>
      <w:r>
        <w:rPr>
          <w:bCs/>
          <w:snapToGrid w:val="0"/>
          <w:sz w:val="21"/>
          <w:szCs w:val="21"/>
          <w:highlight w:val="none"/>
          <w:u w:val="single"/>
        </w:rPr>
        <w:t>/次)</w:t>
      </w:r>
      <w:r>
        <w:rPr>
          <w:snapToGrid w:val="0"/>
          <w:sz w:val="21"/>
          <w:szCs w:val="21"/>
          <w:highlight w:val="none"/>
          <w:u w:val="single"/>
        </w:rPr>
        <w:t>。</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（2）严重违约责任。承包人违反本合同的约定须承担严重违约责任时，必须向发包人交纳违约金</w:t>
      </w:r>
      <w:r>
        <w:rPr>
          <w:snapToGrid w:val="0"/>
          <w:sz w:val="21"/>
          <w:szCs w:val="21"/>
          <w:highlight w:val="none"/>
          <w:u w:val="single"/>
        </w:rPr>
        <w:t>(40000元/次)。</w:t>
      </w:r>
    </w:p>
    <w:p>
      <w:pPr>
        <w:pStyle w:val="69"/>
        <w:adjustRightInd w:val="0"/>
        <w:snapToGrid w:val="0"/>
        <w:spacing w:line="360" w:lineRule="auto"/>
        <w:ind w:firstLine="424" w:firstLineChars="202"/>
        <w:rPr>
          <w:snapToGrid w:val="0"/>
          <w:sz w:val="21"/>
          <w:szCs w:val="21"/>
          <w:highlight w:val="none"/>
        </w:rPr>
      </w:pPr>
      <w:r>
        <w:rPr>
          <w:snapToGrid w:val="0"/>
          <w:sz w:val="21"/>
          <w:szCs w:val="21"/>
          <w:highlight w:val="none"/>
        </w:rPr>
        <w:t>（3）赔偿损失。</w:t>
      </w:r>
      <w:r>
        <w:rPr>
          <w:bCs/>
          <w:snapToGrid w:val="0"/>
          <w:sz w:val="21"/>
          <w:szCs w:val="21"/>
          <w:highlight w:val="none"/>
        </w:rPr>
        <w:t>因承包人原因造成发包人经济损失的，承包人应赔偿发包人的全部直接和间接经济损失</w:t>
      </w:r>
      <w:r>
        <w:rPr>
          <w:snapToGrid w:val="0"/>
          <w:sz w:val="21"/>
          <w:szCs w:val="21"/>
          <w:highlight w:val="none"/>
        </w:rPr>
        <w:t>。</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（4）部分解除合同。</w:t>
      </w:r>
      <w:r>
        <w:rPr>
          <w:bCs/>
          <w:snapToGrid w:val="0"/>
          <w:sz w:val="21"/>
          <w:szCs w:val="21"/>
          <w:highlight w:val="none"/>
        </w:rPr>
        <w:t>当承包人违反本合同的约定达到部分解除合同的条件时，发包人有权向承包人发出书面部分解除合同的通知，该通知在送达承包人时即生效。</w:t>
      </w:r>
      <w:r>
        <w:rPr>
          <w:snapToGrid w:val="0"/>
          <w:sz w:val="21"/>
          <w:szCs w:val="21"/>
          <w:highlight w:val="none"/>
        </w:rPr>
        <w:t>承包人应在该通知生效之日起五天内向发包人支付本合同价款5%的违约金，违约金不足以弥补发包人全部损失的，承包人还应予以赔偿</w:t>
      </w:r>
      <w:r>
        <w:rPr>
          <w:bCs/>
          <w:snapToGrid w:val="0"/>
          <w:sz w:val="21"/>
          <w:szCs w:val="21"/>
          <w:highlight w:val="none"/>
        </w:rPr>
        <w:t>。同时，</w:t>
      </w:r>
      <w:r>
        <w:rPr>
          <w:snapToGrid w:val="0"/>
          <w:sz w:val="21"/>
          <w:szCs w:val="21"/>
          <w:highlight w:val="none"/>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（5）解除合同。</w:t>
      </w:r>
      <w:r>
        <w:rPr>
          <w:bCs/>
          <w:snapToGrid w:val="0"/>
          <w:sz w:val="21"/>
          <w:szCs w:val="21"/>
          <w:highlight w:val="none"/>
        </w:rPr>
        <w:t>当承包人违反本合同的约定符合解除合同的条件时，发包人有权向承包人发出书面解除合同的通知，该通知在送达承包人时即生效。</w:t>
      </w:r>
      <w:r>
        <w:rPr>
          <w:snapToGrid w:val="0"/>
          <w:sz w:val="21"/>
          <w:szCs w:val="21"/>
          <w:highlight w:val="none"/>
        </w:rPr>
        <w:t>承包人应在该通知生效之日起五天内双倍返还定金，</w:t>
      </w:r>
      <w:r>
        <w:rPr>
          <w:sz w:val="21"/>
          <w:szCs w:val="21"/>
          <w:highlight w:val="none"/>
        </w:rPr>
        <w:t>给发包人造成损失的，承包人应赔偿发包人的全部损失。</w:t>
      </w:r>
      <w:r>
        <w:rPr>
          <w:bCs/>
          <w:snapToGrid w:val="0"/>
          <w:sz w:val="21"/>
          <w:szCs w:val="21"/>
          <w:highlight w:val="none"/>
        </w:rPr>
        <w:t>同时，</w:t>
      </w:r>
      <w:r>
        <w:rPr>
          <w:snapToGrid w:val="0"/>
          <w:sz w:val="21"/>
          <w:szCs w:val="21"/>
          <w:highlight w:val="none"/>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（6）承包人按本合同约定应缴纳的违约金和赔偿金应分别计算。违约金累计总额不超过本合同结算价款的25%。</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19.2</w:t>
      </w:r>
      <w:r>
        <w:rPr>
          <w:bCs/>
          <w:snapToGrid w:val="0"/>
          <w:sz w:val="21"/>
          <w:szCs w:val="21"/>
          <w:highlight w:val="none"/>
        </w:rPr>
        <w:t>在本合同有效期内，承包人承担一般违约责任累计达3次的，另行追加严重违约责任1次；累计承担严重违约责任达3次的，发包人有权单方面部分解除合同或解除合同。</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19.3</w:t>
      </w:r>
      <w:r>
        <w:rPr>
          <w:snapToGrid w:val="0"/>
          <w:sz w:val="21"/>
          <w:szCs w:val="21"/>
          <w:highlight w:val="none"/>
        </w:rPr>
        <w:t>承包人违约需向发包人支付违约金、赔偿金时，按本合同条款第20条约定的索赔方式执行。必要时，发包人有权书面通知承包人交纳。承包人必须在发包人规定的时间内主动交纳；逾期交纳的，发包人有权按逾期天数每天加收逾期交纳金额2‰的逾期违约金。</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19.4</w:t>
      </w:r>
      <w:r>
        <w:rPr>
          <w:snapToGrid w:val="0"/>
          <w:sz w:val="21"/>
          <w:szCs w:val="21"/>
          <w:highlight w:val="none"/>
        </w:rPr>
        <w:t>承包人负责本项目的设计人员，不符合合同约定的，每发现一个承担一般违约责任一次，</w:t>
      </w:r>
      <w:r>
        <w:rPr>
          <w:bCs/>
          <w:snapToGrid w:val="0"/>
          <w:sz w:val="21"/>
          <w:szCs w:val="21"/>
          <w:highlight w:val="none"/>
        </w:rPr>
        <w:t>一般违约责任累计达3次的，另行追加严重违约责任1次；累计承担严重违约责任达3次的，发包人有权单方面部分解除合同或解除合同。</w:t>
      </w:r>
      <w:r>
        <w:rPr>
          <w:snapToGrid w:val="0"/>
          <w:sz w:val="21"/>
          <w:szCs w:val="21"/>
          <w:highlight w:val="none"/>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19.5</w:t>
      </w:r>
      <w:r>
        <w:rPr>
          <w:snapToGrid w:val="0"/>
          <w:sz w:val="21"/>
          <w:szCs w:val="21"/>
          <w:highlight w:val="none"/>
        </w:rPr>
        <w:t>设计服务方面的违约责任</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（1）承包人在本合同工程设计履行合同过程中贿赂发包人人员或建设项目有关主管人员的，视为不正当竞争并承担严重违约1次。情节特别严重的，发包人有权单方面解除合同。涉嫌犯罪的，移交司法部门处理。</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snapToGrid w:val="0"/>
          <w:sz w:val="21"/>
          <w:szCs w:val="21"/>
          <w:highlight w:val="none"/>
        </w:rPr>
        <w:t>（4）</w:t>
      </w:r>
      <w:r>
        <w:rPr>
          <w:snapToGrid w:val="0"/>
          <w:sz w:val="21"/>
          <w:szCs w:val="21"/>
          <w:highlight w:val="none"/>
        </w:rPr>
        <w:t>项的约定执行。承包人在发包人规定的宽限期内仍未将人员投入到位的，发包人有权另请他人接替其工作，另请他人的费用从应支付给承包人的设计费中扣减，承包人不得提出任何异议。</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（3）在本合同履行期内承包人要求更换人员的，按以下约定处理：</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1）经发包人同意的，更换一般设计人员累计3人的，承包人承担一般违约责任1次；更换专业设计负责人承包人承担一般违约责任1次；更换项目设计总负责人，承包人承担严重违约责任1次。</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2）未经发包人同意的，更换一般设计人员，承包人承担一般违约责任1次；更换专业设计负责人，承包人承担严重违约责任1次；更换项目设计总负责人，承包人承担严重违约责任1次并须向发包人支付违约金</w:t>
      </w:r>
      <w:r>
        <w:rPr>
          <w:rFonts w:hint="eastAsia"/>
          <w:snapToGrid w:val="0"/>
          <w:sz w:val="21"/>
          <w:szCs w:val="21"/>
          <w:highlight w:val="none"/>
        </w:rPr>
        <w:t>4</w:t>
      </w:r>
      <w:r>
        <w:rPr>
          <w:snapToGrid w:val="0"/>
          <w:sz w:val="21"/>
          <w:szCs w:val="21"/>
          <w:highlight w:val="none"/>
        </w:rPr>
        <w:t>万元/人次。</w:t>
      </w:r>
    </w:p>
    <w:p>
      <w:pPr>
        <w:pStyle w:val="69"/>
        <w:adjustRightInd w:val="0"/>
        <w:snapToGrid w:val="0"/>
        <w:spacing w:line="360" w:lineRule="auto"/>
        <w:ind w:firstLine="424" w:firstLineChars="202"/>
        <w:rPr>
          <w:snapToGrid w:val="0"/>
          <w:sz w:val="21"/>
          <w:szCs w:val="21"/>
          <w:highlight w:val="none"/>
        </w:rPr>
      </w:pPr>
      <w:r>
        <w:rPr>
          <w:snapToGrid w:val="0"/>
          <w:sz w:val="21"/>
          <w:szCs w:val="21"/>
          <w:highlight w:val="none"/>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19.5款第</w:t>
      </w:r>
      <w:r>
        <w:rPr>
          <w:rFonts w:hint="eastAsia"/>
          <w:snapToGrid w:val="0"/>
          <w:sz w:val="21"/>
          <w:szCs w:val="21"/>
          <w:highlight w:val="none"/>
        </w:rPr>
        <w:t>（</w:t>
      </w:r>
      <w:r>
        <w:rPr>
          <w:snapToGrid w:val="0"/>
          <w:sz w:val="21"/>
          <w:szCs w:val="21"/>
          <w:highlight w:val="none"/>
        </w:rPr>
        <w:t>2</w:t>
      </w:r>
      <w:r>
        <w:rPr>
          <w:rFonts w:hint="eastAsia"/>
          <w:snapToGrid w:val="0"/>
          <w:sz w:val="21"/>
          <w:szCs w:val="21"/>
          <w:highlight w:val="none"/>
        </w:rPr>
        <w:t>）</w:t>
      </w:r>
      <w:r>
        <w:rPr>
          <w:snapToGrid w:val="0"/>
          <w:sz w:val="21"/>
          <w:szCs w:val="21"/>
          <w:highlight w:val="none"/>
        </w:rPr>
        <w:t>项的约定执行。</w:t>
      </w:r>
    </w:p>
    <w:p>
      <w:pPr>
        <w:adjustRightInd w:val="0"/>
        <w:snapToGrid w:val="0"/>
        <w:spacing w:line="360" w:lineRule="auto"/>
        <w:ind w:right="11" w:firstLine="424" w:firstLineChars="202"/>
        <w:rPr>
          <w:snapToGrid w:val="0"/>
          <w:kern w:val="0"/>
          <w:szCs w:val="21"/>
          <w:highlight w:val="none"/>
        </w:rPr>
      </w:pPr>
      <w:r>
        <w:rPr>
          <w:snapToGrid w:val="0"/>
          <w:kern w:val="0"/>
          <w:szCs w:val="21"/>
          <w:highlight w:val="none"/>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pPr>
        <w:pStyle w:val="69"/>
        <w:adjustRightInd w:val="0"/>
        <w:snapToGrid w:val="0"/>
        <w:spacing w:line="360" w:lineRule="auto"/>
        <w:ind w:firstLine="424" w:firstLineChars="202"/>
        <w:rPr>
          <w:snapToGrid w:val="0"/>
          <w:sz w:val="21"/>
          <w:szCs w:val="21"/>
          <w:highlight w:val="none"/>
        </w:rPr>
      </w:pPr>
      <w:r>
        <w:rPr>
          <w:snapToGrid w:val="0"/>
          <w:sz w:val="21"/>
          <w:szCs w:val="21"/>
          <w:highlight w:val="none"/>
        </w:rPr>
        <w:t>（6）因承包人未按时按质地提供本合同条款本合同条款第2条约定的各项设计服务，导致本合同工程建安费用增加的，承包人按以下公式计算向发包人支付的违约金</w:t>
      </w:r>
      <w:r>
        <w:rPr>
          <w:sz w:val="21"/>
          <w:szCs w:val="21"/>
          <w:highlight w:val="none"/>
        </w:rPr>
        <w:t>：</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违约金 = A×（B / C）×2</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其中：A - 实际增加的建安工程费；</w:t>
      </w:r>
    </w:p>
    <w:p>
      <w:pPr>
        <w:adjustRightInd w:val="0"/>
        <w:snapToGrid w:val="0"/>
        <w:spacing w:line="360" w:lineRule="auto"/>
        <w:ind w:firstLine="1050" w:firstLineChars="500"/>
        <w:rPr>
          <w:bCs/>
          <w:snapToGrid w:val="0"/>
          <w:kern w:val="0"/>
          <w:szCs w:val="21"/>
          <w:highlight w:val="none"/>
        </w:rPr>
      </w:pPr>
      <w:r>
        <w:rPr>
          <w:bCs/>
          <w:snapToGrid w:val="0"/>
          <w:kern w:val="0"/>
          <w:szCs w:val="21"/>
          <w:highlight w:val="none"/>
        </w:rPr>
        <w:t>B - 本合同设计收费（包括工程设计费及其它设计收费）总额；</w:t>
      </w:r>
    </w:p>
    <w:p>
      <w:pPr>
        <w:adjustRightInd w:val="0"/>
        <w:snapToGrid w:val="0"/>
        <w:spacing w:line="360" w:lineRule="auto"/>
        <w:ind w:firstLine="1050" w:firstLineChars="500"/>
        <w:rPr>
          <w:bCs/>
          <w:snapToGrid w:val="0"/>
          <w:kern w:val="0"/>
          <w:szCs w:val="21"/>
          <w:highlight w:val="none"/>
        </w:rPr>
      </w:pPr>
      <w:r>
        <w:rPr>
          <w:bCs/>
          <w:snapToGrid w:val="0"/>
          <w:kern w:val="0"/>
          <w:szCs w:val="21"/>
          <w:highlight w:val="none"/>
        </w:rPr>
        <w:t>C - 本合同工程审定工程设计概算建安工程费总额。</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19.6</w:t>
      </w:r>
      <w:r>
        <w:rPr>
          <w:snapToGrid w:val="0"/>
          <w:sz w:val="21"/>
          <w:szCs w:val="21"/>
          <w:highlight w:val="none"/>
        </w:rPr>
        <w:t>设计成果文件方面的违约责任：</w:t>
      </w:r>
    </w:p>
    <w:p>
      <w:pPr>
        <w:pStyle w:val="69"/>
        <w:adjustRightInd w:val="0"/>
        <w:snapToGrid w:val="0"/>
        <w:spacing w:line="360" w:lineRule="auto"/>
        <w:ind w:firstLine="315" w:firstLineChars="150"/>
        <w:rPr>
          <w:snapToGrid w:val="0"/>
          <w:sz w:val="21"/>
          <w:szCs w:val="21"/>
          <w:highlight w:val="none"/>
        </w:rPr>
      </w:pPr>
      <w:r>
        <w:rPr>
          <w:snapToGrid w:val="0"/>
          <w:sz w:val="21"/>
          <w:szCs w:val="21"/>
          <w:highlight w:val="none"/>
        </w:rPr>
        <w:t>（1）承包人未能按本合同约定的时间或发包人审核同意的设计进度各类计划要求各阶段提交的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pPr>
        <w:pStyle w:val="69"/>
        <w:adjustRightInd w:val="0"/>
        <w:snapToGrid w:val="0"/>
        <w:spacing w:line="360" w:lineRule="auto"/>
        <w:ind w:firstLine="424" w:firstLineChars="202"/>
        <w:rPr>
          <w:snapToGrid w:val="0"/>
          <w:sz w:val="21"/>
          <w:szCs w:val="21"/>
          <w:highlight w:val="none"/>
        </w:rPr>
      </w:pPr>
      <w:r>
        <w:rPr>
          <w:sz w:val="21"/>
          <w:szCs w:val="21"/>
          <w:highlight w:val="none"/>
        </w:rPr>
        <w:t>（2）本合同履行期间，承包人的</w:t>
      </w:r>
      <w:r>
        <w:rPr>
          <w:snapToGrid w:val="0"/>
          <w:sz w:val="21"/>
          <w:szCs w:val="21"/>
          <w:highlight w:val="none"/>
        </w:rPr>
        <w:t>设计质量</w:t>
      </w:r>
      <w:r>
        <w:rPr>
          <w:sz w:val="21"/>
          <w:szCs w:val="21"/>
          <w:highlight w:val="none"/>
        </w:rPr>
        <w:t>不符合合同约定或</w:t>
      </w:r>
      <w:r>
        <w:rPr>
          <w:snapToGrid w:val="0"/>
          <w:sz w:val="21"/>
          <w:szCs w:val="21"/>
          <w:highlight w:val="none"/>
        </w:rPr>
        <w:t>设计成果</w:t>
      </w:r>
      <w:r>
        <w:rPr>
          <w:sz w:val="21"/>
          <w:szCs w:val="21"/>
          <w:highlight w:val="none"/>
        </w:rPr>
        <w:t>文件出现遗漏、错误的，承包人应在发包人规定的限期内对</w:t>
      </w:r>
      <w:r>
        <w:rPr>
          <w:snapToGrid w:val="0"/>
          <w:sz w:val="21"/>
          <w:szCs w:val="21"/>
          <w:highlight w:val="none"/>
        </w:rPr>
        <w:t>设计</w:t>
      </w:r>
      <w:r>
        <w:rPr>
          <w:sz w:val="21"/>
          <w:szCs w:val="21"/>
          <w:highlight w:val="none"/>
        </w:rPr>
        <w:t>成果文件及时进行补充、修改、完善；因此造成</w:t>
      </w:r>
      <w:r>
        <w:rPr>
          <w:snapToGrid w:val="0"/>
          <w:sz w:val="21"/>
          <w:szCs w:val="21"/>
          <w:highlight w:val="none"/>
        </w:rPr>
        <w:t>设计成果</w:t>
      </w:r>
      <w:r>
        <w:rPr>
          <w:sz w:val="21"/>
          <w:szCs w:val="21"/>
          <w:highlight w:val="none"/>
        </w:rPr>
        <w:t>文件逾期交付的，按本合同条款第19.6款第</w:t>
      </w:r>
      <w:r>
        <w:rPr>
          <w:rFonts w:hint="eastAsia"/>
          <w:sz w:val="21"/>
          <w:szCs w:val="21"/>
          <w:highlight w:val="none"/>
        </w:rPr>
        <w:t>（</w:t>
      </w:r>
      <w:r>
        <w:rPr>
          <w:sz w:val="21"/>
          <w:szCs w:val="21"/>
          <w:highlight w:val="none"/>
        </w:rPr>
        <w:t>1</w:t>
      </w:r>
      <w:r>
        <w:rPr>
          <w:rFonts w:hint="eastAsia"/>
          <w:sz w:val="21"/>
          <w:szCs w:val="21"/>
          <w:highlight w:val="none"/>
        </w:rPr>
        <w:t>）</w:t>
      </w:r>
      <w:r>
        <w:rPr>
          <w:sz w:val="21"/>
          <w:szCs w:val="21"/>
          <w:highlight w:val="none"/>
        </w:rPr>
        <w:t>项的约定处理。</w:t>
      </w:r>
    </w:p>
    <w:p>
      <w:pPr>
        <w:pStyle w:val="69"/>
        <w:adjustRightInd w:val="0"/>
        <w:snapToGrid w:val="0"/>
        <w:spacing w:line="360" w:lineRule="auto"/>
        <w:ind w:firstLine="420" w:firstLineChars="200"/>
        <w:rPr>
          <w:snapToGrid w:val="0"/>
          <w:sz w:val="21"/>
          <w:szCs w:val="21"/>
          <w:highlight w:val="none"/>
        </w:rPr>
      </w:pPr>
      <w:r>
        <w:rPr>
          <w:sz w:val="21"/>
          <w:szCs w:val="21"/>
          <w:highlight w:val="none"/>
        </w:rPr>
        <w:t>（</w:t>
      </w:r>
      <w:r>
        <w:rPr>
          <w:snapToGrid w:val="0"/>
          <w:sz w:val="21"/>
          <w:szCs w:val="21"/>
          <w:highlight w:val="none"/>
        </w:rPr>
        <w:t>3）承包人提交的设计成果文件如有违反国家相关强制性规定的，经政府有关部门确认，每发生1例，承担严重违约责任1次。</w:t>
      </w:r>
    </w:p>
    <w:p>
      <w:pPr>
        <w:adjustRightInd w:val="0"/>
        <w:snapToGrid w:val="0"/>
        <w:spacing w:line="360" w:lineRule="auto"/>
        <w:ind w:firstLine="420" w:firstLineChars="200"/>
        <w:rPr>
          <w:snapToGrid w:val="0"/>
          <w:szCs w:val="21"/>
          <w:highlight w:val="none"/>
        </w:rPr>
      </w:pPr>
      <w:r>
        <w:rPr>
          <w:snapToGrid w:val="0"/>
          <w:szCs w:val="21"/>
          <w:highlight w:val="none"/>
        </w:rPr>
        <w:t>（4）如经过发包人或施工图审查单位或发包人委托的第三方对设计变更的审核，发现承包人违反合同约定对设计变更随意进行合并、分拆的，第一次时，承包人承担一般违约1次；第二次及以后，每违反一次，承包人承担严重违约责任1次。</w:t>
      </w:r>
    </w:p>
    <w:p>
      <w:pPr>
        <w:adjustRightInd w:val="0"/>
        <w:snapToGrid w:val="0"/>
        <w:spacing w:line="360" w:lineRule="auto"/>
        <w:ind w:firstLine="420" w:firstLineChars="200"/>
        <w:rPr>
          <w:snapToGrid w:val="0"/>
          <w:szCs w:val="21"/>
          <w:highlight w:val="none"/>
        </w:rPr>
      </w:pPr>
      <w:r>
        <w:rPr>
          <w:snapToGrid w:val="0"/>
          <w:szCs w:val="21"/>
          <w:highlight w:val="none"/>
        </w:rPr>
        <w:t>（5）如</w:t>
      </w:r>
      <w:r>
        <w:rPr>
          <w:snapToGrid w:val="0"/>
          <w:kern w:val="0"/>
          <w:szCs w:val="21"/>
          <w:highlight w:val="none"/>
        </w:rPr>
        <w:t>承包人的设计成果文件中含有明显倾向于某一专门厂商生产的设备、材料的描述，或</w:t>
      </w:r>
      <w:r>
        <w:rPr>
          <w:snapToGrid w:val="0"/>
          <w:szCs w:val="21"/>
          <w:highlight w:val="none"/>
        </w:rPr>
        <w:t>在其设计成果文件中选用了具有专一性、排他性的材料、设备而又未事先向甲书面报告并详细说明理由的，每违反一次，承包人承担严重违约责任1次。</w:t>
      </w:r>
    </w:p>
    <w:p>
      <w:pPr>
        <w:pStyle w:val="69"/>
        <w:adjustRightInd w:val="0"/>
        <w:snapToGrid w:val="0"/>
        <w:spacing w:line="360" w:lineRule="auto"/>
        <w:ind w:firstLine="420" w:firstLineChars="200"/>
        <w:rPr>
          <w:sz w:val="21"/>
          <w:szCs w:val="21"/>
          <w:highlight w:val="none"/>
        </w:rPr>
      </w:pPr>
      <w:r>
        <w:rPr>
          <w:snapToGrid w:val="0"/>
          <w:sz w:val="21"/>
          <w:szCs w:val="21"/>
          <w:highlight w:val="none"/>
        </w:rPr>
        <w:t>（6）非发包人原因造成设计变更并引起工程费用增加的，承包人应负责修改设计，保证工程总投资在投资控制指标内；造成实际发生的建安工程费增加的，参照本合同条款第19.5条第</w:t>
      </w:r>
      <w:r>
        <w:rPr>
          <w:rFonts w:hint="eastAsia"/>
          <w:snapToGrid w:val="0"/>
          <w:sz w:val="21"/>
          <w:szCs w:val="21"/>
          <w:highlight w:val="none"/>
        </w:rPr>
        <w:t>（6）</w:t>
      </w:r>
      <w:r>
        <w:rPr>
          <w:snapToGrid w:val="0"/>
          <w:sz w:val="21"/>
          <w:szCs w:val="21"/>
          <w:highlight w:val="none"/>
        </w:rPr>
        <w:t>项约定的计算方法确定违约金；</w:t>
      </w:r>
      <w:r>
        <w:rPr>
          <w:sz w:val="21"/>
          <w:szCs w:val="21"/>
          <w:highlight w:val="none"/>
        </w:rPr>
        <w:t>给发包人造成损失的，承包人应赔偿发包人的全部损失。</w:t>
      </w:r>
      <w:r>
        <w:rPr>
          <w:snapToGrid w:val="0"/>
          <w:sz w:val="21"/>
          <w:szCs w:val="21"/>
          <w:highlight w:val="none"/>
        </w:rPr>
        <w:t>因施工原因造成的设计变更及因本合同所述的因新规范、新标准及新规定所引起的设计变更除外。</w:t>
      </w:r>
    </w:p>
    <w:p>
      <w:pPr>
        <w:pStyle w:val="69"/>
        <w:adjustRightInd w:val="0"/>
        <w:snapToGrid w:val="0"/>
        <w:spacing w:line="360" w:lineRule="auto"/>
        <w:ind w:firstLine="315" w:firstLineChars="150"/>
        <w:rPr>
          <w:snapToGrid w:val="0"/>
          <w:sz w:val="21"/>
          <w:szCs w:val="21"/>
          <w:highlight w:val="none"/>
        </w:rPr>
      </w:pPr>
      <w:r>
        <w:rPr>
          <w:snapToGrid w:val="0"/>
          <w:sz w:val="21"/>
          <w:szCs w:val="21"/>
          <w:highlight w:val="none"/>
        </w:rPr>
        <w:t>（7）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sz w:val="21"/>
          <w:szCs w:val="21"/>
          <w:highlight w:val="none"/>
        </w:rPr>
        <w:t>19</w:t>
      </w:r>
      <w:r>
        <w:rPr>
          <w:rFonts w:hint="eastAsia"/>
          <w:bCs/>
          <w:snapToGrid w:val="0"/>
          <w:sz w:val="21"/>
          <w:szCs w:val="21"/>
          <w:highlight w:val="none"/>
        </w:rPr>
        <w:t>.</w:t>
      </w:r>
      <w:r>
        <w:rPr>
          <w:bCs/>
          <w:snapToGrid w:val="0"/>
          <w:sz w:val="21"/>
          <w:szCs w:val="21"/>
          <w:highlight w:val="none"/>
        </w:rPr>
        <w:t>6</w:t>
      </w:r>
      <w:r>
        <w:rPr>
          <w:rFonts w:hint="eastAsia"/>
          <w:bCs/>
          <w:snapToGrid w:val="0"/>
          <w:sz w:val="21"/>
          <w:szCs w:val="21"/>
          <w:highlight w:val="none"/>
        </w:rPr>
        <w:t>款第</w:t>
      </w:r>
      <w:r>
        <w:rPr>
          <w:bCs/>
          <w:snapToGrid w:val="0"/>
          <w:sz w:val="21"/>
          <w:szCs w:val="21"/>
          <w:highlight w:val="none"/>
        </w:rPr>
        <w:t>（3）</w:t>
      </w:r>
      <w:r>
        <w:rPr>
          <w:snapToGrid w:val="0"/>
          <w:sz w:val="21"/>
          <w:szCs w:val="21"/>
          <w:highlight w:val="none"/>
        </w:rPr>
        <w:t>条的相关约定执行。</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19.7</w:t>
      </w:r>
      <w:r>
        <w:rPr>
          <w:snapToGrid w:val="0"/>
          <w:sz w:val="21"/>
          <w:szCs w:val="21"/>
          <w:highlight w:val="none"/>
        </w:rPr>
        <w:t>投资控制方面的违约责任：</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w:t>
      </w:r>
      <w:r>
        <w:rPr>
          <w:rFonts w:hint="eastAsia"/>
          <w:snapToGrid w:val="0"/>
          <w:sz w:val="21"/>
          <w:szCs w:val="21"/>
          <w:highlight w:val="none"/>
        </w:rPr>
        <w:t>（6）</w:t>
      </w:r>
      <w:r>
        <w:rPr>
          <w:snapToGrid w:val="0"/>
          <w:sz w:val="21"/>
          <w:szCs w:val="21"/>
          <w:highlight w:val="none"/>
        </w:rPr>
        <w:t>项约定，承包人应继续赔偿</w:t>
      </w:r>
      <w:r>
        <w:rPr>
          <w:sz w:val="21"/>
          <w:szCs w:val="21"/>
          <w:highlight w:val="none"/>
        </w:rPr>
        <w:t>。</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（2）如因</w:t>
      </w:r>
      <w:r>
        <w:rPr>
          <w:bCs/>
          <w:snapToGrid w:val="0"/>
          <w:sz w:val="21"/>
          <w:szCs w:val="21"/>
          <w:highlight w:val="none"/>
        </w:rPr>
        <w:t>承包人提供的成果文件的缺陷及不完整、初步设计成果文件深度不够等原因导致发包人另外发包的专项施工图设计无法满足投资控制的要求，承包人应及时完善、修改相关的设计成果文件；</w:t>
      </w:r>
      <w:r>
        <w:rPr>
          <w:snapToGrid w:val="0"/>
          <w:sz w:val="21"/>
          <w:szCs w:val="21"/>
          <w:highlight w:val="none"/>
        </w:rPr>
        <w:t>造成实际发生的建安工程费增加的，参照本合同条款第19.5条第</w:t>
      </w:r>
      <w:r>
        <w:rPr>
          <w:rFonts w:hint="eastAsia"/>
          <w:snapToGrid w:val="0"/>
          <w:sz w:val="21"/>
          <w:szCs w:val="21"/>
          <w:highlight w:val="none"/>
        </w:rPr>
        <w:t>（6）</w:t>
      </w:r>
      <w:r>
        <w:rPr>
          <w:snapToGrid w:val="0"/>
          <w:sz w:val="21"/>
          <w:szCs w:val="21"/>
          <w:highlight w:val="none"/>
        </w:rPr>
        <w:t>项约定的计算方法确定违约金；</w:t>
      </w:r>
      <w:r>
        <w:rPr>
          <w:sz w:val="21"/>
          <w:szCs w:val="21"/>
          <w:highlight w:val="none"/>
        </w:rPr>
        <w:t>给发包人造成损失的，承包人应赔偿发包人的全部损失。</w:t>
      </w:r>
    </w:p>
    <w:p>
      <w:pPr>
        <w:pStyle w:val="69"/>
        <w:adjustRightInd w:val="0"/>
        <w:snapToGrid w:val="0"/>
        <w:spacing w:line="360" w:lineRule="auto"/>
        <w:ind w:firstLine="420" w:firstLineChars="200"/>
        <w:rPr>
          <w:sz w:val="21"/>
          <w:szCs w:val="21"/>
          <w:highlight w:val="none"/>
        </w:rPr>
      </w:pPr>
      <w:r>
        <w:rPr>
          <w:snapToGrid w:val="0"/>
          <w:sz w:val="21"/>
          <w:szCs w:val="21"/>
          <w:highlight w:val="none"/>
        </w:rPr>
        <w:t>（3）因承包人对设计变更随意进行合并、分拆导致</w:t>
      </w:r>
      <w:r>
        <w:rPr>
          <w:sz w:val="21"/>
          <w:szCs w:val="21"/>
          <w:highlight w:val="none"/>
        </w:rPr>
        <w:t>本合同工程投资失控，</w:t>
      </w:r>
      <w:r>
        <w:rPr>
          <w:snapToGrid w:val="0"/>
          <w:sz w:val="21"/>
          <w:szCs w:val="21"/>
          <w:highlight w:val="none"/>
        </w:rPr>
        <w:t>造成实际发生的建安工程费增加的，参照本合同条款第19.5条第（6）项约定的计算方法确定违约金；</w:t>
      </w:r>
      <w:r>
        <w:rPr>
          <w:sz w:val="21"/>
          <w:szCs w:val="21"/>
          <w:highlight w:val="none"/>
        </w:rPr>
        <w:t>给发包人造成损失的，承包人应赔偿发包人的全部损失。</w:t>
      </w:r>
    </w:p>
    <w:p>
      <w:pPr>
        <w:pStyle w:val="69"/>
        <w:adjustRightInd w:val="0"/>
        <w:snapToGrid w:val="0"/>
        <w:spacing w:line="360" w:lineRule="auto"/>
        <w:ind w:firstLine="420" w:firstLineChars="200"/>
        <w:rPr>
          <w:sz w:val="21"/>
          <w:szCs w:val="21"/>
          <w:highlight w:val="none"/>
        </w:rPr>
      </w:pPr>
      <w:r>
        <w:rPr>
          <w:sz w:val="21"/>
          <w:szCs w:val="21"/>
          <w:highlight w:val="none"/>
        </w:rPr>
        <w:t>（4）如承包人对施工过程中因图纸会审、设计变更等引起造价变化不及时出具投资控制预算报告的，导致本合同工程投资失控、施工进度滞后的，</w:t>
      </w:r>
      <w:r>
        <w:rPr>
          <w:snapToGrid w:val="0"/>
          <w:sz w:val="21"/>
          <w:szCs w:val="21"/>
          <w:highlight w:val="none"/>
        </w:rPr>
        <w:t>参照本合同条款第19.5条第（6）项约定的计算方法确定违约金；</w:t>
      </w:r>
      <w:r>
        <w:rPr>
          <w:sz w:val="21"/>
          <w:szCs w:val="21"/>
          <w:highlight w:val="none"/>
        </w:rPr>
        <w:t>给发包人造成损失的，承包人应赔偿发包人的全部损失。</w:t>
      </w:r>
    </w:p>
    <w:p>
      <w:pPr>
        <w:pStyle w:val="69"/>
        <w:adjustRightInd w:val="0"/>
        <w:snapToGrid w:val="0"/>
        <w:spacing w:line="360" w:lineRule="auto"/>
        <w:ind w:firstLine="422" w:firstLineChars="200"/>
        <w:rPr>
          <w:b/>
          <w:sz w:val="21"/>
          <w:szCs w:val="21"/>
          <w:highlight w:val="none"/>
        </w:rPr>
      </w:pPr>
      <w:r>
        <w:rPr>
          <w:b/>
          <w:sz w:val="21"/>
          <w:szCs w:val="21"/>
          <w:highlight w:val="none"/>
        </w:rPr>
        <w:t>19.8 预算编制及招标备案服务的违约责任</w:t>
      </w:r>
    </w:p>
    <w:p>
      <w:pPr>
        <w:adjustRightInd w:val="0"/>
        <w:snapToGrid w:val="0"/>
        <w:spacing w:line="360" w:lineRule="auto"/>
        <w:ind w:firstLine="420" w:firstLineChars="200"/>
        <w:rPr>
          <w:szCs w:val="21"/>
          <w:highlight w:val="none"/>
        </w:rPr>
      </w:pPr>
      <w:r>
        <w:rPr>
          <w:szCs w:val="21"/>
          <w:highlight w:val="none"/>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19.5条第</w:t>
      </w:r>
      <w:r>
        <w:rPr>
          <w:snapToGrid w:val="0"/>
          <w:szCs w:val="21"/>
          <w:highlight w:val="none"/>
        </w:rPr>
        <w:t>（6）</w:t>
      </w:r>
      <w:r>
        <w:rPr>
          <w:szCs w:val="21"/>
          <w:highlight w:val="none"/>
        </w:rPr>
        <w:t>项约定的计算方法确定违约金；给发包人造成损失的，承包人应赔偿发包人的全部损失。</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19.9</w:t>
      </w:r>
      <w:r>
        <w:rPr>
          <w:snapToGrid w:val="0"/>
          <w:sz w:val="21"/>
          <w:szCs w:val="21"/>
          <w:highlight w:val="none"/>
        </w:rPr>
        <w:t>设计分包、转包、违法分包方面的违约责任</w:t>
      </w:r>
    </w:p>
    <w:p>
      <w:pPr>
        <w:adjustRightInd w:val="0"/>
        <w:snapToGrid w:val="0"/>
        <w:spacing w:line="360" w:lineRule="auto"/>
        <w:ind w:firstLine="420" w:firstLineChars="200"/>
        <w:rPr>
          <w:snapToGrid w:val="0"/>
          <w:kern w:val="0"/>
          <w:szCs w:val="21"/>
          <w:highlight w:val="none"/>
        </w:rPr>
      </w:pPr>
      <w:r>
        <w:rPr>
          <w:snapToGrid w:val="0"/>
          <w:kern w:val="0"/>
          <w:szCs w:val="21"/>
          <w:highlight w:val="none"/>
        </w:rPr>
        <w:t>（1）承包人转包本合同工程设计或者违反法律法规及本合同约定转包本合同工程设计的，发包人有权单方面部分解除合同或解除合同，并由承包人承担由此产生的一切责任及损失。</w:t>
      </w:r>
      <w:r>
        <w:rPr>
          <w:snapToGrid w:val="0"/>
          <w:szCs w:val="21"/>
          <w:highlight w:val="none"/>
        </w:rPr>
        <w:t>承包人把本项目转包给其他单位或个人，或者承包人允许其他单位或个人以承包人的名义来承包本项目，承包人承担重要违约责任，并赔偿发包人的损失，</w:t>
      </w:r>
      <w:r>
        <w:rPr>
          <w:bCs/>
          <w:snapToGrid w:val="0"/>
          <w:szCs w:val="21"/>
          <w:highlight w:val="none"/>
        </w:rPr>
        <w:t>发包人有权单方面部分解除合同或解除合同</w:t>
      </w:r>
      <w:r>
        <w:rPr>
          <w:snapToGrid w:val="0"/>
          <w:szCs w:val="21"/>
          <w:highlight w:val="none"/>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（2）如承包人不具备承接任务所需要的专业技能和资质，应当自行完成本项目主体的设计业务，并在保证整个建筑工程项目完整性的前提下，经发包方同意，可将其他部分专业设计业务依法分包。</w:t>
      </w:r>
    </w:p>
    <w:p>
      <w:pPr>
        <w:pStyle w:val="69"/>
        <w:adjustRightInd w:val="0"/>
        <w:snapToGrid w:val="0"/>
        <w:spacing w:line="360" w:lineRule="auto"/>
        <w:ind w:firstLine="422" w:firstLineChars="200"/>
        <w:rPr>
          <w:snapToGrid w:val="0"/>
          <w:sz w:val="21"/>
          <w:szCs w:val="21"/>
          <w:highlight w:val="none"/>
        </w:rPr>
      </w:pPr>
      <w:r>
        <w:rPr>
          <w:b/>
          <w:bCs/>
          <w:snapToGrid w:val="0"/>
          <w:sz w:val="21"/>
          <w:szCs w:val="21"/>
          <w:highlight w:val="none"/>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19.10</w:t>
      </w:r>
      <w:r>
        <w:rPr>
          <w:bCs/>
          <w:snapToGrid w:val="0"/>
          <w:sz w:val="21"/>
          <w:szCs w:val="21"/>
          <w:highlight w:val="none"/>
        </w:rPr>
        <w:t>除上述约定之外，承包人不履行或不完全履行合同其他义务的，均构成违约，应当承担一般违约责任1次。情节较重的，应当承担严重违约责任1次。</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19.11</w:t>
      </w:r>
      <w:r>
        <w:rPr>
          <w:snapToGrid w:val="0"/>
          <w:sz w:val="21"/>
          <w:szCs w:val="21"/>
          <w:highlight w:val="none"/>
        </w:rPr>
        <w:t>承包人违约责任的认定方式及送达程序：</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（1）认定方式：以发包人发出的通知、通报、会议纪要等书面文件确定的内容为准。</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（2）送达程序：发包人以下列方式之一将书面违约处理决定送达承包人：</w:t>
      </w:r>
    </w:p>
    <w:p>
      <w:pPr>
        <w:pStyle w:val="69"/>
        <w:adjustRightInd w:val="0"/>
        <w:snapToGrid w:val="0"/>
        <w:spacing w:line="360" w:lineRule="auto"/>
        <w:ind w:left="210" w:leftChars="100" w:firstLine="420" w:firstLineChars="200"/>
        <w:rPr>
          <w:snapToGrid w:val="0"/>
          <w:sz w:val="21"/>
          <w:szCs w:val="21"/>
          <w:highlight w:val="none"/>
        </w:rPr>
      </w:pPr>
      <w:r>
        <w:rPr>
          <w:snapToGrid w:val="0"/>
          <w:sz w:val="21"/>
          <w:szCs w:val="21"/>
          <w:highlight w:val="none"/>
        </w:rPr>
        <w:t>1）承包人现场管理机构工作人员签收。</w:t>
      </w:r>
    </w:p>
    <w:p>
      <w:pPr>
        <w:pStyle w:val="69"/>
        <w:adjustRightInd w:val="0"/>
        <w:snapToGrid w:val="0"/>
        <w:spacing w:line="360" w:lineRule="auto"/>
        <w:ind w:left="210" w:leftChars="100" w:firstLine="420" w:firstLineChars="200"/>
        <w:rPr>
          <w:snapToGrid w:val="0"/>
          <w:sz w:val="21"/>
          <w:szCs w:val="21"/>
          <w:highlight w:val="none"/>
        </w:rPr>
      </w:pPr>
      <w:r>
        <w:rPr>
          <w:snapToGrid w:val="0"/>
          <w:sz w:val="21"/>
          <w:szCs w:val="21"/>
          <w:highlight w:val="none"/>
        </w:rPr>
        <w:t>2）承包人其他工作人员签收。</w:t>
      </w:r>
    </w:p>
    <w:p>
      <w:pPr>
        <w:pStyle w:val="69"/>
        <w:adjustRightInd w:val="0"/>
        <w:snapToGrid w:val="0"/>
        <w:spacing w:line="360" w:lineRule="auto"/>
        <w:ind w:left="210" w:leftChars="100" w:firstLine="420" w:firstLineChars="200"/>
        <w:rPr>
          <w:snapToGrid w:val="0"/>
          <w:sz w:val="21"/>
          <w:szCs w:val="21"/>
          <w:highlight w:val="none"/>
        </w:rPr>
      </w:pPr>
      <w:r>
        <w:rPr>
          <w:snapToGrid w:val="0"/>
          <w:sz w:val="21"/>
          <w:szCs w:val="21"/>
          <w:highlight w:val="none"/>
        </w:rPr>
        <w:t>3）发包人邮寄送达。</w:t>
      </w:r>
    </w:p>
    <w:p>
      <w:pPr>
        <w:pStyle w:val="69"/>
        <w:adjustRightInd w:val="0"/>
        <w:snapToGrid w:val="0"/>
        <w:spacing w:line="360" w:lineRule="auto"/>
        <w:ind w:firstLine="420" w:firstLineChars="200"/>
        <w:rPr>
          <w:snapToGrid w:val="0"/>
          <w:sz w:val="21"/>
          <w:szCs w:val="21"/>
          <w:highlight w:val="none"/>
        </w:rPr>
      </w:pPr>
      <w:r>
        <w:rPr>
          <w:snapToGrid w:val="0"/>
          <w:sz w:val="21"/>
          <w:szCs w:val="21"/>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19</w:t>
      </w:r>
      <w:r>
        <w:rPr>
          <w:rFonts w:hint="eastAsia"/>
          <w:b/>
          <w:snapToGrid w:val="0"/>
          <w:sz w:val="21"/>
          <w:szCs w:val="21"/>
          <w:highlight w:val="none"/>
        </w:rPr>
        <w:t>.12</w:t>
      </w:r>
      <w:r>
        <w:rPr>
          <w:rFonts w:hint="eastAsia"/>
          <w:snapToGrid w:val="0"/>
          <w:sz w:val="21"/>
          <w:szCs w:val="21"/>
          <w:highlight w:val="none"/>
        </w:rPr>
        <w:t xml:space="preserve"> </w:t>
      </w:r>
      <w:r>
        <w:rPr>
          <w:rFonts w:hint="eastAsia"/>
          <w:b/>
          <w:snapToGrid w:val="0"/>
          <w:sz w:val="21"/>
          <w:szCs w:val="21"/>
          <w:highlight w:val="none"/>
        </w:rPr>
        <w:t>其它</w:t>
      </w:r>
      <w:r>
        <w:rPr>
          <w:rFonts w:hint="eastAsia"/>
          <w:snapToGrid w:val="0"/>
          <w:sz w:val="21"/>
          <w:szCs w:val="21"/>
          <w:highlight w:val="none"/>
        </w:rPr>
        <w:t xml:space="preserve"> </w:t>
      </w:r>
    </w:p>
    <w:p>
      <w:pPr>
        <w:pStyle w:val="69"/>
        <w:adjustRightInd w:val="0"/>
        <w:snapToGrid w:val="0"/>
        <w:spacing w:line="360" w:lineRule="auto"/>
        <w:ind w:firstLine="422" w:firstLineChars="200"/>
        <w:rPr>
          <w:snapToGrid w:val="0"/>
          <w:sz w:val="21"/>
          <w:szCs w:val="21"/>
          <w:highlight w:val="none"/>
        </w:rPr>
      </w:pPr>
      <w:r>
        <w:rPr>
          <w:rFonts w:hint="eastAsia" w:cs="宋体"/>
          <w:b/>
          <w:snapToGrid w:val="0"/>
          <w:sz w:val="21"/>
          <w:szCs w:val="21"/>
          <w:highlight w:val="none"/>
        </w:rPr>
        <w:t>违约责任扣减，如非承包人原因造成的费用扣减，经甲方审批同意后，可免责扣罚，最终以甲方审批意见为准。</w:t>
      </w:r>
    </w:p>
    <w:p>
      <w:pPr>
        <w:pStyle w:val="8"/>
        <w:spacing w:line="360" w:lineRule="auto"/>
        <w:ind w:firstLineChars="0"/>
        <w:rPr>
          <w:snapToGrid w:val="0"/>
          <w:kern w:val="0"/>
          <w:szCs w:val="21"/>
          <w:highlight w:val="none"/>
        </w:rPr>
      </w:pPr>
    </w:p>
    <w:p>
      <w:pPr>
        <w:adjustRightInd w:val="0"/>
        <w:snapToGrid w:val="0"/>
        <w:spacing w:before="156" w:beforeLines="50"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一</w:t>
      </w:r>
      <w:r>
        <w:rPr>
          <w:b/>
          <w:snapToGrid w:val="0"/>
          <w:kern w:val="0"/>
          <w:sz w:val="28"/>
          <w:szCs w:val="28"/>
          <w:highlight w:val="none"/>
        </w:rPr>
        <w:t>章  索赔</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20、索赔</w:t>
      </w:r>
    </w:p>
    <w:p>
      <w:pPr>
        <w:adjustRightInd w:val="0"/>
        <w:snapToGrid w:val="0"/>
        <w:spacing w:line="360" w:lineRule="auto"/>
        <w:ind w:firstLine="411" w:firstLineChars="196"/>
        <w:rPr>
          <w:snapToGrid w:val="0"/>
          <w:kern w:val="0"/>
          <w:szCs w:val="21"/>
          <w:highlight w:val="none"/>
        </w:rPr>
      </w:pPr>
      <w:r>
        <w:rPr>
          <w:snapToGrid w:val="0"/>
          <w:kern w:val="0"/>
          <w:szCs w:val="21"/>
          <w:highlight w:val="none"/>
          <w:lang w:val="zh-CN"/>
        </w:rPr>
        <w:t>承包人未能按合同约定履行自己的各项义务或发生错误，发包人按</w:t>
      </w:r>
      <w:r>
        <w:rPr>
          <w:snapToGrid w:val="0"/>
          <w:kern w:val="0"/>
          <w:szCs w:val="21"/>
          <w:highlight w:val="none"/>
        </w:rPr>
        <w:t>如下约定向承包人索赔：</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（1）发包人将自己的索赔意向书面通知承包人，并要求承包人在限期内纠正自己的违约行为，否则，发包人将考虑启用履约保函。</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（2）限期届满，承包人没有采取纠正行为或者纠正行为不能使发包人满意的，发包人将索赔意向书面通知</w:t>
      </w:r>
      <w:r>
        <w:rPr>
          <w:rFonts w:hint="eastAsia"/>
          <w:snapToGrid w:val="0"/>
          <w:kern w:val="0"/>
          <w:szCs w:val="21"/>
          <w:highlight w:val="none"/>
        </w:rPr>
        <w:t>承包人的</w:t>
      </w:r>
      <w:r>
        <w:rPr>
          <w:snapToGrid w:val="0"/>
          <w:kern w:val="0"/>
          <w:szCs w:val="21"/>
          <w:highlight w:val="none"/>
        </w:rPr>
        <w:t>保函出函银行。</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（4）如果通过向银行索赔的方式依然不能完全弥补发包人的损失，则发包人有权在应支付给承包人的设计费中直接扣取。同时发包人有权要求承包人在规定时间内</w:t>
      </w:r>
      <w:r>
        <w:rPr>
          <w:rFonts w:hint="eastAsia"/>
          <w:snapToGrid w:val="0"/>
          <w:kern w:val="0"/>
          <w:szCs w:val="21"/>
          <w:highlight w:val="none"/>
        </w:rPr>
        <w:t>向</w:t>
      </w:r>
      <w:r>
        <w:rPr>
          <w:snapToGrid w:val="0"/>
          <w:kern w:val="0"/>
          <w:szCs w:val="21"/>
          <w:highlight w:val="none"/>
        </w:rPr>
        <w:t>发包人补充提交履约保函。</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（5）如果通过向银行索赔以及直接扣取设计费等方式依然不能完全弥补发包人损失的，承包人必须在发包人规定的时间内以现金形式支付剩余索赔额。</w:t>
      </w:r>
    </w:p>
    <w:p>
      <w:pPr>
        <w:adjustRightInd w:val="0"/>
        <w:snapToGrid w:val="0"/>
        <w:spacing w:line="360" w:lineRule="auto"/>
        <w:ind w:firstLine="480"/>
        <w:rPr>
          <w:snapToGrid w:val="0"/>
          <w:kern w:val="0"/>
          <w:szCs w:val="21"/>
          <w:highlight w:val="none"/>
        </w:rPr>
      </w:pPr>
      <w:r>
        <w:rPr>
          <w:b/>
          <w:snapToGrid w:val="0"/>
          <w:kern w:val="0"/>
          <w:szCs w:val="21"/>
          <w:highlight w:val="none"/>
        </w:rPr>
        <w:t>21、</w:t>
      </w:r>
      <w:r>
        <w:rPr>
          <w:snapToGrid w:val="0"/>
          <w:kern w:val="0"/>
          <w:szCs w:val="21"/>
          <w:highlight w:val="none"/>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pPr>
        <w:adjustRightInd w:val="0"/>
        <w:snapToGrid w:val="0"/>
        <w:spacing w:before="156" w:beforeLines="50" w:after="156" w:afterLines="50"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二</w:t>
      </w:r>
      <w:r>
        <w:rPr>
          <w:b/>
          <w:snapToGrid w:val="0"/>
          <w:kern w:val="0"/>
          <w:sz w:val="28"/>
          <w:szCs w:val="28"/>
          <w:highlight w:val="none"/>
        </w:rPr>
        <w:t>章  保险与担保</w:t>
      </w:r>
    </w:p>
    <w:p>
      <w:pPr>
        <w:adjustRightInd w:val="0"/>
        <w:snapToGrid w:val="0"/>
        <w:spacing w:line="360" w:lineRule="auto"/>
        <w:ind w:right="11" w:firstLine="405" w:firstLineChars="192"/>
        <w:rPr>
          <w:b/>
          <w:bCs/>
          <w:snapToGrid w:val="0"/>
          <w:kern w:val="0"/>
          <w:szCs w:val="21"/>
          <w:highlight w:val="none"/>
        </w:rPr>
      </w:pPr>
      <w:r>
        <w:rPr>
          <w:b/>
          <w:bCs/>
          <w:snapToGrid w:val="0"/>
          <w:kern w:val="0"/>
          <w:szCs w:val="21"/>
          <w:highlight w:val="none"/>
        </w:rPr>
        <w:t>22、保险与担保</w:t>
      </w:r>
    </w:p>
    <w:p>
      <w:pPr>
        <w:adjustRightInd w:val="0"/>
        <w:snapToGrid w:val="0"/>
        <w:spacing w:line="360" w:lineRule="auto"/>
        <w:ind w:right="11" w:firstLine="405" w:firstLineChars="192"/>
        <w:rPr>
          <w:bCs/>
          <w:snapToGrid w:val="0"/>
          <w:kern w:val="0"/>
          <w:szCs w:val="21"/>
          <w:highlight w:val="none"/>
        </w:rPr>
      </w:pPr>
      <w:r>
        <w:rPr>
          <w:b/>
          <w:bCs/>
          <w:snapToGrid w:val="0"/>
          <w:kern w:val="0"/>
          <w:szCs w:val="21"/>
          <w:highlight w:val="none"/>
        </w:rPr>
        <w:t>22.1</w:t>
      </w:r>
      <w:r>
        <w:rPr>
          <w:bCs/>
          <w:snapToGrid w:val="0"/>
          <w:kern w:val="0"/>
          <w:szCs w:val="21"/>
          <w:highlight w:val="none"/>
        </w:rPr>
        <w:t>双方约定，承包人按照如下约定向发包人提供设计责任保险文件：</w:t>
      </w:r>
    </w:p>
    <w:p>
      <w:pPr>
        <w:adjustRightInd w:val="0"/>
        <w:snapToGrid w:val="0"/>
        <w:spacing w:line="360" w:lineRule="auto"/>
        <w:ind w:right="11" w:firstLine="403" w:firstLineChars="192"/>
        <w:rPr>
          <w:snapToGrid w:val="0"/>
          <w:kern w:val="0"/>
          <w:szCs w:val="21"/>
          <w:highlight w:val="none"/>
        </w:rPr>
      </w:pPr>
      <w:r>
        <w:rPr>
          <w:snapToGrid w:val="0"/>
          <w:kern w:val="0"/>
          <w:szCs w:val="21"/>
          <w:highlight w:val="none"/>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pPr>
        <w:adjustRightInd w:val="0"/>
        <w:snapToGrid w:val="0"/>
        <w:spacing w:line="360" w:lineRule="auto"/>
        <w:ind w:right="11" w:firstLine="405" w:firstLineChars="192"/>
        <w:rPr>
          <w:bCs/>
          <w:snapToGrid w:val="0"/>
          <w:kern w:val="0"/>
          <w:szCs w:val="21"/>
          <w:highlight w:val="none"/>
        </w:rPr>
      </w:pPr>
      <w:r>
        <w:rPr>
          <w:b/>
          <w:bCs/>
          <w:snapToGrid w:val="0"/>
          <w:kern w:val="0"/>
          <w:szCs w:val="21"/>
          <w:highlight w:val="none"/>
        </w:rPr>
        <w:t>22.2</w:t>
      </w:r>
      <w:r>
        <w:rPr>
          <w:bCs/>
          <w:snapToGrid w:val="0"/>
          <w:kern w:val="0"/>
          <w:szCs w:val="21"/>
          <w:highlight w:val="none"/>
        </w:rPr>
        <w:t>双方约定，承包人按照如下约定向发包人提供履约担保文件：</w:t>
      </w:r>
    </w:p>
    <w:p>
      <w:pPr>
        <w:adjustRightInd w:val="0"/>
        <w:snapToGrid w:val="0"/>
        <w:spacing w:line="360" w:lineRule="auto"/>
        <w:ind w:right="11"/>
        <w:rPr>
          <w:snapToGrid w:val="0"/>
          <w:kern w:val="0"/>
          <w:szCs w:val="21"/>
          <w:highlight w:val="none"/>
        </w:rPr>
      </w:pPr>
      <w:r>
        <w:rPr>
          <w:snapToGrid w:val="0"/>
          <w:kern w:val="0"/>
          <w:szCs w:val="21"/>
          <w:highlight w:val="none"/>
        </w:rPr>
        <w:t xml:space="preserve">    （一）承包人提供履约担保</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1、履约担保的金额：</w:t>
      </w:r>
      <w:r>
        <w:rPr>
          <w:rFonts w:hint="eastAsia"/>
          <w:snapToGrid w:val="0"/>
          <w:kern w:val="0"/>
          <w:szCs w:val="21"/>
          <w:highlight w:val="none"/>
        </w:rPr>
        <w:t>按设计中标价</w:t>
      </w:r>
      <w:r>
        <w:rPr>
          <w:snapToGrid w:val="0"/>
          <w:kern w:val="0"/>
          <w:szCs w:val="21"/>
          <w:highlight w:val="none"/>
        </w:rPr>
        <w:t>金额的10%。</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2、担保形式：以银行保函的形式提交。</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3、履约担保的提交时间：发包人发出中标通知书后15日内。</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4、出具履约银行保函的银行：应为在中国注册且营业地点在广州行政辖区内的分行或以上级别的银行。</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w:t>
      </w:r>
      <w:r>
        <w:rPr>
          <w:rFonts w:hint="eastAsia"/>
          <w:snapToGrid w:val="0"/>
          <w:kern w:val="0"/>
          <w:szCs w:val="21"/>
          <w:highlight w:val="none"/>
        </w:rPr>
        <w:t>二</w:t>
      </w:r>
      <w:r>
        <w:rPr>
          <w:snapToGrid w:val="0"/>
          <w:kern w:val="0"/>
          <w:szCs w:val="21"/>
          <w:highlight w:val="none"/>
        </w:rPr>
        <w:t>）履约银行保函使用流程</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3、履约担保的启用条件</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当出现下列情形时，发包人有权启用履约担保：</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（1）如果承包人不能保证项目资金的投入导致本项目进度比约定的节点工期滞后30天以上或因承包人原因解除本协议，则发包人有权启用履约担保，用于项目</w:t>
      </w:r>
      <w:r>
        <w:rPr>
          <w:b/>
          <w:bCs/>
          <w:snapToGrid w:val="0"/>
          <w:kern w:val="0"/>
          <w:szCs w:val="21"/>
          <w:highlight w:val="none"/>
        </w:rPr>
        <w:t>违约金</w:t>
      </w:r>
      <w:r>
        <w:rPr>
          <w:snapToGrid w:val="0"/>
          <w:kern w:val="0"/>
          <w:szCs w:val="21"/>
          <w:highlight w:val="none"/>
        </w:rPr>
        <w:t>；</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（2）因承包人原因（包括但不限于未按期向专业分包设计单位支付相关款项等引发与第三方的纠纷，导致本项目或发包人受到影响或损失；</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（3）因承包人违约计扣的违约金或赔偿金累计超过应付服务费用总额；</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（4）本协议（含本协议附件）约定的其他部分或全部需要启动履约担保的情形。</w:t>
      </w:r>
    </w:p>
    <w:p>
      <w:pPr>
        <w:adjustRightInd w:val="0"/>
        <w:snapToGrid w:val="0"/>
        <w:spacing w:line="360" w:lineRule="auto"/>
        <w:ind w:right="11" w:firstLine="420" w:firstLineChars="200"/>
        <w:rPr>
          <w:snapToGrid w:val="0"/>
          <w:kern w:val="0"/>
          <w:szCs w:val="21"/>
          <w:highlight w:val="none"/>
        </w:rPr>
      </w:pPr>
      <w:r>
        <w:rPr>
          <w:snapToGrid w:val="0"/>
          <w:kern w:val="0"/>
          <w:szCs w:val="21"/>
          <w:highlight w:val="none"/>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pPr>
        <w:adjustRightInd w:val="0"/>
        <w:snapToGrid w:val="0"/>
        <w:spacing w:line="360" w:lineRule="auto"/>
        <w:ind w:right="11" w:firstLine="422" w:firstLineChars="200"/>
        <w:rPr>
          <w:snapToGrid w:val="0"/>
          <w:kern w:val="0"/>
          <w:szCs w:val="21"/>
          <w:highlight w:val="none"/>
        </w:rPr>
      </w:pPr>
      <w:r>
        <w:rPr>
          <w:b/>
          <w:snapToGrid w:val="0"/>
          <w:kern w:val="0"/>
          <w:szCs w:val="21"/>
          <w:highlight w:val="none"/>
        </w:rPr>
        <w:t>22.3</w:t>
      </w:r>
      <w:r>
        <w:rPr>
          <w:snapToGrid w:val="0"/>
          <w:kern w:val="0"/>
          <w:szCs w:val="21"/>
          <w:highlight w:val="none"/>
        </w:rPr>
        <w:t>如果承包人不按发包人的要求提交提交保险单、履约保函的，视为违约，则发包人有权部分解除或解除本合同。</w:t>
      </w:r>
    </w:p>
    <w:p>
      <w:pPr>
        <w:adjustRightInd w:val="0"/>
        <w:snapToGrid w:val="0"/>
        <w:spacing w:line="360" w:lineRule="auto"/>
        <w:ind w:right="11" w:firstLine="422" w:firstLineChars="200"/>
        <w:rPr>
          <w:snapToGrid w:val="0"/>
          <w:kern w:val="0"/>
          <w:szCs w:val="21"/>
          <w:highlight w:val="none"/>
        </w:rPr>
      </w:pPr>
      <w:r>
        <w:rPr>
          <w:b/>
          <w:snapToGrid w:val="0"/>
          <w:kern w:val="0"/>
          <w:szCs w:val="21"/>
          <w:highlight w:val="none"/>
        </w:rPr>
        <w:t>22.4</w:t>
      </w:r>
      <w:r>
        <w:rPr>
          <w:snapToGrid w:val="0"/>
          <w:kern w:val="0"/>
          <w:szCs w:val="21"/>
          <w:highlight w:val="none"/>
        </w:rPr>
        <w:t>履约担保到期后，承包人应当续期，发生承包人违约，发包人有权在发包人当期应支付服务费中扣除相应违约款项。</w:t>
      </w:r>
    </w:p>
    <w:p>
      <w:pPr>
        <w:adjustRightInd w:val="0"/>
        <w:snapToGrid w:val="0"/>
        <w:spacing w:line="360" w:lineRule="auto"/>
        <w:ind w:right="11" w:firstLine="422" w:firstLineChars="200"/>
        <w:rPr>
          <w:snapToGrid w:val="0"/>
          <w:kern w:val="0"/>
          <w:szCs w:val="21"/>
          <w:highlight w:val="none"/>
        </w:rPr>
      </w:pPr>
      <w:r>
        <w:rPr>
          <w:b/>
          <w:snapToGrid w:val="0"/>
          <w:kern w:val="0"/>
          <w:szCs w:val="21"/>
          <w:highlight w:val="none"/>
        </w:rPr>
        <w:t xml:space="preserve">22.5 </w:t>
      </w:r>
      <w:r>
        <w:rPr>
          <w:snapToGrid w:val="0"/>
          <w:spacing w:val="-4"/>
          <w:kern w:val="0"/>
          <w:szCs w:val="21"/>
          <w:highlight w:val="none"/>
          <w:lang w:val="zh-CN"/>
        </w:rPr>
        <w:t>承包人全部履行完本合同约定的义务时，</w:t>
      </w:r>
      <w:r>
        <w:rPr>
          <w:snapToGrid w:val="0"/>
          <w:kern w:val="0"/>
          <w:szCs w:val="21"/>
          <w:highlight w:val="none"/>
        </w:rPr>
        <w:t>发包人通过承包人将履约保函退还给银行。</w:t>
      </w:r>
    </w:p>
    <w:p>
      <w:pPr>
        <w:adjustRightInd w:val="0"/>
        <w:snapToGrid w:val="0"/>
        <w:spacing w:line="360" w:lineRule="auto"/>
        <w:ind w:right="11" w:firstLine="420" w:firstLineChars="200"/>
        <w:rPr>
          <w:snapToGrid w:val="0"/>
          <w:kern w:val="0"/>
          <w:szCs w:val="21"/>
          <w:highlight w:val="none"/>
        </w:rPr>
      </w:pPr>
    </w:p>
    <w:p>
      <w:pPr>
        <w:adjustRightInd w:val="0"/>
        <w:snapToGrid w:val="0"/>
        <w:spacing w:before="156" w:beforeLines="50" w:after="156" w:afterLines="50"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三</w:t>
      </w:r>
      <w:r>
        <w:rPr>
          <w:b/>
          <w:snapToGrid w:val="0"/>
          <w:kern w:val="0"/>
          <w:sz w:val="28"/>
          <w:szCs w:val="28"/>
          <w:highlight w:val="none"/>
        </w:rPr>
        <w:t>章  税  费</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23、税费</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23.1</w:t>
      </w:r>
      <w:r>
        <w:rPr>
          <w:snapToGrid w:val="0"/>
          <w:kern w:val="0"/>
          <w:szCs w:val="21"/>
          <w:highlight w:val="none"/>
        </w:rPr>
        <w:t>承包人及其雇员因履行本合同而在中国境内取得的一切收入，必须依照中国税法纳税，税金全部由承包人及其雇员承担。</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23.2</w:t>
      </w:r>
      <w:r>
        <w:rPr>
          <w:snapToGrid w:val="0"/>
          <w:kern w:val="0"/>
          <w:szCs w:val="21"/>
          <w:highlight w:val="none"/>
        </w:rPr>
        <w:t>承包人因履行本合同而在中国境内取得收入，依据中国、广东省、广州市及花都区有关法律、法规和行政规章必须缴纳的费用，全部由承包人承担。</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23.3</w:t>
      </w:r>
      <w:r>
        <w:rPr>
          <w:snapToGrid w:val="0"/>
          <w:kern w:val="0"/>
          <w:szCs w:val="21"/>
          <w:highlight w:val="none"/>
        </w:rPr>
        <w:t>凡因履行本合同而发生在中国以外的一切税费，全部由承包人承担。</w:t>
      </w:r>
    </w:p>
    <w:p>
      <w:pPr>
        <w:adjustRightInd w:val="0"/>
        <w:snapToGrid w:val="0"/>
        <w:spacing w:line="360" w:lineRule="auto"/>
        <w:ind w:right="11" w:firstLine="403" w:firstLineChars="192"/>
        <w:rPr>
          <w:snapToGrid w:val="0"/>
          <w:kern w:val="0"/>
          <w:szCs w:val="21"/>
          <w:highlight w:val="none"/>
        </w:rPr>
      </w:pPr>
    </w:p>
    <w:p>
      <w:pPr>
        <w:adjustRightInd w:val="0"/>
        <w:snapToGrid w:val="0"/>
        <w:spacing w:before="156" w:beforeLines="50" w:after="156" w:afterLines="50"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四</w:t>
      </w:r>
      <w:r>
        <w:rPr>
          <w:b/>
          <w:snapToGrid w:val="0"/>
          <w:kern w:val="0"/>
          <w:sz w:val="28"/>
          <w:szCs w:val="28"/>
          <w:highlight w:val="none"/>
        </w:rPr>
        <w:t>章  法律适用及</w:t>
      </w:r>
      <w:r>
        <w:rPr>
          <w:rFonts w:hint="eastAsia"/>
          <w:b/>
          <w:snapToGrid w:val="0"/>
          <w:kern w:val="0"/>
          <w:sz w:val="28"/>
          <w:szCs w:val="28"/>
          <w:highlight w:val="none"/>
        </w:rPr>
        <w:t>争议解决</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24、法律适用及</w:t>
      </w:r>
      <w:r>
        <w:rPr>
          <w:rFonts w:hint="eastAsia"/>
          <w:b/>
          <w:bCs/>
          <w:snapToGrid w:val="0"/>
          <w:kern w:val="0"/>
          <w:szCs w:val="21"/>
          <w:highlight w:val="none"/>
        </w:rPr>
        <w:t>争议解决</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24.1</w:t>
      </w:r>
      <w:r>
        <w:rPr>
          <w:snapToGrid w:val="0"/>
          <w:kern w:val="0"/>
          <w:szCs w:val="21"/>
          <w:highlight w:val="none"/>
        </w:rPr>
        <w:t>本合同的订立、效力、解释、履行和争议等的解决均受中华人民共和国法律的管辖。</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24.2</w:t>
      </w:r>
      <w:r>
        <w:rPr>
          <w:snapToGrid w:val="0"/>
          <w:kern w:val="0"/>
          <w:szCs w:val="21"/>
          <w:highlight w:val="none"/>
        </w:rPr>
        <w:t>凡因履行本合同而引起的一切争议或与本合同有关的争议，应由双方通过友好协商解决。协商不成时，任何一方均有权向花都区人民法院提起诉讼。</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24.3</w:t>
      </w:r>
      <w:r>
        <w:rPr>
          <w:snapToGrid w:val="0"/>
          <w:kern w:val="0"/>
          <w:szCs w:val="21"/>
          <w:highlight w:val="none"/>
        </w:rPr>
        <w:t>在</w:t>
      </w:r>
      <w:r>
        <w:rPr>
          <w:rFonts w:hint="eastAsia"/>
          <w:snapToGrid w:val="0"/>
          <w:kern w:val="0"/>
          <w:szCs w:val="21"/>
          <w:highlight w:val="none"/>
        </w:rPr>
        <w:t>诉讼/</w:t>
      </w:r>
      <w:r>
        <w:rPr>
          <w:snapToGrid w:val="0"/>
          <w:kern w:val="0"/>
          <w:szCs w:val="21"/>
          <w:highlight w:val="none"/>
        </w:rPr>
        <w:t>仲裁过程中，除提交</w:t>
      </w:r>
      <w:r>
        <w:rPr>
          <w:rFonts w:hint="eastAsia"/>
          <w:snapToGrid w:val="0"/>
          <w:kern w:val="0"/>
          <w:szCs w:val="21"/>
          <w:highlight w:val="none"/>
        </w:rPr>
        <w:t>诉讼/</w:t>
      </w:r>
      <w:r>
        <w:rPr>
          <w:snapToGrid w:val="0"/>
          <w:kern w:val="0"/>
          <w:szCs w:val="21"/>
          <w:highlight w:val="none"/>
        </w:rPr>
        <w:t>仲裁的部分之外，双方均应继续履行合同的其他条款。对于发包人依据本合同条款第19条的有关约定单方面解除合同的，承包人应及时移交资料和退场，同时不得妨碍发包人另行委托其他单位实施本合同工程的设计工作。</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24.4</w:t>
      </w:r>
      <w:r>
        <w:rPr>
          <w:rFonts w:hint="eastAsia"/>
          <w:snapToGrid w:val="0"/>
          <w:kern w:val="0"/>
          <w:szCs w:val="21"/>
          <w:highlight w:val="none"/>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03" w:firstLineChars="192"/>
        <w:rPr>
          <w:snapToGrid w:val="0"/>
          <w:kern w:val="0"/>
          <w:szCs w:val="21"/>
          <w:highlight w:val="none"/>
        </w:rPr>
      </w:pPr>
    </w:p>
    <w:p>
      <w:pPr>
        <w:adjustRightInd w:val="0"/>
        <w:snapToGrid w:val="0"/>
        <w:spacing w:before="156" w:beforeLines="50" w:after="156" w:afterLines="50"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五</w:t>
      </w:r>
      <w:r>
        <w:rPr>
          <w:b/>
          <w:snapToGrid w:val="0"/>
          <w:kern w:val="0"/>
          <w:sz w:val="28"/>
          <w:szCs w:val="28"/>
          <w:highlight w:val="none"/>
        </w:rPr>
        <w:t>章  保密、知识产权与专利技术</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25、保密、知识产权与专利技术</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25.1</w:t>
      </w:r>
      <w:r>
        <w:rPr>
          <w:snapToGrid w:val="0"/>
          <w:kern w:val="0"/>
          <w:szCs w:val="21"/>
          <w:highlight w:val="none"/>
        </w:rPr>
        <w:t>双方均应保护对方的知识产权，未经对方同意，任何一方都不得对对方的资料及文件擅自修改、复制或向他人转让。如发生以上情况，泄密方应承担由此引起的一切后果并承担赔偿责任。</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25.2</w:t>
      </w:r>
      <w:r>
        <w:rPr>
          <w:snapToGrid w:val="0"/>
          <w:kern w:val="0"/>
          <w:szCs w:val="21"/>
          <w:highlight w:val="none"/>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25.3</w:t>
      </w:r>
      <w:r>
        <w:rPr>
          <w:snapToGrid w:val="0"/>
          <w:kern w:val="0"/>
          <w:szCs w:val="21"/>
          <w:highlight w:val="none"/>
        </w:rPr>
        <w:t>承包人保证本合同工程的设计文件、资料等均未侵犯第三方的知识产权及其他权利，否则必须承担由此而引起的全部法律责任。</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25.4</w:t>
      </w:r>
      <w:r>
        <w:rPr>
          <w:snapToGrid w:val="0"/>
          <w:kern w:val="0"/>
          <w:szCs w:val="21"/>
          <w:highlight w:val="none"/>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25.5</w:t>
      </w:r>
      <w:r>
        <w:rPr>
          <w:snapToGrid w:val="0"/>
          <w:kern w:val="0"/>
          <w:szCs w:val="21"/>
          <w:highlight w:val="none"/>
        </w:rPr>
        <w:t>如工程需要使用专利技术，应先征得发包人的书面认可。发包人负责办理相应的法律手续，因此而涉及的申报、试验、使用等费用列入工程建设其他费用。</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25.6</w:t>
      </w:r>
      <w:r>
        <w:rPr>
          <w:snapToGrid w:val="0"/>
          <w:kern w:val="0"/>
          <w:szCs w:val="21"/>
          <w:highlight w:val="none"/>
        </w:rPr>
        <w:t>擅自使用专利技术侵犯他人专利权的，由责任方依法承担有关责任。</w:t>
      </w:r>
    </w:p>
    <w:p>
      <w:pPr>
        <w:adjustRightInd w:val="0"/>
        <w:snapToGrid w:val="0"/>
        <w:spacing w:line="360" w:lineRule="auto"/>
        <w:ind w:right="11" w:firstLine="403" w:firstLineChars="192"/>
        <w:rPr>
          <w:snapToGrid w:val="0"/>
          <w:kern w:val="0"/>
          <w:szCs w:val="21"/>
          <w:highlight w:val="none"/>
        </w:rPr>
      </w:pPr>
    </w:p>
    <w:p>
      <w:pPr>
        <w:adjustRightInd w:val="0"/>
        <w:snapToGrid w:val="0"/>
        <w:spacing w:before="156" w:beforeLines="50" w:after="156" w:afterLines="50"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六</w:t>
      </w:r>
      <w:r>
        <w:rPr>
          <w:b/>
          <w:snapToGrid w:val="0"/>
          <w:kern w:val="0"/>
          <w:sz w:val="28"/>
          <w:szCs w:val="28"/>
          <w:highlight w:val="none"/>
        </w:rPr>
        <w:t>章  不可抗力</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26、不可抗力</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26.1</w:t>
      </w:r>
      <w:r>
        <w:rPr>
          <w:snapToGrid w:val="0"/>
          <w:kern w:val="0"/>
          <w:szCs w:val="21"/>
          <w:highlight w:val="none"/>
        </w:rPr>
        <w:t>不可抗力，是指不能预见、不能避免并不能克服、对本合同的设计或服务工作造成实质性影响的自然灾害和战争、动乱（不包括承包人内部的任何纠纷和纷争）等社会事件。</w:t>
      </w:r>
    </w:p>
    <w:p>
      <w:pPr>
        <w:adjustRightInd w:val="0"/>
        <w:snapToGrid w:val="0"/>
        <w:spacing w:line="360" w:lineRule="auto"/>
        <w:ind w:firstLine="422" w:firstLineChars="200"/>
        <w:rPr>
          <w:bCs/>
          <w:snapToGrid w:val="0"/>
          <w:kern w:val="0"/>
          <w:szCs w:val="21"/>
          <w:highlight w:val="none"/>
        </w:rPr>
      </w:pPr>
      <w:r>
        <w:rPr>
          <w:b/>
          <w:snapToGrid w:val="0"/>
          <w:kern w:val="0"/>
          <w:szCs w:val="21"/>
          <w:highlight w:val="none"/>
        </w:rPr>
        <w:t>26.2</w:t>
      </w:r>
      <w:r>
        <w:rPr>
          <w:bCs/>
          <w:snapToGrid w:val="0"/>
          <w:kern w:val="0"/>
          <w:szCs w:val="21"/>
          <w:highlight w:val="none"/>
        </w:rPr>
        <w:t>自然灾害的范围及其认定方式，按如下约定执行：</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（1）异常天气：仅指50年（含50年）一遇以上的洪水或10级（含10级）以上的台风。</w:t>
      </w:r>
      <w:r>
        <w:rPr>
          <w:b/>
          <w:bCs/>
          <w:snapToGrid w:val="0"/>
          <w:kern w:val="0"/>
          <w:szCs w:val="21"/>
          <w:highlight w:val="none"/>
        </w:rPr>
        <w:t>因异常天气袭击为确保安全而停工的，承包人应于台风、洪水天气结束之日起七日内，</w:t>
      </w:r>
      <w:r>
        <w:rPr>
          <w:bCs/>
          <w:snapToGrid w:val="0"/>
          <w:kern w:val="0"/>
          <w:szCs w:val="21"/>
          <w:highlight w:val="none"/>
        </w:rPr>
        <w:t>向当地气象部门索取工程所在地台风、暴雨天气资料或报告（含气象实况及对此分析的内容），连同</w:t>
      </w:r>
      <w:r>
        <w:rPr>
          <w:snapToGrid w:val="0"/>
          <w:kern w:val="0"/>
          <w:szCs w:val="21"/>
          <w:highlight w:val="none"/>
        </w:rPr>
        <w:t>工作</w:t>
      </w:r>
      <w:r>
        <w:rPr>
          <w:bCs/>
          <w:snapToGrid w:val="0"/>
          <w:kern w:val="0"/>
          <w:szCs w:val="21"/>
          <w:highlight w:val="none"/>
        </w:rPr>
        <w:t>日志、现场照片办理证据保全公证，方可认定为是不可抗力。</w:t>
      </w:r>
    </w:p>
    <w:p>
      <w:pPr>
        <w:adjustRightInd w:val="0"/>
        <w:snapToGrid w:val="0"/>
        <w:spacing w:line="360" w:lineRule="auto"/>
        <w:ind w:firstLine="420" w:firstLineChars="200"/>
        <w:rPr>
          <w:bCs/>
          <w:snapToGrid w:val="0"/>
          <w:kern w:val="0"/>
          <w:szCs w:val="21"/>
          <w:highlight w:val="none"/>
        </w:rPr>
      </w:pPr>
      <w:r>
        <w:rPr>
          <w:bCs/>
          <w:snapToGrid w:val="0"/>
          <w:kern w:val="0"/>
          <w:szCs w:val="21"/>
          <w:highlight w:val="none"/>
        </w:rPr>
        <w:t>（2）里氏5级（含5级）以上的地震。</w:t>
      </w:r>
    </w:p>
    <w:p>
      <w:pPr>
        <w:adjustRightInd w:val="0"/>
        <w:snapToGrid w:val="0"/>
        <w:spacing w:line="360" w:lineRule="auto"/>
        <w:ind w:right="11" w:firstLine="405" w:firstLineChars="192"/>
        <w:rPr>
          <w:snapToGrid w:val="0"/>
          <w:kern w:val="0"/>
          <w:szCs w:val="21"/>
          <w:highlight w:val="none"/>
        </w:rPr>
      </w:pPr>
      <w:r>
        <w:rPr>
          <w:b/>
          <w:snapToGrid w:val="0"/>
          <w:kern w:val="0"/>
          <w:szCs w:val="21"/>
          <w:highlight w:val="none"/>
        </w:rPr>
        <w:t>26.3</w:t>
      </w:r>
      <w:r>
        <w:rPr>
          <w:snapToGrid w:val="0"/>
          <w:kern w:val="0"/>
          <w:szCs w:val="21"/>
          <w:highlight w:val="none"/>
        </w:rPr>
        <w:t>政府关于本项目政策的重大调整或本项目建设规划方案重大功能性调整，也属不可抗力。</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26.4</w:t>
      </w:r>
      <w:r>
        <w:rPr>
          <w:snapToGrid w:val="0"/>
          <w:sz w:val="21"/>
          <w:szCs w:val="21"/>
          <w:highlight w:val="none"/>
        </w:rPr>
        <w:t>因不可抗力事件导致的费用损失，由双方各自承担自己的损失。对不可抗力事件导致的承包人设计成果文件提交时间的延误，由双方协商确定承包人提交设计成果的提交时间。</w:t>
      </w:r>
    </w:p>
    <w:p>
      <w:pPr>
        <w:pStyle w:val="69"/>
        <w:adjustRightInd w:val="0"/>
        <w:snapToGrid w:val="0"/>
        <w:spacing w:line="360" w:lineRule="auto"/>
        <w:ind w:firstLine="420" w:firstLineChars="200"/>
        <w:rPr>
          <w:snapToGrid w:val="0"/>
          <w:sz w:val="21"/>
          <w:szCs w:val="21"/>
          <w:highlight w:val="none"/>
        </w:rPr>
      </w:pPr>
    </w:p>
    <w:p>
      <w:pPr>
        <w:adjustRightInd w:val="0"/>
        <w:snapToGrid w:val="0"/>
        <w:spacing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七</w:t>
      </w:r>
      <w:r>
        <w:rPr>
          <w:b/>
          <w:snapToGrid w:val="0"/>
          <w:kern w:val="0"/>
          <w:sz w:val="28"/>
          <w:szCs w:val="28"/>
          <w:highlight w:val="none"/>
        </w:rPr>
        <w:t>章  合同生效、解除与其他</w:t>
      </w:r>
    </w:p>
    <w:p>
      <w:pPr>
        <w:adjustRightInd w:val="0"/>
        <w:snapToGrid w:val="0"/>
        <w:spacing w:line="360" w:lineRule="auto"/>
        <w:ind w:firstLine="413" w:firstLineChars="196"/>
        <w:rPr>
          <w:b/>
          <w:bCs/>
          <w:snapToGrid w:val="0"/>
          <w:kern w:val="0"/>
          <w:szCs w:val="21"/>
          <w:highlight w:val="none"/>
        </w:rPr>
      </w:pPr>
      <w:r>
        <w:rPr>
          <w:b/>
          <w:bCs/>
          <w:snapToGrid w:val="0"/>
          <w:kern w:val="0"/>
          <w:szCs w:val="21"/>
          <w:highlight w:val="none"/>
        </w:rPr>
        <w:t>27、合同生效、解除及其他</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27.1</w:t>
      </w:r>
      <w:r>
        <w:rPr>
          <w:snapToGrid w:val="0"/>
          <w:sz w:val="21"/>
          <w:szCs w:val="21"/>
          <w:highlight w:val="none"/>
        </w:rPr>
        <w:t>本合同的生效及终止按本合同协议书第</w:t>
      </w:r>
      <w:r>
        <w:rPr>
          <w:rFonts w:hint="eastAsia"/>
          <w:snapToGrid w:val="0"/>
          <w:sz w:val="21"/>
          <w:szCs w:val="21"/>
          <w:highlight w:val="none"/>
        </w:rPr>
        <w:t>1</w:t>
      </w:r>
      <w:r>
        <w:rPr>
          <w:snapToGrid w:val="0"/>
          <w:sz w:val="21"/>
          <w:szCs w:val="21"/>
          <w:highlight w:val="none"/>
        </w:rPr>
        <w:t>6条的约定执行。</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27.2</w:t>
      </w:r>
      <w:r>
        <w:rPr>
          <w:snapToGrid w:val="0"/>
          <w:sz w:val="21"/>
          <w:szCs w:val="21"/>
          <w:highlight w:val="none"/>
        </w:rPr>
        <w:t>本合同第三篇所列的附件均为本合同不可分割的组成部分。</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27.3</w:t>
      </w:r>
      <w:r>
        <w:rPr>
          <w:snapToGrid w:val="0"/>
          <w:sz w:val="21"/>
          <w:szCs w:val="21"/>
          <w:highlight w:val="none"/>
        </w:rPr>
        <w:t>双方经协商一致，可以解除合同。</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27.4</w:t>
      </w:r>
      <w:r>
        <w:rPr>
          <w:snapToGrid w:val="0"/>
          <w:sz w:val="21"/>
          <w:szCs w:val="21"/>
          <w:highlight w:val="none"/>
        </w:rPr>
        <w:t>发生下列情形之一，</w:t>
      </w:r>
      <w:r>
        <w:rPr>
          <w:rFonts w:hint="eastAsia"/>
          <w:snapToGrid w:val="0"/>
          <w:sz w:val="21"/>
          <w:szCs w:val="21"/>
          <w:highlight w:val="none"/>
        </w:rPr>
        <w:t>发包人</w:t>
      </w:r>
      <w:r>
        <w:rPr>
          <w:snapToGrid w:val="0"/>
          <w:sz w:val="21"/>
          <w:szCs w:val="21"/>
          <w:highlight w:val="none"/>
        </w:rPr>
        <w:t>、</w:t>
      </w:r>
      <w:r>
        <w:rPr>
          <w:rFonts w:hint="eastAsia"/>
          <w:snapToGrid w:val="0"/>
          <w:sz w:val="21"/>
          <w:szCs w:val="21"/>
          <w:highlight w:val="none"/>
        </w:rPr>
        <w:t>承包人</w:t>
      </w:r>
      <w:r>
        <w:rPr>
          <w:snapToGrid w:val="0"/>
          <w:sz w:val="21"/>
          <w:szCs w:val="21"/>
          <w:highlight w:val="none"/>
        </w:rPr>
        <w:t>任何一方均可解除合同，但应以书面形式向对方发出解除合同的通知，通知到达时合同即解除。对解除合同有争议的，按本合同条款第24</w:t>
      </w:r>
      <w:r>
        <w:rPr>
          <w:rFonts w:hint="eastAsia"/>
          <w:snapToGrid w:val="0"/>
          <w:sz w:val="21"/>
          <w:szCs w:val="21"/>
          <w:highlight w:val="none"/>
        </w:rPr>
        <w:t>.</w:t>
      </w:r>
      <w:r>
        <w:rPr>
          <w:snapToGrid w:val="0"/>
          <w:sz w:val="21"/>
          <w:szCs w:val="21"/>
          <w:highlight w:val="none"/>
        </w:rPr>
        <w:t>2条的约定处理。（1）</w:t>
      </w:r>
      <w:r>
        <w:rPr>
          <w:snapToGrid w:val="0"/>
          <w:sz w:val="21"/>
          <w:szCs w:val="21"/>
          <w:highlight w:val="none"/>
          <w:u w:val="single"/>
        </w:rPr>
        <w:t>因不可抗力致使合同无法履行</w:t>
      </w:r>
      <w:r>
        <w:rPr>
          <w:snapToGrid w:val="0"/>
          <w:sz w:val="21"/>
          <w:szCs w:val="21"/>
          <w:highlight w:val="none"/>
        </w:rPr>
        <w:t>；（2）</w:t>
      </w:r>
      <w:r>
        <w:rPr>
          <w:snapToGrid w:val="0"/>
          <w:sz w:val="21"/>
          <w:szCs w:val="21"/>
          <w:highlight w:val="none"/>
          <w:u w:val="single"/>
        </w:rPr>
        <w:t>因一方违约致使合同无法履行</w:t>
      </w:r>
      <w:r>
        <w:rPr>
          <w:snapToGrid w:val="0"/>
          <w:sz w:val="21"/>
          <w:szCs w:val="21"/>
          <w:highlight w:val="none"/>
        </w:rPr>
        <w:t>。</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27.5</w:t>
      </w:r>
      <w:r>
        <w:rPr>
          <w:snapToGrid w:val="0"/>
          <w:sz w:val="21"/>
          <w:szCs w:val="21"/>
          <w:highlight w:val="none"/>
        </w:rPr>
        <w:t>合同解除后，不影响双方在合同中约定的结算和清理条款的效力。承包人应妥善做好已完工项目的保护和移交工作。同时，有过错方应当向无过错方赔偿因解除合同所造成的损失。</w:t>
      </w:r>
    </w:p>
    <w:p>
      <w:pPr>
        <w:pStyle w:val="69"/>
        <w:adjustRightInd w:val="0"/>
        <w:snapToGrid w:val="0"/>
        <w:spacing w:line="360" w:lineRule="auto"/>
        <w:ind w:firstLine="422" w:firstLineChars="200"/>
        <w:rPr>
          <w:snapToGrid w:val="0"/>
          <w:sz w:val="21"/>
          <w:szCs w:val="21"/>
          <w:highlight w:val="none"/>
        </w:rPr>
      </w:pPr>
      <w:r>
        <w:rPr>
          <w:b/>
          <w:snapToGrid w:val="0"/>
          <w:sz w:val="21"/>
          <w:szCs w:val="21"/>
          <w:highlight w:val="none"/>
        </w:rPr>
        <w:t>27.6</w:t>
      </w:r>
      <w:r>
        <w:rPr>
          <w:snapToGrid w:val="0"/>
          <w:sz w:val="21"/>
          <w:szCs w:val="21"/>
          <w:highlight w:val="none"/>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pPr>
        <w:pStyle w:val="69"/>
        <w:adjustRightInd w:val="0"/>
        <w:snapToGrid w:val="0"/>
        <w:spacing w:line="360" w:lineRule="auto"/>
        <w:ind w:firstLine="422" w:firstLineChars="200"/>
        <w:rPr>
          <w:b/>
          <w:snapToGrid w:val="0"/>
          <w:sz w:val="21"/>
          <w:szCs w:val="21"/>
          <w:highlight w:val="none"/>
        </w:rPr>
      </w:pPr>
    </w:p>
    <w:p>
      <w:pPr>
        <w:adjustRightInd w:val="0"/>
        <w:snapToGrid w:val="0"/>
        <w:spacing w:line="360" w:lineRule="auto"/>
        <w:jc w:val="center"/>
        <w:rPr>
          <w:b/>
          <w:snapToGrid w:val="0"/>
          <w:kern w:val="0"/>
          <w:sz w:val="28"/>
          <w:szCs w:val="28"/>
          <w:highlight w:val="none"/>
        </w:rPr>
      </w:pPr>
      <w:r>
        <w:rPr>
          <w:b/>
          <w:snapToGrid w:val="0"/>
          <w:kern w:val="0"/>
          <w:sz w:val="28"/>
          <w:szCs w:val="28"/>
          <w:highlight w:val="none"/>
        </w:rPr>
        <w:t>第十</w:t>
      </w:r>
      <w:r>
        <w:rPr>
          <w:rFonts w:hint="eastAsia"/>
          <w:b/>
          <w:snapToGrid w:val="0"/>
          <w:kern w:val="0"/>
          <w:sz w:val="28"/>
          <w:szCs w:val="28"/>
          <w:highlight w:val="none"/>
        </w:rPr>
        <w:t>八</w:t>
      </w:r>
      <w:r>
        <w:rPr>
          <w:b/>
          <w:snapToGrid w:val="0"/>
          <w:kern w:val="0"/>
          <w:sz w:val="28"/>
          <w:szCs w:val="28"/>
          <w:highlight w:val="none"/>
        </w:rPr>
        <w:t>章  档案管理规定</w:t>
      </w:r>
    </w:p>
    <w:p>
      <w:pPr>
        <w:shd w:val="clear" w:color="auto" w:fill="FFFFFF"/>
        <w:adjustRightInd w:val="0"/>
        <w:spacing w:line="360" w:lineRule="auto"/>
        <w:ind w:firstLine="480"/>
        <w:rPr>
          <w:b/>
          <w:bCs/>
          <w:kern w:val="0"/>
          <w:szCs w:val="21"/>
          <w:highlight w:val="none"/>
          <w:lang w:val="zh-CN"/>
        </w:rPr>
      </w:pPr>
      <w:r>
        <w:rPr>
          <w:bCs/>
          <w:kern w:val="0"/>
          <w:szCs w:val="21"/>
          <w:highlight w:val="none"/>
          <w:lang w:val="zh-CN"/>
        </w:rPr>
        <w:t>本工程属于花都区重点建设项目，根据《花都区重点建设项目档案工作管理办法》，承包人应做好项目建设的档案管理工作，包括但不限于以下工作：</w:t>
      </w:r>
    </w:p>
    <w:p>
      <w:pPr>
        <w:shd w:val="clear" w:color="auto" w:fill="FFFFFF"/>
        <w:adjustRightInd w:val="0"/>
        <w:spacing w:line="360" w:lineRule="auto"/>
        <w:ind w:firstLine="420" w:firstLineChars="200"/>
        <w:rPr>
          <w:kern w:val="0"/>
          <w:szCs w:val="21"/>
          <w:highlight w:val="none"/>
          <w:lang w:val="zh-CN"/>
        </w:rPr>
      </w:pPr>
      <w:r>
        <w:rPr>
          <w:kern w:val="0"/>
          <w:szCs w:val="21"/>
          <w:highlight w:val="none"/>
        </w:rPr>
        <w:t>（1）</w:t>
      </w:r>
      <w:r>
        <w:rPr>
          <w:kern w:val="0"/>
          <w:szCs w:val="21"/>
          <w:highlight w:val="none"/>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pPr>
        <w:shd w:val="clear" w:color="auto" w:fill="FFFFFF"/>
        <w:adjustRightInd w:val="0"/>
        <w:spacing w:line="360" w:lineRule="auto"/>
        <w:ind w:firstLine="420" w:firstLineChars="200"/>
        <w:rPr>
          <w:kern w:val="0"/>
          <w:szCs w:val="21"/>
          <w:highlight w:val="none"/>
          <w:lang w:val="zh-CN"/>
        </w:rPr>
      </w:pPr>
      <w:r>
        <w:rPr>
          <w:kern w:val="0"/>
          <w:szCs w:val="21"/>
          <w:highlight w:val="none"/>
          <w:lang w:val="zh-CN"/>
        </w:rPr>
        <w:t>（</w:t>
      </w:r>
      <w:r>
        <w:rPr>
          <w:kern w:val="0"/>
          <w:szCs w:val="21"/>
          <w:highlight w:val="none"/>
        </w:rPr>
        <w:t>2</w:t>
      </w:r>
      <w:r>
        <w:rPr>
          <w:kern w:val="0"/>
          <w:szCs w:val="21"/>
          <w:highlight w:val="none"/>
          <w:lang w:val="zh-CN"/>
        </w:rPr>
        <w:t>）收集、整理本单位在合同期内形成的项目文件材料归档整理；除按规定向有关单位移交项目档案外，工程竣工时应移交建设单位</w:t>
      </w:r>
      <w:r>
        <w:rPr>
          <w:kern w:val="0"/>
          <w:szCs w:val="21"/>
          <w:highlight w:val="none"/>
          <w:u w:val="single"/>
        </w:rPr>
        <w:t>2</w:t>
      </w:r>
      <w:r>
        <w:rPr>
          <w:kern w:val="0"/>
          <w:szCs w:val="21"/>
          <w:highlight w:val="none"/>
          <w:lang w:val="zh-CN"/>
        </w:rPr>
        <w:t>套设计全过程产生的完整项目档案。</w:t>
      </w:r>
    </w:p>
    <w:p>
      <w:pPr>
        <w:shd w:val="clear" w:color="auto" w:fill="FFFFFF"/>
        <w:adjustRightInd w:val="0"/>
        <w:spacing w:line="360" w:lineRule="auto"/>
        <w:ind w:firstLine="420" w:firstLineChars="200"/>
        <w:rPr>
          <w:kern w:val="0"/>
          <w:szCs w:val="21"/>
          <w:highlight w:val="none"/>
          <w:lang w:val="zh-CN"/>
        </w:rPr>
      </w:pPr>
      <w:r>
        <w:rPr>
          <w:kern w:val="0"/>
          <w:szCs w:val="21"/>
          <w:highlight w:val="none"/>
          <w:lang w:val="zh-CN"/>
        </w:rPr>
        <w:t>（</w:t>
      </w:r>
      <w:r>
        <w:rPr>
          <w:kern w:val="0"/>
          <w:szCs w:val="21"/>
          <w:highlight w:val="none"/>
        </w:rPr>
        <w:t>3</w:t>
      </w:r>
      <w:r>
        <w:rPr>
          <w:kern w:val="0"/>
          <w:szCs w:val="21"/>
          <w:highlight w:val="none"/>
          <w:lang w:val="zh-CN"/>
        </w:rPr>
        <w:t>）档案管理的整理工作应符合</w:t>
      </w:r>
      <w:r>
        <w:rPr>
          <w:rFonts w:hint="eastAsia"/>
          <w:highlight w:val="none"/>
        </w:rPr>
        <w:t>《建设项目档案管理规范》</w:t>
      </w:r>
      <w:r>
        <w:rPr>
          <w:highlight w:val="none"/>
        </w:rPr>
        <w:t>DA/T 28-2018</w:t>
      </w:r>
      <w:r>
        <w:rPr>
          <w:kern w:val="0"/>
          <w:szCs w:val="21"/>
          <w:highlight w:val="none"/>
          <w:lang w:val="zh-CN"/>
        </w:rPr>
        <w:t>的要求整理。</w:t>
      </w:r>
    </w:p>
    <w:p>
      <w:pPr>
        <w:widowControl/>
        <w:jc w:val="left"/>
        <w:rPr>
          <w:sz w:val="24"/>
          <w:highlight w:val="none"/>
        </w:rPr>
      </w:pPr>
      <w:r>
        <w:rPr>
          <w:sz w:val="24"/>
          <w:highlight w:val="none"/>
        </w:rPr>
        <w:br w:type="page"/>
      </w:r>
    </w:p>
    <w:p>
      <w:pPr>
        <w:adjustRightInd w:val="0"/>
        <w:snapToGrid w:val="0"/>
        <w:spacing w:line="440" w:lineRule="exact"/>
        <w:jc w:val="center"/>
        <w:rPr>
          <w:b/>
          <w:bCs/>
          <w:snapToGrid w:val="0"/>
          <w:kern w:val="0"/>
          <w:sz w:val="36"/>
          <w:szCs w:val="36"/>
          <w:highlight w:val="none"/>
        </w:rPr>
      </w:pPr>
      <w:r>
        <w:rPr>
          <w:b/>
          <w:bCs/>
          <w:snapToGrid w:val="0"/>
          <w:kern w:val="0"/>
          <w:sz w:val="36"/>
          <w:szCs w:val="36"/>
          <w:highlight w:val="none"/>
        </w:rPr>
        <w:t>第三篇  合同附件</w:t>
      </w:r>
    </w:p>
    <w:p>
      <w:pPr>
        <w:adjustRightInd w:val="0"/>
        <w:snapToGrid w:val="0"/>
        <w:spacing w:line="360" w:lineRule="auto"/>
        <w:rPr>
          <w:b/>
          <w:bCs/>
          <w:snapToGrid w:val="0"/>
          <w:kern w:val="0"/>
          <w:szCs w:val="21"/>
          <w:highlight w:val="none"/>
        </w:rPr>
      </w:pPr>
    </w:p>
    <w:p>
      <w:pPr>
        <w:adjustRightInd w:val="0"/>
        <w:snapToGrid w:val="0"/>
        <w:spacing w:line="360" w:lineRule="auto"/>
        <w:rPr>
          <w:b/>
          <w:bCs/>
          <w:snapToGrid w:val="0"/>
          <w:kern w:val="0"/>
          <w:sz w:val="24"/>
          <w:highlight w:val="none"/>
        </w:rPr>
      </w:pPr>
      <w:r>
        <w:rPr>
          <w:b/>
          <w:bCs/>
          <w:snapToGrid w:val="0"/>
          <w:kern w:val="0"/>
          <w:sz w:val="24"/>
          <w:highlight w:val="none"/>
        </w:rPr>
        <w:t>附件1</w:t>
      </w:r>
      <w:r>
        <w:rPr>
          <w:rFonts w:hint="eastAsia"/>
          <w:b/>
          <w:bCs/>
          <w:snapToGrid w:val="0"/>
          <w:kern w:val="0"/>
          <w:sz w:val="24"/>
          <w:highlight w:val="none"/>
        </w:rPr>
        <w:t>：设计任务书</w:t>
      </w:r>
    </w:p>
    <w:p>
      <w:pPr>
        <w:spacing w:line="360" w:lineRule="auto"/>
        <w:ind w:firstLine="420" w:firstLineChars="200"/>
        <w:rPr>
          <w:highlight w:val="none"/>
        </w:rPr>
      </w:pPr>
      <w:bookmarkStart w:id="737" w:name="_Toc447612405"/>
      <w:bookmarkStart w:id="738" w:name="_Toc329351560"/>
      <w:bookmarkStart w:id="739" w:name="_Toc25996"/>
      <w:bookmarkStart w:id="740" w:name="_Toc452973729"/>
      <w:bookmarkStart w:id="741" w:name="_Toc452558331"/>
      <w:bookmarkStart w:id="742" w:name="_Toc447612884"/>
      <w:bookmarkStart w:id="743" w:name="_Toc447612406"/>
      <w:bookmarkStart w:id="744" w:name="_Toc13957"/>
      <w:bookmarkStart w:id="745" w:name="_Toc452558332"/>
      <w:bookmarkStart w:id="746" w:name="_Toc452973737"/>
      <w:bookmarkStart w:id="747" w:name="_Toc447612885"/>
      <w:bookmarkStart w:id="748" w:name="_Toc330375465"/>
      <w:bookmarkStart w:id="749" w:name="_Toc399430905"/>
    </w:p>
    <w:bookmarkEnd w:id="737"/>
    <w:bookmarkEnd w:id="738"/>
    <w:bookmarkEnd w:id="739"/>
    <w:bookmarkEnd w:id="740"/>
    <w:bookmarkEnd w:id="741"/>
    <w:bookmarkEnd w:id="742"/>
    <w:bookmarkEnd w:id="743"/>
    <w:bookmarkEnd w:id="744"/>
    <w:bookmarkEnd w:id="745"/>
    <w:bookmarkEnd w:id="746"/>
    <w:bookmarkEnd w:id="747"/>
    <w:bookmarkEnd w:id="748"/>
    <w:bookmarkEnd w:id="749"/>
    <w:p>
      <w:pPr>
        <w:adjustRightInd w:val="0"/>
        <w:snapToGrid w:val="0"/>
        <w:spacing w:line="360" w:lineRule="auto"/>
        <w:rPr>
          <w:b/>
          <w:bCs/>
          <w:snapToGrid w:val="0"/>
          <w:kern w:val="0"/>
          <w:sz w:val="24"/>
          <w:highlight w:val="none"/>
        </w:rPr>
      </w:pPr>
      <w:r>
        <w:rPr>
          <w:b/>
          <w:bCs/>
          <w:snapToGrid w:val="0"/>
          <w:kern w:val="0"/>
          <w:sz w:val="24"/>
          <w:highlight w:val="none"/>
        </w:rPr>
        <w:t>附件2：</w:t>
      </w:r>
      <w:r>
        <w:rPr>
          <w:rFonts w:hint="eastAsia"/>
          <w:b/>
          <w:bCs/>
          <w:snapToGrid w:val="0"/>
          <w:kern w:val="0"/>
          <w:sz w:val="24"/>
          <w:highlight w:val="none"/>
        </w:rPr>
        <w:t>工程建设廉洁协议书</w:t>
      </w:r>
    </w:p>
    <w:p>
      <w:pPr>
        <w:jc w:val="center"/>
        <w:rPr>
          <w:b/>
          <w:sz w:val="36"/>
          <w:szCs w:val="36"/>
          <w:highlight w:val="none"/>
        </w:rPr>
      </w:pPr>
    </w:p>
    <w:p>
      <w:pPr>
        <w:jc w:val="center"/>
        <w:rPr>
          <w:b/>
          <w:sz w:val="40"/>
          <w:szCs w:val="36"/>
          <w:highlight w:val="none"/>
        </w:rPr>
      </w:pPr>
      <w:r>
        <w:rPr>
          <w:b/>
          <w:sz w:val="40"/>
          <w:szCs w:val="36"/>
          <w:highlight w:val="none"/>
        </w:rPr>
        <w:t>工程建设廉洁协议书</w:t>
      </w:r>
    </w:p>
    <w:p>
      <w:pPr>
        <w:adjustRightInd w:val="0"/>
        <w:snapToGrid w:val="0"/>
        <w:spacing w:line="360" w:lineRule="auto"/>
        <w:rPr>
          <w:bCs/>
          <w:snapToGrid w:val="0"/>
          <w:kern w:val="0"/>
          <w:sz w:val="24"/>
          <w:highlight w:val="none"/>
        </w:rPr>
      </w:pPr>
    </w:p>
    <w:p>
      <w:pPr>
        <w:spacing w:line="460" w:lineRule="exact"/>
        <w:ind w:left="1476" w:hanging="1476" w:hangingChars="700"/>
        <w:jc w:val="left"/>
        <w:rPr>
          <w:b/>
          <w:spacing w:val="-2"/>
          <w:szCs w:val="21"/>
          <w:highlight w:val="none"/>
        </w:rPr>
      </w:pPr>
      <w:r>
        <w:rPr>
          <w:b/>
          <w:szCs w:val="21"/>
          <w:highlight w:val="none"/>
        </w:rPr>
        <w:t>工程项目名称：</w:t>
      </w:r>
      <w:r>
        <w:rPr>
          <w:rFonts w:hint="eastAsia"/>
          <w:b/>
          <w:szCs w:val="21"/>
          <w:highlight w:val="none"/>
          <w:u w:val="single"/>
        </w:rPr>
        <w:t>新华街莲塘小学扩建改造项目</w:t>
      </w:r>
    </w:p>
    <w:p>
      <w:pPr>
        <w:spacing w:line="460" w:lineRule="exact"/>
        <w:rPr>
          <w:b/>
          <w:szCs w:val="21"/>
          <w:highlight w:val="none"/>
          <w:u w:val="single"/>
        </w:rPr>
      </w:pPr>
      <w:r>
        <w:rPr>
          <w:b/>
          <w:szCs w:val="21"/>
          <w:highlight w:val="none"/>
        </w:rPr>
        <w:t>发包人：</w:t>
      </w:r>
      <w:r>
        <w:rPr>
          <w:rFonts w:hint="eastAsia"/>
          <w:b/>
          <w:szCs w:val="21"/>
          <w:highlight w:val="none"/>
          <w:u w:val="single"/>
        </w:rPr>
        <w:t>广州市花都区公共建设项目管理中心</w:t>
      </w:r>
    </w:p>
    <w:p>
      <w:pPr>
        <w:spacing w:line="460" w:lineRule="exact"/>
        <w:rPr>
          <w:b/>
          <w:szCs w:val="21"/>
          <w:highlight w:val="none"/>
          <w:u w:val="single"/>
        </w:rPr>
      </w:pPr>
      <w:r>
        <w:rPr>
          <w:b/>
          <w:szCs w:val="21"/>
          <w:highlight w:val="none"/>
        </w:rPr>
        <w:t>承包人：</w:t>
      </w:r>
      <w:r>
        <w:rPr>
          <w:rFonts w:hint="eastAsia"/>
          <w:szCs w:val="21"/>
          <w:highlight w:val="none"/>
          <w:u w:val="single"/>
        </w:rPr>
        <w:t xml:space="preserve"> </w:t>
      </w:r>
      <w:r>
        <w:rPr>
          <w:szCs w:val="21"/>
          <w:highlight w:val="none"/>
          <w:u w:val="single"/>
        </w:rPr>
        <w:t xml:space="preserve">                             </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pPr>
        <w:adjustRightInd w:val="0"/>
        <w:snapToGrid w:val="0"/>
        <w:spacing w:line="460" w:lineRule="exact"/>
        <w:rPr>
          <w:b/>
          <w:bCs/>
          <w:snapToGrid w:val="0"/>
          <w:kern w:val="0"/>
          <w:szCs w:val="21"/>
          <w:highlight w:val="none"/>
        </w:rPr>
      </w:pPr>
      <w:r>
        <w:rPr>
          <w:b/>
          <w:bCs/>
          <w:snapToGrid w:val="0"/>
          <w:kern w:val="0"/>
          <w:szCs w:val="21"/>
          <w:highlight w:val="none"/>
        </w:rPr>
        <w:t>第一条 甲乙双方责任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（一）严格遵守国家有关法律法规和政策规定，以及廉政建设的各项约定。</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（二）严格执行建设工程项目承发包合同文件，自觉按合同办事。</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三）建筑活动必须坚持公开、公平、公正、诚信、透明的原则（除法律法规另有规定者外），不得为获取不正当的利益，损害国家、集体和对方利益，不得违反国家、省、市和发包人有关工程建设管理的规章制度。</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（四）发现对方在建筑活动中存在违规、违纪、违法行为的，有权向其上级主管部门或纪检监察、检察等有关机关举报。</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460" w:lineRule="exact"/>
        <w:rPr>
          <w:b/>
          <w:bCs/>
          <w:snapToGrid w:val="0"/>
          <w:kern w:val="0"/>
          <w:szCs w:val="21"/>
          <w:highlight w:val="none"/>
        </w:rPr>
      </w:pPr>
      <w:r>
        <w:rPr>
          <w:b/>
          <w:bCs/>
          <w:snapToGrid w:val="0"/>
          <w:kern w:val="0"/>
          <w:szCs w:val="21"/>
          <w:highlight w:val="none"/>
        </w:rPr>
        <w:t>第二条 发包人责任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（一）发包人领导干部和从事该工程建设的管理人员，在建筑活动中须严格遵守以下廉洁从业规定：</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1.不准向承包人和相关单位或个人索取钱物或接受回扣、礼金、各种有价证券、信用卡和好处费、感谢费以及其它支付凭证等。</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2.不准接受可能影响公正执行公务的承包人和相关单位或个人的礼物馈赠、宴请、各种形式俱乐部会员资格、高消费娱乐活动。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3.不准在承包人和相关单位报销任何应由发包人或个人负担的费用。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5.不准向承包人介绍配偶、子女、其他亲属朋友及身边工作人员参与同发包人项目工程合同有关的设备、材料、工程分包、劳务等经济活动。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6.不得以任何理由向承包人和相关单位推荐分包单位和要求或暗示承包人购买项目工程合同规定外的材料、设备等。</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（二）合同签订后组织与承包人相关廉洁责任人见面会，进行廉洁工程建设交底，明确廉洁工程建设责任和目标任务、举报方式。</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（三）加强对合同支付、合同结算等建设管理环节的监督管理，特别是审批效能方面的监察检查，提高建设管理服务水平。</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（四）组织开展图片展览、法制讲座、参观监狱等活动，加强对员工的法律法规、廉洁和职业道德教育。</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（五）成立监督工作机构，不定期对合同履行情况开展监督检查，对发现的有关问题，及时协调给予解决。</w:t>
      </w:r>
    </w:p>
    <w:p>
      <w:pPr>
        <w:adjustRightInd w:val="0"/>
        <w:snapToGrid w:val="0"/>
        <w:spacing w:line="460" w:lineRule="exact"/>
        <w:rPr>
          <w:b/>
          <w:bCs/>
          <w:snapToGrid w:val="0"/>
          <w:kern w:val="0"/>
          <w:szCs w:val="21"/>
          <w:highlight w:val="none"/>
        </w:rPr>
      </w:pPr>
      <w:r>
        <w:rPr>
          <w:b/>
          <w:bCs/>
          <w:snapToGrid w:val="0"/>
          <w:kern w:val="0"/>
          <w:szCs w:val="21"/>
          <w:highlight w:val="none"/>
        </w:rPr>
        <w:t>第三条 承包人责任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（一）与发包人保持正常的业务交往，遵守以下规定：</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1.不准以任何理由向发包人人员行贿或赠送回扣、礼金、各种有价证券、信用卡和好处费、感谢费及其它支付凭证等。</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2.不准以任何理由为发包人人员组织有可能影响公正执行公务的宴请、各种形式俱乐部及高消费娱乐等活动。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3.不准以任何理由为发包人或个人报销应由对方或个人支付的费用。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4.不准暗示或要求为发包人人员及其配偶、子女、其他亲属朋友及身边工作人员的装修住房、婚丧嫁娶、工作安排、学习培训、经商办企业以及出国（境）、旅游、度假提供方便和支付费用。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5.不准介绍和安排发包人人员及其配偶、子女、其他亲属朋友及身边工作人员参与同发包人工程项目有关的设备、材料、工程分包、劳务等经济活动。</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（二）组织项目负责人及相关管理人员层层签订廉洁从业责任状，明确廉洁责任，形成有效的内部监督管理机制。</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（三）按发包人要求参加廉政座谈、法制讲座、参观监狱等活动，加强对项目负责人及相关管理人员的法律法规、廉洁和职业道德教育，共同筑牢防腐防线。</w:t>
      </w:r>
    </w:p>
    <w:p>
      <w:pPr>
        <w:adjustRightInd w:val="0"/>
        <w:snapToGrid w:val="0"/>
        <w:spacing w:line="460" w:lineRule="exact"/>
        <w:rPr>
          <w:b/>
          <w:bCs/>
          <w:snapToGrid w:val="0"/>
          <w:kern w:val="0"/>
          <w:szCs w:val="21"/>
          <w:highlight w:val="none"/>
        </w:rPr>
      </w:pPr>
      <w:r>
        <w:rPr>
          <w:b/>
          <w:bCs/>
          <w:snapToGrid w:val="0"/>
          <w:kern w:val="0"/>
          <w:szCs w:val="21"/>
          <w:highlight w:val="none"/>
        </w:rPr>
        <w:t>第四条 违约责任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（一）发包人违约责任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1.发包人不履行或不完全履行本协议书有关责任义务给承包人造成损失的，在承包人提交足够证据并经查证属实的情况下，发包人赔偿其直接经济损失。</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2.发包人人员出现受贿等严重违法违纪违规行为的，按照管理权限，依据有关法律法规和规定给予党纪、政纪处分或组织处理；涉嫌犯罪的，移交司法机关追究刑事责任。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（二）承包人违约责任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1.承包人不履行或不完全履行本协议书有关责任义务的，按本合同规定须承担一次一般违约责任。情节较轻的，可给予书面警告；情节较重的，须承担一次严重违约责任。</w:t>
      </w:r>
    </w:p>
    <w:p>
      <w:pPr>
        <w:adjustRightInd w:val="0"/>
        <w:snapToGrid w:val="0"/>
        <w:spacing w:line="460" w:lineRule="exact"/>
        <w:ind w:firstLine="420" w:firstLineChars="200"/>
        <w:rPr>
          <w:bCs/>
          <w:snapToGrid w:val="0"/>
          <w:kern w:val="0"/>
          <w:szCs w:val="21"/>
          <w:highlight w:val="none"/>
        </w:rPr>
      </w:pPr>
      <w:r>
        <w:rPr>
          <w:bCs/>
          <w:snapToGrid w:val="0"/>
          <w:kern w:val="0"/>
          <w:szCs w:val="21"/>
          <w:highlight w:val="none"/>
        </w:rPr>
        <w:t>2.承包人出现严重违法违纪违规行为的，发包人将上报市检察院或监察机关依法查处，并提请建设行政主管部门根据《广州市建筑市场廉洁准入规定》进行处理。</w:t>
      </w:r>
    </w:p>
    <w:p>
      <w:pPr>
        <w:adjustRightInd w:val="0"/>
        <w:snapToGrid w:val="0"/>
        <w:spacing w:line="460" w:lineRule="exact"/>
        <w:rPr>
          <w:b/>
          <w:bCs/>
          <w:snapToGrid w:val="0"/>
          <w:kern w:val="0"/>
          <w:szCs w:val="21"/>
          <w:highlight w:val="none"/>
        </w:rPr>
      </w:pPr>
      <w:r>
        <w:rPr>
          <w:b/>
          <w:bCs/>
          <w:snapToGrid w:val="0"/>
          <w:kern w:val="0"/>
          <w:szCs w:val="21"/>
          <w:highlight w:val="none"/>
        </w:rPr>
        <w:t>第五条</w:t>
      </w:r>
      <w:r>
        <w:rPr>
          <w:rFonts w:hint="eastAsia"/>
          <w:b/>
          <w:bCs/>
          <w:snapToGrid w:val="0"/>
          <w:kern w:val="0"/>
          <w:szCs w:val="21"/>
          <w:highlight w:val="none"/>
        </w:rPr>
        <w:t xml:space="preserve"> </w:t>
      </w:r>
      <w:r>
        <w:rPr>
          <w:b/>
          <w:bCs/>
          <w:snapToGrid w:val="0"/>
          <w:kern w:val="0"/>
          <w:szCs w:val="21"/>
          <w:highlight w:val="none"/>
        </w:rPr>
        <w:t>本协议书作为合同的附件，与合同具有同等法律效力。经双方签字盖章后生效。</w:t>
      </w:r>
    </w:p>
    <w:p>
      <w:pPr>
        <w:adjustRightInd w:val="0"/>
        <w:snapToGrid w:val="0"/>
        <w:spacing w:line="460" w:lineRule="exact"/>
        <w:rPr>
          <w:b/>
          <w:bCs/>
          <w:snapToGrid w:val="0"/>
          <w:kern w:val="0"/>
          <w:szCs w:val="21"/>
          <w:highlight w:val="none"/>
        </w:rPr>
      </w:pPr>
      <w:r>
        <w:rPr>
          <w:b/>
          <w:bCs/>
          <w:snapToGrid w:val="0"/>
          <w:kern w:val="0"/>
          <w:szCs w:val="21"/>
          <w:highlight w:val="none"/>
        </w:rPr>
        <w:t>第</w:t>
      </w:r>
      <w:r>
        <w:rPr>
          <w:rFonts w:hint="eastAsia"/>
          <w:b/>
          <w:bCs/>
          <w:snapToGrid w:val="0"/>
          <w:kern w:val="0"/>
          <w:szCs w:val="21"/>
          <w:highlight w:val="none"/>
        </w:rPr>
        <w:t>六</w:t>
      </w:r>
      <w:r>
        <w:rPr>
          <w:b/>
          <w:bCs/>
          <w:snapToGrid w:val="0"/>
          <w:kern w:val="0"/>
          <w:szCs w:val="21"/>
          <w:highlight w:val="none"/>
        </w:rPr>
        <w:t>条</w:t>
      </w:r>
      <w:r>
        <w:rPr>
          <w:rFonts w:hint="eastAsia"/>
          <w:b/>
          <w:bCs/>
          <w:snapToGrid w:val="0"/>
          <w:kern w:val="0"/>
          <w:szCs w:val="21"/>
          <w:highlight w:val="none"/>
        </w:rPr>
        <w:t xml:space="preserve"> </w:t>
      </w:r>
      <w:r>
        <w:rPr>
          <w:b/>
          <w:bCs/>
          <w:snapToGrid w:val="0"/>
          <w:kern w:val="0"/>
          <w:szCs w:val="21"/>
          <w:highlight w:val="none"/>
        </w:rPr>
        <w:t>未尽事宜，由双方协商解决。</w:t>
      </w:r>
    </w:p>
    <w:p>
      <w:pPr>
        <w:adjustRightInd w:val="0"/>
        <w:snapToGrid w:val="0"/>
        <w:spacing w:line="460" w:lineRule="exact"/>
        <w:ind w:right="11"/>
        <w:rPr>
          <w:b/>
          <w:bCs/>
          <w:szCs w:val="21"/>
          <w:highlight w:val="none"/>
          <w:lang w:val="zh-CN"/>
        </w:rPr>
      </w:pPr>
    </w:p>
    <w:p>
      <w:pPr>
        <w:adjustRightInd w:val="0"/>
        <w:snapToGrid w:val="0"/>
        <w:spacing w:line="460" w:lineRule="exact"/>
        <w:ind w:right="11"/>
        <w:rPr>
          <w:bCs/>
          <w:szCs w:val="21"/>
          <w:highlight w:val="none"/>
          <w:lang w:val="zh-CN"/>
        </w:rPr>
      </w:pPr>
      <w:r>
        <w:rPr>
          <w:bCs/>
          <w:szCs w:val="21"/>
          <w:highlight w:val="none"/>
          <w:lang w:val="zh-CN"/>
        </w:rPr>
        <w:t>（以下无正文）</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highlight w:val="none"/>
                <w:lang w:val="zh-CN"/>
              </w:rPr>
            </w:pPr>
            <w:r>
              <w:rPr>
                <w:rFonts w:hAnsi="宋体"/>
                <w:bCs/>
                <w:sz w:val="24"/>
                <w:szCs w:val="21"/>
                <w:highlight w:val="none"/>
              </w:rPr>
              <w:t>甲方</w:t>
            </w:r>
            <w:r>
              <w:rPr>
                <w:rFonts w:hint="eastAsia" w:hAnsi="宋体"/>
                <w:bCs/>
                <w:sz w:val="24"/>
                <w:szCs w:val="21"/>
                <w:highlight w:val="none"/>
              </w:rPr>
              <w:t>（发包人）</w:t>
            </w:r>
            <w:r>
              <w:rPr>
                <w:rFonts w:hAnsi="宋体"/>
                <w:bCs/>
                <w:snapToGrid w:val="0"/>
                <w:sz w:val="24"/>
                <w:highlight w:val="none"/>
              </w:rPr>
              <w:t>：</w:t>
            </w:r>
          </w:p>
        </w:tc>
        <w:tc>
          <w:tcPr>
            <w:tcW w:w="283" w:type="dxa"/>
            <w:vAlign w:val="center"/>
          </w:tcPr>
          <w:p>
            <w:pPr>
              <w:rPr>
                <w:rFonts w:hAnsi="宋体"/>
                <w:bCs/>
                <w:snapToGrid w:val="0"/>
                <w:sz w:val="24"/>
                <w:highlight w:val="none"/>
              </w:rPr>
            </w:pPr>
          </w:p>
        </w:tc>
        <w:tc>
          <w:tcPr>
            <w:tcW w:w="4395" w:type="dxa"/>
            <w:vAlign w:val="center"/>
          </w:tcPr>
          <w:p>
            <w:pPr>
              <w:rPr>
                <w:rFonts w:hAnsi="宋体"/>
                <w:bCs/>
                <w:sz w:val="24"/>
                <w:highlight w:val="none"/>
                <w:lang w:val="zh-CN"/>
              </w:rPr>
            </w:pPr>
            <w:r>
              <w:rPr>
                <w:rFonts w:hAnsi="宋体"/>
                <w:bCs/>
                <w:sz w:val="24"/>
                <w:szCs w:val="21"/>
                <w:highlight w:val="none"/>
              </w:rPr>
              <w:t>乙方</w:t>
            </w:r>
            <w:r>
              <w:rPr>
                <w:rFonts w:hint="eastAsia" w:hAnsi="宋体"/>
                <w:bCs/>
                <w:sz w:val="24"/>
                <w:szCs w:val="21"/>
                <w:highlight w:val="none"/>
              </w:rPr>
              <w:t>（承包人）</w:t>
            </w:r>
            <w:r>
              <w:rPr>
                <w:rFonts w:hAnsi="宋体"/>
                <w:bCs/>
                <w:snapToGrid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highlight w:val="none"/>
              </w:rPr>
            </w:pPr>
            <w:r>
              <w:rPr>
                <w:rFonts w:hint="eastAsia" w:asciiTheme="majorEastAsia" w:hAnsiTheme="majorEastAsia" w:eastAsiaTheme="majorEastAsia"/>
                <w:b/>
                <w:bCs/>
                <w:sz w:val="24"/>
                <w:highlight w:val="none"/>
                <w:u w:val="single"/>
              </w:rPr>
              <w:t>广州市花都区公共建设项目管理中心</w:t>
            </w:r>
          </w:p>
        </w:tc>
        <w:tc>
          <w:tcPr>
            <w:tcW w:w="283" w:type="dxa"/>
            <w:vAlign w:val="center"/>
          </w:tcPr>
          <w:p>
            <w:pPr>
              <w:rPr>
                <w:rFonts w:hAnsi="宋体"/>
                <w:bCs/>
                <w:snapToGrid w:val="0"/>
                <w:sz w:val="24"/>
                <w:highlight w:val="none"/>
              </w:rPr>
            </w:pPr>
          </w:p>
        </w:tc>
        <w:tc>
          <w:tcPr>
            <w:tcW w:w="4395" w:type="dxa"/>
            <w:vAlign w:val="center"/>
          </w:tcPr>
          <w:p>
            <w:pPr>
              <w:rPr>
                <w:rFonts w:asciiTheme="minorEastAsia" w:hAnsiTheme="minorEastAsia" w:eastAsiaTheme="minorEastAsia"/>
                <w:b/>
                <w:bCs/>
                <w:snapToGrid w:val="0"/>
                <w:sz w:val="24"/>
                <w:highlight w:val="none"/>
                <w:u w:val="single"/>
              </w:rPr>
            </w:pPr>
            <w:r>
              <w:rPr>
                <w:rFonts w:hint="eastAsia" w:asciiTheme="minorEastAsia" w:hAnsiTheme="minorEastAsia" w:eastAsiaTheme="minorEastAsia"/>
                <w:b/>
                <w:bCs/>
                <w:snapToGrid w:val="0"/>
                <w:sz w:val="24"/>
                <w:highlight w:val="none"/>
                <w:u w:val="single"/>
              </w:rPr>
              <w:t xml:space="preserve"> </w:t>
            </w:r>
            <w:r>
              <w:rPr>
                <w:rFonts w:asciiTheme="minorEastAsia" w:hAnsiTheme="minorEastAsia" w:eastAsiaTheme="minorEastAsia"/>
                <w:b/>
                <w:bCs/>
                <w:snapToGrid w:val="0"/>
                <w:sz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c>
          <w:tcPr>
            <w:tcW w:w="283" w:type="dxa"/>
            <w:vAlign w:val="center"/>
          </w:tcPr>
          <w:p>
            <w:pPr>
              <w:rPr>
                <w:rFonts w:hAnsi="宋体"/>
                <w:bCs/>
                <w:snapToGrid w:val="0"/>
                <w:highlight w:val="none"/>
              </w:rPr>
            </w:pPr>
          </w:p>
        </w:tc>
        <w:tc>
          <w:tcPr>
            <w:tcW w:w="4395" w:type="dxa"/>
            <w:vAlign w:val="center"/>
          </w:tcPr>
          <w:p>
            <w:pPr>
              <w:rPr>
                <w:rFonts w:hAnsi="宋体"/>
                <w:bCs/>
                <w:highlight w:val="none"/>
              </w:rPr>
            </w:pPr>
          </w:p>
          <w:p>
            <w:pPr>
              <w:rPr>
                <w:rFonts w:hAnsi="宋体"/>
                <w:bCs/>
                <w:highlight w:val="none"/>
              </w:rPr>
            </w:pPr>
            <w:r>
              <w:rPr>
                <w:rFonts w:hAnsi="宋体"/>
                <w:bCs/>
                <w:highlight w:val="none"/>
                <w:lang w:val="zh-CN"/>
              </w:rPr>
              <w:t>法定代表人</w:t>
            </w:r>
            <w:r>
              <w:rPr>
                <w:rFonts w:hAnsi="宋体"/>
                <w:bCs/>
                <w:highlight w:val="none"/>
              </w:rPr>
              <w:t>：</w:t>
            </w:r>
          </w:p>
          <w:p>
            <w:pPr>
              <w:rPr>
                <w:rFonts w:hAnsi="宋体"/>
                <w:bCs/>
                <w:snapToGrid w:val="0"/>
                <w:highlight w:val="none"/>
              </w:rPr>
            </w:pPr>
            <w:r>
              <w:rPr>
                <w:rFonts w:hAnsi="宋体"/>
                <w:bCs/>
                <w:highlight w:val="none"/>
                <w:lang w:val="zh-CN"/>
              </w:rPr>
              <w:t>或委托代理人</w:t>
            </w:r>
            <w:r>
              <w:rPr>
                <w:rFonts w:hAnsi="宋体"/>
                <w:bCs/>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highlight w:val="none"/>
              </w:rPr>
            </w:pPr>
            <w:r>
              <w:rPr>
                <w:rFonts w:hint="eastAsia" w:hAnsi="宋体"/>
                <w:bCs/>
                <w:snapToGrid w:val="0"/>
                <w:highlight w:val="none"/>
              </w:rPr>
              <w:t>地址：广州市花都区公益路3</w:t>
            </w:r>
            <w:r>
              <w:rPr>
                <w:rFonts w:hAnsi="宋体"/>
                <w:bCs/>
                <w:snapToGrid w:val="0"/>
                <w:highlight w:val="none"/>
              </w:rPr>
              <w:t>9</w:t>
            </w:r>
            <w:r>
              <w:rPr>
                <w:rFonts w:hint="eastAsia" w:hAnsi="宋体"/>
                <w:bCs/>
                <w:snapToGrid w:val="0"/>
                <w:highlight w:val="none"/>
              </w:rPr>
              <w:t>号</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Ansi="宋体"/>
                <w:bCs/>
                <w:snapToGrid w:val="0"/>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highlight w:val="none"/>
              </w:rPr>
            </w:pPr>
            <w:r>
              <w:rPr>
                <w:rFonts w:hint="eastAsia" w:hAnsi="宋体"/>
                <w:bCs/>
                <w:snapToGrid w:val="0"/>
                <w:highlight w:val="none"/>
              </w:rPr>
              <w:t>电话：0</w:t>
            </w:r>
            <w:r>
              <w:rPr>
                <w:rFonts w:hAnsi="宋体"/>
                <w:bCs/>
                <w:snapToGrid w:val="0"/>
                <w:highlight w:val="none"/>
              </w:rPr>
              <w:t>20</w:t>
            </w:r>
            <w:r>
              <w:rPr>
                <w:rFonts w:hint="eastAsia" w:hAnsi="宋体"/>
                <w:bCs/>
                <w:snapToGrid w:val="0"/>
                <w:highlight w:val="none"/>
              </w:rPr>
              <w:t>-</w:t>
            </w:r>
            <w:r>
              <w:rPr>
                <w:rFonts w:hAnsi="宋体"/>
                <w:bCs/>
                <w:snapToGrid w:val="0"/>
                <w:highlight w:val="none"/>
              </w:rPr>
              <w:t>37760912</w:t>
            </w:r>
          </w:p>
        </w:tc>
        <w:tc>
          <w:tcPr>
            <w:tcW w:w="283" w:type="dxa"/>
            <w:vAlign w:val="center"/>
          </w:tcPr>
          <w:p>
            <w:pPr>
              <w:rPr>
                <w:rFonts w:hAnsi="宋体"/>
                <w:bCs/>
                <w:snapToGrid w:val="0"/>
                <w:highlight w:val="none"/>
              </w:rPr>
            </w:pPr>
          </w:p>
        </w:tc>
        <w:tc>
          <w:tcPr>
            <w:tcW w:w="4395" w:type="dxa"/>
            <w:vAlign w:val="center"/>
          </w:tcPr>
          <w:p>
            <w:pPr>
              <w:rPr>
                <w:rFonts w:hAnsi="宋体"/>
                <w:bCs/>
                <w:snapToGrid w:val="0"/>
                <w:highlight w:val="none"/>
              </w:rPr>
            </w:pPr>
            <w:r>
              <w:rPr>
                <w:rFonts w:hint="eastAsia" w:hAnsi="宋体"/>
                <w:bCs/>
                <w:snapToGrid w:val="0"/>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highlight w:val="none"/>
              </w:rPr>
            </w:pPr>
          </w:p>
        </w:tc>
        <w:tc>
          <w:tcPr>
            <w:tcW w:w="283" w:type="dxa"/>
            <w:vAlign w:val="center"/>
          </w:tcPr>
          <w:p>
            <w:pPr>
              <w:rPr>
                <w:rFonts w:hAnsi="宋体"/>
                <w:bCs/>
                <w:highlight w:val="none"/>
                <w:lang w:val="zh-CN"/>
              </w:rPr>
            </w:pPr>
          </w:p>
        </w:tc>
        <w:tc>
          <w:tcPr>
            <w:tcW w:w="4395" w:type="dxa"/>
            <w:vAlign w:val="center"/>
          </w:tcPr>
          <w:p>
            <w:pPr>
              <w:ind w:left="1050" w:hanging="1050" w:hangingChars="500"/>
              <w:rPr>
                <w:rFonts w:hAnsi="宋体"/>
                <w:bCs/>
                <w:snapToGrid w:val="0"/>
                <w:highlight w:val="none"/>
              </w:rPr>
            </w:pPr>
          </w:p>
        </w:tc>
      </w:tr>
    </w:tbl>
    <w:p>
      <w:pPr>
        <w:adjustRightInd w:val="0"/>
        <w:snapToGrid w:val="0"/>
        <w:spacing w:line="460" w:lineRule="exact"/>
        <w:ind w:right="11"/>
        <w:rPr>
          <w:b/>
          <w:bCs/>
          <w:szCs w:val="21"/>
          <w:highlight w:val="none"/>
          <w:lang w:val="zh-CN"/>
        </w:rPr>
      </w:pPr>
    </w:p>
    <w:p>
      <w:pPr>
        <w:widowControl/>
        <w:jc w:val="left"/>
        <w:rPr>
          <w:sz w:val="24"/>
          <w:highlight w:val="none"/>
        </w:rPr>
      </w:pPr>
      <w:r>
        <w:rPr>
          <w:sz w:val="24"/>
          <w:highlight w:val="none"/>
        </w:rPr>
        <w:br w:type="page"/>
      </w:r>
    </w:p>
    <w:p>
      <w:pPr>
        <w:adjustRightInd w:val="0"/>
        <w:snapToGrid w:val="0"/>
        <w:spacing w:line="360" w:lineRule="auto"/>
        <w:rPr>
          <w:b/>
          <w:snapToGrid w:val="0"/>
          <w:kern w:val="0"/>
          <w:sz w:val="24"/>
          <w:highlight w:val="none"/>
        </w:rPr>
      </w:pPr>
      <w:r>
        <w:rPr>
          <w:b/>
          <w:snapToGrid w:val="0"/>
          <w:kern w:val="0"/>
          <w:sz w:val="24"/>
          <w:highlight w:val="none"/>
        </w:rPr>
        <w:t>附件3：建设工程设计责任保险单</w:t>
      </w:r>
    </w:p>
    <w:p>
      <w:pPr>
        <w:widowControl/>
        <w:jc w:val="left"/>
        <w:rPr>
          <w:sz w:val="24"/>
          <w:highlight w:val="none"/>
        </w:rPr>
      </w:pPr>
    </w:p>
    <w:p>
      <w:pPr>
        <w:widowControl/>
        <w:jc w:val="left"/>
        <w:rPr>
          <w:sz w:val="24"/>
          <w:highlight w:val="none"/>
        </w:rPr>
      </w:pPr>
    </w:p>
    <w:p>
      <w:pPr>
        <w:widowControl/>
        <w:jc w:val="left"/>
        <w:rPr>
          <w:b/>
          <w:snapToGrid w:val="0"/>
          <w:kern w:val="0"/>
          <w:sz w:val="24"/>
          <w:highlight w:val="none"/>
        </w:rPr>
      </w:pPr>
      <w:r>
        <w:rPr>
          <w:b/>
          <w:snapToGrid w:val="0"/>
          <w:kern w:val="0"/>
          <w:sz w:val="24"/>
          <w:highlight w:val="none"/>
        </w:rPr>
        <w:t>附件4：履约保函</w:t>
      </w:r>
    </w:p>
    <w:p>
      <w:pPr>
        <w:widowControl/>
        <w:jc w:val="left"/>
        <w:rPr>
          <w:sz w:val="24"/>
          <w:highlight w:val="none"/>
        </w:rPr>
      </w:pPr>
    </w:p>
    <w:p>
      <w:pPr>
        <w:widowControl/>
        <w:jc w:val="left"/>
        <w:rPr>
          <w:sz w:val="24"/>
          <w:highlight w:val="none"/>
        </w:rPr>
      </w:pPr>
    </w:p>
    <w:p>
      <w:pPr>
        <w:widowControl/>
        <w:jc w:val="left"/>
        <w:rPr>
          <w:sz w:val="24"/>
          <w:highlight w:val="none"/>
        </w:rPr>
      </w:pPr>
    </w:p>
    <w:p>
      <w:pPr>
        <w:widowControl/>
        <w:jc w:val="left"/>
        <w:rPr>
          <w:b/>
          <w:snapToGrid w:val="0"/>
          <w:kern w:val="0"/>
          <w:sz w:val="24"/>
          <w:highlight w:val="none"/>
        </w:rPr>
      </w:pPr>
      <w:r>
        <w:rPr>
          <w:b/>
          <w:snapToGrid w:val="0"/>
          <w:kern w:val="0"/>
          <w:sz w:val="24"/>
          <w:highlight w:val="none"/>
        </w:rPr>
        <w:t>附件5：</w:t>
      </w:r>
      <w:r>
        <w:rPr>
          <w:rFonts w:hint="eastAsia"/>
          <w:b/>
          <w:snapToGrid w:val="0"/>
          <w:kern w:val="0"/>
          <w:sz w:val="24"/>
          <w:highlight w:val="none"/>
        </w:rPr>
        <w:t>拟投入本项目设计人员表</w:t>
      </w:r>
    </w:p>
    <w:p>
      <w:pPr>
        <w:pStyle w:val="8"/>
        <w:spacing w:line="360" w:lineRule="auto"/>
        <w:ind w:firstLineChars="0"/>
        <w:rPr>
          <w:sz w:val="24"/>
          <w:highlight w:val="none"/>
        </w:rPr>
      </w:pP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240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6" w:type="dxa"/>
            <w:vAlign w:val="center"/>
          </w:tcPr>
          <w:p>
            <w:pPr>
              <w:pStyle w:val="8"/>
              <w:spacing w:line="360" w:lineRule="auto"/>
              <w:ind w:firstLine="0" w:firstLineChars="0"/>
              <w:jc w:val="center"/>
              <w:rPr>
                <w:rFonts w:hAnsi="宋体"/>
                <w:b/>
                <w:sz w:val="24"/>
                <w:highlight w:val="none"/>
              </w:rPr>
            </w:pPr>
            <w:r>
              <w:rPr>
                <w:rFonts w:hint="eastAsia" w:hAnsi="宋体"/>
                <w:b/>
                <w:sz w:val="24"/>
                <w:highlight w:val="none"/>
              </w:rPr>
              <w:t>序号</w:t>
            </w:r>
          </w:p>
        </w:tc>
        <w:tc>
          <w:tcPr>
            <w:tcW w:w="1417" w:type="dxa"/>
            <w:vAlign w:val="center"/>
          </w:tcPr>
          <w:p>
            <w:pPr>
              <w:pStyle w:val="8"/>
              <w:spacing w:line="360" w:lineRule="auto"/>
              <w:ind w:firstLine="0" w:firstLineChars="0"/>
              <w:jc w:val="center"/>
              <w:rPr>
                <w:rFonts w:hAnsi="宋体"/>
                <w:b/>
                <w:sz w:val="24"/>
                <w:highlight w:val="none"/>
              </w:rPr>
            </w:pPr>
            <w:r>
              <w:rPr>
                <w:rFonts w:hint="eastAsia" w:hAnsi="宋体"/>
                <w:b/>
                <w:sz w:val="24"/>
                <w:highlight w:val="none"/>
              </w:rPr>
              <w:t>姓名</w:t>
            </w:r>
          </w:p>
        </w:tc>
        <w:tc>
          <w:tcPr>
            <w:tcW w:w="1985" w:type="dxa"/>
            <w:vAlign w:val="center"/>
          </w:tcPr>
          <w:p>
            <w:pPr>
              <w:pStyle w:val="8"/>
              <w:spacing w:line="360" w:lineRule="auto"/>
              <w:ind w:firstLine="0" w:firstLineChars="0"/>
              <w:jc w:val="center"/>
              <w:rPr>
                <w:rFonts w:hAnsi="宋体"/>
                <w:b/>
                <w:sz w:val="24"/>
                <w:highlight w:val="none"/>
              </w:rPr>
            </w:pPr>
            <w:r>
              <w:rPr>
                <w:rFonts w:hint="eastAsia" w:hAnsi="宋体"/>
                <w:b/>
                <w:sz w:val="24"/>
                <w:highlight w:val="none"/>
              </w:rPr>
              <w:t>岗位</w:t>
            </w:r>
          </w:p>
        </w:tc>
        <w:tc>
          <w:tcPr>
            <w:tcW w:w="2404" w:type="dxa"/>
            <w:vAlign w:val="center"/>
          </w:tcPr>
          <w:p>
            <w:pPr>
              <w:pStyle w:val="8"/>
              <w:spacing w:line="360" w:lineRule="auto"/>
              <w:ind w:firstLine="0" w:firstLineChars="0"/>
              <w:jc w:val="center"/>
              <w:rPr>
                <w:rFonts w:hAnsi="宋体"/>
                <w:b/>
                <w:sz w:val="24"/>
                <w:highlight w:val="none"/>
              </w:rPr>
            </w:pPr>
            <w:r>
              <w:rPr>
                <w:rFonts w:hint="eastAsia" w:hAnsi="宋体"/>
                <w:b/>
                <w:sz w:val="24"/>
                <w:highlight w:val="none"/>
              </w:rPr>
              <w:t>执业资格</w:t>
            </w:r>
          </w:p>
        </w:tc>
        <w:tc>
          <w:tcPr>
            <w:tcW w:w="1842" w:type="dxa"/>
            <w:vAlign w:val="center"/>
          </w:tcPr>
          <w:p>
            <w:pPr>
              <w:pStyle w:val="8"/>
              <w:spacing w:line="360" w:lineRule="auto"/>
              <w:ind w:firstLine="0" w:firstLineChars="0"/>
              <w:jc w:val="center"/>
              <w:rPr>
                <w:rFonts w:hAnsi="宋体"/>
                <w:b/>
                <w:sz w:val="24"/>
                <w:highlight w:val="none"/>
              </w:rPr>
            </w:pPr>
            <w:r>
              <w:rPr>
                <w:rFonts w:hint="eastAsia" w:hAnsi="宋体"/>
                <w:b/>
                <w:sz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r>
              <w:rPr>
                <w:rFonts w:hAnsi="宋体"/>
                <w:szCs w:val="21"/>
                <w:highlight w:val="none"/>
              </w:rPr>
              <w:t>1</w:t>
            </w: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设计项目负责人</w:t>
            </w: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2</w:t>
            </w: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建筑专业负责人</w:t>
            </w: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3</w:t>
            </w: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结构专业负责人</w:t>
            </w: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4</w:t>
            </w: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给排水专业负责人</w:t>
            </w: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5</w:t>
            </w: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暖通专业负责人</w:t>
            </w: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6</w:t>
            </w: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电气专业负责人</w:t>
            </w: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7</w:t>
            </w: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r>
              <w:rPr>
                <w:rFonts w:hint="eastAsia" w:hAnsi="宋体"/>
                <w:szCs w:val="21"/>
                <w:highlight w:val="none"/>
              </w:rPr>
              <w:t>造价专业负责人</w:t>
            </w: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rFonts w:hAnsi="宋体"/>
                <w:szCs w:val="21"/>
                <w:highlight w:val="none"/>
              </w:rPr>
            </w:pPr>
          </w:p>
        </w:tc>
        <w:tc>
          <w:tcPr>
            <w:tcW w:w="1417" w:type="dxa"/>
            <w:vAlign w:val="center"/>
          </w:tcPr>
          <w:p>
            <w:pPr>
              <w:pStyle w:val="8"/>
              <w:spacing w:line="360" w:lineRule="auto"/>
              <w:ind w:firstLine="0" w:firstLineChars="0"/>
              <w:jc w:val="center"/>
              <w:rPr>
                <w:rFonts w:hAnsi="宋体"/>
                <w:szCs w:val="21"/>
                <w:highlight w:val="none"/>
              </w:rPr>
            </w:pPr>
          </w:p>
        </w:tc>
        <w:tc>
          <w:tcPr>
            <w:tcW w:w="1985" w:type="dxa"/>
            <w:vAlign w:val="center"/>
          </w:tcPr>
          <w:p>
            <w:pPr>
              <w:pStyle w:val="8"/>
              <w:spacing w:line="360" w:lineRule="auto"/>
              <w:ind w:firstLine="0" w:firstLineChars="0"/>
              <w:jc w:val="center"/>
              <w:rPr>
                <w:rFonts w:hAnsi="宋体"/>
                <w:szCs w:val="21"/>
                <w:highlight w:val="none"/>
              </w:rPr>
            </w:pPr>
          </w:p>
        </w:tc>
        <w:tc>
          <w:tcPr>
            <w:tcW w:w="2404" w:type="dxa"/>
            <w:vAlign w:val="center"/>
          </w:tcPr>
          <w:p>
            <w:pPr>
              <w:pStyle w:val="8"/>
              <w:spacing w:line="360" w:lineRule="auto"/>
              <w:ind w:firstLine="0" w:firstLineChars="0"/>
              <w:jc w:val="center"/>
              <w:rPr>
                <w:rFonts w:hAnsi="宋体"/>
                <w:szCs w:val="21"/>
                <w:highlight w:val="none"/>
              </w:rPr>
            </w:pPr>
          </w:p>
        </w:tc>
        <w:tc>
          <w:tcPr>
            <w:tcW w:w="1842" w:type="dxa"/>
            <w:vAlign w:val="center"/>
          </w:tcPr>
          <w:p>
            <w:pPr>
              <w:pStyle w:val="8"/>
              <w:spacing w:line="360" w:lineRule="auto"/>
              <w:ind w:firstLine="0" w:firstLineChars="0"/>
              <w:jc w:val="center"/>
              <w:rPr>
                <w:rFonts w:hAnsi="宋体"/>
                <w:szCs w:val="21"/>
                <w:highlight w:val="none"/>
              </w:rPr>
            </w:pPr>
          </w:p>
        </w:tc>
      </w:tr>
    </w:tbl>
    <w:p>
      <w:pPr>
        <w:pStyle w:val="8"/>
        <w:spacing w:line="360" w:lineRule="auto"/>
        <w:ind w:firstLineChars="0"/>
        <w:rPr>
          <w:sz w:val="24"/>
          <w:highlight w:val="none"/>
        </w:rPr>
      </w:pPr>
    </w:p>
    <w:p>
      <w:pPr>
        <w:pStyle w:val="8"/>
        <w:spacing w:line="360" w:lineRule="auto"/>
        <w:ind w:firstLineChars="0"/>
        <w:rPr>
          <w:sz w:val="24"/>
          <w:highlight w:val="none"/>
        </w:rPr>
      </w:pPr>
    </w:p>
    <w:sectPr>
      <w:headerReference r:id="rId6" w:type="default"/>
      <w:pgSz w:w="11906" w:h="16838"/>
      <w:pgMar w:top="1440" w:right="1701" w:bottom="1440" w:left="1701"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大标宋简体">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946378"/>
    </w:sdtPr>
    <w:sdtEndPr>
      <w:rPr>
        <w:rFonts w:ascii="仿宋" w:hAnsi="仿宋" w:eastAsia="仿宋"/>
      </w:rPr>
    </w:sdtEndPr>
    <w:sdtContent>
      <w:sdt>
        <w:sdtPr>
          <w:id w:val="-899284697"/>
        </w:sdtPr>
        <w:sdtEndPr>
          <w:rPr>
            <w:rFonts w:ascii="仿宋" w:hAnsi="仿宋" w:eastAsia="仿宋"/>
          </w:rPr>
        </w:sdtEndPr>
        <w:sdtContent>
          <w:p>
            <w:pPr>
              <w:pStyle w:val="48"/>
              <w:jc w:val="center"/>
              <w:rPr>
                <w:rFonts w:ascii="仿宋" w:hAnsi="仿宋" w:eastAsia="仿宋"/>
              </w:rPr>
            </w:pPr>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6</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200</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198</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rPr>
        <w:rFonts w:ascii="仿宋" w:hAnsi="仿宋" w:eastAsia="仿宋"/>
      </w:rPr>
    </w:pPr>
    <w:sdt>
      <w:sdtPr>
        <w:id w:val="2072835987"/>
      </w:sdtPr>
      <w:sdtEndPr>
        <w:rPr>
          <w:rFonts w:ascii="仿宋" w:hAnsi="仿宋" w:eastAsia="仿宋"/>
        </w:rPr>
      </w:sdtEndPr>
      <w:sdtContent>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21</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200</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198</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C1A2"/>
    <w:multiLevelType w:val="singleLevel"/>
    <w:tmpl w:val="862FC1A2"/>
    <w:lvl w:ilvl="0" w:tentative="0">
      <w:start w:val="2"/>
      <w:numFmt w:val="decimal"/>
      <w:suff w:val="nothing"/>
      <w:lvlText w:val="%1、"/>
      <w:lvlJc w:val="left"/>
    </w:lvl>
  </w:abstractNum>
  <w:abstractNum w:abstractNumId="1">
    <w:nsid w:val="D58B69A8"/>
    <w:multiLevelType w:val="singleLevel"/>
    <w:tmpl w:val="D58B69A8"/>
    <w:lvl w:ilvl="0" w:tentative="0">
      <w:start w:val="24"/>
      <w:numFmt w:val="decimal"/>
      <w:suff w:val="nothing"/>
      <w:lvlText w:val="%1、"/>
      <w:lvlJc w:val="left"/>
    </w:lvl>
  </w:abstractNum>
  <w:abstractNum w:abstractNumId="2">
    <w:nsid w:val="E7419416"/>
    <w:multiLevelType w:val="singleLevel"/>
    <w:tmpl w:val="E741941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pStyle w:val="352"/>
      <w:lvlText w:val="%1、"/>
      <w:lvlJc w:val="left"/>
      <w:pPr>
        <w:ind w:left="420" w:hanging="420"/>
      </w:pPr>
      <w:rPr>
        <w:rFonts w:ascii="Times New Roman" w:hAnsi="Times New Roman" w:eastAsia="宋体" w:cs="Times New Roman"/>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4">
    <w:nsid w:val="0000000C"/>
    <w:multiLevelType w:val="singleLevel"/>
    <w:tmpl w:val="0000000C"/>
    <w:lvl w:ilvl="0" w:tentative="0">
      <w:start w:val="1"/>
      <w:numFmt w:val="decimal"/>
      <w:pStyle w:val="15"/>
      <w:suff w:val="nothing"/>
      <w:lvlText w:val="（%1）"/>
      <w:lvlJc w:val="left"/>
      <w:pPr>
        <w:ind w:left="0" w:firstLine="0"/>
      </w:pPr>
    </w:lvl>
  </w:abstractNum>
  <w:abstractNum w:abstractNumId="5">
    <w:nsid w:val="0000000E"/>
    <w:multiLevelType w:val="multilevel"/>
    <w:tmpl w:val="0000000E"/>
    <w:lvl w:ilvl="0" w:tentative="0">
      <w:start w:val="1"/>
      <w:numFmt w:val="japaneseCounting"/>
      <w:pStyle w:val="17"/>
      <w:lvlText w:val="第%1篇"/>
      <w:lvlJc w:val="left"/>
      <w:pPr>
        <w:ind w:left="1440" w:hanging="144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F"/>
    <w:multiLevelType w:val="singleLevel"/>
    <w:tmpl w:val="0000000F"/>
    <w:lvl w:ilvl="0" w:tentative="0">
      <w:start w:val="17"/>
      <w:numFmt w:val="decimal"/>
      <w:pStyle w:val="20"/>
      <w:suff w:val="nothing"/>
      <w:lvlText w:val="（%1）"/>
      <w:lvlJc w:val="left"/>
      <w:pPr>
        <w:ind w:left="0" w:firstLine="0"/>
      </w:pPr>
    </w:lvl>
  </w:abstractNum>
  <w:abstractNum w:abstractNumId="7">
    <w:nsid w:val="00000010"/>
    <w:multiLevelType w:val="multilevel"/>
    <w:tmpl w:val="00000010"/>
    <w:lvl w:ilvl="0" w:tentative="0">
      <w:start w:val="1"/>
      <w:numFmt w:val="chineseCountingThousand"/>
      <w:pStyle w:val="28"/>
      <w:lvlText w:val="%1、"/>
      <w:lvlJc w:val="left"/>
      <w:pPr>
        <w:tabs>
          <w:tab w:val="left" w:pos="814"/>
        </w:tabs>
        <w:ind w:left="0" w:firstLine="454"/>
      </w:pPr>
      <w:rPr>
        <w:rFonts w:hint="eastAsia" w:ascii="Times New Roman" w:hAnsi="Times New Roman" w:eastAsia="黑体"/>
        <w:sz w:val="24"/>
        <w:szCs w:val="24"/>
      </w:rPr>
    </w:lvl>
    <w:lvl w:ilvl="1" w:tentative="0">
      <w:start w:val="1"/>
      <w:numFmt w:val="decimal"/>
      <w:lvlText w:val="%2."/>
      <w:lvlJc w:val="left"/>
      <w:pPr>
        <w:tabs>
          <w:tab w:val="left" w:pos="780"/>
        </w:tabs>
        <w:ind w:left="-90" w:firstLine="510"/>
      </w:pPr>
    </w:lvl>
    <w:lvl w:ilvl="2" w:tentative="0">
      <w:start w:val="1"/>
      <w:numFmt w:val="decimal"/>
      <w:lvlText w:val="(%3)"/>
      <w:lvlJc w:val="left"/>
      <w:pPr>
        <w:tabs>
          <w:tab w:val="left" w:pos="1200"/>
        </w:tabs>
        <w:ind w:left="1200" w:hanging="36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6"/>
    <w:multiLevelType w:val="multilevel"/>
    <w:tmpl w:val="00000016"/>
    <w:lvl w:ilvl="0" w:tentative="0">
      <w:start w:val="1"/>
      <w:numFmt w:val="decimal"/>
      <w:lvlText w:val="（%1）"/>
      <w:lvlJc w:val="left"/>
      <w:pPr>
        <w:ind w:left="1140" w:hanging="7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pStyle w:val="304"/>
      <w:lvlText w:val="%5)"/>
      <w:lvlJc w:val="left"/>
      <w:pPr>
        <w:ind w:left="2520" w:hanging="420"/>
      </w:pPr>
    </w:lvl>
    <w:lvl w:ilvl="5" w:tentative="0">
      <w:start w:val="1"/>
      <w:numFmt w:val="lowerRoman"/>
      <w:lvlRestart w:val="0"/>
      <w:pStyle w:val="233"/>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0">
    <w:nsid w:val="00000017"/>
    <w:multiLevelType w:val="multilevel"/>
    <w:tmpl w:val="00000017"/>
    <w:lvl w:ilvl="0" w:tentative="0">
      <w:start w:val="3"/>
      <w:numFmt w:val="bullet"/>
      <w:pStyle w:val="206"/>
      <w:lvlText w:val="□"/>
      <w:lvlJc w:val="left"/>
      <w:pPr>
        <w:tabs>
          <w:tab w:val="left" w:pos="782"/>
        </w:tabs>
        <w:ind w:left="782" w:hanging="360"/>
      </w:pPr>
      <w:rPr>
        <w:rFonts w:hint="eastAsia" w:ascii="宋体" w:hAnsi="宋体" w:eastAsia="宋体" w:cs="Times New Roman"/>
        <w:b/>
      </w:rPr>
    </w:lvl>
    <w:lvl w:ilvl="1" w:tentative="0">
      <w:start w:val="1"/>
      <w:numFmt w:val="bullet"/>
      <w:lvlRestart w:val="0"/>
      <w:lvlText w:val=""/>
      <w:lvlJc w:val="left"/>
      <w:pPr>
        <w:tabs>
          <w:tab w:val="left" w:pos="1262"/>
        </w:tabs>
        <w:ind w:left="1262" w:hanging="420"/>
      </w:pPr>
      <w:rPr>
        <w:rFonts w:hint="default" w:ascii="Wingdings" w:hAnsi="Wingdings"/>
      </w:rPr>
    </w:lvl>
    <w:lvl w:ilvl="2" w:tentative="0">
      <w:start w:val="1"/>
      <w:numFmt w:val="bullet"/>
      <w:lvlRestart w:val="0"/>
      <w:lvlText w:val=""/>
      <w:lvlJc w:val="left"/>
      <w:pPr>
        <w:tabs>
          <w:tab w:val="left" w:pos="1682"/>
        </w:tabs>
        <w:ind w:left="1682" w:hanging="420"/>
      </w:pPr>
      <w:rPr>
        <w:rFonts w:hint="default" w:ascii="Wingdings" w:hAnsi="Wingdings"/>
      </w:rPr>
    </w:lvl>
    <w:lvl w:ilvl="3" w:tentative="0">
      <w:start w:val="1"/>
      <w:numFmt w:val="bullet"/>
      <w:lvlRestart w:val="0"/>
      <w:lvlText w:val=""/>
      <w:lvlJc w:val="left"/>
      <w:pPr>
        <w:tabs>
          <w:tab w:val="left" w:pos="2102"/>
        </w:tabs>
        <w:ind w:left="2102" w:hanging="420"/>
      </w:pPr>
      <w:rPr>
        <w:rFonts w:hint="default" w:ascii="Wingdings" w:hAnsi="Wingdings"/>
      </w:rPr>
    </w:lvl>
    <w:lvl w:ilvl="4" w:tentative="0">
      <w:start w:val="1"/>
      <w:numFmt w:val="bullet"/>
      <w:lvlRestart w:val="0"/>
      <w:lvlText w:val=""/>
      <w:lvlJc w:val="left"/>
      <w:pPr>
        <w:tabs>
          <w:tab w:val="left" w:pos="2522"/>
        </w:tabs>
        <w:ind w:left="2522" w:hanging="420"/>
      </w:pPr>
      <w:rPr>
        <w:rFonts w:hint="default" w:ascii="Wingdings" w:hAnsi="Wingdings"/>
      </w:rPr>
    </w:lvl>
    <w:lvl w:ilvl="5" w:tentative="0">
      <w:start w:val="1"/>
      <w:numFmt w:val="bullet"/>
      <w:lvlRestart w:val="0"/>
      <w:lvlText w:val=""/>
      <w:lvlJc w:val="left"/>
      <w:pPr>
        <w:tabs>
          <w:tab w:val="left" w:pos="2942"/>
        </w:tabs>
        <w:ind w:left="2942" w:hanging="420"/>
      </w:pPr>
      <w:rPr>
        <w:rFonts w:hint="default" w:ascii="Wingdings" w:hAnsi="Wingdings"/>
      </w:rPr>
    </w:lvl>
    <w:lvl w:ilvl="6" w:tentative="0">
      <w:start w:val="1"/>
      <w:numFmt w:val="bullet"/>
      <w:lvlRestart w:val="0"/>
      <w:lvlText w:val=""/>
      <w:lvlJc w:val="left"/>
      <w:pPr>
        <w:tabs>
          <w:tab w:val="left" w:pos="3362"/>
        </w:tabs>
        <w:ind w:left="3362" w:hanging="420"/>
      </w:pPr>
      <w:rPr>
        <w:rFonts w:hint="default" w:ascii="Wingdings" w:hAnsi="Wingdings"/>
      </w:rPr>
    </w:lvl>
    <w:lvl w:ilvl="7" w:tentative="0">
      <w:start w:val="1"/>
      <w:numFmt w:val="bullet"/>
      <w:lvlRestart w:val="0"/>
      <w:lvlText w:val=""/>
      <w:lvlJc w:val="left"/>
      <w:pPr>
        <w:tabs>
          <w:tab w:val="left" w:pos="3782"/>
        </w:tabs>
        <w:ind w:left="3782" w:hanging="420"/>
      </w:pPr>
      <w:rPr>
        <w:rFonts w:hint="default" w:ascii="Wingdings" w:hAnsi="Wingdings"/>
      </w:rPr>
    </w:lvl>
    <w:lvl w:ilvl="8" w:tentative="0">
      <w:start w:val="1"/>
      <w:numFmt w:val="bullet"/>
      <w:lvlRestart w:val="0"/>
      <w:lvlText w:val=""/>
      <w:lvlJc w:val="left"/>
      <w:pPr>
        <w:tabs>
          <w:tab w:val="left" w:pos="4202"/>
        </w:tabs>
        <w:ind w:left="4202" w:hanging="420"/>
      </w:pPr>
      <w:rPr>
        <w:rFonts w:hint="default" w:ascii="Wingdings" w:hAnsi="Wingdings"/>
      </w:rPr>
    </w:lvl>
  </w:abstractNum>
  <w:abstractNum w:abstractNumId="11">
    <w:nsid w:val="00000018"/>
    <w:multiLevelType w:val="multilevel"/>
    <w:tmpl w:val="00000018"/>
    <w:lvl w:ilvl="0" w:tentative="0">
      <w:start w:val="1"/>
      <w:numFmt w:val="decimal"/>
      <w:pStyle w:val="41"/>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2">
    <w:nsid w:val="00000019"/>
    <w:multiLevelType w:val="multilevel"/>
    <w:tmpl w:val="00000019"/>
    <w:lvl w:ilvl="0" w:tentative="0">
      <w:start w:val="6"/>
      <w:numFmt w:val="japaneseCounting"/>
      <w:pStyle w:val="35"/>
      <w:lvlText w:val="第%1篇"/>
      <w:lvlJc w:val="left"/>
      <w:pPr>
        <w:tabs>
          <w:tab w:val="left" w:pos="2480"/>
        </w:tabs>
        <w:ind w:left="2480" w:hanging="1770"/>
      </w:p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tentative="0">
      <w:start w:val="1"/>
      <w:numFmt w:val="decimal"/>
      <w:pStyle w:val="56"/>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4">
    <w:nsid w:val="162ADCF5"/>
    <w:multiLevelType w:val="singleLevel"/>
    <w:tmpl w:val="162ADCF5"/>
    <w:lvl w:ilvl="0" w:tentative="0">
      <w:start w:val="28"/>
      <w:numFmt w:val="decimal"/>
      <w:suff w:val="nothing"/>
      <w:lvlText w:val="%1、"/>
      <w:lvlJc w:val="left"/>
    </w:lvl>
  </w:abstractNum>
  <w:abstractNum w:abstractNumId="15">
    <w:nsid w:val="1EB5424D"/>
    <w:multiLevelType w:val="multilevel"/>
    <w:tmpl w:val="1EB5424D"/>
    <w:lvl w:ilvl="0" w:tentative="0">
      <w:start w:val="1"/>
      <w:numFmt w:val="decimalEnclosedCircle"/>
      <w:lvlText w:val="%1"/>
      <w:lvlJc w:val="left"/>
      <w:pPr>
        <w:ind w:left="917" w:hanging="360"/>
      </w:pPr>
      <w:rPr>
        <w:rFonts w:hint="default" w:ascii="宋体" w:hAnsi="宋体" w:cs="宋体"/>
      </w:rPr>
    </w:lvl>
    <w:lvl w:ilvl="1" w:tentative="0">
      <w:start w:val="1"/>
      <w:numFmt w:val="lowerLetter"/>
      <w:lvlText w:val="%2)"/>
      <w:lvlJc w:val="left"/>
      <w:pPr>
        <w:ind w:left="1397" w:hanging="420"/>
      </w:pPr>
    </w:lvl>
    <w:lvl w:ilvl="2" w:tentative="0">
      <w:start w:val="1"/>
      <w:numFmt w:val="lowerRoman"/>
      <w:lvlText w:val="%3."/>
      <w:lvlJc w:val="right"/>
      <w:pPr>
        <w:ind w:left="1817" w:hanging="420"/>
      </w:pPr>
    </w:lvl>
    <w:lvl w:ilvl="3" w:tentative="0">
      <w:start w:val="1"/>
      <w:numFmt w:val="decimal"/>
      <w:lvlText w:val="%4."/>
      <w:lvlJc w:val="left"/>
      <w:pPr>
        <w:ind w:left="2237" w:hanging="420"/>
      </w:pPr>
    </w:lvl>
    <w:lvl w:ilvl="4" w:tentative="0">
      <w:start w:val="1"/>
      <w:numFmt w:val="lowerLetter"/>
      <w:lvlText w:val="%5)"/>
      <w:lvlJc w:val="left"/>
      <w:pPr>
        <w:ind w:left="2657" w:hanging="420"/>
      </w:pPr>
    </w:lvl>
    <w:lvl w:ilvl="5" w:tentative="0">
      <w:start w:val="1"/>
      <w:numFmt w:val="lowerRoman"/>
      <w:lvlText w:val="%6."/>
      <w:lvlJc w:val="right"/>
      <w:pPr>
        <w:ind w:left="3077" w:hanging="420"/>
      </w:pPr>
    </w:lvl>
    <w:lvl w:ilvl="6" w:tentative="0">
      <w:start w:val="1"/>
      <w:numFmt w:val="decimal"/>
      <w:lvlText w:val="%7."/>
      <w:lvlJc w:val="left"/>
      <w:pPr>
        <w:ind w:left="3497" w:hanging="420"/>
      </w:pPr>
    </w:lvl>
    <w:lvl w:ilvl="7" w:tentative="0">
      <w:start w:val="1"/>
      <w:numFmt w:val="lowerLetter"/>
      <w:lvlText w:val="%8)"/>
      <w:lvlJc w:val="left"/>
      <w:pPr>
        <w:ind w:left="3917" w:hanging="420"/>
      </w:pPr>
    </w:lvl>
    <w:lvl w:ilvl="8" w:tentative="0">
      <w:start w:val="1"/>
      <w:numFmt w:val="lowerRoman"/>
      <w:lvlText w:val="%9."/>
      <w:lvlJc w:val="right"/>
      <w:pPr>
        <w:ind w:left="4337" w:hanging="420"/>
      </w:pPr>
    </w:lvl>
  </w:abstractNum>
  <w:abstractNum w:abstractNumId="16">
    <w:nsid w:val="2F394B73"/>
    <w:multiLevelType w:val="multilevel"/>
    <w:tmpl w:val="2F394B73"/>
    <w:lvl w:ilvl="0" w:tentative="0">
      <w:start w:val="1"/>
      <w:numFmt w:val="decimal"/>
      <w:pStyle w:val="3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2C1925"/>
    <w:multiLevelType w:val="multilevel"/>
    <w:tmpl w:val="3C2C1925"/>
    <w:lvl w:ilvl="0" w:tentative="0">
      <w:start w:val="1"/>
      <w:numFmt w:val="decimalEnclosedCircle"/>
      <w:lvlText w:val="%1"/>
      <w:lvlJc w:val="left"/>
      <w:pPr>
        <w:ind w:left="917" w:hanging="360"/>
      </w:pPr>
      <w:rPr>
        <w:rFonts w:hint="default" w:ascii="宋体" w:hAnsi="宋体" w:cs="宋体"/>
      </w:rPr>
    </w:lvl>
    <w:lvl w:ilvl="1" w:tentative="0">
      <w:start w:val="1"/>
      <w:numFmt w:val="lowerLetter"/>
      <w:lvlText w:val="%2)"/>
      <w:lvlJc w:val="left"/>
      <w:pPr>
        <w:ind w:left="1397" w:hanging="420"/>
      </w:pPr>
    </w:lvl>
    <w:lvl w:ilvl="2" w:tentative="0">
      <w:start w:val="1"/>
      <w:numFmt w:val="lowerRoman"/>
      <w:lvlText w:val="%3."/>
      <w:lvlJc w:val="right"/>
      <w:pPr>
        <w:ind w:left="1817" w:hanging="420"/>
      </w:pPr>
    </w:lvl>
    <w:lvl w:ilvl="3" w:tentative="0">
      <w:start w:val="1"/>
      <w:numFmt w:val="decimal"/>
      <w:lvlText w:val="%4."/>
      <w:lvlJc w:val="left"/>
      <w:pPr>
        <w:ind w:left="2237" w:hanging="420"/>
      </w:pPr>
    </w:lvl>
    <w:lvl w:ilvl="4" w:tentative="0">
      <w:start w:val="1"/>
      <w:numFmt w:val="lowerLetter"/>
      <w:lvlText w:val="%5)"/>
      <w:lvlJc w:val="left"/>
      <w:pPr>
        <w:ind w:left="2657" w:hanging="420"/>
      </w:pPr>
    </w:lvl>
    <w:lvl w:ilvl="5" w:tentative="0">
      <w:start w:val="1"/>
      <w:numFmt w:val="lowerRoman"/>
      <w:lvlText w:val="%6."/>
      <w:lvlJc w:val="right"/>
      <w:pPr>
        <w:ind w:left="3077" w:hanging="420"/>
      </w:pPr>
    </w:lvl>
    <w:lvl w:ilvl="6" w:tentative="0">
      <w:start w:val="1"/>
      <w:numFmt w:val="decimal"/>
      <w:lvlText w:val="%7."/>
      <w:lvlJc w:val="left"/>
      <w:pPr>
        <w:ind w:left="3497" w:hanging="420"/>
      </w:pPr>
    </w:lvl>
    <w:lvl w:ilvl="7" w:tentative="0">
      <w:start w:val="1"/>
      <w:numFmt w:val="lowerLetter"/>
      <w:lvlText w:val="%8)"/>
      <w:lvlJc w:val="left"/>
      <w:pPr>
        <w:ind w:left="3917" w:hanging="420"/>
      </w:pPr>
    </w:lvl>
    <w:lvl w:ilvl="8" w:tentative="0">
      <w:start w:val="1"/>
      <w:numFmt w:val="lowerRoman"/>
      <w:lvlText w:val="%9."/>
      <w:lvlJc w:val="right"/>
      <w:pPr>
        <w:ind w:left="4337" w:hanging="420"/>
      </w:pPr>
    </w:lvl>
  </w:abstractNum>
  <w:abstractNum w:abstractNumId="18">
    <w:nsid w:val="56CE59A2"/>
    <w:multiLevelType w:val="singleLevel"/>
    <w:tmpl w:val="56CE59A2"/>
    <w:lvl w:ilvl="0" w:tentative="0">
      <w:start w:val="5"/>
      <w:numFmt w:val="decimal"/>
      <w:pStyle w:val="40"/>
      <w:suff w:val="nothing"/>
      <w:lvlText w:val="（%1）"/>
      <w:lvlJc w:val="left"/>
      <w:pPr>
        <w:ind w:left="0" w:firstLine="0"/>
      </w:pPr>
    </w:lvl>
  </w:abstractNum>
  <w:abstractNum w:abstractNumId="19">
    <w:nsid w:val="596E11C7"/>
    <w:multiLevelType w:val="multilevel"/>
    <w:tmpl w:val="596E11C7"/>
    <w:lvl w:ilvl="0" w:tentative="0">
      <w:start w:val="1"/>
      <w:numFmt w:val="japaneseCounting"/>
      <w:lvlText w:val="第%1篇"/>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17"/>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NTBlMjMzM2VlYWFkMzQ1ZDZhNjNlNTU2OWFjOTkifQ=="/>
  </w:docVars>
  <w:rsids>
    <w:rsidRoot w:val="00A46CEE"/>
    <w:rsid w:val="00001AC7"/>
    <w:rsid w:val="00007850"/>
    <w:rsid w:val="00011572"/>
    <w:rsid w:val="00013AD9"/>
    <w:rsid w:val="00014C0E"/>
    <w:rsid w:val="000150A9"/>
    <w:rsid w:val="00015AB8"/>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0492"/>
    <w:rsid w:val="00092094"/>
    <w:rsid w:val="00093866"/>
    <w:rsid w:val="00094B7C"/>
    <w:rsid w:val="00094D72"/>
    <w:rsid w:val="00095272"/>
    <w:rsid w:val="00095BE6"/>
    <w:rsid w:val="0009604E"/>
    <w:rsid w:val="00096803"/>
    <w:rsid w:val="000A0290"/>
    <w:rsid w:val="000A2D4E"/>
    <w:rsid w:val="000A4C3A"/>
    <w:rsid w:val="000B335D"/>
    <w:rsid w:val="000B5926"/>
    <w:rsid w:val="000B613B"/>
    <w:rsid w:val="000B7E51"/>
    <w:rsid w:val="000C0CBA"/>
    <w:rsid w:val="000C31F1"/>
    <w:rsid w:val="000C5136"/>
    <w:rsid w:val="000D1FAE"/>
    <w:rsid w:val="000D465B"/>
    <w:rsid w:val="000D6505"/>
    <w:rsid w:val="000D65D5"/>
    <w:rsid w:val="000D7463"/>
    <w:rsid w:val="000E0EB4"/>
    <w:rsid w:val="000E573E"/>
    <w:rsid w:val="000E6708"/>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C05"/>
    <w:rsid w:val="00194E4C"/>
    <w:rsid w:val="001968FF"/>
    <w:rsid w:val="00196AAC"/>
    <w:rsid w:val="001A4F32"/>
    <w:rsid w:val="001A5B73"/>
    <w:rsid w:val="001A71C6"/>
    <w:rsid w:val="001A74B2"/>
    <w:rsid w:val="001B2981"/>
    <w:rsid w:val="001B3438"/>
    <w:rsid w:val="001B777E"/>
    <w:rsid w:val="001B7902"/>
    <w:rsid w:val="001B7C9E"/>
    <w:rsid w:val="001C1F92"/>
    <w:rsid w:val="001C3755"/>
    <w:rsid w:val="001C4835"/>
    <w:rsid w:val="001C56CD"/>
    <w:rsid w:val="001C5BFC"/>
    <w:rsid w:val="001D172B"/>
    <w:rsid w:val="001D3384"/>
    <w:rsid w:val="001D3F08"/>
    <w:rsid w:val="001D41EB"/>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308"/>
    <w:rsid w:val="00245858"/>
    <w:rsid w:val="00250756"/>
    <w:rsid w:val="00250A7D"/>
    <w:rsid w:val="00251D13"/>
    <w:rsid w:val="002549E8"/>
    <w:rsid w:val="00255CBA"/>
    <w:rsid w:val="00260F05"/>
    <w:rsid w:val="00261583"/>
    <w:rsid w:val="00261B6C"/>
    <w:rsid w:val="002629BA"/>
    <w:rsid w:val="00266B18"/>
    <w:rsid w:val="0026757C"/>
    <w:rsid w:val="002735F9"/>
    <w:rsid w:val="00282026"/>
    <w:rsid w:val="0028266C"/>
    <w:rsid w:val="002837B4"/>
    <w:rsid w:val="002906E7"/>
    <w:rsid w:val="00295644"/>
    <w:rsid w:val="00296047"/>
    <w:rsid w:val="002965E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4EA"/>
    <w:rsid w:val="00300E19"/>
    <w:rsid w:val="003022B7"/>
    <w:rsid w:val="003047AD"/>
    <w:rsid w:val="003049B8"/>
    <w:rsid w:val="00306504"/>
    <w:rsid w:val="00306D4D"/>
    <w:rsid w:val="00307857"/>
    <w:rsid w:val="00307ECA"/>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65218"/>
    <w:rsid w:val="00365462"/>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9C8"/>
    <w:rsid w:val="003E5C09"/>
    <w:rsid w:val="003E7A3A"/>
    <w:rsid w:val="003F5E6A"/>
    <w:rsid w:val="003F6841"/>
    <w:rsid w:val="003F7710"/>
    <w:rsid w:val="004010CC"/>
    <w:rsid w:val="00401537"/>
    <w:rsid w:val="004078BE"/>
    <w:rsid w:val="004111F5"/>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3CF0"/>
    <w:rsid w:val="004552FD"/>
    <w:rsid w:val="004558CB"/>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3746"/>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05264"/>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1BC1"/>
    <w:rsid w:val="00624007"/>
    <w:rsid w:val="006256A2"/>
    <w:rsid w:val="006268FE"/>
    <w:rsid w:val="0063240E"/>
    <w:rsid w:val="00632EE5"/>
    <w:rsid w:val="00637414"/>
    <w:rsid w:val="00644D84"/>
    <w:rsid w:val="006528DF"/>
    <w:rsid w:val="00652B7B"/>
    <w:rsid w:val="0065541A"/>
    <w:rsid w:val="00656251"/>
    <w:rsid w:val="00656CA7"/>
    <w:rsid w:val="00657767"/>
    <w:rsid w:val="006619BF"/>
    <w:rsid w:val="00664635"/>
    <w:rsid w:val="00665AB5"/>
    <w:rsid w:val="006712C4"/>
    <w:rsid w:val="00672546"/>
    <w:rsid w:val="00672592"/>
    <w:rsid w:val="00673274"/>
    <w:rsid w:val="006734FE"/>
    <w:rsid w:val="00675863"/>
    <w:rsid w:val="00681E73"/>
    <w:rsid w:val="00684F54"/>
    <w:rsid w:val="006857A1"/>
    <w:rsid w:val="00693B35"/>
    <w:rsid w:val="006A0860"/>
    <w:rsid w:val="006A1050"/>
    <w:rsid w:val="006A1D50"/>
    <w:rsid w:val="006A2559"/>
    <w:rsid w:val="006A3986"/>
    <w:rsid w:val="006A4ECB"/>
    <w:rsid w:val="006A59DD"/>
    <w:rsid w:val="006A5D73"/>
    <w:rsid w:val="006A5F75"/>
    <w:rsid w:val="006B0B74"/>
    <w:rsid w:val="006B1BC7"/>
    <w:rsid w:val="006B230E"/>
    <w:rsid w:val="006B2B5C"/>
    <w:rsid w:val="006B540A"/>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15DCB"/>
    <w:rsid w:val="007231F4"/>
    <w:rsid w:val="0072799C"/>
    <w:rsid w:val="007366BE"/>
    <w:rsid w:val="00737A9F"/>
    <w:rsid w:val="00740674"/>
    <w:rsid w:val="00743B2F"/>
    <w:rsid w:val="00744B30"/>
    <w:rsid w:val="00744FD4"/>
    <w:rsid w:val="007475EE"/>
    <w:rsid w:val="007503E7"/>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1442"/>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3343"/>
    <w:rsid w:val="007E4246"/>
    <w:rsid w:val="007E64AA"/>
    <w:rsid w:val="007E7883"/>
    <w:rsid w:val="007F01B7"/>
    <w:rsid w:val="007F0BC6"/>
    <w:rsid w:val="007F2366"/>
    <w:rsid w:val="007F2AEE"/>
    <w:rsid w:val="007F488D"/>
    <w:rsid w:val="007F57A9"/>
    <w:rsid w:val="007F692C"/>
    <w:rsid w:val="00800C13"/>
    <w:rsid w:val="00803BFE"/>
    <w:rsid w:val="00804098"/>
    <w:rsid w:val="0080592E"/>
    <w:rsid w:val="00812FA2"/>
    <w:rsid w:val="008138B6"/>
    <w:rsid w:val="00815578"/>
    <w:rsid w:val="008168B4"/>
    <w:rsid w:val="00817D8E"/>
    <w:rsid w:val="00821423"/>
    <w:rsid w:val="00822996"/>
    <w:rsid w:val="0082636C"/>
    <w:rsid w:val="00826DD3"/>
    <w:rsid w:val="00834170"/>
    <w:rsid w:val="008411B1"/>
    <w:rsid w:val="008459B0"/>
    <w:rsid w:val="00845A00"/>
    <w:rsid w:val="00847B47"/>
    <w:rsid w:val="00854386"/>
    <w:rsid w:val="00854A53"/>
    <w:rsid w:val="00856027"/>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219B"/>
    <w:rsid w:val="008E61B8"/>
    <w:rsid w:val="008F17FE"/>
    <w:rsid w:val="008F25B4"/>
    <w:rsid w:val="008F50C6"/>
    <w:rsid w:val="008F6605"/>
    <w:rsid w:val="008F6AE2"/>
    <w:rsid w:val="009021E1"/>
    <w:rsid w:val="00902C4D"/>
    <w:rsid w:val="0090580D"/>
    <w:rsid w:val="0091158D"/>
    <w:rsid w:val="00913D63"/>
    <w:rsid w:val="00915CB6"/>
    <w:rsid w:val="00915F33"/>
    <w:rsid w:val="00916A8C"/>
    <w:rsid w:val="00917074"/>
    <w:rsid w:val="00921F38"/>
    <w:rsid w:val="00922389"/>
    <w:rsid w:val="00922F65"/>
    <w:rsid w:val="00927F17"/>
    <w:rsid w:val="0093254A"/>
    <w:rsid w:val="00933281"/>
    <w:rsid w:val="00936CCD"/>
    <w:rsid w:val="00941EA2"/>
    <w:rsid w:val="009427E1"/>
    <w:rsid w:val="00942E4A"/>
    <w:rsid w:val="00943C47"/>
    <w:rsid w:val="00945AF4"/>
    <w:rsid w:val="00950316"/>
    <w:rsid w:val="00953B50"/>
    <w:rsid w:val="00954F04"/>
    <w:rsid w:val="0095637C"/>
    <w:rsid w:val="00960340"/>
    <w:rsid w:val="00960B28"/>
    <w:rsid w:val="00962055"/>
    <w:rsid w:val="009623E0"/>
    <w:rsid w:val="0096362A"/>
    <w:rsid w:val="009645EE"/>
    <w:rsid w:val="00966FCA"/>
    <w:rsid w:val="00967889"/>
    <w:rsid w:val="00972985"/>
    <w:rsid w:val="0097473C"/>
    <w:rsid w:val="00975151"/>
    <w:rsid w:val="00977344"/>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1E2E"/>
    <w:rsid w:val="009E4722"/>
    <w:rsid w:val="009E4C38"/>
    <w:rsid w:val="009E6112"/>
    <w:rsid w:val="009F1F6B"/>
    <w:rsid w:val="009F695C"/>
    <w:rsid w:val="009F7AEA"/>
    <w:rsid w:val="00A028A2"/>
    <w:rsid w:val="00A04573"/>
    <w:rsid w:val="00A074FF"/>
    <w:rsid w:val="00A15CB0"/>
    <w:rsid w:val="00A21DC0"/>
    <w:rsid w:val="00A22110"/>
    <w:rsid w:val="00A24532"/>
    <w:rsid w:val="00A32269"/>
    <w:rsid w:val="00A34147"/>
    <w:rsid w:val="00A358C2"/>
    <w:rsid w:val="00A40C0A"/>
    <w:rsid w:val="00A4295E"/>
    <w:rsid w:val="00A46CEE"/>
    <w:rsid w:val="00A46FA0"/>
    <w:rsid w:val="00A51EF8"/>
    <w:rsid w:val="00A52F33"/>
    <w:rsid w:val="00A53C88"/>
    <w:rsid w:val="00A55CCB"/>
    <w:rsid w:val="00A560A2"/>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2829"/>
    <w:rsid w:val="00AC3969"/>
    <w:rsid w:val="00AC49C8"/>
    <w:rsid w:val="00AC4DAB"/>
    <w:rsid w:val="00AC5A27"/>
    <w:rsid w:val="00AC6592"/>
    <w:rsid w:val="00AD5CBE"/>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543E5"/>
    <w:rsid w:val="00B60454"/>
    <w:rsid w:val="00B60C35"/>
    <w:rsid w:val="00B60E59"/>
    <w:rsid w:val="00B626FC"/>
    <w:rsid w:val="00B6283C"/>
    <w:rsid w:val="00B6345D"/>
    <w:rsid w:val="00B65064"/>
    <w:rsid w:val="00B65306"/>
    <w:rsid w:val="00B6628B"/>
    <w:rsid w:val="00B66C15"/>
    <w:rsid w:val="00B714FE"/>
    <w:rsid w:val="00B7172F"/>
    <w:rsid w:val="00B761BD"/>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3E6"/>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82F"/>
    <w:rsid w:val="00C87DEC"/>
    <w:rsid w:val="00C91DCD"/>
    <w:rsid w:val="00C928A5"/>
    <w:rsid w:val="00C93C0F"/>
    <w:rsid w:val="00C93D1F"/>
    <w:rsid w:val="00C95E24"/>
    <w:rsid w:val="00C9709F"/>
    <w:rsid w:val="00C97490"/>
    <w:rsid w:val="00CA437A"/>
    <w:rsid w:val="00CA571E"/>
    <w:rsid w:val="00CB5420"/>
    <w:rsid w:val="00CB6F58"/>
    <w:rsid w:val="00CC4129"/>
    <w:rsid w:val="00CC706B"/>
    <w:rsid w:val="00CD6990"/>
    <w:rsid w:val="00CE0D5E"/>
    <w:rsid w:val="00CE2D16"/>
    <w:rsid w:val="00CE312B"/>
    <w:rsid w:val="00CE60AB"/>
    <w:rsid w:val="00CF11E4"/>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592D"/>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4970"/>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26FBC"/>
    <w:rsid w:val="00F32B6F"/>
    <w:rsid w:val="00F344B3"/>
    <w:rsid w:val="00F35EF8"/>
    <w:rsid w:val="00F36005"/>
    <w:rsid w:val="00F37AE4"/>
    <w:rsid w:val="00F40B98"/>
    <w:rsid w:val="00F418B6"/>
    <w:rsid w:val="00F4312E"/>
    <w:rsid w:val="00F43F87"/>
    <w:rsid w:val="00F50DCA"/>
    <w:rsid w:val="00F50F04"/>
    <w:rsid w:val="00F5238A"/>
    <w:rsid w:val="00F54894"/>
    <w:rsid w:val="00F562E8"/>
    <w:rsid w:val="00F56D35"/>
    <w:rsid w:val="00F74518"/>
    <w:rsid w:val="00F747B4"/>
    <w:rsid w:val="00F759DA"/>
    <w:rsid w:val="00F84FBF"/>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3BB4"/>
    <w:rsid w:val="00FF5291"/>
    <w:rsid w:val="01DA44A9"/>
    <w:rsid w:val="020554CE"/>
    <w:rsid w:val="03AA0665"/>
    <w:rsid w:val="04763D0E"/>
    <w:rsid w:val="06B608F4"/>
    <w:rsid w:val="07CC4267"/>
    <w:rsid w:val="08100AC2"/>
    <w:rsid w:val="08CF2950"/>
    <w:rsid w:val="08F64903"/>
    <w:rsid w:val="0D033D66"/>
    <w:rsid w:val="0DC31CFD"/>
    <w:rsid w:val="10134F5C"/>
    <w:rsid w:val="106A6C43"/>
    <w:rsid w:val="11F73016"/>
    <w:rsid w:val="126A06F0"/>
    <w:rsid w:val="13D976D0"/>
    <w:rsid w:val="157C1004"/>
    <w:rsid w:val="17ED7059"/>
    <w:rsid w:val="198D0209"/>
    <w:rsid w:val="1B7A0BBF"/>
    <w:rsid w:val="1C8237B3"/>
    <w:rsid w:val="1DF57EE7"/>
    <w:rsid w:val="1E43205C"/>
    <w:rsid w:val="208203B6"/>
    <w:rsid w:val="24096B14"/>
    <w:rsid w:val="251F28E5"/>
    <w:rsid w:val="26B14071"/>
    <w:rsid w:val="28197341"/>
    <w:rsid w:val="29E06177"/>
    <w:rsid w:val="2AB63C9F"/>
    <w:rsid w:val="2B01479F"/>
    <w:rsid w:val="2F972F1A"/>
    <w:rsid w:val="2FF32795"/>
    <w:rsid w:val="301322A6"/>
    <w:rsid w:val="344A557B"/>
    <w:rsid w:val="35096383"/>
    <w:rsid w:val="3603065D"/>
    <w:rsid w:val="37BC22BC"/>
    <w:rsid w:val="39805B41"/>
    <w:rsid w:val="3D2F2758"/>
    <w:rsid w:val="3DDF4A24"/>
    <w:rsid w:val="40371D90"/>
    <w:rsid w:val="469C331F"/>
    <w:rsid w:val="47F317AE"/>
    <w:rsid w:val="48A663A9"/>
    <w:rsid w:val="49977953"/>
    <w:rsid w:val="4A790883"/>
    <w:rsid w:val="4E9555FE"/>
    <w:rsid w:val="516C14DE"/>
    <w:rsid w:val="53496C4A"/>
    <w:rsid w:val="553E7D30"/>
    <w:rsid w:val="55447730"/>
    <w:rsid w:val="556B6C3D"/>
    <w:rsid w:val="56680428"/>
    <w:rsid w:val="56C62E93"/>
    <w:rsid w:val="579156EE"/>
    <w:rsid w:val="5C683C3F"/>
    <w:rsid w:val="5D2E11FC"/>
    <w:rsid w:val="5DBE3041"/>
    <w:rsid w:val="5F590740"/>
    <w:rsid w:val="61B5319F"/>
    <w:rsid w:val="62C86E66"/>
    <w:rsid w:val="638015D5"/>
    <w:rsid w:val="64046033"/>
    <w:rsid w:val="651872A5"/>
    <w:rsid w:val="65334D00"/>
    <w:rsid w:val="66A12568"/>
    <w:rsid w:val="66C71D0B"/>
    <w:rsid w:val="6950162F"/>
    <w:rsid w:val="6A5F17E6"/>
    <w:rsid w:val="6A97601C"/>
    <w:rsid w:val="6CBA2C77"/>
    <w:rsid w:val="6EF97E3A"/>
    <w:rsid w:val="706D0199"/>
    <w:rsid w:val="716D2B27"/>
    <w:rsid w:val="74EA4D0E"/>
    <w:rsid w:val="75D02790"/>
    <w:rsid w:val="79884B55"/>
    <w:rsid w:val="7B1F4189"/>
    <w:rsid w:val="7B294CD1"/>
    <w:rsid w:val="7B515C0E"/>
    <w:rsid w:val="7B5A2ECA"/>
    <w:rsid w:val="7C5833C3"/>
    <w:rsid w:val="7D0E0A91"/>
    <w:rsid w:val="7E845840"/>
    <w:rsid w:val="7F23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qFormat="1" w:uiPriority="99"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uiPriority="1" w:name="Default Paragraph Font"/>
    <w:lsdException w:qFormat="1" w:uiPriority="0" w:semiHidden="0" w:name="Body Text"/>
    <w:lsdException w:qFormat="1" w:unhideWhenUsed="0" w:uiPriority="99"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qFormat="1" w:uiPriority="0" w:semiHidden="0"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9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7"/>
    <w:qFormat/>
    <w:uiPriority w:val="9"/>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98"/>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6"/>
    <w:next w:val="8"/>
    <w:link w:val="149"/>
    <w:unhideWhenUsed/>
    <w:qFormat/>
    <w:uiPriority w:val="0"/>
    <w:pPr>
      <w:numPr>
        <w:ilvl w:val="4"/>
        <w:numId w:val="1"/>
      </w:numPr>
      <w:spacing w:before="0" w:beforeLines="50" w:after="0" w:line="240" w:lineRule="exact"/>
      <w:jc w:val="center"/>
      <w:outlineLvl w:val="4"/>
    </w:pPr>
    <w:rPr>
      <w:rFonts w:eastAsia="宋体"/>
      <w:b w:val="0"/>
      <w:bCs w:val="0"/>
      <w:color w:val="000000"/>
      <w:sz w:val="24"/>
      <w:szCs w:val="24"/>
    </w:rPr>
  </w:style>
  <w:style w:type="paragraph" w:styleId="9">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0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8">
    <w:name w:val="Default Paragraph Font"/>
    <w:semiHidden/>
    <w:unhideWhenUsed/>
    <w:uiPriority w:val="1"/>
  </w:style>
  <w:style w:type="table" w:default="1" w:styleId="76">
    <w:name w:val="Normal Table"/>
    <w:semiHidden/>
    <w:unhideWhenUsed/>
    <w:uiPriority w:val="99"/>
    <w:tblPr>
      <w:tblCellMar>
        <w:top w:w="0" w:type="dxa"/>
        <w:left w:w="108" w:type="dxa"/>
        <w:bottom w:w="0" w:type="dxa"/>
        <w:right w:w="108" w:type="dxa"/>
      </w:tblCellMar>
    </w:tblPr>
  </w:style>
  <w:style w:type="paragraph" w:styleId="2">
    <w:name w:val="macro"/>
    <w:link w:val="15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link w:val="153"/>
    <w:qFormat/>
    <w:uiPriority w:val="0"/>
    <w:pPr>
      <w:ind w:firstLine="420" w:firstLineChars="200"/>
    </w:p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0"/>
    <w:pPr>
      <w:numPr>
        <w:ilvl w:val="0"/>
        <w:numId w:val="2"/>
      </w:numPr>
      <w:tabs>
        <w:tab w:val="left" w:pos="780"/>
        <w:tab w:val="left" w:pos="1053"/>
      </w:tabs>
    </w:pPr>
  </w:style>
  <w:style w:type="paragraph" w:styleId="16">
    <w:name w:val="Note Heading"/>
    <w:basedOn w:val="1"/>
    <w:next w:val="1"/>
    <w:link w:val="162"/>
    <w:unhideWhenUsed/>
    <w:qFormat/>
    <w:uiPriority w:val="0"/>
    <w:pPr>
      <w:jc w:val="center"/>
    </w:pPr>
    <w:rPr>
      <w:rFonts w:eastAsia="方正大标宋简体"/>
      <w:sz w:val="24"/>
      <w:szCs w:val="20"/>
      <w:lang w:eastAsia="zh-TW"/>
    </w:rPr>
  </w:style>
  <w:style w:type="paragraph" w:styleId="17">
    <w:name w:val="List Bullet 4"/>
    <w:basedOn w:val="1"/>
    <w:unhideWhenUsed/>
    <w:qFormat/>
    <w:uiPriority w:val="0"/>
    <w:pPr>
      <w:numPr>
        <w:ilvl w:val="0"/>
        <w:numId w:val="3"/>
      </w:numPr>
      <w:tabs>
        <w:tab w:val="left" w:pos="1620"/>
      </w:tabs>
    </w:pPr>
  </w:style>
  <w:style w:type="paragraph" w:styleId="18">
    <w:name w:val="E-mail Signature"/>
    <w:basedOn w:val="1"/>
    <w:link w:val="165"/>
    <w:unhideWhenUsed/>
    <w:qFormat/>
    <w:uiPriority w:val="0"/>
  </w:style>
  <w:style w:type="paragraph" w:styleId="19">
    <w:name w:val="List Number"/>
    <w:basedOn w:val="1"/>
    <w:unhideWhenUsed/>
    <w:qFormat/>
    <w:uiPriority w:val="0"/>
  </w:style>
  <w:style w:type="paragraph" w:styleId="20">
    <w:name w:val="List Bullet"/>
    <w:basedOn w:val="1"/>
    <w:unhideWhenUsed/>
    <w:qFormat/>
    <w:uiPriority w:val="0"/>
    <w:pPr>
      <w:numPr>
        <w:ilvl w:val="0"/>
        <w:numId w:val="4"/>
      </w:numPr>
      <w:tabs>
        <w:tab w:val="left" w:pos="360"/>
      </w:tabs>
    </w:pPr>
  </w:style>
  <w:style w:type="paragraph" w:styleId="21">
    <w:name w:val="envelope address"/>
    <w:basedOn w:val="1"/>
    <w:unhideWhenUsed/>
    <w:qFormat/>
    <w:uiPriority w:val="0"/>
    <w:pPr>
      <w:snapToGrid w:val="0"/>
      <w:ind w:left="100" w:leftChars="1400"/>
    </w:pPr>
    <w:rPr>
      <w:rFonts w:ascii="Arial" w:hAnsi="Arial" w:cs="Arial"/>
      <w:sz w:val="24"/>
    </w:rPr>
  </w:style>
  <w:style w:type="paragraph" w:styleId="22">
    <w:name w:val="Document Map"/>
    <w:basedOn w:val="1"/>
    <w:link w:val="110"/>
    <w:qFormat/>
    <w:uiPriority w:val="0"/>
    <w:pPr>
      <w:shd w:val="clear" w:color="auto" w:fill="000080"/>
    </w:pPr>
    <w:rPr>
      <w:rFonts w:asciiTheme="minorHAnsi" w:hAnsiTheme="minorHAnsi" w:cstheme="minorBidi"/>
    </w:rPr>
  </w:style>
  <w:style w:type="paragraph" w:styleId="23">
    <w:name w:val="toa heading"/>
    <w:basedOn w:val="1"/>
    <w:next w:val="1"/>
    <w:unhideWhenUsed/>
    <w:qFormat/>
    <w:uiPriority w:val="0"/>
    <w:pPr>
      <w:spacing w:before="120"/>
    </w:pPr>
    <w:rPr>
      <w:rFonts w:ascii="Arial" w:hAnsi="Arial" w:cs="Arial"/>
      <w:sz w:val="24"/>
    </w:rPr>
  </w:style>
  <w:style w:type="paragraph" w:styleId="24">
    <w:name w:val="annotation text"/>
    <w:basedOn w:val="1"/>
    <w:link w:val="105"/>
    <w:qFormat/>
    <w:uiPriority w:val="99"/>
    <w:pPr>
      <w:jc w:val="left"/>
    </w:pPr>
    <w:rPr>
      <w:rFonts w:asciiTheme="minorHAnsi" w:hAnsiTheme="minorHAnsi" w:cstheme="minorBidi"/>
    </w:rPr>
  </w:style>
  <w:style w:type="paragraph" w:styleId="25">
    <w:name w:val="Salutation"/>
    <w:basedOn w:val="1"/>
    <w:next w:val="1"/>
    <w:link w:val="160"/>
    <w:unhideWhenUsed/>
    <w:qFormat/>
    <w:uiPriority w:val="0"/>
  </w:style>
  <w:style w:type="paragraph" w:styleId="26">
    <w:name w:val="Body Text 3"/>
    <w:basedOn w:val="1"/>
    <w:link w:val="112"/>
    <w:qFormat/>
    <w:uiPriority w:val="0"/>
    <w:rPr>
      <w:rFonts w:ascii="宋体"/>
      <w:sz w:val="24"/>
      <w:szCs w:val="20"/>
    </w:rPr>
  </w:style>
  <w:style w:type="paragraph" w:styleId="27">
    <w:name w:val="Closing"/>
    <w:basedOn w:val="1"/>
    <w:link w:val="156"/>
    <w:unhideWhenUsed/>
    <w:qFormat/>
    <w:uiPriority w:val="0"/>
    <w:pPr>
      <w:ind w:left="100" w:leftChars="2100"/>
    </w:pPr>
  </w:style>
  <w:style w:type="paragraph" w:styleId="28">
    <w:name w:val="List Bullet 3"/>
    <w:basedOn w:val="1"/>
    <w:unhideWhenUsed/>
    <w:qFormat/>
    <w:uiPriority w:val="0"/>
    <w:pPr>
      <w:numPr>
        <w:ilvl w:val="0"/>
        <w:numId w:val="5"/>
      </w:numPr>
      <w:tabs>
        <w:tab w:val="left" w:pos="1200"/>
      </w:tabs>
    </w:pPr>
  </w:style>
  <w:style w:type="paragraph" w:styleId="29">
    <w:name w:val="Body Text"/>
    <w:basedOn w:val="1"/>
    <w:link w:val="121"/>
    <w:unhideWhenUsed/>
    <w:qFormat/>
    <w:uiPriority w:val="0"/>
    <w:pPr>
      <w:spacing w:after="120"/>
    </w:pPr>
  </w:style>
  <w:style w:type="paragraph" w:styleId="30">
    <w:name w:val="Body Text Indent"/>
    <w:basedOn w:val="1"/>
    <w:link w:val="113"/>
    <w:qFormat/>
    <w:uiPriority w:val="99"/>
    <w:pPr>
      <w:spacing w:after="120"/>
      <w:ind w:left="420" w:leftChars="200"/>
    </w:pPr>
  </w:style>
  <w:style w:type="paragraph" w:styleId="31">
    <w:name w:val="List Number 3"/>
    <w:basedOn w:val="1"/>
    <w:unhideWhenUsed/>
    <w:qFormat/>
    <w:uiPriority w:val="0"/>
    <w:pPr>
      <w:numPr>
        <w:ilvl w:val="0"/>
        <w:numId w:val="6"/>
      </w:numPr>
      <w:tabs>
        <w:tab w:val="left" w:pos="1200"/>
        <w:tab w:val="left" w:pos="2480"/>
      </w:tabs>
    </w:pPr>
  </w:style>
  <w:style w:type="paragraph" w:styleId="32">
    <w:name w:val="List 2"/>
    <w:basedOn w:val="1"/>
    <w:unhideWhenUsed/>
    <w:qFormat/>
    <w:uiPriority w:val="0"/>
    <w:pPr>
      <w:jc w:val="center"/>
    </w:pPr>
    <w:rPr>
      <w:rFonts w:ascii="宋体"/>
      <w:sz w:val="24"/>
      <w:szCs w:val="20"/>
    </w:rPr>
  </w:style>
  <w:style w:type="paragraph" w:styleId="33">
    <w:name w:val="List Continue"/>
    <w:basedOn w:val="1"/>
    <w:unhideWhenUsed/>
    <w:qFormat/>
    <w:uiPriority w:val="0"/>
    <w:pPr>
      <w:spacing w:after="120"/>
      <w:ind w:left="420" w:leftChars="200"/>
    </w:pPr>
  </w:style>
  <w:style w:type="paragraph" w:styleId="34">
    <w:name w:val="Block Text"/>
    <w:basedOn w:val="1"/>
    <w:unhideWhenUsed/>
    <w:qFormat/>
    <w:uiPriority w:val="0"/>
    <w:pPr>
      <w:adjustRightInd w:val="0"/>
      <w:ind w:left="420" w:right="33"/>
      <w:jc w:val="left"/>
    </w:pPr>
    <w:rPr>
      <w:kern w:val="0"/>
      <w:sz w:val="24"/>
      <w:szCs w:val="20"/>
    </w:rPr>
  </w:style>
  <w:style w:type="paragraph" w:styleId="35">
    <w:name w:val="List Bullet 2"/>
    <w:basedOn w:val="1"/>
    <w:unhideWhenUsed/>
    <w:qFormat/>
    <w:uiPriority w:val="0"/>
    <w:pPr>
      <w:numPr>
        <w:ilvl w:val="0"/>
        <w:numId w:val="7"/>
      </w:numPr>
      <w:tabs>
        <w:tab w:val="left" w:pos="780"/>
      </w:tabs>
    </w:pPr>
  </w:style>
  <w:style w:type="paragraph" w:styleId="36">
    <w:name w:val="HTML Address"/>
    <w:basedOn w:val="1"/>
    <w:link w:val="150"/>
    <w:unhideWhenUsed/>
    <w:qFormat/>
    <w:uiPriority w:val="0"/>
    <w:rPr>
      <w:i/>
      <w:iCs/>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38"/>
    <w:unhideWhenUsed/>
    <w:qFormat/>
    <w:uiPriority w:val="0"/>
    <w:rPr>
      <w:rFonts w:ascii="宋体" w:hAnsi="Courier New" w:eastAsiaTheme="minorEastAsia" w:cstheme="minorBidi"/>
      <w:szCs w:val="22"/>
    </w:rPr>
  </w:style>
  <w:style w:type="paragraph" w:styleId="40">
    <w:name w:val="List Bullet 5"/>
    <w:basedOn w:val="1"/>
    <w:unhideWhenUsed/>
    <w:qFormat/>
    <w:uiPriority w:val="0"/>
    <w:pPr>
      <w:numPr>
        <w:ilvl w:val="0"/>
        <w:numId w:val="8"/>
      </w:numPr>
      <w:tabs>
        <w:tab w:val="left" w:pos="814"/>
        <w:tab w:val="left" w:pos="2040"/>
      </w:tabs>
    </w:pPr>
  </w:style>
  <w:style w:type="paragraph" w:styleId="41">
    <w:name w:val="List Number 4"/>
    <w:basedOn w:val="1"/>
    <w:unhideWhenUsed/>
    <w:qFormat/>
    <w:uiPriority w:val="0"/>
    <w:pPr>
      <w:numPr>
        <w:ilvl w:val="0"/>
        <w:numId w:val="9"/>
      </w:numPr>
      <w:tabs>
        <w:tab w:val="left" w:pos="782"/>
        <w:tab w:val="left" w:pos="1620"/>
      </w:tabs>
    </w:pPr>
  </w:style>
  <w:style w:type="paragraph" w:styleId="42">
    <w:name w:val="toc 8"/>
    <w:basedOn w:val="1"/>
    <w:next w:val="1"/>
    <w:qFormat/>
    <w:uiPriority w:val="39"/>
    <w:pPr>
      <w:ind w:left="1470"/>
      <w:jc w:val="left"/>
    </w:pPr>
    <w:rPr>
      <w:sz w:val="18"/>
      <w:szCs w:val="18"/>
    </w:rPr>
  </w:style>
  <w:style w:type="paragraph" w:styleId="43">
    <w:name w:val="Date"/>
    <w:basedOn w:val="1"/>
    <w:next w:val="1"/>
    <w:link w:val="131"/>
    <w:qFormat/>
    <w:uiPriority w:val="0"/>
    <w:rPr>
      <w:sz w:val="24"/>
      <w:szCs w:val="20"/>
    </w:rPr>
  </w:style>
  <w:style w:type="paragraph" w:styleId="44">
    <w:name w:val="Body Text Indent 2"/>
    <w:basedOn w:val="1"/>
    <w:link w:val="164"/>
    <w:unhideWhenUsed/>
    <w:qFormat/>
    <w:uiPriority w:val="0"/>
    <w:pPr>
      <w:spacing w:after="120" w:line="480" w:lineRule="auto"/>
      <w:ind w:left="420" w:leftChars="200"/>
    </w:pPr>
    <w:rPr>
      <w:szCs w:val="20"/>
    </w:rPr>
  </w:style>
  <w:style w:type="paragraph" w:styleId="45">
    <w:name w:val="endnote text"/>
    <w:basedOn w:val="1"/>
    <w:link w:val="154"/>
    <w:unhideWhenUsed/>
    <w:qFormat/>
    <w:uiPriority w:val="0"/>
    <w:pPr>
      <w:snapToGrid w:val="0"/>
      <w:jc w:val="left"/>
    </w:pPr>
    <w:rPr>
      <w:szCs w:val="20"/>
    </w:rPr>
  </w:style>
  <w:style w:type="paragraph" w:styleId="46">
    <w:name w:val="List Continue 5"/>
    <w:basedOn w:val="1"/>
    <w:unhideWhenUsed/>
    <w:qFormat/>
    <w:uiPriority w:val="0"/>
    <w:pPr>
      <w:spacing w:after="120"/>
      <w:ind w:left="2100" w:leftChars="1000"/>
    </w:pPr>
  </w:style>
  <w:style w:type="paragraph" w:styleId="47">
    <w:name w:val="Balloon Text"/>
    <w:basedOn w:val="1"/>
    <w:link w:val="130"/>
    <w:qFormat/>
    <w:uiPriority w:val="0"/>
    <w:rPr>
      <w:sz w:val="18"/>
      <w:szCs w:val="18"/>
    </w:rPr>
  </w:style>
  <w:style w:type="paragraph" w:styleId="48">
    <w:name w:val="footer"/>
    <w:basedOn w:val="1"/>
    <w:link w:val="108"/>
    <w:qFormat/>
    <w:uiPriority w:val="99"/>
    <w:pPr>
      <w:tabs>
        <w:tab w:val="center" w:pos="4153"/>
        <w:tab w:val="right" w:pos="8306"/>
      </w:tabs>
      <w:snapToGrid w:val="0"/>
      <w:jc w:val="left"/>
    </w:pPr>
    <w:rPr>
      <w:rFonts w:asciiTheme="minorHAnsi" w:hAnsiTheme="minorHAnsi" w:cstheme="minorBidi"/>
      <w:sz w:val="18"/>
      <w:szCs w:val="18"/>
    </w:rPr>
  </w:style>
  <w:style w:type="paragraph" w:styleId="49">
    <w:name w:val="envelope return"/>
    <w:basedOn w:val="1"/>
    <w:unhideWhenUsed/>
    <w:qFormat/>
    <w:uiPriority w:val="0"/>
    <w:pPr>
      <w:snapToGrid w:val="0"/>
    </w:pPr>
    <w:rPr>
      <w:rFonts w:ascii="Arial" w:hAnsi="Arial" w:cs="Arial"/>
    </w:rPr>
  </w:style>
  <w:style w:type="paragraph" w:styleId="50">
    <w:name w:val="header"/>
    <w:basedOn w:val="1"/>
    <w:link w:val="106"/>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1">
    <w:name w:val="Signature"/>
    <w:basedOn w:val="1"/>
    <w:link w:val="157"/>
    <w:unhideWhenUsed/>
    <w:qFormat/>
    <w:uiPriority w:val="0"/>
    <w:pPr>
      <w:ind w:left="100" w:leftChars="2100"/>
    </w:pPr>
  </w:style>
  <w:style w:type="paragraph" w:styleId="52">
    <w:name w:val="toc 1"/>
    <w:basedOn w:val="1"/>
    <w:next w:val="1"/>
    <w:qFormat/>
    <w:uiPriority w:val="39"/>
    <w:pPr>
      <w:spacing w:before="120" w:after="120"/>
      <w:jc w:val="left"/>
    </w:pPr>
    <w:rPr>
      <w:b/>
      <w:bCs/>
      <w:caps/>
      <w:sz w:val="20"/>
      <w:szCs w:val="20"/>
    </w:rPr>
  </w:style>
  <w:style w:type="paragraph" w:styleId="53">
    <w:name w:val="List Continue 4"/>
    <w:basedOn w:val="1"/>
    <w:unhideWhenUsed/>
    <w:qFormat/>
    <w:uiPriority w:val="0"/>
    <w:pPr>
      <w:spacing w:after="120"/>
      <w:ind w:left="1680" w:leftChars="800"/>
    </w:pPr>
  </w:style>
  <w:style w:type="paragraph" w:styleId="54">
    <w:name w:val="toc 4"/>
    <w:basedOn w:val="1"/>
    <w:next w:val="1"/>
    <w:qFormat/>
    <w:uiPriority w:val="39"/>
    <w:pPr>
      <w:ind w:left="630"/>
      <w:jc w:val="left"/>
    </w:pPr>
    <w:rPr>
      <w:sz w:val="18"/>
      <w:szCs w:val="18"/>
    </w:rPr>
  </w:style>
  <w:style w:type="paragraph" w:styleId="55">
    <w:name w:val="Subtitle"/>
    <w:basedOn w:val="1"/>
    <w:link w:val="159"/>
    <w:qFormat/>
    <w:uiPriority w:val="0"/>
    <w:pPr>
      <w:spacing w:before="240" w:after="60" w:line="312" w:lineRule="auto"/>
      <w:jc w:val="center"/>
      <w:outlineLvl w:val="1"/>
    </w:pPr>
    <w:rPr>
      <w:rFonts w:ascii="Arial" w:hAnsi="Arial"/>
      <w:b/>
      <w:bCs/>
      <w:kern w:val="28"/>
      <w:sz w:val="32"/>
      <w:szCs w:val="32"/>
    </w:rPr>
  </w:style>
  <w:style w:type="paragraph" w:styleId="56">
    <w:name w:val="List Number 5"/>
    <w:basedOn w:val="1"/>
    <w:unhideWhenUsed/>
    <w:qFormat/>
    <w:uiPriority w:val="0"/>
    <w:pPr>
      <w:numPr>
        <w:ilvl w:val="0"/>
        <w:numId w:val="10"/>
      </w:numPr>
      <w:tabs>
        <w:tab w:val="left" w:pos="782"/>
        <w:tab w:val="left" w:pos="2040"/>
      </w:tabs>
    </w:pPr>
  </w:style>
  <w:style w:type="paragraph" w:styleId="57">
    <w:name w:val="List"/>
    <w:basedOn w:val="1"/>
    <w:unhideWhenUsed/>
    <w:qFormat/>
    <w:uiPriority w:val="0"/>
  </w:style>
  <w:style w:type="paragraph" w:styleId="58">
    <w:name w:val="toc 6"/>
    <w:basedOn w:val="1"/>
    <w:next w:val="1"/>
    <w:qFormat/>
    <w:uiPriority w:val="39"/>
    <w:pPr>
      <w:ind w:left="1050"/>
      <w:jc w:val="left"/>
    </w:pPr>
    <w:rPr>
      <w:sz w:val="18"/>
      <w:szCs w:val="18"/>
    </w:rPr>
  </w:style>
  <w:style w:type="paragraph" w:styleId="59">
    <w:name w:val="List 5"/>
    <w:basedOn w:val="1"/>
    <w:unhideWhenUsed/>
    <w:qFormat/>
    <w:uiPriority w:val="0"/>
    <w:pPr>
      <w:ind w:left="100" w:leftChars="800" w:hanging="200" w:hangingChars="200"/>
    </w:pPr>
  </w:style>
  <w:style w:type="paragraph" w:styleId="60">
    <w:name w:val="Body Text Indent 3"/>
    <w:basedOn w:val="1"/>
    <w:link w:val="132"/>
    <w:qFormat/>
    <w:uiPriority w:val="0"/>
    <w:pPr>
      <w:spacing w:after="120"/>
      <w:ind w:left="420" w:leftChars="200"/>
    </w:pPr>
    <w:rPr>
      <w:sz w:val="16"/>
      <w:szCs w:val="16"/>
    </w:rPr>
  </w:style>
  <w:style w:type="paragraph" w:styleId="61">
    <w:name w:val="table of figures"/>
    <w:basedOn w:val="1"/>
    <w:next w:val="1"/>
    <w:unhideWhenUsed/>
    <w:qFormat/>
    <w:uiPriority w:val="0"/>
    <w:pPr>
      <w:ind w:left="200" w:leftChars="200" w:hanging="200" w:hangingChars="200"/>
    </w:pPr>
    <w:rPr>
      <w:sz w:val="24"/>
    </w:rPr>
  </w:style>
  <w:style w:type="paragraph" w:styleId="62">
    <w:name w:val="toc 2"/>
    <w:basedOn w:val="1"/>
    <w:next w:val="1"/>
    <w:qFormat/>
    <w:uiPriority w:val="39"/>
    <w:pPr>
      <w:ind w:left="210"/>
      <w:jc w:val="left"/>
    </w:pPr>
    <w:rPr>
      <w:smallCaps/>
      <w:sz w:val="20"/>
      <w:szCs w:val="20"/>
    </w:rPr>
  </w:style>
  <w:style w:type="paragraph" w:styleId="63">
    <w:name w:val="toc 9"/>
    <w:basedOn w:val="1"/>
    <w:next w:val="1"/>
    <w:qFormat/>
    <w:uiPriority w:val="39"/>
    <w:pPr>
      <w:ind w:left="1680"/>
      <w:jc w:val="left"/>
    </w:pPr>
    <w:rPr>
      <w:sz w:val="18"/>
      <w:szCs w:val="18"/>
    </w:rPr>
  </w:style>
  <w:style w:type="paragraph" w:styleId="64">
    <w:name w:val="Body Text 2"/>
    <w:basedOn w:val="1"/>
    <w:link w:val="163"/>
    <w:unhideWhenUsed/>
    <w:qFormat/>
    <w:uiPriority w:val="0"/>
    <w:pPr>
      <w:spacing w:after="120" w:line="480" w:lineRule="auto"/>
    </w:pPr>
    <w:rPr>
      <w:rFonts w:eastAsia="楷体_GB2312"/>
      <w:szCs w:val="20"/>
    </w:rPr>
  </w:style>
  <w:style w:type="paragraph" w:styleId="65">
    <w:name w:val="List 4"/>
    <w:basedOn w:val="1"/>
    <w:unhideWhenUsed/>
    <w:qFormat/>
    <w:uiPriority w:val="0"/>
    <w:pPr>
      <w:ind w:left="100" w:leftChars="600" w:hanging="200" w:hangingChars="200"/>
    </w:pPr>
  </w:style>
  <w:style w:type="paragraph" w:styleId="66">
    <w:name w:val="List Continue 2"/>
    <w:basedOn w:val="1"/>
    <w:unhideWhenUsed/>
    <w:qFormat/>
    <w:uiPriority w:val="0"/>
    <w:pPr>
      <w:spacing w:after="120"/>
      <w:ind w:left="840" w:leftChars="400"/>
    </w:pPr>
  </w:style>
  <w:style w:type="paragraph" w:styleId="67">
    <w:name w:val="Message Header"/>
    <w:basedOn w:val="1"/>
    <w:link w:val="158"/>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8">
    <w:name w:val="HTML Preformatted"/>
    <w:basedOn w:val="1"/>
    <w:link w:val="15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9">
    <w:name w:val="Normal (Web)"/>
    <w:basedOn w:val="1"/>
    <w:unhideWhenUsed/>
    <w:qFormat/>
    <w:uiPriority w:val="0"/>
    <w:rPr>
      <w:sz w:val="24"/>
      <w:szCs w:val="20"/>
    </w:rPr>
  </w:style>
  <w:style w:type="paragraph" w:styleId="70">
    <w:name w:val="List Continue 3"/>
    <w:basedOn w:val="1"/>
    <w:unhideWhenUsed/>
    <w:qFormat/>
    <w:uiPriority w:val="0"/>
    <w:pPr>
      <w:spacing w:after="120"/>
      <w:ind w:left="1260" w:leftChars="600"/>
    </w:pPr>
  </w:style>
  <w:style w:type="paragraph" w:styleId="71">
    <w:name w:val="index 1"/>
    <w:basedOn w:val="1"/>
    <w:next w:val="1"/>
    <w:qFormat/>
    <w:uiPriority w:val="0"/>
    <w:pPr>
      <w:spacing w:line="220" w:lineRule="exact"/>
      <w:jc w:val="center"/>
    </w:pPr>
    <w:rPr>
      <w:rFonts w:ascii="仿宋_GB2312" w:eastAsia="仿宋_GB2312"/>
      <w:szCs w:val="21"/>
    </w:rPr>
  </w:style>
  <w:style w:type="paragraph" w:styleId="72">
    <w:name w:val="Title"/>
    <w:basedOn w:val="1"/>
    <w:link w:val="1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3">
    <w:name w:val="annotation subject"/>
    <w:basedOn w:val="24"/>
    <w:next w:val="24"/>
    <w:link w:val="104"/>
    <w:qFormat/>
    <w:uiPriority w:val="0"/>
    <w:pPr>
      <w:jc w:val="both"/>
    </w:pPr>
    <w:rPr>
      <w:b/>
      <w:bCs/>
    </w:rPr>
  </w:style>
  <w:style w:type="paragraph" w:styleId="74">
    <w:name w:val="Body Text First Indent"/>
    <w:basedOn w:val="1"/>
    <w:link w:val="107"/>
    <w:qFormat/>
    <w:uiPriority w:val="0"/>
    <w:pPr>
      <w:spacing w:line="312" w:lineRule="auto"/>
      <w:ind w:firstLine="420"/>
    </w:pPr>
    <w:rPr>
      <w:rFonts w:asciiTheme="minorHAnsi" w:hAnsiTheme="minorHAnsi" w:cstheme="minorBidi"/>
    </w:rPr>
  </w:style>
  <w:style w:type="paragraph" w:styleId="75">
    <w:name w:val="Body Text First Indent 2"/>
    <w:basedOn w:val="30"/>
    <w:link w:val="161"/>
    <w:unhideWhenUsed/>
    <w:qFormat/>
    <w:uiPriority w:val="0"/>
    <w:pPr>
      <w:ind w:firstLine="420" w:firstLineChars="200"/>
    </w:pPr>
    <w:rPr>
      <w:rFonts w:ascii="宋体" w:hAnsi="宋体"/>
      <w:color w:val="000000"/>
      <w:u w:val="single"/>
    </w:rPr>
  </w:style>
  <w:style w:type="table" w:styleId="77">
    <w:name w:val="Table Grid"/>
    <w:basedOn w:val="76"/>
    <w:qFormat/>
    <w:uiPriority w:val="99"/>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rFonts w:hint="default" w:ascii="Times New Roman" w:hAnsi="Times New Roman" w:eastAsia="宋体" w:cs="Times New Roman"/>
      <w:b/>
      <w:bCs/>
    </w:rPr>
  </w:style>
  <w:style w:type="character" w:styleId="80">
    <w:name w:val="page number"/>
    <w:basedOn w:val="78"/>
    <w:qFormat/>
    <w:uiPriority w:val="0"/>
  </w:style>
  <w:style w:type="character" w:styleId="81">
    <w:name w:val="FollowedHyperlink"/>
    <w:basedOn w:val="78"/>
    <w:qFormat/>
    <w:uiPriority w:val="0"/>
    <w:rPr>
      <w:color w:val="800080"/>
      <w:u w:val="single"/>
    </w:rPr>
  </w:style>
  <w:style w:type="character" w:styleId="82">
    <w:name w:val="Emphasis"/>
    <w:qFormat/>
    <w:uiPriority w:val="20"/>
    <w:rPr>
      <w:rFonts w:hint="default" w:ascii="Times New Roman" w:hAnsi="Times New Roman" w:eastAsia="宋体" w:cs="Times New Roman"/>
      <w:i/>
      <w:iCs/>
    </w:rPr>
  </w:style>
  <w:style w:type="character" w:styleId="83">
    <w:name w:val="line number"/>
    <w:unhideWhenUsed/>
    <w:qFormat/>
    <w:uiPriority w:val="0"/>
    <w:rPr>
      <w:rFonts w:hint="default" w:ascii="Times New Roman" w:hAnsi="Times New Roman" w:eastAsia="宋体" w:cs="Times New Roman"/>
    </w:rPr>
  </w:style>
  <w:style w:type="character" w:styleId="84">
    <w:name w:val="HTML Definition"/>
    <w:unhideWhenUsed/>
    <w:qFormat/>
    <w:uiPriority w:val="0"/>
    <w:rPr>
      <w:rFonts w:hint="default" w:ascii="Times New Roman" w:hAnsi="Times New Roman" w:eastAsia="宋体" w:cs="Times New Roman"/>
      <w:i/>
      <w:iCs/>
    </w:rPr>
  </w:style>
  <w:style w:type="character" w:styleId="85">
    <w:name w:val="HTML Typewriter"/>
    <w:unhideWhenUsed/>
    <w:qFormat/>
    <w:uiPriority w:val="0"/>
    <w:rPr>
      <w:rFonts w:hint="eastAsia" w:ascii="PMingLiU" w:hAnsi="PMingLiU" w:eastAsia="宋体" w:cs="PMingLiU"/>
      <w:sz w:val="24"/>
      <w:szCs w:val="24"/>
    </w:rPr>
  </w:style>
  <w:style w:type="character" w:styleId="86">
    <w:name w:val="HTML Acronym"/>
    <w:unhideWhenUsed/>
    <w:qFormat/>
    <w:uiPriority w:val="0"/>
    <w:rPr>
      <w:rFonts w:hint="default" w:ascii="Times New Roman" w:hAnsi="Times New Roman" w:eastAsia="宋体" w:cs="Times New Roman"/>
    </w:rPr>
  </w:style>
  <w:style w:type="character" w:styleId="87">
    <w:name w:val="HTML Variable"/>
    <w:unhideWhenUsed/>
    <w:qFormat/>
    <w:uiPriority w:val="0"/>
    <w:rPr>
      <w:rFonts w:hint="default" w:ascii="Times New Roman" w:hAnsi="Times New Roman" w:eastAsia="宋体" w:cs="Times New Roman"/>
      <w:i/>
      <w:iCs/>
    </w:rPr>
  </w:style>
  <w:style w:type="character" w:styleId="88">
    <w:name w:val="Hyperlink"/>
    <w:basedOn w:val="78"/>
    <w:qFormat/>
    <w:uiPriority w:val="99"/>
    <w:rPr>
      <w:color w:val="0000FF"/>
      <w:u w:val="single"/>
    </w:rPr>
  </w:style>
  <w:style w:type="character" w:styleId="89">
    <w:name w:val="HTML Code"/>
    <w:unhideWhenUsed/>
    <w:qFormat/>
    <w:uiPriority w:val="0"/>
    <w:rPr>
      <w:rFonts w:hint="eastAsia" w:ascii="PMingLiU" w:hAnsi="PMingLiU" w:eastAsia="宋体" w:cs="PMingLiU"/>
      <w:sz w:val="24"/>
      <w:szCs w:val="24"/>
    </w:rPr>
  </w:style>
  <w:style w:type="character" w:styleId="90">
    <w:name w:val="annotation reference"/>
    <w:basedOn w:val="78"/>
    <w:qFormat/>
    <w:uiPriority w:val="99"/>
    <w:rPr>
      <w:sz w:val="21"/>
      <w:szCs w:val="21"/>
    </w:rPr>
  </w:style>
  <w:style w:type="character" w:styleId="91">
    <w:name w:val="HTML Cite"/>
    <w:unhideWhenUsed/>
    <w:qFormat/>
    <w:uiPriority w:val="0"/>
    <w:rPr>
      <w:rFonts w:hint="default" w:ascii="Times New Roman" w:hAnsi="Times New Roman" w:eastAsia="宋体" w:cs="Times New Roman"/>
      <w:i/>
      <w:iCs/>
    </w:rPr>
  </w:style>
  <w:style w:type="character" w:styleId="92">
    <w:name w:val="footnote reference"/>
    <w:basedOn w:val="78"/>
    <w:qFormat/>
    <w:uiPriority w:val="0"/>
    <w:rPr>
      <w:vertAlign w:val="superscript"/>
    </w:rPr>
  </w:style>
  <w:style w:type="character" w:styleId="93">
    <w:name w:val="HTML Keyboard"/>
    <w:unhideWhenUsed/>
    <w:qFormat/>
    <w:uiPriority w:val="0"/>
    <w:rPr>
      <w:rFonts w:hint="eastAsia" w:ascii="PMingLiU" w:hAnsi="PMingLiU" w:eastAsia="宋体" w:cs="PMingLiU"/>
      <w:sz w:val="24"/>
      <w:szCs w:val="24"/>
    </w:rPr>
  </w:style>
  <w:style w:type="character" w:styleId="94">
    <w:name w:val="HTML Sample"/>
    <w:unhideWhenUsed/>
    <w:qFormat/>
    <w:uiPriority w:val="0"/>
    <w:rPr>
      <w:rFonts w:hint="eastAsia" w:ascii="PMingLiU" w:hAnsi="PMingLiU" w:eastAsia="宋体" w:cs="PMingLiU"/>
    </w:rPr>
  </w:style>
  <w:style w:type="character" w:customStyle="1" w:styleId="95">
    <w:name w:val="标题 1 字符"/>
    <w:basedOn w:val="78"/>
    <w:link w:val="3"/>
    <w:qFormat/>
    <w:uiPriority w:val="0"/>
    <w:rPr>
      <w:rFonts w:ascii="Times New Roman" w:hAnsi="Times New Roman" w:eastAsia="宋体" w:cs="Times New Roman"/>
      <w:b/>
      <w:bCs/>
      <w:kern w:val="44"/>
      <w:sz w:val="44"/>
      <w:szCs w:val="44"/>
    </w:rPr>
  </w:style>
  <w:style w:type="character" w:customStyle="1" w:styleId="96">
    <w:name w:val="标题 2 字符"/>
    <w:basedOn w:val="78"/>
    <w:link w:val="4"/>
    <w:qFormat/>
    <w:uiPriority w:val="0"/>
    <w:rPr>
      <w:rFonts w:ascii="Arial" w:hAnsi="Arial" w:eastAsia="黑体" w:cs="Times New Roman"/>
      <w:b/>
      <w:bCs/>
      <w:sz w:val="32"/>
      <w:szCs w:val="32"/>
    </w:rPr>
  </w:style>
  <w:style w:type="character" w:customStyle="1" w:styleId="97">
    <w:name w:val="标题 3 字符"/>
    <w:basedOn w:val="78"/>
    <w:link w:val="5"/>
    <w:qFormat/>
    <w:uiPriority w:val="9"/>
    <w:rPr>
      <w:rFonts w:ascii="黑体" w:hAnsi="宋体" w:eastAsia="黑体" w:cs="Times New Roman"/>
      <w:bCs/>
      <w:sz w:val="28"/>
      <w:szCs w:val="28"/>
    </w:rPr>
  </w:style>
  <w:style w:type="character" w:customStyle="1" w:styleId="98">
    <w:name w:val="标题 4 字符"/>
    <w:basedOn w:val="78"/>
    <w:link w:val="6"/>
    <w:qFormat/>
    <w:uiPriority w:val="0"/>
    <w:rPr>
      <w:rFonts w:ascii="Arial" w:hAnsi="Arial" w:eastAsia="黑体" w:cs="Times New Roman"/>
      <w:b/>
      <w:bCs/>
      <w:sz w:val="28"/>
      <w:szCs w:val="28"/>
    </w:rPr>
  </w:style>
  <w:style w:type="character" w:customStyle="1" w:styleId="99">
    <w:name w:val="标题 6 字符"/>
    <w:basedOn w:val="78"/>
    <w:link w:val="9"/>
    <w:qFormat/>
    <w:uiPriority w:val="0"/>
    <w:rPr>
      <w:rFonts w:ascii="Arial" w:hAnsi="Arial" w:eastAsia="黑体" w:cs="Times New Roman"/>
      <w:b/>
      <w:bCs/>
      <w:kern w:val="0"/>
      <w:sz w:val="24"/>
      <w:szCs w:val="24"/>
    </w:rPr>
  </w:style>
  <w:style w:type="character" w:customStyle="1" w:styleId="100">
    <w:name w:val="标题 7 字符"/>
    <w:basedOn w:val="78"/>
    <w:link w:val="10"/>
    <w:qFormat/>
    <w:uiPriority w:val="0"/>
    <w:rPr>
      <w:rFonts w:ascii="Times New Roman" w:hAnsi="Times New Roman" w:eastAsia="宋体" w:cs="Times New Roman"/>
      <w:b/>
      <w:bCs/>
      <w:kern w:val="0"/>
      <w:sz w:val="24"/>
      <w:szCs w:val="24"/>
    </w:rPr>
  </w:style>
  <w:style w:type="character" w:customStyle="1" w:styleId="101">
    <w:name w:val="标题 8 字符"/>
    <w:basedOn w:val="78"/>
    <w:link w:val="11"/>
    <w:qFormat/>
    <w:uiPriority w:val="0"/>
    <w:rPr>
      <w:rFonts w:ascii="Arial" w:hAnsi="Arial" w:eastAsia="黑体" w:cs="Times New Roman"/>
      <w:kern w:val="0"/>
      <w:sz w:val="24"/>
      <w:szCs w:val="24"/>
    </w:rPr>
  </w:style>
  <w:style w:type="character" w:customStyle="1" w:styleId="102">
    <w:name w:val="标题 9 字符"/>
    <w:basedOn w:val="78"/>
    <w:link w:val="12"/>
    <w:qFormat/>
    <w:uiPriority w:val="0"/>
    <w:rPr>
      <w:rFonts w:ascii="Arial" w:hAnsi="Arial" w:eastAsia="黑体" w:cs="Times New Roman"/>
      <w:kern w:val="0"/>
      <w:szCs w:val="21"/>
    </w:rPr>
  </w:style>
  <w:style w:type="character" w:customStyle="1" w:styleId="103">
    <w:name w:val="正文文本 Char"/>
    <w:basedOn w:val="78"/>
    <w:uiPriority w:val="0"/>
    <w:rPr>
      <w:rFonts w:eastAsia="宋体"/>
      <w:kern w:val="2"/>
      <w:sz w:val="21"/>
      <w:szCs w:val="24"/>
      <w:lang w:val="en-US" w:eastAsia="zh-CN" w:bidi="ar-SA"/>
    </w:rPr>
  </w:style>
  <w:style w:type="character" w:customStyle="1" w:styleId="104">
    <w:name w:val="批注主题 字符"/>
    <w:basedOn w:val="105"/>
    <w:link w:val="73"/>
    <w:qFormat/>
    <w:uiPriority w:val="0"/>
    <w:rPr>
      <w:rFonts w:eastAsia="宋体"/>
      <w:b/>
      <w:bCs/>
      <w:szCs w:val="24"/>
    </w:rPr>
  </w:style>
  <w:style w:type="character" w:customStyle="1" w:styleId="105">
    <w:name w:val="批注文字 字符"/>
    <w:basedOn w:val="78"/>
    <w:link w:val="24"/>
    <w:qFormat/>
    <w:uiPriority w:val="99"/>
    <w:rPr>
      <w:rFonts w:eastAsia="宋体"/>
      <w:szCs w:val="24"/>
    </w:rPr>
  </w:style>
  <w:style w:type="character" w:customStyle="1" w:styleId="106">
    <w:name w:val="页眉 字符"/>
    <w:basedOn w:val="78"/>
    <w:link w:val="50"/>
    <w:qFormat/>
    <w:uiPriority w:val="0"/>
    <w:rPr>
      <w:rFonts w:eastAsia="宋体"/>
      <w:sz w:val="18"/>
      <w:szCs w:val="18"/>
    </w:rPr>
  </w:style>
  <w:style w:type="character" w:customStyle="1" w:styleId="107">
    <w:name w:val="正文首行缩进 字符"/>
    <w:basedOn w:val="103"/>
    <w:link w:val="74"/>
    <w:qFormat/>
    <w:uiPriority w:val="0"/>
    <w:rPr>
      <w:rFonts w:eastAsia="宋体"/>
      <w:kern w:val="2"/>
      <w:sz w:val="21"/>
      <w:szCs w:val="24"/>
      <w:lang w:val="en-US" w:eastAsia="zh-CN" w:bidi="ar-SA"/>
    </w:rPr>
  </w:style>
  <w:style w:type="character" w:customStyle="1" w:styleId="108">
    <w:name w:val="页脚 字符"/>
    <w:basedOn w:val="78"/>
    <w:link w:val="48"/>
    <w:qFormat/>
    <w:uiPriority w:val="99"/>
    <w:rPr>
      <w:rFonts w:eastAsia="宋体"/>
      <w:sz w:val="18"/>
      <w:szCs w:val="18"/>
    </w:rPr>
  </w:style>
  <w:style w:type="character" w:customStyle="1" w:styleId="109">
    <w:name w:val="font161"/>
    <w:basedOn w:val="78"/>
    <w:qFormat/>
    <w:uiPriority w:val="0"/>
    <w:rPr>
      <w:b/>
      <w:bCs/>
      <w:sz w:val="32"/>
      <w:szCs w:val="32"/>
    </w:rPr>
  </w:style>
  <w:style w:type="character" w:customStyle="1" w:styleId="110">
    <w:name w:val="文档结构图 字符"/>
    <w:basedOn w:val="78"/>
    <w:link w:val="22"/>
    <w:qFormat/>
    <w:uiPriority w:val="0"/>
    <w:rPr>
      <w:rFonts w:eastAsia="宋体"/>
      <w:szCs w:val="24"/>
      <w:shd w:val="clear" w:color="auto" w:fill="000080"/>
    </w:rPr>
  </w:style>
  <w:style w:type="paragraph" w:customStyle="1" w:styleId="111">
    <w:name w:val="Char1"/>
    <w:basedOn w:val="1"/>
    <w:qFormat/>
    <w:uiPriority w:val="0"/>
    <w:pPr>
      <w:tabs>
        <w:tab w:val="left" w:pos="360"/>
      </w:tabs>
    </w:pPr>
    <w:rPr>
      <w:sz w:val="24"/>
    </w:rPr>
  </w:style>
  <w:style w:type="character" w:customStyle="1" w:styleId="112">
    <w:name w:val="正文文本 3 字符"/>
    <w:basedOn w:val="78"/>
    <w:link w:val="26"/>
    <w:qFormat/>
    <w:uiPriority w:val="0"/>
    <w:rPr>
      <w:rFonts w:ascii="宋体" w:hAnsi="Times New Roman" w:eastAsia="宋体" w:cs="Times New Roman"/>
      <w:sz w:val="24"/>
      <w:szCs w:val="20"/>
    </w:rPr>
  </w:style>
  <w:style w:type="character" w:customStyle="1" w:styleId="113">
    <w:name w:val="正文文本缩进 字符"/>
    <w:basedOn w:val="78"/>
    <w:link w:val="30"/>
    <w:qFormat/>
    <w:uiPriority w:val="99"/>
    <w:rPr>
      <w:rFonts w:ascii="Times New Roman" w:hAnsi="Times New Roman" w:eastAsia="宋体" w:cs="Times New Roman"/>
      <w:szCs w:val="24"/>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样式1"/>
    <w:basedOn w:val="1"/>
    <w:next w:val="6"/>
    <w:qFormat/>
    <w:uiPriority w:val="0"/>
    <w:pPr>
      <w:spacing w:line="360" w:lineRule="auto"/>
      <w:ind w:firstLine="420" w:firstLineChars="200"/>
    </w:pPr>
    <w:rPr>
      <w:rFonts w:ascii="宋体" w:hAnsi="宋体"/>
      <w:szCs w:val="21"/>
    </w:rPr>
  </w:style>
  <w:style w:type="character" w:customStyle="1" w:styleId="116">
    <w:name w:val="页眉 Char1"/>
    <w:basedOn w:val="78"/>
    <w:semiHidden/>
    <w:uiPriority w:val="99"/>
    <w:rPr>
      <w:rFonts w:ascii="Times New Roman" w:hAnsi="Times New Roman" w:eastAsia="宋体" w:cs="Times New Roman"/>
      <w:sz w:val="18"/>
      <w:szCs w:val="18"/>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paragraph" w:customStyle="1" w:styleId="118">
    <w:name w:val="样式2"/>
    <w:basedOn w:val="5"/>
    <w:qFormat/>
    <w:uiPriority w:val="0"/>
    <w:rPr>
      <w:i/>
    </w:rPr>
  </w:style>
  <w:style w:type="paragraph" w:customStyle="1" w:styleId="119">
    <w:name w:val="表格文字"/>
    <w:basedOn w:val="1"/>
    <w:link w:val="180"/>
    <w:qFormat/>
    <w:uiPriority w:val="0"/>
    <w:pPr>
      <w:adjustRightInd w:val="0"/>
      <w:spacing w:line="420" w:lineRule="atLeast"/>
      <w:jc w:val="left"/>
      <w:textAlignment w:val="baseline"/>
    </w:pPr>
    <w:rPr>
      <w:kern w:val="0"/>
      <w:szCs w:val="20"/>
    </w:rPr>
  </w:style>
  <w:style w:type="character" w:customStyle="1" w:styleId="120">
    <w:name w:val="文档结构图 Char1"/>
    <w:basedOn w:val="78"/>
    <w:semiHidden/>
    <w:qFormat/>
    <w:uiPriority w:val="99"/>
    <w:rPr>
      <w:rFonts w:ascii="宋体" w:hAnsi="Times New Roman" w:eastAsia="宋体" w:cs="Times New Roman"/>
      <w:sz w:val="18"/>
      <w:szCs w:val="18"/>
    </w:rPr>
  </w:style>
  <w:style w:type="character" w:customStyle="1" w:styleId="121">
    <w:name w:val="正文文本 字符"/>
    <w:basedOn w:val="78"/>
    <w:link w:val="29"/>
    <w:qFormat/>
    <w:uiPriority w:val="0"/>
    <w:rPr>
      <w:rFonts w:ascii="Times New Roman" w:hAnsi="Times New Roman" w:eastAsia="宋体" w:cs="Times New Roman"/>
      <w:szCs w:val="24"/>
    </w:rPr>
  </w:style>
  <w:style w:type="character" w:customStyle="1" w:styleId="122">
    <w:name w:val="正文首行缩进 Char1"/>
    <w:basedOn w:val="121"/>
    <w:semiHidden/>
    <w:qFormat/>
    <w:uiPriority w:val="99"/>
    <w:rPr>
      <w:rFonts w:ascii="Times New Roman" w:hAnsi="Times New Roman" w:eastAsia="宋体" w:cs="Times New Roman"/>
      <w:szCs w:val="24"/>
    </w:rPr>
  </w:style>
  <w:style w:type="character" w:customStyle="1" w:styleId="123">
    <w:name w:val="标题 字符"/>
    <w:basedOn w:val="78"/>
    <w:link w:val="72"/>
    <w:qFormat/>
    <w:uiPriority w:val="0"/>
    <w:rPr>
      <w:rFonts w:ascii="Arial" w:hAnsi="Arial" w:eastAsia="宋体" w:cs="Times New Roman"/>
      <w:b/>
      <w:kern w:val="0"/>
      <w:sz w:val="32"/>
      <w:szCs w:val="20"/>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w:basedOn w:val="1"/>
    <w:qFormat/>
    <w:uiPriority w:val="0"/>
    <w:pPr>
      <w:tabs>
        <w:tab w:val="left" w:pos="360"/>
      </w:tabs>
    </w:pPr>
    <w:rPr>
      <w:sz w:val="24"/>
    </w:rPr>
  </w:style>
  <w:style w:type="paragraph" w:customStyle="1" w:styleId="126">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character" w:customStyle="1" w:styleId="127">
    <w:name w:val="批注文字 Char1"/>
    <w:basedOn w:val="78"/>
    <w:qFormat/>
    <w:uiPriority w:val="0"/>
    <w:rPr>
      <w:rFonts w:ascii="Times New Roman" w:hAnsi="Times New Roman" w:eastAsia="宋体" w:cs="Times New Roman"/>
      <w:szCs w:val="24"/>
    </w:rPr>
  </w:style>
  <w:style w:type="character" w:customStyle="1" w:styleId="128">
    <w:name w:val="批注主题 Char1"/>
    <w:basedOn w:val="127"/>
    <w:semiHidden/>
    <w:qFormat/>
    <w:uiPriority w:val="99"/>
    <w:rPr>
      <w:rFonts w:ascii="Times New Roman" w:hAnsi="Times New Roman" w:eastAsia="宋体" w:cs="Times New Roman"/>
      <w:b/>
      <w:bCs/>
      <w:szCs w:val="24"/>
    </w:rPr>
  </w:style>
  <w:style w:type="character" w:customStyle="1" w:styleId="129">
    <w:name w:val="页脚 Char1"/>
    <w:basedOn w:val="78"/>
    <w:semiHidden/>
    <w:qFormat/>
    <w:uiPriority w:val="99"/>
    <w:rPr>
      <w:rFonts w:ascii="Times New Roman" w:hAnsi="Times New Roman" w:eastAsia="宋体" w:cs="Times New Roman"/>
      <w:sz w:val="18"/>
      <w:szCs w:val="18"/>
    </w:rPr>
  </w:style>
  <w:style w:type="character" w:customStyle="1" w:styleId="130">
    <w:name w:val="批注框文本 字符"/>
    <w:basedOn w:val="78"/>
    <w:link w:val="47"/>
    <w:qFormat/>
    <w:uiPriority w:val="0"/>
    <w:rPr>
      <w:rFonts w:ascii="Times New Roman" w:hAnsi="Times New Roman" w:eastAsia="宋体" w:cs="Times New Roman"/>
      <w:sz w:val="18"/>
      <w:szCs w:val="18"/>
    </w:rPr>
  </w:style>
  <w:style w:type="character" w:customStyle="1" w:styleId="131">
    <w:name w:val="日期 字符"/>
    <w:basedOn w:val="78"/>
    <w:link w:val="43"/>
    <w:qFormat/>
    <w:uiPriority w:val="0"/>
    <w:rPr>
      <w:rFonts w:ascii="Times New Roman" w:hAnsi="Times New Roman" w:eastAsia="宋体" w:cs="Times New Roman"/>
      <w:sz w:val="24"/>
      <w:szCs w:val="20"/>
    </w:rPr>
  </w:style>
  <w:style w:type="character" w:customStyle="1" w:styleId="132">
    <w:name w:val="正文文本缩进 3 字符"/>
    <w:basedOn w:val="78"/>
    <w:link w:val="60"/>
    <w:qFormat/>
    <w:uiPriority w:val="0"/>
    <w:rPr>
      <w:rFonts w:ascii="Times New Roman" w:hAnsi="Times New Roman" w:eastAsia="宋体" w:cs="Times New Roman"/>
      <w:sz w:val="16"/>
      <w:szCs w:val="16"/>
    </w:rPr>
  </w:style>
  <w:style w:type="paragraph" w:customStyle="1" w:styleId="13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4">
    <w:name w:val="1"/>
    <w:basedOn w:val="1"/>
    <w:qFormat/>
    <w:uiPriority w:val="0"/>
  </w:style>
  <w:style w:type="paragraph" w:customStyle="1" w:styleId="1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6">
    <w:name w:val="文一"/>
    <w:basedOn w:val="1"/>
    <w:link w:val="137"/>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7">
    <w:name w:val="文一 Char"/>
    <w:basedOn w:val="78"/>
    <w:link w:val="136"/>
    <w:qFormat/>
    <w:uiPriority w:val="0"/>
    <w:rPr>
      <w:rFonts w:ascii="Times New Roman" w:hAnsi="Times New Roman" w:eastAsia="宋体" w:cs="Times New Roman"/>
      <w:snapToGrid w:val="0"/>
      <w:spacing w:val="4"/>
      <w:kern w:val="0"/>
      <w:sz w:val="24"/>
      <w:szCs w:val="24"/>
    </w:rPr>
  </w:style>
  <w:style w:type="character" w:customStyle="1" w:styleId="138">
    <w:name w:val="纯文本 字符1"/>
    <w:link w:val="39"/>
    <w:qFormat/>
    <w:locked/>
    <w:uiPriority w:val="0"/>
    <w:rPr>
      <w:rFonts w:ascii="宋体" w:hAnsi="Courier New"/>
    </w:rPr>
  </w:style>
  <w:style w:type="character" w:customStyle="1" w:styleId="139">
    <w:name w:val="纯文本 Char1"/>
    <w:basedOn w:val="78"/>
    <w:qFormat/>
    <w:uiPriority w:val="99"/>
    <w:rPr>
      <w:rFonts w:ascii="宋体" w:hAnsi="Courier New" w:eastAsia="宋体" w:cs="Courier New"/>
      <w:szCs w:val="21"/>
    </w:rPr>
  </w:style>
  <w:style w:type="character" w:customStyle="1" w:styleId="140">
    <w:name w:val="纯文本 字符"/>
    <w:qFormat/>
    <w:locked/>
    <w:uiPriority w:val="0"/>
    <w:rPr>
      <w:rFonts w:ascii="宋体" w:hAnsi="Courier New"/>
      <w:lang w:bidi="ar-SA"/>
    </w:rPr>
  </w:style>
  <w:style w:type="character" w:customStyle="1" w:styleId="141">
    <w:name w:val="批注文字 Char2"/>
    <w:qFormat/>
    <w:uiPriority w:val="0"/>
    <w:rPr>
      <w:rFonts w:ascii="Times New Roman" w:hAnsi="Times New Roman" w:eastAsia="宋体" w:cs="Times New Roman"/>
      <w:szCs w:val="20"/>
    </w:rPr>
  </w:style>
  <w:style w:type="paragraph" w:customStyle="1" w:styleId="1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文二"/>
    <w:basedOn w:val="1"/>
    <w:qFormat/>
    <w:uiPriority w:val="0"/>
    <w:pPr>
      <w:jc w:val="left"/>
    </w:pPr>
    <w:rPr>
      <w:rFonts w:ascii="宋体" w:hAnsi="宋体"/>
      <w:szCs w:val="21"/>
    </w:rPr>
  </w:style>
  <w:style w:type="table" w:customStyle="1" w:styleId="145">
    <w:name w:val="Table Normal"/>
    <w:semiHidden/>
    <w:unhideWhenUsed/>
    <w:qFormat/>
    <w:uiPriority w:val="2"/>
    <w:tblPr>
      <w:tblCellMar>
        <w:top w:w="0" w:type="dxa"/>
        <w:left w:w="0" w:type="dxa"/>
        <w:bottom w:w="0" w:type="dxa"/>
        <w:right w:w="0" w:type="dxa"/>
      </w:tblCellMar>
    </w:tblPr>
  </w:style>
  <w:style w:type="paragraph" w:customStyle="1" w:styleId="146">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147">
    <w:name w:val="批注文字 Char"/>
    <w:qFormat/>
    <w:uiPriority w:val="99"/>
    <w:rPr>
      <w:rFonts w:eastAsia="Times New Roman" w:cs="Calibri"/>
      <w:color w:val="000000"/>
      <w:kern w:val="2"/>
      <w:sz w:val="22"/>
      <w:szCs w:val="22"/>
    </w:rPr>
  </w:style>
  <w:style w:type="paragraph" w:styleId="148">
    <w:name w:val="List Paragraph"/>
    <w:basedOn w:val="1"/>
    <w:qFormat/>
    <w:uiPriority w:val="0"/>
    <w:pPr>
      <w:ind w:firstLine="420" w:firstLineChars="200"/>
    </w:pPr>
  </w:style>
  <w:style w:type="character" w:customStyle="1" w:styleId="149">
    <w:name w:val="标题 5 字符"/>
    <w:basedOn w:val="78"/>
    <w:link w:val="7"/>
    <w:qFormat/>
    <w:uiPriority w:val="0"/>
    <w:rPr>
      <w:rFonts w:ascii="Arial" w:hAnsi="Arial"/>
      <w:color w:val="000000"/>
      <w:kern w:val="2"/>
      <w:sz w:val="24"/>
      <w:szCs w:val="24"/>
    </w:rPr>
  </w:style>
  <w:style w:type="character" w:customStyle="1" w:styleId="150">
    <w:name w:val="HTML 地址 字符"/>
    <w:basedOn w:val="78"/>
    <w:link w:val="36"/>
    <w:qFormat/>
    <w:uiPriority w:val="0"/>
    <w:rPr>
      <w:rFonts w:ascii="Times New Roman" w:hAnsi="Times New Roman"/>
      <w:i/>
      <w:iCs/>
      <w:kern w:val="2"/>
      <w:sz w:val="21"/>
      <w:szCs w:val="24"/>
    </w:rPr>
  </w:style>
  <w:style w:type="character" w:customStyle="1" w:styleId="151">
    <w:name w:val="HTML 预设格式 字符"/>
    <w:basedOn w:val="78"/>
    <w:link w:val="68"/>
    <w:qFormat/>
    <w:uiPriority w:val="0"/>
    <w:rPr>
      <w:rFonts w:ascii="Courier New" w:hAnsi="Courier New"/>
      <w:kern w:val="2"/>
    </w:rPr>
  </w:style>
  <w:style w:type="paragraph" w:customStyle="1" w:styleId="152">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53">
    <w:name w:val="正文缩进 字符"/>
    <w:link w:val="8"/>
    <w:qFormat/>
    <w:locked/>
    <w:uiPriority w:val="0"/>
    <w:rPr>
      <w:rFonts w:ascii="Times New Roman" w:hAnsi="Times New Roman"/>
      <w:kern w:val="2"/>
      <w:sz w:val="21"/>
      <w:szCs w:val="24"/>
    </w:rPr>
  </w:style>
  <w:style w:type="character" w:customStyle="1" w:styleId="154">
    <w:name w:val="尾注文本 字符"/>
    <w:basedOn w:val="78"/>
    <w:link w:val="45"/>
    <w:qFormat/>
    <w:uiPriority w:val="0"/>
    <w:rPr>
      <w:rFonts w:ascii="Times New Roman" w:hAnsi="Times New Roman"/>
      <w:kern w:val="2"/>
      <w:sz w:val="21"/>
    </w:rPr>
  </w:style>
  <w:style w:type="character" w:customStyle="1" w:styleId="155">
    <w:name w:val="宏文本 字符"/>
    <w:basedOn w:val="78"/>
    <w:link w:val="2"/>
    <w:qFormat/>
    <w:uiPriority w:val="99"/>
    <w:rPr>
      <w:rFonts w:ascii="Courier New" w:hAnsi="Courier New"/>
      <w:kern w:val="2"/>
      <w:sz w:val="24"/>
      <w:szCs w:val="24"/>
    </w:rPr>
  </w:style>
  <w:style w:type="character" w:customStyle="1" w:styleId="156">
    <w:name w:val="结束语 字符"/>
    <w:basedOn w:val="78"/>
    <w:link w:val="27"/>
    <w:qFormat/>
    <w:uiPriority w:val="0"/>
    <w:rPr>
      <w:rFonts w:ascii="Times New Roman" w:hAnsi="Times New Roman"/>
      <w:kern w:val="2"/>
      <w:sz w:val="21"/>
      <w:szCs w:val="24"/>
    </w:rPr>
  </w:style>
  <w:style w:type="character" w:customStyle="1" w:styleId="157">
    <w:name w:val="签名 字符"/>
    <w:basedOn w:val="78"/>
    <w:link w:val="51"/>
    <w:qFormat/>
    <w:uiPriority w:val="0"/>
    <w:rPr>
      <w:rFonts w:ascii="Times New Roman" w:hAnsi="Times New Roman"/>
      <w:kern w:val="2"/>
      <w:sz w:val="21"/>
      <w:szCs w:val="24"/>
    </w:rPr>
  </w:style>
  <w:style w:type="character" w:customStyle="1" w:styleId="158">
    <w:name w:val="信息标题 字符"/>
    <w:basedOn w:val="78"/>
    <w:link w:val="67"/>
    <w:qFormat/>
    <w:uiPriority w:val="0"/>
    <w:rPr>
      <w:rFonts w:ascii="Arial" w:hAnsi="Arial"/>
      <w:kern w:val="2"/>
      <w:sz w:val="24"/>
      <w:szCs w:val="24"/>
      <w:shd w:val="pct20" w:color="auto" w:fill="auto"/>
    </w:rPr>
  </w:style>
  <w:style w:type="character" w:customStyle="1" w:styleId="159">
    <w:name w:val="副标题 字符"/>
    <w:basedOn w:val="78"/>
    <w:link w:val="55"/>
    <w:qFormat/>
    <w:uiPriority w:val="0"/>
    <w:rPr>
      <w:rFonts w:ascii="Arial" w:hAnsi="Arial"/>
      <w:b/>
      <w:bCs/>
      <w:kern w:val="28"/>
      <w:sz w:val="32"/>
      <w:szCs w:val="32"/>
    </w:rPr>
  </w:style>
  <w:style w:type="character" w:customStyle="1" w:styleId="160">
    <w:name w:val="称呼 字符"/>
    <w:basedOn w:val="78"/>
    <w:link w:val="25"/>
    <w:qFormat/>
    <w:uiPriority w:val="0"/>
    <w:rPr>
      <w:rFonts w:ascii="Times New Roman" w:hAnsi="Times New Roman"/>
      <w:kern w:val="2"/>
      <w:sz w:val="21"/>
      <w:szCs w:val="24"/>
    </w:rPr>
  </w:style>
  <w:style w:type="character" w:customStyle="1" w:styleId="161">
    <w:name w:val="正文首行缩进 2 字符"/>
    <w:basedOn w:val="113"/>
    <w:link w:val="75"/>
    <w:qFormat/>
    <w:uiPriority w:val="0"/>
    <w:rPr>
      <w:rFonts w:ascii="宋体" w:hAnsi="宋体" w:eastAsia="宋体" w:cs="Times New Roman"/>
      <w:color w:val="000000"/>
      <w:kern w:val="2"/>
      <w:sz w:val="21"/>
      <w:szCs w:val="24"/>
      <w:u w:val="single"/>
    </w:rPr>
  </w:style>
  <w:style w:type="character" w:customStyle="1" w:styleId="162">
    <w:name w:val="注释标题 字符"/>
    <w:basedOn w:val="78"/>
    <w:link w:val="16"/>
    <w:qFormat/>
    <w:uiPriority w:val="0"/>
    <w:rPr>
      <w:rFonts w:ascii="Times New Roman" w:hAnsi="Times New Roman" w:eastAsia="方正大标宋简体"/>
      <w:kern w:val="2"/>
      <w:sz w:val="24"/>
      <w:lang w:eastAsia="zh-TW"/>
    </w:rPr>
  </w:style>
  <w:style w:type="character" w:customStyle="1" w:styleId="163">
    <w:name w:val="正文文本 2 字符"/>
    <w:basedOn w:val="78"/>
    <w:link w:val="64"/>
    <w:qFormat/>
    <w:uiPriority w:val="0"/>
    <w:rPr>
      <w:rFonts w:ascii="Times New Roman" w:hAnsi="Times New Roman" w:eastAsia="楷体_GB2312"/>
      <w:kern w:val="2"/>
      <w:sz w:val="21"/>
    </w:rPr>
  </w:style>
  <w:style w:type="character" w:customStyle="1" w:styleId="164">
    <w:name w:val="正文文本缩进 2 字符"/>
    <w:basedOn w:val="78"/>
    <w:link w:val="44"/>
    <w:qFormat/>
    <w:uiPriority w:val="0"/>
    <w:rPr>
      <w:rFonts w:ascii="Times New Roman" w:hAnsi="Times New Roman"/>
      <w:kern w:val="2"/>
      <w:sz w:val="21"/>
    </w:rPr>
  </w:style>
  <w:style w:type="character" w:customStyle="1" w:styleId="165">
    <w:name w:val="电子邮件签名 字符"/>
    <w:basedOn w:val="78"/>
    <w:link w:val="18"/>
    <w:qFormat/>
    <w:uiPriority w:val="0"/>
    <w:rPr>
      <w:rFonts w:ascii="Times New Roman" w:hAnsi="Times New Roman"/>
      <w:kern w:val="2"/>
      <w:sz w:val="21"/>
      <w:szCs w:val="24"/>
    </w:rPr>
  </w:style>
  <w:style w:type="character" w:customStyle="1" w:styleId="166">
    <w:name w:val="无间隔 字符"/>
    <w:link w:val="167"/>
    <w:qFormat/>
    <w:locked/>
    <w:uiPriority w:val="1"/>
    <w:rPr>
      <w:sz w:val="22"/>
      <w:szCs w:val="22"/>
    </w:rPr>
  </w:style>
  <w:style w:type="paragraph" w:styleId="167">
    <w:name w:val="No Spacing"/>
    <w:link w:val="166"/>
    <w:qFormat/>
    <w:uiPriority w:val="1"/>
    <w:rPr>
      <w:rFonts w:ascii="Calibri" w:hAnsi="Calibri" w:eastAsia="宋体" w:cs="Times New Roman"/>
      <w:sz w:val="22"/>
      <w:szCs w:val="22"/>
      <w:lang w:val="en-US" w:eastAsia="zh-CN" w:bidi="ar-SA"/>
    </w:rPr>
  </w:style>
  <w:style w:type="character" w:customStyle="1" w:styleId="168">
    <w:name w:val="表格文字缩进 Char"/>
    <w:link w:val="169"/>
    <w:qFormat/>
    <w:locked/>
    <w:uiPriority w:val="0"/>
    <w:rPr>
      <w:rFonts w:ascii="宋体" w:hAnsi="宋体"/>
      <w:kern w:val="2"/>
      <w:sz w:val="24"/>
      <w:szCs w:val="24"/>
    </w:rPr>
  </w:style>
  <w:style w:type="paragraph" w:customStyle="1" w:styleId="169">
    <w:name w:val="表格文字缩进"/>
    <w:basedOn w:val="1"/>
    <w:next w:val="170"/>
    <w:link w:val="168"/>
    <w:qFormat/>
    <w:uiPriority w:val="0"/>
    <w:pPr>
      <w:spacing w:line="360" w:lineRule="exact"/>
      <w:ind w:firstLine="480" w:firstLineChars="200"/>
    </w:pPr>
    <w:rPr>
      <w:rFonts w:ascii="宋体" w:hAnsi="宋体"/>
      <w:sz w:val="24"/>
    </w:rPr>
  </w:style>
  <w:style w:type="paragraph" w:customStyle="1" w:styleId="170">
    <w:name w:val="西塔正文1"/>
    <w:basedOn w:val="1"/>
    <w:link w:val="171"/>
    <w:qFormat/>
    <w:uiPriority w:val="0"/>
    <w:pPr>
      <w:spacing w:line="360" w:lineRule="auto"/>
      <w:jc w:val="center"/>
    </w:pPr>
    <w:rPr>
      <w:rFonts w:ascii="宋体"/>
      <w:sz w:val="24"/>
    </w:rPr>
  </w:style>
  <w:style w:type="character" w:customStyle="1" w:styleId="171">
    <w:name w:val="西塔正文1 Char Char"/>
    <w:link w:val="170"/>
    <w:qFormat/>
    <w:locked/>
    <w:uiPriority w:val="0"/>
    <w:rPr>
      <w:rFonts w:ascii="宋体" w:hAnsi="Times New Roman"/>
      <w:kern w:val="2"/>
      <w:sz w:val="24"/>
      <w:szCs w:val="24"/>
    </w:rPr>
  </w:style>
  <w:style w:type="character" w:customStyle="1" w:styleId="172">
    <w:name w:val="正文部分 Char"/>
    <w:link w:val="173"/>
    <w:qFormat/>
    <w:locked/>
    <w:uiPriority w:val="0"/>
    <w:rPr>
      <w:kern w:val="2"/>
      <w:sz w:val="24"/>
      <w:szCs w:val="24"/>
    </w:rPr>
  </w:style>
  <w:style w:type="paragraph" w:customStyle="1" w:styleId="173">
    <w:name w:val="正文部分"/>
    <w:basedOn w:val="1"/>
    <w:link w:val="172"/>
    <w:qFormat/>
    <w:uiPriority w:val="0"/>
    <w:pPr>
      <w:spacing w:line="460" w:lineRule="exact"/>
      <w:ind w:firstLine="225" w:firstLineChars="225"/>
    </w:pPr>
    <w:rPr>
      <w:rFonts w:ascii="Calibri" w:hAnsi="Calibri"/>
      <w:sz w:val="24"/>
    </w:rPr>
  </w:style>
  <w:style w:type="character" w:customStyle="1" w:styleId="174">
    <w:name w:val="表格左对齐 Char"/>
    <w:link w:val="175"/>
    <w:qFormat/>
    <w:locked/>
    <w:uiPriority w:val="0"/>
    <w:rPr>
      <w:rFonts w:ascii="宋体" w:hAnsi="宋体"/>
      <w:kern w:val="2"/>
      <w:sz w:val="21"/>
      <w:szCs w:val="21"/>
    </w:rPr>
  </w:style>
  <w:style w:type="paragraph" w:customStyle="1" w:styleId="175">
    <w:name w:val="表格左对齐"/>
    <w:basedOn w:val="1"/>
    <w:link w:val="174"/>
    <w:qFormat/>
    <w:uiPriority w:val="0"/>
    <w:pPr>
      <w:jc w:val="left"/>
    </w:pPr>
    <w:rPr>
      <w:rFonts w:ascii="宋体" w:hAnsi="宋体"/>
      <w:szCs w:val="21"/>
    </w:rPr>
  </w:style>
  <w:style w:type="character" w:customStyle="1" w:styleId="176">
    <w:name w:val="表格文字居中 Char"/>
    <w:link w:val="177"/>
    <w:qFormat/>
    <w:locked/>
    <w:uiPriority w:val="0"/>
    <w:rPr>
      <w:rFonts w:ascii="宋体" w:hAnsi="宋体"/>
      <w:b/>
      <w:bCs/>
      <w:sz w:val="24"/>
      <w:szCs w:val="24"/>
    </w:rPr>
  </w:style>
  <w:style w:type="paragraph" w:customStyle="1" w:styleId="177">
    <w:name w:val="表格文字居中"/>
    <w:basedOn w:val="1"/>
    <w:link w:val="176"/>
    <w:qFormat/>
    <w:uiPriority w:val="0"/>
    <w:pPr>
      <w:spacing w:line="360" w:lineRule="auto"/>
      <w:jc w:val="center"/>
    </w:pPr>
    <w:rPr>
      <w:rFonts w:ascii="宋体" w:hAnsi="宋体"/>
      <w:b/>
      <w:bCs/>
      <w:kern w:val="0"/>
      <w:sz w:val="24"/>
    </w:rPr>
  </w:style>
  <w:style w:type="character" w:customStyle="1" w:styleId="178">
    <w:name w:val="表格左缩进 Char"/>
    <w:link w:val="179"/>
    <w:qFormat/>
    <w:locked/>
    <w:uiPriority w:val="0"/>
    <w:rPr>
      <w:rFonts w:ascii="宋体" w:hAnsi="宋体"/>
      <w:kern w:val="2"/>
      <w:sz w:val="21"/>
      <w:szCs w:val="21"/>
    </w:rPr>
  </w:style>
  <w:style w:type="paragraph" w:customStyle="1" w:styleId="179">
    <w:name w:val="表格左缩进"/>
    <w:basedOn w:val="175"/>
    <w:link w:val="178"/>
    <w:qFormat/>
    <w:uiPriority w:val="0"/>
    <w:pPr>
      <w:ind w:firstLine="420" w:firstLineChars="200"/>
    </w:pPr>
  </w:style>
  <w:style w:type="character" w:customStyle="1" w:styleId="180">
    <w:name w:val="表格文字 Char"/>
    <w:link w:val="119"/>
    <w:qFormat/>
    <w:locked/>
    <w:uiPriority w:val="0"/>
    <w:rPr>
      <w:rFonts w:ascii="Times New Roman" w:hAnsi="Times New Roman"/>
      <w:sz w:val="21"/>
    </w:rPr>
  </w:style>
  <w:style w:type="character" w:customStyle="1" w:styleId="181">
    <w:name w:val="样式 样式 正文 + 首行缩进:  2 字符 + 首行缩进:  2 字符 段后: 0.3 行 + 首行缩进:  2 字符 Char"/>
    <w:link w:val="182"/>
    <w:qFormat/>
    <w:locked/>
    <w:uiPriority w:val="0"/>
    <w:rPr>
      <w:kern w:val="2"/>
      <w:sz w:val="24"/>
    </w:rPr>
  </w:style>
  <w:style w:type="paragraph" w:customStyle="1" w:styleId="182">
    <w:name w:val="样式 样式 正文 + 首行缩进:  2 字符 + 首行缩进:  2 字符 段后: 0.3 行 + 首行缩进:  2 字符"/>
    <w:basedOn w:val="1"/>
    <w:link w:val="181"/>
    <w:qFormat/>
    <w:uiPriority w:val="0"/>
    <w:pPr>
      <w:spacing w:line="400" w:lineRule="exact"/>
      <w:ind w:firstLine="200" w:firstLineChars="200"/>
      <w:jc w:val="left"/>
    </w:pPr>
    <w:rPr>
      <w:rFonts w:ascii="Calibri" w:hAnsi="Calibri"/>
      <w:sz w:val="24"/>
      <w:szCs w:val="20"/>
    </w:rPr>
  </w:style>
  <w:style w:type="character" w:customStyle="1" w:styleId="183">
    <w:name w:val="样式 表格文字居中 + 黑色 Char"/>
    <w:link w:val="184"/>
    <w:qFormat/>
    <w:locked/>
    <w:uiPriority w:val="0"/>
    <w:rPr>
      <w:rFonts w:ascii="宋体" w:hAnsi="宋体"/>
      <w:b/>
      <w:bCs/>
      <w:color w:val="000000"/>
      <w:kern w:val="2"/>
      <w:sz w:val="24"/>
      <w:szCs w:val="21"/>
    </w:rPr>
  </w:style>
  <w:style w:type="paragraph" w:customStyle="1" w:styleId="184">
    <w:name w:val="样式 表格文字居中 + 黑色"/>
    <w:basedOn w:val="177"/>
    <w:link w:val="183"/>
    <w:qFormat/>
    <w:uiPriority w:val="0"/>
    <w:pPr>
      <w:widowControl/>
    </w:pPr>
    <w:rPr>
      <w:color w:val="000000"/>
      <w:kern w:val="2"/>
      <w:szCs w:val="21"/>
    </w:rPr>
  </w:style>
  <w:style w:type="character" w:customStyle="1" w:styleId="185">
    <w:name w:val="样式4 Char"/>
    <w:link w:val="186"/>
    <w:qFormat/>
    <w:locked/>
    <w:uiPriority w:val="0"/>
    <w:rPr>
      <w:color w:val="000000"/>
      <w:sz w:val="21"/>
      <w:szCs w:val="21"/>
    </w:rPr>
  </w:style>
  <w:style w:type="paragraph" w:customStyle="1" w:styleId="186">
    <w:name w:val="样式4"/>
    <w:basedOn w:val="1"/>
    <w:link w:val="185"/>
    <w:qFormat/>
    <w:uiPriority w:val="0"/>
    <w:pPr>
      <w:adjustRightInd w:val="0"/>
      <w:snapToGrid w:val="0"/>
      <w:spacing w:line="360" w:lineRule="auto"/>
      <w:ind w:firstLine="420" w:firstLineChars="200"/>
    </w:pPr>
    <w:rPr>
      <w:rFonts w:ascii="Calibri" w:hAnsi="Calibri"/>
      <w:color w:val="000000"/>
      <w:kern w:val="0"/>
      <w:szCs w:val="21"/>
    </w:rPr>
  </w:style>
  <w:style w:type="character" w:customStyle="1" w:styleId="187">
    <w:name w:val="方案正文 Char"/>
    <w:link w:val="188"/>
    <w:qFormat/>
    <w:locked/>
    <w:uiPriority w:val="0"/>
    <w:rPr>
      <w:rFonts w:ascii="宋体" w:hAnsi="宋体"/>
      <w:kern w:val="2"/>
      <w:sz w:val="24"/>
      <w:szCs w:val="24"/>
    </w:rPr>
  </w:style>
  <w:style w:type="paragraph" w:customStyle="1" w:styleId="188">
    <w:name w:val="方案正文"/>
    <w:basedOn w:val="1"/>
    <w:link w:val="187"/>
    <w:qFormat/>
    <w:uiPriority w:val="0"/>
    <w:pPr>
      <w:spacing w:line="360" w:lineRule="auto"/>
      <w:ind w:firstLine="480" w:firstLineChars="200"/>
      <w:jc w:val="left"/>
    </w:pPr>
    <w:rPr>
      <w:rFonts w:ascii="宋体" w:hAnsi="宋体"/>
      <w:sz w:val="24"/>
    </w:rPr>
  </w:style>
  <w:style w:type="character" w:customStyle="1" w:styleId="189">
    <w:name w:val="样式 正文缩进表正文正文非缩进正文（首行缩进两字）1正文（首行缩进两字）1 Char Char Char Char Ch... Char"/>
    <w:link w:val="190"/>
    <w:qFormat/>
    <w:locked/>
    <w:uiPriority w:val="0"/>
    <w:rPr>
      <w:kern w:val="2"/>
      <w:sz w:val="24"/>
    </w:rPr>
  </w:style>
  <w:style w:type="paragraph" w:customStyle="1" w:styleId="190">
    <w:name w:val="样式 正文缩进表正文正文非缩进正文（首行缩进两字）1正文（首行缩进两字）1 Char Char Char Char Ch..."/>
    <w:basedOn w:val="8"/>
    <w:link w:val="189"/>
    <w:qFormat/>
    <w:uiPriority w:val="0"/>
    <w:pPr>
      <w:spacing w:line="360" w:lineRule="auto"/>
      <w:ind w:firstLine="480"/>
    </w:pPr>
    <w:rPr>
      <w:rFonts w:ascii="Calibri" w:hAnsi="Calibri"/>
      <w:sz w:val="24"/>
      <w:szCs w:val="20"/>
    </w:rPr>
  </w:style>
  <w:style w:type="character" w:customStyle="1" w:styleId="191">
    <w:name w:val="表格内容 Char"/>
    <w:link w:val="192"/>
    <w:qFormat/>
    <w:locked/>
    <w:uiPriority w:val="0"/>
    <w:rPr>
      <w:rFonts w:ascii="宋体" w:hAnsi="宋体"/>
      <w:kern w:val="2"/>
      <w:sz w:val="21"/>
      <w:szCs w:val="21"/>
    </w:rPr>
  </w:style>
  <w:style w:type="paragraph" w:customStyle="1" w:styleId="192">
    <w:name w:val="表格内容"/>
    <w:basedOn w:val="1"/>
    <w:link w:val="191"/>
    <w:qFormat/>
    <w:uiPriority w:val="0"/>
    <w:pPr>
      <w:spacing w:line="300" w:lineRule="exact"/>
    </w:pPr>
    <w:rPr>
      <w:rFonts w:ascii="宋体" w:hAnsi="宋体"/>
      <w:szCs w:val="21"/>
    </w:rPr>
  </w:style>
  <w:style w:type="character" w:customStyle="1" w:styleId="193">
    <w:name w:val="样式 样式 仿宋_GB2312 四号 段后: 7.8 磅 行距: 1.5 倍行距 + 首行缩进:  2 字符 Char"/>
    <w:link w:val="194"/>
    <w:qFormat/>
    <w:locked/>
    <w:uiPriority w:val="0"/>
    <w:rPr>
      <w:rFonts w:ascii="Batang" w:hAnsi="宋体" w:eastAsia="Calibri"/>
      <w:kern w:val="24"/>
      <w:sz w:val="24"/>
    </w:rPr>
  </w:style>
  <w:style w:type="paragraph" w:customStyle="1" w:styleId="194">
    <w:name w:val="样式 样式 仿宋_GB2312 四号 段后: 7.8 磅 行距: 1.5 倍行距 + 首行缩进:  2 字符"/>
    <w:basedOn w:val="1"/>
    <w:link w:val="193"/>
    <w:qFormat/>
    <w:uiPriority w:val="0"/>
    <w:pPr>
      <w:snapToGrid w:val="0"/>
      <w:spacing w:line="312" w:lineRule="auto"/>
      <w:ind w:firstLine="480" w:firstLineChars="200"/>
    </w:pPr>
    <w:rPr>
      <w:rFonts w:ascii="Batang" w:hAnsi="宋体" w:eastAsia="Calibri"/>
      <w:kern w:val="24"/>
      <w:sz w:val="24"/>
      <w:szCs w:val="20"/>
    </w:rPr>
  </w:style>
  <w:style w:type="character" w:customStyle="1" w:styleId="195">
    <w:name w:val="表格文字居左 Char"/>
    <w:link w:val="196"/>
    <w:qFormat/>
    <w:locked/>
    <w:uiPriority w:val="0"/>
    <w:rPr>
      <w:rFonts w:ascii="宋体" w:hAnsi="宋体"/>
      <w:kern w:val="2"/>
      <w:sz w:val="24"/>
      <w:szCs w:val="24"/>
    </w:rPr>
  </w:style>
  <w:style w:type="paragraph" w:customStyle="1" w:styleId="196">
    <w:name w:val="表格文字居左"/>
    <w:basedOn w:val="1"/>
    <w:next w:val="1"/>
    <w:link w:val="195"/>
    <w:qFormat/>
    <w:uiPriority w:val="0"/>
    <w:pPr>
      <w:ind w:firstLine="480" w:firstLineChars="200"/>
    </w:pPr>
    <w:rPr>
      <w:rFonts w:ascii="宋体" w:hAnsi="宋体"/>
      <w:sz w:val="24"/>
    </w:rPr>
  </w:style>
  <w:style w:type="character" w:customStyle="1" w:styleId="197">
    <w:name w:val="样式 标题 2 + (西文) 宋体 小四 Char"/>
    <w:link w:val="198"/>
    <w:qFormat/>
    <w:locked/>
    <w:uiPriority w:val="0"/>
    <w:rPr>
      <w:rFonts w:ascii="宋体" w:hAnsi="宋体"/>
      <w:b/>
      <w:color w:val="000000"/>
      <w:kern w:val="2"/>
      <w:sz w:val="24"/>
    </w:rPr>
  </w:style>
  <w:style w:type="paragraph" w:customStyle="1" w:styleId="198">
    <w:name w:val="样式 标题 2 + (西文) 宋体 小四"/>
    <w:basedOn w:val="4"/>
    <w:link w:val="197"/>
    <w:qFormat/>
    <w:uiPriority w:val="0"/>
    <w:pPr>
      <w:spacing w:line="412" w:lineRule="auto"/>
      <w:ind w:left="454" w:hanging="454"/>
      <w:jc w:val="center"/>
    </w:pPr>
    <w:rPr>
      <w:rFonts w:ascii="宋体" w:hAnsi="宋体" w:eastAsia="宋体"/>
      <w:bCs w:val="0"/>
      <w:color w:val="000000"/>
      <w:sz w:val="24"/>
      <w:szCs w:val="20"/>
    </w:rPr>
  </w:style>
  <w:style w:type="character" w:customStyle="1" w:styleId="199">
    <w:name w:val="样式 样式 样式 仿宋_GB2312 四号 段后: 7.8 磅 行距: 1.5 倍行距 + 首行缩进:  2 字符 + Char"/>
    <w:link w:val="200"/>
    <w:qFormat/>
    <w:locked/>
    <w:uiPriority w:val="0"/>
    <w:rPr>
      <w:rFonts w:ascii="Batang" w:hAnsi="宋体" w:eastAsia="Calibri"/>
      <w:sz w:val="24"/>
    </w:rPr>
  </w:style>
  <w:style w:type="paragraph" w:customStyle="1" w:styleId="200">
    <w:name w:val="样式 样式 样式 仿宋_GB2312 四号 段后: 7.8 磅 行距: 1.5 倍行距 + 首行缩进:  2 字符 +"/>
    <w:basedOn w:val="1"/>
    <w:link w:val="199"/>
    <w:qFormat/>
    <w:uiPriority w:val="0"/>
    <w:pPr>
      <w:snapToGrid w:val="0"/>
      <w:spacing w:line="312" w:lineRule="auto"/>
      <w:ind w:firstLine="480" w:firstLineChars="200"/>
    </w:pPr>
    <w:rPr>
      <w:rFonts w:ascii="Batang" w:hAnsi="宋体" w:eastAsia="Calibri"/>
      <w:kern w:val="0"/>
      <w:sz w:val="24"/>
      <w:szCs w:val="20"/>
    </w:rPr>
  </w:style>
  <w:style w:type="character" w:customStyle="1" w:styleId="201">
    <w:name w:val="正文缩2 Char"/>
    <w:link w:val="202"/>
    <w:qFormat/>
    <w:locked/>
    <w:uiPriority w:val="0"/>
    <w:rPr>
      <w:kern w:val="2"/>
      <w:sz w:val="24"/>
      <w:szCs w:val="24"/>
    </w:rPr>
  </w:style>
  <w:style w:type="paragraph" w:customStyle="1" w:styleId="202">
    <w:name w:val="正文缩2"/>
    <w:basedOn w:val="1"/>
    <w:link w:val="201"/>
    <w:qFormat/>
    <w:uiPriority w:val="0"/>
    <w:pPr>
      <w:spacing w:beforeLines="50" w:line="300" w:lineRule="auto"/>
      <w:ind w:firstLine="480" w:firstLineChars="200"/>
    </w:pPr>
    <w:rPr>
      <w:rFonts w:ascii="Calibri" w:hAnsi="Calibri"/>
      <w:sz w:val="24"/>
    </w:rPr>
  </w:style>
  <w:style w:type="character" w:customStyle="1" w:styleId="203">
    <w:name w:val="样式3 Char"/>
    <w:link w:val="204"/>
    <w:qFormat/>
    <w:locked/>
    <w:uiPriority w:val="0"/>
    <w:rPr>
      <w:color w:val="000000"/>
      <w:sz w:val="21"/>
      <w:szCs w:val="21"/>
    </w:rPr>
  </w:style>
  <w:style w:type="paragraph" w:customStyle="1" w:styleId="204">
    <w:name w:val="样式3"/>
    <w:basedOn w:val="1"/>
    <w:link w:val="203"/>
    <w:qFormat/>
    <w:uiPriority w:val="0"/>
    <w:pPr>
      <w:adjustRightInd w:val="0"/>
      <w:snapToGrid w:val="0"/>
      <w:spacing w:line="360" w:lineRule="auto"/>
      <w:ind w:firstLine="200"/>
    </w:pPr>
    <w:rPr>
      <w:rFonts w:ascii="Calibri" w:hAnsi="Calibri"/>
      <w:color w:val="000000"/>
      <w:kern w:val="0"/>
      <w:szCs w:val="21"/>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项目符号●"/>
    <w:basedOn w:val="1"/>
    <w:qFormat/>
    <w:uiPriority w:val="0"/>
    <w:pPr>
      <w:numPr>
        <w:ilvl w:val="0"/>
        <w:numId w:val="11"/>
      </w:numPr>
      <w:tabs>
        <w:tab w:val="left" w:pos="840"/>
        <w:tab w:val="left" w:pos="1440"/>
      </w:tabs>
      <w:spacing w:line="360" w:lineRule="auto"/>
      <w:jc w:val="left"/>
    </w:pPr>
    <w:rPr>
      <w:rFonts w:cs="宋体"/>
      <w:szCs w:val="20"/>
    </w:rPr>
  </w:style>
  <w:style w:type="paragraph" w:customStyle="1" w:styleId="207">
    <w:name w:val="小标题"/>
    <w:basedOn w:val="1"/>
    <w:qFormat/>
    <w:uiPriority w:val="0"/>
    <w:pPr>
      <w:tabs>
        <w:tab w:val="left" w:pos="840"/>
      </w:tabs>
      <w:adjustRightInd w:val="0"/>
      <w:spacing w:beforeLines="50" w:line="400" w:lineRule="atLeast"/>
      <w:ind w:left="840" w:hanging="360"/>
    </w:pPr>
    <w:rPr>
      <w:rFonts w:ascii="宋体" w:hAnsi="宋体"/>
      <w:kern w:val="0"/>
      <w:sz w:val="24"/>
      <w:szCs w:val="20"/>
    </w:rPr>
  </w:style>
  <w:style w:type="paragraph" w:customStyle="1" w:styleId="208">
    <w:name w:val="xl7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9">
    <w:name w:val="样式 标题 1章-C + 非加粗 自动设置"/>
    <w:basedOn w:val="3"/>
    <w:qFormat/>
    <w:uiPriority w:val="0"/>
    <w:pPr>
      <w:spacing w:before="100" w:beforeAutospacing="1" w:after="100" w:afterAutospacing="1" w:line="720" w:lineRule="auto"/>
      <w:jc w:val="left"/>
    </w:pPr>
    <w:rPr>
      <w:bCs w:val="0"/>
      <w:sz w:val="36"/>
      <w:szCs w:val="24"/>
    </w:rPr>
  </w:style>
  <w:style w:type="paragraph" w:customStyle="1" w:styleId="210">
    <w:name w:val="xl109"/>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11">
    <w:name w:val="Char13"/>
    <w:basedOn w:val="1"/>
    <w:qFormat/>
    <w:uiPriority w:val="0"/>
    <w:rPr>
      <w:sz w:val="24"/>
    </w:rPr>
  </w:style>
  <w:style w:type="paragraph" w:customStyle="1" w:styleId="212">
    <w:name w:val="表格文字1"/>
    <w:basedOn w:val="29"/>
    <w:qFormat/>
    <w:uiPriority w:val="0"/>
    <w:pPr>
      <w:spacing w:after="0" w:line="360" w:lineRule="auto"/>
      <w:jc w:val="center"/>
    </w:pPr>
    <w:rPr>
      <w:sz w:val="24"/>
    </w:rPr>
  </w:style>
  <w:style w:type="paragraph" w:customStyle="1" w:styleId="213">
    <w:name w:val="标题2"/>
    <w:basedOn w:val="4"/>
    <w:next w:val="1"/>
    <w:qFormat/>
    <w:uiPriority w:val="0"/>
    <w:pPr>
      <w:keepNext w:val="0"/>
      <w:keepLines w:val="0"/>
      <w:tabs>
        <w:tab w:val="left" w:pos="1080"/>
      </w:tabs>
      <w:spacing w:before="0" w:after="0" w:line="360" w:lineRule="exact"/>
      <w:ind w:left="454" w:hanging="454"/>
      <w:jc w:val="center"/>
      <w:outlineLvl w:val="9"/>
    </w:pPr>
    <w:rPr>
      <w:rFonts w:ascii="宋体" w:hAnsi="Times New Roman" w:eastAsia="仿宋_GB2312"/>
      <w:b w:val="0"/>
      <w:bCs w:val="0"/>
      <w:sz w:val="36"/>
      <w:szCs w:val="48"/>
    </w:rPr>
  </w:style>
  <w:style w:type="paragraph" w:customStyle="1" w:styleId="214">
    <w:name w:val="wen"/>
    <w:basedOn w:val="1"/>
    <w:qFormat/>
    <w:uiPriority w:val="0"/>
    <w:pPr>
      <w:widowControl/>
      <w:adjustRightInd w:val="0"/>
      <w:snapToGrid w:val="0"/>
      <w:spacing w:line="460" w:lineRule="exact"/>
      <w:ind w:firstLine="420" w:firstLineChars="200"/>
      <w:jc w:val="left"/>
    </w:pPr>
    <w:rPr>
      <w:rFonts w:ascii="宋体" w:hAnsi="宋体" w:cs="宋体"/>
      <w:bCs/>
      <w:color w:val="000000"/>
      <w:szCs w:val="21"/>
    </w:rPr>
  </w:style>
  <w:style w:type="paragraph" w:customStyle="1" w:styleId="2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Char Char Char Char Char Char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7">
    <w:name w:val="7"/>
    <w:basedOn w:val="1"/>
    <w:next w:val="39"/>
    <w:qFormat/>
    <w:uiPriority w:val="0"/>
    <w:rPr>
      <w:rFonts w:ascii="宋体" w:hAnsi="PMingLiU"/>
      <w:szCs w:val="20"/>
    </w:rPr>
  </w:style>
  <w:style w:type="paragraph" w:customStyle="1" w:styleId="218">
    <w:name w:val="xl9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19">
    <w:name w:val="xl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28"/>
    <w:basedOn w:val="1"/>
    <w:qFormat/>
    <w:uiPriority w:val="0"/>
    <w:pPr>
      <w:widowControl/>
      <w:spacing w:before="100" w:beforeAutospacing="1" w:after="100" w:afterAutospacing="1"/>
      <w:jc w:val="left"/>
    </w:pPr>
    <w:rPr>
      <w:color w:val="000000"/>
      <w:kern w:val="0"/>
      <w:sz w:val="18"/>
      <w:szCs w:val="18"/>
    </w:rPr>
  </w:style>
  <w:style w:type="paragraph" w:customStyle="1" w:styleId="22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2">
    <w:name w:val="正文文本缩进 21"/>
    <w:basedOn w:val="1"/>
    <w:qFormat/>
    <w:uiPriority w:val="0"/>
    <w:pPr>
      <w:autoSpaceDE w:val="0"/>
      <w:autoSpaceDN w:val="0"/>
      <w:adjustRightInd w:val="0"/>
      <w:ind w:firstLine="540"/>
    </w:pPr>
    <w:rPr>
      <w:sz w:val="24"/>
      <w:szCs w:val="20"/>
    </w:rPr>
  </w:style>
  <w:style w:type="paragraph" w:customStyle="1" w:styleId="223">
    <w:name w:val="标题3"/>
    <w:basedOn w:val="5"/>
    <w:next w:val="1"/>
    <w:qFormat/>
    <w:uiPriority w:val="0"/>
    <w:pPr>
      <w:widowControl/>
      <w:spacing w:before="0" w:after="0" w:line="360" w:lineRule="auto"/>
      <w:ind w:firstLine="0" w:firstLineChars="0"/>
      <w:jc w:val="center"/>
    </w:pPr>
    <w:rPr>
      <w:rFonts w:ascii="宋体" w:eastAsia="宋体"/>
      <w:b/>
      <w:bCs w:val="0"/>
      <w:kern w:val="0"/>
      <w:sz w:val="32"/>
      <w:szCs w:val="20"/>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5">
    <w:name w:val="Char Char Char1 Char"/>
    <w:basedOn w:val="22"/>
    <w:qFormat/>
    <w:uiPriority w:val="0"/>
    <w:rPr>
      <w:rFonts w:ascii="Tahoma" w:hAnsi="Tahoma" w:cs="Times New Roman"/>
      <w:sz w:val="24"/>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8">
    <w:name w:val="font14"/>
    <w:basedOn w:val="1"/>
    <w:qFormat/>
    <w:uiPriority w:val="0"/>
    <w:pPr>
      <w:widowControl/>
      <w:spacing w:before="100" w:beforeAutospacing="1" w:after="100" w:afterAutospacing="1"/>
      <w:jc w:val="left"/>
    </w:pPr>
    <w:rPr>
      <w:rFonts w:ascii="Arial" w:hAnsi="Arial" w:cs="Arial"/>
      <w:kern w:val="0"/>
      <w:sz w:val="24"/>
      <w:u w:val="single"/>
    </w:rPr>
  </w:style>
  <w:style w:type="paragraph" w:customStyle="1" w:styleId="229">
    <w:name w:val="样式 (符号) 宋体 五号"/>
    <w:basedOn w:val="1"/>
    <w:qFormat/>
    <w:uiPriority w:val="0"/>
    <w:pPr>
      <w:spacing w:line="360" w:lineRule="auto"/>
    </w:pPr>
    <w:rPr>
      <w:rFonts w:hAnsi="宋体" w:cs="宋体"/>
      <w:szCs w:val="20"/>
    </w:rPr>
  </w:style>
  <w:style w:type="paragraph" w:customStyle="1" w:styleId="230">
    <w:name w:val="前言、引言标题"/>
    <w:next w:val="1"/>
    <w:qFormat/>
    <w:uiPriority w:val="0"/>
    <w:pPr>
      <w:shd w:val="clear" w:color="auto" w:fill="FFFFFF"/>
      <w:tabs>
        <w:tab w:val="left" w:pos="360"/>
        <w:tab w:val="left" w:pos="1053"/>
      </w:tabs>
      <w:spacing w:before="640" w:after="560"/>
      <w:jc w:val="center"/>
      <w:outlineLvl w:val="0"/>
    </w:pPr>
    <w:rPr>
      <w:rFonts w:ascii="黑体" w:hAnsi="Times New Roman" w:eastAsia="黑体" w:cs="Times New Roman"/>
      <w:sz w:val="32"/>
      <w:lang w:val="en-US" w:eastAsia="zh-CN" w:bidi="ar-SA"/>
    </w:rPr>
  </w:style>
  <w:style w:type="paragraph" w:customStyle="1" w:styleId="231">
    <w:name w:val="样式 标题 1 + 首行缩进:  2 字符 段前: 1 行 段后: 1 行"/>
    <w:basedOn w:val="3"/>
    <w:next w:val="230"/>
    <w:qFormat/>
    <w:uiPriority w:val="0"/>
    <w:pPr>
      <w:snapToGrid w:val="0"/>
      <w:spacing w:before="0" w:beforeLines="100" w:after="0" w:afterLines="100" w:line="336" w:lineRule="auto"/>
      <w:jc w:val="center"/>
    </w:pPr>
    <w:rPr>
      <w:rFonts w:eastAsia="黑体" w:cs="宋体"/>
      <w:szCs w:val="20"/>
    </w:rPr>
  </w:style>
  <w:style w:type="paragraph" w:customStyle="1" w:styleId="232">
    <w:name w:val="xl8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33">
    <w:name w:val="1."/>
    <w:basedOn w:val="4"/>
    <w:qFormat/>
    <w:uiPriority w:val="0"/>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hAnsi="宋体" w:eastAsia="宋体"/>
      <w:bCs w:val="0"/>
      <w:color w:val="000000"/>
      <w:sz w:val="24"/>
      <w:szCs w:val="20"/>
    </w:rPr>
  </w:style>
  <w:style w:type="paragraph" w:customStyle="1" w:styleId="234">
    <w:name w:val="样式 正文（首行缩进两字） + 首行缩进:  2 字符"/>
    <w:basedOn w:val="8"/>
    <w:qFormat/>
    <w:uiPriority w:val="0"/>
    <w:pPr>
      <w:adjustRightInd w:val="0"/>
      <w:snapToGrid w:val="0"/>
      <w:spacing w:line="360" w:lineRule="auto"/>
      <w:ind w:firstLine="200"/>
      <w:jc w:val="left"/>
    </w:pPr>
    <w:rPr>
      <w:rFonts w:ascii="宋体" w:hAnsi="宋体"/>
      <w:sz w:val="24"/>
      <w:szCs w:val="20"/>
    </w:rPr>
  </w:style>
  <w:style w:type="paragraph" w:customStyle="1" w:styleId="235">
    <w:name w:val="cjk2"/>
    <w:basedOn w:val="1"/>
    <w:qFormat/>
    <w:uiPriority w:val="0"/>
    <w:pPr>
      <w:widowControl/>
      <w:spacing w:before="284" w:line="360" w:lineRule="auto"/>
      <w:jc w:val="left"/>
    </w:pPr>
    <w:rPr>
      <w:rFonts w:ascii="宋体" w:hAnsi="宋体"/>
      <w:kern w:val="0"/>
      <w:sz w:val="22"/>
      <w:szCs w:val="20"/>
    </w:rPr>
  </w:style>
  <w:style w:type="paragraph" w:customStyle="1" w:styleId="236">
    <w:name w:val="font16"/>
    <w:basedOn w:val="1"/>
    <w:qFormat/>
    <w:uiPriority w:val="0"/>
    <w:pPr>
      <w:widowControl/>
      <w:spacing w:before="100" w:beforeAutospacing="1" w:after="100" w:afterAutospacing="1"/>
      <w:jc w:val="left"/>
    </w:pPr>
    <w:rPr>
      <w:kern w:val="0"/>
      <w:sz w:val="24"/>
      <w:u w:val="single"/>
    </w:rPr>
  </w:style>
  <w:style w:type="paragraph" w:customStyle="1" w:styleId="237">
    <w:name w:val="xl10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39">
    <w:name w:val="列出段落2"/>
    <w:basedOn w:val="1"/>
    <w:qFormat/>
    <w:uiPriority w:val="0"/>
    <w:pPr>
      <w:ind w:firstLine="420" w:firstLineChars="200"/>
    </w:pPr>
  </w:style>
  <w:style w:type="paragraph" w:customStyle="1" w:styleId="240">
    <w:name w:val="图表文字"/>
    <w:basedOn w:val="1"/>
    <w:qFormat/>
    <w:uiPriority w:val="0"/>
    <w:pPr>
      <w:spacing w:line="460" w:lineRule="exact"/>
      <w:ind w:right="-107" w:rightChars="-51"/>
      <w:jc w:val="center"/>
    </w:pPr>
    <w:rPr>
      <w:rFonts w:ascii="ˎ̥" w:hAnsi="宋体" w:eastAsia="ˎ̥"/>
      <w:sz w:val="24"/>
    </w:rPr>
  </w:style>
  <w:style w:type="paragraph" w:customStyle="1" w:styleId="241">
    <w:name w:val="样式 标题 3h3Heading 3 - old3h43rd level一标题 3 Char目题列表编号3A..."/>
    <w:basedOn w:val="5"/>
    <w:qFormat/>
    <w:uiPriority w:val="0"/>
    <w:pPr>
      <w:adjustRightInd w:val="0"/>
      <w:snapToGrid w:val="0"/>
      <w:spacing w:before="0" w:after="0" w:line="312" w:lineRule="auto"/>
      <w:ind w:firstLine="0" w:firstLineChars="0"/>
      <w:jc w:val="left"/>
    </w:pPr>
    <w:rPr>
      <w:rFonts w:ascii="ˎ̥" w:hAnsi="Times New Roman" w:eastAsia="ˎ̥" w:cs="宋体"/>
      <w:bCs w:val="0"/>
      <w:kern w:val="0"/>
      <w:sz w:val="24"/>
      <w:szCs w:val="20"/>
    </w:rPr>
  </w:style>
  <w:style w:type="paragraph" w:customStyle="1" w:styleId="242">
    <w:name w:val="表格标题"/>
    <w:basedOn w:val="1"/>
    <w:qFormat/>
    <w:uiPriority w:val="0"/>
    <w:pPr>
      <w:spacing w:line="320" w:lineRule="exact"/>
      <w:jc w:val="center"/>
    </w:pPr>
    <w:rPr>
      <w:rFonts w:eastAsia="ˎ̥"/>
      <w:bCs/>
      <w:sz w:val="28"/>
    </w:rPr>
  </w:style>
  <w:style w:type="paragraph" w:customStyle="1" w:styleId="243">
    <w:name w:val="xl7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44">
    <w:name w:val="样式 样式 标题 1章-C + 非加粗 自动设置 + 居中"/>
    <w:basedOn w:val="209"/>
    <w:qFormat/>
    <w:uiPriority w:val="0"/>
    <w:pPr>
      <w:keepNext w:val="0"/>
      <w:keepLines w:val="0"/>
      <w:widowControl/>
      <w:jc w:val="center"/>
    </w:pPr>
    <w:rPr>
      <w:rFonts w:cs="宋体"/>
      <w:szCs w:val="20"/>
    </w:rPr>
  </w:style>
  <w:style w:type="paragraph" w:customStyle="1" w:styleId="24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6">
    <w:name w:val="font15"/>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247">
    <w:name w:val="（a)"/>
    <w:basedOn w:val="8"/>
    <w:qFormat/>
    <w:uiPriority w:val="0"/>
    <w:pPr>
      <w:spacing w:line="500" w:lineRule="exact"/>
      <w:ind w:firstLine="567" w:firstLineChars="0"/>
    </w:pPr>
    <w:rPr>
      <w:rFonts w:ascii="宋体" w:hAnsi="宋体"/>
      <w:sz w:val="24"/>
    </w:rPr>
  </w:style>
  <w:style w:type="paragraph" w:customStyle="1" w:styleId="248">
    <w:name w:val="框文 1"/>
    <w:basedOn w:val="1"/>
    <w:qFormat/>
    <w:uiPriority w:val="0"/>
    <w:pPr>
      <w:spacing w:line="320" w:lineRule="exact"/>
      <w:jc w:val="center"/>
    </w:pPr>
    <w:rPr>
      <w:sz w:val="18"/>
    </w:rPr>
  </w:style>
  <w:style w:type="paragraph" w:customStyle="1" w:styleId="249">
    <w:name w:val="纯文本2"/>
    <w:basedOn w:val="1"/>
    <w:qFormat/>
    <w:uiPriority w:val="0"/>
    <w:pPr>
      <w:autoSpaceDE w:val="0"/>
      <w:autoSpaceDN w:val="0"/>
      <w:adjustRightInd w:val="0"/>
    </w:pPr>
    <w:rPr>
      <w:rFonts w:ascii="宋体"/>
      <w:szCs w:val="20"/>
    </w:rPr>
  </w:style>
  <w:style w:type="paragraph" w:customStyle="1" w:styleId="250">
    <w:name w:val="样式环球正文小四 行距: 1.5 倍行距"/>
    <w:basedOn w:val="1"/>
    <w:qFormat/>
    <w:uiPriority w:val="0"/>
    <w:pPr>
      <w:spacing w:line="360" w:lineRule="auto"/>
      <w:ind w:firstLine="480" w:firstLineChars="200"/>
    </w:pPr>
    <w:rPr>
      <w:rFonts w:cs="宋体"/>
      <w:sz w:val="24"/>
      <w:szCs w:val="20"/>
    </w:rPr>
  </w:style>
  <w:style w:type="paragraph" w:customStyle="1" w:styleId="25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2">
    <w:name w:val="表格文字2"/>
    <w:basedOn w:val="29"/>
    <w:qFormat/>
    <w:uiPriority w:val="0"/>
    <w:pPr>
      <w:spacing w:after="0" w:line="360" w:lineRule="auto"/>
      <w:jc w:val="left"/>
    </w:pPr>
    <w:rPr>
      <w:sz w:val="24"/>
    </w:rPr>
  </w:style>
  <w:style w:type="paragraph" w:customStyle="1" w:styleId="253">
    <w:name w:val="样式 标题 21.1-C标题 1.1章LLZ2h2部分标题Heading 2 HiddenHeading 2 C...2"/>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kern w:val="44"/>
      <w:sz w:val="30"/>
      <w:szCs w:val="20"/>
    </w:rPr>
  </w:style>
  <w:style w:type="paragraph" w:customStyle="1" w:styleId="254">
    <w:name w:val="样式 宋体 行距: 固定值 18 磅"/>
    <w:basedOn w:val="1"/>
    <w:qFormat/>
    <w:uiPriority w:val="0"/>
    <w:pPr>
      <w:spacing w:beforeLines="30" w:line="360" w:lineRule="exact"/>
    </w:pPr>
    <w:rPr>
      <w:rFonts w:ascii="宋体" w:hAnsi="宋体"/>
      <w:szCs w:val="20"/>
    </w:rPr>
  </w:style>
  <w:style w:type="paragraph" w:customStyle="1" w:styleId="255">
    <w:name w:val="图名"/>
    <w:basedOn w:val="1"/>
    <w:qFormat/>
    <w:uiPriority w:val="0"/>
    <w:pPr>
      <w:spacing w:line="360" w:lineRule="auto"/>
      <w:jc w:val="center"/>
    </w:pPr>
    <w:rPr>
      <w:rFonts w:eastAsia="楷体_GB2312" w:cs="宋体"/>
      <w:b/>
      <w:sz w:val="24"/>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7">
    <w:name w:val="一级条标题"/>
    <w:basedOn w:val="4"/>
    <w:next w:val="1"/>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58">
    <w:name w:val="样式 标题 21.1-C标题 1.1章LLZ2h2部分标题Heading 2 HiddenHeading 2 C...4"/>
    <w:basedOn w:val="4"/>
    <w:qFormat/>
    <w:uiPriority w:val="0"/>
    <w:pPr>
      <w:spacing w:before="100" w:beforeAutospacing="1" w:after="100" w:afterAutospacing="1" w:line="500" w:lineRule="exact"/>
      <w:ind w:left="454" w:hanging="454"/>
      <w:jc w:val="center"/>
    </w:pPr>
    <w:rPr>
      <w:rFonts w:ascii="Times New Roman" w:hAnsi="Times New Roman" w:eastAsia="宋体" w:cs="宋体"/>
      <w:color w:val="0000FF"/>
      <w:sz w:val="30"/>
      <w:szCs w:val="20"/>
      <w:u w:val="single"/>
    </w:rPr>
  </w:style>
  <w:style w:type="paragraph" w:customStyle="1" w:styleId="25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83"/>
    <w:basedOn w:val="1"/>
    <w:qFormat/>
    <w:uiPriority w:val="0"/>
    <w:pPr>
      <w:widowControl/>
      <w:pBdr>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261">
    <w:name w:val="样式 首行缩进:  2 字符 段后: 0.3 行"/>
    <w:basedOn w:val="1"/>
    <w:qFormat/>
    <w:uiPriority w:val="0"/>
    <w:pPr>
      <w:adjustRightInd w:val="0"/>
      <w:snapToGrid w:val="0"/>
      <w:spacing w:line="312" w:lineRule="auto"/>
      <w:ind w:firstLine="480" w:firstLineChars="200"/>
    </w:pPr>
    <w:rPr>
      <w:rFonts w:eastAsia="Calibri"/>
      <w:sz w:val="24"/>
      <w:szCs w:val="20"/>
    </w:rPr>
  </w:style>
  <w:style w:type="paragraph" w:customStyle="1" w:styleId="2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63">
    <w:name w:val="样式 目录 1 + 行距: 固定值 20 磅"/>
    <w:basedOn w:val="19"/>
    <w:qFormat/>
    <w:uiPriority w:val="0"/>
    <w:pPr>
      <w:spacing w:line="400" w:lineRule="exact"/>
    </w:pPr>
    <w:rPr>
      <w:szCs w:val="20"/>
    </w:rPr>
  </w:style>
  <w:style w:type="paragraph" w:customStyle="1" w:styleId="264">
    <w:name w:val="*"/>
    <w:basedOn w:val="8"/>
    <w:qFormat/>
    <w:uiPriority w:val="0"/>
    <w:pPr>
      <w:tabs>
        <w:tab w:val="left" w:pos="814"/>
      </w:tabs>
      <w:spacing w:line="500" w:lineRule="exact"/>
      <w:ind w:firstLine="454" w:firstLineChars="0"/>
    </w:pPr>
    <w:rPr>
      <w:rFonts w:ascii="宋体" w:hAnsi="宋体"/>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66">
    <w:name w:val="xl123"/>
    <w:basedOn w:val="1"/>
    <w:qFormat/>
    <w:uiPriority w:val="0"/>
    <w:pPr>
      <w:widowControl/>
      <w:pBdr>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267">
    <w:name w:val="样式 标题 1 + 三号 加粗 居中"/>
    <w:basedOn w:val="3"/>
    <w:qFormat/>
    <w:uiPriority w:val="0"/>
    <w:pPr>
      <w:keepNext w:val="0"/>
      <w:keepLines w:val="0"/>
      <w:pageBreakBefore/>
      <w:spacing w:before="0" w:after="0" w:line="360" w:lineRule="auto"/>
      <w:ind w:firstLine="200" w:firstLineChars="200"/>
      <w:jc w:val="center"/>
    </w:pPr>
    <w:rPr>
      <w:rFonts w:eastAsia="ˎ̥" w:cs="宋体"/>
      <w:kern w:val="2"/>
      <w:sz w:val="32"/>
      <w:szCs w:val="20"/>
    </w:rPr>
  </w:style>
  <w:style w:type="paragraph" w:customStyle="1" w:styleId="268">
    <w:name w:val="样式 标题 7标题7（1）L7PIM 7不用 + 宋体 非加粗 左侧:  0 厘米 行距: 多倍行距 1.33 ..."/>
    <w:basedOn w:val="10"/>
    <w:qFormat/>
    <w:uiPriority w:val="0"/>
    <w:pPr>
      <w:widowControl w:val="0"/>
      <w:tabs>
        <w:tab w:val="left" w:pos="200"/>
        <w:tab w:val="clear" w:pos="2520"/>
      </w:tabs>
      <w:spacing w:before="0" w:after="0" w:line="316" w:lineRule="auto"/>
      <w:ind w:left="0" w:firstLine="0"/>
      <w:jc w:val="both"/>
    </w:pPr>
    <w:rPr>
      <w:rFonts w:ascii="宋体" w:hAnsi="宋体" w:cs="宋体"/>
      <w:b w:val="0"/>
      <w:bCs w:val="0"/>
      <w:kern w:val="2"/>
      <w:szCs w:val="20"/>
    </w:rPr>
  </w:style>
  <w:style w:type="paragraph" w:customStyle="1" w:styleId="269">
    <w:name w:val="样式 标题 2 + 黑体 四号 海绿 行距: 1.5 倍行距"/>
    <w:basedOn w:val="4"/>
    <w:qFormat/>
    <w:uiPriority w:val="0"/>
    <w:pPr>
      <w:keepNext w:val="0"/>
      <w:spacing w:before="0" w:after="0" w:line="360" w:lineRule="auto"/>
      <w:ind w:left="454" w:firstLine="200" w:firstLineChars="200"/>
    </w:pPr>
    <w:rPr>
      <w:rFonts w:ascii="ˎ̥" w:hAnsi="宋体" w:eastAsia="ˎ̥" w:cs="宋体"/>
      <w:color w:val="339966"/>
      <w:sz w:val="28"/>
      <w:szCs w:val="20"/>
    </w:rPr>
  </w:style>
  <w:style w:type="paragraph" w:customStyle="1" w:styleId="270">
    <w:name w:val="样式 标题 1章-C章格式标题 1 Charsection:1自标题 1标题 1 1编号标题1章节（环球章）：...1"/>
    <w:basedOn w:val="3"/>
    <w:qFormat/>
    <w:uiPriority w:val="0"/>
    <w:pPr>
      <w:pageBreakBefore/>
      <w:spacing w:before="100" w:beforeAutospacing="1" w:after="100" w:afterAutospacing="1" w:line="240" w:lineRule="auto"/>
      <w:jc w:val="center"/>
    </w:pPr>
    <w:rPr>
      <w:rFonts w:cs="宋体"/>
      <w:color w:val="000080"/>
      <w:sz w:val="36"/>
      <w:szCs w:val="20"/>
    </w:rPr>
  </w:style>
  <w:style w:type="paragraph" w:customStyle="1" w:styleId="27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默认段落字体 Para Char Char Char Char"/>
    <w:basedOn w:val="1"/>
    <w:qFormat/>
    <w:uiPriority w:val="0"/>
    <w:rPr>
      <w:szCs w:val="20"/>
    </w:rPr>
  </w:style>
  <w:style w:type="paragraph" w:customStyle="1" w:styleId="273">
    <w:name w:val="xl102"/>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6">
    <w:name w:val="font13"/>
    <w:basedOn w:val="1"/>
    <w:qFormat/>
    <w:uiPriority w:val="0"/>
    <w:pPr>
      <w:widowControl/>
      <w:spacing w:before="100" w:beforeAutospacing="1" w:after="100" w:afterAutospacing="1"/>
      <w:jc w:val="left"/>
    </w:pPr>
    <w:rPr>
      <w:rFonts w:ascii="Arial" w:hAnsi="Arial" w:cs="Arial"/>
      <w:kern w:val="0"/>
      <w:sz w:val="24"/>
    </w:rPr>
  </w:style>
  <w:style w:type="paragraph" w:customStyle="1" w:styleId="277">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78">
    <w:name w:val="标1"/>
    <w:basedOn w:val="1"/>
    <w:qFormat/>
    <w:uiPriority w:val="0"/>
    <w:pPr>
      <w:snapToGrid w:val="0"/>
      <w:spacing w:line="400" w:lineRule="exact"/>
      <w:jc w:val="center"/>
    </w:pPr>
    <w:rPr>
      <w:rFonts w:eastAsia="隶书"/>
      <w:b/>
      <w:spacing w:val="40"/>
      <w:sz w:val="52"/>
      <w:szCs w:val="20"/>
    </w:rPr>
  </w:style>
  <w:style w:type="paragraph" w:customStyle="1" w:styleId="279">
    <w:name w:val="font1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表头"/>
    <w:basedOn w:val="1"/>
    <w:qFormat/>
    <w:uiPriority w:val="0"/>
    <w:pPr>
      <w:spacing w:line="360" w:lineRule="auto"/>
      <w:jc w:val="center"/>
    </w:pPr>
    <w:rPr>
      <w:rFonts w:ascii="黑体" w:eastAsia="黑体"/>
      <w:kern w:val="0"/>
      <w:sz w:val="24"/>
      <w:szCs w:val="20"/>
    </w:rPr>
  </w:style>
  <w:style w:type="paragraph" w:customStyle="1" w:styleId="2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10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84">
    <w:name w:val="Char Char Char Char Char Char Char Char1 Char"/>
    <w:basedOn w:val="1"/>
    <w:qFormat/>
    <w:uiPriority w:val="0"/>
    <w:rPr>
      <w:rFonts w:ascii="Tahoma" w:hAnsi="Tahoma"/>
      <w:sz w:val="24"/>
      <w:szCs w:val="20"/>
    </w:rPr>
  </w:style>
  <w:style w:type="paragraph" w:customStyle="1" w:styleId="28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Char Char Char Char"/>
    <w:basedOn w:val="22"/>
    <w:qFormat/>
    <w:uiPriority w:val="0"/>
    <w:pPr>
      <w:snapToGrid w:val="0"/>
      <w:ind w:left="480" w:leftChars="200" w:firstLine="200" w:firstLineChars="200"/>
    </w:pPr>
    <w:rPr>
      <w:rFonts w:ascii="Tahoma" w:hAnsi="Tahoma" w:cs="Times New Roman"/>
      <w:kern w:val="0"/>
      <w:sz w:val="24"/>
    </w:rPr>
  </w:style>
  <w:style w:type="paragraph" w:customStyle="1" w:styleId="28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88">
    <w:name w:val="Char Char Char"/>
    <w:basedOn w:val="22"/>
    <w:qFormat/>
    <w:uiPriority w:val="0"/>
    <w:pPr>
      <w:adjustRightInd w:val="0"/>
      <w:spacing w:line="436" w:lineRule="exact"/>
      <w:ind w:left="357"/>
      <w:jc w:val="left"/>
      <w:outlineLvl w:val="3"/>
    </w:pPr>
    <w:rPr>
      <w:rFonts w:ascii="宋体" w:hAnsi="宋体" w:cs="Times New Roman"/>
      <w:b/>
      <w:sz w:val="32"/>
      <w:szCs w:val="32"/>
    </w:rPr>
  </w:style>
  <w:style w:type="paragraph" w:customStyle="1" w:styleId="28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0">
    <w:name w:val="xl113"/>
    <w:basedOn w:val="1"/>
    <w:qFormat/>
    <w:uiPriority w:val="0"/>
    <w:pPr>
      <w:widowControl/>
      <w:pBdr>
        <w:top w:val="single" w:color="auto" w:sz="8" w:space="0"/>
        <w:bottom w:val="single" w:color="auto" w:sz="8" w:space="0"/>
      </w:pBdr>
      <w:spacing w:before="100" w:beforeAutospacing="1" w:after="100" w:afterAutospacing="1"/>
      <w:jc w:val="center"/>
    </w:pPr>
    <w:rPr>
      <w:kern w:val="0"/>
      <w:sz w:val="18"/>
      <w:szCs w:val="18"/>
    </w:rPr>
  </w:style>
  <w:style w:type="paragraph" w:customStyle="1" w:styleId="291">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标题1"/>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3">
    <w:name w:val="样式 （环球正文"/>
    <w:basedOn w:val="1"/>
    <w:qFormat/>
    <w:uiPriority w:val="0"/>
    <w:pPr>
      <w:spacing w:line="360" w:lineRule="auto"/>
      <w:ind w:firstLine="480" w:firstLineChars="200"/>
    </w:pPr>
    <w:rPr>
      <w:rFonts w:ascii="宋体" w:cs="宋体"/>
      <w:sz w:val="24"/>
      <w:szCs w:val="20"/>
    </w:rPr>
  </w:style>
  <w:style w:type="paragraph" w:customStyle="1" w:styleId="294">
    <w:name w:val="标题辞"/>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四级格式 Char"/>
    <w:basedOn w:val="6"/>
    <w:qFormat/>
    <w:uiPriority w:val="0"/>
    <w:pPr>
      <w:spacing w:before="0" w:after="0" w:line="360" w:lineRule="auto"/>
    </w:pPr>
    <w:rPr>
      <w:rFonts w:ascii="ˎ̥" w:hAnsi="ˎ̥" w:eastAsia="ˎ̥"/>
      <w:bCs w:val="0"/>
      <w:sz w:val="24"/>
      <w:szCs w:val="20"/>
    </w:rPr>
  </w:style>
  <w:style w:type="paragraph" w:customStyle="1" w:styleId="29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8">
    <w:name w:val="m1"/>
    <w:basedOn w:val="1"/>
    <w:qFormat/>
    <w:uiPriority w:val="0"/>
    <w:pPr>
      <w:adjustRightInd w:val="0"/>
      <w:spacing w:line="320" w:lineRule="atLeast"/>
      <w:jc w:val="left"/>
    </w:pPr>
    <w:rPr>
      <w:rFonts w:eastAsia="楷体"/>
      <w:kern w:val="0"/>
      <w:sz w:val="28"/>
      <w:szCs w:val="20"/>
    </w:rPr>
  </w:style>
  <w:style w:type="paragraph" w:customStyle="1" w:styleId="299">
    <w:name w:val="标句6"/>
    <w:basedOn w:val="1"/>
    <w:qFormat/>
    <w:uiPriority w:val="0"/>
    <w:pPr>
      <w:snapToGrid w:val="0"/>
      <w:spacing w:line="500" w:lineRule="atLeast"/>
      <w:ind w:left="1418" w:hanging="284"/>
    </w:pPr>
    <w:rPr>
      <w:rFonts w:ascii="宋体"/>
      <w:kern w:val="52"/>
      <w:sz w:val="27"/>
      <w:szCs w:val="20"/>
    </w:rPr>
  </w:style>
  <w:style w:type="paragraph" w:customStyle="1" w:styleId="300">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301">
    <w:name w:val="正文11"/>
    <w:basedOn w:val="1"/>
    <w:next w:val="29"/>
    <w:qFormat/>
    <w:uiPriority w:val="0"/>
    <w:rPr>
      <w:sz w:val="24"/>
    </w:rPr>
  </w:style>
  <w:style w:type="paragraph" w:customStyle="1" w:styleId="3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二级条标题"/>
    <w:basedOn w:val="257"/>
    <w:next w:val="1"/>
    <w:qFormat/>
    <w:uiPriority w:val="0"/>
    <w:pPr>
      <w:tabs>
        <w:tab w:val="left" w:pos="1680"/>
        <w:tab w:val="left" w:pos="2356"/>
      </w:tabs>
      <w:ind w:left="1984" w:hanging="708"/>
      <w:outlineLvl w:val="3"/>
    </w:pPr>
    <w:rPr>
      <w:rFonts w:ascii="Times New Roman" w:eastAsia="宋体"/>
    </w:rPr>
  </w:style>
  <w:style w:type="paragraph" w:customStyle="1" w:styleId="304">
    <w:name w:val="1)"/>
    <w:basedOn w:val="1"/>
    <w:qFormat/>
    <w:uiPriority w:val="0"/>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305">
    <w:name w:val="样式 图案: 清除 (深蓝)1"/>
    <w:basedOn w:val="1"/>
    <w:qFormat/>
    <w:uiPriority w:val="0"/>
    <w:pPr>
      <w:spacing w:line="360" w:lineRule="auto"/>
    </w:pPr>
    <w:rPr>
      <w:rFonts w:cs="宋体"/>
      <w:sz w:val="24"/>
      <w:szCs w:val="20"/>
    </w:rPr>
  </w:style>
  <w:style w:type="paragraph" w:customStyle="1" w:styleId="306">
    <w:name w:val="choi--a"/>
    <w:basedOn w:val="8"/>
    <w:qFormat/>
    <w:uiPriority w:val="0"/>
    <w:pPr>
      <w:spacing w:line="500" w:lineRule="exact"/>
      <w:ind w:firstLine="0" w:firstLineChars="0"/>
    </w:pPr>
    <w:rPr>
      <w:rFonts w:ascii="宋体" w:hAnsi="宋体"/>
      <w:sz w:val="24"/>
      <w:szCs w:val="20"/>
    </w:rPr>
  </w:style>
  <w:style w:type="paragraph" w:customStyle="1" w:styleId="307">
    <w:name w:val="xl11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08">
    <w:name w:val="xl127"/>
    <w:basedOn w:val="1"/>
    <w:qFormat/>
    <w:uiPriority w:val="0"/>
    <w:pPr>
      <w:widowControl/>
      <w:pBdr>
        <w:top w:val="single" w:color="auto" w:sz="8" w:space="0"/>
      </w:pBdr>
      <w:spacing w:before="100" w:beforeAutospacing="1" w:after="100" w:afterAutospacing="1"/>
      <w:jc w:val="left"/>
    </w:pPr>
    <w:rPr>
      <w:color w:val="000000"/>
      <w:kern w:val="0"/>
      <w:sz w:val="18"/>
      <w:szCs w:val="18"/>
    </w:rPr>
  </w:style>
  <w:style w:type="paragraph" w:customStyle="1" w:styleId="309">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xl130"/>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11">
    <w:name w:val="xl131"/>
    <w:basedOn w:val="1"/>
    <w:qFormat/>
    <w:uiPriority w:val="0"/>
    <w:pPr>
      <w:widowControl/>
      <w:pBdr>
        <w:top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12">
    <w:name w:val="标题3-2"/>
    <w:basedOn w:val="5"/>
    <w:qFormat/>
    <w:uiPriority w:val="0"/>
    <w:pPr>
      <w:spacing w:before="0" w:after="0" w:line="460" w:lineRule="exact"/>
      <w:ind w:firstLine="0" w:firstLineChars="0"/>
    </w:pPr>
    <w:rPr>
      <w:rFonts w:ascii="ˎ̥" w:hAnsi="ˎ̥" w:eastAsia="ˎ̥" w:cs="宋体"/>
      <w:bCs w:val="0"/>
      <w:szCs w:val="20"/>
    </w:rPr>
  </w:style>
  <w:style w:type="paragraph" w:customStyle="1" w:styleId="313">
    <w:name w:val="项目●-C"/>
    <w:basedOn w:val="8"/>
    <w:qFormat/>
    <w:uiPriority w:val="0"/>
    <w:pPr>
      <w:tabs>
        <w:tab w:val="left" w:pos="1080"/>
      </w:tabs>
      <w:spacing w:line="500" w:lineRule="exact"/>
      <w:ind w:left="567" w:firstLine="0" w:firstLineChars="0"/>
    </w:pPr>
    <w:rPr>
      <w:rFonts w:ascii="宋体" w:hAnsi="宋体"/>
      <w:sz w:val="24"/>
    </w:rPr>
  </w:style>
  <w:style w:type="paragraph" w:customStyle="1" w:styleId="314">
    <w:name w:val="样式 标题 3一Heading 3 - old子系统h33rd level3H3章标题1三级标题l3CT..."/>
    <w:basedOn w:val="5"/>
    <w:qFormat/>
    <w:uiPriority w:val="0"/>
    <w:pPr>
      <w:adjustRightInd w:val="0"/>
      <w:snapToGrid w:val="0"/>
      <w:spacing w:before="0" w:after="0" w:line="360" w:lineRule="auto"/>
      <w:ind w:firstLine="0" w:firstLineChars="0"/>
    </w:pPr>
    <w:rPr>
      <w:rFonts w:ascii="ˎ̥" w:hAnsi="ˎ̥" w:eastAsia="ˎ̥"/>
      <w:bCs w:val="0"/>
      <w:kern w:val="11"/>
      <w:sz w:val="24"/>
      <w:szCs w:val="32"/>
    </w:rPr>
  </w:style>
  <w:style w:type="paragraph" w:customStyle="1" w:styleId="315">
    <w:name w:val="正题"/>
    <w:basedOn w:val="136"/>
    <w:next w:val="136"/>
    <w:qFormat/>
    <w:uiPriority w:val="0"/>
    <w:pPr>
      <w:ind w:firstLine="0" w:firstLineChars="0"/>
      <w:jc w:val="center"/>
    </w:pPr>
    <w:rPr>
      <w:rFonts w:ascii="Calibri" w:hAnsi="Calibri" w:eastAsia="ˎ̥"/>
      <w:b/>
      <w:snapToGrid/>
      <w:sz w:val="36"/>
      <w:szCs w:val="36"/>
    </w:rPr>
  </w:style>
  <w:style w:type="paragraph" w:customStyle="1" w:styleId="316">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17">
    <w:name w:val="Z"/>
    <w:basedOn w:val="1"/>
    <w:qFormat/>
    <w:uiPriority w:val="0"/>
    <w:pPr>
      <w:tabs>
        <w:tab w:val="left" w:pos="798"/>
      </w:tabs>
      <w:spacing w:line="360" w:lineRule="auto"/>
      <w:ind w:firstLine="200" w:firstLineChars="200"/>
      <w:jc w:val="left"/>
    </w:pPr>
    <w:rPr>
      <w:rFonts w:hAnsi="宋体"/>
      <w:sz w:val="28"/>
    </w:rPr>
  </w:style>
  <w:style w:type="paragraph" w:customStyle="1" w:styleId="31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15"/>
    <w:basedOn w:val="1"/>
    <w:qFormat/>
    <w:uiPriority w:val="0"/>
    <w:pPr>
      <w:widowControl/>
      <w:pBdr>
        <w:top w:val="single" w:color="auto" w:sz="8" w:space="0"/>
        <w:left w:val="single" w:color="auto" w:sz="8" w:space="0"/>
        <w:bottom w:val="single" w:color="auto" w:sz="8" w:space="0"/>
      </w:pBdr>
      <w:spacing w:before="100" w:beforeAutospacing="1" w:after="100" w:afterAutospacing="1"/>
    </w:pPr>
    <w:rPr>
      <w:kern w:val="0"/>
      <w:sz w:val="18"/>
      <w:szCs w:val="18"/>
    </w:rPr>
  </w:style>
  <w:style w:type="paragraph" w:customStyle="1" w:styleId="320">
    <w:name w:val="xl84"/>
    <w:basedOn w:val="1"/>
    <w:qFormat/>
    <w:uiPriority w:val="0"/>
    <w:pPr>
      <w:widowControl/>
      <w:pBdr>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2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样式 标题 5 + 首行缩进:  2 字符"/>
    <w:basedOn w:val="7"/>
    <w:qFormat/>
    <w:uiPriority w:val="0"/>
    <w:pPr>
      <w:keepNext w:val="0"/>
      <w:keepLines w:val="0"/>
      <w:numPr>
        <w:ilvl w:val="0"/>
        <w:numId w:val="0"/>
      </w:numPr>
      <w:spacing w:beforeLines="0" w:line="240" w:lineRule="auto"/>
      <w:ind w:firstLine="420" w:firstLineChars="200"/>
      <w:jc w:val="left"/>
    </w:pPr>
    <w:rPr>
      <w:rFonts w:ascii="Times New Roman" w:hAnsi="Times New Roman" w:cs="宋体"/>
      <w:color w:val="800080"/>
      <w:szCs w:val="20"/>
    </w:rPr>
  </w:style>
  <w:style w:type="paragraph" w:customStyle="1" w:styleId="323">
    <w:name w:val="三级条标题"/>
    <w:basedOn w:val="303"/>
    <w:next w:val="1"/>
    <w:qFormat/>
    <w:uiPriority w:val="0"/>
    <w:pPr>
      <w:tabs>
        <w:tab w:val="left" w:pos="2100"/>
        <w:tab w:val="left" w:pos="2781"/>
      </w:tabs>
      <w:ind w:left="2551" w:hanging="850"/>
      <w:outlineLvl w:val="4"/>
    </w:pPr>
  </w:style>
  <w:style w:type="paragraph" w:customStyle="1" w:styleId="324">
    <w:name w:val="xl87"/>
    <w:basedOn w:val="1"/>
    <w:qFormat/>
    <w:uiPriority w:val="0"/>
    <w:pPr>
      <w:widowControl/>
      <w:pBdr>
        <w:right w:val="single" w:color="auto" w:sz="8" w:space="0"/>
      </w:pBdr>
      <w:spacing w:before="100" w:beforeAutospacing="1" w:after="100" w:afterAutospacing="1"/>
      <w:jc w:val="left"/>
    </w:pPr>
    <w:rPr>
      <w:color w:val="000000"/>
      <w:kern w:val="0"/>
      <w:sz w:val="18"/>
      <w:szCs w:val="18"/>
    </w:rPr>
  </w:style>
  <w:style w:type="paragraph" w:customStyle="1" w:styleId="3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26">
    <w:name w:val="xl11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327">
    <w:name w:val="样式 表格文字居中 +"/>
    <w:basedOn w:val="177"/>
    <w:qFormat/>
    <w:uiPriority w:val="0"/>
    <w:pPr>
      <w:widowControl/>
    </w:pPr>
    <w:rPr>
      <w:rFonts w:ascii="Times New Roman" w:hAnsi="Times New Roman"/>
      <w:szCs w:val="21"/>
    </w:rPr>
  </w:style>
  <w:style w:type="paragraph" w:customStyle="1" w:styleId="328">
    <w:name w:val="biaoge"/>
    <w:basedOn w:val="1"/>
    <w:qFormat/>
    <w:uiPriority w:val="0"/>
    <w:pPr>
      <w:widowControl/>
      <w:suppressLineNumbers/>
      <w:jc w:val="left"/>
    </w:pPr>
    <w:rPr>
      <w:rFonts w:ascii="宋体" w:hAnsi="宋体"/>
      <w:szCs w:val="21"/>
    </w:rPr>
  </w:style>
  <w:style w:type="paragraph" w:customStyle="1" w:styleId="329">
    <w:name w:val="xl124"/>
    <w:basedOn w:val="1"/>
    <w:qFormat/>
    <w:uiPriority w:val="0"/>
    <w:pPr>
      <w:widowControl/>
      <w:pBdr>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330">
    <w:name w:val="素材1"/>
    <w:basedOn w:val="1"/>
    <w:qFormat/>
    <w:uiPriority w:val="0"/>
    <w:pPr>
      <w:snapToGrid w:val="0"/>
      <w:spacing w:before="120" w:after="120" w:line="300" w:lineRule="auto"/>
      <w:ind w:firstLine="480" w:firstLineChars="200"/>
    </w:pPr>
    <w:rPr>
      <w:rFonts w:ascii="Courier New" w:eastAsia="Courier New"/>
      <w:bCs/>
      <w:kern w:val="52"/>
      <w:sz w:val="24"/>
    </w:rPr>
  </w:style>
  <w:style w:type="paragraph" w:customStyle="1" w:styleId="331">
    <w:name w:val="公文标题"/>
    <w:basedOn w:val="5"/>
    <w:qFormat/>
    <w:uiPriority w:val="0"/>
    <w:pPr>
      <w:spacing w:before="0" w:after="0" w:line="240" w:lineRule="auto"/>
      <w:ind w:left="1469" w:right="1542" w:firstLine="0" w:firstLineChars="0"/>
      <w:jc w:val="center"/>
    </w:pPr>
    <w:rPr>
      <w:rFonts w:ascii="Times New Roman" w:hAnsi="Times New Roman" w:eastAsia="宋体"/>
      <w:b/>
      <w:bCs w:val="0"/>
      <w:sz w:val="44"/>
      <w:szCs w:val="24"/>
    </w:rPr>
  </w:style>
  <w:style w:type="paragraph" w:customStyle="1" w:styleId="332">
    <w:name w:val="xl2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3">
    <w:name w:val="xl108"/>
    <w:basedOn w:val="1"/>
    <w:qFormat/>
    <w:uiPriority w:val="0"/>
    <w:pPr>
      <w:widowControl/>
      <w:pBdr>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4">
    <w:name w:val="xl106"/>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5">
    <w:name w:val="font7"/>
    <w:basedOn w:val="1"/>
    <w:qFormat/>
    <w:uiPriority w:val="0"/>
    <w:pPr>
      <w:widowControl/>
      <w:spacing w:before="100" w:beforeAutospacing="1" w:after="100" w:afterAutospacing="1"/>
      <w:jc w:val="left"/>
    </w:pPr>
    <w:rPr>
      <w:kern w:val="0"/>
      <w:sz w:val="24"/>
    </w:rPr>
  </w:style>
  <w:style w:type="paragraph" w:customStyle="1" w:styleId="336">
    <w:name w:val="标题 3-1"/>
    <w:next w:val="1"/>
    <w:qFormat/>
    <w:uiPriority w:val="0"/>
    <w:pPr>
      <w:spacing w:line="460" w:lineRule="exact"/>
    </w:pPr>
    <w:rPr>
      <w:rFonts w:ascii="ˎ̥" w:hAnsi="ˎ̥" w:eastAsia="ˎ̥" w:cs="Times New Roman"/>
      <w:kern w:val="2"/>
      <w:sz w:val="28"/>
      <w:szCs w:val="28"/>
      <w:lang w:val="en-US" w:eastAsia="zh-CN" w:bidi="ar-SA"/>
    </w:rPr>
  </w:style>
  <w:style w:type="paragraph" w:customStyle="1" w:styleId="337">
    <w:name w:val="cjk1"/>
    <w:basedOn w:val="1"/>
    <w:qFormat/>
    <w:uiPriority w:val="0"/>
    <w:pPr>
      <w:widowControl/>
      <w:spacing w:before="284" w:line="360" w:lineRule="auto"/>
      <w:jc w:val="left"/>
    </w:pPr>
    <w:rPr>
      <w:rFonts w:ascii="宋体" w:hAnsi="宋体"/>
      <w:kern w:val="0"/>
      <w:sz w:val="22"/>
      <w:szCs w:val="20"/>
    </w:rPr>
  </w:style>
  <w:style w:type="paragraph" w:customStyle="1" w:styleId="338">
    <w:name w:val="xl118"/>
    <w:basedOn w:val="1"/>
    <w:qFormat/>
    <w:uiPriority w:val="0"/>
    <w:pPr>
      <w:widowControl/>
      <w:pBdr>
        <w:top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339">
    <w:name w:val="xl96"/>
    <w:basedOn w:val="1"/>
    <w:qFormat/>
    <w:uiPriority w:val="0"/>
    <w:pPr>
      <w:widowControl/>
      <w:pBdr>
        <w:top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41">
    <w:name w:val="xl122"/>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42">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3">
    <w:name w:val="公文抬头"/>
    <w:basedOn w:val="8"/>
    <w:qFormat/>
    <w:uiPriority w:val="0"/>
    <w:pPr>
      <w:ind w:firstLine="0" w:firstLineChars="0"/>
    </w:pPr>
    <w:rPr>
      <w:rFonts w:ascii="仿宋_GB2312" w:eastAsia="仿宋_GB2312"/>
      <w:sz w:val="30"/>
    </w:rPr>
  </w:style>
  <w:style w:type="paragraph" w:customStyle="1" w:styleId="344">
    <w:name w:val="table"/>
    <w:basedOn w:val="1"/>
    <w:qFormat/>
    <w:uiPriority w:val="0"/>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345">
    <w:name w:val="表格头格式 Char Char"/>
    <w:basedOn w:val="1"/>
    <w:qFormat/>
    <w:uiPriority w:val="0"/>
    <w:pPr>
      <w:spacing w:line="360" w:lineRule="auto"/>
      <w:ind w:left="510"/>
      <w:jc w:val="center"/>
    </w:pPr>
    <w:rPr>
      <w:rFonts w:eastAsia="ˎ̥" w:cs="宋体"/>
      <w:b/>
      <w:sz w:val="24"/>
      <w:szCs w:val="20"/>
    </w:rPr>
  </w:style>
  <w:style w:type="paragraph" w:customStyle="1" w:styleId="346">
    <w:name w:val="文本框"/>
    <w:basedOn w:val="1"/>
    <w:next w:val="1"/>
    <w:qFormat/>
    <w:uiPriority w:val="0"/>
    <w:pPr>
      <w:spacing w:line="300" w:lineRule="exact"/>
      <w:jc w:val="center"/>
    </w:pPr>
    <w:rPr>
      <w:rFonts w:ascii="宋体" w:hAnsi="宋体"/>
      <w:sz w:val="18"/>
      <w:szCs w:val="18"/>
    </w:rPr>
  </w:style>
  <w:style w:type="paragraph" w:customStyle="1" w:styleId="347">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8">
    <w:name w:val="font9"/>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50">
    <w:name w:val="标题3-3"/>
    <w:basedOn w:val="4"/>
    <w:qFormat/>
    <w:uiPriority w:val="0"/>
    <w:pPr>
      <w:spacing w:before="0" w:after="0" w:line="460" w:lineRule="exact"/>
      <w:ind w:left="454" w:hanging="454"/>
    </w:pPr>
    <w:rPr>
      <w:rFonts w:ascii="ˎ̥" w:hAnsi="Times New Roman" w:eastAsia="ˎ̥" w:cs="宋体"/>
      <w:b w:val="0"/>
      <w:bCs w:val="0"/>
      <w:sz w:val="30"/>
      <w:szCs w:val="20"/>
    </w:rPr>
  </w:style>
  <w:style w:type="paragraph" w:customStyle="1" w:styleId="3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52">
    <w:name w:val="行标正文"/>
    <w:basedOn w:val="1"/>
    <w:qFormat/>
    <w:uiPriority w:val="0"/>
    <w:pPr>
      <w:numPr>
        <w:ilvl w:val="0"/>
        <w:numId w:val="13"/>
      </w:numPr>
      <w:tabs>
        <w:tab w:val="left" w:pos="360"/>
      </w:tabs>
      <w:adjustRightInd w:val="0"/>
      <w:snapToGrid w:val="0"/>
      <w:spacing w:line="360" w:lineRule="auto"/>
      <w:ind w:hanging="200" w:hangingChars="200"/>
      <w:jc w:val="left"/>
    </w:pPr>
    <w:rPr>
      <w:sz w:val="24"/>
      <w:szCs w:val="21"/>
    </w:rPr>
  </w:style>
  <w:style w:type="paragraph" w:customStyle="1" w:styleId="353">
    <w:name w:val="xl129"/>
    <w:basedOn w:val="1"/>
    <w:qFormat/>
    <w:uiPriority w:val="0"/>
    <w:pPr>
      <w:widowControl/>
      <w:pBdr>
        <w:bottom w:val="single" w:color="auto" w:sz="8" w:space="0"/>
      </w:pBdr>
      <w:spacing w:before="100" w:beforeAutospacing="1" w:after="100" w:afterAutospacing="1"/>
      <w:jc w:val="left"/>
    </w:pPr>
    <w:rPr>
      <w:color w:val="000000"/>
      <w:kern w:val="0"/>
      <w:sz w:val="18"/>
      <w:szCs w:val="18"/>
    </w:rPr>
  </w:style>
  <w:style w:type="paragraph" w:customStyle="1" w:styleId="3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5">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56">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customStyle="1" w:styleId="357">
    <w:name w:val="标题10"/>
    <w:qFormat/>
    <w:uiPriority w:val="0"/>
    <w:rPr>
      <w:rFonts w:ascii="Times New Roman" w:hAnsi="Times New Roman" w:eastAsia="宋体" w:cs="Times New Roman"/>
      <w:b/>
      <w:sz w:val="32"/>
      <w:lang w:val="en-US" w:eastAsia="zh-CN" w:bidi="ar-SA"/>
    </w:rPr>
  </w:style>
  <w:style w:type="paragraph" w:customStyle="1" w:styleId="358">
    <w:name w:val="xl121"/>
    <w:basedOn w:val="1"/>
    <w:qFormat/>
    <w:uiPriority w:val="0"/>
    <w:pPr>
      <w:widowControl/>
      <w:pBdr>
        <w:bottom w:val="single" w:color="auto" w:sz="8" w:space="0"/>
      </w:pBdr>
      <w:spacing w:before="100" w:beforeAutospacing="1" w:after="100" w:afterAutospacing="1"/>
      <w:jc w:val="center"/>
    </w:pPr>
    <w:rPr>
      <w:color w:val="000000"/>
      <w:kern w:val="0"/>
      <w:sz w:val="18"/>
      <w:szCs w:val="18"/>
    </w:rPr>
  </w:style>
  <w:style w:type="paragraph" w:customStyle="1" w:styleId="359">
    <w:name w:val="表中"/>
    <w:basedOn w:val="1"/>
    <w:qFormat/>
    <w:uiPriority w:val="0"/>
    <w:pPr>
      <w:adjustRightInd w:val="0"/>
      <w:spacing w:line="360" w:lineRule="atLeast"/>
      <w:jc w:val="center"/>
    </w:pPr>
    <w:rPr>
      <w:kern w:val="0"/>
      <w:szCs w:val="20"/>
    </w:rPr>
  </w:style>
  <w:style w:type="paragraph" w:customStyle="1" w:styleId="360">
    <w:name w:val="表格居中"/>
    <w:basedOn w:val="1"/>
    <w:qFormat/>
    <w:uiPriority w:val="0"/>
    <w:pPr>
      <w:jc w:val="center"/>
    </w:pPr>
    <w:rPr>
      <w:rFonts w:ascii="宋体"/>
      <w:szCs w:val="21"/>
    </w:rPr>
  </w:style>
  <w:style w:type="paragraph" w:customStyle="1" w:styleId="361">
    <w:name w:val="素材2"/>
    <w:basedOn w:val="1"/>
    <w:qFormat/>
    <w:uiPriority w:val="0"/>
    <w:pPr>
      <w:snapToGrid w:val="0"/>
      <w:spacing w:line="500" w:lineRule="atLeast"/>
      <w:ind w:firstLine="567"/>
    </w:pPr>
    <w:rPr>
      <w:rFonts w:ascii="宋体"/>
      <w:sz w:val="27"/>
    </w:rPr>
  </w:style>
  <w:style w:type="paragraph" w:customStyle="1" w:styleId="362">
    <w:name w:val="xl119"/>
    <w:basedOn w:val="1"/>
    <w:qFormat/>
    <w:uiPriority w:val="0"/>
    <w:pPr>
      <w:widowControl/>
      <w:pBdr>
        <w:right w:val="single" w:color="auto" w:sz="8" w:space="0"/>
      </w:pBdr>
      <w:spacing w:before="100" w:beforeAutospacing="1" w:after="100" w:afterAutospacing="1"/>
      <w:jc w:val="center"/>
    </w:pPr>
    <w:rPr>
      <w:color w:val="000000"/>
      <w:kern w:val="0"/>
      <w:sz w:val="18"/>
      <w:szCs w:val="18"/>
    </w:rPr>
  </w:style>
  <w:style w:type="paragraph" w:customStyle="1" w:styleId="363">
    <w:name w:val="列出段落1"/>
    <w:basedOn w:val="1"/>
    <w:qFormat/>
    <w:uiPriority w:val="34"/>
    <w:pPr>
      <w:ind w:firstLine="420" w:firstLineChars="200"/>
    </w:pPr>
    <w:rPr>
      <w:szCs w:val="20"/>
    </w:rPr>
  </w:style>
  <w:style w:type="paragraph" w:customStyle="1" w:styleId="364">
    <w:name w:val="通用标题3"/>
    <w:basedOn w:val="5"/>
    <w:qFormat/>
    <w:uiPriority w:val="0"/>
    <w:pPr>
      <w:snapToGrid w:val="0"/>
      <w:spacing w:before="0" w:after="0" w:line="360" w:lineRule="auto"/>
      <w:ind w:left="100" w:leftChars="100" w:right="100" w:rightChars="100" w:firstLine="200" w:firstLineChars="200"/>
      <w:jc w:val="left"/>
    </w:pPr>
    <w:rPr>
      <w:rFonts w:hAnsi="Times New Roman"/>
      <w:b/>
    </w:rPr>
  </w:style>
  <w:style w:type="paragraph" w:customStyle="1" w:styleId="365">
    <w:name w:val="Char111"/>
    <w:basedOn w:val="1"/>
    <w:qFormat/>
    <w:uiPriority w:val="0"/>
    <w:rPr>
      <w:rFonts w:ascii="Tahoma" w:hAnsi="Tahoma"/>
      <w:sz w:val="24"/>
      <w:szCs w:val="20"/>
    </w:rPr>
  </w:style>
  <w:style w:type="paragraph" w:customStyle="1" w:styleId="366">
    <w:name w:val="样式 标题 2标题 2 Char Char标题 2a + 四号 非加粗 居中 段前: 5 磅 段后: 5 磅 行距..."/>
    <w:basedOn w:val="4"/>
    <w:qFormat/>
    <w:uiPriority w:val="0"/>
    <w:pPr>
      <w:snapToGrid w:val="0"/>
      <w:spacing w:before="100" w:after="100" w:line="312" w:lineRule="auto"/>
      <w:ind w:left="454" w:hanging="454"/>
      <w:jc w:val="center"/>
    </w:pPr>
    <w:rPr>
      <w:rFonts w:ascii="Times New Roman" w:hAnsi="Times New Roman" w:eastAsia="ˎ̥"/>
      <w:b w:val="0"/>
      <w:bCs w:val="0"/>
      <w:kern w:val="10"/>
      <w:sz w:val="28"/>
      <w:szCs w:val="20"/>
    </w:rPr>
  </w:style>
  <w:style w:type="paragraph" w:customStyle="1" w:styleId="3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8">
    <w:name w:val="123"/>
    <w:basedOn w:val="1"/>
    <w:qFormat/>
    <w:uiPriority w:val="0"/>
    <w:pPr>
      <w:ind w:left="567" w:hanging="279"/>
    </w:pPr>
    <w:rPr>
      <w:rFonts w:eastAsia="黑体"/>
      <w:b/>
      <w:sz w:val="28"/>
      <w:szCs w:val="28"/>
    </w:rPr>
  </w:style>
  <w:style w:type="paragraph" w:customStyle="1" w:styleId="369">
    <w:name w:val="框文"/>
    <w:basedOn w:val="1"/>
    <w:qFormat/>
    <w:uiPriority w:val="0"/>
    <w:pPr>
      <w:snapToGrid w:val="0"/>
      <w:jc w:val="center"/>
    </w:pPr>
    <w:rPr>
      <w:szCs w:val="20"/>
    </w:rPr>
  </w:style>
  <w:style w:type="paragraph" w:customStyle="1" w:styleId="37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Char Char Char Char1"/>
    <w:basedOn w:val="22"/>
    <w:qFormat/>
    <w:uiPriority w:val="0"/>
    <w:pPr>
      <w:snapToGrid w:val="0"/>
      <w:ind w:left="480" w:leftChars="200" w:firstLine="200" w:firstLineChars="200"/>
    </w:pPr>
    <w:rPr>
      <w:rFonts w:ascii="Tahoma" w:hAnsi="Tahoma" w:cs="Times New Roman"/>
      <w:kern w:val="0"/>
      <w:sz w:val="24"/>
    </w:rPr>
  </w:style>
  <w:style w:type="paragraph" w:customStyle="1" w:styleId="372">
    <w:name w:val="表格文字小5"/>
    <w:basedOn w:val="1"/>
    <w:qFormat/>
    <w:uiPriority w:val="0"/>
    <w:pPr>
      <w:jc w:val="center"/>
    </w:pPr>
    <w:rPr>
      <w:rFonts w:ascii="宋体" w:hAnsi="宋体"/>
      <w:color w:val="000000"/>
      <w:spacing w:val="-4"/>
      <w:szCs w:val="20"/>
    </w:rPr>
  </w:style>
  <w:style w:type="paragraph" w:customStyle="1" w:styleId="37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74">
    <w:name w:val="标题4"/>
    <w:basedOn w:val="6"/>
    <w:next w:val="1"/>
    <w:qFormat/>
    <w:uiPriority w:val="0"/>
    <w:pPr>
      <w:widowControl/>
      <w:spacing w:before="0" w:after="0" w:line="360" w:lineRule="auto"/>
      <w:jc w:val="center"/>
    </w:pPr>
    <w:rPr>
      <w:rFonts w:ascii="宋体" w:hAnsi="宋体" w:eastAsia="宋体"/>
      <w:b w:val="0"/>
      <w:bCs w:val="0"/>
      <w:kern w:val="0"/>
      <w:szCs w:val="20"/>
    </w:rPr>
  </w:style>
  <w:style w:type="paragraph" w:customStyle="1" w:styleId="375">
    <w:name w:val="xl95"/>
    <w:basedOn w:val="1"/>
    <w:qFormat/>
    <w:uiPriority w:val="0"/>
    <w:pPr>
      <w:widowControl/>
      <w:pBdr>
        <w:top w:val="single" w:color="auto" w:sz="8" w:space="0"/>
        <w:left w:val="single" w:color="auto" w:sz="8" w:space="0"/>
      </w:pBdr>
      <w:spacing w:before="100" w:beforeAutospacing="1" w:after="100" w:afterAutospacing="1"/>
      <w:jc w:val="left"/>
    </w:pPr>
    <w:rPr>
      <w:color w:val="000000"/>
      <w:kern w:val="0"/>
      <w:sz w:val="18"/>
      <w:szCs w:val="18"/>
    </w:rPr>
  </w:style>
  <w:style w:type="paragraph" w:customStyle="1" w:styleId="376">
    <w:name w:val="xl54"/>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0"/>
      <w:szCs w:val="20"/>
    </w:rPr>
  </w:style>
  <w:style w:type="paragraph" w:customStyle="1" w:styleId="377">
    <w:name w:val="框图"/>
    <w:basedOn w:val="1"/>
    <w:qFormat/>
    <w:uiPriority w:val="0"/>
    <w:pPr>
      <w:widowControl/>
      <w:suppressLineNumbers/>
      <w:tabs>
        <w:tab w:val="left" w:pos="423"/>
        <w:tab w:val="left" w:pos="564"/>
        <w:tab w:val="left" w:pos="987"/>
      </w:tabs>
      <w:adjustRightInd w:val="0"/>
      <w:spacing w:beforeLines="50"/>
      <w:jc w:val="center"/>
    </w:pPr>
    <w:rPr>
      <w:szCs w:val="21"/>
    </w:rPr>
  </w:style>
  <w:style w:type="paragraph" w:customStyle="1" w:styleId="378">
    <w:name w:val="xl116"/>
    <w:basedOn w:val="1"/>
    <w:qFormat/>
    <w:uiPriority w:val="0"/>
    <w:pPr>
      <w:widowControl/>
      <w:pBdr>
        <w:top w:val="single" w:color="auto" w:sz="8" w:space="0"/>
        <w:bottom w:val="single" w:color="auto" w:sz="8" w:space="0"/>
      </w:pBdr>
      <w:spacing w:before="100" w:beforeAutospacing="1" w:after="100" w:afterAutospacing="1"/>
    </w:pPr>
    <w:rPr>
      <w:kern w:val="0"/>
      <w:sz w:val="18"/>
      <w:szCs w:val="18"/>
    </w:rPr>
  </w:style>
  <w:style w:type="paragraph" w:customStyle="1" w:styleId="379">
    <w:name w:val="样式 样式 标题 6 + 首行缩进:  2 字符 + 首行缩进:  2 字符"/>
    <w:basedOn w:val="1"/>
    <w:qFormat/>
    <w:uiPriority w:val="0"/>
    <w:pPr>
      <w:ind w:firstLine="200" w:firstLineChars="200"/>
      <w:jc w:val="left"/>
      <w:outlineLvl w:val="5"/>
    </w:pPr>
    <w:rPr>
      <w:rFonts w:ascii="Arial" w:hAnsi="Arial" w:cs="宋体"/>
      <w:sz w:val="24"/>
      <w:szCs w:val="20"/>
    </w:rPr>
  </w:style>
  <w:style w:type="paragraph" w:customStyle="1" w:styleId="380">
    <w:name w:val="不缩进"/>
    <w:basedOn w:val="8"/>
    <w:qFormat/>
    <w:uiPriority w:val="0"/>
    <w:pPr>
      <w:adjustRightInd w:val="0"/>
      <w:snapToGrid w:val="0"/>
      <w:spacing w:line="360" w:lineRule="auto"/>
      <w:ind w:firstLine="0" w:firstLineChars="0"/>
    </w:pPr>
    <w:rPr>
      <w:sz w:val="24"/>
    </w:rPr>
  </w:style>
  <w:style w:type="paragraph" w:customStyle="1" w:styleId="381">
    <w:name w:val="纯文本1"/>
    <w:basedOn w:val="1"/>
    <w:qFormat/>
    <w:uiPriority w:val="0"/>
    <w:pPr>
      <w:autoSpaceDE w:val="0"/>
      <w:autoSpaceDN w:val="0"/>
      <w:adjustRightInd w:val="0"/>
    </w:pPr>
    <w:rPr>
      <w:rFonts w:ascii="宋体"/>
      <w:szCs w:val="20"/>
    </w:rPr>
  </w:style>
  <w:style w:type="paragraph" w:customStyle="1" w:styleId="382">
    <w:name w:val="xl5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Char Char Char Char Char Char Char"/>
    <w:basedOn w:val="1"/>
    <w:qFormat/>
    <w:uiPriority w:val="0"/>
    <w:pPr>
      <w:autoSpaceDE w:val="0"/>
      <w:autoSpaceDN w:val="0"/>
    </w:pPr>
    <w:rPr>
      <w:sz w:val="24"/>
    </w:rPr>
  </w:style>
  <w:style w:type="paragraph" w:customStyle="1" w:styleId="384">
    <w:name w:val="Char12"/>
    <w:basedOn w:val="1"/>
    <w:qFormat/>
    <w:uiPriority w:val="0"/>
    <w:rPr>
      <w:rFonts w:ascii="Tahoma" w:hAnsi="Tahoma"/>
      <w:sz w:val="24"/>
      <w:szCs w:val="20"/>
    </w:rPr>
  </w:style>
  <w:style w:type="paragraph" w:customStyle="1" w:styleId="38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86">
    <w:name w:val="样式 表格文字 + 五号（居中）"/>
    <w:basedOn w:val="119"/>
    <w:qFormat/>
    <w:uiPriority w:val="0"/>
    <w:pPr>
      <w:snapToGrid w:val="0"/>
      <w:spacing w:line="0" w:lineRule="atLeast"/>
      <w:jc w:val="center"/>
      <w:textAlignment w:val="auto"/>
    </w:pPr>
    <w:rPr>
      <w:rFonts w:hint="eastAsia" w:cs="宋体"/>
      <w:color w:val="000000"/>
      <w:szCs w:val="24"/>
      <w:lang w:eastAsia="zh-TW"/>
    </w:rPr>
  </w:style>
  <w:style w:type="paragraph" w:customStyle="1" w:styleId="387">
    <w:name w:val="xl86"/>
    <w:basedOn w:val="1"/>
    <w:qFormat/>
    <w:uiPriority w:val="0"/>
    <w:pPr>
      <w:widowControl/>
      <w:pBdr>
        <w:left w:val="single" w:color="auto" w:sz="8" w:space="0"/>
      </w:pBdr>
      <w:spacing w:before="100" w:beforeAutospacing="1" w:after="100" w:afterAutospacing="1"/>
      <w:jc w:val="left"/>
    </w:pPr>
    <w:rPr>
      <w:color w:val="000000"/>
      <w:kern w:val="0"/>
      <w:sz w:val="18"/>
      <w:szCs w:val="18"/>
    </w:rPr>
  </w:style>
  <w:style w:type="paragraph" w:customStyle="1" w:styleId="388">
    <w:name w:val="xl8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89">
    <w:name w:val="样式 标题 2标题 2，第一节 + (中文) 宋体 段前: 0.5 行 段后: 0.5 行1"/>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39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391">
    <w:name w:val="样式 标题 21.1-C标题 1.1章LLZ2h2部分标题Heading 2 HiddenHeading 2 C..."/>
    <w:basedOn w:val="4"/>
    <w:qFormat/>
    <w:uiPriority w:val="0"/>
    <w:pPr>
      <w:pageBreakBefore/>
      <w:spacing w:before="100" w:beforeAutospacing="1" w:after="100" w:afterAutospacing="1" w:line="500" w:lineRule="exact"/>
      <w:ind w:left="454" w:hanging="454"/>
      <w:jc w:val="center"/>
    </w:pPr>
    <w:rPr>
      <w:rFonts w:ascii="Times New Roman" w:hAnsi="Times New Roman" w:eastAsia="宋体" w:cs="宋体"/>
      <w:b w:val="0"/>
      <w:bCs w:val="0"/>
      <w:sz w:val="30"/>
      <w:szCs w:val="20"/>
    </w:rPr>
  </w:style>
  <w:style w:type="paragraph" w:customStyle="1" w:styleId="392">
    <w:name w:val="文本2"/>
    <w:basedOn w:val="1"/>
    <w:qFormat/>
    <w:uiPriority w:val="0"/>
    <w:pPr>
      <w:adjustRightInd w:val="0"/>
      <w:snapToGrid w:val="0"/>
      <w:jc w:val="center"/>
    </w:pPr>
    <w:rPr>
      <w:rFonts w:ascii="宋体" w:hAnsi="宋体"/>
      <w:sz w:val="24"/>
    </w:rPr>
  </w:style>
  <w:style w:type="paragraph" w:customStyle="1" w:styleId="393">
    <w:name w:val="xl78"/>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4">
    <w:name w:val="font123"/>
    <w:basedOn w:val="1"/>
    <w:qFormat/>
    <w:uiPriority w:val="0"/>
    <w:pPr>
      <w:widowControl/>
      <w:spacing w:before="100" w:beforeAutospacing="1" w:after="100" w:afterAutospacing="1" w:line="720" w:lineRule="atLeast"/>
      <w:jc w:val="left"/>
    </w:pPr>
    <w:rPr>
      <w:rFonts w:ascii="宋体" w:hAnsi="宋体" w:cs="宋体"/>
      <w:kern w:val="0"/>
      <w:sz w:val="24"/>
    </w:rPr>
  </w:style>
  <w:style w:type="paragraph" w:customStyle="1" w:styleId="395">
    <w:name w:val="样式 标题 5h5Block Label5l4第四层条Appendix A  Heading 5H5(*)标题...1"/>
    <w:basedOn w:val="7"/>
    <w:qFormat/>
    <w:uiPriority w:val="0"/>
    <w:pPr>
      <w:keepNext w:val="0"/>
      <w:keepLines w:val="0"/>
      <w:numPr>
        <w:ilvl w:val="0"/>
        <w:numId w:val="0"/>
      </w:numPr>
      <w:tabs>
        <w:tab w:val="left" w:pos="2520"/>
      </w:tabs>
      <w:adjustRightInd w:val="0"/>
      <w:spacing w:beforeLines="0" w:line="300" w:lineRule="auto"/>
      <w:ind w:firstLine="482" w:firstLineChars="200"/>
      <w:jc w:val="both"/>
    </w:pPr>
    <w:rPr>
      <w:rFonts w:ascii="宋体" w:hAnsi="宋体" w:cs="宋体"/>
      <w:b/>
      <w:color w:val="auto"/>
      <w:szCs w:val="20"/>
    </w:rPr>
  </w:style>
  <w:style w:type="paragraph" w:customStyle="1" w:styleId="396">
    <w:name w:val="Char11"/>
    <w:basedOn w:val="1"/>
    <w:qFormat/>
    <w:uiPriority w:val="0"/>
    <w:rPr>
      <w:rFonts w:ascii="Tahoma" w:hAnsi="Tahoma"/>
      <w:sz w:val="24"/>
      <w:szCs w:val="20"/>
    </w:rPr>
  </w:style>
  <w:style w:type="paragraph" w:customStyle="1" w:styleId="397">
    <w:name w:val="正文文本缩进 22"/>
    <w:basedOn w:val="1"/>
    <w:qFormat/>
    <w:uiPriority w:val="0"/>
    <w:pPr>
      <w:autoSpaceDE w:val="0"/>
      <w:autoSpaceDN w:val="0"/>
      <w:adjustRightInd w:val="0"/>
      <w:ind w:firstLine="540"/>
    </w:pPr>
    <w:rPr>
      <w:sz w:val="24"/>
      <w:szCs w:val="20"/>
    </w:rPr>
  </w:style>
  <w:style w:type="paragraph" w:customStyle="1" w:styleId="398">
    <w:name w:val="样式 标题 1章-C章格式标题 1 Charsection:1自标题 1标题 1 1编号标题1章节（环球章）：..."/>
    <w:basedOn w:val="3"/>
    <w:qFormat/>
    <w:uiPriority w:val="0"/>
    <w:pPr>
      <w:spacing w:before="100" w:beforeAutospacing="1" w:after="100" w:afterAutospacing="1" w:line="240" w:lineRule="auto"/>
      <w:jc w:val="center"/>
    </w:pPr>
    <w:rPr>
      <w:rFonts w:cs="宋体"/>
      <w:color w:val="000080"/>
      <w:sz w:val="36"/>
      <w:szCs w:val="20"/>
    </w:rPr>
  </w:style>
  <w:style w:type="paragraph" w:customStyle="1" w:styleId="399">
    <w:name w:val="choi--A"/>
    <w:basedOn w:val="8"/>
    <w:qFormat/>
    <w:uiPriority w:val="0"/>
    <w:pPr>
      <w:spacing w:line="500" w:lineRule="exact"/>
      <w:ind w:firstLine="200"/>
    </w:pPr>
    <w:rPr>
      <w:rFonts w:ascii="宋体" w:hAnsi="宋体"/>
      <w:sz w:val="24"/>
    </w:rPr>
  </w:style>
  <w:style w:type="paragraph" w:customStyle="1" w:styleId="400">
    <w:name w:val="xl4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1">
    <w:name w:val="样式 标题 4标题4项目标11.1.1.1标题五H4标书－标题 4章PIM 4h44sect 1.2.3....2"/>
    <w:basedOn w:val="6"/>
    <w:qFormat/>
    <w:uiPriority w:val="0"/>
    <w:pPr>
      <w:spacing w:before="0" w:after="0" w:line="460" w:lineRule="exact"/>
      <w:ind w:firstLine="200" w:firstLineChars="200"/>
      <w:jc w:val="left"/>
    </w:pPr>
    <w:rPr>
      <w:rFonts w:ascii="宋体" w:hAnsi="宋体" w:eastAsia="ˎ̥" w:cs="宋体"/>
      <w:b w:val="0"/>
      <w:bCs w:val="0"/>
      <w:sz w:val="24"/>
      <w:szCs w:val="24"/>
    </w:rPr>
  </w:style>
  <w:style w:type="paragraph" w:customStyle="1" w:styleId="40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3">
    <w:name w:val="样式 标题 6标题6H6Bullet (Single Lines)PIM 6L6BOD 4h6Third Sub..."/>
    <w:basedOn w:val="9"/>
    <w:qFormat/>
    <w:uiPriority w:val="0"/>
    <w:pPr>
      <w:widowControl w:val="0"/>
      <w:tabs>
        <w:tab w:val="clear" w:pos="1440"/>
      </w:tabs>
      <w:spacing w:line="316" w:lineRule="auto"/>
      <w:ind w:left="0" w:firstLine="0"/>
      <w:jc w:val="both"/>
    </w:pPr>
    <w:rPr>
      <w:rFonts w:ascii="宋体" w:hAnsi="宋体" w:eastAsia="ˎ̥" w:cs="宋体"/>
      <w:kern w:val="2"/>
      <w:szCs w:val="20"/>
    </w:rPr>
  </w:style>
  <w:style w:type="paragraph" w:customStyle="1" w:styleId="404">
    <w:name w:val="xl101"/>
    <w:basedOn w:val="1"/>
    <w:qFormat/>
    <w:uiPriority w:val="0"/>
    <w:pPr>
      <w:widowControl/>
      <w:pBdr>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5">
    <w:name w:val="标句5"/>
    <w:basedOn w:val="1"/>
    <w:qFormat/>
    <w:uiPriority w:val="0"/>
    <w:pPr>
      <w:snapToGrid w:val="0"/>
      <w:spacing w:line="500" w:lineRule="atLeast"/>
      <w:ind w:left="1135" w:hanging="284"/>
    </w:pPr>
    <w:rPr>
      <w:rFonts w:ascii="宋体"/>
      <w:kern w:val="28"/>
      <w:sz w:val="27"/>
      <w:szCs w:val="20"/>
    </w:rPr>
  </w:style>
  <w:style w:type="paragraph" w:customStyle="1" w:styleId="406">
    <w:name w:val="样式 标题 3 + 黑体 四号 梅红 行距: 1.5 倍行距"/>
    <w:basedOn w:val="5"/>
    <w:qFormat/>
    <w:uiPriority w:val="0"/>
    <w:pPr>
      <w:keepNext w:val="0"/>
      <w:keepLines w:val="0"/>
      <w:spacing w:before="0" w:after="0" w:line="360" w:lineRule="auto"/>
      <w:ind w:firstLine="200" w:firstLineChars="200"/>
      <w:jc w:val="left"/>
    </w:pPr>
    <w:rPr>
      <w:rFonts w:ascii="ˎ̥" w:hAnsi="Times New Roman" w:eastAsia="ˎ̥" w:cs="宋体"/>
      <w:b/>
      <w:color w:val="993366"/>
      <w:sz w:val="24"/>
      <w:szCs w:val="24"/>
    </w:rPr>
  </w:style>
  <w:style w:type="paragraph" w:customStyle="1" w:styleId="407">
    <w:name w:val="xl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408">
    <w:name w:val="xl7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9">
    <w:name w:val="xl105"/>
    <w:basedOn w:val="1"/>
    <w:qFormat/>
    <w:uiPriority w:val="0"/>
    <w:pPr>
      <w:widowControl/>
      <w:pBdr>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410">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1">
    <w:name w:val="样式"/>
    <w:basedOn w:val="1"/>
    <w:qFormat/>
    <w:uiPriority w:val="0"/>
    <w:pPr>
      <w:jc w:val="center"/>
    </w:pPr>
    <w:rPr>
      <w:rFonts w:cs="宋体"/>
      <w:b/>
      <w:sz w:val="30"/>
      <w:szCs w:val="20"/>
    </w:rPr>
  </w:style>
  <w:style w:type="paragraph" w:customStyle="1" w:styleId="41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xl120"/>
    <w:basedOn w:val="1"/>
    <w:qFormat/>
    <w:uiPriority w:val="0"/>
    <w:pPr>
      <w:widowControl/>
      <w:pBdr>
        <w:left w:val="single" w:color="auto" w:sz="8" w:space="0"/>
        <w:bottom w:val="single" w:color="auto" w:sz="8" w:space="0"/>
      </w:pBdr>
      <w:spacing w:before="100" w:beforeAutospacing="1" w:after="100" w:afterAutospacing="1"/>
      <w:jc w:val="center"/>
    </w:pPr>
    <w:rPr>
      <w:color w:val="000000"/>
      <w:kern w:val="0"/>
      <w:sz w:val="18"/>
      <w:szCs w:val="18"/>
    </w:rPr>
  </w:style>
  <w:style w:type="paragraph" w:customStyle="1" w:styleId="414">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kern w:val="0"/>
      <w:sz w:val="18"/>
      <w:szCs w:val="18"/>
    </w:rPr>
  </w:style>
  <w:style w:type="paragraph" w:customStyle="1" w:styleId="415">
    <w:name w:val="正文文字首行缩进"/>
    <w:basedOn w:val="1"/>
    <w:next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16">
    <w:name w:val="r1"/>
    <w:basedOn w:val="1"/>
    <w:qFormat/>
    <w:uiPriority w:val="0"/>
    <w:pPr>
      <w:adjustRightInd w:val="0"/>
      <w:spacing w:line="360" w:lineRule="atLeast"/>
      <w:jc w:val="left"/>
    </w:pPr>
    <w:rPr>
      <w:rFonts w:ascii="宋体" w:eastAsia="楷体"/>
      <w:kern w:val="0"/>
      <w:sz w:val="24"/>
      <w:szCs w:val="20"/>
    </w:rPr>
  </w:style>
  <w:style w:type="paragraph" w:customStyle="1" w:styleId="417">
    <w:name w:val="样式 标题 2标题 2，第一节 + 段前: 0.5 行 段后: 0.5 行"/>
    <w:basedOn w:val="4"/>
    <w:qFormat/>
    <w:uiPriority w:val="0"/>
    <w:pPr>
      <w:keepNext w:val="0"/>
      <w:keepLines w:val="0"/>
      <w:spacing w:before="0" w:beforeLines="50" w:after="0" w:afterLines="50" w:line="360" w:lineRule="auto"/>
      <w:ind w:left="454" w:hanging="454"/>
      <w:jc w:val="center"/>
    </w:pPr>
    <w:rPr>
      <w:rFonts w:ascii="Times New Roman" w:hAnsi="Times New Roman" w:eastAsia="ˎ̥" w:cs="宋体"/>
      <w:color w:val="993366"/>
      <w:sz w:val="28"/>
      <w:szCs w:val="20"/>
    </w:rPr>
  </w:style>
  <w:style w:type="paragraph" w:customStyle="1" w:styleId="418">
    <w:name w:val="样式 标题 21.1-C标题 1.1章LLZ2h2部分标题Heading 2 HiddenHeading 2 C...1"/>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sz w:val="30"/>
      <w:szCs w:val="20"/>
    </w:rPr>
  </w:style>
  <w:style w:type="paragraph" w:customStyle="1" w:styleId="4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20">
    <w:name w:val="xl132"/>
    <w:basedOn w:val="1"/>
    <w:qFormat/>
    <w:uiPriority w:val="0"/>
    <w:pPr>
      <w:widowControl/>
      <w:pBdr>
        <w:left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4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43"/>
    <w:basedOn w:val="1"/>
    <w:qFormat/>
    <w:uiPriority w:val="0"/>
    <w:pPr>
      <w:widowControl/>
      <w:spacing w:before="100" w:beforeAutospacing="1" w:after="100" w:afterAutospacing="1"/>
      <w:jc w:val="left"/>
    </w:pPr>
    <w:rPr>
      <w:kern w:val="0"/>
      <w:sz w:val="24"/>
    </w:rPr>
  </w:style>
  <w:style w:type="paragraph" w:customStyle="1" w:styleId="423">
    <w:name w:val="框图文字"/>
    <w:basedOn w:val="39"/>
    <w:qFormat/>
    <w:uiPriority w:val="0"/>
    <w:pPr>
      <w:adjustRightInd w:val="0"/>
      <w:snapToGrid w:val="0"/>
      <w:jc w:val="center"/>
    </w:pPr>
    <w:rPr>
      <w:rFonts w:ascii="Times New Roman" w:hAnsi="PMingLiU" w:eastAsia="Calibri" w:cs="Times New Roman"/>
      <w:szCs w:val="20"/>
    </w:rPr>
  </w:style>
  <w:style w:type="paragraph" w:customStyle="1" w:styleId="4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425">
    <w:name w:val="标题9"/>
    <w:basedOn w:val="1"/>
    <w:qFormat/>
    <w:uiPriority w:val="0"/>
    <w:pPr>
      <w:spacing w:beforeLines="50"/>
    </w:pPr>
    <w:rPr>
      <w:rFonts w:eastAsia="黑体"/>
      <w:b/>
      <w:sz w:val="32"/>
    </w:rPr>
  </w:style>
  <w:style w:type="paragraph" w:customStyle="1" w:styleId="42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szCs w:val="20"/>
    </w:rPr>
  </w:style>
  <w:style w:type="paragraph" w:customStyle="1" w:styleId="427">
    <w:name w:val="章节三"/>
    <w:basedOn w:val="136"/>
    <w:next w:val="136"/>
    <w:qFormat/>
    <w:uiPriority w:val="0"/>
    <w:pPr>
      <w:spacing w:beforeLines="50"/>
      <w:jc w:val="left"/>
      <w:outlineLvl w:val="2"/>
    </w:pPr>
    <w:rPr>
      <w:rFonts w:ascii="黑体" w:hAnsi="宋体" w:eastAsia="黑体"/>
      <w:b/>
      <w:snapToGrid/>
    </w:rPr>
  </w:style>
  <w:style w:type="paragraph" w:customStyle="1" w:styleId="4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9">
    <w:name w:val="xl77"/>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30">
    <w:name w:val="正文文字2"/>
    <w:basedOn w:val="1"/>
    <w:qFormat/>
    <w:uiPriority w:val="0"/>
    <w:pPr>
      <w:spacing w:before="60" w:after="60" w:line="500" w:lineRule="exact"/>
      <w:ind w:left="510" w:firstLine="567"/>
    </w:pPr>
    <w:rPr>
      <w:sz w:val="28"/>
      <w:szCs w:val="20"/>
    </w:rPr>
  </w:style>
  <w:style w:type="paragraph" w:customStyle="1" w:styleId="431">
    <w:name w:val="font17"/>
    <w:basedOn w:val="1"/>
    <w:qFormat/>
    <w:uiPriority w:val="0"/>
    <w:pPr>
      <w:widowControl/>
      <w:spacing w:before="100" w:beforeAutospacing="1" w:after="100" w:afterAutospacing="1"/>
      <w:jc w:val="left"/>
    </w:pPr>
    <w:rPr>
      <w:kern w:val="0"/>
      <w:sz w:val="24"/>
    </w:rPr>
  </w:style>
  <w:style w:type="paragraph" w:customStyle="1" w:styleId="432">
    <w:name w:val="样式 标题 31.1.1-C节LLZ3Heading 3 - old子系统h33rd level3H3章标题..."/>
    <w:basedOn w:val="5"/>
    <w:qFormat/>
    <w:uiPriority w:val="0"/>
    <w:pPr>
      <w:spacing w:before="100" w:beforeAutospacing="1" w:after="0" w:line="400" w:lineRule="exact"/>
      <w:ind w:firstLine="0" w:firstLineChars="0"/>
      <w:jc w:val="left"/>
    </w:pPr>
    <w:rPr>
      <w:rFonts w:ascii="Times New Roman" w:hAnsi="Times New Roman" w:eastAsia="宋体"/>
      <w:bCs w:val="0"/>
    </w:rPr>
  </w:style>
  <w:style w:type="paragraph" w:customStyle="1" w:styleId="433">
    <w:name w:val="默认段落字体 Para Char"/>
    <w:basedOn w:val="1"/>
    <w:qFormat/>
    <w:uiPriority w:val="0"/>
    <w:rPr>
      <w:sz w:val="30"/>
    </w:rPr>
  </w:style>
  <w:style w:type="paragraph" w:customStyle="1" w:styleId="4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5">
    <w:name w:val="xl117"/>
    <w:basedOn w:val="1"/>
    <w:qFormat/>
    <w:uiPriority w:val="0"/>
    <w:pPr>
      <w:widowControl/>
      <w:pBdr>
        <w:top w:val="single" w:color="auto" w:sz="8" w:space="0"/>
        <w:bottom w:val="single" w:color="auto" w:sz="8" w:space="0"/>
        <w:right w:val="single" w:color="auto" w:sz="8" w:space="0"/>
      </w:pBdr>
      <w:spacing w:before="100" w:beforeAutospacing="1" w:after="100" w:afterAutospacing="1"/>
    </w:pPr>
    <w:rPr>
      <w:kern w:val="0"/>
      <w:sz w:val="18"/>
      <w:szCs w:val="18"/>
    </w:rPr>
  </w:style>
  <w:style w:type="paragraph" w:customStyle="1" w:styleId="43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7">
    <w:name w:val="样式 标题 2标题 2，第一节 + (中文) 宋体 段前: 0.5 行 段后: 0.5 行"/>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43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xl110"/>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40">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441">
    <w:name w:val="xl125"/>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42">
    <w:name w:val="正文 + 首行缩进:  2 字符"/>
    <w:basedOn w:val="1"/>
    <w:qFormat/>
    <w:uiPriority w:val="0"/>
    <w:pPr>
      <w:ind w:firstLine="200" w:firstLineChars="200"/>
      <w:jc w:val="left"/>
    </w:pPr>
    <w:rPr>
      <w:rFonts w:cs="宋体"/>
      <w:szCs w:val="20"/>
    </w:rPr>
  </w:style>
  <w:style w:type="paragraph" w:customStyle="1" w:styleId="443">
    <w:name w:val="xl93"/>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4">
    <w:name w:val="xl99"/>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5">
    <w:name w:val="xl9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正文居右"/>
    <w:basedOn w:val="170"/>
    <w:next w:val="170"/>
    <w:qFormat/>
    <w:uiPriority w:val="0"/>
    <w:pPr>
      <w:widowControl/>
      <w:jc w:val="right"/>
    </w:pPr>
    <w:rPr>
      <w:rFonts w:ascii="Times New Roman"/>
    </w:rPr>
  </w:style>
  <w:style w:type="paragraph" w:customStyle="1" w:styleId="448">
    <w:name w:val="xl8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9">
    <w:name w:val="Char Char2"/>
    <w:basedOn w:val="1"/>
    <w:qFormat/>
    <w:uiPriority w:val="0"/>
    <w:pPr>
      <w:adjustRightInd w:val="0"/>
      <w:spacing w:line="360" w:lineRule="atLeast"/>
    </w:pPr>
  </w:style>
  <w:style w:type="paragraph" w:customStyle="1" w:styleId="450">
    <w:name w:val="font8"/>
    <w:basedOn w:val="1"/>
    <w:qFormat/>
    <w:uiPriority w:val="0"/>
    <w:pPr>
      <w:widowControl/>
      <w:spacing w:before="100" w:beforeAutospacing="1" w:after="100" w:afterAutospacing="1"/>
      <w:jc w:val="left"/>
    </w:pPr>
    <w:rPr>
      <w:kern w:val="0"/>
      <w:szCs w:val="21"/>
    </w:rPr>
  </w:style>
  <w:style w:type="paragraph" w:customStyle="1" w:styleId="451">
    <w:name w:val="Char Char Char Char Char Char Char Char1 Char1"/>
    <w:basedOn w:val="1"/>
    <w:qFormat/>
    <w:uiPriority w:val="0"/>
    <w:rPr>
      <w:rFonts w:ascii="Tahoma" w:hAnsi="Tahoma"/>
      <w:sz w:val="24"/>
      <w:szCs w:val="20"/>
    </w:rPr>
  </w:style>
  <w:style w:type="paragraph" w:customStyle="1" w:styleId="452">
    <w:name w:val="xl9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3">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454">
    <w:name w:val="xl91"/>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5">
    <w:name w:val="表格1"/>
    <w:basedOn w:val="1"/>
    <w:next w:val="1"/>
    <w:qFormat/>
    <w:uiPriority w:val="0"/>
    <w:pPr>
      <w:ind w:left="-6" w:right="113"/>
      <w:jc w:val="center"/>
    </w:pPr>
    <w:rPr>
      <w:kern w:val="0"/>
      <w:szCs w:val="21"/>
    </w:rPr>
  </w:style>
  <w:style w:type="paragraph" w:customStyle="1" w:styleId="456">
    <w:name w:val="样式 标题 41.1.1.1-C一LLZ41、四标题4四级标题(一) + 非加粗"/>
    <w:basedOn w:val="6"/>
    <w:qFormat/>
    <w:uiPriority w:val="0"/>
    <w:pPr>
      <w:keepNext w:val="0"/>
      <w:keepLines w:val="0"/>
      <w:spacing w:before="100" w:beforeAutospacing="1" w:after="0" w:line="300" w:lineRule="atLeast"/>
      <w:jc w:val="left"/>
    </w:pPr>
    <w:rPr>
      <w:rFonts w:ascii="Times New Roman" w:hAnsi="Times New Roman" w:eastAsia="宋体"/>
      <w:bCs w:val="0"/>
      <w:sz w:val="24"/>
      <w:szCs w:val="24"/>
    </w:rPr>
  </w:style>
  <w:style w:type="paragraph" w:customStyle="1" w:styleId="457">
    <w:name w:val="样式 样式 首行缩进:  2 字符 + 首行缩进:  2 字符"/>
    <w:basedOn w:val="1"/>
    <w:qFormat/>
    <w:uiPriority w:val="0"/>
    <w:pPr>
      <w:adjustRightInd w:val="0"/>
      <w:snapToGrid w:val="0"/>
      <w:spacing w:line="312" w:lineRule="auto"/>
      <w:ind w:firstLine="200" w:firstLineChars="200"/>
    </w:pPr>
    <w:rPr>
      <w:rFonts w:eastAsia="Calibri" w:cs="宋体"/>
      <w:kern w:val="0"/>
      <w:sz w:val="24"/>
      <w:szCs w:val="20"/>
    </w:rPr>
  </w:style>
  <w:style w:type="paragraph" w:customStyle="1" w:styleId="458">
    <w:name w:val="正方框图"/>
    <w:basedOn w:val="1"/>
    <w:qFormat/>
    <w:uiPriority w:val="0"/>
    <w:pPr>
      <w:snapToGrid w:val="0"/>
      <w:jc w:val="center"/>
    </w:pPr>
    <w:rPr>
      <w:rFonts w:ascii="宋体"/>
      <w:spacing w:val="-4"/>
      <w:szCs w:val="21"/>
    </w:rPr>
  </w:style>
  <w:style w:type="paragraph" w:customStyle="1" w:styleId="459">
    <w:name w:val="表格中文字"/>
    <w:basedOn w:val="1"/>
    <w:qFormat/>
    <w:uiPriority w:val="0"/>
    <w:pPr>
      <w:adjustRightInd w:val="0"/>
      <w:snapToGrid w:val="0"/>
      <w:jc w:val="center"/>
    </w:pPr>
    <w:rPr>
      <w:sz w:val="24"/>
      <w:szCs w:val="18"/>
    </w:rPr>
  </w:style>
  <w:style w:type="paragraph" w:customStyle="1" w:styleId="46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61">
    <w:name w:val="style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2">
    <w:name w:val="标级1"/>
    <w:basedOn w:val="1"/>
    <w:qFormat/>
    <w:uiPriority w:val="0"/>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463">
    <w:name w:val="xl126"/>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64">
    <w:name w:val="样式 表格文字 + 五号 两端对齐"/>
    <w:basedOn w:val="119"/>
    <w:qFormat/>
    <w:uiPriority w:val="0"/>
    <w:pPr>
      <w:snapToGrid w:val="0"/>
      <w:spacing w:line="360" w:lineRule="auto"/>
      <w:ind w:firstLine="200" w:firstLineChars="200"/>
      <w:jc w:val="center"/>
      <w:textAlignment w:val="auto"/>
    </w:pPr>
    <w:rPr>
      <w:rFonts w:hint="eastAsia" w:cs="宋体"/>
      <w:color w:val="000000"/>
      <w:lang w:eastAsia="zh-TW"/>
    </w:rPr>
  </w:style>
  <w:style w:type="paragraph" w:customStyle="1" w:styleId="4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466">
    <w:name w:val="样式 标题 21.1-C标题 1.1章LLZ2h2部分标题Heading 2 HiddenHeading 2 C...3"/>
    <w:basedOn w:val="4"/>
    <w:qFormat/>
    <w:uiPriority w:val="0"/>
    <w:pPr>
      <w:spacing w:before="100" w:beforeAutospacing="1" w:after="100" w:afterAutospacing="1" w:line="300" w:lineRule="exact"/>
      <w:ind w:left="454" w:hanging="454"/>
      <w:jc w:val="center"/>
    </w:pPr>
    <w:rPr>
      <w:rFonts w:ascii="Times New Roman" w:hAnsi="Times New Roman" w:eastAsia="宋体" w:cs="宋体"/>
      <w:b w:val="0"/>
      <w:bCs w:val="0"/>
      <w:sz w:val="30"/>
      <w:szCs w:val="20"/>
    </w:rPr>
  </w:style>
  <w:style w:type="paragraph" w:customStyle="1" w:styleId="467">
    <w:name w:val="样式10"/>
    <w:basedOn w:val="1"/>
    <w:qFormat/>
    <w:uiPriority w:val="0"/>
    <w:pPr>
      <w:widowControl/>
      <w:spacing w:before="120" w:after="120" w:line="360" w:lineRule="auto"/>
    </w:pPr>
    <w:rPr>
      <w:rFonts w:ascii="Batang" w:eastAsia="Batang"/>
      <w:spacing w:val="20"/>
      <w:kern w:val="0"/>
      <w:sz w:val="24"/>
      <w:szCs w:val="20"/>
    </w:rPr>
  </w:style>
  <w:style w:type="paragraph" w:customStyle="1" w:styleId="4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kern w:val="0"/>
      <w:sz w:val="24"/>
    </w:rPr>
  </w:style>
  <w:style w:type="paragraph" w:customStyle="1" w:styleId="469">
    <w:name w:val="choi--(a)"/>
    <w:basedOn w:val="1"/>
    <w:qFormat/>
    <w:uiPriority w:val="0"/>
    <w:pPr>
      <w:tabs>
        <w:tab w:val="left" w:pos="1200"/>
      </w:tabs>
      <w:spacing w:line="500" w:lineRule="atLeast"/>
      <w:ind w:left="1200" w:hanging="720"/>
    </w:pPr>
    <w:rPr>
      <w:rFonts w:ascii="宋体" w:hAnsi="宋体"/>
      <w:sz w:val="24"/>
    </w:rPr>
  </w:style>
  <w:style w:type="paragraph" w:customStyle="1" w:styleId="470">
    <w:name w:val="xl107"/>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71">
    <w:name w:val="表头2"/>
    <w:basedOn w:val="1"/>
    <w:qFormat/>
    <w:uiPriority w:val="0"/>
    <w:pPr>
      <w:spacing w:line="360" w:lineRule="auto"/>
      <w:jc w:val="left"/>
    </w:pPr>
    <w:rPr>
      <w:b/>
      <w:sz w:val="24"/>
    </w:rPr>
  </w:style>
  <w:style w:type="paragraph" w:customStyle="1" w:styleId="472">
    <w:name w:val="xl30"/>
    <w:basedOn w:val="1"/>
    <w:qFormat/>
    <w:uiPriority w:val="0"/>
    <w:pPr>
      <w:widowControl/>
      <w:pBdr>
        <w:left w:val="single" w:color="auto" w:sz="4" w:space="31"/>
        <w:bottom w:val="single" w:color="auto" w:sz="4" w:space="0"/>
        <w:right w:val="single" w:color="auto" w:sz="4" w:space="0"/>
      </w:pBdr>
      <w:spacing w:before="100" w:beforeAutospacing="1" w:after="100" w:afterAutospacing="1"/>
      <w:ind w:firstLine="400" w:firstLineChars="400"/>
      <w:jc w:val="left"/>
    </w:pPr>
    <w:rPr>
      <w:rFonts w:ascii="宋体" w:hAnsi="宋体" w:cs="宋体"/>
      <w:kern w:val="0"/>
      <w:sz w:val="24"/>
    </w:rPr>
  </w:style>
  <w:style w:type="paragraph" w:customStyle="1" w:styleId="473">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font10"/>
    <w:basedOn w:val="1"/>
    <w:qFormat/>
    <w:uiPriority w:val="0"/>
    <w:pPr>
      <w:widowControl/>
      <w:spacing w:before="100" w:beforeAutospacing="1" w:after="100" w:afterAutospacing="1"/>
      <w:jc w:val="left"/>
    </w:pPr>
    <w:rPr>
      <w:color w:val="0000FF"/>
      <w:kern w:val="0"/>
      <w:sz w:val="24"/>
    </w:rPr>
  </w:style>
  <w:style w:type="character" w:customStyle="1" w:styleId="476">
    <w:name w:val="页脚 Char"/>
    <w:qFormat/>
    <w:uiPriority w:val="99"/>
    <w:rPr>
      <w:rFonts w:hint="default" w:ascii="Times New Roman" w:hAnsi="Times New Roman" w:eastAsia="宋体" w:cs="Times New Roman"/>
      <w:kern w:val="2"/>
      <w:sz w:val="18"/>
      <w:lang w:val="en-US" w:eastAsia="zh-CN" w:bidi="ar-SA"/>
    </w:rPr>
  </w:style>
  <w:style w:type="character" w:customStyle="1" w:styleId="477">
    <w:name w:val="注释标题 Char1"/>
    <w:semiHidden/>
    <w:qFormat/>
    <w:uiPriority w:val="99"/>
    <w:rPr>
      <w:rFonts w:hint="eastAsia" w:ascii="楷体_GB2312" w:eastAsia="楷体_GB2312"/>
      <w:kern w:val="2"/>
      <w:sz w:val="21"/>
    </w:rPr>
  </w:style>
  <w:style w:type="character" w:customStyle="1" w:styleId="478">
    <w:name w:val="注释标题 Char2"/>
    <w:semiHidden/>
    <w:qFormat/>
    <w:uiPriority w:val="99"/>
    <w:rPr>
      <w:rFonts w:hint="default" w:ascii="Times New Roman" w:hAnsi="Times New Roman" w:eastAsia="楷体_GB2312" w:cs="Times New Roman"/>
      <w:szCs w:val="20"/>
    </w:rPr>
  </w:style>
  <w:style w:type="character" w:customStyle="1" w:styleId="479">
    <w:name w:val="标题 Char"/>
    <w:qFormat/>
    <w:uiPriority w:val="0"/>
    <w:rPr>
      <w:rFonts w:hint="default" w:ascii="Arial" w:hAnsi="Arial" w:eastAsia="宋体" w:cs="Times New Roman"/>
      <w:b/>
      <w:kern w:val="2"/>
      <w:sz w:val="44"/>
      <w:lang w:val="en-US" w:eastAsia="zh-CN" w:bidi="ar-SA"/>
    </w:rPr>
  </w:style>
  <w:style w:type="character" w:customStyle="1" w:styleId="480">
    <w:name w:val="签名 Char1"/>
    <w:semiHidden/>
    <w:qFormat/>
    <w:uiPriority w:val="99"/>
    <w:rPr>
      <w:rFonts w:hint="eastAsia" w:ascii="楷体_GB2312" w:eastAsia="楷体_GB2312"/>
      <w:kern w:val="2"/>
      <w:sz w:val="21"/>
    </w:rPr>
  </w:style>
  <w:style w:type="character" w:customStyle="1" w:styleId="481">
    <w:name w:val="正文文本缩进 3 Char1"/>
    <w:semiHidden/>
    <w:qFormat/>
    <w:uiPriority w:val="99"/>
    <w:rPr>
      <w:rFonts w:hint="default" w:ascii="Times New Roman" w:hAnsi="Times New Roman" w:eastAsia="楷体_GB2312" w:cs="Times New Roman"/>
      <w:sz w:val="16"/>
      <w:szCs w:val="16"/>
    </w:rPr>
  </w:style>
  <w:style w:type="character" w:customStyle="1" w:styleId="482">
    <w:name w:val="普通文字 Char2"/>
    <w:qFormat/>
    <w:uiPriority w:val="0"/>
    <w:rPr>
      <w:rFonts w:hint="eastAsia" w:ascii="宋体" w:hAnsi="Courier New" w:eastAsia="宋体" w:cs="Times New Roman"/>
      <w:kern w:val="2"/>
      <w:sz w:val="21"/>
      <w:lang w:val="en-US" w:eastAsia="zh-CN" w:bidi="ar-SA"/>
    </w:rPr>
  </w:style>
  <w:style w:type="character" w:customStyle="1" w:styleId="483">
    <w:name w:val="style6"/>
    <w:qFormat/>
    <w:uiPriority w:val="0"/>
    <w:rPr>
      <w:rFonts w:hint="default" w:ascii="Times New Roman" w:hAnsi="Times New Roman" w:eastAsia="宋体" w:cs="Times New Roman"/>
    </w:rPr>
  </w:style>
  <w:style w:type="character" w:customStyle="1" w:styleId="484">
    <w:name w:val="电子邮件签名 Char1"/>
    <w:semiHidden/>
    <w:qFormat/>
    <w:uiPriority w:val="99"/>
    <w:rPr>
      <w:rFonts w:hint="eastAsia" w:ascii="楷体_GB2312" w:eastAsia="楷体_GB2312"/>
      <w:kern w:val="2"/>
      <w:sz w:val="21"/>
    </w:rPr>
  </w:style>
  <w:style w:type="character" w:customStyle="1" w:styleId="485">
    <w:name w:val="批注主题 Char2"/>
    <w:semiHidden/>
    <w:qFormat/>
    <w:uiPriority w:val="99"/>
    <w:rPr>
      <w:rFonts w:hint="default" w:ascii="Times New Roman" w:hAnsi="Times New Roman" w:eastAsia="楷体_GB2312" w:cs="Times New Roman"/>
      <w:b/>
      <w:bCs/>
      <w:kern w:val="2"/>
      <w:sz w:val="21"/>
      <w:szCs w:val="20"/>
    </w:rPr>
  </w:style>
  <w:style w:type="character" w:customStyle="1" w:styleId="486">
    <w:name w:val="标题 Char3"/>
    <w:qFormat/>
    <w:uiPriority w:val="10"/>
    <w:rPr>
      <w:rFonts w:hint="default" w:ascii="Cambria" w:hAnsi="Cambria" w:cs="Times New Roman"/>
      <w:b/>
      <w:bCs/>
      <w:kern w:val="2"/>
      <w:sz w:val="32"/>
      <w:szCs w:val="32"/>
    </w:rPr>
  </w:style>
  <w:style w:type="character" w:customStyle="1" w:styleId="487">
    <w:name w:val="西塔正文1 Char"/>
    <w:qFormat/>
    <w:uiPriority w:val="0"/>
    <w:rPr>
      <w:rFonts w:hint="eastAsia" w:ascii="宋体" w:hAnsi="Times New Roman" w:eastAsia="宋体" w:cs="Times New Roman"/>
      <w:kern w:val="2"/>
      <w:sz w:val="24"/>
      <w:szCs w:val="24"/>
      <w:lang w:val="en-US" w:eastAsia="zh-CN" w:bidi="ar-SA"/>
    </w:rPr>
  </w:style>
  <w:style w:type="character" w:customStyle="1" w:styleId="488">
    <w:name w:val="批注主题 Char"/>
    <w:qFormat/>
    <w:uiPriority w:val="0"/>
    <w:rPr>
      <w:rFonts w:hint="default" w:ascii="Times New Roman" w:hAnsi="Times New Roman" w:eastAsia="宋体" w:cs="Times New Roman"/>
      <w:b/>
      <w:bCs/>
      <w:kern w:val="2"/>
      <w:sz w:val="21"/>
      <w:szCs w:val="24"/>
      <w:lang w:val="en-US" w:eastAsia="zh-CN" w:bidi="ar-SA"/>
    </w:rPr>
  </w:style>
  <w:style w:type="character" w:customStyle="1" w:styleId="489">
    <w:name w:val="称呼 Char1"/>
    <w:semiHidden/>
    <w:qFormat/>
    <w:uiPriority w:val="99"/>
    <w:rPr>
      <w:rFonts w:hint="eastAsia" w:ascii="楷体_GB2312" w:eastAsia="楷体_GB2312"/>
      <w:kern w:val="2"/>
      <w:sz w:val="21"/>
    </w:rPr>
  </w:style>
  <w:style w:type="character" w:customStyle="1" w:styleId="490">
    <w:name w:val="HTML 地址 Char1"/>
    <w:semiHidden/>
    <w:qFormat/>
    <w:uiPriority w:val="99"/>
    <w:rPr>
      <w:rFonts w:hint="eastAsia" w:ascii="楷体_GB2312" w:eastAsia="楷体_GB2312"/>
      <w:i/>
      <w:iCs/>
      <w:kern w:val="2"/>
      <w:sz w:val="21"/>
    </w:rPr>
  </w:style>
  <w:style w:type="character" w:customStyle="1" w:styleId="491">
    <w:name w:val="tpc_content1"/>
    <w:qFormat/>
    <w:uiPriority w:val="0"/>
    <w:rPr>
      <w:rFonts w:hint="default" w:ascii="Times New Roman" w:hAnsi="Times New Roman" w:eastAsia="宋体" w:cs="Times New Roman"/>
      <w:sz w:val="26"/>
      <w:szCs w:val="26"/>
    </w:rPr>
  </w:style>
  <w:style w:type="character" w:customStyle="1" w:styleId="492">
    <w:name w:val="font81"/>
    <w:qFormat/>
    <w:uiPriority w:val="0"/>
    <w:rPr>
      <w:rFonts w:hint="eastAsia" w:ascii="宋体" w:hAnsi="宋体" w:eastAsia="宋体" w:cs="宋体"/>
      <w:color w:val="FF0000"/>
      <w:sz w:val="24"/>
      <w:szCs w:val="24"/>
      <w:u w:val="none"/>
    </w:rPr>
  </w:style>
  <w:style w:type="character" w:customStyle="1" w:styleId="493">
    <w:name w:val="副标题 Char2"/>
    <w:qFormat/>
    <w:uiPriority w:val="11"/>
    <w:rPr>
      <w:rFonts w:hint="default" w:ascii="Cambria" w:hAnsi="Cambria" w:eastAsia="宋体" w:cs="Times New Roman"/>
      <w:b/>
      <w:bCs/>
      <w:kern w:val="28"/>
      <w:sz w:val="32"/>
      <w:szCs w:val="32"/>
    </w:rPr>
  </w:style>
  <w:style w:type="character" w:customStyle="1" w:styleId="494">
    <w:name w:val="javascript"/>
    <w:qFormat/>
    <w:uiPriority w:val="0"/>
    <w:rPr>
      <w:rFonts w:hint="default" w:ascii="Times New Roman" w:hAnsi="Times New Roman" w:eastAsia="宋体" w:cs="Times New Roman"/>
    </w:rPr>
  </w:style>
  <w:style w:type="character" w:customStyle="1" w:styleId="495">
    <w:name w:val="表格居中 Char"/>
    <w:qFormat/>
    <w:uiPriority w:val="0"/>
    <w:rPr>
      <w:rFonts w:hint="eastAsia" w:ascii="宋体" w:hAnsi="Times New Roman" w:eastAsia="宋体" w:cs="Times New Roman"/>
      <w:kern w:val="2"/>
      <w:sz w:val="21"/>
      <w:szCs w:val="21"/>
      <w:lang w:val="en-US" w:eastAsia="zh-CN" w:bidi="ar-SA"/>
    </w:rPr>
  </w:style>
  <w:style w:type="character" w:customStyle="1" w:styleId="496">
    <w:name w:val="页眉 Char"/>
    <w:qFormat/>
    <w:uiPriority w:val="99"/>
    <w:rPr>
      <w:rFonts w:hint="default" w:ascii="Times New Roman" w:hAnsi="Times New Roman" w:eastAsia="宋体" w:cs="Times New Roman"/>
      <w:kern w:val="2"/>
      <w:sz w:val="18"/>
      <w:szCs w:val="18"/>
      <w:lang w:val="en-US" w:eastAsia="zh-CN" w:bidi="ar-SA"/>
    </w:rPr>
  </w:style>
  <w:style w:type="character" w:customStyle="1" w:styleId="497">
    <w:name w:val="正文文本缩进 2 Char1"/>
    <w:semiHidden/>
    <w:qFormat/>
    <w:uiPriority w:val="99"/>
    <w:rPr>
      <w:rFonts w:hint="default" w:ascii="Times New Roman" w:hAnsi="Times New Roman" w:eastAsia="楷体_GB2312" w:cs="Times New Roman"/>
      <w:szCs w:val="20"/>
    </w:rPr>
  </w:style>
  <w:style w:type="character" w:customStyle="1" w:styleId="498">
    <w:name w:val="签名 Char2"/>
    <w:semiHidden/>
    <w:qFormat/>
    <w:uiPriority w:val="99"/>
    <w:rPr>
      <w:rFonts w:hint="default" w:ascii="Times New Roman" w:hAnsi="Times New Roman" w:eastAsia="楷体_GB2312" w:cs="Times New Roman"/>
      <w:szCs w:val="20"/>
    </w:rPr>
  </w:style>
  <w:style w:type="character" w:customStyle="1" w:styleId="499">
    <w:name w:val="copy1"/>
    <w:qFormat/>
    <w:uiPriority w:val="0"/>
    <w:rPr>
      <w:rFonts w:hint="default" w:ascii="Wingdings" w:hAnsi="Wingdings" w:eastAsia="宋体" w:cs="Times New Roman"/>
      <w:sz w:val="16"/>
      <w:szCs w:val="16"/>
    </w:rPr>
  </w:style>
  <w:style w:type="character" w:customStyle="1" w:styleId="500">
    <w:name w:val="标题 3 Char1"/>
    <w:qFormat/>
    <w:uiPriority w:val="0"/>
    <w:rPr>
      <w:rFonts w:hint="default" w:ascii="Times New Roman" w:hAnsi="Times New Roman" w:eastAsia="宋体" w:cs="Times New Roman"/>
      <w:b/>
      <w:color w:val="0000FF"/>
      <w:kern w:val="2"/>
      <w:sz w:val="30"/>
      <w:szCs w:val="24"/>
      <w:lang w:val="en-US" w:eastAsia="zh-CN" w:bidi="ar-SA"/>
    </w:rPr>
  </w:style>
  <w:style w:type="character" w:customStyle="1" w:styleId="501">
    <w:name w:val="框图文字 Char"/>
    <w:qFormat/>
    <w:uiPriority w:val="0"/>
    <w:rPr>
      <w:rFonts w:hint="eastAsia" w:ascii="宋体" w:hAnsi="PMingLiU" w:eastAsia="Calibri" w:cs="Times New Roman"/>
      <w:kern w:val="2"/>
      <w:sz w:val="21"/>
      <w:lang w:val="en-US" w:eastAsia="zh-CN" w:bidi="ar-SA"/>
    </w:rPr>
  </w:style>
  <w:style w:type="character" w:customStyle="1" w:styleId="502">
    <w:name w:val="HTML 预设格式 Char1"/>
    <w:semiHidden/>
    <w:qFormat/>
    <w:uiPriority w:val="99"/>
    <w:rPr>
      <w:rFonts w:hint="default" w:ascii="Courier New" w:hAnsi="Courier New" w:eastAsia="楷体_GB2312" w:cs="Courier New"/>
      <w:sz w:val="20"/>
      <w:szCs w:val="20"/>
    </w:rPr>
  </w:style>
  <w:style w:type="character" w:customStyle="1" w:styleId="503">
    <w:name w:val="正文文本缩进 Char"/>
    <w:qFormat/>
    <w:uiPriority w:val="0"/>
    <w:rPr>
      <w:rFonts w:hint="eastAsia" w:ascii="宋体" w:hAnsi="宋体" w:eastAsia="宋体" w:cs="Times New Roman"/>
      <w:color w:val="000000"/>
      <w:kern w:val="2"/>
      <w:sz w:val="24"/>
      <w:u w:val="single"/>
      <w:lang w:val="en-US" w:eastAsia="zh-CN" w:bidi="ar-SA"/>
    </w:rPr>
  </w:style>
  <w:style w:type="character" w:customStyle="1" w:styleId="504">
    <w:name w:val="正文首行缩进 2 Char1"/>
    <w:qFormat/>
    <w:uiPriority w:val="0"/>
    <w:rPr>
      <w:rFonts w:hint="eastAsia" w:ascii="楷体_GB2312" w:eastAsia="楷体_GB2312"/>
      <w:kern w:val="2"/>
      <w:sz w:val="21"/>
    </w:rPr>
  </w:style>
  <w:style w:type="character" w:customStyle="1" w:styleId="505">
    <w:name w:val="标题 6 Char1"/>
    <w:qFormat/>
    <w:uiPriority w:val="0"/>
    <w:rPr>
      <w:rFonts w:hint="default" w:ascii="Arial" w:hAnsi="Arial" w:eastAsia="ˎ̥" w:cs="Times New Roman"/>
      <w:b/>
      <w:bCs/>
      <w:kern w:val="2"/>
      <w:sz w:val="24"/>
      <w:szCs w:val="24"/>
      <w:lang w:val="en-US" w:eastAsia="zh-CN" w:bidi="ar-SA"/>
    </w:rPr>
  </w:style>
  <w:style w:type="character" w:customStyle="1" w:styleId="506">
    <w:name w:val="标题 1 Char"/>
    <w:qFormat/>
    <w:uiPriority w:val="0"/>
    <w:rPr>
      <w:rFonts w:hint="eastAsia" w:ascii="楷体_GB2312" w:eastAsia="楷体_GB2312"/>
      <w:b/>
      <w:bCs/>
      <w:kern w:val="44"/>
      <w:sz w:val="44"/>
      <w:szCs w:val="44"/>
    </w:rPr>
  </w:style>
  <w:style w:type="character" w:customStyle="1" w:styleId="507">
    <w:name w:val="正文文本 3 Char1"/>
    <w:semiHidden/>
    <w:qFormat/>
    <w:uiPriority w:val="99"/>
    <w:rPr>
      <w:rFonts w:hint="default" w:ascii="Times New Roman" w:hAnsi="Times New Roman" w:eastAsia="楷体_GB2312" w:cs="Times New Roman"/>
      <w:sz w:val="16"/>
      <w:szCs w:val="16"/>
    </w:rPr>
  </w:style>
  <w:style w:type="paragraph" w:customStyle="1" w:styleId="508">
    <w:name w:val="插图"/>
    <w:basedOn w:val="1"/>
    <w:link w:val="509"/>
    <w:qFormat/>
    <w:uiPriority w:val="0"/>
    <w:rPr>
      <w:rFonts w:eastAsia="楷体_GB2312"/>
      <w:szCs w:val="20"/>
    </w:rPr>
  </w:style>
  <w:style w:type="character" w:customStyle="1" w:styleId="509">
    <w:name w:val="插图 Char"/>
    <w:link w:val="508"/>
    <w:qFormat/>
    <w:locked/>
    <w:uiPriority w:val="0"/>
    <w:rPr>
      <w:rFonts w:ascii="Times New Roman" w:hAnsi="Times New Roman" w:eastAsia="楷体_GB2312"/>
      <w:kern w:val="2"/>
      <w:sz w:val="21"/>
    </w:rPr>
  </w:style>
  <w:style w:type="character" w:customStyle="1" w:styleId="510">
    <w:name w:val="尾注文本 Char"/>
    <w:qFormat/>
    <w:uiPriority w:val="0"/>
    <w:rPr>
      <w:rFonts w:hint="default" w:ascii="Times New Roman" w:hAnsi="Times New Roman" w:eastAsia="宋体" w:cs="Times New Roman"/>
      <w:kern w:val="2"/>
      <w:sz w:val="21"/>
      <w:lang w:val="en-US" w:eastAsia="zh-CN" w:bidi="ar-SA"/>
    </w:rPr>
  </w:style>
  <w:style w:type="character" w:customStyle="1" w:styleId="511">
    <w:name w:val="副标题 Char1"/>
    <w:qFormat/>
    <w:uiPriority w:val="11"/>
    <w:rPr>
      <w:rFonts w:hint="default" w:ascii="Cambria" w:hAnsi="Cambria" w:cs="Times New Roman"/>
      <w:b/>
      <w:bCs/>
      <w:kern w:val="28"/>
      <w:sz w:val="32"/>
      <w:szCs w:val="32"/>
    </w:rPr>
  </w:style>
  <w:style w:type="character" w:customStyle="1" w:styleId="512">
    <w:name w:val="尾注文本 Char2"/>
    <w:semiHidden/>
    <w:qFormat/>
    <w:uiPriority w:val="99"/>
    <w:rPr>
      <w:rFonts w:hint="eastAsia" w:ascii="楷体_GB2312" w:eastAsia="楷体_GB2312"/>
      <w:kern w:val="2"/>
      <w:sz w:val="21"/>
    </w:rPr>
  </w:style>
  <w:style w:type="character" w:customStyle="1" w:styleId="513">
    <w:name w:val="批注框文本 Char1"/>
    <w:semiHidden/>
    <w:qFormat/>
    <w:uiPriority w:val="99"/>
    <w:rPr>
      <w:rFonts w:hint="default" w:ascii="Times New Roman" w:hAnsi="Times New Roman" w:eastAsia="楷体_GB2312" w:cs="Times New Roman"/>
      <w:sz w:val="18"/>
      <w:szCs w:val="18"/>
    </w:rPr>
  </w:style>
  <w:style w:type="character" w:customStyle="1" w:styleId="514">
    <w:name w:val="font51"/>
    <w:qFormat/>
    <w:uiPriority w:val="0"/>
    <w:rPr>
      <w:rFonts w:hint="eastAsia" w:ascii="宋体" w:hAnsi="宋体" w:eastAsia="宋体" w:cs="宋体"/>
      <w:color w:val="000000"/>
      <w:sz w:val="24"/>
      <w:szCs w:val="24"/>
      <w:u w:val="none"/>
    </w:rPr>
  </w:style>
  <w:style w:type="character" w:customStyle="1" w:styleId="51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516">
    <w:name w:val="宏文本 Char1"/>
    <w:semiHidden/>
    <w:qFormat/>
    <w:uiPriority w:val="99"/>
    <w:rPr>
      <w:rFonts w:hint="default" w:ascii="Courier New" w:hAnsi="Courier New" w:cs="Courier New"/>
      <w:kern w:val="2"/>
      <w:sz w:val="24"/>
      <w:szCs w:val="24"/>
    </w:rPr>
  </w:style>
  <w:style w:type="character" w:customStyle="1" w:styleId="517">
    <w:name w:val="样式 Char Char"/>
    <w:qFormat/>
    <w:uiPriority w:val="0"/>
    <w:rPr>
      <w:rFonts w:hint="default" w:ascii="Times New Roman" w:hAnsi="Times New Roman" w:eastAsia="宋体" w:cs="Times New Roman"/>
    </w:rPr>
  </w:style>
  <w:style w:type="character" w:customStyle="1" w:styleId="518">
    <w:name w:val="font91"/>
    <w:qFormat/>
    <w:uiPriority w:val="0"/>
    <w:rPr>
      <w:rFonts w:hint="eastAsia" w:ascii="宋体" w:hAnsi="宋体" w:eastAsia="宋体" w:cs="宋体"/>
      <w:b/>
      <w:color w:val="000000"/>
      <w:sz w:val="28"/>
      <w:szCs w:val="28"/>
      <w:u w:val="none"/>
    </w:rPr>
  </w:style>
  <w:style w:type="character" w:customStyle="1" w:styleId="519">
    <w:name w:val="纯文本 Char Char Char Char"/>
    <w:qFormat/>
    <w:uiPriority w:val="0"/>
    <w:rPr>
      <w:rFonts w:hint="eastAsia" w:ascii="宋体" w:hAnsi="Courier New" w:eastAsia="宋体" w:cs="Times New Roman"/>
      <w:kern w:val="2"/>
      <w:sz w:val="21"/>
      <w:lang w:val="en-US" w:eastAsia="zh-CN" w:bidi="ar-SA"/>
    </w:rPr>
  </w:style>
  <w:style w:type="character" w:customStyle="1" w:styleId="520">
    <w:name w:val="日期 Char1"/>
    <w:semiHidden/>
    <w:qFormat/>
    <w:uiPriority w:val="99"/>
    <w:rPr>
      <w:rFonts w:hint="default" w:ascii="Times New Roman" w:hAnsi="Times New Roman" w:eastAsia="楷体_GB2312" w:cs="Times New Roman"/>
      <w:szCs w:val="20"/>
    </w:rPr>
  </w:style>
  <w:style w:type="character" w:customStyle="1" w:styleId="521">
    <w:name w:val="Normal Indent Char"/>
    <w:qFormat/>
    <w:locked/>
    <w:uiPriority w:val="0"/>
    <w:rPr>
      <w:kern w:val="2"/>
      <w:sz w:val="21"/>
    </w:rPr>
  </w:style>
  <w:style w:type="character" w:customStyle="1" w:styleId="522">
    <w:name w:val="结束语 Char1"/>
    <w:semiHidden/>
    <w:qFormat/>
    <w:uiPriority w:val="99"/>
    <w:rPr>
      <w:rFonts w:hint="eastAsia" w:ascii="楷体_GB2312" w:eastAsia="楷体_GB2312"/>
      <w:kern w:val="2"/>
      <w:sz w:val="21"/>
    </w:rPr>
  </w:style>
  <w:style w:type="character" w:customStyle="1" w:styleId="523">
    <w:name w:val="标题 Char1"/>
    <w:qFormat/>
    <w:uiPriority w:val="0"/>
    <w:rPr>
      <w:rFonts w:hint="default" w:ascii="Arial" w:hAnsi="Arial" w:eastAsia="宋体" w:cs="Times New Roman"/>
      <w:b/>
      <w:kern w:val="2"/>
      <w:sz w:val="44"/>
      <w:lang w:val="en-US" w:eastAsia="zh-CN" w:bidi="ar-SA"/>
    </w:rPr>
  </w:style>
  <w:style w:type="character" w:customStyle="1" w:styleId="524">
    <w:name w:val="font41"/>
    <w:qFormat/>
    <w:uiPriority w:val="0"/>
    <w:rPr>
      <w:rFonts w:hint="eastAsia" w:ascii="宋体" w:hAnsi="宋体" w:eastAsia="宋体" w:cs="宋体"/>
      <w:color w:val="FF0000"/>
      <w:sz w:val="24"/>
      <w:szCs w:val="24"/>
      <w:u w:val="none"/>
    </w:rPr>
  </w:style>
  <w:style w:type="character" w:customStyle="1" w:styleId="525">
    <w:name w:val="yxInternal"/>
    <w:qFormat/>
    <w:uiPriority w:val="0"/>
    <w:rPr>
      <w:rFonts w:hint="eastAsia" w:ascii="PMingLiU" w:hAnsi="PMingLiU" w:eastAsia="宋体" w:cs="Times New Roman"/>
      <w:color w:val="FF0000"/>
    </w:rPr>
  </w:style>
  <w:style w:type="character" w:customStyle="1" w:styleId="526">
    <w:name w:val="标题 1 Char1"/>
    <w:qFormat/>
    <w:uiPriority w:val="0"/>
    <w:rPr>
      <w:rFonts w:hint="default" w:ascii="Arial" w:hAnsi="Arial" w:eastAsia="宋体" w:cs="Times New Roman"/>
      <w:b/>
      <w:bCs/>
      <w:kern w:val="44"/>
      <w:sz w:val="36"/>
      <w:szCs w:val="36"/>
      <w:lang w:val="en-US" w:eastAsia="zh-CN" w:bidi="ar-SA"/>
    </w:rPr>
  </w:style>
  <w:style w:type="character" w:customStyle="1" w:styleId="527">
    <w:name w:val="font31"/>
    <w:qFormat/>
    <w:uiPriority w:val="0"/>
    <w:rPr>
      <w:rFonts w:hint="eastAsia" w:ascii="宋体" w:hAnsi="宋体" w:eastAsia="宋体" w:cs="宋体"/>
      <w:color w:val="000000"/>
      <w:sz w:val="24"/>
      <w:szCs w:val="24"/>
      <w:u w:val="none"/>
    </w:rPr>
  </w:style>
  <w:style w:type="character" w:customStyle="1" w:styleId="528">
    <w:name w:val="正文文本 2 Char1"/>
    <w:semiHidden/>
    <w:qFormat/>
    <w:uiPriority w:val="99"/>
    <w:rPr>
      <w:rFonts w:hint="default" w:ascii="Times New Roman" w:hAnsi="Times New Roman" w:eastAsia="楷体_GB2312" w:cs="Times New Roman"/>
      <w:szCs w:val="20"/>
    </w:rPr>
  </w:style>
  <w:style w:type="character" w:customStyle="1" w:styleId="529">
    <w:name w:val="menuword"/>
    <w:qFormat/>
    <w:uiPriority w:val="0"/>
    <w:rPr>
      <w:rFonts w:hint="default" w:ascii="Times New Roman" w:hAnsi="Times New Roman" w:eastAsia="宋体" w:cs="Times New Roman"/>
    </w:rPr>
  </w:style>
  <w:style w:type="character" w:customStyle="1" w:styleId="530">
    <w:name w:val="正文文本缩进 Char1"/>
    <w:qFormat/>
    <w:uiPriority w:val="0"/>
    <w:rPr>
      <w:rFonts w:hint="default" w:ascii="Times New Roman" w:hAnsi="Times New Roman" w:eastAsia="宋体" w:cs="Times New Roman"/>
      <w:kern w:val="2"/>
      <w:sz w:val="28"/>
      <w:lang w:val="en-US" w:eastAsia="zh-CN" w:bidi="ar-SA"/>
    </w:rPr>
  </w:style>
  <w:style w:type="paragraph" w:customStyle="1" w:styleId="531">
    <w:name w:val="发文落款"/>
    <w:basedOn w:val="282"/>
    <w:qFormat/>
    <w:uiPriority w:val="0"/>
    <w:pPr>
      <w:ind w:left="4094" w:right="607" w:firstLine="0"/>
      <w:jc w:val="center"/>
    </w:pPr>
    <w:rPr>
      <w:rFonts w:ascii="Times New Roman" w:hAnsi="Times New Roman" w:eastAsia="宋体"/>
    </w:rPr>
  </w:style>
  <w:style w:type="paragraph" w:customStyle="1" w:styleId="532">
    <w:name w:val="四级条标题"/>
    <w:basedOn w:val="323"/>
    <w:next w:val="1"/>
    <w:qFormat/>
    <w:uiPriority w:val="0"/>
    <w:pPr>
      <w:tabs>
        <w:tab w:val="left" w:pos="2520"/>
        <w:tab w:val="left" w:pos="3566"/>
      </w:tabs>
      <w:ind w:left="3260" w:hanging="1134"/>
      <w:outlineLvl w:val="5"/>
    </w:pPr>
  </w:style>
  <w:style w:type="paragraph" w:customStyle="1" w:styleId="533">
    <w:name w:val="五级条标题"/>
    <w:basedOn w:val="532"/>
    <w:next w:val="1"/>
    <w:qFormat/>
    <w:uiPriority w:val="0"/>
    <w:pPr>
      <w:tabs>
        <w:tab w:val="left" w:pos="2940"/>
        <w:tab w:val="left" w:pos="3991"/>
      </w:tabs>
      <w:ind w:left="3827" w:hanging="1276"/>
      <w:outlineLvl w:val="6"/>
    </w:pPr>
  </w:style>
  <w:style w:type="paragraph" w:customStyle="1" w:styleId="534">
    <w:name w:val="表2"/>
    <w:basedOn w:val="242"/>
    <w:qFormat/>
    <w:uiPriority w:val="0"/>
    <w:pPr>
      <w:spacing w:before="100" w:beforeAutospacing="1" w:after="100" w:afterAutospacing="1" w:line="240" w:lineRule="auto"/>
      <w:jc w:val="left"/>
    </w:pPr>
    <w:rPr>
      <w:rFonts w:eastAsia="宋体"/>
      <w:sz w:val="21"/>
    </w:rPr>
  </w:style>
  <w:style w:type="paragraph" w:customStyle="1" w:styleId="535">
    <w:name w:val="m2"/>
    <w:basedOn w:val="298"/>
    <w:qFormat/>
    <w:uiPriority w:val="0"/>
    <w:pPr>
      <w:spacing w:line="400" w:lineRule="atLeast"/>
    </w:pPr>
    <w:rPr>
      <w:rFonts w:eastAsia="宋体"/>
      <w:b/>
    </w:rPr>
  </w:style>
  <w:style w:type="paragraph" w:customStyle="1" w:styleId="536">
    <w:name w:val="样式 样式 样式 标题 1章-C + 非加粗 自动设置 + 居中 + 小初"/>
    <w:basedOn w:val="244"/>
    <w:qFormat/>
    <w:uiPriority w:val="0"/>
    <w:pPr>
      <w:spacing w:line="240" w:lineRule="auto"/>
    </w:pPr>
    <w:rPr>
      <w:rFonts w:cs="Times New Roman"/>
      <w:sz w:val="72"/>
    </w:rPr>
  </w:style>
  <w:style w:type="character" w:customStyle="1" w:styleId="537">
    <w:name w:val="纯文本 Char"/>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19112-0DE6-44EE-A637-7DCBBF1C251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200</Pages>
  <Words>26295</Words>
  <Characters>149886</Characters>
  <Lines>1249</Lines>
  <Paragraphs>351</Paragraphs>
  <TotalTime>104</TotalTime>
  <ScaleCrop>false</ScaleCrop>
  <LinksUpToDate>false</LinksUpToDate>
  <CharactersWithSpaces>175830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2023-04-23T06:03:00Z</dcterms:created>
  <dc:creator>a</dc:creator>
  <cp:lastModifiedBy>1</cp:lastModifiedBy>
  <cp:lastPrinted>2023-04-23T06:12:00Z</cp:lastPrinted>
  <dcterms:modified xsi:type="dcterms:W3CDTF">2023-07-10T03:02:36Z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208CBFAC7D024F7AA471850EA6480C83_12</vt:lpwstr>
  </property>
</Properties>
</file>