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0" w:rightFromText="180" w:vertAnchor="page" w:horzAnchor="page" w:tblpX="1320" w:tblpY="2043"/>
        <w:tblOverlap w:val="never"/>
        <w:tblW w:w="0" w:type="auto"/>
        <w:tblInd w:w="0" w:type="dxa"/>
        <w:tblBorders>
          <w:top w:val="double" w:color="000000" w:sz="2" w:space="0"/>
          <w:left w:val="double" w:color="000000" w:sz="2" w:space="0"/>
          <w:bottom w:val="double" w:color="000000" w:sz="2" w:space="0"/>
          <w:right w:val="double" w:color="000000" w:sz="2" w:space="0"/>
          <w:insideH w:val="double" w:color="000000" w:sz="2" w:space="0"/>
          <w:insideV w:val="double" w:color="000000" w:sz="2" w:space="0"/>
        </w:tblBorders>
        <w:tblLayout w:type="fixed"/>
        <w:tblCellMar>
          <w:top w:w="0" w:type="dxa"/>
          <w:left w:w="0" w:type="dxa"/>
          <w:bottom w:w="0" w:type="dxa"/>
          <w:right w:w="0" w:type="dxa"/>
        </w:tblCellMar>
      </w:tblPr>
      <w:tblGrid>
        <w:gridCol w:w="2104"/>
        <w:gridCol w:w="343"/>
        <w:gridCol w:w="2879"/>
        <w:gridCol w:w="1266"/>
        <w:gridCol w:w="534"/>
        <w:gridCol w:w="733"/>
        <w:gridCol w:w="1616"/>
      </w:tblGrid>
      <w:tr>
        <w:tblPrEx>
          <w:tblBorders>
            <w:top w:val="double" w:color="000000" w:sz="2" w:space="0"/>
            <w:left w:val="double" w:color="000000" w:sz="2" w:space="0"/>
            <w:bottom w:val="double" w:color="000000" w:sz="2" w:space="0"/>
            <w:right w:val="double" w:color="000000" w:sz="2" w:space="0"/>
            <w:insideH w:val="double" w:color="000000" w:sz="2" w:space="0"/>
            <w:insideV w:val="double" w:color="000000" w:sz="2" w:space="0"/>
          </w:tblBorders>
          <w:tblCellMar>
            <w:top w:w="0" w:type="dxa"/>
            <w:left w:w="0" w:type="dxa"/>
            <w:bottom w:w="0" w:type="dxa"/>
            <w:right w:w="0" w:type="dxa"/>
          </w:tblCellMar>
        </w:tblPrEx>
        <w:trPr>
          <w:trHeight w:val="1245" w:hRule="atLeast"/>
        </w:trPr>
        <w:tc>
          <w:tcPr>
            <w:tcW w:w="2447" w:type="dxa"/>
            <w:gridSpan w:val="2"/>
            <w:tcBorders>
              <w:bottom w:val="single" w:color="000000" w:sz="4" w:space="0"/>
              <w:right w:val="single" w:color="000000" w:sz="4" w:space="0"/>
            </w:tcBorders>
          </w:tcPr>
          <w:p>
            <w:pPr>
              <w:pStyle w:val="14"/>
              <w:rPr>
                <w:rFonts w:ascii="Times New Roman"/>
                <w:sz w:val="24"/>
              </w:rPr>
            </w:pPr>
          </w:p>
          <w:p>
            <w:pPr>
              <w:pStyle w:val="14"/>
              <w:ind w:left="103"/>
              <w:rPr>
                <w:rFonts w:hint="eastAsia" w:ascii="Times New Roman" w:eastAsia="宋体"/>
                <w:sz w:val="20"/>
                <w:lang w:eastAsia="zh-CN"/>
              </w:rPr>
            </w:pPr>
            <w:r>
              <w:rPr>
                <w:rFonts w:hint="eastAsia" w:ascii="Times New Roman" w:eastAsia="宋体"/>
                <w:sz w:val="20"/>
                <w:lang w:eastAsia="zh-CN"/>
              </w:rPr>
              <w:drawing>
                <wp:inline distT="0" distB="0" distL="114300" distR="114300">
                  <wp:extent cx="1410970" cy="385445"/>
                  <wp:effectExtent l="0" t="0" r="11430" b="8255"/>
                  <wp:docPr id="2" name="图片 2" descr="e1edaf0fd1320537cc80541445c1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e1edaf0fd1320537cc80541445c1772"/>
                          <pic:cNvPicPr>
                            <a:picLocks noChangeAspect="1"/>
                          </pic:cNvPicPr>
                        </pic:nvPicPr>
                        <pic:blipFill>
                          <a:blip r:embed="rId7"/>
                          <a:stretch>
                            <a:fillRect/>
                          </a:stretch>
                        </pic:blipFill>
                        <pic:spPr>
                          <a:xfrm>
                            <a:off x="0" y="0"/>
                            <a:ext cx="1410970" cy="385445"/>
                          </a:xfrm>
                          <a:prstGeom prst="rect">
                            <a:avLst/>
                          </a:prstGeom>
                        </pic:spPr>
                      </pic:pic>
                    </a:graphicData>
                  </a:graphic>
                </wp:inline>
              </w:drawing>
            </w:r>
          </w:p>
        </w:tc>
        <w:tc>
          <w:tcPr>
            <w:tcW w:w="4679" w:type="dxa"/>
            <w:gridSpan w:val="3"/>
            <w:tcBorders>
              <w:left w:val="single" w:color="000000" w:sz="4" w:space="0"/>
              <w:bottom w:val="single" w:color="000000" w:sz="4" w:space="0"/>
              <w:right w:val="single" w:color="000000" w:sz="4" w:space="0"/>
            </w:tcBorders>
          </w:tcPr>
          <w:p>
            <w:pPr>
              <w:pStyle w:val="14"/>
              <w:spacing w:before="10"/>
              <w:rPr>
                <w:rFonts w:ascii="Times New Roman"/>
                <w:sz w:val="22"/>
              </w:rPr>
            </w:pPr>
          </w:p>
          <w:p>
            <w:pPr>
              <w:pStyle w:val="14"/>
              <w:spacing w:before="1" w:line="242" w:lineRule="auto"/>
              <w:ind w:left="1501" w:right="924" w:hanging="560"/>
              <w:jc w:val="both"/>
              <w:rPr>
                <w:rFonts w:hint="eastAsia" w:ascii="黑体" w:eastAsia="黑体"/>
                <w:sz w:val="28"/>
              </w:rPr>
            </w:pPr>
            <w:r>
              <w:rPr>
                <w:rFonts w:hint="eastAsia" w:ascii="黑体" w:eastAsia="黑体"/>
                <w:sz w:val="28"/>
                <w:lang w:eastAsia="zh-CN"/>
              </w:rPr>
              <w:t>国贸地产广州公司</w:t>
            </w:r>
            <w:r>
              <w:rPr>
                <w:rFonts w:hint="eastAsia" w:ascii="黑体" w:eastAsia="黑体"/>
                <w:sz w:val="28"/>
              </w:rPr>
              <w:t>制度体系文件</w:t>
            </w:r>
          </w:p>
        </w:tc>
        <w:tc>
          <w:tcPr>
            <w:tcW w:w="2349" w:type="dxa"/>
            <w:gridSpan w:val="2"/>
            <w:tcBorders>
              <w:left w:val="single" w:color="000000" w:sz="4" w:space="0"/>
              <w:bottom w:val="single" w:color="000000" w:sz="4" w:space="0"/>
            </w:tcBorders>
          </w:tcPr>
          <w:p>
            <w:pPr>
              <w:pStyle w:val="14"/>
              <w:rPr>
                <w:rFonts w:ascii="Times New Roman"/>
                <w:sz w:val="20"/>
              </w:rPr>
            </w:pPr>
          </w:p>
          <w:p>
            <w:pPr>
              <w:pStyle w:val="14"/>
              <w:spacing w:before="8"/>
              <w:rPr>
                <w:rFonts w:ascii="Times New Roman"/>
                <w:sz w:val="26"/>
              </w:rPr>
            </w:pPr>
          </w:p>
          <w:p>
            <w:pPr>
              <w:pStyle w:val="14"/>
              <w:spacing w:before="1"/>
              <w:ind w:left="110"/>
              <w:rPr>
                <w:rFonts w:hint="eastAsia" w:eastAsia="宋体"/>
                <w:sz w:val="21"/>
                <w:lang w:val="en-US" w:eastAsia="zh-CN"/>
              </w:rPr>
            </w:pPr>
            <w:r>
              <w:rPr>
                <w:rFonts w:hint="eastAsia"/>
                <w:sz w:val="21"/>
                <w:lang w:val="en-US" w:eastAsia="zh-CN"/>
              </w:rPr>
              <w:t>GMDC</w:t>
            </w:r>
            <w:r>
              <w:rPr>
                <w:sz w:val="21"/>
              </w:rPr>
              <w:t>-</w:t>
            </w:r>
            <w:r>
              <w:rPr>
                <w:rFonts w:hint="eastAsia"/>
                <w:sz w:val="21"/>
                <w:lang w:val="en-US" w:eastAsia="zh-CN"/>
              </w:rPr>
              <w:t>GZ</w:t>
            </w:r>
            <w:r>
              <w:rPr>
                <w:sz w:val="21"/>
              </w:rPr>
              <w:t>-</w:t>
            </w:r>
            <w:r>
              <w:rPr>
                <w:rFonts w:hint="eastAsia"/>
                <w:sz w:val="21"/>
                <w:lang w:val="en-US" w:eastAsia="zh-CN"/>
              </w:rPr>
              <w:t>GC</w:t>
            </w:r>
            <w:r>
              <w:rPr>
                <w:sz w:val="21"/>
              </w:rPr>
              <w:t>-202</w:t>
            </w:r>
            <w:r>
              <w:rPr>
                <w:rFonts w:hint="eastAsia"/>
                <w:sz w:val="21"/>
                <w:lang w:val="en-US" w:eastAsia="zh-CN"/>
              </w:rPr>
              <w:t>2</w:t>
            </w:r>
            <w:r>
              <w:rPr>
                <w:sz w:val="21"/>
              </w:rPr>
              <w:t>-00</w:t>
            </w:r>
            <w:r>
              <w:rPr>
                <w:rFonts w:hint="eastAsia"/>
                <w:sz w:val="21"/>
                <w:lang w:val="en-US" w:eastAsia="zh-CN"/>
              </w:rPr>
              <w:t>7</w:t>
            </w:r>
          </w:p>
        </w:tc>
      </w:tr>
      <w:tr>
        <w:tblPrEx>
          <w:tblBorders>
            <w:top w:val="double" w:color="000000" w:sz="2" w:space="0"/>
            <w:left w:val="double" w:color="000000" w:sz="2" w:space="0"/>
            <w:bottom w:val="double" w:color="000000" w:sz="2" w:space="0"/>
            <w:right w:val="double" w:color="000000" w:sz="2" w:space="0"/>
            <w:insideH w:val="double" w:color="000000" w:sz="2" w:space="0"/>
            <w:insideV w:val="double" w:color="000000" w:sz="2" w:space="0"/>
          </w:tblBorders>
          <w:tblCellMar>
            <w:top w:w="0" w:type="dxa"/>
            <w:left w:w="0" w:type="dxa"/>
            <w:bottom w:w="0" w:type="dxa"/>
            <w:right w:w="0" w:type="dxa"/>
          </w:tblCellMar>
        </w:tblPrEx>
        <w:trPr>
          <w:trHeight w:val="8124" w:hRule="atLeast"/>
        </w:trPr>
        <w:tc>
          <w:tcPr>
            <w:tcW w:w="9475" w:type="dxa"/>
            <w:gridSpan w:val="7"/>
            <w:tcBorders>
              <w:top w:val="single" w:color="000000" w:sz="4" w:space="0"/>
            </w:tcBorders>
          </w:tcPr>
          <w:p>
            <w:pPr>
              <w:pStyle w:val="14"/>
              <w:rPr>
                <w:rFonts w:ascii="Times New Roman"/>
                <w:sz w:val="52"/>
              </w:rPr>
            </w:pPr>
          </w:p>
          <w:p>
            <w:pPr>
              <w:pStyle w:val="14"/>
              <w:rPr>
                <w:rFonts w:ascii="Times New Roman"/>
                <w:sz w:val="52"/>
              </w:rPr>
            </w:pPr>
          </w:p>
          <w:p>
            <w:pPr>
              <w:pStyle w:val="14"/>
              <w:spacing w:before="322" w:line="364" w:lineRule="auto"/>
              <w:ind w:left="3162" w:right="2105" w:hanging="1042"/>
              <w:jc w:val="center"/>
              <w:rPr>
                <w:rFonts w:hint="eastAsia" w:ascii="黑体" w:eastAsia="黑体"/>
                <w:sz w:val="52"/>
                <w:lang w:eastAsia="zh-CN"/>
              </w:rPr>
            </w:pPr>
            <w:r>
              <w:rPr>
                <w:rFonts w:hint="eastAsia" w:ascii="黑体" w:eastAsia="黑体"/>
                <w:sz w:val="52"/>
                <w:lang w:eastAsia="zh-CN"/>
              </w:rPr>
              <w:t>国贸地产广州公司</w:t>
            </w:r>
          </w:p>
          <w:p>
            <w:pPr>
              <w:pStyle w:val="14"/>
              <w:jc w:val="center"/>
              <w:rPr>
                <w:rFonts w:ascii="Times New Roman"/>
                <w:sz w:val="52"/>
              </w:rPr>
            </w:pPr>
            <w:r>
              <w:rPr>
                <w:rFonts w:hint="eastAsia" w:ascii="黑体" w:eastAsia="黑体"/>
                <w:sz w:val="52"/>
                <w:lang w:val="en-US" w:eastAsia="zh-CN"/>
              </w:rPr>
              <w:t>工程材料第三方飞检管理办法</w:t>
            </w:r>
          </w:p>
          <w:p>
            <w:pPr>
              <w:pStyle w:val="14"/>
              <w:jc w:val="center"/>
              <w:rPr>
                <w:rFonts w:ascii="Times New Roman"/>
                <w:sz w:val="52"/>
              </w:rPr>
            </w:pPr>
          </w:p>
          <w:p>
            <w:pPr>
              <w:pStyle w:val="14"/>
              <w:rPr>
                <w:rFonts w:ascii="Times New Roman"/>
                <w:sz w:val="52"/>
              </w:rPr>
            </w:pPr>
          </w:p>
          <w:p>
            <w:pPr>
              <w:pStyle w:val="14"/>
              <w:rPr>
                <w:rFonts w:ascii="Times New Roman"/>
                <w:sz w:val="52"/>
              </w:rPr>
            </w:pPr>
          </w:p>
          <w:p>
            <w:pPr>
              <w:pStyle w:val="14"/>
              <w:tabs>
                <w:tab w:val="left" w:pos="2195"/>
                <w:tab w:val="left" w:pos="5457"/>
                <w:tab w:val="left" w:pos="6438"/>
              </w:tabs>
              <w:spacing w:before="466" w:after="64"/>
              <w:ind w:left="827"/>
              <w:rPr>
                <w:rFonts w:hint="default" w:eastAsia="宋体"/>
                <w:sz w:val="21"/>
                <w:lang w:val="en-US" w:eastAsia="zh-CN"/>
              </w:rPr>
            </w:pPr>
            <w:r>
              <w:rPr>
                <w:rFonts w:hint="eastAsia" w:ascii="黑体" w:eastAsia="黑体"/>
                <w:sz w:val="21"/>
              </w:rPr>
              <w:t>编订部门：</w:t>
            </w:r>
            <w:r>
              <w:rPr>
                <w:rFonts w:hint="eastAsia" w:ascii="黑体" w:eastAsia="黑体"/>
                <w:sz w:val="21"/>
              </w:rPr>
              <w:tab/>
            </w:r>
            <w:r>
              <w:rPr>
                <w:sz w:val="21"/>
              </w:rPr>
              <w:t>成本部</w:t>
            </w:r>
            <w:r>
              <w:rPr>
                <w:sz w:val="21"/>
              </w:rPr>
              <w:tab/>
            </w:r>
            <w:r>
              <w:rPr>
                <w:rFonts w:hint="eastAsia" w:ascii="黑体" w:eastAsia="黑体"/>
                <w:sz w:val="21"/>
              </w:rPr>
              <w:t>日期：</w:t>
            </w:r>
            <w:r>
              <w:rPr>
                <w:rFonts w:hint="eastAsia" w:ascii="黑体" w:eastAsia="黑体"/>
                <w:sz w:val="21"/>
              </w:rPr>
              <w:tab/>
            </w:r>
            <w:r>
              <w:rPr>
                <w:sz w:val="21"/>
              </w:rPr>
              <w:t>202</w:t>
            </w:r>
            <w:r>
              <w:rPr>
                <w:rFonts w:hint="eastAsia"/>
                <w:sz w:val="21"/>
                <w:lang w:val="en-US" w:eastAsia="zh-CN"/>
              </w:rPr>
              <w:t>2</w:t>
            </w:r>
            <w:r>
              <w:rPr>
                <w:sz w:val="21"/>
              </w:rPr>
              <w:t>.0</w:t>
            </w:r>
            <w:r>
              <w:rPr>
                <w:rFonts w:hint="eastAsia"/>
                <w:sz w:val="21"/>
                <w:lang w:val="en-US" w:eastAsia="zh-CN"/>
              </w:rPr>
              <w:t>6</w:t>
            </w:r>
            <w:r>
              <w:rPr>
                <w:sz w:val="21"/>
              </w:rPr>
              <w:t>.</w:t>
            </w:r>
            <w:r>
              <w:rPr>
                <w:rFonts w:hint="eastAsia"/>
                <w:sz w:val="21"/>
                <w:lang w:val="en-US" w:eastAsia="zh-CN"/>
              </w:rPr>
              <w:t>30</w:t>
            </w:r>
          </w:p>
          <w:p>
            <w:pPr>
              <w:pStyle w:val="14"/>
              <w:tabs>
                <w:tab w:val="left" w:pos="6324"/>
              </w:tabs>
              <w:spacing w:line="20" w:lineRule="exact"/>
              <w:ind w:left="2083"/>
              <w:rPr>
                <w:rFonts w:ascii="Times New Roman"/>
                <w:sz w:val="2"/>
              </w:rPr>
            </w:pPr>
            <w:r>
              <w:rPr>
                <w:rFonts w:ascii="Times New Roman"/>
                <w:sz w:val="2"/>
              </w:rPr>
              <mc:AlternateContent>
                <mc:Choice Requires="wpg">
                  <w:drawing>
                    <wp:inline distT="0" distB="0" distL="114300" distR="114300">
                      <wp:extent cx="2070100" cy="6350"/>
                      <wp:effectExtent l="0" t="0" r="0" b="0"/>
                      <wp:docPr id="251" name="组合 973"/>
                      <wp:cNvGraphicFramePr/>
                      <a:graphic xmlns:a="http://schemas.openxmlformats.org/drawingml/2006/main">
                        <a:graphicData uri="http://schemas.microsoft.com/office/word/2010/wordprocessingGroup">
                          <wpg:wgp>
                            <wpg:cNvGrpSpPr/>
                            <wpg:grpSpPr>
                              <a:xfrm>
                                <a:off x="0" y="0"/>
                                <a:ext cx="2070100" cy="6350"/>
                                <a:chOff x="0" y="0"/>
                                <a:chExt cx="3260" cy="10"/>
                              </a:xfrm>
                            </wpg:grpSpPr>
                            <wps:wsp>
                              <wps:cNvPr id="250" name="直线 974"/>
                              <wps:cNvCnPr/>
                              <wps:spPr>
                                <a:xfrm>
                                  <a:off x="0" y="5"/>
                                  <a:ext cx="3260" cy="0"/>
                                </a:xfrm>
                                <a:prstGeom prst="line">
                                  <a:avLst/>
                                </a:prstGeom>
                                <a:ln w="6096" cap="flat" cmpd="sng">
                                  <a:solidFill>
                                    <a:srgbClr val="000000"/>
                                  </a:solidFill>
                                  <a:prstDash val="solid"/>
                                  <a:headEnd type="none" w="med" len="med"/>
                                  <a:tailEnd type="none" w="med" len="med"/>
                                </a:ln>
                              </wps:spPr>
                              <wps:bodyPr upright="1"/>
                            </wps:wsp>
                          </wpg:wgp>
                        </a:graphicData>
                      </a:graphic>
                    </wp:inline>
                  </w:drawing>
                </mc:Choice>
                <mc:Fallback>
                  <w:pict>
                    <v:group id="组合 973" o:spid="_x0000_s1026" o:spt="203" style="height:0.5pt;width:163pt;" coordsize="3260,10" o:gfxdata="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5OjumdMAAAADAQAADwAAAAAAAAAB&#10;ACAAAAAiAAAAZHJzL2Rvd25yZXYueG1sUEsBAhQAFAAAAAgAh07iQFZN3CFOAgAABgUAAA4AAAAA&#10;AAAAAQAgAAAAIgEAAGRycy9lMm9Eb2MueG1sUEsFBgAAAAAGAAYAWQEAAOIFAAAAAA==&#10;">
                      <o:lock v:ext="edit" aspectratio="f"/>
                      <v:line id="直线 974" o:spid="_x0000_s1026" o:spt="20" style="position:absolute;left:0;top:5;height:0;width:3260;" filled="f" stroked="t" coordsize="21600,21600" o:gfxdata="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s+2GLsAAADc&#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w10:wrap type="none"/>
                      <w10:anchorlock/>
                    </v:group>
                  </w:pict>
                </mc:Fallback>
              </mc:AlternateContent>
            </w:r>
            <w:r>
              <w:rPr>
                <w:rFonts w:ascii="Times New Roman"/>
                <w:sz w:val="2"/>
              </w:rPr>
              <w:tab/>
            </w:r>
            <w:r>
              <w:rPr>
                <w:rFonts w:ascii="Times New Roman"/>
                <w:sz w:val="2"/>
              </w:rPr>
              <mc:AlternateContent>
                <mc:Choice Requires="wpg">
                  <w:drawing>
                    <wp:inline distT="0" distB="0" distL="114300" distR="114300">
                      <wp:extent cx="1080135" cy="6350"/>
                      <wp:effectExtent l="0" t="0" r="0" b="0"/>
                      <wp:docPr id="253" name="组合 975"/>
                      <wp:cNvGraphicFramePr/>
                      <a:graphic xmlns:a="http://schemas.openxmlformats.org/drawingml/2006/main">
                        <a:graphicData uri="http://schemas.microsoft.com/office/word/2010/wordprocessingGroup">
                          <wpg:wgp>
                            <wpg:cNvGrpSpPr/>
                            <wpg:grpSpPr>
                              <a:xfrm>
                                <a:off x="0" y="0"/>
                                <a:ext cx="1080135" cy="6350"/>
                                <a:chOff x="0" y="0"/>
                                <a:chExt cx="1701" cy="10"/>
                              </a:xfrm>
                            </wpg:grpSpPr>
                            <wps:wsp>
                              <wps:cNvPr id="252" name="直线 976"/>
                              <wps:cNvCnPr/>
                              <wps:spPr>
                                <a:xfrm>
                                  <a:off x="0" y="5"/>
                                  <a:ext cx="1701" cy="0"/>
                                </a:xfrm>
                                <a:prstGeom prst="line">
                                  <a:avLst/>
                                </a:prstGeom>
                                <a:ln w="6096" cap="flat" cmpd="sng">
                                  <a:solidFill>
                                    <a:srgbClr val="000000"/>
                                  </a:solidFill>
                                  <a:prstDash val="solid"/>
                                  <a:headEnd type="none" w="med" len="med"/>
                                  <a:tailEnd type="none" w="med" len="med"/>
                                </a:ln>
                              </wps:spPr>
                              <wps:bodyPr upright="1"/>
                            </wps:wsp>
                          </wpg:wgp>
                        </a:graphicData>
                      </a:graphic>
                    </wp:inline>
                  </w:drawing>
                </mc:Choice>
                <mc:Fallback>
                  <w:pict>
                    <v:group id="组合 975" o:spid="_x0000_s1026" o:spt="203" style="height:0.5pt;width:85.05pt;" coordsize="1701,10" o:gfxdata="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lajHA9MAAAADAQAADwAAAAAAAAAB&#10;ACAAAAAiAAAAZHJzL2Rvd25yZXYueG1sUEsBAhQAFAAAAAgAh07iQOhNIQtOAgAABgUAAA4AAAAA&#10;AAAAAQAgAAAAIgEAAGRycy9lMm9Eb2MueG1sUEsFBgAAAAAGAAYAWQEAAOIFAAAAAA==&#10;">
                      <o:lock v:ext="edit" aspectratio="f"/>
                      <v:line id="直线 976" o:spid="_x0000_s1026" o:spt="20" style="position:absolute;left:0;top:5;height:0;width:1701;" filled="f" stroked="t" coordsize="21600,21600" o:gfxdata="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VGN9L4A&#10;AADc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w10:wrap type="none"/>
                      <w10:anchorlock/>
                    </v:group>
                  </w:pict>
                </mc:Fallback>
              </mc:AlternateContent>
            </w:r>
          </w:p>
          <w:p>
            <w:pPr>
              <w:pStyle w:val="14"/>
              <w:spacing w:before="3"/>
              <w:rPr>
                <w:rFonts w:ascii="Times New Roman"/>
                <w:sz w:val="16"/>
              </w:rPr>
            </w:pPr>
          </w:p>
          <w:p>
            <w:pPr>
              <w:pStyle w:val="14"/>
              <w:ind w:left="827"/>
              <w:rPr>
                <w:rFonts w:hint="default" w:ascii="黑体" w:eastAsia="黑体"/>
                <w:sz w:val="21"/>
                <w:lang w:val="en-US" w:eastAsia="zh-CN"/>
              </w:rPr>
            </w:pPr>
            <w:r>
              <w:rPr>
                <w:rFonts w:hint="eastAsia" w:ascii="黑体" w:eastAsia="黑体"/>
                <w:sz w:val="21"/>
              </w:rPr>
              <w:t>会签部门：</w:t>
            </w:r>
            <w:r>
              <w:rPr>
                <w:rFonts w:hint="eastAsia" w:ascii="黑体" w:eastAsia="黑体"/>
                <w:sz w:val="21"/>
                <w:lang w:val="en-US" w:eastAsia="zh-CN"/>
              </w:rPr>
              <w:t xml:space="preserve">  </w:t>
            </w:r>
            <w:r>
              <w:rPr>
                <w:rFonts w:hint="eastAsia"/>
                <w:sz w:val="21"/>
                <w:u w:val="single"/>
                <w:lang w:val="en-US" w:eastAsia="zh-CN"/>
              </w:rPr>
              <w:t xml:space="preserve">工程部                         </w:t>
            </w:r>
          </w:p>
        </w:tc>
      </w:tr>
      <w:tr>
        <w:tblPrEx>
          <w:tblBorders>
            <w:top w:val="double" w:color="000000" w:sz="2" w:space="0"/>
            <w:left w:val="double" w:color="000000" w:sz="2" w:space="0"/>
            <w:bottom w:val="double" w:color="000000" w:sz="2" w:space="0"/>
            <w:right w:val="double" w:color="000000" w:sz="2" w:space="0"/>
            <w:insideH w:val="double" w:color="000000" w:sz="2" w:space="0"/>
            <w:insideV w:val="double" w:color="000000" w:sz="2" w:space="0"/>
          </w:tblBorders>
          <w:tblCellMar>
            <w:top w:w="0" w:type="dxa"/>
            <w:left w:w="0" w:type="dxa"/>
            <w:bottom w:w="0" w:type="dxa"/>
            <w:right w:w="0" w:type="dxa"/>
          </w:tblCellMar>
        </w:tblPrEx>
        <w:trPr>
          <w:trHeight w:val="420" w:hRule="atLeast"/>
        </w:trPr>
        <w:tc>
          <w:tcPr>
            <w:tcW w:w="9475" w:type="dxa"/>
            <w:gridSpan w:val="7"/>
            <w:tcBorders>
              <w:bottom w:val="single" w:color="000000" w:sz="4" w:space="0"/>
            </w:tcBorders>
          </w:tcPr>
          <w:p>
            <w:pPr>
              <w:pStyle w:val="14"/>
              <w:spacing w:before="125"/>
              <w:ind w:left="4281" w:right="4268"/>
              <w:jc w:val="center"/>
              <w:rPr>
                <w:rFonts w:hint="eastAsia" w:ascii="黑体" w:eastAsia="黑体"/>
                <w:sz w:val="21"/>
              </w:rPr>
            </w:pPr>
            <w:r>
              <w:rPr>
                <w:rFonts w:hint="eastAsia" w:ascii="黑体" w:eastAsia="黑体"/>
                <w:sz w:val="21"/>
              </w:rPr>
              <w:t>编订记录</w:t>
            </w:r>
          </w:p>
        </w:tc>
      </w:tr>
      <w:tr>
        <w:tblPrEx>
          <w:tblBorders>
            <w:top w:val="double" w:color="000000" w:sz="2" w:space="0"/>
            <w:left w:val="double" w:color="000000" w:sz="2" w:space="0"/>
            <w:bottom w:val="double" w:color="000000" w:sz="2" w:space="0"/>
            <w:right w:val="double" w:color="000000" w:sz="2" w:space="0"/>
            <w:insideH w:val="double" w:color="000000" w:sz="2" w:space="0"/>
            <w:insideV w:val="double" w:color="000000" w:sz="2" w:space="0"/>
          </w:tblBorders>
          <w:tblCellMar>
            <w:top w:w="0" w:type="dxa"/>
            <w:left w:w="0" w:type="dxa"/>
            <w:bottom w:w="0" w:type="dxa"/>
            <w:right w:w="0" w:type="dxa"/>
          </w:tblCellMar>
        </w:tblPrEx>
        <w:trPr>
          <w:trHeight w:val="420" w:hRule="atLeast"/>
        </w:trPr>
        <w:tc>
          <w:tcPr>
            <w:tcW w:w="2104" w:type="dxa"/>
            <w:tcBorders>
              <w:top w:val="single" w:color="000000" w:sz="4" w:space="0"/>
              <w:bottom w:val="single" w:color="000000" w:sz="4" w:space="0"/>
              <w:right w:val="single" w:color="000000" w:sz="4" w:space="0"/>
            </w:tcBorders>
          </w:tcPr>
          <w:p>
            <w:pPr>
              <w:pStyle w:val="14"/>
              <w:spacing w:before="126"/>
              <w:ind w:left="563" w:right="567"/>
              <w:jc w:val="center"/>
              <w:rPr>
                <w:rFonts w:hint="eastAsia" w:ascii="黑体" w:eastAsia="黑体"/>
                <w:sz w:val="21"/>
              </w:rPr>
            </w:pPr>
            <w:r>
              <w:rPr>
                <w:rFonts w:hint="eastAsia" w:ascii="黑体" w:eastAsia="黑体"/>
                <w:sz w:val="21"/>
              </w:rPr>
              <w:t>编订日期</w:t>
            </w:r>
          </w:p>
        </w:tc>
        <w:tc>
          <w:tcPr>
            <w:tcW w:w="3222" w:type="dxa"/>
            <w:gridSpan w:val="2"/>
            <w:tcBorders>
              <w:top w:val="single" w:color="000000" w:sz="4" w:space="0"/>
              <w:left w:val="single" w:color="000000" w:sz="4" w:space="0"/>
              <w:bottom w:val="single" w:color="000000" w:sz="4" w:space="0"/>
              <w:right w:val="single" w:color="000000" w:sz="4" w:space="0"/>
            </w:tcBorders>
          </w:tcPr>
          <w:p>
            <w:pPr>
              <w:pStyle w:val="14"/>
              <w:spacing w:before="126"/>
              <w:ind w:left="982"/>
              <w:rPr>
                <w:rFonts w:hint="eastAsia" w:ascii="黑体" w:eastAsia="黑体"/>
                <w:sz w:val="21"/>
              </w:rPr>
            </w:pPr>
            <w:r>
              <w:rPr>
                <w:rFonts w:hint="eastAsia" w:ascii="黑体" w:eastAsia="黑体"/>
                <w:sz w:val="21"/>
              </w:rPr>
              <w:t>主要编订内容</w:t>
            </w:r>
          </w:p>
        </w:tc>
        <w:tc>
          <w:tcPr>
            <w:tcW w:w="1266" w:type="dxa"/>
            <w:tcBorders>
              <w:top w:val="single" w:color="000000" w:sz="4" w:space="0"/>
              <w:left w:val="single" w:color="000000" w:sz="4" w:space="0"/>
              <w:bottom w:val="single" w:color="000000" w:sz="4" w:space="0"/>
              <w:right w:val="single" w:color="000000" w:sz="4" w:space="0"/>
            </w:tcBorders>
          </w:tcPr>
          <w:p>
            <w:pPr>
              <w:pStyle w:val="14"/>
              <w:spacing w:before="126"/>
              <w:ind w:left="318"/>
              <w:rPr>
                <w:rFonts w:hint="eastAsia" w:ascii="黑体" w:eastAsia="黑体"/>
                <w:sz w:val="21"/>
              </w:rPr>
            </w:pPr>
            <w:r>
              <w:rPr>
                <w:rFonts w:hint="eastAsia" w:ascii="黑体" w:eastAsia="黑体"/>
                <w:sz w:val="21"/>
              </w:rPr>
              <w:t>起草人</w:t>
            </w:r>
          </w:p>
        </w:tc>
        <w:tc>
          <w:tcPr>
            <w:tcW w:w="1267" w:type="dxa"/>
            <w:gridSpan w:val="2"/>
            <w:tcBorders>
              <w:top w:val="single" w:color="000000" w:sz="4" w:space="0"/>
              <w:left w:val="single" w:color="000000" w:sz="4" w:space="0"/>
              <w:bottom w:val="single" w:color="000000" w:sz="4" w:space="0"/>
              <w:right w:val="single" w:color="000000" w:sz="4" w:space="0"/>
            </w:tcBorders>
          </w:tcPr>
          <w:p>
            <w:pPr>
              <w:pStyle w:val="14"/>
              <w:spacing w:before="126"/>
              <w:ind w:left="320"/>
              <w:rPr>
                <w:rFonts w:hint="eastAsia" w:ascii="黑体" w:eastAsia="黑体"/>
                <w:sz w:val="21"/>
              </w:rPr>
            </w:pPr>
            <w:r>
              <w:rPr>
                <w:rFonts w:hint="eastAsia" w:ascii="黑体" w:eastAsia="黑体"/>
                <w:sz w:val="21"/>
              </w:rPr>
              <w:t>审核人</w:t>
            </w:r>
          </w:p>
        </w:tc>
        <w:tc>
          <w:tcPr>
            <w:tcW w:w="1616" w:type="dxa"/>
            <w:tcBorders>
              <w:top w:val="single" w:color="000000" w:sz="4" w:space="0"/>
              <w:left w:val="single" w:color="000000" w:sz="4" w:space="0"/>
              <w:bottom w:val="single" w:color="000000" w:sz="4" w:space="0"/>
            </w:tcBorders>
          </w:tcPr>
          <w:p>
            <w:pPr>
              <w:pStyle w:val="14"/>
              <w:spacing w:before="126"/>
              <w:ind w:left="495"/>
              <w:rPr>
                <w:rFonts w:hint="eastAsia" w:ascii="黑体" w:eastAsia="黑体"/>
                <w:sz w:val="21"/>
              </w:rPr>
            </w:pPr>
            <w:r>
              <w:rPr>
                <w:rFonts w:hint="eastAsia" w:ascii="黑体" w:eastAsia="黑体"/>
                <w:sz w:val="21"/>
              </w:rPr>
              <w:t>签批人</w:t>
            </w:r>
          </w:p>
        </w:tc>
      </w:tr>
      <w:tr>
        <w:tblPrEx>
          <w:tblBorders>
            <w:top w:val="double" w:color="000000" w:sz="2" w:space="0"/>
            <w:left w:val="double" w:color="000000" w:sz="2" w:space="0"/>
            <w:bottom w:val="double" w:color="000000" w:sz="2" w:space="0"/>
            <w:right w:val="double" w:color="000000" w:sz="2" w:space="0"/>
            <w:insideH w:val="double" w:color="000000" w:sz="2" w:space="0"/>
            <w:insideV w:val="double" w:color="000000" w:sz="2" w:space="0"/>
          </w:tblBorders>
          <w:tblCellMar>
            <w:top w:w="0" w:type="dxa"/>
            <w:left w:w="0" w:type="dxa"/>
            <w:bottom w:w="0" w:type="dxa"/>
            <w:right w:w="0" w:type="dxa"/>
          </w:tblCellMar>
        </w:tblPrEx>
        <w:trPr>
          <w:trHeight w:val="840" w:hRule="atLeast"/>
        </w:trPr>
        <w:tc>
          <w:tcPr>
            <w:tcW w:w="2104" w:type="dxa"/>
            <w:tcBorders>
              <w:top w:val="single" w:color="000000" w:sz="4" w:space="0"/>
              <w:bottom w:val="single" w:color="000000" w:sz="4" w:space="0"/>
              <w:right w:val="single" w:color="000000" w:sz="4" w:space="0"/>
            </w:tcBorders>
          </w:tcPr>
          <w:p>
            <w:pPr>
              <w:pStyle w:val="14"/>
              <w:rPr>
                <w:rFonts w:ascii="Times New Roman"/>
                <w:sz w:val="20"/>
              </w:rPr>
            </w:pPr>
          </w:p>
          <w:p>
            <w:pPr>
              <w:pStyle w:val="14"/>
              <w:spacing w:before="148"/>
              <w:ind w:left="567" w:right="567"/>
              <w:jc w:val="center"/>
              <w:rPr>
                <w:rFonts w:hint="default" w:ascii="Arial" w:eastAsia="宋体"/>
                <w:sz w:val="18"/>
                <w:lang w:val="en-US" w:eastAsia="zh-CN"/>
              </w:rPr>
            </w:pPr>
            <w:r>
              <w:rPr>
                <w:rFonts w:ascii="Arial"/>
                <w:sz w:val="18"/>
              </w:rPr>
              <w:t>20</w:t>
            </w:r>
            <w:r>
              <w:rPr>
                <w:rFonts w:hint="eastAsia" w:ascii="Arial"/>
                <w:sz w:val="18"/>
                <w:lang w:val="en-US" w:eastAsia="zh-CN"/>
              </w:rPr>
              <w:t>22</w:t>
            </w:r>
            <w:r>
              <w:rPr>
                <w:rFonts w:ascii="Arial"/>
                <w:sz w:val="18"/>
              </w:rPr>
              <w:t>.0</w:t>
            </w:r>
            <w:r>
              <w:rPr>
                <w:rFonts w:hint="eastAsia" w:ascii="Arial"/>
                <w:sz w:val="18"/>
                <w:lang w:val="en-US" w:eastAsia="zh-CN"/>
              </w:rPr>
              <w:t>6</w:t>
            </w:r>
            <w:r>
              <w:rPr>
                <w:rFonts w:ascii="Arial"/>
                <w:sz w:val="18"/>
              </w:rPr>
              <w:t>.</w:t>
            </w:r>
            <w:r>
              <w:rPr>
                <w:rFonts w:hint="eastAsia" w:ascii="Arial"/>
                <w:sz w:val="18"/>
                <w:lang w:val="en-US" w:eastAsia="zh-CN"/>
              </w:rPr>
              <w:t>30</w:t>
            </w:r>
          </w:p>
        </w:tc>
        <w:tc>
          <w:tcPr>
            <w:tcW w:w="3222" w:type="dxa"/>
            <w:gridSpan w:val="2"/>
            <w:tcBorders>
              <w:top w:val="single" w:color="000000" w:sz="4" w:space="0"/>
              <w:left w:val="single" w:color="000000" w:sz="4" w:space="0"/>
              <w:bottom w:val="single" w:color="000000" w:sz="4" w:space="0"/>
              <w:right w:val="single" w:color="000000" w:sz="4" w:space="0"/>
            </w:tcBorders>
          </w:tcPr>
          <w:p>
            <w:pPr>
              <w:pStyle w:val="14"/>
              <w:rPr>
                <w:rFonts w:ascii="Times New Roman"/>
                <w:sz w:val="18"/>
              </w:rPr>
            </w:pPr>
          </w:p>
          <w:p>
            <w:pPr>
              <w:pStyle w:val="14"/>
              <w:spacing w:before="160"/>
              <w:ind w:left="108"/>
              <w:rPr>
                <w:sz w:val="18"/>
              </w:rPr>
            </w:pPr>
            <w:r>
              <w:rPr>
                <w:sz w:val="18"/>
              </w:rPr>
              <w:t>新订</w:t>
            </w:r>
          </w:p>
        </w:tc>
        <w:tc>
          <w:tcPr>
            <w:tcW w:w="1266" w:type="dxa"/>
            <w:tcBorders>
              <w:top w:val="single" w:color="000000" w:sz="4" w:space="0"/>
              <w:left w:val="single" w:color="000000" w:sz="4" w:space="0"/>
              <w:bottom w:val="single" w:color="000000" w:sz="4" w:space="0"/>
              <w:right w:val="single" w:color="000000" w:sz="4" w:space="0"/>
            </w:tcBorders>
          </w:tcPr>
          <w:p>
            <w:pPr>
              <w:pStyle w:val="14"/>
              <w:rPr>
                <w:rFonts w:ascii="Times New Roman"/>
                <w:sz w:val="18"/>
              </w:rPr>
            </w:pPr>
          </w:p>
          <w:p>
            <w:pPr>
              <w:pStyle w:val="14"/>
              <w:spacing w:before="160"/>
              <w:ind w:left="364"/>
              <w:rPr>
                <w:rFonts w:hint="default" w:eastAsia="宋体"/>
                <w:sz w:val="18"/>
                <w:lang w:val="en-US" w:eastAsia="zh-CN"/>
              </w:rPr>
            </w:pPr>
          </w:p>
        </w:tc>
        <w:tc>
          <w:tcPr>
            <w:tcW w:w="1267" w:type="dxa"/>
            <w:gridSpan w:val="2"/>
            <w:tcBorders>
              <w:top w:val="single" w:color="000000" w:sz="4" w:space="0"/>
              <w:left w:val="single" w:color="000000" w:sz="4" w:space="0"/>
              <w:bottom w:val="single" w:color="000000" w:sz="4" w:space="0"/>
              <w:right w:val="single" w:color="000000" w:sz="4" w:space="0"/>
            </w:tcBorders>
          </w:tcPr>
          <w:p>
            <w:pPr>
              <w:pStyle w:val="14"/>
              <w:ind w:left="365"/>
              <w:rPr>
                <w:sz w:val="18"/>
              </w:rPr>
            </w:pPr>
          </w:p>
        </w:tc>
        <w:tc>
          <w:tcPr>
            <w:tcW w:w="1616" w:type="dxa"/>
            <w:tcBorders>
              <w:top w:val="single" w:color="000000" w:sz="4" w:space="0"/>
              <w:left w:val="single" w:color="000000" w:sz="4" w:space="0"/>
              <w:bottom w:val="single" w:color="000000" w:sz="4" w:space="0"/>
            </w:tcBorders>
          </w:tcPr>
          <w:p>
            <w:pPr>
              <w:pStyle w:val="14"/>
              <w:rPr>
                <w:rFonts w:ascii="Times New Roman"/>
                <w:sz w:val="18"/>
              </w:rPr>
            </w:pPr>
          </w:p>
          <w:p>
            <w:pPr>
              <w:pStyle w:val="14"/>
              <w:spacing w:before="160"/>
              <w:ind w:left="541"/>
              <w:rPr>
                <w:sz w:val="18"/>
              </w:rPr>
            </w:pPr>
          </w:p>
        </w:tc>
      </w:tr>
      <w:tr>
        <w:tblPrEx>
          <w:tblBorders>
            <w:top w:val="double" w:color="000000" w:sz="2" w:space="0"/>
            <w:left w:val="double" w:color="000000" w:sz="2" w:space="0"/>
            <w:bottom w:val="double" w:color="000000" w:sz="2" w:space="0"/>
            <w:right w:val="double" w:color="000000" w:sz="2" w:space="0"/>
            <w:insideH w:val="double" w:color="000000" w:sz="2" w:space="0"/>
            <w:insideV w:val="double" w:color="000000" w:sz="2" w:space="0"/>
          </w:tblBorders>
          <w:tblCellMar>
            <w:top w:w="0" w:type="dxa"/>
            <w:left w:w="0" w:type="dxa"/>
            <w:bottom w:w="0" w:type="dxa"/>
            <w:right w:w="0" w:type="dxa"/>
          </w:tblCellMar>
        </w:tblPrEx>
        <w:trPr>
          <w:trHeight w:val="682" w:hRule="atLeast"/>
        </w:trPr>
        <w:tc>
          <w:tcPr>
            <w:tcW w:w="2104" w:type="dxa"/>
            <w:tcBorders>
              <w:top w:val="single" w:color="000000" w:sz="4" w:space="0"/>
              <w:bottom w:val="single" w:color="000000" w:sz="4" w:space="0"/>
              <w:right w:val="single" w:color="000000" w:sz="4" w:space="0"/>
            </w:tcBorders>
          </w:tcPr>
          <w:p>
            <w:pPr>
              <w:pStyle w:val="14"/>
              <w:rPr>
                <w:rFonts w:ascii="Times New Roman"/>
                <w:sz w:val="22"/>
              </w:rPr>
            </w:pPr>
          </w:p>
        </w:tc>
        <w:tc>
          <w:tcPr>
            <w:tcW w:w="3222" w:type="dxa"/>
            <w:gridSpan w:val="2"/>
            <w:tcBorders>
              <w:top w:val="single" w:color="000000" w:sz="4" w:space="0"/>
              <w:left w:val="single" w:color="000000" w:sz="4" w:space="0"/>
              <w:bottom w:val="single" w:color="000000" w:sz="4" w:space="0"/>
              <w:right w:val="single" w:color="000000" w:sz="4" w:space="0"/>
            </w:tcBorders>
          </w:tcPr>
          <w:p>
            <w:pPr>
              <w:pStyle w:val="14"/>
              <w:rPr>
                <w:rFonts w:ascii="Times New Roman"/>
                <w:sz w:val="22"/>
              </w:rPr>
            </w:pPr>
          </w:p>
        </w:tc>
        <w:tc>
          <w:tcPr>
            <w:tcW w:w="1266" w:type="dxa"/>
            <w:tcBorders>
              <w:top w:val="single" w:color="000000" w:sz="4" w:space="0"/>
              <w:left w:val="single" w:color="000000" w:sz="4" w:space="0"/>
              <w:bottom w:val="single" w:color="000000" w:sz="4" w:space="0"/>
              <w:right w:val="single" w:color="000000" w:sz="4" w:space="0"/>
            </w:tcBorders>
          </w:tcPr>
          <w:p>
            <w:pPr>
              <w:pStyle w:val="14"/>
              <w:rPr>
                <w:rFonts w:ascii="Times New Roman"/>
                <w:sz w:val="22"/>
              </w:rPr>
            </w:pPr>
          </w:p>
        </w:tc>
        <w:tc>
          <w:tcPr>
            <w:tcW w:w="1267" w:type="dxa"/>
            <w:gridSpan w:val="2"/>
            <w:tcBorders>
              <w:top w:val="single" w:color="000000" w:sz="4" w:space="0"/>
              <w:left w:val="single" w:color="000000" w:sz="4" w:space="0"/>
              <w:bottom w:val="single" w:color="000000" w:sz="4" w:space="0"/>
              <w:right w:val="single" w:color="000000" w:sz="4" w:space="0"/>
            </w:tcBorders>
          </w:tcPr>
          <w:p>
            <w:pPr>
              <w:pStyle w:val="14"/>
              <w:rPr>
                <w:rFonts w:ascii="Times New Roman"/>
                <w:sz w:val="22"/>
              </w:rPr>
            </w:pPr>
          </w:p>
        </w:tc>
        <w:tc>
          <w:tcPr>
            <w:tcW w:w="1616" w:type="dxa"/>
            <w:tcBorders>
              <w:top w:val="single" w:color="000000" w:sz="4" w:space="0"/>
              <w:left w:val="single" w:color="000000" w:sz="4" w:space="0"/>
              <w:bottom w:val="single" w:color="000000" w:sz="4" w:space="0"/>
            </w:tcBorders>
          </w:tcPr>
          <w:p>
            <w:pPr>
              <w:pStyle w:val="14"/>
              <w:rPr>
                <w:rFonts w:ascii="Times New Roman"/>
                <w:sz w:val="22"/>
              </w:rPr>
            </w:pPr>
          </w:p>
        </w:tc>
      </w:tr>
    </w:tbl>
    <w:p>
      <w:pPr>
        <w:pStyle w:val="5"/>
        <w:rPr>
          <w:rFonts w:ascii="Times New Roman"/>
          <w:sz w:val="20"/>
        </w:rPr>
      </w:pPr>
    </w:p>
    <w:p>
      <w:pPr>
        <w:pStyle w:val="5"/>
        <w:spacing w:before="6"/>
        <w:rPr>
          <w:rFonts w:ascii="Times New Roman"/>
          <w:sz w:val="29"/>
        </w:rPr>
      </w:pPr>
    </w:p>
    <w:p>
      <w:pPr>
        <w:pStyle w:val="5"/>
        <w:spacing w:before="6"/>
        <w:rPr>
          <w:rFonts w:ascii="Times New Roman"/>
          <w:sz w:val="29"/>
        </w:rPr>
      </w:pPr>
    </w:p>
    <w:p>
      <w:pPr>
        <w:pStyle w:val="5"/>
        <w:spacing w:before="6"/>
        <w:rPr>
          <w:rFonts w:ascii="Times New Roman"/>
          <w:sz w:val="29"/>
        </w:rPr>
      </w:pPr>
    </w:p>
    <w:p>
      <w:pPr>
        <w:pStyle w:val="5"/>
        <w:spacing w:before="6"/>
        <w:rPr>
          <w:rFonts w:ascii="Times New Roman"/>
          <w:sz w:val="29"/>
        </w:rPr>
      </w:pPr>
    </w:p>
    <w:p>
      <w:pPr>
        <w:pStyle w:val="5"/>
        <w:spacing w:before="6"/>
        <w:rPr>
          <w:rFonts w:ascii="Times New Roman"/>
          <w:sz w:val="29"/>
        </w:rPr>
      </w:pPr>
    </w:p>
    <w:p>
      <w:pPr>
        <w:pStyle w:val="5"/>
        <w:spacing w:before="6"/>
        <w:rPr>
          <w:rFonts w:ascii="Times New Roman"/>
          <w:sz w:val="29"/>
        </w:rPr>
      </w:pPr>
    </w:p>
    <w:p>
      <w:pPr>
        <w:spacing w:before="1"/>
        <w:ind w:right="25"/>
        <w:jc w:val="both"/>
        <w:rPr>
          <w:sz w:val="18"/>
        </w:rPr>
        <w:sectPr>
          <w:headerReference r:id="rId5" w:type="default"/>
          <w:pgSz w:w="11910" w:h="16840"/>
          <w:pgMar w:top="720" w:right="720" w:bottom="280" w:left="1020" w:header="720" w:footer="720" w:gutter="0"/>
          <w:cols w:space="720" w:num="1"/>
        </w:sectPr>
      </w:pPr>
    </w:p>
    <w:p>
      <w:pPr>
        <w:pStyle w:val="5"/>
        <w:rPr>
          <w:sz w:val="20"/>
        </w:rPr>
      </w:pPr>
    </w:p>
    <w:p>
      <w:pPr>
        <w:pStyle w:val="4"/>
      </w:pPr>
      <w:r>
        <w:rPr>
          <w:lang w:val="en-US" w:eastAsia="zh-CN"/>
        </w:rPr>
        <w:t xml:space="preserve">第一章 总则 </w:t>
      </w:r>
    </w:p>
    <w:p>
      <w:pPr>
        <w:pStyle w:val="5"/>
        <w:spacing w:before="164" w:line="362" w:lineRule="auto"/>
        <w:ind w:left="1156" w:right="821" w:firstLine="480"/>
        <w:rPr>
          <w:rFonts w:hint="eastAsia"/>
          <w:spacing w:val="-10"/>
          <w:lang w:val="en-US" w:eastAsia="zh-CN"/>
        </w:rPr>
      </w:pPr>
      <w:r>
        <w:rPr>
          <w:rFonts w:hint="eastAsia" w:ascii="宋体" w:hAnsi="宋体" w:eastAsia="宋体" w:cs="宋体"/>
          <w:b/>
          <w:bCs/>
          <w:color w:val="000000"/>
          <w:kern w:val="0"/>
          <w:sz w:val="24"/>
          <w:szCs w:val="24"/>
          <w:lang w:val="en-US" w:eastAsia="zh-CN" w:bidi="ar"/>
        </w:rPr>
        <w:t>第一条</w:t>
      </w:r>
      <w:r>
        <w:rPr>
          <w:rFonts w:hint="eastAsia"/>
          <w:spacing w:val="-10"/>
          <w:lang w:val="en-US" w:eastAsia="zh-CN"/>
        </w:rPr>
        <w:t xml:space="preserve"> 为加强国贸地产广州公司工程材料的管理工作，明确工程材料检查内容及要求，确保工程材料使用范围、质量满足国家相关规范及要求，保证进场工程材料满足合同要求，杜绝 货不对板、偷工减料，明确不合格问题处罚机制，加强供应商履约管理，从而确保工程质量，特制定本制度。</w:t>
      </w:r>
    </w:p>
    <w:p>
      <w:pPr>
        <w:pStyle w:val="5"/>
        <w:spacing w:before="164" w:line="362" w:lineRule="auto"/>
        <w:ind w:left="1156" w:right="821" w:firstLine="480"/>
        <w:rPr>
          <w:spacing w:val="-10"/>
        </w:rPr>
      </w:pPr>
      <w:r>
        <w:rPr>
          <w:rFonts w:hint="eastAsia"/>
          <w:spacing w:val="-10"/>
          <w:lang w:val="en-US" w:eastAsia="zh-CN"/>
        </w:rPr>
        <w:t xml:space="preserve"> </w:t>
      </w:r>
    </w:p>
    <w:p>
      <w:pPr>
        <w:pStyle w:val="4"/>
        <w:rPr>
          <w:lang w:val="en-US" w:eastAsia="zh-CN"/>
        </w:rPr>
      </w:pPr>
      <w:r>
        <w:rPr>
          <w:rFonts w:hint="eastAsia"/>
          <w:lang w:val="en-US" w:eastAsia="zh-CN"/>
        </w:rPr>
        <w:t xml:space="preserve">第二章 适用范围 </w:t>
      </w:r>
    </w:p>
    <w:p>
      <w:pPr>
        <w:pStyle w:val="5"/>
        <w:spacing w:before="164" w:line="362" w:lineRule="auto"/>
        <w:ind w:left="1156" w:right="821" w:firstLine="480"/>
        <w:rPr>
          <w:rFonts w:hint="eastAsia"/>
          <w:spacing w:val="-10"/>
          <w:lang w:val="en-US" w:eastAsia="zh-CN"/>
        </w:rPr>
      </w:pPr>
      <w:r>
        <w:rPr>
          <w:rFonts w:hint="eastAsia" w:ascii="宋体" w:hAnsi="宋体" w:eastAsia="宋体" w:cs="宋体"/>
          <w:b/>
          <w:bCs/>
          <w:color w:val="000000"/>
          <w:kern w:val="0"/>
          <w:sz w:val="24"/>
          <w:szCs w:val="24"/>
          <w:lang w:val="en-US" w:eastAsia="zh-CN" w:bidi="ar"/>
        </w:rPr>
        <w:t xml:space="preserve">第二条 </w:t>
      </w:r>
      <w:r>
        <w:rPr>
          <w:rFonts w:hint="eastAsia"/>
          <w:spacing w:val="-10"/>
          <w:lang w:val="en-US" w:eastAsia="zh-CN"/>
        </w:rPr>
        <w:t xml:space="preserve">本细则适用于国贸地产广州公司所有项目的工程材料（含甲供、甲指乙供、甲限乙供、乙供材料）。包括但不限于主体材料、外立面材料、景观材料、机电类材料、装修装饰材料等检查、检测项目。 </w:t>
      </w:r>
    </w:p>
    <w:p>
      <w:pPr>
        <w:pStyle w:val="5"/>
        <w:spacing w:before="164" w:line="362" w:lineRule="auto"/>
        <w:ind w:left="1156" w:right="821" w:firstLine="480"/>
        <w:rPr>
          <w:rFonts w:hint="eastAsia"/>
          <w:spacing w:val="-10"/>
          <w:lang w:val="en-US" w:eastAsia="zh-CN"/>
        </w:rPr>
      </w:pPr>
    </w:p>
    <w:p>
      <w:pPr>
        <w:pStyle w:val="4"/>
        <w:rPr>
          <w:rFonts w:hint="eastAsia"/>
          <w:lang w:val="en-US" w:eastAsia="zh-CN"/>
        </w:rPr>
      </w:pPr>
      <w:r>
        <w:rPr>
          <w:rFonts w:hint="eastAsia"/>
          <w:lang w:val="en-US" w:eastAsia="zh-CN"/>
        </w:rPr>
        <w:t xml:space="preserve">第三章 定义 </w:t>
      </w:r>
    </w:p>
    <w:p>
      <w:pPr>
        <w:pStyle w:val="5"/>
        <w:spacing w:before="164" w:line="362" w:lineRule="auto"/>
        <w:ind w:left="1156" w:right="821" w:firstLine="480"/>
        <w:rPr>
          <w:rFonts w:hint="eastAsia"/>
          <w:spacing w:val="-10"/>
          <w:lang w:val="en-US" w:eastAsia="zh-CN"/>
        </w:rPr>
      </w:pPr>
      <w:r>
        <w:rPr>
          <w:rFonts w:hint="eastAsia" w:ascii="宋体" w:hAnsi="宋体" w:eastAsia="宋体" w:cs="宋体"/>
          <w:b/>
          <w:bCs/>
          <w:color w:val="000000"/>
          <w:kern w:val="0"/>
          <w:sz w:val="24"/>
          <w:szCs w:val="24"/>
          <w:lang w:val="en-US" w:eastAsia="zh-CN" w:bidi="ar"/>
        </w:rPr>
        <w:t xml:space="preserve">第三条 </w:t>
      </w:r>
      <w:r>
        <w:rPr>
          <w:rFonts w:hint="eastAsia"/>
          <w:spacing w:val="-10"/>
          <w:lang w:val="en-US" w:eastAsia="zh-CN"/>
        </w:rPr>
        <w:t xml:space="preserve">术语和定义 </w:t>
      </w:r>
    </w:p>
    <w:p>
      <w:pPr>
        <w:pStyle w:val="5"/>
        <w:spacing w:before="164" w:line="362" w:lineRule="auto"/>
        <w:ind w:left="1156" w:right="821" w:firstLine="480"/>
        <w:rPr>
          <w:rFonts w:hint="eastAsia"/>
          <w:spacing w:val="-10"/>
          <w:lang w:val="en-US" w:eastAsia="zh-CN"/>
        </w:rPr>
      </w:pPr>
      <w:r>
        <w:rPr>
          <w:rFonts w:hint="eastAsia"/>
          <w:spacing w:val="-10"/>
          <w:lang w:val="en-US" w:eastAsia="zh-CN"/>
        </w:rPr>
        <w:t xml:space="preserve">（一）工程材料：指工程建设过程中项目所用的全部材料，包括甲供、甲限品牌、甲指乙供以及乙供材料或设备； </w:t>
      </w:r>
    </w:p>
    <w:p>
      <w:pPr>
        <w:pStyle w:val="5"/>
        <w:spacing w:before="164" w:line="362" w:lineRule="auto"/>
        <w:ind w:left="1156" w:right="821" w:firstLine="480"/>
        <w:rPr>
          <w:rFonts w:hint="eastAsia"/>
          <w:spacing w:val="-10"/>
          <w:lang w:val="en-US" w:eastAsia="zh-CN"/>
        </w:rPr>
      </w:pPr>
      <w:r>
        <w:rPr>
          <w:rFonts w:hint="eastAsia"/>
          <w:spacing w:val="-10"/>
          <w:lang w:val="en-US" w:eastAsia="zh-CN"/>
        </w:rPr>
        <w:t xml:space="preserve">（二）内业资料：指材料样板、样品封样确认单、样品封样标签、样品移交清单、封 样台账、进场验收单、验收台账、材料抽样送检资料等。 </w:t>
      </w:r>
    </w:p>
    <w:p>
      <w:pPr>
        <w:pStyle w:val="5"/>
        <w:spacing w:before="164" w:line="362" w:lineRule="auto"/>
        <w:ind w:left="1156" w:right="821" w:firstLine="480"/>
        <w:rPr>
          <w:rFonts w:hint="eastAsia"/>
          <w:spacing w:val="-10"/>
          <w:lang w:val="en-US" w:eastAsia="zh-CN"/>
        </w:rPr>
      </w:pPr>
    </w:p>
    <w:p>
      <w:pPr>
        <w:pStyle w:val="4"/>
        <w:rPr>
          <w:rFonts w:hint="eastAsia"/>
          <w:lang w:val="en-US" w:eastAsia="zh-CN"/>
        </w:rPr>
      </w:pPr>
      <w:r>
        <w:rPr>
          <w:rFonts w:hint="eastAsia"/>
          <w:lang w:val="en-US" w:eastAsia="zh-CN"/>
        </w:rPr>
        <w:t xml:space="preserve">第四章 职责体系 </w:t>
      </w:r>
    </w:p>
    <w:p>
      <w:pPr>
        <w:pStyle w:val="5"/>
        <w:spacing w:before="164" w:line="362" w:lineRule="auto"/>
        <w:ind w:left="1156" w:right="821" w:firstLine="480"/>
        <w:rPr>
          <w:rFonts w:hint="eastAsia"/>
          <w:spacing w:val="-10"/>
          <w:lang w:val="en-US" w:eastAsia="zh-CN"/>
        </w:rPr>
      </w:pPr>
      <w:r>
        <w:rPr>
          <w:rFonts w:hint="eastAsia" w:ascii="宋体" w:hAnsi="宋体" w:eastAsia="宋体" w:cs="宋体"/>
          <w:b/>
          <w:bCs/>
          <w:color w:val="000000"/>
          <w:kern w:val="0"/>
          <w:sz w:val="24"/>
          <w:szCs w:val="24"/>
          <w:lang w:val="en-US" w:eastAsia="zh-CN" w:bidi="ar"/>
        </w:rPr>
        <w:t xml:space="preserve">第四条 </w:t>
      </w:r>
      <w:r>
        <w:rPr>
          <w:rFonts w:hint="eastAsia"/>
          <w:spacing w:val="-10"/>
          <w:lang w:val="en-US" w:eastAsia="zh-CN"/>
        </w:rPr>
        <w:t xml:space="preserve">国贸地产广州公司工程部 </w:t>
      </w:r>
    </w:p>
    <w:p>
      <w:pPr>
        <w:pStyle w:val="5"/>
        <w:spacing w:before="164" w:line="362" w:lineRule="auto"/>
        <w:ind w:left="1156" w:right="821" w:firstLine="480"/>
        <w:rPr>
          <w:rFonts w:hint="eastAsia"/>
          <w:spacing w:val="-10"/>
          <w:lang w:val="en-US" w:eastAsia="zh-CN"/>
        </w:rPr>
      </w:pPr>
      <w:r>
        <w:rPr>
          <w:rFonts w:hint="eastAsia"/>
          <w:spacing w:val="-10"/>
          <w:lang w:val="en-US" w:eastAsia="zh-CN"/>
        </w:rPr>
        <w:t xml:space="preserve">（一）依据国贸地产广州公司工程材料检查的相关制度，制定并修订工程材料第三方飞检管理细则； </w:t>
      </w:r>
    </w:p>
    <w:p>
      <w:pPr>
        <w:pStyle w:val="5"/>
        <w:spacing w:before="164" w:line="362" w:lineRule="auto"/>
        <w:ind w:left="1156" w:right="821" w:firstLine="480"/>
        <w:rPr>
          <w:rFonts w:hint="eastAsia"/>
          <w:spacing w:val="-10"/>
          <w:lang w:val="en-US" w:eastAsia="zh-CN"/>
        </w:rPr>
      </w:pPr>
      <w:r>
        <w:rPr>
          <w:rFonts w:hint="eastAsia"/>
          <w:spacing w:val="-10"/>
          <w:lang w:val="en-US" w:eastAsia="zh-CN"/>
        </w:rPr>
        <w:t xml:space="preserve">（二）负责在国贸地产广州公司必检范围基础上组织对所管辖城市公司项目进行常态化飞检、专项检查以及工厂检查等材料检查工作，并负责对检查中发现的不合格问题的整改及处罚进行跟踪及督导，结果及时反馈至国贸地产广州公司相关对接部门； </w:t>
      </w:r>
    </w:p>
    <w:p>
      <w:pPr>
        <w:pStyle w:val="5"/>
        <w:spacing w:before="164" w:line="362" w:lineRule="auto"/>
        <w:ind w:left="1156" w:right="821" w:firstLine="480"/>
        <w:rPr>
          <w:rFonts w:hint="eastAsia"/>
          <w:spacing w:val="-10"/>
          <w:lang w:val="en-US" w:eastAsia="zh-CN"/>
        </w:rPr>
      </w:pPr>
      <w:r>
        <w:rPr>
          <w:rFonts w:hint="eastAsia"/>
          <w:spacing w:val="-10"/>
          <w:lang w:val="en-US" w:eastAsia="zh-CN"/>
        </w:rPr>
        <w:t xml:space="preserve">（三）依据广州公司相关制度，制定广州公司集中采购材料在出现不合格问题时的处罚方案并落地执行； </w:t>
      </w:r>
    </w:p>
    <w:p>
      <w:pPr>
        <w:pStyle w:val="5"/>
        <w:spacing w:before="164" w:line="362" w:lineRule="auto"/>
        <w:ind w:left="1156" w:right="821" w:firstLine="480"/>
        <w:rPr>
          <w:rFonts w:hint="eastAsia"/>
          <w:spacing w:val="-10"/>
          <w:lang w:val="en-US" w:eastAsia="zh-CN"/>
        </w:rPr>
      </w:pPr>
      <w:r>
        <w:rPr>
          <w:rFonts w:hint="eastAsia" w:ascii="宋体" w:hAnsi="宋体" w:eastAsia="宋体" w:cs="宋体"/>
          <w:b/>
          <w:bCs/>
          <w:color w:val="000000"/>
          <w:kern w:val="0"/>
          <w:sz w:val="24"/>
          <w:szCs w:val="24"/>
          <w:lang w:val="en-US" w:eastAsia="zh-CN" w:bidi="ar"/>
        </w:rPr>
        <w:t xml:space="preserve">第五条 </w:t>
      </w:r>
      <w:r>
        <w:rPr>
          <w:rFonts w:hint="eastAsia"/>
          <w:spacing w:val="-10"/>
          <w:lang w:val="en-US" w:eastAsia="zh-CN"/>
        </w:rPr>
        <w:t xml:space="preserve">城市公司工程部及项目工程部 </w:t>
      </w:r>
    </w:p>
    <w:p>
      <w:pPr>
        <w:pStyle w:val="5"/>
        <w:spacing w:before="164" w:line="362" w:lineRule="auto"/>
        <w:ind w:left="1156" w:right="821" w:firstLine="480"/>
        <w:rPr>
          <w:rFonts w:hint="eastAsia"/>
          <w:spacing w:val="-10"/>
          <w:lang w:val="en-US" w:eastAsia="zh-CN"/>
        </w:rPr>
      </w:pPr>
      <w:r>
        <w:rPr>
          <w:rFonts w:hint="eastAsia"/>
          <w:spacing w:val="-10"/>
          <w:lang w:val="en-US" w:eastAsia="zh-CN"/>
        </w:rPr>
        <w:t xml:space="preserve">（一）负责城市公司、项目采购材料设备的样品施工封样管理； </w:t>
      </w:r>
    </w:p>
    <w:p>
      <w:pPr>
        <w:pStyle w:val="5"/>
        <w:spacing w:before="164" w:line="362" w:lineRule="auto"/>
        <w:ind w:left="1156" w:right="821" w:firstLine="480"/>
        <w:rPr>
          <w:rFonts w:hint="eastAsia"/>
          <w:spacing w:val="-10"/>
          <w:lang w:val="en-US" w:eastAsia="zh-CN"/>
        </w:rPr>
      </w:pPr>
      <w:r>
        <w:rPr>
          <w:rFonts w:hint="eastAsia"/>
          <w:spacing w:val="-10"/>
          <w:lang w:val="en-US" w:eastAsia="zh-CN"/>
        </w:rPr>
        <w:t>（二）负责材料进场的常规验收及检测；</w:t>
      </w:r>
    </w:p>
    <w:p>
      <w:pPr>
        <w:pStyle w:val="5"/>
        <w:spacing w:before="164" w:line="362" w:lineRule="auto"/>
        <w:ind w:left="1156" w:right="821" w:firstLine="480"/>
        <w:rPr>
          <w:rFonts w:hint="eastAsia"/>
          <w:spacing w:val="-10"/>
          <w:lang w:val="en-US" w:eastAsia="zh-CN"/>
        </w:rPr>
      </w:pPr>
      <w:r>
        <w:rPr>
          <w:rFonts w:hint="eastAsia"/>
          <w:spacing w:val="-10"/>
          <w:lang w:val="en-US" w:eastAsia="zh-CN"/>
        </w:rPr>
        <w:t xml:space="preserve">（三）负责进场材料相关内业资料的管理； </w:t>
      </w:r>
    </w:p>
    <w:p>
      <w:pPr>
        <w:pStyle w:val="5"/>
        <w:spacing w:before="164" w:line="362" w:lineRule="auto"/>
        <w:ind w:left="1156" w:right="821" w:firstLine="480"/>
        <w:rPr>
          <w:rFonts w:hint="eastAsia"/>
          <w:spacing w:val="-10"/>
          <w:lang w:val="en-US" w:eastAsia="zh-CN"/>
        </w:rPr>
      </w:pPr>
      <w:r>
        <w:rPr>
          <w:rFonts w:hint="eastAsia"/>
          <w:spacing w:val="-10"/>
          <w:lang w:val="en-US" w:eastAsia="zh-CN"/>
        </w:rPr>
        <w:t xml:space="preserve">（四）负责施工过程中材料使用情况的跟踪与核查； </w:t>
      </w:r>
    </w:p>
    <w:p>
      <w:pPr>
        <w:pStyle w:val="5"/>
        <w:spacing w:before="164" w:line="362" w:lineRule="auto"/>
        <w:ind w:left="1156" w:right="821" w:firstLine="480"/>
        <w:rPr>
          <w:rFonts w:hint="eastAsia"/>
          <w:spacing w:val="-10"/>
          <w:lang w:val="en-US" w:eastAsia="zh-CN"/>
        </w:rPr>
      </w:pPr>
      <w:r>
        <w:rPr>
          <w:rFonts w:hint="eastAsia"/>
          <w:spacing w:val="-10"/>
          <w:lang w:val="en-US" w:eastAsia="zh-CN"/>
        </w:rPr>
        <w:t>（五）依据国贸地产广州公司及城市相关制度，制定城市、项目采购及使用的工程材料在出现不合格问题时，就质量事故的工期、费用损失进行量化预估，执行整改及处罚方案并落地。</w:t>
      </w:r>
    </w:p>
    <w:p>
      <w:pPr>
        <w:pStyle w:val="4"/>
        <w:rPr>
          <w:rFonts w:hint="eastAsia"/>
          <w:lang w:val="en-US" w:eastAsia="zh-CN"/>
        </w:rPr>
      </w:pPr>
      <w:r>
        <w:rPr>
          <w:rFonts w:hint="eastAsia"/>
          <w:lang w:val="en-US" w:eastAsia="zh-CN"/>
        </w:rPr>
        <w:t xml:space="preserve">第五章 制度正文 </w:t>
      </w:r>
    </w:p>
    <w:p>
      <w:pPr>
        <w:pStyle w:val="5"/>
        <w:spacing w:before="164" w:line="362" w:lineRule="auto"/>
        <w:ind w:left="1156" w:right="821" w:firstLine="480"/>
        <w:rPr>
          <w:rFonts w:hint="eastAsia"/>
          <w:spacing w:val="-10"/>
          <w:lang w:val="en-US" w:eastAsia="zh-CN"/>
        </w:rPr>
      </w:pPr>
      <w:r>
        <w:rPr>
          <w:rFonts w:hint="eastAsia" w:ascii="宋体" w:hAnsi="宋体" w:eastAsia="宋体" w:cs="宋体"/>
          <w:b/>
          <w:bCs/>
          <w:color w:val="000000"/>
          <w:kern w:val="0"/>
          <w:sz w:val="24"/>
          <w:szCs w:val="24"/>
          <w:lang w:val="en-US" w:eastAsia="zh-CN" w:bidi="ar"/>
        </w:rPr>
        <w:t xml:space="preserve">第六条 </w:t>
      </w:r>
      <w:r>
        <w:rPr>
          <w:rFonts w:hint="eastAsia"/>
          <w:spacing w:val="-10"/>
          <w:lang w:val="en-US" w:eastAsia="zh-CN"/>
        </w:rPr>
        <w:t xml:space="preserve">检查依据 </w:t>
      </w:r>
    </w:p>
    <w:p>
      <w:pPr>
        <w:pStyle w:val="5"/>
        <w:spacing w:before="164" w:line="362" w:lineRule="auto"/>
        <w:ind w:left="1156" w:right="821" w:firstLine="480"/>
        <w:rPr>
          <w:rFonts w:hint="eastAsia"/>
          <w:spacing w:val="-10"/>
          <w:lang w:val="en-US" w:eastAsia="zh-CN"/>
        </w:rPr>
      </w:pPr>
      <w:r>
        <w:rPr>
          <w:rFonts w:hint="eastAsia"/>
          <w:spacing w:val="-10"/>
          <w:lang w:val="en-US" w:eastAsia="zh-CN"/>
        </w:rPr>
        <w:t xml:space="preserve">（一）各专业工程国家标准、合同要求、技术规范要求、施工图纸、封样样板等。若各项标准存在差异时，则以标准较高的为准。 </w:t>
      </w:r>
    </w:p>
    <w:p>
      <w:pPr>
        <w:pStyle w:val="5"/>
        <w:spacing w:before="164" w:line="362" w:lineRule="auto"/>
        <w:ind w:left="1156" w:right="821" w:firstLine="480"/>
        <w:rPr>
          <w:rFonts w:hint="eastAsia"/>
          <w:spacing w:val="-10"/>
          <w:lang w:val="en-US" w:eastAsia="zh-CN"/>
        </w:rPr>
      </w:pPr>
      <w:r>
        <w:rPr>
          <w:rFonts w:hint="eastAsia" w:ascii="宋体" w:hAnsi="宋体" w:eastAsia="宋体" w:cs="宋体"/>
          <w:b/>
          <w:bCs/>
          <w:color w:val="000000"/>
          <w:kern w:val="0"/>
          <w:sz w:val="24"/>
          <w:szCs w:val="24"/>
          <w:lang w:val="en-US" w:eastAsia="zh-CN" w:bidi="ar"/>
        </w:rPr>
        <w:t xml:space="preserve">第七条 </w:t>
      </w:r>
      <w:r>
        <w:rPr>
          <w:rFonts w:hint="eastAsia"/>
          <w:spacing w:val="-10"/>
          <w:lang w:val="en-US" w:eastAsia="zh-CN"/>
        </w:rPr>
        <w:t xml:space="preserve">检查内容 </w:t>
      </w:r>
    </w:p>
    <w:p>
      <w:pPr>
        <w:pStyle w:val="5"/>
        <w:spacing w:before="164" w:line="362" w:lineRule="auto"/>
        <w:ind w:left="1156" w:right="821" w:firstLine="480"/>
        <w:rPr>
          <w:rFonts w:hint="eastAsia"/>
          <w:spacing w:val="-10"/>
          <w:lang w:val="en-US" w:eastAsia="zh-CN"/>
        </w:rPr>
      </w:pPr>
      <w:r>
        <w:rPr>
          <w:rFonts w:hint="eastAsia"/>
          <w:spacing w:val="-10"/>
          <w:lang w:val="en-US" w:eastAsia="zh-CN"/>
        </w:rPr>
        <w:t xml:space="preserve">（一）工程材料品牌、技术规格等检查，包含现场检查和实验室检测； </w:t>
      </w:r>
    </w:p>
    <w:p>
      <w:pPr>
        <w:pStyle w:val="5"/>
        <w:spacing w:before="164" w:line="362" w:lineRule="auto"/>
        <w:ind w:left="1156" w:right="821" w:firstLine="480"/>
        <w:rPr>
          <w:rFonts w:hint="eastAsia"/>
          <w:spacing w:val="-10"/>
          <w:lang w:val="en-US" w:eastAsia="zh-CN"/>
        </w:rPr>
      </w:pPr>
      <w:r>
        <w:rPr>
          <w:rFonts w:hint="eastAsia"/>
          <w:spacing w:val="-10"/>
          <w:lang w:val="en-US" w:eastAsia="zh-CN"/>
        </w:rPr>
        <w:t xml:space="preserve">（二）工程材料质量符合性检查； </w:t>
      </w:r>
    </w:p>
    <w:p>
      <w:pPr>
        <w:pStyle w:val="5"/>
        <w:spacing w:before="164" w:line="362" w:lineRule="auto"/>
        <w:ind w:left="1156" w:right="821" w:firstLine="480"/>
        <w:rPr>
          <w:rFonts w:hint="eastAsia"/>
          <w:spacing w:val="-10"/>
          <w:lang w:val="en-US" w:eastAsia="zh-CN"/>
        </w:rPr>
      </w:pPr>
      <w:r>
        <w:rPr>
          <w:rFonts w:hint="eastAsia"/>
          <w:spacing w:val="-10"/>
          <w:lang w:val="en-US" w:eastAsia="zh-CN"/>
        </w:rPr>
        <w:t xml:space="preserve">（三）工程材料现场堆放、保管、标示、使用等现场管理检查； </w:t>
      </w:r>
    </w:p>
    <w:p>
      <w:pPr>
        <w:pStyle w:val="5"/>
        <w:spacing w:before="164" w:line="362" w:lineRule="auto"/>
        <w:ind w:left="1156" w:right="821" w:firstLine="480"/>
        <w:rPr>
          <w:rFonts w:hint="eastAsia"/>
          <w:spacing w:val="-10"/>
          <w:lang w:val="en-US" w:eastAsia="zh-CN"/>
        </w:rPr>
      </w:pPr>
      <w:r>
        <w:rPr>
          <w:rFonts w:hint="eastAsia"/>
          <w:spacing w:val="-10"/>
          <w:lang w:val="en-US" w:eastAsia="zh-CN"/>
        </w:rPr>
        <w:t xml:space="preserve">（四）工程材料封样检查； </w:t>
      </w:r>
    </w:p>
    <w:p>
      <w:pPr>
        <w:pStyle w:val="5"/>
        <w:spacing w:before="164" w:line="362" w:lineRule="auto"/>
        <w:ind w:left="1156" w:right="821" w:firstLine="480"/>
        <w:rPr>
          <w:rFonts w:hint="eastAsia"/>
          <w:spacing w:val="-10"/>
          <w:lang w:val="en-US" w:eastAsia="zh-CN"/>
        </w:rPr>
      </w:pPr>
      <w:r>
        <w:rPr>
          <w:rFonts w:hint="eastAsia"/>
          <w:spacing w:val="-10"/>
          <w:lang w:val="en-US" w:eastAsia="zh-CN"/>
        </w:rPr>
        <w:t xml:space="preserve">（五）工程材料内业资料检查。 </w:t>
      </w:r>
    </w:p>
    <w:p>
      <w:pPr>
        <w:pStyle w:val="5"/>
        <w:spacing w:before="164" w:line="362" w:lineRule="auto"/>
        <w:ind w:left="1156" w:right="821" w:firstLine="480"/>
        <w:rPr>
          <w:rFonts w:hint="eastAsia"/>
          <w:spacing w:val="-10"/>
          <w:lang w:val="en-US" w:eastAsia="zh-CN"/>
        </w:rPr>
      </w:pPr>
      <w:r>
        <w:rPr>
          <w:rFonts w:hint="eastAsia" w:ascii="宋体" w:hAnsi="宋体" w:eastAsia="宋体" w:cs="宋体"/>
          <w:b/>
          <w:bCs/>
          <w:color w:val="000000"/>
          <w:kern w:val="0"/>
          <w:sz w:val="24"/>
          <w:szCs w:val="24"/>
          <w:lang w:val="en-US" w:eastAsia="zh-CN" w:bidi="ar"/>
        </w:rPr>
        <w:t xml:space="preserve">第八条 </w:t>
      </w:r>
      <w:r>
        <w:rPr>
          <w:rFonts w:hint="eastAsia"/>
          <w:spacing w:val="-10"/>
          <w:lang w:val="en-US" w:eastAsia="zh-CN"/>
        </w:rPr>
        <w:t xml:space="preserve">检查方式 </w:t>
      </w:r>
    </w:p>
    <w:p>
      <w:pPr>
        <w:pStyle w:val="5"/>
        <w:spacing w:before="164" w:line="362" w:lineRule="auto"/>
        <w:ind w:left="1156" w:right="821" w:firstLine="480"/>
        <w:rPr>
          <w:rFonts w:hint="eastAsia"/>
          <w:spacing w:val="-10"/>
          <w:lang w:val="en-US" w:eastAsia="zh-CN"/>
        </w:rPr>
      </w:pPr>
      <w:r>
        <w:rPr>
          <w:rFonts w:hint="eastAsia"/>
          <w:spacing w:val="-10"/>
          <w:lang w:val="en-US" w:eastAsia="zh-CN"/>
        </w:rPr>
        <w:t xml:space="preserve">（一）常态化材料飞检：随第三方过程飞检进行材料飞检，由第三方负责取样和封样。 </w:t>
      </w:r>
    </w:p>
    <w:p>
      <w:pPr>
        <w:pStyle w:val="5"/>
        <w:spacing w:before="164" w:line="362" w:lineRule="auto"/>
        <w:ind w:left="1156" w:right="821" w:firstLine="480"/>
        <w:rPr>
          <w:rFonts w:hint="eastAsia"/>
          <w:spacing w:val="-10"/>
          <w:lang w:val="en-US" w:eastAsia="zh-CN"/>
        </w:rPr>
      </w:pPr>
      <w:r>
        <w:rPr>
          <w:rFonts w:hint="eastAsia"/>
          <w:spacing w:val="-10"/>
          <w:lang w:val="en-US" w:eastAsia="zh-CN"/>
        </w:rPr>
        <w:t xml:space="preserve">（二）专项检查：针对存在普遍问题或存在系统性风险的材料，不定期组织专项检查。 </w:t>
      </w:r>
    </w:p>
    <w:p>
      <w:pPr>
        <w:pStyle w:val="5"/>
        <w:spacing w:before="164" w:line="362" w:lineRule="auto"/>
        <w:ind w:left="1156" w:right="821" w:firstLine="480"/>
        <w:rPr>
          <w:rFonts w:hint="eastAsia"/>
          <w:spacing w:val="-10"/>
          <w:lang w:val="en-US" w:eastAsia="zh-CN"/>
        </w:rPr>
      </w:pPr>
      <w:r>
        <w:rPr>
          <w:rFonts w:hint="eastAsia"/>
          <w:spacing w:val="-10"/>
          <w:lang w:val="en-US" w:eastAsia="zh-CN"/>
        </w:rPr>
        <w:t xml:space="preserve">（三）工厂检查：对所使用材料的加工、生产工厂进行定期或不定期抽检。 </w:t>
      </w:r>
    </w:p>
    <w:p>
      <w:pPr>
        <w:pStyle w:val="5"/>
        <w:spacing w:before="164" w:line="362" w:lineRule="auto"/>
        <w:ind w:left="1156" w:right="821" w:firstLine="480"/>
        <w:rPr>
          <w:rFonts w:hint="eastAsia"/>
          <w:spacing w:val="-10"/>
          <w:lang w:val="en-US" w:eastAsia="zh-CN"/>
        </w:rPr>
      </w:pPr>
      <w:r>
        <w:rPr>
          <w:rFonts w:hint="eastAsia"/>
          <w:spacing w:val="-10"/>
          <w:lang w:val="en-US" w:eastAsia="zh-CN"/>
        </w:rPr>
        <w:t xml:space="preserve">（四）备样管理：对于送实验室检测的材料，抽样时应同时抽取两组，一验一备，项目需妥善保管备样至少 4 个月，不得丢失、损坏。 </w:t>
      </w:r>
    </w:p>
    <w:p>
      <w:pPr>
        <w:pStyle w:val="5"/>
        <w:spacing w:before="164" w:line="362" w:lineRule="auto"/>
        <w:ind w:left="1156" w:right="821" w:firstLine="480"/>
        <w:rPr>
          <w:rFonts w:hint="eastAsia"/>
          <w:spacing w:val="-10"/>
          <w:lang w:val="en-US" w:eastAsia="zh-CN"/>
        </w:rPr>
      </w:pPr>
      <w:r>
        <w:rPr>
          <w:rFonts w:hint="eastAsia"/>
          <w:spacing w:val="-10"/>
          <w:lang w:val="en-US" w:eastAsia="zh-CN"/>
        </w:rPr>
        <w:t>（五）检查结果汇总交底：城市公司及项目在收到检查结果后，应组织对供应商进行结果交底，并由供应商对不合格问题进行澄清，初步确定当批问题材料整改计划及处理意见。检查结果及处理意见应由广州公司相关职能部门、项目工程部、项目监理部、相应供应商共同签字确认。</w:t>
      </w:r>
    </w:p>
    <w:p>
      <w:pPr>
        <w:pStyle w:val="5"/>
        <w:spacing w:before="164" w:line="362" w:lineRule="auto"/>
        <w:ind w:left="1156" w:right="821" w:firstLine="480"/>
        <w:rPr>
          <w:rFonts w:hint="eastAsia"/>
          <w:spacing w:val="-10"/>
          <w:lang w:val="en-US" w:eastAsia="zh-CN"/>
        </w:rPr>
      </w:pPr>
      <w:r>
        <w:rPr>
          <w:rFonts w:hint="eastAsia"/>
          <w:spacing w:val="-10"/>
          <w:lang w:val="en-US" w:eastAsia="zh-CN"/>
        </w:rPr>
        <w:t xml:space="preserve">（六）不合格项整改：广州公司组织城市公司及项目对不合格项按整改计划及处理意见进行整改、复查及处理，整改处理结果知会广州公司相关部门。 </w:t>
      </w:r>
    </w:p>
    <w:p>
      <w:pPr>
        <w:pStyle w:val="5"/>
        <w:spacing w:before="164" w:line="362" w:lineRule="auto"/>
        <w:ind w:left="1156" w:right="821" w:firstLine="480"/>
        <w:rPr>
          <w:rFonts w:hint="eastAsia"/>
          <w:spacing w:val="-10"/>
          <w:lang w:val="en-US" w:eastAsia="zh-CN"/>
        </w:rPr>
      </w:pPr>
      <w:r>
        <w:rPr>
          <w:rFonts w:hint="eastAsia"/>
          <w:spacing w:val="-10"/>
          <w:lang w:val="en-US" w:eastAsia="zh-CN"/>
        </w:rPr>
        <w:t>（七）干扰检查罚则：国家标准规范规定的材料进场复验不能替代本管理办法要求的抽检。对于查实干扰检测过程的单位，处以即时违约扣款，标准</w:t>
      </w:r>
      <w:r>
        <w:rPr>
          <w:rFonts w:hint="eastAsia"/>
          <w:spacing w:val="-10"/>
          <w:u w:val="single"/>
          <w:lang w:val="en-US" w:eastAsia="zh-CN"/>
        </w:rPr>
        <w:t xml:space="preserve"> 10000 </w:t>
      </w:r>
      <w:r>
        <w:rPr>
          <w:rFonts w:hint="eastAsia"/>
          <w:spacing w:val="-10"/>
          <w:lang w:val="en-US" w:eastAsia="zh-CN"/>
        </w:rPr>
        <w:t xml:space="preserve">元/次，通报批评、追究其违约责任。 </w:t>
      </w:r>
    </w:p>
    <w:p>
      <w:pPr>
        <w:pStyle w:val="5"/>
        <w:spacing w:before="164" w:line="362" w:lineRule="auto"/>
        <w:ind w:left="1156" w:right="821" w:firstLine="480"/>
        <w:rPr>
          <w:rFonts w:hint="eastAsia"/>
          <w:spacing w:val="-10"/>
          <w:lang w:val="en-US" w:eastAsia="zh-CN"/>
        </w:rPr>
      </w:pPr>
      <w:r>
        <w:rPr>
          <w:rFonts w:hint="eastAsia" w:ascii="宋体" w:hAnsi="宋体" w:eastAsia="宋体" w:cs="宋体"/>
          <w:b/>
          <w:bCs/>
          <w:color w:val="000000"/>
          <w:kern w:val="0"/>
          <w:sz w:val="24"/>
          <w:szCs w:val="24"/>
          <w:lang w:val="en-US" w:eastAsia="zh-CN" w:bidi="ar"/>
        </w:rPr>
        <w:t xml:space="preserve">第九条 </w:t>
      </w:r>
      <w:r>
        <w:rPr>
          <w:rFonts w:hint="eastAsia"/>
          <w:spacing w:val="-10"/>
          <w:lang w:val="en-US" w:eastAsia="zh-CN"/>
        </w:rPr>
        <w:t xml:space="preserve">工程材料检查考核办法 </w:t>
      </w:r>
    </w:p>
    <w:p>
      <w:pPr>
        <w:pStyle w:val="5"/>
        <w:spacing w:before="164" w:line="362" w:lineRule="auto"/>
        <w:ind w:left="1156" w:right="821" w:firstLine="480"/>
        <w:rPr>
          <w:rFonts w:hint="eastAsia"/>
          <w:spacing w:val="-10"/>
          <w:lang w:val="en-US" w:eastAsia="zh-CN"/>
        </w:rPr>
      </w:pPr>
      <w:r>
        <w:rPr>
          <w:rFonts w:hint="eastAsia"/>
          <w:spacing w:val="-10"/>
          <w:lang w:val="en-US" w:eastAsia="zh-CN"/>
        </w:rPr>
        <w:t xml:space="preserve">（一）国贸地产广州公司采购类工程材料设备 </w:t>
      </w:r>
    </w:p>
    <w:p>
      <w:pPr>
        <w:pStyle w:val="5"/>
        <w:spacing w:before="164" w:line="362" w:lineRule="auto"/>
        <w:ind w:left="1156" w:right="821" w:firstLine="480"/>
        <w:rPr>
          <w:rFonts w:hint="eastAsia"/>
          <w:spacing w:val="-10"/>
          <w:lang w:val="en-US" w:eastAsia="zh-CN"/>
        </w:rPr>
      </w:pPr>
      <w:r>
        <w:rPr>
          <w:rFonts w:hint="eastAsia"/>
          <w:spacing w:val="-10"/>
          <w:lang w:val="en-US" w:eastAsia="zh-CN"/>
        </w:rPr>
        <w:t xml:space="preserve">国贸地产广州公司采购类工程材料设备实行品类及技术指标进行高、中、低风险分级管控，按分级实施对应的检查处罚机制。对于出现材料设备技术指标不合格或未经我方同意的材料品牌/型号替换的，根据合同条款约定扣除相应比例的违约金，违约金额包括：违约处罚、工期及费用间接损失金额。当材料技术指标不合格与未经我方同意的材料品牌/型号替换同时发生时，应从重处罚。对于情节严重的情况，可叠加处罚。 </w:t>
      </w:r>
    </w:p>
    <w:p>
      <w:pPr>
        <w:pStyle w:val="5"/>
        <w:spacing w:before="164" w:line="362" w:lineRule="auto"/>
        <w:ind w:left="1156" w:right="821" w:firstLine="480"/>
        <w:rPr>
          <w:rFonts w:hint="eastAsia"/>
          <w:spacing w:val="-10"/>
          <w:lang w:val="en-US" w:eastAsia="zh-CN"/>
        </w:rPr>
      </w:pPr>
      <w:r>
        <w:rPr>
          <w:rFonts w:hint="eastAsia"/>
          <w:spacing w:val="-10"/>
          <w:lang w:val="en-US" w:eastAsia="zh-CN"/>
        </w:rPr>
        <w:t>（二）非国贸地产广州公司采购类工程材料设备</w:t>
      </w:r>
    </w:p>
    <w:tbl>
      <w:tblPr>
        <w:tblStyle w:val="10"/>
        <w:tblW w:w="0" w:type="auto"/>
        <w:tblInd w:w="198"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344"/>
        <w:gridCol w:w="1882"/>
        <w:gridCol w:w="1512"/>
        <w:gridCol w:w="2299"/>
        <w:gridCol w:w="2297"/>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311" w:hRule="atLeast"/>
        </w:trPr>
        <w:tc>
          <w:tcPr>
            <w:tcW w:w="4738" w:type="dxa"/>
            <w:gridSpan w:val="3"/>
            <w:shd w:val="clear" w:color="auto" w:fill="BEBEBE"/>
          </w:tcPr>
          <w:p>
            <w:pPr>
              <w:pStyle w:val="14"/>
              <w:spacing w:line="291" w:lineRule="exact"/>
              <w:ind w:left="1645"/>
              <w:rPr>
                <w:rFonts w:hint="eastAsia" w:ascii="Microsoft JhengHei" w:eastAsia="Microsoft JhengHei"/>
                <w:b/>
                <w:sz w:val="24"/>
              </w:rPr>
            </w:pPr>
            <w:r>
              <w:rPr>
                <w:rFonts w:hint="eastAsia" w:ascii="Microsoft JhengHei" w:eastAsia="Microsoft JhengHei"/>
                <w:b/>
                <w:sz w:val="24"/>
              </w:rPr>
              <w:t>质量管理分类</w:t>
            </w:r>
            <w:r>
              <w:rPr>
                <w:rFonts w:hint="eastAsia" w:ascii="Microsoft JhengHei" w:eastAsia="Microsoft JhengHei"/>
                <w:b/>
                <w:w w:val="200"/>
                <w:sz w:val="24"/>
              </w:rPr>
              <w:t xml:space="preserve"> </w:t>
            </w:r>
          </w:p>
        </w:tc>
        <w:tc>
          <w:tcPr>
            <w:tcW w:w="2299" w:type="dxa"/>
            <w:vMerge w:val="restart"/>
            <w:shd w:val="clear" w:color="auto" w:fill="BEBEBE"/>
          </w:tcPr>
          <w:p>
            <w:pPr>
              <w:pStyle w:val="14"/>
              <w:spacing w:before="158"/>
              <w:ind w:left="547"/>
              <w:rPr>
                <w:rFonts w:hint="eastAsia" w:ascii="Microsoft JhengHei" w:eastAsia="Microsoft JhengHei"/>
                <w:b/>
                <w:sz w:val="24"/>
              </w:rPr>
            </w:pPr>
            <w:r>
              <w:rPr>
                <w:rFonts w:hint="eastAsia" w:ascii="Microsoft JhengHei" w:eastAsia="Microsoft JhengHei"/>
                <w:b/>
                <w:sz w:val="24"/>
              </w:rPr>
              <w:t>对施工单位</w:t>
            </w:r>
            <w:r>
              <w:rPr>
                <w:rFonts w:hint="eastAsia" w:ascii="Microsoft JhengHei" w:eastAsia="Microsoft JhengHei"/>
                <w:b/>
                <w:w w:val="200"/>
                <w:sz w:val="24"/>
              </w:rPr>
              <w:t xml:space="preserve"> </w:t>
            </w:r>
          </w:p>
        </w:tc>
        <w:tc>
          <w:tcPr>
            <w:tcW w:w="2297" w:type="dxa"/>
            <w:vMerge w:val="restart"/>
            <w:shd w:val="clear" w:color="auto" w:fill="BEBEBE"/>
          </w:tcPr>
          <w:p>
            <w:pPr>
              <w:pStyle w:val="14"/>
              <w:spacing w:line="362" w:lineRule="exact"/>
              <w:ind w:left="483"/>
              <w:rPr>
                <w:rFonts w:hint="eastAsia" w:ascii="Microsoft JhengHei" w:eastAsia="Microsoft JhengHei"/>
                <w:b/>
                <w:sz w:val="24"/>
              </w:rPr>
            </w:pPr>
            <w:r>
              <w:rPr>
                <w:rFonts w:hint="eastAsia" w:ascii="Microsoft JhengHei" w:eastAsia="Microsoft JhengHei"/>
                <w:b/>
                <w:sz w:val="24"/>
              </w:rPr>
              <w:t>对监理单位</w:t>
            </w:r>
            <w:r>
              <w:rPr>
                <w:rFonts w:hint="eastAsia" w:ascii="Microsoft JhengHei" w:eastAsia="Microsoft JhengHei"/>
                <w:b/>
                <w:w w:val="200"/>
                <w:sz w:val="24"/>
              </w:rPr>
              <w:t xml:space="preserve">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3" w:hRule="atLeast"/>
        </w:trPr>
        <w:tc>
          <w:tcPr>
            <w:tcW w:w="1344" w:type="dxa"/>
            <w:shd w:val="clear" w:color="auto" w:fill="BEBEBE"/>
          </w:tcPr>
          <w:p>
            <w:pPr>
              <w:pStyle w:val="14"/>
              <w:spacing w:line="433" w:lineRule="exact"/>
              <w:ind w:left="189"/>
              <w:rPr>
                <w:rFonts w:hint="eastAsia" w:ascii="Microsoft JhengHei" w:eastAsia="Microsoft JhengHei"/>
                <w:b/>
                <w:sz w:val="24"/>
              </w:rPr>
            </w:pPr>
            <w:r>
              <w:rPr>
                <w:rFonts w:hint="eastAsia" w:ascii="Microsoft JhengHei" w:eastAsia="Microsoft JhengHei"/>
                <w:b/>
                <w:sz w:val="24"/>
              </w:rPr>
              <w:t>违约行为</w:t>
            </w:r>
          </w:p>
        </w:tc>
        <w:tc>
          <w:tcPr>
            <w:tcW w:w="1882" w:type="dxa"/>
            <w:shd w:val="clear" w:color="auto" w:fill="BEBEBE"/>
          </w:tcPr>
          <w:p>
            <w:pPr>
              <w:pStyle w:val="14"/>
              <w:spacing w:line="433" w:lineRule="exact"/>
              <w:ind w:left="395"/>
              <w:rPr>
                <w:rFonts w:hint="eastAsia" w:ascii="Microsoft JhengHei" w:eastAsia="Microsoft JhengHei"/>
                <w:b/>
                <w:sz w:val="24"/>
              </w:rPr>
            </w:pPr>
            <w:r>
              <w:rPr>
                <w:rFonts w:hint="eastAsia" w:ascii="Microsoft JhengHei" w:eastAsia="Microsoft JhengHei"/>
                <w:b/>
                <w:sz w:val="24"/>
              </w:rPr>
              <w:t>影响/后果</w:t>
            </w:r>
            <w:r>
              <w:rPr>
                <w:rFonts w:hint="eastAsia" w:ascii="Microsoft JhengHei" w:eastAsia="Microsoft JhengHei"/>
                <w:b/>
                <w:w w:val="200"/>
                <w:sz w:val="24"/>
              </w:rPr>
              <w:t xml:space="preserve"> </w:t>
            </w:r>
          </w:p>
        </w:tc>
        <w:tc>
          <w:tcPr>
            <w:tcW w:w="1512" w:type="dxa"/>
            <w:shd w:val="clear" w:color="auto" w:fill="BEBEBE"/>
          </w:tcPr>
          <w:p>
            <w:pPr>
              <w:pStyle w:val="14"/>
              <w:spacing w:line="433" w:lineRule="exact"/>
              <w:ind w:left="513"/>
              <w:rPr>
                <w:rFonts w:hint="eastAsia" w:ascii="Microsoft JhengHei" w:eastAsia="Microsoft JhengHei"/>
                <w:b/>
                <w:sz w:val="24"/>
              </w:rPr>
            </w:pPr>
            <w:r>
              <w:rPr>
                <w:rFonts w:hint="eastAsia" w:ascii="Microsoft JhengHei" w:eastAsia="Microsoft JhengHei"/>
                <w:b/>
                <w:sz w:val="24"/>
              </w:rPr>
              <w:t>状态</w:t>
            </w:r>
            <w:r>
              <w:rPr>
                <w:rFonts w:hint="eastAsia" w:ascii="Microsoft JhengHei" w:eastAsia="Microsoft JhengHei"/>
                <w:b/>
                <w:w w:val="200"/>
                <w:sz w:val="24"/>
              </w:rPr>
              <w:t xml:space="preserve"> </w:t>
            </w:r>
          </w:p>
        </w:tc>
        <w:tc>
          <w:tcPr>
            <w:tcW w:w="2299" w:type="dxa"/>
            <w:vMerge w:val="continue"/>
            <w:tcBorders>
              <w:top w:val="nil"/>
            </w:tcBorders>
            <w:shd w:val="clear" w:color="auto" w:fill="BEBEBE"/>
          </w:tcPr>
          <w:p>
            <w:pPr>
              <w:rPr>
                <w:sz w:val="2"/>
                <w:szCs w:val="2"/>
              </w:rPr>
            </w:pPr>
          </w:p>
        </w:tc>
        <w:tc>
          <w:tcPr>
            <w:tcW w:w="2297" w:type="dxa"/>
            <w:vMerge w:val="continue"/>
            <w:tcBorders>
              <w:top w:val="nil"/>
            </w:tcBorders>
            <w:shd w:val="clear" w:color="auto" w:fill="BEBEBE"/>
          </w:tcPr>
          <w:p>
            <w:pPr>
              <w:rPr>
                <w:sz w:val="2"/>
                <w:szCs w:val="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038" w:hRule="atLeast"/>
        </w:trPr>
        <w:tc>
          <w:tcPr>
            <w:tcW w:w="1344" w:type="dxa"/>
            <w:vMerge w:val="restart"/>
          </w:tcPr>
          <w:p>
            <w:pPr>
              <w:pStyle w:val="14"/>
              <w:rPr>
                <w:sz w:val="20"/>
              </w:rPr>
            </w:pPr>
          </w:p>
          <w:p>
            <w:pPr>
              <w:pStyle w:val="14"/>
              <w:rPr>
                <w:sz w:val="20"/>
              </w:rPr>
            </w:pPr>
          </w:p>
          <w:p>
            <w:pPr>
              <w:pStyle w:val="14"/>
              <w:rPr>
                <w:sz w:val="20"/>
              </w:rPr>
            </w:pPr>
          </w:p>
          <w:p>
            <w:pPr>
              <w:pStyle w:val="14"/>
              <w:spacing w:before="151"/>
              <w:ind w:left="270"/>
              <w:rPr>
                <w:sz w:val="20"/>
              </w:rPr>
            </w:pPr>
            <w:r>
              <w:rPr>
                <w:sz w:val="20"/>
              </w:rPr>
              <w:t xml:space="preserve">货不对板 </w:t>
            </w:r>
          </w:p>
        </w:tc>
        <w:tc>
          <w:tcPr>
            <w:tcW w:w="1882" w:type="dxa"/>
            <w:vMerge w:val="restart"/>
          </w:tcPr>
          <w:p>
            <w:pPr>
              <w:pStyle w:val="14"/>
              <w:rPr>
                <w:sz w:val="20"/>
              </w:rPr>
            </w:pPr>
          </w:p>
          <w:p>
            <w:pPr>
              <w:pStyle w:val="14"/>
              <w:rPr>
                <w:sz w:val="20"/>
              </w:rPr>
            </w:pPr>
          </w:p>
          <w:p>
            <w:pPr>
              <w:pStyle w:val="14"/>
              <w:spacing w:before="9"/>
              <w:rPr>
                <w:sz w:val="21"/>
              </w:rPr>
            </w:pPr>
          </w:p>
          <w:p>
            <w:pPr>
              <w:pStyle w:val="14"/>
              <w:spacing w:line="242" w:lineRule="auto"/>
              <w:ind w:left="539" w:right="123" w:hanging="401"/>
              <w:rPr>
                <w:sz w:val="20"/>
              </w:rPr>
            </w:pPr>
            <w:r>
              <w:rPr>
                <w:sz w:val="20"/>
              </w:rPr>
              <w:t xml:space="preserve">品牌、型号与合同约定不符 </w:t>
            </w:r>
          </w:p>
        </w:tc>
        <w:tc>
          <w:tcPr>
            <w:tcW w:w="1512" w:type="dxa"/>
          </w:tcPr>
          <w:p>
            <w:pPr>
              <w:pStyle w:val="14"/>
              <w:spacing w:before="6"/>
              <w:rPr>
                <w:sz w:val="20"/>
              </w:rPr>
            </w:pPr>
          </w:p>
          <w:p>
            <w:pPr>
              <w:pStyle w:val="14"/>
              <w:spacing w:line="242" w:lineRule="auto"/>
              <w:ind w:left="654" w:right="139" w:hanging="502"/>
              <w:rPr>
                <w:sz w:val="20"/>
              </w:rPr>
            </w:pPr>
            <w:r>
              <w:rPr>
                <w:sz w:val="20"/>
              </w:rPr>
              <w:t xml:space="preserve">已到场，未安装 </w:t>
            </w:r>
          </w:p>
        </w:tc>
        <w:tc>
          <w:tcPr>
            <w:tcW w:w="2299" w:type="dxa"/>
          </w:tcPr>
          <w:p>
            <w:pPr>
              <w:pStyle w:val="14"/>
              <w:spacing w:before="3"/>
              <w:ind w:left="108"/>
              <w:rPr>
                <w:sz w:val="20"/>
              </w:rPr>
            </w:pPr>
            <w:r>
              <w:rPr>
                <w:sz w:val="20"/>
              </w:rPr>
              <w:t xml:space="preserve">材料退场 </w:t>
            </w:r>
          </w:p>
          <w:p>
            <w:pPr>
              <w:pStyle w:val="14"/>
              <w:spacing w:before="3" w:line="242" w:lineRule="auto"/>
              <w:ind w:left="108" w:right="131"/>
              <w:rPr>
                <w:sz w:val="20"/>
              </w:rPr>
            </w:pPr>
            <w:r>
              <w:rPr>
                <w:sz w:val="20"/>
              </w:rPr>
              <w:t>处罚金额=货不对板批次产品对应的合同金额</w:t>
            </w:r>
          </w:p>
          <w:p>
            <w:pPr>
              <w:pStyle w:val="14"/>
              <w:spacing w:before="1" w:line="237" w:lineRule="exact"/>
              <w:ind w:left="108"/>
              <w:rPr>
                <w:sz w:val="20"/>
              </w:rPr>
            </w:pPr>
            <w:r>
              <w:rPr>
                <w:sz w:val="20"/>
              </w:rPr>
              <w:t xml:space="preserve">×0.3 </w:t>
            </w:r>
          </w:p>
        </w:tc>
        <w:tc>
          <w:tcPr>
            <w:tcW w:w="2297" w:type="dxa"/>
          </w:tcPr>
          <w:p>
            <w:pPr>
              <w:pStyle w:val="14"/>
              <w:spacing w:before="147" w:line="292" w:lineRule="auto"/>
              <w:ind w:right="277"/>
              <w:rPr>
                <w:sz w:val="20"/>
              </w:rPr>
            </w:pPr>
            <w:r>
              <w:rPr>
                <w:sz w:val="20"/>
              </w:rPr>
              <w:t xml:space="preserve">视具体情况，每次处罚1000-3000 元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038" w:hRule="atLeast"/>
        </w:trPr>
        <w:tc>
          <w:tcPr>
            <w:tcW w:w="1344" w:type="dxa"/>
            <w:vMerge w:val="continue"/>
            <w:tcBorders>
              <w:top w:val="nil"/>
            </w:tcBorders>
          </w:tcPr>
          <w:p>
            <w:pPr>
              <w:rPr>
                <w:sz w:val="2"/>
                <w:szCs w:val="2"/>
              </w:rPr>
            </w:pPr>
          </w:p>
        </w:tc>
        <w:tc>
          <w:tcPr>
            <w:tcW w:w="1882" w:type="dxa"/>
            <w:vMerge w:val="continue"/>
            <w:tcBorders>
              <w:top w:val="nil"/>
            </w:tcBorders>
          </w:tcPr>
          <w:p>
            <w:pPr>
              <w:rPr>
                <w:sz w:val="2"/>
                <w:szCs w:val="2"/>
              </w:rPr>
            </w:pPr>
          </w:p>
        </w:tc>
        <w:tc>
          <w:tcPr>
            <w:tcW w:w="1512" w:type="dxa"/>
          </w:tcPr>
          <w:p>
            <w:pPr>
              <w:pStyle w:val="14"/>
              <w:spacing w:before="130" w:line="242" w:lineRule="auto"/>
              <w:ind w:left="254" w:right="139" w:hanging="101"/>
              <w:rPr>
                <w:sz w:val="20"/>
              </w:rPr>
            </w:pPr>
            <w:r>
              <w:rPr>
                <w:sz w:val="20"/>
              </w:rPr>
              <w:t>已安装且与交付标准无冲</w:t>
            </w:r>
          </w:p>
          <w:p>
            <w:pPr>
              <w:pStyle w:val="14"/>
              <w:spacing w:before="1"/>
              <w:ind w:left="153"/>
              <w:rPr>
                <w:sz w:val="20"/>
              </w:rPr>
            </w:pPr>
            <w:r>
              <w:rPr>
                <w:sz w:val="20"/>
              </w:rPr>
              <w:t xml:space="preserve">突，可不拆除 </w:t>
            </w:r>
          </w:p>
        </w:tc>
        <w:tc>
          <w:tcPr>
            <w:tcW w:w="2299" w:type="dxa"/>
          </w:tcPr>
          <w:p>
            <w:pPr>
              <w:pStyle w:val="14"/>
              <w:spacing w:before="1" w:line="242" w:lineRule="auto"/>
              <w:ind w:left="108" w:right="70"/>
              <w:rPr>
                <w:sz w:val="20"/>
              </w:rPr>
            </w:pPr>
            <w:r>
              <w:rPr>
                <w:spacing w:val="-11"/>
                <w:sz w:val="20"/>
              </w:rPr>
              <w:t xml:space="preserve">延长保修 </w:t>
            </w:r>
            <w:r>
              <w:rPr>
                <w:sz w:val="20"/>
              </w:rPr>
              <w:t>12</w:t>
            </w:r>
            <w:r>
              <w:rPr>
                <w:spacing w:val="-34"/>
                <w:sz w:val="20"/>
              </w:rPr>
              <w:t xml:space="preserve"> 或 </w:t>
            </w:r>
            <w:r>
              <w:rPr>
                <w:sz w:val="20"/>
              </w:rPr>
              <w:t>24</w:t>
            </w:r>
            <w:r>
              <w:rPr>
                <w:spacing w:val="-17"/>
                <w:sz w:val="20"/>
              </w:rPr>
              <w:t xml:space="preserve"> 个月处罚金额=货不对板批 次产品对应的合同金额</w:t>
            </w:r>
          </w:p>
          <w:p>
            <w:pPr>
              <w:pStyle w:val="14"/>
              <w:spacing w:before="1" w:line="240" w:lineRule="exact"/>
              <w:ind w:left="108"/>
              <w:rPr>
                <w:sz w:val="20"/>
              </w:rPr>
            </w:pPr>
            <w:r>
              <w:rPr>
                <w:sz w:val="20"/>
              </w:rPr>
              <w:t xml:space="preserve">×0.5 </w:t>
            </w:r>
          </w:p>
        </w:tc>
        <w:tc>
          <w:tcPr>
            <w:tcW w:w="2297" w:type="dxa"/>
          </w:tcPr>
          <w:p>
            <w:pPr>
              <w:pStyle w:val="14"/>
              <w:spacing w:before="147" w:line="290" w:lineRule="auto"/>
              <w:ind w:right="277"/>
              <w:rPr>
                <w:sz w:val="20"/>
              </w:rPr>
            </w:pPr>
            <w:r>
              <w:rPr>
                <w:sz w:val="20"/>
              </w:rPr>
              <w:t xml:space="preserve">视具体情况，每次处罚2000-5000 元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036" w:hRule="atLeast"/>
        </w:trPr>
        <w:tc>
          <w:tcPr>
            <w:tcW w:w="1344" w:type="dxa"/>
            <w:tcBorders>
              <w:top w:val="nil"/>
            </w:tcBorders>
          </w:tcPr>
          <w:p>
            <w:pPr>
              <w:pStyle w:val="14"/>
              <w:rPr>
                <w:rFonts w:ascii="Times New Roman"/>
                <w:sz w:val="20"/>
              </w:rPr>
            </w:pPr>
          </w:p>
        </w:tc>
        <w:tc>
          <w:tcPr>
            <w:tcW w:w="1882" w:type="dxa"/>
            <w:tcBorders>
              <w:top w:val="nil"/>
            </w:tcBorders>
          </w:tcPr>
          <w:p>
            <w:pPr>
              <w:pStyle w:val="14"/>
              <w:rPr>
                <w:rFonts w:ascii="Times New Roman"/>
                <w:sz w:val="20"/>
              </w:rPr>
            </w:pPr>
          </w:p>
        </w:tc>
        <w:tc>
          <w:tcPr>
            <w:tcW w:w="1512" w:type="dxa"/>
            <w:tcBorders>
              <w:top w:val="nil"/>
            </w:tcBorders>
          </w:tcPr>
          <w:p>
            <w:pPr>
              <w:pStyle w:val="14"/>
              <w:spacing w:before="4"/>
              <w:rPr>
                <w:sz w:val="20"/>
              </w:rPr>
            </w:pPr>
          </w:p>
          <w:p>
            <w:pPr>
              <w:pStyle w:val="14"/>
              <w:spacing w:line="242" w:lineRule="auto"/>
              <w:ind w:left="453" w:right="139" w:hanging="300"/>
              <w:rPr>
                <w:sz w:val="20"/>
              </w:rPr>
            </w:pPr>
            <w:r>
              <w:rPr>
                <w:sz w:val="20"/>
              </w:rPr>
              <w:t xml:space="preserve">已安装，需强制拆除 </w:t>
            </w:r>
          </w:p>
        </w:tc>
        <w:tc>
          <w:tcPr>
            <w:tcW w:w="2299" w:type="dxa"/>
            <w:tcBorders>
              <w:top w:val="nil"/>
            </w:tcBorders>
          </w:tcPr>
          <w:p>
            <w:pPr>
              <w:pStyle w:val="14"/>
              <w:spacing w:before="1"/>
              <w:ind w:left="108"/>
              <w:rPr>
                <w:sz w:val="20"/>
              </w:rPr>
            </w:pPr>
            <w:r>
              <w:rPr>
                <w:sz w:val="20"/>
              </w:rPr>
              <w:t xml:space="preserve">拆除重做 </w:t>
            </w:r>
          </w:p>
          <w:p>
            <w:pPr>
              <w:pStyle w:val="14"/>
              <w:spacing w:before="3" w:line="242" w:lineRule="auto"/>
              <w:ind w:left="108" w:right="76"/>
              <w:rPr>
                <w:sz w:val="20"/>
              </w:rPr>
            </w:pPr>
            <w:r>
              <w:rPr>
                <w:sz w:val="20"/>
              </w:rPr>
              <w:t>处罚金额= 货不对板批次产品对应的合同金额</w:t>
            </w:r>
          </w:p>
          <w:p>
            <w:pPr>
              <w:pStyle w:val="14"/>
              <w:spacing w:before="1" w:line="237" w:lineRule="exact"/>
              <w:ind w:left="108"/>
              <w:rPr>
                <w:sz w:val="20"/>
              </w:rPr>
            </w:pPr>
            <w:r>
              <w:rPr>
                <w:sz w:val="20"/>
              </w:rPr>
              <w:t xml:space="preserve">×0.5 </w:t>
            </w:r>
          </w:p>
        </w:tc>
        <w:tc>
          <w:tcPr>
            <w:tcW w:w="2297" w:type="dxa"/>
            <w:tcBorders>
              <w:top w:val="nil"/>
            </w:tcBorders>
          </w:tcPr>
          <w:p>
            <w:pPr>
              <w:pStyle w:val="14"/>
              <w:spacing w:before="145" w:line="292" w:lineRule="auto"/>
              <w:ind w:right="277"/>
              <w:rPr>
                <w:sz w:val="20"/>
              </w:rPr>
            </w:pPr>
            <w:r>
              <w:rPr>
                <w:sz w:val="20"/>
              </w:rPr>
              <w:t xml:space="preserve">视具体情况，每次处罚4000-10000 元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038" w:hRule="atLeast"/>
        </w:trPr>
        <w:tc>
          <w:tcPr>
            <w:tcW w:w="1344" w:type="dxa"/>
            <w:vMerge w:val="restart"/>
          </w:tcPr>
          <w:p>
            <w:pPr>
              <w:pStyle w:val="14"/>
              <w:rPr>
                <w:sz w:val="20"/>
              </w:rPr>
            </w:pPr>
          </w:p>
          <w:p>
            <w:pPr>
              <w:pStyle w:val="14"/>
              <w:rPr>
                <w:sz w:val="20"/>
              </w:rPr>
            </w:pPr>
          </w:p>
          <w:p>
            <w:pPr>
              <w:pStyle w:val="14"/>
              <w:rPr>
                <w:sz w:val="20"/>
              </w:rPr>
            </w:pPr>
          </w:p>
          <w:p>
            <w:pPr>
              <w:pStyle w:val="14"/>
              <w:rPr>
                <w:sz w:val="20"/>
              </w:rPr>
            </w:pPr>
          </w:p>
          <w:p>
            <w:pPr>
              <w:pStyle w:val="14"/>
              <w:rPr>
                <w:sz w:val="20"/>
              </w:rPr>
            </w:pPr>
          </w:p>
          <w:p>
            <w:pPr>
              <w:pStyle w:val="14"/>
              <w:spacing w:before="167"/>
              <w:ind w:left="270"/>
              <w:rPr>
                <w:sz w:val="20"/>
              </w:rPr>
            </w:pPr>
            <w:r>
              <w:rPr>
                <w:sz w:val="20"/>
              </w:rPr>
              <w:t xml:space="preserve">偷工减料 </w:t>
            </w:r>
          </w:p>
        </w:tc>
        <w:tc>
          <w:tcPr>
            <w:tcW w:w="1882" w:type="dxa"/>
            <w:vMerge w:val="restart"/>
          </w:tcPr>
          <w:p>
            <w:pPr>
              <w:pStyle w:val="14"/>
              <w:rPr>
                <w:sz w:val="20"/>
              </w:rPr>
            </w:pPr>
          </w:p>
          <w:p>
            <w:pPr>
              <w:pStyle w:val="14"/>
              <w:rPr>
                <w:sz w:val="20"/>
              </w:rPr>
            </w:pPr>
          </w:p>
          <w:p>
            <w:pPr>
              <w:pStyle w:val="14"/>
              <w:rPr>
                <w:sz w:val="20"/>
              </w:rPr>
            </w:pPr>
          </w:p>
          <w:p>
            <w:pPr>
              <w:pStyle w:val="14"/>
              <w:spacing w:before="8"/>
              <w:rPr>
                <w:sz w:val="22"/>
              </w:rPr>
            </w:pPr>
          </w:p>
          <w:p>
            <w:pPr>
              <w:pStyle w:val="14"/>
              <w:spacing w:before="1" w:line="242" w:lineRule="auto"/>
              <w:ind w:left="138" w:right="123"/>
              <w:jc w:val="center"/>
              <w:rPr>
                <w:sz w:val="20"/>
              </w:rPr>
            </w:pPr>
            <w:r>
              <w:rPr>
                <w:sz w:val="20"/>
              </w:rPr>
              <w:t xml:space="preserve">材料、设备相关技术参数（如厚度、等级等）低于合同约定 </w:t>
            </w:r>
          </w:p>
        </w:tc>
        <w:tc>
          <w:tcPr>
            <w:tcW w:w="1512" w:type="dxa"/>
          </w:tcPr>
          <w:p>
            <w:pPr>
              <w:pStyle w:val="14"/>
              <w:spacing w:before="4"/>
              <w:rPr>
                <w:sz w:val="20"/>
              </w:rPr>
            </w:pPr>
          </w:p>
          <w:p>
            <w:pPr>
              <w:pStyle w:val="14"/>
              <w:spacing w:line="242" w:lineRule="auto"/>
              <w:ind w:left="654" w:right="139" w:hanging="502"/>
              <w:rPr>
                <w:sz w:val="20"/>
              </w:rPr>
            </w:pPr>
            <w:r>
              <w:rPr>
                <w:sz w:val="20"/>
              </w:rPr>
              <w:t xml:space="preserve">已到场，未安装 </w:t>
            </w:r>
          </w:p>
        </w:tc>
        <w:tc>
          <w:tcPr>
            <w:tcW w:w="2299" w:type="dxa"/>
          </w:tcPr>
          <w:p>
            <w:pPr>
              <w:pStyle w:val="14"/>
              <w:spacing w:before="1"/>
              <w:ind w:left="108"/>
              <w:rPr>
                <w:sz w:val="20"/>
              </w:rPr>
            </w:pPr>
            <w:r>
              <w:rPr>
                <w:sz w:val="20"/>
              </w:rPr>
              <w:t xml:space="preserve">材料退场 </w:t>
            </w:r>
          </w:p>
          <w:p>
            <w:pPr>
              <w:pStyle w:val="14"/>
              <w:spacing w:before="3" w:line="242" w:lineRule="auto"/>
              <w:ind w:left="108" w:right="131"/>
              <w:rPr>
                <w:sz w:val="20"/>
              </w:rPr>
            </w:pPr>
            <w:r>
              <w:rPr>
                <w:sz w:val="20"/>
              </w:rPr>
              <w:t>处罚金额=偷工减料批次产品对应的合同金额</w:t>
            </w:r>
          </w:p>
          <w:p>
            <w:pPr>
              <w:pStyle w:val="14"/>
              <w:spacing w:before="1" w:line="240" w:lineRule="exact"/>
              <w:ind w:left="108"/>
              <w:rPr>
                <w:sz w:val="20"/>
              </w:rPr>
            </w:pPr>
            <w:r>
              <w:rPr>
                <w:sz w:val="20"/>
              </w:rPr>
              <w:t xml:space="preserve">×0.3。 </w:t>
            </w:r>
          </w:p>
        </w:tc>
        <w:tc>
          <w:tcPr>
            <w:tcW w:w="2297" w:type="dxa"/>
          </w:tcPr>
          <w:p>
            <w:pPr>
              <w:pStyle w:val="14"/>
              <w:spacing w:before="147" w:line="290" w:lineRule="auto"/>
              <w:ind w:right="277"/>
              <w:rPr>
                <w:sz w:val="20"/>
              </w:rPr>
            </w:pPr>
            <w:r>
              <w:rPr>
                <w:sz w:val="20"/>
              </w:rPr>
              <w:t xml:space="preserve">视具体情况，每次处罚1000-3000 元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1035" w:hRule="atLeast"/>
        </w:trPr>
        <w:tc>
          <w:tcPr>
            <w:tcW w:w="1344" w:type="dxa"/>
            <w:vMerge w:val="continue"/>
            <w:tcBorders>
              <w:top w:val="nil"/>
            </w:tcBorders>
          </w:tcPr>
          <w:p>
            <w:pPr>
              <w:rPr>
                <w:sz w:val="2"/>
                <w:szCs w:val="2"/>
              </w:rPr>
            </w:pPr>
          </w:p>
        </w:tc>
        <w:tc>
          <w:tcPr>
            <w:tcW w:w="1882" w:type="dxa"/>
            <w:vMerge w:val="continue"/>
            <w:tcBorders>
              <w:top w:val="nil"/>
            </w:tcBorders>
          </w:tcPr>
          <w:p>
            <w:pPr>
              <w:rPr>
                <w:sz w:val="2"/>
                <w:szCs w:val="2"/>
              </w:rPr>
            </w:pPr>
          </w:p>
        </w:tc>
        <w:tc>
          <w:tcPr>
            <w:tcW w:w="1512" w:type="dxa"/>
          </w:tcPr>
          <w:p>
            <w:pPr>
              <w:pStyle w:val="14"/>
              <w:spacing w:before="130" w:line="242" w:lineRule="auto"/>
              <w:ind w:left="153" w:right="139"/>
              <w:jc w:val="center"/>
              <w:rPr>
                <w:sz w:val="20"/>
              </w:rPr>
            </w:pPr>
            <w:r>
              <w:rPr>
                <w:sz w:val="20"/>
              </w:rPr>
              <w:t xml:space="preserve">安装且与交付标准无冲突， 可不拆除 </w:t>
            </w:r>
          </w:p>
        </w:tc>
        <w:tc>
          <w:tcPr>
            <w:tcW w:w="2299" w:type="dxa"/>
          </w:tcPr>
          <w:p>
            <w:pPr>
              <w:pStyle w:val="14"/>
              <w:spacing w:before="1" w:line="242" w:lineRule="auto"/>
              <w:ind w:left="108" w:right="70"/>
              <w:jc w:val="both"/>
              <w:rPr>
                <w:sz w:val="20"/>
              </w:rPr>
            </w:pPr>
            <w:r>
              <w:rPr>
                <w:spacing w:val="-11"/>
                <w:sz w:val="20"/>
              </w:rPr>
              <w:t xml:space="preserve">延长保修 </w:t>
            </w:r>
            <w:r>
              <w:rPr>
                <w:sz w:val="20"/>
              </w:rPr>
              <w:t>12</w:t>
            </w:r>
            <w:r>
              <w:rPr>
                <w:spacing w:val="-34"/>
                <w:sz w:val="20"/>
              </w:rPr>
              <w:t xml:space="preserve"> 或 </w:t>
            </w:r>
            <w:r>
              <w:rPr>
                <w:sz w:val="20"/>
              </w:rPr>
              <w:t>24</w:t>
            </w:r>
            <w:r>
              <w:rPr>
                <w:spacing w:val="-17"/>
                <w:sz w:val="20"/>
              </w:rPr>
              <w:t xml:space="preserve"> 个月</w:t>
            </w:r>
            <w:r>
              <w:rPr>
                <w:spacing w:val="5"/>
                <w:sz w:val="20"/>
              </w:rPr>
              <w:t>处罚金额= 偷工减料批</w:t>
            </w:r>
            <w:r>
              <w:rPr>
                <w:spacing w:val="9"/>
                <w:sz w:val="20"/>
              </w:rPr>
              <w:t>次产品对应的合同金额</w:t>
            </w:r>
          </w:p>
          <w:p>
            <w:pPr>
              <w:pStyle w:val="14"/>
              <w:spacing w:before="1" w:line="237" w:lineRule="exact"/>
              <w:ind w:left="108"/>
              <w:rPr>
                <w:sz w:val="20"/>
              </w:rPr>
            </w:pPr>
            <w:r>
              <w:rPr>
                <w:sz w:val="20"/>
              </w:rPr>
              <w:t xml:space="preserve">×0.5。 </w:t>
            </w:r>
          </w:p>
        </w:tc>
        <w:tc>
          <w:tcPr>
            <w:tcW w:w="2297" w:type="dxa"/>
          </w:tcPr>
          <w:p>
            <w:pPr>
              <w:pStyle w:val="14"/>
              <w:spacing w:before="145" w:line="292" w:lineRule="auto"/>
              <w:ind w:right="277"/>
              <w:rPr>
                <w:sz w:val="20"/>
              </w:rPr>
            </w:pPr>
            <w:r>
              <w:rPr>
                <w:sz w:val="20"/>
              </w:rPr>
              <w:t xml:space="preserve">视具体情况，每次处罚2000-5000 元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039" w:hRule="atLeast"/>
        </w:trPr>
        <w:tc>
          <w:tcPr>
            <w:tcW w:w="1344" w:type="dxa"/>
            <w:vMerge w:val="continue"/>
            <w:tcBorders>
              <w:top w:val="nil"/>
            </w:tcBorders>
          </w:tcPr>
          <w:p>
            <w:pPr>
              <w:rPr>
                <w:sz w:val="2"/>
                <w:szCs w:val="2"/>
              </w:rPr>
            </w:pPr>
          </w:p>
        </w:tc>
        <w:tc>
          <w:tcPr>
            <w:tcW w:w="1882" w:type="dxa"/>
            <w:vMerge w:val="continue"/>
            <w:tcBorders>
              <w:top w:val="nil"/>
            </w:tcBorders>
          </w:tcPr>
          <w:p>
            <w:pPr>
              <w:rPr>
                <w:sz w:val="2"/>
                <w:szCs w:val="2"/>
              </w:rPr>
            </w:pPr>
          </w:p>
        </w:tc>
        <w:tc>
          <w:tcPr>
            <w:tcW w:w="1512" w:type="dxa"/>
          </w:tcPr>
          <w:p>
            <w:pPr>
              <w:pStyle w:val="14"/>
              <w:spacing w:before="7"/>
              <w:rPr>
                <w:sz w:val="20"/>
              </w:rPr>
            </w:pPr>
          </w:p>
          <w:p>
            <w:pPr>
              <w:pStyle w:val="14"/>
              <w:spacing w:line="242" w:lineRule="auto"/>
              <w:ind w:left="453" w:right="139" w:hanging="300"/>
              <w:rPr>
                <w:sz w:val="20"/>
              </w:rPr>
            </w:pPr>
            <w:r>
              <w:rPr>
                <w:sz w:val="20"/>
              </w:rPr>
              <w:t xml:space="preserve">已安装，需强制拆除 </w:t>
            </w:r>
          </w:p>
        </w:tc>
        <w:tc>
          <w:tcPr>
            <w:tcW w:w="2299" w:type="dxa"/>
          </w:tcPr>
          <w:p>
            <w:pPr>
              <w:pStyle w:val="14"/>
              <w:spacing w:before="1"/>
              <w:ind w:left="108"/>
              <w:rPr>
                <w:sz w:val="20"/>
              </w:rPr>
            </w:pPr>
            <w:r>
              <w:rPr>
                <w:sz w:val="20"/>
              </w:rPr>
              <w:t xml:space="preserve">拆除重做 </w:t>
            </w:r>
          </w:p>
          <w:p>
            <w:pPr>
              <w:pStyle w:val="14"/>
              <w:spacing w:before="6" w:line="242" w:lineRule="auto"/>
              <w:ind w:left="108" w:right="76"/>
              <w:rPr>
                <w:sz w:val="20"/>
              </w:rPr>
            </w:pPr>
            <w:r>
              <w:rPr>
                <w:sz w:val="20"/>
              </w:rPr>
              <w:t>处罚金额= 偷工减料批次产品对应的合同金额</w:t>
            </w:r>
          </w:p>
          <w:p>
            <w:pPr>
              <w:pStyle w:val="14"/>
              <w:spacing w:before="1" w:line="237" w:lineRule="exact"/>
              <w:ind w:left="108"/>
              <w:rPr>
                <w:sz w:val="20"/>
              </w:rPr>
            </w:pPr>
            <w:r>
              <w:rPr>
                <w:sz w:val="20"/>
              </w:rPr>
              <w:t xml:space="preserve">×0.5。 </w:t>
            </w:r>
          </w:p>
        </w:tc>
        <w:tc>
          <w:tcPr>
            <w:tcW w:w="2297" w:type="dxa"/>
          </w:tcPr>
          <w:p>
            <w:pPr>
              <w:pStyle w:val="14"/>
              <w:spacing w:before="148" w:line="292" w:lineRule="auto"/>
              <w:ind w:right="277"/>
              <w:rPr>
                <w:sz w:val="20"/>
              </w:rPr>
            </w:pPr>
            <w:r>
              <w:rPr>
                <w:sz w:val="20"/>
              </w:rPr>
              <w:t xml:space="preserve">视具体情况，每次处罚4000-10000 元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295" w:hRule="atLeast"/>
        </w:trPr>
        <w:tc>
          <w:tcPr>
            <w:tcW w:w="1344" w:type="dxa"/>
            <w:vMerge w:val="restart"/>
          </w:tcPr>
          <w:p>
            <w:pPr>
              <w:pStyle w:val="14"/>
              <w:rPr>
                <w:sz w:val="20"/>
              </w:rPr>
            </w:pPr>
          </w:p>
          <w:p>
            <w:pPr>
              <w:pStyle w:val="14"/>
              <w:rPr>
                <w:sz w:val="20"/>
              </w:rPr>
            </w:pPr>
          </w:p>
          <w:p>
            <w:pPr>
              <w:pStyle w:val="14"/>
              <w:rPr>
                <w:sz w:val="20"/>
              </w:rPr>
            </w:pPr>
          </w:p>
          <w:p>
            <w:pPr>
              <w:pStyle w:val="14"/>
              <w:rPr>
                <w:sz w:val="20"/>
              </w:rPr>
            </w:pPr>
          </w:p>
          <w:p>
            <w:pPr>
              <w:pStyle w:val="14"/>
              <w:rPr>
                <w:sz w:val="20"/>
              </w:rPr>
            </w:pPr>
          </w:p>
          <w:p>
            <w:pPr>
              <w:pStyle w:val="14"/>
              <w:rPr>
                <w:sz w:val="20"/>
              </w:rPr>
            </w:pPr>
          </w:p>
          <w:p>
            <w:pPr>
              <w:pStyle w:val="14"/>
              <w:spacing w:before="5"/>
              <w:rPr>
                <w:sz w:val="23"/>
              </w:rPr>
            </w:pPr>
          </w:p>
          <w:p>
            <w:pPr>
              <w:pStyle w:val="14"/>
              <w:ind w:left="270"/>
              <w:rPr>
                <w:sz w:val="20"/>
              </w:rPr>
            </w:pPr>
            <w:r>
              <w:rPr>
                <w:sz w:val="20"/>
              </w:rPr>
              <w:t xml:space="preserve">弄虚作假 </w:t>
            </w:r>
          </w:p>
        </w:tc>
        <w:tc>
          <w:tcPr>
            <w:tcW w:w="1882" w:type="dxa"/>
            <w:vMerge w:val="restart"/>
          </w:tcPr>
          <w:p>
            <w:pPr>
              <w:pStyle w:val="14"/>
              <w:rPr>
                <w:sz w:val="20"/>
              </w:rPr>
            </w:pPr>
          </w:p>
          <w:p>
            <w:pPr>
              <w:pStyle w:val="14"/>
              <w:rPr>
                <w:sz w:val="20"/>
              </w:rPr>
            </w:pPr>
          </w:p>
          <w:p>
            <w:pPr>
              <w:pStyle w:val="14"/>
              <w:rPr>
                <w:sz w:val="20"/>
              </w:rPr>
            </w:pPr>
          </w:p>
          <w:p>
            <w:pPr>
              <w:pStyle w:val="14"/>
              <w:rPr>
                <w:sz w:val="20"/>
              </w:rPr>
            </w:pPr>
          </w:p>
          <w:p>
            <w:pPr>
              <w:pStyle w:val="14"/>
              <w:rPr>
                <w:sz w:val="20"/>
              </w:rPr>
            </w:pPr>
          </w:p>
          <w:p>
            <w:pPr>
              <w:pStyle w:val="14"/>
              <w:rPr>
                <w:sz w:val="20"/>
              </w:rPr>
            </w:pPr>
          </w:p>
          <w:p>
            <w:pPr>
              <w:pStyle w:val="14"/>
              <w:spacing w:before="170" w:line="242" w:lineRule="auto"/>
              <w:ind w:left="637" w:right="123" w:hanging="500"/>
              <w:rPr>
                <w:sz w:val="20"/>
              </w:rPr>
            </w:pPr>
            <w:r>
              <w:rPr>
                <w:sz w:val="20"/>
              </w:rPr>
              <w:t xml:space="preserve">设置虚假标识等欺诈行为 </w:t>
            </w:r>
          </w:p>
        </w:tc>
        <w:tc>
          <w:tcPr>
            <w:tcW w:w="1512" w:type="dxa"/>
          </w:tcPr>
          <w:p>
            <w:pPr>
              <w:pStyle w:val="14"/>
              <w:rPr>
                <w:sz w:val="20"/>
              </w:rPr>
            </w:pPr>
          </w:p>
          <w:p>
            <w:pPr>
              <w:pStyle w:val="14"/>
              <w:spacing w:before="133" w:line="242" w:lineRule="auto"/>
              <w:ind w:left="654" w:right="139" w:hanging="502"/>
              <w:rPr>
                <w:sz w:val="20"/>
              </w:rPr>
            </w:pPr>
            <w:r>
              <w:rPr>
                <w:sz w:val="20"/>
              </w:rPr>
              <w:t xml:space="preserve">已到场，未安装 </w:t>
            </w:r>
          </w:p>
        </w:tc>
        <w:tc>
          <w:tcPr>
            <w:tcW w:w="2299" w:type="dxa"/>
          </w:tcPr>
          <w:p>
            <w:pPr>
              <w:pStyle w:val="14"/>
              <w:spacing w:before="1"/>
              <w:ind w:left="108"/>
              <w:rPr>
                <w:sz w:val="20"/>
              </w:rPr>
            </w:pPr>
            <w:r>
              <w:rPr>
                <w:sz w:val="20"/>
              </w:rPr>
              <w:t xml:space="preserve">材料退场 </w:t>
            </w:r>
          </w:p>
          <w:p>
            <w:pPr>
              <w:pStyle w:val="14"/>
              <w:spacing w:before="3" w:line="242" w:lineRule="auto"/>
              <w:ind w:left="108" w:right="131"/>
              <w:rPr>
                <w:sz w:val="20"/>
              </w:rPr>
            </w:pPr>
            <w:r>
              <w:rPr>
                <w:sz w:val="20"/>
              </w:rPr>
              <w:t>处罚金额=弄虚作假批次产品对应的合同金额</w:t>
            </w:r>
          </w:p>
          <w:p>
            <w:pPr>
              <w:pStyle w:val="14"/>
              <w:spacing w:before="1"/>
              <w:ind w:left="108"/>
              <w:rPr>
                <w:sz w:val="20"/>
              </w:rPr>
            </w:pPr>
            <w:r>
              <w:rPr>
                <w:sz w:val="20"/>
              </w:rPr>
              <w:t xml:space="preserve">×1.5； </w:t>
            </w:r>
          </w:p>
          <w:p>
            <w:pPr>
              <w:pStyle w:val="14"/>
              <w:spacing w:before="3" w:line="237" w:lineRule="exact"/>
              <w:ind w:left="108"/>
              <w:rPr>
                <w:sz w:val="20"/>
              </w:rPr>
            </w:pPr>
            <w:r>
              <w:rPr>
                <w:sz w:val="20"/>
              </w:rPr>
              <w:t xml:space="preserve">停标 1 年 </w:t>
            </w:r>
          </w:p>
        </w:tc>
        <w:tc>
          <w:tcPr>
            <w:tcW w:w="2297" w:type="dxa"/>
          </w:tcPr>
          <w:p>
            <w:pPr>
              <w:pStyle w:val="14"/>
              <w:spacing w:before="8"/>
              <w:rPr>
                <w:sz w:val="21"/>
              </w:rPr>
            </w:pPr>
          </w:p>
          <w:p>
            <w:pPr>
              <w:pStyle w:val="14"/>
              <w:spacing w:line="290" w:lineRule="auto"/>
              <w:ind w:right="277"/>
              <w:rPr>
                <w:sz w:val="20"/>
              </w:rPr>
            </w:pPr>
            <w:r>
              <w:rPr>
                <w:sz w:val="20"/>
              </w:rPr>
              <w:t xml:space="preserve">视具体情况，每次处罚1000-3000 元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1297" w:hRule="atLeast"/>
        </w:trPr>
        <w:tc>
          <w:tcPr>
            <w:tcW w:w="1344" w:type="dxa"/>
            <w:vMerge w:val="continue"/>
            <w:tcBorders>
              <w:top w:val="nil"/>
            </w:tcBorders>
          </w:tcPr>
          <w:p>
            <w:pPr>
              <w:rPr>
                <w:sz w:val="2"/>
                <w:szCs w:val="2"/>
              </w:rPr>
            </w:pPr>
          </w:p>
        </w:tc>
        <w:tc>
          <w:tcPr>
            <w:tcW w:w="1882" w:type="dxa"/>
            <w:vMerge w:val="continue"/>
            <w:tcBorders>
              <w:top w:val="nil"/>
            </w:tcBorders>
          </w:tcPr>
          <w:p>
            <w:pPr>
              <w:rPr>
                <w:sz w:val="2"/>
                <w:szCs w:val="2"/>
              </w:rPr>
            </w:pPr>
          </w:p>
        </w:tc>
        <w:tc>
          <w:tcPr>
            <w:tcW w:w="1512" w:type="dxa"/>
          </w:tcPr>
          <w:p>
            <w:pPr>
              <w:pStyle w:val="14"/>
              <w:spacing w:before="6"/>
              <w:rPr>
                <w:sz w:val="20"/>
              </w:rPr>
            </w:pPr>
          </w:p>
          <w:p>
            <w:pPr>
              <w:pStyle w:val="14"/>
              <w:spacing w:line="242" w:lineRule="auto"/>
              <w:ind w:left="153" w:right="139"/>
              <w:jc w:val="center"/>
              <w:rPr>
                <w:sz w:val="20"/>
              </w:rPr>
            </w:pPr>
            <w:r>
              <w:rPr>
                <w:sz w:val="20"/>
              </w:rPr>
              <w:t xml:space="preserve">安装且与交付标准无冲突， 可不拆除 </w:t>
            </w:r>
          </w:p>
        </w:tc>
        <w:tc>
          <w:tcPr>
            <w:tcW w:w="2299" w:type="dxa"/>
          </w:tcPr>
          <w:p>
            <w:pPr>
              <w:pStyle w:val="14"/>
              <w:spacing w:before="3" w:line="242" w:lineRule="auto"/>
              <w:ind w:left="108" w:right="70"/>
              <w:rPr>
                <w:sz w:val="20"/>
              </w:rPr>
            </w:pPr>
            <w:r>
              <w:rPr>
                <w:spacing w:val="-11"/>
                <w:sz w:val="20"/>
              </w:rPr>
              <w:t xml:space="preserve">延长保修 </w:t>
            </w:r>
            <w:r>
              <w:rPr>
                <w:sz w:val="20"/>
              </w:rPr>
              <w:t>12</w:t>
            </w:r>
            <w:r>
              <w:rPr>
                <w:spacing w:val="-34"/>
                <w:sz w:val="20"/>
              </w:rPr>
              <w:t xml:space="preserve"> 或 </w:t>
            </w:r>
            <w:r>
              <w:rPr>
                <w:sz w:val="20"/>
              </w:rPr>
              <w:t>24</w:t>
            </w:r>
            <w:r>
              <w:rPr>
                <w:spacing w:val="-17"/>
                <w:sz w:val="20"/>
              </w:rPr>
              <w:t xml:space="preserve"> 个月处罚金额=弄虚作假批 次产品对应的合同金额</w:t>
            </w:r>
          </w:p>
          <w:p>
            <w:pPr>
              <w:pStyle w:val="14"/>
              <w:spacing w:before="1"/>
              <w:ind w:left="108"/>
              <w:rPr>
                <w:sz w:val="20"/>
              </w:rPr>
            </w:pPr>
            <w:r>
              <w:rPr>
                <w:sz w:val="20"/>
              </w:rPr>
              <w:t xml:space="preserve">×2.0； </w:t>
            </w:r>
          </w:p>
          <w:p>
            <w:pPr>
              <w:pStyle w:val="14"/>
              <w:spacing w:before="3" w:line="237" w:lineRule="exact"/>
              <w:ind w:left="108"/>
              <w:rPr>
                <w:sz w:val="20"/>
              </w:rPr>
            </w:pPr>
            <w:r>
              <w:rPr>
                <w:sz w:val="20"/>
              </w:rPr>
              <w:t xml:space="preserve">停标 1 年 </w:t>
            </w:r>
          </w:p>
        </w:tc>
        <w:tc>
          <w:tcPr>
            <w:tcW w:w="2297" w:type="dxa"/>
          </w:tcPr>
          <w:p>
            <w:pPr>
              <w:pStyle w:val="14"/>
              <w:spacing w:before="8"/>
              <w:rPr>
                <w:sz w:val="21"/>
              </w:rPr>
            </w:pPr>
          </w:p>
          <w:p>
            <w:pPr>
              <w:pStyle w:val="14"/>
              <w:spacing w:line="292" w:lineRule="auto"/>
              <w:ind w:right="277"/>
              <w:rPr>
                <w:sz w:val="20"/>
              </w:rPr>
            </w:pPr>
            <w:r>
              <w:rPr>
                <w:sz w:val="20"/>
              </w:rPr>
              <w:t xml:space="preserve">视具体情况，每次处罚2000-5000 元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298" w:hRule="atLeast"/>
        </w:trPr>
        <w:tc>
          <w:tcPr>
            <w:tcW w:w="1344" w:type="dxa"/>
            <w:vMerge w:val="continue"/>
            <w:tcBorders>
              <w:top w:val="nil"/>
            </w:tcBorders>
          </w:tcPr>
          <w:p>
            <w:pPr>
              <w:rPr>
                <w:sz w:val="2"/>
                <w:szCs w:val="2"/>
              </w:rPr>
            </w:pPr>
          </w:p>
        </w:tc>
        <w:tc>
          <w:tcPr>
            <w:tcW w:w="1882" w:type="dxa"/>
            <w:vMerge w:val="continue"/>
            <w:tcBorders>
              <w:top w:val="nil"/>
            </w:tcBorders>
          </w:tcPr>
          <w:p>
            <w:pPr>
              <w:rPr>
                <w:sz w:val="2"/>
                <w:szCs w:val="2"/>
              </w:rPr>
            </w:pPr>
          </w:p>
        </w:tc>
        <w:tc>
          <w:tcPr>
            <w:tcW w:w="1512" w:type="dxa"/>
          </w:tcPr>
          <w:p>
            <w:pPr>
              <w:pStyle w:val="14"/>
              <w:rPr>
                <w:sz w:val="20"/>
              </w:rPr>
            </w:pPr>
          </w:p>
          <w:p>
            <w:pPr>
              <w:pStyle w:val="14"/>
              <w:spacing w:before="136" w:line="242" w:lineRule="auto"/>
              <w:ind w:left="453" w:right="139" w:hanging="300"/>
              <w:rPr>
                <w:sz w:val="20"/>
              </w:rPr>
            </w:pPr>
            <w:r>
              <w:rPr>
                <w:sz w:val="20"/>
              </w:rPr>
              <w:t xml:space="preserve">已安装，需强制拆除 </w:t>
            </w:r>
          </w:p>
        </w:tc>
        <w:tc>
          <w:tcPr>
            <w:tcW w:w="2299" w:type="dxa"/>
          </w:tcPr>
          <w:p>
            <w:pPr>
              <w:pStyle w:val="14"/>
              <w:spacing w:before="3"/>
              <w:ind w:left="108"/>
              <w:rPr>
                <w:sz w:val="20"/>
              </w:rPr>
            </w:pPr>
            <w:r>
              <w:rPr>
                <w:sz w:val="20"/>
              </w:rPr>
              <w:t xml:space="preserve">拆除重做 </w:t>
            </w:r>
          </w:p>
          <w:p>
            <w:pPr>
              <w:pStyle w:val="14"/>
              <w:spacing w:before="4" w:line="242" w:lineRule="auto"/>
              <w:ind w:left="108" w:right="66"/>
              <w:rPr>
                <w:sz w:val="20"/>
              </w:rPr>
            </w:pPr>
            <w:r>
              <w:rPr>
                <w:sz w:val="20"/>
              </w:rPr>
              <w:t>处罚金额= 弄虚作假批次产品对应的合同金额</w:t>
            </w:r>
          </w:p>
          <w:p>
            <w:pPr>
              <w:pStyle w:val="14"/>
              <w:ind w:left="108"/>
              <w:rPr>
                <w:sz w:val="20"/>
              </w:rPr>
            </w:pPr>
            <w:r>
              <w:rPr>
                <w:sz w:val="20"/>
              </w:rPr>
              <w:t xml:space="preserve">×2.0； </w:t>
            </w:r>
          </w:p>
          <w:p>
            <w:pPr>
              <w:pStyle w:val="14"/>
              <w:spacing w:before="3" w:line="237" w:lineRule="exact"/>
              <w:ind w:left="108"/>
              <w:rPr>
                <w:sz w:val="20"/>
              </w:rPr>
            </w:pPr>
            <w:r>
              <w:rPr>
                <w:sz w:val="20"/>
              </w:rPr>
              <w:t xml:space="preserve">停标 1 年 </w:t>
            </w:r>
          </w:p>
        </w:tc>
        <w:tc>
          <w:tcPr>
            <w:tcW w:w="2297" w:type="dxa"/>
          </w:tcPr>
          <w:p>
            <w:pPr>
              <w:pStyle w:val="14"/>
              <w:spacing w:before="8"/>
              <w:rPr>
                <w:sz w:val="21"/>
              </w:rPr>
            </w:pPr>
          </w:p>
          <w:p>
            <w:pPr>
              <w:pStyle w:val="14"/>
              <w:spacing w:line="292" w:lineRule="auto"/>
              <w:ind w:right="277"/>
              <w:rPr>
                <w:sz w:val="20"/>
              </w:rPr>
            </w:pPr>
            <w:r>
              <w:rPr>
                <w:sz w:val="20"/>
              </w:rPr>
              <w:t xml:space="preserve">视具体情况，每次处罚4000-10000 元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11" w:hRule="atLeast"/>
        </w:trPr>
        <w:tc>
          <w:tcPr>
            <w:tcW w:w="1344" w:type="dxa"/>
            <w:vMerge w:val="restart"/>
          </w:tcPr>
          <w:p>
            <w:pPr>
              <w:pStyle w:val="14"/>
              <w:rPr>
                <w:sz w:val="20"/>
              </w:rPr>
            </w:pPr>
          </w:p>
          <w:p>
            <w:pPr>
              <w:pStyle w:val="14"/>
              <w:rPr>
                <w:sz w:val="20"/>
              </w:rPr>
            </w:pPr>
          </w:p>
          <w:p>
            <w:pPr>
              <w:pStyle w:val="14"/>
              <w:rPr>
                <w:sz w:val="20"/>
              </w:rPr>
            </w:pPr>
          </w:p>
          <w:p>
            <w:pPr>
              <w:pStyle w:val="14"/>
              <w:rPr>
                <w:sz w:val="20"/>
              </w:rPr>
            </w:pPr>
          </w:p>
          <w:p>
            <w:pPr>
              <w:pStyle w:val="14"/>
              <w:spacing w:before="2"/>
              <w:rPr>
                <w:sz w:val="28"/>
              </w:rPr>
            </w:pPr>
          </w:p>
          <w:p>
            <w:pPr>
              <w:pStyle w:val="14"/>
              <w:spacing w:line="242" w:lineRule="auto"/>
              <w:ind w:left="469" w:right="153" w:hanging="300"/>
              <w:rPr>
                <w:sz w:val="20"/>
              </w:rPr>
            </w:pPr>
            <w:r>
              <w:rPr>
                <w:sz w:val="20"/>
              </w:rPr>
              <w:t xml:space="preserve">系统性质量问题 </w:t>
            </w:r>
          </w:p>
        </w:tc>
        <w:tc>
          <w:tcPr>
            <w:tcW w:w="1882" w:type="dxa"/>
            <w:vMerge w:val="restart"/>
          </w:tcPr>
          <w:p>
            <w:pPr>
              <w:pStyle w:val="14"/>
              <w:rPr>
                <w:sz w:val="20"/>
              </w:rPr>
            </w:pPr>
          </w:p>
          <w:p>
            <w:pPr>
              <w:pStyle w:val="14"/>
              <w:rPr>
                <w:sz w:val="20"/>
              </w:rPr>
            </w:pPr>
          </w:p>
          <w:p>
            <w:pPr>
              <w:pStyle w:val="14"/>
              <w:rPr>
                <w:sz w:val="20"/>
              </w:rPr>
            </w:pPr>
          </w:p>
          <w:p>
            <w:pPr>
              <w:pStyle w:val="14"/>
              <w:rPr>
                <w:sz w:val="20"/>
              </w:rPr>
            </w:pPr>
          </w:p>
          <w:p>
            <w:pPr>
              <w:pStyle w:val="14"/>
              <w:spacing w:before="2"/>
              <w:rPr>
                <w:sz w:val="28"/>
              </w:rPr>
            </w:pPr>
          </w:p>
          <w:p>
            <w:pPr>
              <w:pStyle w:val="14"/>
              <w:spacing w:line="242" w:lineRule="auto"/>
              <w:ind w:left="337" w:right="123" w:hanging="200"/>
              <w:rPr>
                <w:sz w:val="20"/>
              </w:rPr>
            </w:pPr>
            <w:r>
              <w:rPr>
                <w:sz w:val="20"/>
              </w:rPr>
              <w:t xml:space="preserve">指乙供材料使用或施工不当造成 </w:t>
            </w:r>
          </w:p>
        </w:tc>
        <w:tc>
          <w:tcPr>
            <w:tcW w:w="1512" w:type="dxa"/>
          </w:tcPr>
          <w:p>
            <w:pPr>
              <w:pStyle w:val="14"/>
              <w:spacing w:before="5"/>
              <w:rPr>
                <w:sz w:val="15"/>
              </w:rPr>
            </w:pPr>
          </w:p>
          <w:p>
            <w:pPr>
              <w:pStyle w:val="14"/>
              <w:spacing w:before="1" w:line="242" w:lineRule="auto"/>
              <w:ind w:left="654" w:right="139" w:hanging="502"/>
              <w:rPr>
                <w:sz w:val="20"/>
              </w:rPr>
            </w:pPr>
            <w:r>
              <w:rPr>
                <w:sz w:val="20"/>
              </w:rPr>
              <w:t xml:space="preserve">已到场，未安装 </w:t>
            </w:r>
          </w:p>
        </w:tc>
        <w:tc>
          <w:tcPr>
            <w:tcW w:w="2299" w:type="dxa"/>
          </w:tcPr>
          <w:p>
            <w:pPr>
              <w:pStyle w:val="14"/>
              <w:spacing w:before="68" w:line="242" w:lineRule="auto"/>
              <w:ind w:left="108" w:right="119"/>
              <w:rPr>
                <w:sz w:val="20"/>
              </w:rPr>
            </w:pPr>
            <w:r>
              <w:rPr>
                <w:sz w:val="20"/>
              </w:rPr>
              <w:t xml:space="preserve">不合格材料全部退场 </w:t>
            </w:r>
            <w:r>
              <w:rPr>
                <w:spacing w:val="-18"/>
                <w:sz w:val="20"/>
              </w:rPr>
              <w:t xml:space="preserve">停标 </w:t>
            </w:r>
            <w:r>
              <w:rPr>
                <w:sz w:val="20"/>
              </w:rPr>
              <w:t>6</w:t>
            </w:r>
            <w:r>
              <w:rPr>
                <w:spacing w:val="-15"/>
                <w:sz w:val="20"/>
              </w:rPr>
              <w:t xml:space="preserve"> 个月、并处罚 </w:t>
            </w:r>
            <w:r>
              <w:rPr>
                <w:spacing w:val="-7"/>
                <w:sz w:val="20"/>
              </w:rPr>
              <w:t>10</w:t>
            </w:r>
          </w:p>
          <w:p>
            <w:pPr>
              <w:pStyle w:val="14"/>
              <w:spacing w:before="1"/>
              <w:ind w:left="108"/>
              <w:rPr>
                <w:sz w:val="20"/>
              </w:rPr>
            </w:pPr>
            <w:r>
              <w:rPr>
                <w:sz w:val="20"/>
              </w:rPr>
              <w:t xml:space="preserve">至 100 万元 </w:t>
            </w:r>
          </w:p>
        </w:tc>
        <w:tc>
          <w:tcPr>
            <w:tcW w:w="2297" w:type="dxa"/>
          </w:tcPr>
          <w:p>
            <w:pPr>
              <w:pStyle w:val="14"/>
              <w:spacing w:before="83" w:line="292" w:lineRule="auto"/>
              <w:ind w:right="62"/>
              <w:rPr>
                <w:sz w:val="20"/>
              </w:rPr>
            </w:pPr>
            <w:r>
              <w:rPr>
                <w:sz w:val="20"/>
              </w:rPr>
              <w:t xml:space="preserve">视具体情况，每次处罚 1 万-5 万元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035" w:hRule="atLeast"/>
        </w:trPr>
        <w:tc>
          <w:tcPr>
            <w:tcW w:w="1344" w:type="dxa"/>
            <w:vMerge w:val="continue"/>
            <w:tcBorders>
              <w:top w:val="nil"/>
            </w:tcBorders>
          </w:tcPr>
          <w:p>
            <w:pPr>
              <w:rPr>
                <w:sz w:val="2"/>
                <w:szCs w:val="2"/>
              </w:rPr>
            </w:pPr>
          </w:p>
        </w:tc>
        <w:tc>
          <w:tcPr>
            <w:tcW w:w="1882" w:type="dxa"/>
            <w:vMerge w:val="continue"/>
            <w:tcBorders>
              <w:top w:val="nil"/>
            </w:tcBorders>
          </w:tcPr>
          <w:p>
            <w:pPr>
              <w:rPr>
                <w:sz w:val="2"/>
                <w:szCs w:val="2"/>
              </w:rPr>
            </w:pPr>
          </w:p>
        </w:tc>
        <w:tc>
          <w:tcPr>
            <w:tcW w:w="1512" w:type="dxa"/>
          </w:tcPr>
          <w:p>
            <w:pPr>
              <w:pStyle w:val="14"/>
              <w:spacing w:before="4"/>
              <w:rPr>
                <w:sz w:val="20"/>
              </w:rPr>
            </w:pPr>
          </w:p>
          <w:p>
            <w:pPr>
              <w:pStyle w:val="14"/>
              <w:spacing w:line="242" w:lineRule="auto"/>
              <w:ind w:left="554" w:right="139" w:hanging="401"/>
              <w:rPr>
                <w:sz w:val="20"/>
              </w:rPr>
            </w:pPr>
            <w:r>
              <w:rPr>
                <w:sz w:val="20"/>
              </w:rPr>
              <w:t xml:space="preserve">已安装，无法拆除 </w:t>
            </w:r>
          </w:p>
        </w:tc>
        <w:tc>
          <w:tcPr>
            <w:tcW w:w="2299" w:type="dxa"/>
          </w:tcPr>
          <w:p>
            <w:pPr>
              <w:pStyle w:val="14"/>
              <w:spacing w:before="1"/>
              <w:ind w:left="108"/>
              <w:jc w:val="both"/>
              <w:rPr>
                <w:sz w:val="20"/>
              </w:rPr>
            </w:pPr>
            <w:r>
              <w:rPr>
                <w:sz w:val="20"/>
              </w:rPr>
              <w:t>停标 6 个月、处罚 10</w:t>
            </w:r>
          </w:p>
          <w:p>
            <w:pPr>
              <w:pStyle w:val="14"/>
              <w:spacing w:line="260" w:lineRule="atLeast"/>
              <w:ind w:left="108" w:right="172"/>
              <w:jc w:val="both"/>
              <w:rPr>
                <w:sz w:val="20"/>
              </w:rPr>
            </w:pPr>
            <w:r>
              <w:rPr>
                <w:spacing w:val="-27"/>
                <w:sz w:val="20"/>
              </w:rPr>
              <w:t xml:space="preserve">至 </w:t>
            </w:r>
            <w:r>
              <w:rPr>
                <w:sz w:val="20"/>
              </w:rPr>
              <w:t>100</w:t>
            </w:r>
            <w:r>
              <w:rPr>
                <w:spacing w:val="-10"/>
                <w:sz w:val="20"/>
              </w:rPr>
              <w:t xml:space="preserve"> 万元，并承担因</w:t>
            </w:r>
            <w:r>
              <w:rPr>
                <w:spacing w:val="-2"/>
                <w:sz w:val="20"/>
              </w:rPr>
              <w:t>此带来的任何损失和风</w:t>
            </w:r>
            <w:r>
              <w:rPr>
                <w:sz w:val="20"/>
              </w:rPr>
              <w:t xml:space="preserve">险。 </w:t>
            </w:r>
          </w:p>
        </w:tc>
        <w:tc>
          <w:tcPr>
            <w:tcW w:w="2297" w:type="dxa"/>
          </w:tcPr>
          <w:p>
            <w:pPr>
              <w:pStyle w:val="14"/>
              <w:spacing w:before="147" w:line="290" w:lineRule="auto"/>
              <w:ind w:right="62"/>
              <w:rPr>
                <w:sz w:val="20"/>
              </w:rPr>
            </w:pPr>
            <w:r>
              <w:rPr>
                <w:sz w:val="20"/>
              </w:rPr>
              <w:t xml:space="preserve">视具体情况，每次处罚 1 万-5 万元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1297" w:hRule="atLeast"/>
        </w:trPr>
        <w:tc>
          <w:tcPr>
            <w:tcW w:w="1344" w:type="dxa"/>
            <w:vMerge w:val="continue"/>
            <w:tcBorders>
              <w:top w:val="nil"/>
            </w:tcBorders>
          </w:tcPr>
          <w:p>
            <w:pPr>
              <w:rPr>
                <w:sz w:val="2"/>
                <w:szCs w:val="2"/>
              </w:rPr>
            </w:pPr>
          </w:p>
        </w:tc>
        <w:tc>
          <w:tcPr>
            <w:tcW w:w="1882" w:type="dxa"/>
            <w:vMerge w:val="continue"/>
            <w:tcBorders>
              <w:top w:val="nil"/>
            </w:tcBorders>
          </w:tcPr>
          <w:p>
            <w:pPr>
              <w:rPr>
                <w:sz w:val="2"/>
                <w:szCs w:val="2"/>
              </w:rPr>
            </w:pPr>
          </w:p>
        </w:tc>
        <w:tc>
          <w:tcPr>
            <w:tcW w:w="1512" w:type="dxa"/>
          </w:tcPr>
          <w:p>
            <w:pPr>
              <w:pStyle w:val="14"/>
              <w:rPr>
                <w:sz w:val="20"/>
              </w:rPr>
            </w:pPr>
          </w:p>
          <w:p>
            <w:pPr>
              <w:pStyle w:val="14"/>
              <w:spacing w:before="135" w:line="242" w:lineRule="auto"/>
              <w:ind w:left="453" w:right="139" w:hanging="300"/>
              <w:rPr>
                <w:sz w:val="20"/>
              </w:rPr>
            </w:pPr>
            <w:r>
              <w:rPr>
                <w:sz w:val="20"/>
              </w:rPr>
              <w:t xml:space="preserve">已安装，需强制拆除 </w:t>
            </w:r>
          </w:p>
        </w:tc>
        <w:tc>
          <w:tcPr>
            <w:tcW w:w="2299" w:type="dxa"/>
          </w:tcPr>
          <w:p>
            <w:pPr>
              <w:pStyle w:val="14"/>
              <w:spacing w:before="2"/>
              <w:ind w:left="108"/>
              <w:rPr>
                <w:sz w:val="20"/>
              </w:rPr>
            </w:pPr>
            <w:r>
              <w:rPr>
                <w:sz w:val="20"/>
              </w:rPr>
              <w:t xml:space="preserve">拆除重做 </w:t>
            </w:r>
          </w:p>
          <w:p>
            <w:pPr>
              <w:pStyle w:val="14"/>
              <w:spacing w:before="3"/>
              <w:ind w:left="108"/>
              <w:rPr>
                <w:sz w:val="20"/>
              </w:rPr>
            </w:pPr>
            <w:r>
              <w:rPr>
                <w:sz w:val="20"/>
              </w:rPr>
              <w:t>停标 6 个月、处罚 10</w:t>
            </w:r>
          </w:p>
          <w:p>
            <w:pPr>
              <w:pStyle w:val="14"/>
              <w:spacing w:before="3"/>
              <w:ind w:left="108"/>
              <w:rPr>
                <w:sz w:val="20"/>
              </w:rPr>
            </w:pPr>
            <w:r>
              <w:rPr>
                <w:sz w:val="20"/>
              </w:rPr>
              <w:t>至 100 万元，并承担因</w:t>
            </w:r>
          </w:p>
          <w:p>
            <w:pPr>
              <w:pStyle w:val="14"/>
              <w:spacing w:line="260" w:lineRule="atLeast"/>
              <w:ind w:left="108" w:right="131"/>
              <w:rPr>
                <w:sz w:val="20"/>
              </w:rPr>
            </w:pPr>
            <w:r>
              <w:rPr>
                <w:sz w:val="20"/>
              </w:rPr>
              <w:t xml:space="preserve">此带来的任何损失和风险。 </w:t>
            </w:r>
          </w:p>
        </w:tc>
        <w:tc>
          <w:tcPr>
            <w:tcW w:w="2297" w:type="dxa"/>
          </w:tcPr>
          <w:p>
            <w:pPr>
              <w:pStyle w:val="14"/>
              <w:spacing w:before="6"/>
              <w:rPr>
                <w:sz w:val="21"/>
              </w:rPr>
            </w:pPr>
          </w:p>
          <w:p>
            <w:pPr>
              <w:pStyle w:val="14"/>
              <w:spacing w:before="1" w:line="292" w:lineRule="auto"/>
              <w:ind w:right="62"/>
              <w:rPr>
                <w:sz w:val="20"/>
              </w:rPr>
            </w:pPr>
            <w:r>
              <w:rPr>
                <w:sz w:val="20"/>
              </w:rPr>
              <w:t xml:space="preserve">视具体情况，每次处罚 1 万-5 万元 </w:t>
            </w:r>
          </w:p>
        </w:tc>
      </w:tr>
    </w:tbl>
    <w:p>
      <w:pPr>
        <w:pStyle w:val="5"/>
        <w:spacing w:before="164" w:line="362" w:lineRule="auto"/>
        <w:ind w:left="1156" w:right="821" w:firstLine="480"/>
        <w:rPr>
          <w:rFonts w:hint="eastAsia"/>
          <w:spacing w:val="-10"/>
          <w:lang w:val="en-US" w:eastAsia="zh-CN"/>
        </w:rPr>
      </w:pPr>
      <w:r>
        <w:rPr>
          <w:rFonts w:hint="eastAsia"/>
          <w:spacing w:val="-10"/>
          <w:lang w:val="en-US" w:eastAsia="zh-CN"/>
        </w:rPr>
        <w:t xml:space="preserve">除上表的处罚外，同时根据合同条款约定扣除相应比例的违约金，违约金金额包括：违约处罚、工期及费用间接损失金额。 </w:t>
      </w:r>
    </w:p>
    <w:p>
      <w:pPr>
        <w:pStyle w:val="5"/>
        <w:spacing w:before="164" w:line="362" w:lineRule="auto"/>
        <w:ind w:left="1156" w:right="821" w:firstLine="480"/>
        <w:rPr>
          <w:rFonts w:hint="eastAsia"/>
          <w:spacing w:val="-10"/>
          <w:lang w:val="en-US" w:eastAsia="zh-CN"/>
        </w:rPr>
      </w:pPr>
      <w:r>
        <w:rPr>
          <w:rFonts w:hint="eastAsia"/>
          <w:spacing w:val="-10"/>
          <w:lang w:val="en-US" w:eastAsia="zh-CN"/>
        </w:rPr>
        <w:t xml:space="preserve">（三）管理闭环记录 </w:t>
      </w:r>
    </w:p>
    <w:p>
      <w:pPr>
        <w:pStyle w:val="5"/>
        <w:spacing w:before="164" w:line="362" w:lineRule="auto"/>
        <w:ind w:left="1156" w:right="821" w:firstLine="480"/>
        <w:rPr>
          <w:rFonts w:hint="eastAsia"/>
          <w:spacing w:val="-10"/>
          <w:lang w:val="en-US" w:eastAsia="zh-CN"/>
        </w:rPr>
      </w:pPr>
      <w:r>
        <w:rPr>
          <w:rFonts w:hint="eastAsia"/>
          <w:spacing w:val="-10"/>
          <w:lang w:val="en-US" w:eastAsia="zh-CN"/>
        </w:rPr>
        <w:t xml:space="preserve">所有材料不合格问题均形成单据，并在处罚及整改方案落地后予以关闭销项。 </w:t>
      </w:r>
      <w:bookmarkStart w:id="0" w:name="_GoBack"/>
      <w:bookmarkEnd w:id="0"/>
    </w:p>
    <w:p>
      <w:pPr>
        <w:pStyle w:val="5"/>
        <w:spacing w:before="164" w:line="362" w:lineRule="auto"/>
        <w:ind w:left="1156" w:right="821" w:firstLine="480"/>
        <w:rPr>
          <w:rFonts w:hint="eastAsia"/>
          <w:spacing w:val="-10"/>
          <w:lang w:val="en-US" w:eastAsia="zh-CN"/>
        </w:rPr>
      </w:pPr>
      <w:r>
        <w:rPr>
          <w:rFonts w:hint="eastAsia"/>
          <w:spacing w:val="-10"/>
          <w:lang w:val="en-US" w:eastAsia="zh-CN"/>
        </w:rPr>
        <w:t xml:space="preserve">（四）复检 </w:t>
      </w:r>
    </w:p>
    <w:p>
      <w:pPr>
        <w:pStyle w:val="5"/>
        <w:spacing w:before="164" w:line="362" w:lineRule="auto"/>
        <w:ind w:left="1156" w:right="821" w:firstLine="480"/>
        <w:rPr>
          <w:rFonts w:hint="eastAsia"/>
          <w:spacing w:val="-10"/>
          <w:lang w:val="en-US" w:eastAsia="zh-CN"/>
        </w:rPr>
      </w:pPr>
      <w:r>
        <w:rPr>
          <w:rFonts w:hint="eastAsia"/>
          <w:spacing w:val="-10"/>
          <w:lang w:val="en-US" w:eastAsia="zh-CN"/>
        </w:rPr>
        <w:t xml:space="preserve">当供方对检测结果存在质疑时，可在收到不合格通知后 10 个工作日内申请由我司指定的具备资质的实验室对备样进行复检，如对我司指定的具备资质的实验室存在异议，可由甲乙双方均认可的具备资质的实验室对备样进行复验。项目应将备样妥善递送至实验室，因复检产生的相关检测及运输费用由供方承担。如复检结果合格，可免于处罚。如复检结果仍不合格，累加处罚。 </w:t>
      </w:r>
    </w:p>
    <w:p>
      <w:pPr>
        <w:pStyle w:val="5"/>
        <w:spacing w:before="164" w:line="362" w:lineRule="auto"/>
        <w:ind w:left="1156" w:right="821" w:firstLine="480"/>
        <w:rPr>
          <w:rFonts w:hint="eastAsia"/>
          <w:spacing w:val="-10"/>
          <w:lang w:val="en-US" w:eastAsia="zh-CN"/>
        </w:rPr>
      </w:pPr>
      <w:r>
        <w:rPr>
          <w:rFonts w:hint="eastAsia"/>
          <w:spacing w:val="-10"/>
          <w:lang w:val="en-US" w:eastAsia="zh-CN"/>
        </w:rPr>
        <w:t xml:space="preserve">（五）供应商履约评价 </w:t>
      </w:r>
    </w:p>
    <w:p>
      <w:pPr>
        <w:pStyle w:val="5"/>
        <w:spacing w:before="164" w:line="362" w:lineRule="auto"/>
        <w:ind w:left="1156" w:right="821" w:firstLine="480"/>
        <w:rPr>
          <w:rFonts w:hint="eastAsia"/>
          <w:spacing w:val="-10"/>
          <w:lang w:val="en-US" w:eastAsia="zh-CN"/>
        </w:rPr>
      </w:pPr>
      <w:r>
        <w:rPr>
          <w:rFonts w:hint="eastAsia"/>
          <w:spacing w:val="-10"/>
          <w:lang w:val="en-US" w:eastAsia="zh-CN"/>
        </w:rPr>
        <w:t xml:space="preserve">1.在进行供应商过程履约评估时应将材料检查情况纳入考虑，适当降低其评级。 </w:t>
      </w:r>
    </w:p>
    <w:p>
      <w:pPr>
        <w:pStyle w:val="5"/>
        <w:spacing w:before="164" w:line="362" w:lineRule="auto"/>
        <w:ind w:left="1156" w:right="821" w:firstLine="480"/>
        <w:rPr>
          <w:rFonts w:hint="eastAsia"/>
          <w:spacing w:val="-10"/>
          <w:lang w:val="en-US" w:eastAsia="zh-CN"/>
        </w:rPr>
      </w:pPr>
      <w:r>
        <w:rPr>
          <w:rFonts w:hint="eastAsia"/>
          <w:spacing w:val="-10"/>
          <w:lang w:val="en-US" w:eastAsia="zh-CN"/>
        </w:rPr>
        <w:t xml:space="preserve">2.对于性质恶劣的、导致项目存在较大安全质量风险的、对国贸品牌及经营造成较大负面影响的或产生大规模客诉风险的情况，直接纳入黑名单。 </w:t>
      </w:r>
    </w:p>
    <w:p>
      <w:pPr>
        <w:pStyle w:val="5"/>
        <w:spacing w:before="164" w:line="362" w:lineRule="auto"/>
        <w:ind w:left="1156" w:right="821" w:firstLine="480"/>
        <w:rPr>
          <w:rFonts w:hint="eastAsia"/>
          <w:spacing w:val="-10"/>
          <w:lang w:val="en-US" w:eastAsia="zh-CN"/>
        </w:rPr>
      </w:pPr>
      <w:r>
        <w:rPr>
          <w:rFonts w:hint="eastAsia"/>
          <w:spacing w:val="-10"/>
          <w:lang w:val="en-US" w:eastAsia="zh-CN"/>
        </w:rPr>
        <w:t xml:space="preserve">（六）监理考核 </w:t>
      </w:r>
    </w:p>
    <w:p>
      <w:pPr>
        <w:pStyle w:val="5"/>
        <w:spacing w:before="164" w:line="362" w:lineRule="auto"/>
        <w:ind w:left="1156" w:right="821" w:firstLine="480"/>
        <w:rPr>
          <w:rFonts w:hint="eastAsia"/>
          <w:spacing w:val="-10"/>
          <w:lang w:val="en-US" w:eastAsia="zh-CN"/>
        </w:rPr>
      </w:pPr>
      <w:r>
        <w:rPr>
          <w:rFonts w:hint="eastAsia"/>
          <w:spacing w:val="-10"/>
          <w:lang w:val="en-US" w:eastAsia="zh-CN"/>
        </w:rPr>
        <w:t xml:space="preserve">监理验收范围内的材料技术指标或品牌型号，如监理验收合格但我方检测不合格，对监理单位进行以下处罚： </w:t>
      </w:r>
    </w:p>
    <w:p>
      <w:pPr>
        <w:pStyle w:val="5"/>
        <w:spacing w:before="164" w:line="362" w:lineRule="auto"/>
        <w:ind w:left="1156" w:right="821" w:firstLine="480"/>
        <w:rPr>
          <w:rFonts w:hint="eastAsia"/>
          <w:spacing w:val="-10"/>
          <w:lang w:val="en-US" w:eastAsia="zh-CN"/>
        </w:rPr>
      </w:pPr>
      <w:r>
        <w:rPr>
          <w:rFonts w:hint="eastAsia"/>
          <w:spacing w:val="-10"/>
          <w:lang w:val="en-US" w:eastAsia="zh-CN"/>
        </w:rPr>
        <w:t xml:space="preserve">1.监理费处罚：国贸地产广州公司采购类对监理单位处以责任供方处罚金额 10%-20%的罚款；非国贸地产广州公司采购类按照规定进行处罚。 </w:t>
      </w:r>
    </w:p>
    <w:p>
      <w:pPr>
        <w:pStyle w:val="5"/>
        <w:spacing w:before="164" w:line="362" w:lineRule="auto"/>
        <w:ind w:left="1156" w:right="821" w:firstLine="480"/>
        <w:rPr>
          <w:rFonts w:hint="eastAsia"/>
          <w:spacing w:val="-10"/>
          <w:lang w:val="en-US" w:eastAsia="zh-CN"/>
        </w:rPr>
      </w:pPr>
      <w:r>
        <w:rPr>
          <w:rFonts w:hint="eastAsia"/>
          <w:spacing w:val="-10"/>
          <w:lang w:val="en-US" w:eastAsia="zh-CN"/>
        </w:rPr>
        <w:t xml:space="preserve">2.过程履约评估：材料检查结果纳入监理单位过程履约评估，同一项目出现 3 次以上材料问题的，监理单位停标一年处理；同一项目出现 5 次以上或多个项目出现 6 次以上材料问题的，监理单位直接纳入黑名单。 </w:t>
      </w:r>
    </w:p>
    <w:p>
      <w:pPr>
        <w:pStyle w:val="5"/>
        <w:spacing w:before="164" w:line="362" w:lineRule="auto"/>
        <w:ind w:left="1156" w:right="821" w:firstLine="480"/>
        <w:rPr>
          <w:rFonts w:hint="eastAsia"/>
          <w:spacing w:val="-10"/>
          <w:lang w:val="en-US" w:eastAsia="zh-CN"/>
        </w:rPr>
      </w:pPr>
      <w:r>
        <w:rPr>
          <w:rFonts w:hint="eastAsia"/>
          <w:spacing w:val="-10"/>
          <w:lang w:val="en-US" w:eastAsia="zh-CN"/>
        </w:rPr>
        <w:t xml:space="preserve">3.监理个人处罚：负责具体验收的监理个人，每次按监理单位处罚金额的 5%进行处罚。 </w:t>
      </w:r>
    </w:p>
    <w:p>
      <w:pPr>
        <w:pStyle w:val="4"/>
        <w:rPr>
          <w:rFonts w:hint="eastAsia"/>
          <w:lang w:val="en-US" w:eastAsia="zh-CN"/>
        </w:rPr>
      </w:pPr>
      <w:r>
        <w:rPr>
          <w:rFonts w:hint="eastAsia"/>
          <w:lang w:val="en-US" w:eastAsia="zh-CN"/>
        </w:rPr>
        <w:t xml:space="preserve">第六章 附则 </w:t>
      </w:r>
    </w:p>
    <w:p>
      <w:pPr>
        <w:pStyle w:val="5"/>
        <w:spacing w:before="164" w:line="362" w:lineRule="auto"/>
        <w:ind w:left="1156" w:right="821" w:firstLine="480"/>
        <w:rPr>
          <w:rFonts w:hint="eastAsia"/>
          <w:spacing w:val="-10"/>
          <w:lang w:val="en-US" w:eastAsia="zh-CN"/>
        </w:rPr>
      </w:pPr>
      <w:r>
        <w:rPr>
          <w:rFonts w:hint="eastAsia" w:ascii="宋体" w:hAnsi="宋体" w:eastAsia="宋体" w:cs="宋体"/>
          <w:b/>
          <w:bCs/>
          <w:color w:val="000000"/>
          <w:kern w:val="0"/>
          <w:sz w:val="24"/>
          <w:szCs w:val="24"/>
          <w:lang w:val="en-US" w:eastAsia="zh-CN" w:bidi="ar"/>
        </w:rPr>
        <w:t xml:space="preserve">第十条 </w:t>
      </w:r>
      <w:r>
        <w:rPr>
          <w:rFonts w:hint="eastAsia"/>
          <w:spacing w:val="-10"/>
          <w:lang w:val="en-US" w:eastAsia="zh-CN"/>
        </w:rPr>
        <w:t xml:space="preserve">本规定由广州公司工程部负责解释。 </w:t>
      </w:r>
    </w:p>
    <w:p>
      <w:pPr>
        <w:pStyle w:val="5"/>
        <w:spacing w:before="164" w:line="362" w:lineRule="auto"/>
        <w:ind w:left="1156" w:right="821" w:firstLine="480"/>
        <w:rPr>
          <w:rFonts w:hint="eastAsia"/>
          <w:spacing w:val="-10"/>
          <w:lang w:val="en-US" w:eastAsia="zh-CN"/>
        </w:rPr>
      </w:pPr>
      <w:r>
        <w:rPr>
          <w:rFonts w:hint="eastAsia" w:ascii="宋体" w:hAnsi="宋体" w:eastAsia="宋体" w:cs="宋体"/>
          <w:b/>
          <w:bCs/>
          <w:color w:val="000000"/>
          <w:kern w:val="0"/>
          <w:sz w:val="24"/>
          <w:szCs w:val="24"/>
          <w:lang w:val="en-US" w:eastAsia="zh-CN" w:bidi="ar"/>
        </w:rPr>
        <w:t>第十一条</w:t>
      </w:r>
      <w:r>
        <w:rPr>
          <w:rFonts w:hint="eastAsia"/>
          <w:spacing w:val="-10"/>
          <w:lang w:val="en-US" w:eastAsia="zh-CN"/>
        </w:rPr>
        <w:t xml:space="preserve"> 本规定自发布之日起施行。 </w:t>
      </w:r>
    </w:p>
    <w:p>
      <w:pPr>
        <w:spacing w:before="2"/>
        <w:ind w:left="1636" w:right="0" w:firstLine="0"/>
        <w:jc w:val="left"/>
        <w:rPr>
          <w:rFonts w:ascii="宋体" w:hAnsi="宋体" w:eastAsia="宋体" w:cs="宋体"/>
          <w:spacing w:val="-3"/>
          <w:sz w:val="24"/>
          <w:szCs w:val="22"/>
          <w:lang w:val="zh-CN" w:eastAsia="zh-CN" w:bidi="zh-CN"/>
        </w:rPr>
      </w:pPr>
    </w:p>
    <w:sectPr>
      <w:pgSz w:w="11910" w:h="16840"/>
      <w:pgMar w:top="720" w:right="900" w:bottom="280" w:left="9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Microsoft JhengHei">
    <w:panose1 w:val="020B0604030504040204"/>
    <w:charset w:val="88"/>
    <w:family w:val="swiss"/>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eastAsia="宋体"/>
        <w:lang w:val="en-US" w:eastAsia="zh-CN"/>
      </w:rPr>
    </w:pPr>
    <w:r>
      <w:rPr>
        <w:rFonts w:hint="eastAsia" w:eastAsia="宋体"/>
        <w:lang w:eastAsia="zh-CN"/>
      </w:rPr>
      <w:drawing>
        <wp:inline distT="0" distB="0" distL="114300" distR="114300">
          <wp:extent cx="1651000" cy="450850"/>
          <wp:effectExtent l="0" t="0" r="0" b="6350"/>
          <wp:docPr id="4" name="图片 4" descr="e1edaf0fd1320537cc80541445c1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e1edaf0fd1320537cc80541445c1772"/>
                  <pic:cNvPicPr>
                    <a:picLocks noChangeAspect="1"/>
                  </pic:cNvPicPr>
                </pic:nvPicPr>
                <pic:blipFill>
                  <a:blip r:embed="rId1"/>
                  <a:stretch>
                    <a:fillRect/>
                  </a:stretch>
                </pic:blipFill>
                <pic:spPr>
                  <a:xfrm>
                    <a:off x="0" y="0"/>
                    <a:ext cx="1651000" cy="450850"/>
                  </a:xfrm>
                  <a:prstGeom prst="rect">
                    <a:avLst/>
                  </a:prstGeom>
                </pic:spPr>
              </pic:pic>
            </a:graphicData>
          </a:graphic>
        </wp:inline>
      </w:drawing>
    </w:r>
    <w:r>
      <w:rPr>
        <w:rFonts w:hint="eastAsia" w:ascii="黑体" w:eastAsia="黑体"/>
        <w:sz w:val="28"/>
        <w:lang w:eastAsia="zh-CN"/>
      </w:rPr>
      <w:t>国贸地产广州公司</w:t>
    </w:r>
    <w:r>
      <w:rPr>
        <w:rFonts w:hint="eastAsia" w:ascii="黑体" w:eastAsia="黑体"/>
        <w:sz w:val="28"/>
      </w:rPr>
      <w:t>制度体系文件</w:t>
    </w:r>
    <w:r>
      <w:rPr>
        <w:rFonts w:hint="eastAsia" w:ascii="黑体" w:eastAsia="黑体"/>
        <w:sz w:val="28"/>
        <w:lang w:val="en-US" w:eastAsia="zh-CN"/>
      </w:rPr>
      <w:t xml:space="preserve">    </w:t>
    </w:r>
    <w:r>
      <w:rPr>
        <w:rFonts w:hint="eastAsia"/>
        <w:sz w:val="21"/>
        <w:lang w:val="en-US" w:eastAsia="zh-CN"/>
      </w:rPr>
      <w:t>GMDC</w:t>
    </w:r>
    <w:r>
      <w:rPr>
        <w:sz w:val="21"/>
      </w:rPr>
      <w:t>-</w:t>
    </w:r>
    <w:r>
      <w:rPr>
        <w:rFonts w:hint="eastAsia"/>
        <w:sz w:val="21"/>
        <w:lang w:val="en-US" w:eastAsia="zh-CN"/>
      </w:rPr>
      <w:t>GZ</w:t>
    </w:r>
    <w:r>
      <w:rPr>
        <w:sz w:val="21"/>
      </w:rPr>
      <w:t>-</w:t>
    </w:r>
    <w:r>
      <w:rPr>
        <w:rFonts w:hint="eastAsia"/>
        <w:sz w:val="21"/>
        <w:lang w:val="en-US" w:eastAsia="zh-CN"/>
      </w:rPr>
      <w:t>GC</w:t>
    </w:r>
    <w:r>
      <w:rPr>
        <w:sz w:val="21"/>
      </w:rPr>
      <w:t>-202</w:t>
    </w:r>
    <w:r>
      <w:rPr>
        <w:rFonts w:hint="eastAsia"/>
        <w:sz w:val="21"/>
        <w:lang w:val="en-US" w:eastAsia="zh-CN"/>
      </w:rPr>
      <w:t>2</w:t>
    </w:r>
    <w:r>
      <w:rPr>
        <w:sz w:val="21"/>
      </w:rPr>
      <w:t>-00</w:t>
    </w:r>
    <w:r>
      <w:rPr>
        <w:rFonts w:hint="eastAsia"/>
        <w:sz w:val="21"/>
        <w:lang w:val="en-US" w:eastAsia="zh-CN"/>
      </w:rPr>
      <w:t>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VjOThkYTZlZjk1ZjQzMTFjYWUwN2Q5NGY5MzBlNWMifQ=="/>
  </w:docVars>
  <w:rsids>
    <w:rsidRoot w:val="00000000"/>
    <w:rsid w:val="150C574A"/>
    <w:rsid w:val="1B3D5BB3"/>
    <w:rsid w:val="261C2EAC"/>
    <w:rsid w:val="49D422FE"/>
    <w:rsid w:val="6A424928"/>
    <w:rsid w:val="7EED70B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qFormat="1" w:unhideWhenUsed="0" w:uiPriority="1"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2">
    <w:name w:val="heading 1"/>
    <w:basedOn w:val="1"/>
    <w:next w:val="1"/>
    <w:qFormat/>
    <w:uiPriority w:val="1"/>
    <w:pPr>
      <w:ind w:left="518"/>
      <w:outlineLvl w:val="1"/>
    </w:pPr>
    <w:rPr>
      <w:rFonts w:ascii="微软雅黑" w:hAnsi="微软雅黑" w:eastAsia="微软雅黑" w:cs="微软雅黑"/>
      <w:b/>
      <w:bCs/>
      <w:sz w:val="32"/>
      <w:szCs w:val="32"/>
      <w:lang w:val="zh-CN" w:eastAsia="zh-CN" w:bidi="zh-CN"/>
    </w:rPr>
  </w:style>
  <w:style w:type="paragraph" w:styleId="3">
    <w:name w:val="heading 2"/>
    <w:basedOn w:val="1"/>
    <w:next w:val="1"/>
    <w:qFormat/>
    <w:uiPriority w:val="1"/>
    <w:pPr>
      <w:ind w:left="2140"/>
      <w:outlineLvl w:val="2"/>
    </w:pPr>
    <w:rPr>
      <w:rFonts w:ascii="宋体" w:hAnsi="宋体" w:eastAsia="宋体" w:cs="宋体"/>
      <w:sz w:val="28"/>
      <w:szCs w:val="28"/>
      <w:lang w:val="zh-CN" w:eastAsia="zh-CN" w:bidi="zh-CN"/>
    </w:rPr>
  </w:style>
  <w:style w:type="paragraph" w:styleId="4">
    <w:name w:val="heading 3"/>
    <w:basedOn w:val="1"/>
    <w:next w:val="1"/>
    <w:qFormat/>
    <w:uiPriority w:val="1"/>
    <w:pPr>
      <w:ind w:right="9"/>
      <w:jc w:val="center"/>
      <w:outlineLvl w:val="3"/>
    </w:pPr>
    <w:rPr>
      <w:rFonts w:ascii="黑体" w:hAnsi="黑体" w:eastAsia="黑体" w:cs="黑体"/>
      <w:b/>
      <w:bCs/>
      <w:sz w:val="24"/>
      <w:szCs w:val="24"/>
      <w:lang w:val="zh-CN" w:eastAsia="zh-CN" w:bidi="zh-CN"/>
    </w:rPr>
  </w:style>
  <w:style w:type="character" w:default="1" w:styleId="11">
    <w:name w:val="Default Paragraph Font"/>
    <w:semiHidden/>
    <w:unhideWhenUsed/>
    <w:uiPriority w:val="1"/>
  </w:style>
  <w:style w:type="table" w:default="1" w:styleId="10">
    <w:name w:val="Normal Table"/>
    <w:semiHidden/>
    <w:qFormat/>
    <w:uiPriority w:val="0"/>
    <w:tblPr>
      <w:tblCellMar>
        <w:top w:w="0" w:type="dxa"/>
        <w:left w:w="108" w:type="dxa"/>
        <w:bottom w:w="0" w:type="dxa"/>
        <w:right w:w="108" w:type="dxa"/>
      </w:tblCellMar>
    </w:tblPr>
  </w:style>
  <w:style w:type="paragraph" w:styleId="5">
    <w:name w:val="Body Text"/>
    <w:basedOn w:val="1"/>
    <w:qFormat/>
    <w:uiPriority w:val="1"/>
    <w:rPr>
      <w:rFonts w:ascii="宋体" w:hAnsi="宋体" w:eastAsia="宋体" w:cs="宋体"/>
      <w:sz w:val="24"/>
      <w:szCs w:val="24"/>
      <w:lang w:val="zh-CN" w:eastAsia="zh-CN" w:bidi="zh-CN"/>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qFormat/>
    <w:uiPriority w:val="1"/>
    <w:pPr>
      <w:spacing w:before="122"/>
      <w:ind w:right="423"/>
      <w:jc w:val="right"/>
    </w:pPr>
    <w:rPr>
      <w:rFonts w:ascii="宋体" w:hAnsi="宋体" w:eastAsia="宋体" w:cs="宋体"/>
      <w:b/>
      <w:bCs/>
      <w:sz w:val="21"/>
      <w:szCs w:val="21"/>
      <w:lang w:val="zh-CN" w:eastAsia="zh-CN" w:bidi="zh-CN"/>
    </w:rPr>
  </w:style>
  <w:style w:type="paragraph" w:styleId="9">
    <w:name w:val="toc 2"/>
    <w:basedOn w:val="1"/>
    <w:next w:val="1"/>
    <w:qFormat/>
    <w:uiPriority w:val="1"/>
    <w:pPr>
      <w:spacing w:before="2"/>
      <w:ind w:right="421"/>
      <w:jc w:val="right"/>
    </w:pPr>
    <w:rPr>
      <w:rFonts w:ascii="宋体" w:hAnsi="宋体" w:eastAsia="宋体" w:cs="宋体"/>
      <w:sz w:val="21"/>
      <w:szCs w:val="21"/>
      <w:lang w:val="zh-CN" w:eastAsia="zh-CN" w:bidi="zh-CN"/>
    </w:rPr>
  </w:style>
  <w:style w:type="table" w:customStyle="1" w:styleId="12">
    <w:name w:val="Table Normal"/>
    <w:semiHidden/>
    <w:unhideWhenUsed/>
    <w:qFormat/>
    <w:uiPriority w:val="2"/>
    <w:tblPr>
      <w:tblCellMar>
        <w:top w:w="0" w:type="dxa"/>
        <w:left w:w="0" w:type="dxa"/>
        <w:bottom w:w="0" w:type="dxa"/>
        <w:right w:w="0" w:type="dxa"/>
      </w:tblCellMar>
    </w:tblPr>
  </w:style>
  <w:style w:type="paragraph" w:styleId="13">
    <w:name w:val="List Paragraph"/>
    <w:basedOn w:val="1"/>
    <w:qFormat/>
    <w:uiPriority w:val="1"/>
    <w:pPr>
      <w:ind w:left="398" w:firstLine="480"/>
    </w:pPr>
    <w:rPr>
      <w:rFonts w:ascii="宋体" w:hAnsi="宋体" w:eastAsia="宋体" w:cs="宋体"/>
      <w:lang w:val="zh-CN" w:eastAsia="zh-CN" w:bidi="zh-CN"/>
    </w:rPr>
  </w:style>
  <w:style w:type="paragraph" w:customStyle="1" w:styleId="14">
    <w:name w:val="Table Paragraph"/>
    <w:basedOn w:val="1"/>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3062</Words>
  <Characters>3226</Characters>
  <TotalTime>48</TotalTime>
  <ScaleCrop>false</ScaleCrop>
  <LinksUpToDate>false</LinksUpToDate>
  <CharactersWithSpaces>3461</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2022-05-16T03:02:00Z</dcterms:created>
  <dc:creator>ma'ru'ko</dc:creator>
  <cp:lastModifiedBy>小光头</cp:lastModifiedBy>
  <dcterms:modified xsi:type="dcterms:W3CDTF">2022-07-23T13:26:10Z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2021-02-23T00:00:00Z</vt:filetime>
  </property>
  <property fmtid="{D5CDD505-2E9C-101B-9397-08002B2CF9AE}" pid="3" name="LastSaved">
    <vt:filetime>2022-05-16T00:00:00Z</vt:filetime>
  </property>
  <property fmtid="{D5CDD505-2E9C-101B-9397-08002B2CF9AE}" pid="4" name="KSOProductBuildVer">
    <vt:lpwstr>2052-11.1.0.11875</vt:lpwstr>
  </property>
  <property fmtid="{D5CDD505-2E9C-101B-9397-08002B2CF9AE}" pid="5" name="ICV">
    <vt:lpwstr>2EE3AD3D42CC41A6935F9B3410840237</vt:lpwstr>
  </property>
</Properties>
</file>