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left"/>
        <w:rPr>
          <w:rFonts w:ascii="楷体_GB2312" w:hAnsi="宋体" w:eastAsia="楷体_GB2312"/>
          <w:b/>
          <w:color w:val="auto"/>
          <w:spacing w:val="20"/>
          <w:sz w:val="28"/>
          <w:szCs w:val="28"/>
          <w:highlight w:val="none"/>
        </w:rPr>
      </w:pPr>
    </w:p>
    <w:p>
      <w:pPr>
        <w:spacing w:line="120" w:lineRule="auto"/>
        <w:ind w:right="880"/>
        <w:jc w:val="right"/>
        <w:rPr>
          <w:rFonts w:ascii="楷体_GB2312" w:hAnsi="宋体" w:eastAsia="楷体_GB2312"/>
          <w:b/>
          <w:color w:val="auto"/>
          <w:sz w:val="44"/>
          <w:highlight w:val="none"/>
        </w:rPr>
      </w:pPr>
      <w:r>
        <w:drawing>
          <wp:inline distT="0" distB="0" distL="114300" distR="114300">
            <wp:extent cx="5479415" cy="7749540"/>
            <wp:effectExtent l="0" t="0" r="6985" b="38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479415" cy="7749540"/>
                    </a:xfrm>
                    <a:prstGeom prst="rect">
                      <a:avLst/>
                    </a:prstGeom>
                    <a:noFill/>
                    <a:ln>
                      <a:noFill/>
                    </a:ln>
                  </pic:spPr>
                </pic:pic>
              </a:graphicData>
            </a:graphic>
          </wp:inline>
        </w:drawing>
      </w:r>
      <w:r>
        <w:rPr>
          <w:rFonts w:hint="eastAsia" w:ascii="楷体_GB2312" w:hAnsi="宋体" w:eastAsia="楷体_GB2312"/>
          <w:b/>
          <w:color w:val="auto"/>
          <w:sz w:val="44"/>
          <w:highlight w:val="none"/>
        </w:rPr>
        <w:t xml:space="preserve">                             </w:t>
      </w:r>
    </w:p>
    <w:p>
      <w:pPr>
        <w:spacing w:line="500" w:lineRule="exact"/>
        <w:ind w:firstLine="640" w:firstLineChars="200"/>
        <w:jc w:val="center"/>
        <w:rPr>
          <w:rFonts w:eastAsia="黑体"/>
          <w:color w:val="auto"/>
          <w:sz w:val="32"/>
          <w:szCs w:val="32"/>
          <w:highlight w:val="none"/>
        </w:rPr>
      </w:pPr>
      <w:r>
        <w:rPr>
          <w:rFonts w:eastAsia="黑体"/>
          <w:color w:val="auto"/>
          <w:sz w:val="32"/>
          <w:szCs w:val="32"/>
          <w:highlight w:val="none"/>
        </w:rPr>
        <w:t>使用说明</w:t>
      </w:r>
    </w:p>
    <w:p>
      <w:pPr>
        <w:spacing w:line="500" w:lineRule="exact"/>
        <w:rPr>
          <w:color w:val="auto"/>
          <w:highlight w:val="none"/>
        </w:rPr>
      </w:pPr>
    </w:p>
    <w:p>
      <w:pPr>
        <w:numPr>
          <w:ilvl w:val="0"/>
          <w:numId w:val="3"/>
        </w:numPr>
        <w:spacing w:line="500" w:lineRule="exact"/>
        <w:ind w:firstLine="480" w:firstLineChars="200"/>
        <w:rPr>
          <w:color w:val="auto"/>
          <w:sz w:val="24"/>
          <w:szCs w:val="24"/>
          <w:highlight w:val="none"/>
        </w:rPr>
      </w:pPr>
      <w:r>
        <w:rPr>
          <w:rFonts w:hint="eastAsia"/>
          <w:color w:val="auto"/>
          <w:sz w:val="24"/>
          <w:szCs w:val="24"/>
          <w:highlight w:val="none"/>
        </w:rPr>
        <w:t>本范本适用于东莞供电局的的220kV及以下电压等级迁改工程的勘察</w:t>
      </w:r>
      <w:r>
        <w:rPr>
          <w:color w:val="auto"/>
          <w:sz w:val="24"/>
          <w:szCs w:val="24"/>
          <w:highlight w:val="none"/>
        </w:rPr>
        <w:t>设计招标。</w:t>
      </w:r>
    </w:p>
    <w:p>
      <w:pPr>
        <w:numPr>
          <w:ilvl w:val="0"/>
          <w:numId w:val="3"/>
        </w:numPr>
        <w:spacing w:line="500" w:lineRule="exact"/>
        <w:ind w:firstLine="480" w:firstLineChars="200"/>
        <w:rPr>
          <w:color w:val="auto"/>
          <w:sz w:val="24"/>
          <w:szCs w:val="24"/>
          <w:highlight w:val="none"/>
        </w:rPr>
      </w:pPr>
      <w:r>
        <w:rPr>
          <w:rFonts w:hint="eastAsia"/>
          <w:color w:val="auto"/>
          <w:sz w:val="24"/>
          <w:szCs w:val="24"/>
          <w:highlight w:val="none"/>
        </w:rPr>
        <w:t>如本项目含多个电压等级，以主网最高电压等级为准，如项目只有20kV及以下电压等级的不适用本范本。</w:t>
      </w:r>
    </w:p>
    <w:p>
      <w:pPr>
        <w:spacing w:line="500" w:lineRule="exact"/>
        <w:ind w:firstLine="480" w:firstLineChars="200"/>
        <w:rPr>
          <w:color w:val="auto"/>
          <w:sz w:val="24"/>
          <w:szCs w:val="24"/>
          <w:highlight w:val="none"/>
        </w:rPr>
      </w:pPr>
      <w:r>
        <w:rPr>
          <w:rFonts w:hint="eastAsia"/>
          <w:color w:val="auto"/>
          <w:sz w:val="24"/>
          <w:szCs w:val="24"/>
          <w:highlight w:val="none"/>
        </w:rPr>
        <w:t>三</w:t>
      </w:r>
      <w:r>
        <w:rPr>
          <w:color w:val="auto"/>
          <w:sz w:val="24"/>
          <w:szCs w:val="24"/>
          <w:highlight w:val="none"/>
        </w:rPr>
        <w:t>、</w:t>
      </w:r>
      <w:r>
        <w:rPr>
          <w:rFonts w:hint="eastAsia"/>
          <w:color w:val="auto"/>
          <w:sz w:val="24"/>
          <w:szCs w:val="24"/>
          <w:highlight w:val="none"/>
        </w:rPr>
        <w:t>本范本</w:t>
      </w:r>
      <w:r>
        <w:rPr>
          <w:color w:val="auto"/>
          <w:sz w:val="24"/>
          <w:szCs w:val="24"/>
          <w:highlight w:val="none"/>
        </w:rPr>
        <w:t>以空格标示的由招标人填写的内容，招标人应根据招标项目具体特点和实际需要具体化，确实没有需要填写的，在空格中用</w:t>
      </w:r>
      <w:r>
        <w:rPr>
          <w:rFonts w:hint="eastAsia"/>
          <w:color w:val="auto"/>
          <w:sz w:val="24"/>
          <w:szCs w:val="24"/>
          <w:highlight w:val="none"/>
        </w:rPr>
        <w:t>“</w:t>
      </w:r>
      <w:r>
        <w:rPr>
          <w:color w:val="auto"/>
          <w:sz w:val="24"/>
          <w:szCs w:val="24"/>
          <w:highlight w:val="none"/>
        </w:rPr>
        <w:t>/</w:t>
      </w:r>
      <w:r>
        <w:rPr>
          <w:rFonts w:hint="eastAsia"/>
          <w:color w:val="auto"/>
          <w:sz w:val="24"/>
          <w:szCs w:val="24"/>
          <w:highlight w:val="none"/>
        </w:rPr>
        <w:t>”</w:t>
      </w:r>
      <w:r>
        <w:rPr>
          <w:color w:val="auto"/>
          <w:sz w:val="24"/>
          <w:szCs w:val="24"/>
          <w:highlight w:val="none"/>
        </w:rPr>
        <w:t>标示。</w:t>
      </w:r>
      <w:r>
        <w:rPr>
          <w:rFonts w:hint="eastAsia"/>
          <w:color w:val="auto"/>
          <w:sz w:val="24"/>
          <w:szCs w:val="24"/>
          <w:highlight w:val="none"/>
        </w:rPr>
        <w:t>下横线填写的内容供招标人参考，可根据项目实际情况进行修改或删除。</w:t>
      </w:r>
    </w:p>
    <w:p>
      <w:pPr>
        <w:spacing w:line="500" w:lineRule="exact"/>
        <w:ind w:firstLine="480" w:firstLineChars="200"/>
        <w:rPr>
          <w:color w:val="auto"/>
          <w:sz w:val="24"/>
          <w:szCs w:val="24"/>
          <w:highlight w:val="none"/>
        </w:rPr>
      </w:pPr>
    </w:p>
    <w:p>
      <w:pPr>
        <w:jc w:val="center"/>
        <w:rPr>
          <w:rFonts w:eastAsia="黑体"/>
          <w:color w:val="auto"/>
          <w:sz w:val="28"/>
          <w:highlight w:val="none"/>
        </w:rPr>
      </w:pPr>
    </w:p>
    <w:p>
      <w:pPr>
        <w:jc w:val="center"/>
        <w:rPr>
          <w:color w:val="auto"/>
          <w:highlight w:val="none"/>
        </w:rPr>
      </w:pPr>
      <w:r>
        <w:rPr>
          <w:color w:val="auto"/>
          <w:highlight w:val="none"/>
        </w:rPr>
        <w:br w:type="page"/>
      </w:r>
    </w:p>
    <w:p>
      <w:pPr>
        <w:pStyle w:val="234"/>
        <w:jc w:val="center"/>
        <w:rPr>
          <w:rFonts w:ascii="Times New Roman" w:hAnsi="Times New Roman" w:eastAsia="黑体"/>
          <w:b w:val="0"/>
          <w:color w:val="auto"/>
          <w:highlight w:val="none"/>
        </w:rPr>
      </w:pPr>
      <w:bookmarkStart w:id="0" w:name="_Toc16528"/>
      <w:bookmarkStart w:id="1" w:name="_Toc29771"/>
      <w:bookmarkStart w:id="2" w:name="_Toc8711"/>
      <w:bookmarkStart w:id="3" w:name="_Toc20508"/>
      <w:bookmarkStart w:id="4" w:name="_Toc14148"/>
      <w:bookmarkStart w:id="5" w:name="_Toc152042287"/>
      <w:bookmarkStart w:id="6" w:name="_Toc144974479"/>
      <w:bookmarkStart w:id="7" w:name="_Toc152045511"/>
      <w:r>
        <w:rPr>
          <w:rFonts w:hint="eastAsia" w:ascii="Times New Roman" w:hAnsi="Times New Roman" w:eastAsia="黑体"/>
          <w:b w:val="0"/>
          <w:color w:val="auto"/>
          <w:highlight w:val="none"/>
          <w:lang w:val="zh-CN"/>
        </w:rPr>
        <w:t>目</w:t>
      </w:r>
      <w:r>
        <w:rPr>
          <w:rFonts w:ascii="Times New Roman" w:hAnsi="Times New Roman" w:eastAsia="黑体"/>
          <w:b w:val="0"/>
          <w:color w:val="auto"/>
          <w:highlight w:val="none"/>
          <w:lang w:val="zh-CN"/>
        </w:rPr>
        <w:t xml:space="preserve">  </w:t>
      </w:r>
      <w:r>
        <w:rPr>
          <w:rFonts w:hint="eastAsia" w:ascii="Times New Roman" w:hAnsi="Times New Roman" w:eastAsia="黑体"/>
          <w:b w:val="0"/>
          <w:color w:val="auto"/>
          <w:highlight w:val="none"/>
          <w:lang w:val="zh-CN"/>
        </w:rPr>
        <w:t>录</w:t>
      </w:r>
      <w:bookmarkEnd w:id="0"/>
      <w:bookmarkEnd w:id="1"/>
      <w:bookmarkEnd w:id="2"/>
      <w:bookmarkEnd w:id="3"/>
      <w:bookmarkEnd w:id="4"/>
    </w:p>
    <w:p>
      <w:pPr>
        <w:pStyle w:val="30"/>
        <w:tabs>
          <w:tab w:val="right" w:leader="dot" w:pos="8630"/>
        </w:tabs>
        <w:jc w:val="center"/>
        <w:rPr>
          <w:color w:val="auto"/>
          <w:highlight w:val="none"/>
        </w:rPr>
      </w:pPr>
    </w:p>
    <w:p>
      <w:pPr>
        <w:pStyle w:val="30"/>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w:instrText>
      </w:r>
      <w:r>
        <w:rPr>
          <w:rFonts w:hint="eastAsia" w:ascii="宋体" w:hAnsi="宋体" w:cs="宋体"/>
          <w:color w:val="auto"/>
          <w:highlight w:val="none"/>
        </w:rPr>
        <w:instrText xml:space="preserve">TOC \o "1-2" \h \z \u</w:instrText>
      </w:r>
      <w:r>
        <w:rPr>
          <w:rFonts w:ascii="宋体" w:hAnsi="宋体" w:cs="宋体"/>
          <w:color w:val="auto"/>
          <w:highlight w:val="none"/>
        </w:rPr>
        <w:instrText xml:space="preserve"> </w:instrText>
      </w:r>
      <w:r>
        <w:rPr>
          <w:rFonts w:ascii="宋体" w:hAnsi="宋体" w:cs="宋体"/>
          <w:color w:val="auto"/>
          <w:highlight w:val="none"/>
        </w:rPr>
        <w:fldChar w:fldCharType="separate"/>
      </w:r>
      <w:r>
        <w:rPr>
          <w:rFonts w:ascii="宋体" w:hAnsi="宋体" w:cs="宋体"/>
          <w:color w:val="auto"/>
          <w:highlight w:val="none"/>
        </w:rPr>
        <w:fldChar w:fldCharType="begin"/>
      </w:r>
      <w:r>
        <w:rPr>
          <w:rFonts w:ascii="宋体" w:hAnsi="宋体" w:cs="宋体"/>
          <w:color w:val="auto"/>
          <w:highlight w:val="none"/>
        </w:rPr>
        <w:instrText xml:space="preserve"> HYPERLINK \l _Toc16528 </w:instrText>
      </w:r>
      <w:r>
        <w:rPr>
          <w:rFonts w:ascii="宋体" w:hAnsi="宋体" w:cs="宋体"/>
          <w:color w:val="auto"/>
          <w:highlight w:val="none"/>
        </w:rPr>
        <w:fldChar w:fldCharType="separate"/>
      </w:r>
      <w:r>
        <w:rPr>
          <w:rFonts w:hint="eastAsia" w:ascii="Times New Roman" w:hAnsi="Times New Roman" w:eastAsia="黑体"/>
          <w:color w:val="auto"/>
          <w:highlight w:val="none"/>
          <w:lang w:val="zh-CN"/>
        </w:rPr>
        <w:t>目</w:t>
      </w:r>
      <w:r>
        <w:rPr>
          <w:rFonts w:ascii="Times New Roman" w:hAnsi="Times New Roman" w:eastAsia="黑体"/>
          <w:color w:val="auto"/>
          <w:highlight w:val="none"/>
          <w:lang w:val="zh-CN"/>
        </w:rPr>
        <w:t xml:space="preserve">  </w:t>
      </w:r>
      <w:r>
        <w:rPr>
          <w:rFonts w:hint="eastAsia" w:ascii="Times New Roman" w:hAnsi="Times New Roman" w:eastAsia="黑体"/>
          <w:color w:val="auto"/>
          <w:highlight w:val="none"/>
          <w:lang w:val="zh-CN"/>
        </w:rPr>
        <w:t>录</w:t>
      </w:r>
      <w:r>
        <w:rPr>
          <w:color w:val="auto"/>
          <w:highlight w:val="none"/>
        </w:rPr>
        <w:tab/>
      </w:r>
      <w:r>
        <w:rPr>
          <w:color w:val="auto"/>
          <w:highlight w:val="none"/>
        </w:rPr>
        <w:fldChar w:fldCharType="begin"/>
      </w:r>
      <w:r>
        <w:rPr>
          <w:color w:val="auto"/>
          <w:highlight w:val="none"/>
        </w:rPr>
        <w:instrText xml:space="preserve"> PAGEREF _Toc16528 \h </w:instrText>
      </w:r>
      <w:r>
        <w:rPr>
          <w:color w:val="auto"/>
          <w:highlight w:val="none"/>
        </w:rPr>
        <w:fldChar w:fldCharType="separate"/>
      </w:r>
      <w:r>
        <w:rPr>
          <w:color w:val="auto"/>
          <w:highlight w:val="none"/>
        </w:rPr>
        <w:t>3</w:t>
      </w:r>
      <w:r>
        <w:rPr>
          <w:color w:val="auto"/>
          <w:highlight w:val="none"/>
        </w:rPr>
        <w:fldChar w:fldCharType="end"/>
      </w:r>
      <w:r>
        <w:rPr>
          <w:rFonts w:ascii="宋体" w:hAnsi="宋体" w:cs="宋体"/>
          <w:color w:val="auto"/>
          <w:highlight w:val="none"/>
        </w:rPr>
        <w:fldChar w:fldCharType="end"/>
      </w:r>
    </w:p>
    <w:p>
      <w:pPr>
        <w:pStyle w:val="30"/>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_Toc3834 </w:instrText>
      </w:r>
      <w:r>
        <w:rPr>
          <w:rFonts w:ascii="宋体" w:hAnsi="宋体" w:cs="宋体"/>
          <w:color w:val="auto"/>
          <w:highlight w:val="none"/>
        </w:rPr>
        <w:fldChar w:fldCharType="separate"/>
      </w:r>
      <w:r>
        <w:rPr>
          <w:rFonts w:hint="eastAsia"/>
          <w:color w:val="auto"/>
          <w:highlight w:val="none"/>
        </w:rPr>
        <w:t>第一卷</w:t>
      </w:r>
      <w:r>
        <w:rPr>
          <w:color w:val="auto"/>
          <w:highlight w:val="none"/>
        </w:rPr>
        <w:tab/>
      </w:r>
      <w:r>
        <w:rPr>
          <w:color w:val="auto"/>
          <w:highlight w:val="none"/>
        </w:rPr>
        <w:fldChar w:fldCharType="begin"/>
      </w:r>
      <w:r>
        <w:rPr>
          <w:color w:val="auto"/>
          <w:highlight w:val="none"/>
        </w:rPr>
        <w:instrText xml:space="preserve"> PAGEREF _Toc3834 \h </w:instrText>
      </w:r>
      <w:r>
        <w:rPr>
          <w:color w:val="auto"/>
          <w:highlight w:val="none"/>
        </w:rPr>
        <w:fldChar w:fldCharType="separate"/>
      </w:r>
      <w:r>
        <w:rPr>
          <w:color w:val="auto"/>
          <w:highlight w:val="none"/>
        </w:rPr>
        <w:t>1</w:t>
      </w:r>
      <w:r>
        <w:rPr>
          <w:color w:val="auto"/>
          <w:highlight w:val="none"/>
        </w:rPr>
        <w:fldChar w:fldCharType="end"/>
      </w:r>
      <w:r>
        <w:rPr>
          <w:rFonts w:ascii="宋体" w:hAnsi="宋体" w:cs="宋体"/>
          <w:color w:val="auto"/>
          <w:highlight w:val="none"/>
        </w:rPr>
        <w:fldChar w:fldCharType="end"/>
      </w:r>
    </w:p>
    <w:p>
      <w:pPr>
        <w:pStyle w:val="30"/>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_Toc3484 </w:instrText>
      </w:r>
      <w:r>
        <w:rPr>
          <w:rFonts w:ascii="宋体" w:hAnsi="宋体" w:cs="宋体"/>
          <w:color w:val="auto"/>
          <w:highlight w:val="none"/>
        </w:rPr>
        <w:fldChar w:fldCharType="separate"/>
      </w:r>
      <w:r>
        <w:rPr>
          <w:rFonts w:hint="eastAsia"/>
          <w:color w:val="auto"/>
          <w:highlight w:val="none"/>
        </w:rPr>
        <w:t>第一章 招标公告</w:t>
      </w:r>
      <w:r>
        <w:rPr>
          <w:color w:val="auto"/>
          <w:highlight w:val="none"/>
        </w:rPr>
        <w:tab/>
      </w:r>
      <w:r>
        <w:rPr>
          <w:color w:val="auto"/>
          <w:highlight w:val="none"/>
        </w:rPr>
        <w:fldChar w:fldCharType="begin"/>
      </w:r>
      <w:r>
        <w:rPr>
          <w:color w:val="auto"/>
          <w:highlight w:val="none"/>
        </w:rPr>
        <w:instrText xml:space="preserve"> PAGEREF _Toc3484 \h </w:instrText>
      </w:r>
      <w:r>
        <w:rPr>
          <w:color w:val="auto"/>
          <w:highlight w:val="none"/>
        </w:rPr>
        <w:fldChar w:fldCharType="separate"/>
      </w:r>
      <w:r>
        <w:rPr>
          <w:color w:val="auto"/>
          <w:highlight w:val="none"/>
        </w:rPr>
        <w:t>2</w:t>
      </w:r>
      <w:r>
        <w:rPr>
          <w:color w:val="auto"/>
          <w:highlight w:val="none"/>
        </w:rPr>
        <w:fldChar w:fldCharType="end"/>
      </w:r>
      <w:r>
        <w:rPr>
          <w:rFonts w:ascii="宋体" w:hAnsi="宋体" w:cs="宋体"/>
          <w:color w:val="auto"/>
          <w:highlight w:val="none"/>
        </w:rPr>
        <w:fldChar w:fldCharType="end"/>
      </w:r>
    </w:p>
    <w:p>
      <w:pPr>
        <w:pStyle w:val="34"/>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_Toc2118 </w:instrText>
      </w:r>
      <w:r>
        <w:rPr>
          <w:rFonts w:ascii="宋体" w:hAnsi="宋体" w:cs="宋体"/>
          <w:color w:val="auto"/>
          <w:highlight w:val="none"/>
        </w:rPr>
        <w:fldChar w:fldCharType="separate"/>
      </w:r>
      <w:r>
        <w:rPr>
          <w:rFonts w:ascii="宋体" w:hAnsi="宋体" w:eastAsia="宋体"/>
          <w:color w:val="auto"/>
          <w:highlight w:val="none"/>
        </w:rPr>
        <w:t xml:space="preserve">1. </w:t>
      </w:r>
      <w:r>
        <w:rPr>
          <w:rFonts w:hint="eastAsia" w:ascii="宋体" w:hAnsi="宋体" w:eastAsia="宋体"/>
          <w:color w:val="auto"/>
          <w:highlight w:val="none"/>
        </w:rPr>
        <w:t>招标条件</w:t>
      </w:r>
      <w:r>
        <w:rPr>
          <w:color w:val="auto"/>
          <w:highlight w:val="none"/>
        </w:rPr>
        <w:tab/>
      </w:r>
      <w:r>
        <w:rPr>
          <w:color w:val="auto"/>
          <w:highlight w:val="none"/>
        </w:rPr>
        <w:fldChar w:fldCharType="begin"/>
      </w:r>
      <w:r>
        <w:rPr>
          <w:color w:val="auto"/>
          <w:highlight w:val="none"/>
        </w:rPr>
        <w:instrText xml:space="preserve"> PAGEREF _Toc2118 \h </w:instrText>
      </w:r>
      <w:r>
        <w:rPr>
          <w:color w:val="auto"/>
          <w:highlight w:val="none"/>
        </w:rPr>
        <w:fldChar w:fldCharType="separate"/>
      </w:r>
      <w:r>
        <w:rPr>
          <w:color w:val="auto"/>
          <w:highlight w:val="none"/>
        </w:rPr>
        <w:t>2</w:t>
      </w:r>
      <w:r>
        <w:rPr>
          <w:color w:val="auto"/>
          <w:highlight w:val="none"/>
        </w:rPr>
        <w:fldChar w:fldCharType="end"/>
      </w:r>
      <w:r>
        <w:rPr>
          <w:rFonts w:ascii="宋体" w:hAnsi="宋体" w:cs="宋体"/>
          <w:color w:val="auto"/>
          <w:highlight w:val="none"/>
        </w:rPr>
        <w:fldChar w:fldCharType="end"/>
      </w:r>
    </w:p>
    <w:p>
      <w:pPr>
        <w:pStyle w:val="34"/>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_Toc22531 </w:instrText>
      </w:r>
      <w:r>
        <w:rPr>
          <w:rFonts w:ascii="宋体" w:hAnsi="宋体" w:cs="宋体"/>
          <w:color w:val="auto"/>
          <w:highlight w:val="none"/>
        </w:rPr>
        <w:fldChar w:fldCharType="separate"/>
      </w:r>
      <w:r>
        <w:rPr>
          <w:rFonts w:ascii="宋体" w:hAnsi="宋体" w:eastAsia="宋体"/>
          <w:color w:val="auto"/>
          <w:highlight w:val="none"/>
        </w:rPr>
        <w:t>2. 项目概况与</w:t>
      </w:r>
      <w:r>
        <w:rPr>
          <w:rFonts w:hint="eastAsia" w:ascii="宋体" w:hAnsi="宋体" w:eastAsia="宋体"/>
          <w:color w:val="auto"/>
          <w:highlight w:val="none"/>
        </w:rPr>
        <w:t>招标范围</w:t>
      </w:r>
      <w:r>
        <w:rPr>
          <w:color w:val="auto"/>
          <w:highlight w:val="none"/>
        </w:rPr>
        <w:tab/>
      </w:r>
      <w:r>
        <w:rPr>
          <w:color w:val="auto"/>
          <w:highlight w:val="none"/>
        </w:rPr>
        <w:fldChar w:fldCharType="begin"/>
      </w:r>
      <w:r>
        <w:rPr>
          <w:color w:val="auto"/>
          <w:highlight w:val="none"/>
        </w:rPr>
        <w:instrText xml:space="preserve"> PAGEREF _Toc22531 \h </w:instrText>
      </w:r>
      <w:r>
        <w:rPr>
          <w:color w:val="auto"/>
          <w:highlight w:val="none"/>
        </w:rPr>
        <w:fldChar w:fldCharType="separate"/>
      </w:r>
      <w:r>
        <w:rPr>
          <w:color w:val="auto"/>
          <w:highlight w:val="none"/>
        </w:rPr>
        <w:t>2</w:t>
      </w:r>
      <w:r>
        <w:rPr>
          <w:color w:val="auto"/>
          <w:highlight w:val="none"/>
        </w:rPr>
        <w:fldChar w:fldCharType="end"/>
      </w:r>
      <w:r>
        <w:rPr>
          <w:rFonts w:ascii="宋体" w:hAnsi="宋体" w:cs="宋体"/>
          <w:color w:val="auto"/>
          <w:highlight w:val="none"/>
        </w:rPr>
        <w:fldChar w:fldCharType="end"/>
      </w:r>
    </w:p>
    <w:p>
      <w:pPr>
        <w:pStyle w:val="34"/>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_Toc32590 </w:instrText>
      </w:r>
      <w:r>
        <w:rPr>
          <w:rFonts w:ascii="宋体" w:hAnsi="宋体" w:cs="宋体"/>
          <w:color w:val="auto"/>
          <w:highlight w:val="none"/>
        </w:rPr>
        <w:fldChar w:fldCharType="separate"/>
      </w:r>
      <w:r>
        <w:rPr>
          <w:rFonts w:ascii="宋体" w:hAnsi="宋体" w:eastAsia="宋体"/>
          <w:color w:val="auto"/>
          <w:highlight w:val="none"/>
        </w:rPr>
        <w:t>3. 投标人资格要求</w:t>
      </w:r>
      <w:r>
        <w:rPr>
          <w:color w:val="auto"/>
          <w:highlight w:val="none"/>
        </w:rPr>
        <w:tab/>
      </w:r>
      <w:r>
        <w:rPr>
          <w:color w:val="auto"/>
          <w:highlight w:val="none"/>
        </w:rPr>
        <w:fldChar w:fldCharType="begin"/>
      </w:r>
      <w:r>
        <w:rPr>
          <w:color w:val="auto"/>
          <w:highlight w:val="none"/>
        </w:rPr>
        <w:instrText xml:space="preserve"> PAGEREF _Toc32590 \h </w:instrText>
      </w:r>
      <w:r>
        <w:rPr>
          <w:color w:val="auto"/>
          <w:highlight w:val="none"/>
        </w:rPr>
        <w:fldChar w:fldCharType="separate"/>
      </w:r>
      <w:r>
        <w:rPr>
          <w:color w:val="auto"/>
          <w:highlight w:val="none"/>
        </w:rPr>
        <w:t>3</w:t>
      </w:r>
      <w:r>
        <w:rPr>
          <w:color w:val="auto"/>
          <w:highlight w:val="none"/>
        </w:rPr>
        <w:fldChar w:fldCharType="end"/>
      </w:r>
      <w:r>
        <w:rPr>
          <w:rFonts w:ascii="宋体" w:hAnsi="宋体" w:cs="宋体"/>
          <w:color w:val="auto"/>
          <w:highlight w:val="none"/>
        </w:rPr>
        <w:fldChar w:fldCharType="end"/>
      </w:r>
    </w:p>
    <w:p>
      <w:pPr>
        <w:pStyle w:val="34"/>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_Toc1237 </w:instrText>
      </w:r>
      <w:r>
        <w:rPr>
          <w:rFonts w:ascii="宋体" w:hAnsi="宋体" w:cs="宋体"/>
          <w:color w:val="auto"/>
          <w:highlight w:val="none"/>
        </w:rPr>
        <w:fldChar w:fldCharType="separate"/>
      </w:r>
      <w:r>
        <w:rPr>
          <w:rFonts w:ascii="宋体" w:hAnsi="宋体" w:eastAsia="宋体"/>
          <w:color w:val="auto"/>
          <w:highlight w:val="none"/>
        </w:rPr>
        <w:t>4.</w:t>
      </w:r>
      <w:r>
        <w:rPr>
          <w:rFonts w:hint="eastAsia" w:ascii="宋体" w:hAnsi="宋体" w:eastAsia="宋体"/>
          <w:color w:val="auto"/>
          <w:highlight w:val="none"/>
        </w:rPr>
        <w:t xml:space="preserve"> 技术成果经济补偿</w:t>
      </w:r>
      <w:r>
        <w:rPr>
          <w:color w:val="auto"/>
          <w:highlight w:val="none"/>
        </w:rPr>
        <w:tab/>
      </w:r>
      <w:r>
        <w:rPr>
          <w:color w:val="auto"/>
          <w:highlight w:val="none"/>
        </w:rPr>
        <w:fldChar w:fldCharType="begin"/>
      </w:r>
      <w:r>
        <w:rPr>
          <w:color w:val="auto"/>
          <w:highlight w:val="none"/>
        </w:rPr>
        <w:instrText xml:space="preserve"> PAGEREF _Toc1237 \h </w:instrText>
      </w:r>
      <w:r>
        <w:rPr>
          <w:color w:val="auto"/>
          <w:highlight w:val="none"/>
        </w:rPr>
        <w:fldChar w:fldCharType="separate"/>
      </w:r>
      <w:r>
        <w:rPr>
          <w:color w:val="auto"/>
          <w:highlight w:val="none"/>
        </w:rPr>
        <w:t>4</w:t>
      </w:r>
      <w:r>
        <w:rPr>
          <w:color w:val="auto"/>
          <w:highlight w:val="none"/>
        </w:rPr>
        <w:fldChar w:fldCharType="end"/>
      </w:r>
      <w:r>
        <w:rPr>
          <w:rFonts w:ascii="宋体" w:hAnsi="宋体" w:cs="宋体"/>
          <w:color w:val="auto"/>
          <w:highlight w:val="none"/>
        </w:rPr>
        <w:fldChar w:fldCharType="end"/>
      </w:r>
    </w:p>
    <w:p>
      <w:pPr>
        <w:pStyle w:val="34"/>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_Toc1339 </w:instrText>
      </w:r>
      <w:r>
        <w:rPr>
          <w:rFonts w:ascii="宋体" w:hAnsi="宋体" w:cs="宋体"/>
          <w:color w:val="auto"/>
          <w:highlight w:val="none"/>
        </w:rPr>
        <w:fldChar w:fldCharType="separate"/>
      </w:r>
      <w:r>
        <w:rPr>
          <w:rFonts w:ascii="宋体" w:hAnsi="宋体" w:eastAsia="宋体"/>
          <w:color w:val="auto"/>
          <w:highlight w:val="none"/>
        </w:rPr>
        <w:t xml:space="preserve">5. </w:t>
      </w:r>
      <w:r>
        <w:rPr>
          <w:rFonts w:hint="eastAsia" w:ascii="宋体" w:hAnsi="宋体" w:eastAsia="宋体"/>
          <w:color w:val="auto"/>
          <w:highlight w:val="none"/>
        </w:rPr>
        <w:t>招标文件的获取</w:t>
      </w:r>
      <w:r>
        <w:rPr>
          <w:color w:val="auto"/>
          <w:highlight w:val="none"/>
        </w:rPr>
        <w:tab/>
      </w:r>
      <w:r>
        <w:rPr>
          <w:color w:val="auto"/>
          <w:highlight w:val="none"/>
        </w:rPr>
        <w:fldChar w:fldCharType="begin"/>
      </w:r>
      <w:r>
        <w:rPr>
          <w:color w:val="auto"/>
          <w:highlight w:val="none"/>
        </w:rPr>
        <w:instrText xml:space="preserve"> PAGEREF _Toc1339 \h </w:instrText>
      </w:r>
      <w:r>
        <w:rPr>
          <w:color w:val="auto"/>
          <w:highlight w:val="none"/>
        </w:rPr>
        <w:fldChar w:fldCharType="separate"/>
      </w:r>
      <w:r>
        <w:rPr>
          <w:color w:val="auto"/>
          <w:highlight w:val="none"/>
        </w:rPr>
        <w:t>4</w:t>
      </w:r>
      <w:r>
        <w:rPr>
          <w:color w:val="auto"/>
          <w:highlight w:val="none"/>
        </w:rPr>
        <w:fldChar w:fldCharType="end"/>
      </w:r>
      <w:r>
        <w:rPr>
          <w:rFonts w:ascii="宋体" w:hAnsi="宋体" w:cs="宋体"/>
          <w:color w:val="auto"/>
          <w:highlight w:val="none"/>
        </w:rPr>
        <w:fldChar w:fldCharType="end"/>
      </w:r>
    </w:p>
    <w:p>
      <w:pPr>
        <w:pStyle w:val="34"/>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_Toc1928 </w:instrText>
      </w:r>
      <w:r>
        <w:rPr>
          <w:rFonts w:ascii="宋体" w:hAnsi="宋体" w:cs="宋体"/>
          <w:color w:val="auto"/>
          <w:highlight w:val="none"/>
        </w:rPr>
        <w:fldChar w:fldCharType="separate"/>
      </w:r>
      <w:r>
        <w:rPr>
          <w:rFonts w:ascii="宋体" w:hAnsi="宋体" w:eastAsia="宋体"/>
          <w:color w:val="auto"/>
          <w:highlight w:val="none"/>
        </w:rPr>
        <w:t xml:space="preserve">6. </w:t>
      </w:r>
      <w:r>
        <w:rPr>
          <w:rFonts w:hint="eastAsia" w:ascii="宋体" w:hAnsi="宋体" w:eastAsia="宋体"/>
          <w:color w:val="auto"/>
          <w:highlight w:val="none"/>
        </w:rPr>
        <w:t>投标文件的递交</w:t>
      </w:r>
      <w:r>
        <w:rPr>
          <w:color w:val="auto"/>
          <w:highlight w:val="none"/>
        </w:rPr>
        <w:tab/>
      </w:r>
      <w:r>
        <w:rPr>
          <w:color w:val="auto"/>
          <w:highlight w:val="none"/>
        </w:rPr>
        <w:fldChar w:fldCharType="begin"/>
      </w:r>
      <w:r>
        <w:rPr>
          <w:color w:val="auto"/>
          <w:highlight w:val="none"/>
        </w:rPr>
        <w:instrText xml:space="preserve"> PAGEREF _Toc1928 \h </w:instrText>
      </w:r>
      <w:r>
        <w:rPr>
          <w:color w:val="auto"/>
          <w:highlight w:val="none"/>
        </w:rPr>
        <w:fldChar w:fldCharType="separate"/>
      </w:r>
      <w:r>
        <w:rPr>
          <w:color w:val="auto"/>
          <w:highlight w:val="none"/>
        </w:rPr>
        <w:t>5</w:t>
      </w:r>
      <w:r>
        <w:rPr>
          <w:color w:val="auto"/>
          <w:highlight w:val="none"/>
        </w:rPr>
        <w:fldChar w:fldCharType="end"/>
      </w:r>
      <w:r>
        <w:rPr>
          <w:rFonts w:ascii="宋体" w:hAnsi="宋体" w:cs="宋体"/>
          <w:color w:val="auto"/>
          <w:highlight w:val="none"/>
        </w:rPr>
        <w:fldChar w:fldCharType="end"/>
      </w:r>
    </w:p>
    <w:p>
      <w:pPr>
        <w:pStyle w:val="34"/>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_Toc4819 </w:instrText>
      </w:r>
      <w:r>
        <w:rPr>
          <w:rFonts w:ascii="宋体" w:hAnsi="宋体" w:cs="宋体"/>
          <w:color w:val="auto"/>
          <w:highlight w:val="none"/>
        </w:rPr>
        <w:fldChar w:fldCharType="separate"/>
      </w:r>
      <w:r>
        <w:rPr>
          <w:rFonts w:ascii="宋体" w:hAnsi="宋体" w:eastAsia="宋体"/>
          <w:color w:val="auto"/>
          <w:highlight w:val="none"/>
        </w:rPr>
        <w:t xml:space="preserve">7. </w:t>
      </w:r>
      <w:r>
        <w:rPr>
          <w:rFonts w:hint="eastAsia" w:ascii="宋体" w:hAnsi="宋体" w:eastAsia="宋体"/>
          <w:color w:val="auto"/>
          <w:highlight w:val="none"/>
        </w:rPr>
        <w:t>发布公告的媒介</w:t>
      </w:r>
      <w:r>
        <w:rPr>
          <w:color w:val="auto"/>
          <w:highlight w:val="none"/>
        </w:rPr>
        <w:tab/>
      </w:r>
      <w:r>
        <w:rPr>
          <w:color w:val="auto"/>
          <w:highlight w:val="none"/>
        </w:rPr>
        <w:fldChar w:fldCharType="begin"/>
      </w:r>
      <w:r>
        <w:rPr>
          <w:color w:val="auto"/>
          <w:highlight w:val="none"/>
        </w:rPr>
        <w:instrText xml:space="preserve"> PAGEREF _Toc4819 \h </w:instrText>
      </w:r>
      <w:r>
        <w:rPr>
          <w:color w:val="auto"/>
          <w:highlight w:val="none"/>
        </w:rPr>
        <w:fldChar w:fldCharType="separate"/>
      </w:r>
      <w:r>
        <w:rPr>
          <w:color w:val="auto"/>
          <w:highlight w:val="none"/>
        </w:rPr>
        <w:t>6</w:t>
      </w:r>
      <w:r>
        <w:rPr>
          <w:color w:val="auto"/>
          <w:highlight w:val="none"/>
        </w:rPr>
        <w:fldChar w:fldCharType="end"/>
      </w:r>
      <w:r>
        <w:rPr>
          <w:rFonts w:ascii="宋体" w:hAnsi="宋体" w:cs="宋体"/>
          <w:color w:val="auto"/>
          <w:highlight w:val="none"/>
        </w:rPr>
        <w:fldChar w:fldCharType="end"/>
      </w:r>
    </w:p>
    <w:p>
      <w:pPr>
        <w:pStyle w:val="34"/>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_Toc9294 </w:instrText>
      </w:r>
      <w:r>
        <w:rPr>
          <w:rFonts w:ascii="宋体" w:hAnsi="宋体" w:cs="宋体"/>
          <w:color w:val="auto"/>
          <w:highlight w:val="none"/>
        </w:rPr>
        <w:fldChar w:fldCharType="separate"/>
      </w:r>
      <w:r>
        <w:rPr>
          <w:rFonts w:ascii="宋体" w:hAnsi="宋体" w:eastAsia="宋体"/>
          <w:color w:val="auto"/>
          <w:highlight w:val="none"/>
        </w:rPr>
        <w:t xml:space="preserve">8. </w:t>
      </w:r>
      <w:r>
        <w:rPr>
          <w:rFonts w:hint="eastAsia" w:ascii="宋体" w:hAnsi="宋体" w:eastAsia="宋体"/>
          <w:color w:val="auto"/>
          <w:highlight w:val="none"/>
        </w:rPr>
        <w:t>联系方式</w:t>
      </w:r>
      <w:r>
        <w:rPr>
          <w:color w:val="auto"/>
          <w:highlight w:val="none"/>
        </w:rPr>
        <w:tab/>
      </w:r>
      <w:r>
        <w:rPr>
          <w:color w:val="auto"/>
          <w:highlight w:val="none"/>
        </w:rPr>
        <w:fldChar w:fldCharType="begin"/>
      </w:r>
      <w:r>
        <w:rPr>
          <w:color w:val="auto"/>
          <w:highlight w:val="none"/>
        </w:rPr>
        <w:instrText xml:space="preserve"> PAGEREF _Toc9294 \h </w:instrText>
      </w:r>
      <w:r>
        <w:rPr>
          <w:color w:val="auto"/>
          <w:highlight w:val="none"/>
        </w:rPr>
        <w:fldChar w:fldCharType="separate"/>
      </w:r>
      <w:r>
        <w:rPr>
          <w:color w:val="auto"/>
          <w:highlight w:val="none"/>
        </w:rPr>
        <w:t>6</w:t>
      </w:r>
      <w:r>
        <w:rPr>
          <w:color w:val="auto"/>
          <w:highlight w:val="none"/>
        </w:rPr>
        <w:fldChar w:fldCharType="end"/>
      </w:r>
      <w:r>
        <w:rPr>
          <w:rFonts w:ascii="宋体" w:hAnsi="宋体" w:cs="宋体"/>
          <w:color w:val="auto"/>
          <w:highlight w:val="none"/>
        </w:rPr>
        <w:fldChar w:fldCharType="end"/>
      </w:r>
    </w:p>
    <w:p>
      <w:pPr>
        <w:pStyle w:val="34"/>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_Toc22525 </w:instrText>
      </w:r>
      <w:r>
        <w:rPr>
          <w:rFonts w:ascii="宋体" w:hAnsi="宋体" w:cs="宋体"/>
          <w:color w:val="auto"/>
          <w:highlight w:val="none"/>
        </w:rPr>
        <w:fldChar w:fldCharType="separate"/>
      </w:r>
      <w:r>
        <w:rPr>
          <w:rFonts w:hint="eastAsia" w:ascii="Times New Roman" w:hAnsi="Times New Roman"/>
          <w:color w:val="auto"/>
          <w:highlight w:val="none"/>
        </w:rPr>
        <w:t>9.异议</w:t>
      </w:r>
      <w:r>
        <w:rPr>
          <w:color w:val="auto"/>
          <w:highlight w:val="none"/>
        </w:rPr>
        <w:tab/>
      </w:r>
      <w:r>
        <w:rPr>
          <w:color w:val="auto"/>
          <w:highlight w:val="none"/>
        </w:rPr>
        <w:fldChar w:fldCharType="begin"/>
      </w:r>
      <w:r>
        <w:rPr>
          <w:color w:val="auto"/>
          <w:highlight w:val="none"/>
        </w:rPr>
        <w:instrText xml:space="preserve"> PAGEREF _Toc22525 \h </w:instrText>
      </w:r>
      <w:r>
        <w:rPr>
          <w:color w:val="auto"/>
          <w:highlight w:val="none"/>
        </w:rPr>
        <w:fldChar w:fldCharType="separate"/>
      </w:r>
      <w:r>
        <w:rPr>
          <w:color w:val="auto"/>
          <w:highlight w:val="none"/>
        </w:rPr>
        <w:t>6</w:t>
      </w:r>
      <w:r>
        <w:rPr>
          <w:color w:val="auto"/>
          <w:highlight w:val="none"/>
        </w:rPr>
        <w:fldChar w:fldCharType="end"/>
      </w:r>
      <w:r>
        <w:rPr>
          <w:rFonts w:ascii="宋体" w:hAnsi="宋体" w:cs="宋体"/>
          <w:color w:val="auto"/>
          <w:highlight w:val="none"/>
        </w:rPr>
        <w:fldChar w:fldCharType="end"/>
      </w:r>
    </w:p>
    <w:p>
      <w:pPr>
        <w:pStyle w:val="34"/>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_Toc15873 </w:instrText>
      </w:r>
      <w:r>
        <w:rPr>
          <w:rFonts w:ascii="宋体" w:hAnsi="宋体" w:cs="宋体"/>
          <w:color w:val="auto"/>
          <w:highlight w:val="none"/>
        </w:rPr>
        <w:fldChar w:fldCharType="separate"/>
      </w:r>
      <w:r>
        <w:rPr>
          <w:rFonts w:hint="eastAsia" w:ascii="Times New Roman" w:hAnsi="Times New Roman"/>
          <w:color w:val="auto"/>
          <w:highlight w:val="none"/>
        </w:rPr>
        <w:t>10. 监督与投诉</w:t>
      </w:r>
      <w:r>
        <w:rPr>
          <w:color w:val="auto"/>
          <w:highlight w:val="none"/>
        </w:rPr>
        <w:tab/>
      </w:r>
      <w:r>
        <w:rPr>
          <w:color w:val="auto"/>
          <w:highlight w:val="none"/>
        </w:rPr>
        <w:fldChar w:fldCharType="begin"/>
      </w:r>
      <w:r>
        <w:rPr>
          <w:color w:val="auto"/>
          <w:highlight w:val="none"/>
        </w:rPr>
        <w:instrText xml:space="preserve"> PAGEREF _Toc15873 \h </w:instrText>
      </w:r>
      <w:r>
        <w:rPr>
          <w:color w:val="auto"/>
          <w:highlight w:val="none"/>
        </w:rPr>
        <w:fldChar w:fldCharType="separate"/>
      </w:r>
      <w:r>
        <w:rPr>
          <w:color w:val="auto"/>
          <w:highlight w:val="none"/>
        </w:rPr>
        <w:t>8</w:t>
      </w:r>
      <w:r>
        <w:rPr>
          <w:color w:val="auto"/>
          <w:highlight w:val="none"/>
        </w:rPr>
        <w:fldChar w:fldCharType="end"/>
      </w:r>
      <w:r>
        <w:rPr>
          <w:rFonts w:ascii="宋体" w:hAnsi="宋体" w:cs="宋体"/>
          <w:color w:val="auto"/>
          <w:highlight w:val="none"/>
        </w:rPr>
        <w:fldChar w:fldCharType="end"/>
      </w:r>
    </w:p>
    <w:p>
      <w:pPr>
        <w:pStyle w:val="34"/>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_Toc7280 </w:instrText>
      </w:r>
      <w:r>
        <w:rPr>
          <w:rFonts w:ascii="宋体" w:hAnsi="宋体" w:cs="宋体"/>
          <w:color w:val="auto"/>
          <w:highlight w:val="none"/>
        </w:rPr>
        <w:fldChar w:fldCharType="separate"/>
      </w:r>
      <w:r>
        <w:rPr>
          <w:rFonts w:hint="eastAsia" w:ascii="Times New Roman" w:hAnsi="Times New Roman"/>
          <w:color w:val="auto"/>
          <w:highlight w:val="none"/>
        </w:rPr>
        <w:t>11. 公告附件</w:t>
      </w:r>
      <w:r>
        <w:rPr>
          <w:color w:val="auto"/>
          <w:highlight w:val="none"/>
        </w:rPr>
        <w:tab/>
      </w:r>
      <w:r>
        <w:rPr>
          <w:color w:val="auto"/>
          <w:highlight w:val="none"/>
        </w:rPr>
        <w:fldChar w:fldCharType="begin"/>
      </w:r>
      <w:r>
        <w:rPr>
          <w:color w:val="auto"/>
          <w:highlight w:val="none"/>
        </w:rPr>
        <w:instrText xml:space="preserve"> PAGEREF _Toc7280 \h </w:instrText>
      </w:r>
      <w:r>
        <w:rPr>
          <w:color w:val="auto"/>
          <w:highlight w:val="none"/>
        </w:rPr>
        <w:fldChar w:fldCharType="separate"/>
      </w:r>
      <w:r>
        <w:rPr>
          <w:color w:val="auto"/>
          <w:highlight w:val="none"/>
        </w:rPr>
        <w:t>8</w:t>
      </w:r>
      <w:r>
        <w:rPr>
          <w:color w:val="auto"/>
          <w:highlight w:val="none"/>
        </w:rPr>
        <w:fldChar w:fldCharType="end"/>
      </w:r>
      <w:r>
        <w:rPr>
          <w:rFonts w:ascii="宋体" w:hAnsi="宋体" w:cs="宋体"/>
          <w:color w:val="auto"/>
          <w:highlight w:val="none"/>
        </w:rPr>
        <w:fldChar w:fldCharType="end"/>
      </w:r>
    </w:p>
    <w:p>
      <w:pPr>
        <w:pStyle w:val="30"/>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_Toc21662 </w:instrText>
      </w:r>
      <w:r>
        <w:rPr>
          <w:rFonts w:ascii="宋体" w:hAnsi="宋体" w:cs="宋体"/>
          <w:color w:val="auto"/>
          <w:highlight w:val="none"/>
        </w:rPr>
        <w:fldChar w:fldCharType="separate"/>
      </w:r>
      <w:r>
        <w:rPr>
          <w:rFonts w:hint="eastAsia"/>
          <w:color w:val="auto"/>
          <w:highlight w:val="none"/>
        </w:rPr>
        <w:t>第二章 投标人须知</w:t>
      </w:r>
      <w:r>
        <w:rPr>
          <w:color w:val="auto"/>
          <w:highlight w:val="none"/>
        </w:rPr>
        <w:tab/>
      </w:r>
      <w:r>
        <w:rPr>
          <w:color w:val="auto"/>
          <w:highlight w:val="none"/>
        </w:rPr>
        <w:fldChar w:fldCharType="begin"/>
      </w:r>
      <w:r>
        <w:rPr>
          <w:color w:val="auto"/>
          <w:highlight w:val="none"/>
        </w:rPr>
        <w:instrText xml:space="preserve"> PAGEREF _Toc21662 \h </w:instrText>
      </w:r>
      <w:r>
        <w:rPr>
          <w:color w:val="auto"/>
          <w:highlight w:val="none"/>
        </w:rPr>
        <w:fldChar w:fldCharType="separate"/>
      </w:r>
      <w:r>
        <w:rPr>
          <w:color w:val="auto"/>
          <w:highlight w:val="none"/>
        </w:rPr>
        <w:t>8</w:t>
      </w:r>
      <w:r>
        <w:rPr>
          <w:color w:val="auto"/>
          <w:highlight w:val="none"/>
        </w:rPr>
        <w:fldChar w:fldCharType="end"/>
      </w:r>
      <w:r>
        <w:rPr>
          <w:rFonts w:ascii="宋体" w:hAnsi="宋体" w:cs="宋体"/>
          <w:color w:val="auto"/>
          <w:highlight w:val="none"/>
        </w:rPr>
        <w:fldChar w:fldCharType="end"/>
      </w:r>
    </w:p>
    <w:p>
      <w:pPr>
        <w:pStyle w:val="34"/>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_Toc25299 </w:instrText>
      </w:r>
      <w:r>
        <w:rPr>
          <w:rFonts w:ascii="宋体" w:hAnsi="宋体" w:cs="宋体"/>
          <w:color w:val="auto"/>
          <w:highlight w:val="none"/>
        </w:rPr>
        <w:fldChar w:fldCharType="separate"/>
      </w:r>
      <w:r>
        <w:rPr>
          <w:rFonts w:hint="eastAsia" w:ascii="Times New Roman" w:hAnsi="Times New Roman"/>
          <w:color w:val="auto"/>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_Toc25299 \h </w:instrText>
      </w:r>
      <w:r>
        <w:rPr>
          <w:color w:val="auto"/>
          <w:highlight w:val="none"/>
        </w:rPr>
        <w:fldChar w:fldCharType="separate"/>
      </w:r>
      <w:r>
        <w:rPr>
          <w:color w:val="auto"/>
          <w:highlight w:val="none"/>
        </w:rPr>
        <w:t>9</w:t>
      </w:r>
      <w:r>
        <w:rPr>
          <w:color w:val="auto"/>
          <w:highlight w:val="none"/>
        </w:rPr>
        <w:fldChar w:fldCharType="end"/>
      </w:r>
      <w:r>
        <w:rPr>
          <w:rFonts w:ascii="宋体" w:hAnsi="宋体" w:cs="宋体"/>
          <w:color w:val="auto"/>
          <w:highlight w:val="none"/>
        </w:rPr>
        <w:fldChar w:fldCharType="end"/>
      </w:r>
    </w:p>
    <w:p>
      <w:pPr>
        <w:pStyle w:val="34"/>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_Toc16484 </w:instrText>
      </w:r>
      <w:r>
        <w:rPr>
          <w:rFonts w:ascii="宋体" w:hAnsi="宋体" w:cs="宋体"/>
          <w:color w:val="auto"/>
          <w:highlight w:val="none"/>
        </w:rPr>
        <w:fldChar w:fldCharType="separate"/>
      </w:r>
      <w:r>
        <w:rPr>
          <w:rFonts w:ascii="Times New Roman" w:hAnsi="Times New Roman"/>
          <w:color w:val="auto"/>
          <w:highlight w:val="none"/>
        </w:rPr>
        <w:t>1. 总则</w:t>
      </w:r>
      <w:r>
        <w:rPr>
          <w:color w:val="auto"/>
          <w:highlight w:val="none"/>
        </w:rPr>
        <w:tab/>
      </w:r>
      <w:r>
        <w:rPr>
          <w:color w:val="auto"/>
          <w:highlight w:val="none"/>
        </w:rPr>
        <w:fldChar w:fldCharType="begin"/>
      </w:r>
      <w:r>
        <w:rPr>
          <w:color w:val="auto"/>
          <w:highlight w:val="none"/>
        </w:rPr>
        <w:instrText xml:space="preserve"> PAGEREF _Toc16484 \h </w:instrText>
      </w:r>
      <w:r>
        <w:rPr>
          <w:color w:val="auto"/>
          <w:highlight w:val="none"/>
        </w:rPr>
        <w:fldChar w:fldCharType="separate"/>
      </w:r>
      <w:r>
        <w:rPr>
          <w:color w:val="auto"/>
          <w:highlight w:val="none"/>
        </w:rPr>
        <w:t>18</w:t>
      </w:r>
      <w:r>
        <w:rPr>
          <w:color w:val="auto"/>
          <w:highlight w:val="none"/>
        </w:rPr>
        <w:fldChar w:fldCharType="end"/>
      </w:r>
      <w:r>
        <w:rPr>
          <w:rFonts w:ascii="宋体" w:hAnsi="宋体" w:cs="宋体"/>
          <w:color w:val="auto"/>
          <w:highlight w:val="none"/>
        </w:rPr>
        <w:fldChar w:fldCharType="end"/>
      </w:r>
    </w:p>
    <w:p>
      <w:pPr>
        <w:pStyle w:val="34"/>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_Toc18899 </w:instrText>
      </w:r>
      <w:r>
        <w:rPr>
          <w:rFonts w:ascii="宋体" w:hAnsi="宋体" w:cs="宋体"/>
          <w:color w:val="auto"/>
          <w:highlight w:val="none"/>
        </w:rPr>
        <w:fldChar w:fldCharType="separate"/>
      </w:r>
      <w:r>
        <w:rPr>
          <w:rFonts w:ascii="Times New Roman" w:hAnsi="Times New Roman"/>
          <w:color w:val="auto"/>
          <w:highlight w:val="none"/>
        </w:rPr>
        <w:t xml:space="preserve">2. </w:t>
      </w:r>
      <w:r>
        <w:rPr>
          <w:rFonts w:hint="eastAsia" w:ascii="Times New Roman" w:hAnsi="Times New Roman"/>
          <w:color w:val="auto"/>
          <w:highlight w:val="none"/>
        </w:rPr>
        <w:t>招标文件</w:t>
      </w:r>
      <w:r>
        <w:rPr>
          <w:color w:val="auto"/>
          <w:highlight w:val="none"/>
        </w:rPr>
        <w:tab/>
      </w:r>
      <w:r>
        <w:rPr>
          <w:color w:val="auto"/>
          <w:highlight w:val="none"/>
        </w:rPr>
        <w:fldChar w:fldCharType="begin"/>
      </w:r>
      <w:r>
        <w:rPr>
          <w:color w:val="auto"/>
          <w:highlight w:val="none"/>
        </w:rPr>
        <w:instrText xml:space="preserve"> PAGEREF _Toc18899 \h </w:instrText>
      </w:r>
      <w:r>
        <w:rPr>
          <w:color w:val="auto"/>
          <w:highlight w:val="none"/>
        </w:rPr>
        <w:fldChar w:fldCharType="separate"/>
      </w:r>
      <w:r>
        <w:rPr>
          <w:color w:val="auto"/>
          <w:highlight w:val="none"/>
        </w:rPr>
        <w:t>21</w:t>
      </w:r>
      <w:r>
        <w:rPr>
          <w:color w:val="auto"/>
          <w:highlight w:val="none"/>
        </w:rPr>
        <w:fldChar w:fldCharType="end"/>
      </w:r>
      <w:r>
        <w:rPr>
          <w:rFonts w:ascii="宋体" w:hAnsi="宋体" w:cs="宋体"/>
          <w:color w:val="auto"/>
          <w:highlight w:val="none"/>
        </w:rPr>
        <w:fldChar w:fldCharType="end"/>
      </w:r>
    </w:p>
    <w:p>
      <w:pPr>
        <w:pStyle w:val="34"/>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_Toc22284 </w:instrText>
      </w:r>
      <w:r>
        <w:rPr>
          <w:rFonts w:ascii="宋体" w:hAnsi="宋体" w:cs="宋体"/>
          <w:color w:val="auto"/>
          <w:highlight w:val="none"/>
        </w:rPr>
        <w:fldChar w:fldCharType="separate"/>
      </w:r>
      <w:r>
        <w:rPr>
          <w:rFonts w:ascii="Times New Roman" w:hAnsi="Times New Roman"/>
          <w:color w:val="auto"/>
          <w:highlight w:val="none"/>
        </w:rPr>
        <w:t xml:space="preserve">3. </w:t>
      </w:r>
      <w:r>
        <w:rPr>
          <w:rFonts w:hint="eastAsia" w:ascii="Times New Roman" w:hAnsi="Times New Roman"/>
          <w:color w:val="auto"/>
          <w:highlight w:val="none"/>
        </w:rPr>
        <w:t>投标文件</w:t>
      </w:r>
      <w:r>
        <w:rPr>
          <w:color w:val="auto"/>
          <w:highlight w:val="none"/>
        </w:rPr>
        <w:tab/>
      </w:r>
      <w:r>
        <w:rPr>
          <w:color w:val="auto"/>
          <w:highlight w:val="none"/>
        </w:rPr>
        <w:fldChar w:fldCharType="begin"/>
      </w:r>
      <w:r>
        <w:rPr>
          <w:color w:val="auto"/>
          <w:highlight w:val="none"/>
        </w:rPr>
        <w:instrText xml:space="preserve"> PAGEREF _Toc22284 \h </w:instrText>
      </w:r>
      <w:r>
        <w:rPr>
          <w:color w:val="auto"/>
          <w:highlight w:val="none"/>
        </w:rPr>
        <w:fldChar w:fldCharType="separate"/>
      </w:r>
      <w:r>
        <w:rPr>
          <w:color w:val="auto"/>
          <w:highlight w:val="none"/>
        </w:rPr>
        <w:t>23</w:t>
      </w:r>
      <w:r>
        <w:rPr>
          <w:color w:val="auto"/>
          <w:highlight w:val="none"/>
        </w:rPr>
        <w:fldChar w:fldCharType="end"/>
      </w:r>
      <w:r>
        <w:rPr>
          <w:rFonts w:ascii="宋体" w:hAnsi="宋体" w:cs="宋体"/>
          <w:color w:val="auto"/>
          <w:highlight w:val="none"/>
        </w:rPr>
        <w:fldChar w:fldCharType="end"/>
      </w:r>
    </w:p>
    <w:p>
      <w:pPr>
        <w:pStyle w:val="34"/>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_Toc17151 </w:instrText>
      </w:r>
      <w:r>
        <w:rPr>
          <w:rFonts w:ascii="宋体" w:hAnsi="宋体" w:cs="宋体"/>
          <w:color w:val="auto"/>
          <w:highlight w:val="none"/>
        </w:rPr>
        <w:fldChar w:fldCharType="separate"/>
      </w:r>
      <w:r>
        <w:rPr>
          <w:rFonts w:ascii="Times New Roman" w:hAnsi="Times New Roman"/>
          <w:color w:val="auto"/>
          <w:highlight w:val="none"/>
        </w:rPr>
        <w:t xml:space="preserve">4. </w:t>
      </w:r>
      <w:r>
        <w:rPr>
          <w:rFonts w:hint="eastAsia" w:ascii="Times New Roman" w:hAnsi="Times New Roman"/>
          <w:color w:val="auto"/>
          <w:highlight w:val="none"/>
        </w:rPr>
        <w:t>投标</w:t>
      </w:r>
      <w:r>
        <w:rPr>
          <w:color w:val="auto"/>
          <w:highlight w:val="none"/>
        </w:rPr>
        <w:tab/>
      </w:r>
      <w:r>
        <w:rPr>
          <w:color w:val="auto"/>
          <w:highlight w:val="none"/>
        </w:rPr>
        <w:fldChar w:fldCharType="begin"/>
      </w:r>
      <w:r>
        <w:rPr>
          <w:color w:val="auto"/>
          <w:highlight w:val="none"/>
        </w:rPr>
        <w:instrText xml:space="preserve"> PAGEREF _Toc17151 \h </w:instrText>
      </w:r>
      <w:r>
        <w:rPr>
          <w:color w:val="auto"/>
          <w:highlight w:val="none"/>
        </w:rPr>
        <w:fldChar w:fldCharType="separate"/>
      </w:r>
      <w:r>
        <w:rPr>
          <w:color w:val="auto"/>
          <w:highlight w:val="none"/>
        </w:rPr>
        <w:t>26</w:t>
      </w:r>
      <w:r>
        <w:rPr>
          <w:color w:val="auto"/>
          <w:highlight w:val="none"/>
        </w:rPr>
        <w:fldChar w:fldCharType="end"/>
      </w:r>
      <w:r>
        <w:rPr>
          <w:rFonts w:ascii="宋体" w:hAnsi="宋体" w:cs="宋体"/>
          <w:color w:val="auto"/>
          <w:highlight w:val="none"/>
        </w:rPr>
        <w:fldChar w:fldCharType="end"/>
      </w:r>
    </w:p>
    <w:p>
      <w:pPr>
        <w:pStyle w:val="34"/>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_Toc21439 </w:instrText>
      </w:r>
      <w:r>
        <w:rPr>
          <w:rFonts w:ascii="宋体" w:hAnsi="宋体" w:cs="宋体"/>
          <w:color w:val="auto"/>
          <w:highlight w:val="none"/>
        </w:rPr>
        <w:fldChar w:fldCharType="separate"/>
      </w:r>
      <w:r>
        <w:rPr>
          <w:rFonts w:ascii="Times New Roman" w:hAnsi="Times New Roman"/>
          <w:color w:val="auto"/>
          <w:highlight w:val="none"/>
        </w:rPr>
        <w:t xml:space="preserve">5. </w:t>
      </w:r>
      <w:r>
        <w:rPr>
          <w:rFonts w:hint="eastAsia" w:ascii="Times New Roman" w:hAnsi="Times New Roman"/>
          <w:color w:val="auto"/>
          <w:highlight w:val="none"/>
        </w:rPr>
        <w:t>开标</w:t>
      </w:r>
      <w:r>
        <w:rPr>
          <w:color w:val="auto"/>
          <w:highlight w:val="none"/>
        </w:rPr>
        <w:tab/>
      </w:r>
      <w:r>
        <w:rPr>
          <w:color w:val="auto"/>
          <w:highlight w:val="none"/>
        </w:rPr>
        <w:fldChar w:fldCharType="begin"/>
      </w:r>
      <w:r>
        <w:rPr>
          <w:color w:val="auto"/>
          <w:highlight w:val="none"/>
        </w:rPr>
        <w:instrText xml:space="preserve"> PAGEREF _Toc21439 \h </w:instrText>
      </w:r>
      <w:r>
        <w:rPr>
          <w:color w:val="auto"/>
          <w:highlight w:val="none"/>
        </w:rPr>
        <w:fldChar w:fldCharType="separate"/>
      </w:r>
      <w:r>
        <w:rPr>
          <w:color w:val="auto"/>
          <w:highlight w:val="none"/>
        </w:rPr>
        <w:t>27</w:t>
      </w:r>
      <w:r>
        <w:rPr>
          <w:color w:val="auto"/>
          <w:highlight w:val="none"/>
        </w:rPr>
        <w:fldChar w:fldCharType="end"/>
      </w:r>
      <w:r>
        <w:rPr>
          <w:rFonts w:ascii="宋体" w:hAnsi="宋体" w:cs="宋体"/>
          <w:color w:val="auto"/>
          <w:highlight w:val="none"/>
        </w:rPr>
        <w:fldChar w:fldCharType="end"/>
      </w:r>
    </w:p>
    <w:p>
      <w:pPr>
        <w:pStyle w:val="34"/>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_Toc13670 </w:instrText>
      </w:r>
      <w:r>
        <w:rPr>
          <w:rFonts w:ascii="宋体" w:hAnsi="宋体" w:cs="宋体"/>
          <w:color w:val="auto"/>
          <w:highlight w:val="none"/>
        </w:rPr>
        <w:fldChar w:fldCharType="separate"/>
      </w:r>
      <w:r>
        <w:rPr>
          <w:rFonts w:ascii="Times New Roman" w:hAnsi="Times New Roman"/>
          <w:color w:val="auto"/>
          <w:highlight w:val="none"/>
        </w:rPr>
        <w:t xml:space="preserve">6. </w:t>
      </w:r>
      <w:r>
        <w:rPr>
          <w:rFonts w:hint="eastAsia" w:ascii="Times New Roman" w:hAnsi="Times New Roman"/>
          <w:color w:val="auto"/>
          <w:highlight w:val="none"/>
        </w:rPr>
        <w:t>评标</w:t>
      </w:r>
      <w:r>
        <w:rPr>
          <w:color w:val="auto"/>
          <w:highlight w:val="none"/>
        </w:rPr>
        <w:tab/>
      </w:r>
      <w:r>
        <w:rPr>
          <w:color w:val="auto"/>
          <w:highlight w:val="none"/>
        </w:rPr>
        <w:fldChar w:fldCharType="begin"/>
      </w:r>
      <w:r>
        <w:rPr>
          <w:color w:val="auto"/>
          <w:highlight w:val="none"/>
        </w:rPr>
        <w:instrText xml:space="preserve"> PAGEREF _Toc13670 \h </w:instrText>
      </w:r>
      <w:r>
        <w:rPr>
          <w:color w:val="auto"/>
          <w:highlight w:val="none"/>
        </w:rPr>
        <w:fldChar w:fldCharType="separate"/>
      </w:r>
      <w:r>
        <w:rPr>
          <w:color w:val="auto"/>
          <w:highlight w:val="none"/>
        </w:rPr>
        <w:t>28</w:t>
      </w:r>
      <w:r>
        <w:rPr>
          <w:color w:val="auto"/>
          <w:highlight w:val="none"/>
        </w:rPr>
        <w:fldChar w:fldCharType="end"/>
      </w:r>
      <w:r>
        <w:rPr>
          <w:rFonts w:ascii="宋体" w:hAnsi="宋体" w:cs="宋体"/>
          <w:color w:val="auto"/>
          <w:highlight w:val="none"/>
        </w:rPr>
        <w:fldChar w:fldCharType="end"/>
      </w:r>
    </w:p>
    <w:p>
      <w:pPr>
        <w:pStyle w:val="34"/>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_Toc24493 </w:instrText>
      </w:r>
      <w:r>
        <w:rPr>
          <w:rFonts w:ascii="宋体" w:hAnsi="宋体" w:cs="宋体"/>
          <w:color w:val="auto"/>
          <w:highlight w:val="none"/>
        </w:rPr>
        <w:fldChar w:fldCharType="separate"/>
      </w:r>
      <w:r>
        <w:rPr>
          <w:rFonts w:ascii="Times New Roman" w:hAnsi="Times New Roman"/>
          <w:color w:val="auto"/>
          <w:highlight w:val="none"/>
        </w:rPr>
        <w:t xml:space="preserve">7. </w:t>
      </w:r>
      <w:r>
        <w:rPr>
          <w:rFonts w:hint="eastAsia" w:ascii="Times New Roman" w:hAnsi="Times New Roman"/>
          <w:color w:val="auto"/>
          <w:highlight w:val="none"/>
        </w:rPr>
        <w:t>合同授予</w:t>
      </w:r>
      <w:r>
        <w:rPr>
          <w:color w:val="auto"/>
          <w:highlight w:val="none"/>
        </w:rPr>
        <w:tab/>
      </w:r>
      <w:r>
        <w:rPr>
          <w:color w:val="auto"/>
          <w:highlight w:val="none"/>
        </w:rPr>
        <w:fldChar w:fldCharType="begin"/>
      </w:r>
      <w:r>
        <w:rPr>
          <w:color w:val="auto"/>
          <w:highlight w:val="none"/>
        </w:rPr>
        <w:instrText xml:space="preserve"> PAGEREF _Toc24493 \h </w:instrText>
      </w:r>
      <w:r>
        <w:rPr>
          <w:color w:val="auto"/>
          <w:highlight w:val="none"/>
        </w:rPr>
        <w:fldChar w:fldCharType="separate"/>
      </w:r>
      <w:r>
        <w:rPr>
          <w:color w:val="auto"/>
          <w:highlight w:val="none"/>
        </w:rPr>
        <w:t>29</w:t>
      </w:r>
      <w:r>
        <w:rPr>
          <w:color w:val="auto"/>
          <w:highlight w:val="none"/>
        </w:rPr>
        <w:fldChar w:fldCharType="end"/>
      </w:r>
      <w:r>
        <w:rPr>
          <w:rFonts w:ascii="宋体" w:hAnsi="宋体" w:cs="宋体"/>
          <w:color w:val="auto"/>
          <w:highlight w:val="none"/>
        </w:rPr>
        <w:fldChar w:fldCharType="end"/>
      </w:r>
    </w:p>
    <w:p>
      <w:pPr>
        <w:pStyle w:val="34"/>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_Toc4687 </w:instrText>
      </w:r>
      <w:r>
        <w:rPr>
          <w:rFonts w:ascii="宋体" w:hAnsi="宋体" w:cs="宋体"/>
          <w:color w:val="auto"/>
          <w:highlight w:val="none"/>
        </w:rPr>
        <w:fldChar w:fldCharType="separate"/>
      </w:r>
      <w:r>
        <w:rPr>
          <w:rFonts w:hint="eastAsia" w:ascii="Times New Roman" w:hAnsi="Times New Roman"/>
          <w:color w:val="auto"/>
          <w:highlight w:val="none"/>
        </w:rPr>
        <w:t>8. 重新招标和不再招标</w:t>
      </w:r>
      <w:r>
        <w:rPr>
          <w:color w:val="auto"/>
          <w:highlight w:val="none"/>
        </w:rPr>
        <w:tab/>
      </w:r>
      <w:r>
        <w:rPr>
          <w:color w:val="auto"/>
          <w:highlight w:val="none"/>
        </w:rPr>
        <w:fldChar w:fldCharType="begin"/>
      </w:r>
      <w:r>
        <w:rPr>
          <w:color w:val="auto"/>
          <w:highlight w:val="none"/>
        </w:rPr>
        <w:instrText xml:space="preserve"> PAGEREF _Toc4687 \h </w:instrText>
      </w:r>
      <w:r>
        <w:rPr>
          <w:color w:val="auto"/>
          <w:highlight w:val="none"/>
        </w:rPr>
        <w:fldChar w:fldCharType="separate"/>
      </w:r>
      <w:r>
        <w:rPr>
          <w:color w:val="auto"/>
          <w:highlight w:val="none"/>
        </w:rPr>
        <w:t>30</w:t>
      </w:r>
      <w:r>
        <w:rPr>
          <w:color w:val="auto"/>
          <w:highlight w:val="none"/>
        </w:rPr>
        <w:fldChar w:fldCharType="end"/>
      </w:r>
      <w:r>
        <w:rPr>
          <w:rFonts w:ascii="宋体" w:hAnsi="宋体" w:cs="宋体"/>
          <w:color w:val="auto"/>
          <w:highlight w:val="none"/>
        </w:rPr>
        <w:fldChar w:fldCharType="end"/>
      </w:r>
    </w:p>
    <w:p>
      <w:pPr>
        <w:pStyle w:val="34"/>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_Toc18553 </w:instrText>
      </w:r>
      <w:r>
        <w:rPr>
          <w:rFonts w:ascii="宋体" w:hAnsi="宋体" w:cs="宋体"/>
          <w:color w:val="auto"/>
          <w:highlight w:val="none"/>
        </w:rPr>
        <w:fldChar w:fldCharType="separate"/>
      </w:r>
      <w:r>
        <w:rPr>
          <w:rFonts w:hint="eastAsia" w:ascii="Times New Roman" w:hAnsi="Times New Roman"/>
          <w:color w:val="auto"/>
          <w:highlight w:val="none"/>
        </w:rPr>
        <w:t>9. 纪律和监督</w:t>
      </w:r>
      <w:r>
        <w:rPr>
          <w:color w:val="auto"/>
          <w:highlight w:val="none"/>
        </w:rPr>
        <w:tab/>
      </w:r>
      <w:r>
        <w:rPr>
          <w:color w:val="auto"/>
          <w:highlight w:val="none"/>
        </w:rPr>
        <w:fldChar w:fldCharType="begin"/>
      </w:r>
      <w:r>
        <w:rPr>
          <w:color w:val="auto"/>
          <w:highlight w:val="none"/>
        </w:rPr>
        <w:instrText xml:space="preserve"> PAGEREF _Toc18553 \h </w:instrText>
      </w:r>
      <w:r>
        <w:rPr>
          <w:color w:val="auto"/>
          <w:highlight w:val="none"/>
        </w:rPr>
        <w:fldChar w:fldCharType="separate"/>
      </w:r>
      <w:r>
        <w:rPr>
          <w:color w:val="auto"/>
          <w:highlight w:val="none"/>
        </w:rPr>
        <w:t>31</w:t>
      </w:r>
      <w:r>
        <w:rPr>
          <w:color w:val="auto"/>
          <w:highlight w:val="none"/>
        </w:rPr>
        <w:fldChar w:fldCharType="end"/>
      </w:r>
      <w:r>
        <w:rPr>
          <w:rFonts w:ascii="宋体" w:hAnsi="宋体" w:cs="宋体"/>
          <w:color w:val="auto"/>
          <w:highlight w:val="none"/>
        </w:rPr>
        <w:fldChar w:fldCharType="end"/>
      </w:r>
    </w:p>
    <w:p>
      <w:pPr>
        <w:pStyle w:val="34"/>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_Toc21631 </w:instrText>
      </w:r>
      <w:r>
        <w:rPr>
          <w:rFonts w:ascii="宋体" w:hAnsi="宋体" w:cs="宋体"/>
          <w:color w:val="auto"/>
          <w:highlight w:val="none"/>
        </w:rPr>
        <w:fldChar w:fldCharType="separate"/>
      </w:r>
      <w:r>
        <w:rPr>
          <w:rFonts w:hint="eastAsia" w:ascii="Times New Roman" w:hAnsi="Times New Roman"/>
          <w:color w:val="auto"/>
          <w:highlight w:val="none"/>
        </w:rPr>
        <w:t>10. 异议</w:t>
      </w:r>
      <w:r>
        <w:rPr>
          <w:color w:val="auto"/>
          <w:highlight w:val="none"/>
        </w:rPr>
        <w:tab/>
      </w:r>
      <w:r>
        <w:rPr>
          <w:color w:val="auto"/>
          <w:highlight w:val="none"/>
        </w:rPr>
        <w:fldChar w:fldCharType="begin"/>
      </w:r>
      <w:r>
        <w:rPr>
          <w:color w:val="auto"/>
          <w:highlight w:val="none"/>
        </w:rPr>
        <w:instrText xml:space="preserve"> PAGEREF _Toc21631 \h </w:instrText>
      </w:r>
      <w:r>
        <w:rPr>
          <w:color w:val="auto"/>
          <w:highlight w:val="none"/>
        </w:rPr>
        <w:fldChar w:fldCharType="separate"/>
      </w:r>
      <w:r>
        <w:rPr>
          <w:color w:val="auto"/>
          <w:highlight w:val="none"/>
        </w:rPr>
        <w:t>32</w:t>
      </w:r>
      <w:r>
        <w:rPr>
          <w:color w:val="auto"/>
          <w:highlight w:val="none"/>
        </w:rPr>
        <w:fldChar w:fldCharType="end"/>
      </w:r>
      <w:r>
        <w:rPr>
          <w:rFonts w:ascii="宋体" w:hAnsi="宋体" w:cs="宋体"/>
          <w:color w:val="auto"/>
          <w:highlight w:val="none"/>
        </w:rPr>
        <w:fldChar w:fldCharType="end"/>
      </w:r>
    </w:p>
    <w:p>
      <w:pPr>
        <w:pStyle w:val="34"/>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_Toc6861 </w:instrText>
      </w:r>
      <w:r>
        <w:rPr>
          <w:rFonts w:ascii="宋体" w:hAnsi="宋体" w:cs="宋体"/>
          <w:color w:val="auto"/>
          <w:highlight w:val="none"/>
        </w:rPr>
        <w:fldChar w:fldCharType="separate"/>
      </w:r>
      <w:r>
        <w:rPr>
          <w:rFonts w:hint="eastAsia" w:ascii="Times New Roman" w:hAnsi="Times New Roman"/>
          <w:color w:val="auto"/>
          <w:highlight w:val="none"/>
        </w:rPr>
        <w:t>11. 监督与投诉</w:t>
      </w:r>
      <w:r>
        <w:rPr>
          <w:color w:val="auto"/>
          <w:highlight w:val="none"/>
        </w:rPr>
        <w:tab/>
      </w:r>
      <w:r>
        <w:rPr>
          <w:color w:val="auto"/>
          <w:highlight w:val="none"/>
        </w:rPr>
        <w:fldChar w:fldCharType="begin"/>
      </w:r>
      <w:r>
        <w:rPr>
          <w:color w:val="auto"/>
          <w:highlight w:val="none"/>
        </w:rPr>
        <w:instrText xml:space="preserve"> PAGEREF _Toc6861 \h </w:instrText>
      </w:r>
      <w:r>
        <w:rPr>
          <w:color w:val="auto"/>
          <w:highlight w:val="none"/>
        </w:rPr>
        <w:fldChar w:fldCharType="separate"/>
      </w:r>
      <w:r>
        <w:rPr>
          <w:color w:val="auto"/>
          <w:highlight w:val="none"/>
        </w:rPr>
        <w:t>33</w:t>
      </w:r>
      <w:r>
        <w:rPr>
          <w:color w:val="auto"/>
          <w:highlight w:val="none"/>
        </w:rPr>
        <w:fldChar w:fldCharType="end"/>
      </w:r>
      <w:r>
        <w:rPr>
          <w:rFonts w:ascii="宋体" w:hAnsi="宋体" w:cs="宋体"/>
          <w:color w:val="auto"/>
          <w:highlight w:val="none"/>
        </w:rPr>
        <w:fldChar w:fldCharType="end"/>
      </w:r>
    </w:p>
    <w:p>
      <w:pPr>
        <w:pStyle w:val="34"/>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_Toc26351 </w:instrText>
      </w:r>
      <w:r>
        <w:rPr>
          <w:rFonts w:ascii="宋体" w:hAnsi="宋体" w:cs="宋体"/>
          <w:color w:val="auto"/>
          <w:highlight w:val="none"/>
        </w:rPr>
        <w:fldChar w:fldCharType="separate"/>
      </w:r>
      <w:r>
        <w:rPr>
          <w:rFonts w:hint="eastAsia" w:ascii="Times New Roman" w:hAnsi="Times New Roman"/>
          <w:color w:val="auto"/>
          <w:highlight w:val="none"/>
        </w:rPr>
        <w:t>12. 招标代理服务费收费</w:t>
      </w:r>
      <w:r>
        <w:rPr>
          <w:color w:val="auto"/>
          <w:highlight w:val="none"/>
        </w:rPr>
        <w:tab/>
      </w:r>
      <w:r>
        <w:rPr>
          <w:color w:val="auto"/>
          <w:highlight w:val="none"/>
        </w:rPr>
        <w:fldChar w:fldCharType="begin"/>
      </w:r>
      <w:r>
        <w:rPr>
          <w:color w:val="auto"/>
          <w:highlight w:val="none"/>
        </w:rPr>
        <w:instrText xml:space="preserve"> PAGEREF _Toc26351 \h </w:instrText>
      </w:r>
      <w:r>
        <w:rPr>
          <w:color w:val="auto"/>
          <w:highlight w:val="none"/>
        </w:rPr>
        <w:fldChar w:fldCharType="separate"/>
      </w:r>
      <w:r>
        <w:rPr>
          <w:color w:val="auto"/>
          <w:highlight w:val="none"/>
        </w:rPr>
        <w:t>34</w:t>
      </w:r>
      <w:r>
        <w:rPr>
          <w:color w:val="auto"/>
          <w:highlight w:val="none"/>
        </w:rPr>
        <w:fldChar w:fldCharType="end"/>
      </w:r>
      <w:r>
        <w:rPr>
          <w:rFonts w:ascii="宋体" w:hAnsi="宋体" w:cs="宋体"/>
          <w:color w:val="auto"/>
          <w:highlight w:val="none"/>
        </w:rPr>
        <w:fldChar w:fldCharType="end"/>
      </w:r>
    </w:p>
    <w:p>
      <w:pPr>
        <w:pStyle w:val="34"/>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_Toc19162 </w:instrText>
      </w:r>
      <w:r>
        <w:rPr>
          <w:rFonts w:ascii="宋体" w:hAnsi="宋体" w:cs="宋体"/>
          <w:color w:val="auto"/>
          <w:highlight w:val="none"/>
        </w:rPr>
        <w:fldChar w:fldCharType="separate"/>
      </w:r>
      <w:r>
        <w:rPr>
          <w:rFonts w:hint="eastAsia" w:ascii="Times New Roman" w:hAnsi="Times New Roman"/>
          <w:color w:val="auto"/>
          <w:highlight w:val="none"/>
        </w:rPr>
        <w:t>13. 需要补充的其他内容</w:t>
      </w:r>
      <w:r>
        <w:rPr>
          <w:color w:val="auto"/>
          <w:highlight w:val="none"/>
        </w:rPr>
        <w:tab/>
      </w:r>
      <w:r>
        <w:rPr>
          <w:color w:val="auto"/>
          <w:highlight w:val="none"/>
        </w:rPr>
        <w:fldChar w:fldCharType="begin"/>
      </w:r>
      <w:r>
        <w:rPr>
          <w:color w:val="auto"/>
          <w:highlight w:val="none"/>
        </w:rPr>
        <w:instrText xml:space="preserve"> PAGEREF _Toc19162 \h </w:instrText>
      </w:r>
      <w:r>
        <w:rPr>
          <w:color w:val="auto"/>
          <w:highlight w:val="none"/>
        </w:rPr>
        <w:fldChar w:fldCharType="separate"/>
      </w:r>
      <w:r>
        <w:rPr>
          <w:color w:val="auto"/>
          <w:highlight w:val="none"/>
        </w:rPr>
        <w:t>34</w:t>
      </w:r>
      <w:r>
        <w:rPr>
          <w:color w:val="auto"/>
          <w:highlight w:val="none"/>
        </w:rPr>
        <w:fldChar w:fldCharType="end"/>
      </w:r>
      <w:r>
        <w:rPr>
          <w:rFonts w:ascii="宋体" w:hAnsi="宋体" w:cs="宋体"/>
          <w:color w:val="auto"/>
          <w:highlight w:val="none"/>
        </w:rPr>
        <w:fldChar w:fldCharType="end"/>
      </w:r>
    </w:p>
    <w:p>
      <w:pPr>
        <w:pStyle w:val="30"/>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_Toc5592 </w:instrText>
      </w:r>
      <w:r>
        <w:rPr>
          <w:rFonts w:ascii="宋体" w:hAnsi="宋体" w:cs="宋体"/>
          <w:color w:val="auto"/>
          <w:highlight w:val="none"/>
        </w:rPr>
        <w:fldChar w:fldCharType="separate"/>
      </w:r>
      <w:r>
        <w:rPr>
          <w:rFonts w:hint="eastAsia"/>
          <w:color w:val="auto"/>
          <w:highlight w:val="none"/>
        </w:rPr>
        <w:t>第三章 评标办法（综合评估法）</w:t>
      </w:r>
      <w:r>
        <w:rPr>
          <w:color w:val="auto"/>
          <w:highlight w:val="none"/>
        </w:rPr>
        <w:tab/>
      </w:r>
      <w:r>
        <w:rPr>
          <w:color w:val="auto"/>
          <w:highlight w:val="none"/>
        </w:rPr>
        <w:fldChar w:fldCharType="begin"/>
      </w:r>
      <w:r>
        <w:rPr>
          <w:color w:val="auto"/>
          <w:highlight w:val="none"/>
        </w:rPr>
        <w:instrText xml:space="preserve"> PAGEREF _Toc5592 \h </w:instrText>
      </w:r>
      <w:r>
        <w:rPr>
          <w:color w:val="auto"/>
          <w:highlight w:val="none"/>
        </w:rPr>
        <w:fldChar w:fldCharType="separate"/>
      </w:r>
      <w:r>
        <w:rPr>
          <w:color w:val="auto"/>
          <w:highlight w:val="none"/>
        </w:rPr>
        <w:t>44</w:t>
      </w:r>
      <w:r>
        <w:rPr>
          <w:color w:val="auto"/>
          <w:highlight w:val="none"/>
        </w:rPr>
        <w:fldChar w:fldCharType="end"/>
      </w:r>
      <w:r>
        <w:rPr>
          <w:rFonts w:ascii="宋体" w:hAnsi="宋体" w:cs="宋体"/>
          <w:color w:val="auto"/>
          <w:highlight w:val="none"/>
        </w:rPr>
        <w:fldChar w:fldCharType="end"/>
      </w:r>
    </w:p>
    <w:p>
      <w:pPr>
        <w:pStyle w:val="34"/>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_Toc8592 </w:instrText>
      </w:r>
      <w:r>
        <w:rPr>
          <w:rFonts w:ascii="宋体" w:hAnsi="宋体" w:cs="宋体"/>
          <w:color w:val="auto"/>
          <w:highlight w:val="none"/>
        </w:rPr>
        <w:fldChar w:fldCharType="separate"/>
      </w:r>
      <w:r>
        <w:rPr>
          <w:rFonts w:hint="eastAsia" w:ascii="Times New Roman" w:hAnsi="Times New Roman"/>
          <w:color w:val="auto"/>
          <w:highlight w:val="none"/>
        </w:rPr>
        <w:t>评标办法前附表</w:t>
      </w:r>
      <w:r>
        <w:rPr>
          <w:color w:val="auto"/>
          <w:highlight w:val="none"/>
        </w:rPr>
        <w:tab/>
      </w:r>
      <w:r>
        <w:rPr>
          <w:color w:val="auto"/>
          <w:highlight w:val="none"/>
        </w:rPr>
        <w:fldChar w:fldCharType="begin"/>
      </w:r>
      <w:r>
        <w:rPr>
          <w:color w:val="auto"/>
          <w:highlight w:val="none"/>
        </w:rPr>
        <w:instrText xml:space="preserve"> PAGEREF _Toc8592 \h </w:instrText>
      </w:r>
      <w:r>
        <w:rPr>
          <w:color w:val="auto"/>
          <w:highlight w:val="none"/>
        </w:rPr>
        <w:fldChar w:fldCharType="separate"/>
      </w:r>
      <w:r>
        <w:rPr>
          <w:color w:val="auto"/>
          <w:highlight w:val="none"/>
        </w:rPr>
        <w:t>44</w:t>
      </w:r>
      <w:r>
        <w:rPr>
          <w:color w:val="auto"/>
          <w:highlight w:val="none"/>
        </w:rPr>
        <w:fldChar w:fldCharType="end"/>
      </w:r>
      <w:r>
        <w:rPr>
          <w:rFonts w:ascii="宋体" w:hAnsi="宋体" w:cs="宋体"/>
          <w:color w:val="auto"/>
          <w:highlight w:val="none"/>
        </w:rPr>
        <w:fldChar w:fldCharType="end"/>
      </w:r>
    </w:p>
    <w:p>
      <w:pPr>
        <w:pStyle w:val="34"/>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_Toc1409 </w:instrText>
      </w:r>
      <w:r>
        <w:rPr>
          <w:rFonts w:ascii="宋体" w:hAnsi="宋体" w:cs="宋体"/>
          <w:color w:val="auto"/>
          <w:highlight w:val="none"/>
        </w:rPr>
        <w:fldChar w:fldCharType="separate"/>
      </w:r>
      <w:r>
        <w:rPr>
          <w:rFonts w:hint="eastAsia"/>
          <w:color w:val="auto"/>
          <w:highlight w:val="none"/>
        </w:rPr>
        <w:t>1. 评标方法</w:t>
      </w:r>
      <w:r>
        <w:rPr>
          <w:color w:val="auto"/>
          <w:highlight w:val="none"/>
        </w:rPr>
        <w:tab/>
      </w:r>
      <w:r>
        <w:rPr>
          <w:color w:val="auto"/>
          <w:highlight w:val="none"/>
        </w:rPr>
        <w:fldChar w:fldCharType="begin"/>
      </w:r>
      <w:r>
        <w:rPr>
          <w:color w:val="auto"/>
          <w:highlight w:val="none"/>
        </w:rPr>
        <w:instrText xml:space="preserve"> PAGEREF _Toc1409 \h </w:instrText>
      </w:r>
      <w:r>
        <w:rPr>
          <w:color w:val="auto"/>
          <w:highlight w:val="none"/>
        </w:rPr>
        <w:fldChar w:fldCharType="separate"/>
      </w:r>
      <w:r>
        <w:rPr>
          <w:color w:val="auto"/>
          <w:highlight w:val="none"/>
        </w:rPr>
        <w:t>57</w:t>
      </w:r>
      <w:r>
        <w:rPr>
          <w:color w:val="auto"/>
          <w:highlight w:val="none"/>
        </w:rPr>
        <w:fldChar w:fldCharType="end"/>
      </w:r>
      <w:r>
        <w:rPr>
          <w:rFonts w:ascii="宋体" w:hAnsi="宋体" w:cs="宋体"/>
          <w:color w:val="auto"/>
          <w:highlight w:val="none"/>
        </w:rPr>
        <w:fldChar w:fldCharType="end"/>
      </w:r>
    </w:p>
    <w:p>
      <w:pPr>
        <w:pStyle w:val="34"/>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_Toc7373 </w:instrText>
      </w:r>
      <w:r>
        <w:rPr>
          <w:rFonts w:ascii="宋体" w:hAnsi="宋体" w:cs="宋体"/>
          <w:color w:val="auto"/>
          <w:highlight w:val="none"/>
        </w:rPr>
        <w:fldChar w:fldCharType="separate"/>
      </w:r>
      <w:r>
        <w:rPr>
          <w:rFonts w:ascii="Times New Roman" w:hAnsi="Times New Roman"/>
          <w:color w:val="auto"/>
          <w:highlight w:val="none"/>
        </w:rPr>
        <w:t xml:space="preserve">2. </w:t>
      </w:r>
      <w:r>
        <w:rPr>
          <w:rFonts w:hint="eastAsia" w:ascii="Times New Roman" w:hAnsi="Times New Roman"/>
          <w:color w:val="auto"/>
          <w:highlight w:val="none"/>
        </w:rPr>
        <w:t>评审标准</w:t>
      </w:r>
      <w:r>
        <w:rPr>
          <w:color w:val="auto"/>
          <w:highlight w:val="none"/>
        </w:rPr>
        <w:tab/>
      </w:r>
      <w:r>
        <w:rPr>
          <w:color w:val="auto"/>
          <w:highlight w:val="none"/>
        </w:rPr>
        <w:fldChar w:fldCharType="begin"/>
      </w:r>
      <w:r>
        <w:rPr>
          <w:color w:val="auto"/>
          <w:highlight w:val="none"/>
        </w:rPr>
        <w:instrText xml:space="preserve"> PAGEREF _Toc7373 \h </w:instrText>
      </w:r>
      <w:r>
        <w:rPr>
          <w:color w:val="auto"/>
          <w:highlight w:val="none"/>
        </w:rPr>
        <w:fldChar w:fldCharType="separate"/>
      </w:r>
      <w:r>
        <w:rPr>
          <w:color w:val="auto"/>
          <w:highlight w:val="none"/>
        </w:rPr>
        <w:t>57</w:t>
      </w:r>
      <w:r>
        <w:rPr>
          <w:color w:val="auto"/>
          <w:highlight w:val="none"/>
        </w:rPr>
        <w:fldChar w:fldCharType="end"/>
      </w:r>
      <w:r>
        <w:rPr>
          <w:rFonts w:ascii="宋体" w:hAnsi="宋体" w:cs="宋体"/>
          <w:color w:val="auto"/>
          <w:highlight w:val="none"/>
        </w:rPr>
        <w:fldChar w:fldCharType="end"/>
      </w:r>
    </w:p>
    <w:p>
      <w:pPr>
        <w:pStyle w:val="34"/>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_Toc17470 </w:instrText>
      </w:r>
      <w:r>
        <w:rPr>
          <w:rFonts w:ascii="宋体" w:hAnsi="宋体" w:cs="宋体"/>
          <w:color w:val="auto"/>
          <w:highlight w:val="none"/>
        </w:rPr>
        <w:fldChar w:fldCharType="separate"/>
      </w:r>
      <w:r>
        <w:rPr>
          <w:rFonts w:ascii="Times New Roman" w:hAnsi="Times New Roman"/>
          <w:color w:val="auto"/>
          <w:highlight w:val="none"/>
        </w:rPr>
        <w:t xml:space="preserve">3. </w:t>
      </w:r>
      <w:r>
        <w:rPr>
          <w:rFonts w:hint="eastAsia" w:ascii="Times New Roman" w:hAnsi="Times New Roman"/>
          <w:color w:val="auto"/>
          <w:highlight w:val="none"/>
        </w:rPr>
        <w:t>评标程序</w:t>
      </w:r>
      <w:r>
        <w:rPr>
          <w:color w:val="auto"/>
          <w:highlight w:val="none"/>
        </w:rPr>
        <w:tab/>
      </w:r>
      <w:r>
        <w:rPr>
          <w:color w:val="auto"/>
          <w:highlight w:val="none"/>
        </w:rPr>
        <w:fldChar w:fldCharType="begin"/>
      </w:r>
      <w:r>
        <w:rPr>
          <w:color w:val="auto"/>
          <w:highlight w:val="none"/>
        </w:rPr>
        <w:instrText xml:space="preserve"> PAGEREF _Toc17470 \h </w:instrText>
      </w:r>
      <w:r>
        <w:rPr>
          <w:color w:val="auto"/>
          <w:highlight w:val="none"/>
        </w:rPr>
        <w:fldChar w:fldCharType="separate"/>
      </w:r>
      <w:r>
        <w:rPr>
          <w:color w:val="auto"/>
          <w:highlight w:val="none"/>
        </w:rPr>
        <w:t>58</w:t>
      </w:r>
      <w:r>
        <w:rPr>
          <w:color w:val="auto"/>
          <w:highlight w:val="none"/>
        </w:rPr>
        <w:fldChar w:fldCharType="end"/>
      </w:r>
      <w:r>
        <w:rPr>
          <w:rFonts w:ascii="宋体" w:hAnsi="宋体" w:cs="宋体"/>
          <w:color w:val="auto"/>
          <w:highlight w:val="none"/>
        </w:rPr>
        <w:fldChar w:fldCharType="end"/>
      </w:r>
    </w:p>
    <w:p>
      <w:pPr>
        <w:pStyle w:val="30"/>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_Toc8665 </w:instrText>
      </w:r>
      <w:r>
        <w:rPr>
          <w:rFonts w:ascii="宋体" w:hAnsi="宋体" w:cs="宋体"/>
          <w:color w:val="auto"/>
          <w:highlight w:val="none"/>
        </w:rPr>
        <w:fldChar w:fldCharType="separate"/>
      </w:r>
      <w:r>
        <w:rPr>
          <w:rFonts w:hint="eastAsia"/>
          <w:color w:val="auto"/>
          <w:highlight w:val="none"/>
        </w:rPr>
        <w:t>第四章 合同条款及格式（另册）</w:t>
      </w:r>
      <w:r>
        <w:rPr>
          <w:color w:val="auto"/>
          <w:highlight w:val="none"/>
        </w:rPr>
        <w:tab/>
      </w:r>
      <w:r>
        <w:rPr>
          <w:color w:val="auto"/>
          <w:highlight w:val="none"/>
        </w:rPr>
        <w:fldChar w:fldCharType="begin"/>
      </w:r>
      <w:r>
        <w:rPr>
          <w:color w:val="auto"/>
          <w:highlight w:val="none"/>
        </w:rPr>
        <w:instrText xml:space="preserve"> PAGEREF _Toc8665 \h </w:instrText>
      </w:r>
      <w:r>
        <w:rPr>
          <w:color w:val="auto"/>
          <w:highlight w:val="none"/>
        </w:rPr>
        <w:fldChar w:fldCharType="separate"/>
      </w:r>
      <w:r>
        <w:rPr>
          <w:color w:val="auto"/>
          <w:highlight w:val="none"/>
        </w:rPr>
        <w:t>60</w:t>
      </w:r>
      <w:r>
        <w:rPr>
          <w:color w:val="auto"/>
          <w:highlight w:val="none"/>
        </w:rPr>
        <w:fldChar w:fldCharType="end"/>
      </w:r>
      <w:r>
        <w:rPr>
          <w:rFonts w:ascii="宋体" w:hAnsi="宋体" w:cs="宋体"/>
          <w:color w:val="auto"/>
          <w:highlight w:val="none"/>
        </w:rPr>
        <w:fldChar w:fldCharType="end"/>
      </w:r>
    </w:p>
    <w:p>
      <w:pPr>
        <w:pStyle w:val="30"/>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_Toc31087 </w:instrText>
      </w:r>
      <w:r>
        <w:rPr>
          <w:rFonts w:ascii="宋体" w:hAnsi="宋体" w:cs="宋体"/>
          <w:color w:val="auto"/>
          <w:highlight w:val="none"/>
        </w:rPr>
        <w:fldChar w:fldCharType="separate"/>
      </w:r>
      <w:r>
        <w:rPr>
          <w:rFonts w:hint="eastAsia" w:ascii="宋体" w:hAnsi="宋体" w:eastAsia="宋体" w:cs="Times New Roman"/>
          <w:color w:val="auto"/>
          <w:kern w:val="2"/>
          <w:szCs w:val="48"/>
          <w:highlight w:val="none"/>
          <w:lang w:val="en-US" w:eastAsia="zh-CN" w:bidi="ar-SA"/>
        </w:rPr>
        <w:t>第五章 发包人要求</w:t>
      </w:r>
      <w:r>
        <w:rPr>
          <w:color w:val="auto"/>
          <w:highlight w:val="none"/>
        </w:rPr>
        <w:tab/>
      </w:r>
      <w:r>
        <w:rPr>
          <w:color w:val="auto"/>
          <w:highlight w:val="none"/>
        </w:rPr>
        <w:fldChar w:fldCharType="begin"/>
      </w:r>
      <w:r>
        <w:rPr>
          <w:color w:val="auto"/>
          <w:highlight w:val="none"/>
        </w:rPr>
        <w:instrText xml:space="preserve"> PAGEREF _Toc31087 \h </w:instrText>
      </w:r>
      <w:r>
        <w:rPr>
          <w:color w:val="auto"/>
          <w:highlight w:val="none"/>
        </w:rPr>
        <w:fldChar w:fldCharType="separate"/>
      </w:r>
      <w:r>
        <w:rPr>
          <w:color w:val="auto"/>
          <w:highlight w:val="none"/>
        </w:rPr>
        <w:t>61</w:t>
      </w:r>
      <w:r>
        <w:rPr>
          <w:color w:val="auto"/>
          <w:highlight w:val="none"/>
        </w:rPr>
        <w:fldChar w:fldCharType="end"/>
      </w:r>
      <w:r>
        <w:rPr>
          <w:rFonts w:ascii="宋体" w:hAnsi="宋体" w:cs="宋体"/>
          <w:color w:val="auto"/>
          <w:highlight w:val="none"/>
        </w:rPr>
        <w:fldChar w:fldCharType="end"/>
      </w:r>
    </w:p>
    <w:p>
      <w:pPr>
        <w:pStyle w:val="30"/>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_Toc7397 </w:instrText>
      </w:r>
      <w:r>
        <w:rPr>
          <w:rFonts w:ascii="宋体" w:hAnsi="宋体" w:cs="宋体"/>
          <w:color w:val="auto"/>
          <w:highlight w:val="none"/>
        </w:rPr>
        <w:fldChar w:fldCharType="separate"/>
      </w:r>
      <w:r>
        <w:rPr>
          <w:rFonts w:hint="eastAsia"/>
          <w:color w:val="auto"/>
          <w:highlight w:val="none"/>
        </w:rPr>
        <w:t>第六章 投标文件格式</w:t>
      </w:r>
      <w:r>
        <w:rPr>
          <w:color w:val="auto"/>
          <w:highlight w:val="none"/>
        </w:rPr>
        <w:tab/>
      </w:r>
      <w:r>
        <w:rPr>
          <w:color w:val="auto"/>
          <w:highlight w:val="none"/>
        </w:rPr>
        <w:fldChar w:fldCharType="begin"/>
      </w:r>
      <w:r>
        <w:rPr>
          <w:color w:val="auto"/>
          <w:highlight w:val="none"/>
        </w:rPr>
        <w:instrText xml:space="preserve"> PAGEREF _Toc7397 \h </w:instrText>
      </w:r>
      <w:r>
        <w:rPr>
          <w:color w:val="auto"/>
          <w:highlight w:val="none"/>
        </w:rPr>
        <w:fldChar w:fldCharType="separate"/>
      </w:r>
      <w:r>
        <w:rPr>
          <w:color w:val="auto"/>
          <w:highlight w:val="none"/>
        </w:rPr>
        <w:t>69</w:t>
      </w:r>
      <w:r>
        <w:rPr>
          <w:color w:val="auto"/>
          <w:highlight w:val="none"/>
        </w:rPr>
        <w:fldChar w:fldCharType="end"/>
      </w:r>
      <w:r>
        <w:rPr>
          <w:rFonts w:ascii="宋体" w:hAnsi="宋体" w:cs="宋体"/>
          <w:color w:val="auto"/>
          <w:highlight w:val="none"/>
        </w:rPr>
        <w:fldChar w:fldCharType="end"/>
      </w:r>
    </w:p>
    <w:p>
      <w:pPr>
        <w:pStyle w:val="34"/>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_Toc397 </w:instrText>
      </w:r>
      <w:r>
        <w:rPr>
          <w:rFonts w:ascii="宋体" w:hAnsi="宋体" w:cs="宋体"/>
          <w:color w:val="auto"/>
          <w:highlight w:val="none"/>
        </w:rPr>
        <w:fldChar w:fldCharType="separate"/>
      </w:r>
      <w:r>
        <w:rPr>
          <w:rFonts w:hint="eastAsia" w:ascii="黑体" w:hAnsi="黑体" w:cs="黑体"/>
          <w:color w:val="auto"/>
          <w:szCs w:val="28"/>
          <w:highlight w:val="none"/>
        </w:rPr>
        <w:t>1. 商务文件</w:t>
      </w:r>
      <w:r>
        <w:rPr>
          <w:color w:val="auto"/>
          <w:highlight w:val="none"/>
        </w:rPr>
        <w:tab/>
      </w:r>
      <w:r>
        <w:rPr>
          <w:color w:val="auto"/>
          <w:highlight w:val="none"/>
        </w:rPr>
        <w:fldChar w:fldCharType="begin"/>
      </w:r>
      <w:r>
        <w:rPr>
          <w:color w:val="auto"/>
          <w:highlight w:val="none"/>
        </w:rPr>
        <w:instrText xml:space="preserve"> PAGEREF _Toc397 \h </w:instrText>
      </w:r>
      <w:r>
        <w:rPr>
          <w:color w:val="auto"/>
          <w:highlight w:val="none"/>
        </w:rPr>
        <w:fldChar w:fldCharType="separate"/>
      </w:r>
      <w:r>
        <w:rPr>
          <w:color w:val="auto"/>
          <w:highlight w:val="none"/>
        </w:rPr>
        <w:t>70</w:t>
      </w:r>
      <w:r>
        <w:rPr>
          <w:color w:val="auto"/>
          <w:highlight w:val="none"/>
        </w:rPr>
        <w:fldChar w:fldCharType="end"/>
      </w:r>
      <w:r>
        <w:rPr>
          <w:rFonts w:ascii="宋体" w:hAnsi="宋体" w:cs="宋体"/>
          <w:color w:val="auto"/>
          <w:highlight w:val="none"/>
        </w:rPr>
        <w:fldChar w:fldCharType="end"/>
      </w:r>
    </w:p>
    <w:p>
      <w:pPr>
        <w:pStyle w:val="34"/>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_Toc15723 </w:instrText>
      </w:r>
      <w:r>
        <w:rPr>
          <w:rFonts w:ascii="宋体" w:hAnsi="宋体" w:cs="宋体"/>
          <w:color w:val="auto"/>
          <w:highlight w:val="none"/>
        </w:rPr>
        <w:fldChar w:fldCharType="separate"/>
      </w:r>
      <w:r>
        <w:rPr>
          <w:rFonts w:hint="eastAsia" w:ascii="黑体" w:hAnsi="黑体" w:cs="黑体"/>
          <w:color w:val="auto"/>
          <w:szCs w:val="28"/>
          <w:highlight w:val="none"/>
        </w:rPr>
        <w:t>2. 技术文件</w:t>
      </w:r>
      <w:r>
        <w:rPr>
          <w:color w:val="auto"/>
          <w:highlight w:val="none"/>
        </w:rPr>
        <w:tab/>
      </w:r>
      <w:r>
        <w:rPr>
          <w:color w:val="auto"/>
          <w:highlight w:val="none"/>
        </w:rPr>
        <w:fldChar w:fldCharType="begin"/>
      </w:r>
      <w:r>
        <w:rPr>
          <w:color w:val="auto"/>
          <w:highlight w:val="none"/>
        </w:rPr>
        <w:instrText xml:space="preserve"> PAGEREF _Toc15723 \h </w:instrText>
      </w:r>
      <w:r>
        <w:rPr>
          <w:color w:val="auto"/>
          <w:highlight w:val="none"/>
        </w:rPr>
        <w:fldChar w:fldCharType="separate"/>
      </w:r>
      <w:r>
        <w:rPr>
          <w:color w:val="auto"/>
          <w:highlight w:val="none"/>
        </w:rPr>
        <w:t>97</w:t>
      </w:r>
      <w:r>
        <w:rPr>
          <w:color w:val="auto"/>
          <w:highlight w:val="none"/>
        </w:rPr>
        <w:fldChar w:fldCharType="end"/>
      </w:r>
      <w:r>
        <w:rPr>
          <w:rFonts w:ascii="宋体" w:hAnsi="宋体" w:cs="宋体"/>
          <w:color w:val="auto"/>
          <w:highlight w:val="none"/>
        </w:rPr>
        <w:fldChar w:fldCharType="end"/>
      </w:r>
    </w:p>
    <w:p>
      <w:pPr>
        <w:pStyle w:val="34"/>
        <w:tabs>
          <w:tab w:val="right" w:leader="dot" w:pos="8640"/>
        </w:tabs>
        <w:rPr>
          <w:color w:val="auto"/>
          <w:highlight w:val="none"/>
        </w:rPr>
      </w:pPr>
      <w:r>
        <w:rPr>
          <w:rFonts w:ascii="宋体" w:hAnsi="宋体" w:cs="宋体"/>
          <w:color w:val="auto"/>
          <w:highlight w:val="none"/>
        </w:rPr>
        <w:fldChar w:fldCharType="begin"/>
      </w:r>
      <w:r>
        <w:rPr>
          <w:rFonts w:ascii="宋体" w:hAnsi="宋体" w:cs="宋体"/>
          <w:color w:val="auto"/>
          <w:highlight w:val="none"/>
        </w:rPr>
        <w:instrText xml:space="preserve"> HYPERLINK \l _Toc1920 </w:instrText>
      </w:r>
      <w:r>
        <w:rPr>
          <w:rFonts w:ascii="宋体" w:hAnsi="宋体" w:cs="宋体"/>
          <w:color w:val="auto"/>
          <w:highlight w:val="none"/>
        </w:rPr>
        <w:fldChar w:fldCharType="separate"/>
      </w:r>
      <w:r>
        <w:rPr>
          <w:rFonts w:hint="eastAsia" w:ascii="黑体" w:hAnsi="黑体" w:cs="黑体"/>
          <w:color w:val="auto"/>
          <w:szCs w:val="28"/>
          <w:highlight w:val="none"/>
        </w:rPr>
        <w:t>3. 投标函及报价书</w:t>
      </w:r>
      <w:r>
        <w:rPr>
          <w:color w:val="auto"/>
          <w:highlight w:val="none"/>
        </w:rPr>
        <w:tab/>
      </w:r>
      <w:r>
        <w:rPr>
          <w:color w:val="auto"/>
          <w:highlight w:val="none"/>
        </w:rPr>
        <w:fldChar w:fldCharType="begin"/>
      </w:r>
      <w:r>
        <w:rPr>
          <w:color w:val="auto"/>
          <w:highlight w:val="none"/>
        </w:rPr>
        <w:instrText xml:space="preserve"> PAGEREF _Toc1920 \h </w:instrText>
      </w:r>
      <w:r>
        <w:rPr>
          <w:color w:val="auto"/>
          <w:highlight w:val="none"/>
        </w:rPr>
        <w:fldChar w:fldCharType="separate"/>
      </w:r>
      <w:r>
        <w:rPr>
          <w:color w:val="auto"/>
          <w:highlight w:val="none"/>
        </w:rPr>
        <w:t>101</w:t>
      </w:r>
      <w:r>
        <w:rPr>
          <w:color w:val="auto"/>
          <w:highlight w:val="none"/>
        </w:rPr>
        <w:fldChar w:fldCharType="end"/>
      </w:r>
      <w:r>
        <w:rPr>
          <w:rFonts w:ascii="宋体" w:hAnsi="宋体" w:cs="宋体"/>
          <w:color w:val="auto"/>
          <w:highlight w:val="none"/>
        </w:rPr>
        <w:fldChar w:fldCharType="end"/>
      </w:r>
    </w:p>
    <w:p>
      <w:pPr>
        <w:rPr>
          <w:color w:val="auto"/>
          <w:highlight w:val="none"/>
        </w:rPr>
      </w:pPr>
      <w:r>
        <w:rPr>
          <w:rFonts w:ascii="宋体" w:hAnsi="宋体" w:cs="宋体"/>
          <w:color w:val="auto"/>
          <w:highlight w:val="none"/>
        </w:rPr>
        <w:fldChar w:fldCharType="end"/>
      </w:r>
    </w:p>
    <w:p>
      <w:pPr>
        <w:rPr>
          <w:color w:val="auto"/>
          <w:highlight w:val="none"/>
        </w:rPr>
        <w:sectPr>
          <w:footerReference r:id="rId5" w:type="first"/>
          <w:headerReference r:id="rId3" w:type="default"/>
          <w:footerReference r:id="rId4" w:type="default"/>
          <w:pgSz w:w="12240" w:h="15840"/>
          <w:pgMar w:top="1440" w:right="1800" w:bottom="1440" w:left="1800" w:header="720" w:footer="720" w:gutter="0"/>
          <w:pgNumType w:fmt="decimal" w:start="1"/>
          <w:cols w:space="720" w:num="1"/>
          <w:docGrid w:linePitch="285" w:charSpace="0"/>
        </w:sectPr>
      </w:pPr>
    </w:p>
    <w:p>
      <w:pPr>
        <w:rPr>
          <w:color w:val="auto"/>
          <w:highlight w:val="none"/>
        </w:rPr>
      </w:pPr>
    </w:p>
    <w:p>
      <w:pPr>
        <w:pStyle w:val="3"/>
        <w:jc w:val="center"/>
        <w:rPr>
          <w:color w:val="auto"/>
          <w:highlight w:val="none"/>
        </w:rPr>
      </w:pPr>
      <w:bookmarkStart w:id="8" w:name="_Toc3834"/>
      <w:r>
        <w:rPr>
          <w:rFonts w:hint="eastAsia"/>
          <w:color w:val="auto"/>
          <w:highlight w:val="none"/>
        </w:rPr>
        <w:t>第一卷</w:t>
      </w:r>
      <w:bookmarkEnd w:id="8"/>
    </w:p>
    <w:p>
      <w:pPr>
        <w:pStyle w:val="3"/>
        <w:jc w:val="center"/>
        <w:rPr>
          <w:color w:val="auto"/>
          <w:highlight w:val="none"/>
        </w:rPr>
        <w:sectPr>
          <w:footerReference r:id="rId6" w:type="default"/>
          <w:pgSz w:w="12240" w:h="15840"/>
          <w:pgMar w:top="1440" w:right="1800" w:bottom="1440" w:left="1800" w:header="720" w:footer="720" w:gutter="0"/>
          <w:pgNumType w:fmt="decimal" w:start="1"/>
          <w:cols w:space="720" w:num="1"/>
          <w:docGrid w:linePitch="285" w:charSpace="0"/>
        </w:sectPr>
      </w:pPr>
    </w:p>
    <w:p>
      <w:pPr>
        <w:pStyle w:val="3"/>
        <w:spacing w:line="240" w:lineRule="auto"/>
        <w:jc w:val="center"/>
        <w:rPr>
          <w:color w:val="auto"/>
          <w:highlight w:val="none"/>
        </w:rPr>
      </w:pPr>
      <w:bookmarkStart w:id="9" w:name="_Toc3484"/>
      <w:r>
        <w:rPr>
          <w:rFonts w:hint="eastAsia"/>
          <w:color w:val="auto"/>
          <w:highlight w:val="none"/>
        </w:rPr>
        <w:t>第一章 招标公告</w:t>
      </w:r>
      <w:bookmarkEnd w:id="9"/>
    </w:p>
    <w:p>
      <w:pPr>
        <w:spacing w:line="440" w:lineRule="exact"/>
        <w:jc w:val="center"/>
        <w:rPr>
          <w:rFonts w:hint="eastAsia" w:ascii="宋体" w:hAnsi="宋体"/>
          <w:color w:val="auto"/>
          <w:sz w:val="28"/>
          <w:szCs w:val="28"/>
          <w:highlight w:val="none"/>
          <w:u w:val="single"/>
        </w:rPr>
      </w:pPr>
      <w:r>
        <w:rPr>
          <w:rFonts w:hint="eastAsia" w:ascii="宋体" w:hAnsi="宋体"/>
          <w:color w:val="auto"/>
          <w:sz w:val="28"/>
          <w:szCs w:val="28"/>
          <w:highlight w:val="none"/>
          <w:u w:val="single"/>
        </w:rPr>
        <w:t>松山湖科学城电缆通道项目（二期）勘察设计招标公告</w:t>
      </w:r>
    </w:p>
    <w:p>
      <w:pPr>
        <w:spacing w:line="440" w:lineRule="exact"/>
        <w:jc w:val="center"/>
        <w:rPr>
          <w:rFonts w:eastAsia="黑体"/>
          <w:color w:val="auto"/>
          <w:sz w:val="20"/>
          <w:highlight w:val="none"/>
        </w:rPr>
      </w:pPr>
      <w:r>
        <w:rPr>
          <w:rFonts w:hint="eastAsia" w:ascii="宋体" w:hAnsi="宋体"/>
          <w:color w:val="auto"/>
          <w:sz w:val="28"/>
          <w:szCs w:val="28"/>
          <w:highlight w:val="none"/>
          <w:u w:val="single"/>
        </w:rPr>
        <w:t>（项目编号：      ）</w:t>
      </w:r>
    </w:p>
    <w:p>
      <w:pPr>
        <w:pStyle w:val="4"/>
        <w:spacing w:line="240" w:lineRule="auto"/>
        <w:rPr>
          <w:rFonts w:ascii="宋体" w:hAnsi="宋体" w:eastAsia="宋体"/>
          <w:color w:val="auto"/>
          <w:highlight w:val="none"/>
        </w:rPr>
      </w:pPr>
      <w:bookmarkStart w:id="10" w:name="_Toc28948"/>
      <w:bookmarkStart w:id="11" w:name="_Toc31162"/>
      <w:bookmarkStart w:id="12" w:name="_Toc2118"/>
      <w:bookmarkStart w:id="13" w:name="_Toc12780"/>
      <w:bookmarkStart w:id="14" w:name="_Toc21686885"/>
      <w:bookmarkStart w:id="15" w:name="_Toc27841"/>
      <w:bookmarkStart w:id="16" w:name="_Toc7009"/>
      <w:r>
        <w:rPr>
          <w:rFonts w:ascii="宋体" w:hAnsi="宋体" w:eastAsia="宋体"/>
          <w:color w:val="auto"/>
          <w:highlight w:val="none"/>
        </w:rPr>
        <w:t xml:space="preserve">1. </w:t>
      </w:r>
      <w:r>
        <w:rPr>
          <w:rFonts w:hint="eastAsia" w:ascii="宋体" w:hAnsi="宋体" w:eastAsia="宋体"/>
          <w:color w:val="auto"/>
          <w:highlight w:val="none"/>
        </w:rPr>
        <w:t>招标条件</w:t>
      </w:r>
      <w:bookmarkEnd w:id="10"/>
      <w:bookmarkEnd w:id="11"/>
      <w:bookmarkEnd w:id="12"/>
      <w:bookmarkEnd w:id="13"/>
      <w:bookmarkEnd w:id="14"/>
      <w:bookmarkEnd w:id="15"/>
      <w:bookmarkEnd w:id="16"/>
    </w:p>
    <w:p>
      <w:pPr>
        <w:spacing w:line="400" w:lineRule="exact"/>
        <w:ind w:firstLine="420" w:firstLineChars="200"/>
        <w:rPr>
          <w:rFonts w:ascii="宋体" w:hAnsi="宋体"/>
          <w:color w:val="auto"/>
          <w:highlight w:val="none"/>
        </w:rPr>
      </w:pPr>
      <w:r>
        <w:rPr>
          <w:rFonts w:hint="eastAsia" w:ascii="宋体" w:hAnsi="宋体"/>
          <w:color w:val="auto"/>
          <w:highlight w:val="none"/>
        </w:rPr>
        <w:t>本招标项目</w:t>
      </w:r>
      <w:r>
        <w:rPr>
          <w:rFonts w:ascii="宋体" w:hAnsi="宋体"/>
          <w:color w:val="auto"/>
          <w:highlight w:val="none"/>
          <w:u w:val="single"/>
        </w:rPr>
        <w:t xml:space="preserve"> </w:t>
      </w:r>
      <w:r>
        <w:rPr>
          <w:rFonts w:hint="eastAsia" w:ascii="宋体" w:hAnsi="宋体"/>
          <w:color w:val="auto"/>
          <w:highlight w:val="none"/>
          <w:u w:val="single"/>
        </w:rPr>
        <w:t>松山湖科学城电缆通道项目（二期）</w:t>
      </w:r>
      <w:r>
        <w:rPr>
          <w:rFonts w:ascii="宋体" w:hAnsi="宋体"/>
          <w:color w:val="auto"/>
          <w:highlight w:val="none"/>
          <w:u w:val="single"/>
        </w:rPr>
        <w:t xml:space="preserve"> </w:t>
      </w:r>
      <w:r>
        <w:rPr>
          <w:rFonts w:hint="eastAsia" w:ascii="宋体" w:hAnsi="宋体"/>
          <w:color w:val="auto"/>
          <w:highlight w:val="none"/>
        </w:rPr>
        <w:t>（项目名称）根据</w:t>
      </w:r>
      <w:r>
        <w:rPr>
          <w:rFonts w:ascii="宋体" w:hAnsi="宋体"/>
          <w:color w:val="auto"/>
          <w:highlight w:val="none"/>
          <w:u w:val="single"/>
        </w:rPr>
        <w:t xml:space="preserve"> </w:t>
      </w:r>
      <w:r>
        <w:rPr>
          <w:rFonts w:hint="eastAsia" w:ascii="宋体" w:hAnsi="宋体"/>
          <w:color w:val="auto"/>
          <w:highlight w:val="none"/>
          <w:u w:val="single"/>
        </w:rPr>
        <w:t>〔2022〕160号</w:t>
      </w:r>
      <w:r>
        <w:rPr>
          <w:rFonts w:ascii="宋体" w:hAnsi="宋体"/>
          <w:color w:val="auto"/>
          <w:highlight w:val="none"/>
          <w:u w:val="single"/>
        </w:rPr>
        <w:t xml:space="preserve"> </w:t>
      </w:r>
      <w:r>
        <w:rPr>
          <w:rFonts w:hint="eastAsia" w:ascii="宋体" w:hAnsi="宋体"/>
          <w:color w:val="auto"/>
          <w:highlight w:val="none"/>
          <w:u w:val="none"/>
          <w:lang w:val="en-US" w:eastAsia="zh-CN"/>
        </w:rPr>
        <w:t>文</w:t>
      </w:r>
      <w:r>
        <w:rPr>
          <w:rFonts w:hint="eastAsia" w:ascii="宋体" w:hAnsi="宋体"/>
          <w:color w:val="auto"/>
          <w:highlight w:val="none"/>
        </w:rPr>
        <w:t>批准建设，项目业主（</w:t>
      </w:r>
      <w:r>
        <w:rPr>
          <w:rFonts w:hint="eastAsia" w:ascii="宋体" w:hAnsi="宋体"/>
          <w:color w:val="auto"/>
          <w:szCs w:val="21"/>
          <w:highlight w:val="none"/>
        </w:rPr>
        <w:t>项目建设单位</w:t>
      </w:r>
      <w:r>
        <w:rPr>
          <w:rFonts w:hint="eastAsia" w:ascii="宋体" w:hAnsi="宋体"/>
          <w:color w:val="auto"/>
          <w:highlight w:val="none"/>
        </w:rPr>
        <w:t>）为</w:t>
      </w:r>
      <w:r>
        <w:rPr>
          <w:rFonts w:ascii="宋体" w:hAnsi="宋体"/>
          <w:color w:val="auto"/>
          <w:highlight w:val="none"/>
          <w:u w:val="single"/>
        </w:rPr>
        <w:t xml:space="preserve"> </w:t>
      </w:r>
      <w:r>
        <w:rPr>
          <w:rFonts w:hint="eastAsia" w:ascii="宋体" w:hAnsi="宋体"/>
          <w:color w:val="auto"/>
          <w:highlight w:val="none"/>
          <w:u w:val="single"/>
        </w:rPr>
        <w:t>东莞松山湖高新技术产业开发区管理委员会</w:t>
      </w:r>
      <w:r>
        <w:rPr>
          <w:rFonts w:ascii="宋体" w:hAnsi="宋体"/>
          <w:color w:val="auto"/>
          <w:highlight w:val="none"/>
          <w:u w:val="single"/>
        </w:rPr>
        <w:t xml:space="preserve"> </w:t>
      </w:r>
      <w:r>
        <w:rPr>
          <w:rFonts w:hint="eastAsia" w:ascii="宋体" w:hAnsi="宋体"/>
          <w:color w:val="auto"/>
          <w:highlight w:val="none"/>
        </w:rPr>
        <w:t>，建设资金为</w:t>
      </w:r>
      <w:r>
        <w:rPr>
          <w:rFonts w:hint="eastAsia" w:ascii="宋体" w:hAnsi="宋体"/>
          <w:color w:val="auto"/>
          <w:highlight w:val="none"/>
          <w:u w:val="single"/>
        </w:rPr>
        <w:t>园区财政投资</w:t>
      </w:r>
      <w:r>
        <w:rPr>
          <w:rFonts w:hint="eastAsia" w:ascii="宋体" w:hAnsi="宋体"/>
          <w:color w:val="auto"/>
          <w:highlight w:val="none"/>
        </w:rPr>
        <w:t>（资金来源），招标人为</w:t>
      </w:r>
      <w:r>
        <w:rPr>
          <w:rFonts w:ascii="宋体" w:hAnsi="宋体"/>
          <w:color w:val="auto"/>
          <w:highlight w:val="none"/>
          <w:u w:val="single"/>
        </w:rPr>
        <w:t xml:space="preserve"> </w:t>
      </w:r>
      <w:r>
        <w:rPr>
          <w:rFonts w:hint="eastAsia" w:ascii="宋体" w:hAnsi="宋体"/>
          <w:color w:val="auto"/>
          <w:highlight w:val="none"/>
          <w:u w:val="single"/>
        </w:rPr>
        <w:t>东莞松山湖高新技术产业开发区管理委员会</w:t>
      </w:r>
      <w:r>
        <w:rPr>
          <w:rFonts w:ascii="宋体" w:hAnsi="宋体"/>
          <w:color w:val="auto"/>
          <w:highlight w:val="none"/>
          <w:u w:val="single"/>
        </w:rPr>
        <w:t xml:space="preserve"> </w:t>
      </w:r>
      <w:r>
        <w:rPr>
          <w:rFonts w:hint="eastAsia" w:ascii="宋体" w:hAnsi="宋体"/>
          <w:color w:val="auto"/>
          <w:highlight w:val="none"/>
        </w:rPr>
        <w:t>。项目已具备招标条件，现对该项目的勘察设计进行公开招标。</w:t>
      </w:r>
    </w:p>
    <w:p>
      <w:pPr>
        <w:pStyle w:val="4"/>
        <w:spacing w:line="240" w:lineRule="auto"/>
        <w:rPr>
          <w:rFonts w:ascii="宋体" w:hAnsi="宋体" w:eastAsia="宋体"/>
          <w:color w:val="auto"/>
          <w:highlight w:val="none"/>
        </w:rPr>
      </w:pPr>
      <w:bookmarkStart w:id="17" w:name="_Toc21113"/>
      <w:bookmarkStart w:id="18" w:name="_Toc9011"/>
      <w:bookmarkStart w:id="19" w:name="_Toc15484"/>
      <w:bookmarkStart w:id="20" w:name="_Toc22888"/>
      <w:bookmarkStart w:id="21" w:name="_Toc24253"/>
      <w:bookmarkStart w:id="22" w:name="_Toc21686886"/>
      <w:bookmarkStart w:id="23" w:name="_Toc22531"/>
      <w:r>
        <w:rPr>
          <w:rFonts w:ascii="宋体" w:hAnsi="宋体" w:eastAsia="宋体"/>
          <w:color w:val="auto"/>
          <w:highlight w:val="none"/>
        </w:rPr>
        <w:t>2. 项目概况与</w:t>
      </w:r>
      <w:r>
        <w:rPr>
          <w:rFonts w:hint="eastAsia" w:ascii="宋体" w:hAnsi="宋体" w:eastAsia="宋体"/>
          <w:color w:val="auto"/>
          <w:highlight w:val="none"/>
        </w:rPr>
        <w:t>招标范围</w:t>
      </w:r>
      <w:bookmarkEnd w:id="17"/>
      <w:bookmarkEnd w:id="18"/>
      <w:bookmarkEnd w:id="19"/>
      <w:bookmarkEnd w:id="20"/>
      <w:bookmarkEnd w:id="21"/>
      <w:bookmarkEnd w:id="22"/>
      <w:bookmarkEnd w:id="23"/>
    </w:p>
    <w:p>
      <w:pPr>
        <w:spacing w:line="400" w:lineRule="exact"/>
        <w:ind w:firstLine="420" w:firstLineChars="200"/>
        <w:rPr>
          <w:rFonts w:ascii="宋体" w:hAnsi="宋体"/>
          <w:color w:val="auto"/>
          <w:szCs w:val="21"/>
          <w:highlight w:val="none"/>
          <w:u w:val="single"/>
        </w:rPr>
      </w:pPr>
      <w:r>
        <w:rPr>
          <w:rFonts w:hint="eastAsia" w:ascii="宋体" w:hAnsi="宋体"/>
          <w:color w:val="auto"/>
          <w:szCs w:val="21"/>
          <w:highlight w:val="none"/>
        </w:rPr>
        <w:t>2.1项目建设地点：</w:t>
      </w:r>
      <w:r>
        <w:rPr>
          <w:rFonts w:hint="eastAsia" w:ascii="宋体" w:hAnsi="宋体"/>
          <w:color w:val="auto"/>
          <w:szCs w:val="21"/>
          <w:highlight w:val="none"/>
          <w:u w:val="single"/>
        </w:rPr>
        <w:t xml:space="preserve">东莞松山湖 </w:t>
      </w:r>
    </w:p>
    <w:p>
      <w:pPr>
        <w:spacing w:line="400" w:lineRule="exact"/>
        <w:ind w:firstLine="420" w:firstLineChars="200"/>
        <w:rPr>
          <w:rFonts w:ascii="宋体" w:hAnsi="宋体"/>
          <w:color w:val="auto"/>
          <w:szCs w:val="21"/>
          <w:highlight w:val="none"/>
          <w:u w:val="single"/>
        </w:rPr>
      </w:pPr>
      <w:r>
        <w:rPr>
          <w:rFonts w:hint="eastAsia" w:ascii="宋体" w:hAnsi="宋体"/>
          <w:color w:val="auto"/>
          <w:szCs w:val="21"/>
          <w:highlight w:val="none"/>
        </w:rPr>
        <w:t>2.2项目建设规模：</w:t>
      </w:r>
      <w:r>
        <w:rPr>
          <w:rFonts w:hint="eastAsia" w:ascii="宋体" w:hAnsi="宋体"/>
          <w:color w:val="auto"/>
          <w:szCs w:val="21"/>
          <w:highlight w:val="none"/>
          <w:u w:val="single"/>
        </w:rPr>
        <w:t>本工程拟沿规划清龙路、荔华东路新建一条10回</w:t>
      </w:r>
      <w:r>
        <w:rPr>
          <w:rFonts w:hint="eastAsia" w:ascii="宋体" w:hAnsi="宋体"/>
          <w:color w:val="auto"/>
          <w:szCs w:val="21"/>
          <w:highlight w:val="none"/>
          <w:u w:val="single"/>
          <w:lang w:val="en-US" w:eastAsia="zh-CN"/>
        </w:rPr>
        <w:t>路</w:t>
      </w:r>
      <w:r>
        <w:rPr>
          <w:rFonts w:hint="eastAsia" w:ascii="宋体" w:hAnsi="宋体"/>
          <w:color w:val="auto"/>
          <w:szCs w:val="21"/>
          <w:highlight w:val="none"/>
          <w:u w:val="single"/>
        </w:rPr>
        <w:t>电缆隧道，主要规模为：沿规划清龙路及荔华东路新建10回路电缆隧道，长约1.9km；沿象和路新建3条电缆沟至沛然站，长约3*0.4km。电压等级为220KV。总投资1.51亿元。（</w:t>
      </w:r>
      <w:r>
        <w:rPr>
          <w:rFonts w:hint="eastAsia" w:ascii="宋体" w:hAnsi="宋体"/>
          <w:bCs/>
          <w:color w:val="auto"/>
          <w:highlight w:val="none"/>
          <w:u w:val="single"/>
        </w:rPr>
        <w:t>按可研批复规模写）</w:t>
      </w:r>
    </w:p>
    <w:p>
      <w:pPr>
        <w:spacing w:line="400" w:lineRule="exact"/>
        <w:ind w:firstLine="420" w:firstLineChars="200"/>
        <w:rPr>
          <w:rFonts w:hint="eastAsia" w:ascii="宋体" w:hAnsi="宋体"/>
          <w:color w:val="auto"/>
          <w:szCs w:val="21"/>
          <w:highlight w:val="none"/>
          <w:u w:val="single"/>
        </w:rPr>
      </w:pPr>
      <w:r>
        <w:rPr>
          <w:rFonts w:hint="eastAsia" w:ascii="宋体" w:hAnsi="宋体"/>
          <w:color w:val="auto"/>
          <w:szCs w:val="21"/>
          <w:highlight w:val="none"/>
        </w:rPr>
        <w:t>2.3项目招标范围：</w:t>
      </w:r>
      <w:r>
        <w:rPr>
          <w:rFonts w:hint="eastAsia" w:ascii="宋体" w:hAnsi="宋体"/>
          <w:color w:val="auto"/>
          <w:szCs w:val="21"/>
          <w:highlight w:val="none"/>
          <w:u w:val="single"/>
        </w:rPr>
        <w:t>松山湖科学城电缆通道项目（二期）勘察设计</w:t>
      </w:r>
      <w:bookmarkStart w:id="24" w:name="_Toc14787"/>
      <w:r>
        <w:rPr>
          <w:rFonts w:hint="eastAsia" w:ascii="宋体" w:hAnsi="宋体"/>
          <w:color w:val="auto"/>
          <w:szCs w:val="21"/>
          <w:highlight w:val="none"/>
          <w:u w:val="single"/>
        </w:rPr>
        <w:t>招标范围包括但不仅限于以下内容：</w:t>
      </w:r>
    </w:p>
    <w:p>
      <w:pPr>
        <w:pStyle w:val="2"/>
        <w:ind w:firstLine="420" w:firstLineChars="200"/>
        <w:rPr>
          <w:rFonts w:ascii="宋体" w:hAnsi="宋体"/>
          <w:color w:val="auto"/>
          <w:szCs w:val="21"/>
          <w:highlight w:val="none"/>
          <w:u w:val="single"/>
        </w:rPr>
      </w:pPr>
      <w:r>
        <w:rPr>
          <w:rFonts w:hint="eastAsia" w:ascii="宋体" w:hAnsi="宋体"/>
          <w:color w:val="auto"/>
          <w:szCs w:val="21"/>
          <w:highlight w:val="none"/>
        </w:rPr>
        <w:t>（1）工程勘察</w:t>
      </w:r>
      <w:r>
        <w:rPr>
          <w:rFonts w:hint="eastAsia" w:ascii="宋体" w:hAnsi="宋体"/>
          <w:color w:val="auto"/>
          <w:szCs w:val="21"/>
          <w:highlight w:val="none"/>
          <w:u w:val="single"/>
        </w:rPr>
        <w:t>：含电缆线路沿线地形地物测量，沿线所有市政管线物探, 测量及物探路径长度各约2.3km，测量面积约25.0万平方米（比例1:500，测量线路平断面、河渠平断面约2.5km），盲探管线按中等困难类别）；钻探布孔约62个，钻探深度合计约1550米。工程勘察报告应根据国家有关勘察成果报告的编制规范和标准编制，资料应完整、真实准确、数据无误、图表清晰、结论有据、建议合理、便于使用和适宜长期保存，并应因地制宜，重点突出，有明确的工程针对性。</w:t>
      </w:r>
    </w:p>
    <w:p>
      <w:pPr>
        <w:pStyle w:val="2"/>
        <w:ind w:firstLine="420" w:firstLineChars="200"/>
        <w:rPr>
          <w:rFonts w:hint="eastAsia"/>
          <w:color w:val="auto"/>
          <w:highlight w:val="none"/>
          <w:u w:val="single"/>
        </w:rPr>
      </w:pPr>
      <w:r>
        <w:rPr>
          <w:rFonts w:hint="eastAsia"/>
          <w:color w:val="auto"/>
          <w:highlight w:val="none"/>
        </w:rPr>
        <w:t>（2）工程设计：</w:t>
      </w:r>
      <w:r>
        <w:rPr>
          <w:rFonts w:hint="eastAsia"/>
          <w:color w:val="auto"/>
          <w:highlight w:val="none"/>
          <w:u w:val="single"/>
        </w:rPr>
        <w:t>新建电缆隧道、</w:t>
      </w:r>
      <w:r>
        <w:rPr>
          <w:rFonts w:hint="eastAsia" w:ascii="宋体" w:hAnsi="宋体"/>
          <w:color w:val="auto"/>
          <w:szCs w:val="21"/>
          <w:highlight w:val="none"/>
          <w:u w:val="single"/>
        </w:rPr>
        <w:t>电缆通道及其附属设施</w:t>
      </w:r>
      <w:r>
        <w:rPr>
          <w:rFonts w:hint="eastAsia" w:ascii="宋体" w:hAnsi="宋体"/>
          <w:strike w:val="0"/>
          <w:dstrike w:val="0"/>
          <w:color w:val="auto"/>
          <w:szCs w:val="21"/>
          <w:highlight w:val="none"/>
          <w:u w:val="single"/>
        </w:rPr>
        <w:t>、</w:t>
      </w:r>
      <w:r>
        <w:rPr>
          <w:rFonts w:hint="eastAsia" w:ascii="宋体" w:hAnsi="宋体"/>
          <w:strike w:val="0"/>
          <w:dstrike w:val="0"/>
          <w:color w:val="auto"/>
          <w:szCs w:val="21"/>
          <w:highlight w:val="none"/>
          <w:u w:val="single"/>
          <w:lang w:val="en-US" w:eastAsia="zh-CN"/>
        </w:rPr>
        <w:t>路面</w:t>
      </w:r>
      <w:r>
        <w:rPr>
          <w:rFonts w:hint="eastAsia" w:ascii="宋体" w:hAnsi="宋体"/>
          <w:strike w:val="0"/>
          <w:dstrike w:val="0"/>
          <w:color w:val="auto"/>
          <w:szCs w:val="21"/>
          <w:highlight w:val="none"/>
          <w:u w:val="single"/>
        </w:rPr>
        <w:t>破除修复</w:t>
      </w:r>
      <w:r>
        <w:rPr>
          <w:rFonts w:hint="eastAsia" w:ascii="宋体" w:hAnsi="宋体"/>
          <w:color w:val="auto"/>
          <w:szCs w:val="21"/>
          <w:highlight w:val="none"/>
          <w:u w:val="single"/>
        </w:rPr>
        <w:t>等设计及后续服务等工作，包括方案设计及调整、初步设计、施工图设计、后续服务等工作，</w:t>
      </w:r>
      <w:r>
        <w:rPr>
          <w:rFonts w:hint="eastAsia"/>
          <w:color w:val="auto"/>
          <w:highlight w:val="none"/>
          <w:u w:val="single"/>
        </w:rPr>
        <w:t>根据批准后的工程概算，完成全套施工图设计，并配合造价咨询单位编制施工图预算；配合甲方完成工程报批工作</w:t>
      </w:r>
      <w:r>
        <w:rPr>
          <w:rFonts w:hint="eastAsia"/>
          <w:color w:val="auto"/>
          <w:highlight w:val="none"/>
          <w:u w:val="single"/>
          <w:lang w:val="en-US" w:eastAsia="zh-CN"/>
        </w:rPr>
        <w:t>，</w:t>
      </w:r>
      <w:r>
        <w:rPr>
          <w:rFonts w:hint="eastAsia"/>
          <w:color w:val="auto"/>
          <w:highlight w:val="none"/>
          <w:u w:val="single"/>
        </w:rPr>
        <w:t>按甲方要求提交有关技术性文件；满足发包人招标及施工的要求。</w:t>
      </w:r>
    </w:p>
    <w:p>
      <w:pPr>
        <w:ind w:firstLine="420" w:firstLineChars="200"/>
        <w:rPr>
          <w:rFonts w:hint="eastAsia" w:ascii="宋体" w:hAnsi="宋体"/>
          <w:color w:val="auto"/>
          <w:highlight w:val="none"/>
          <w:u w:val="single"/>
        </w:rPr>
      </w:pPr>
      <w:r>
        <w:rPr>
          <w:rFonts w:hint="eastAsia" w:ascii="宋体" w:hAnsi="宋体"/>
          <w:color w:val="auto"/>
          <w:szCs w:val="21"/>
          <w:highlight w:val="none"/>
        </w:rPr>
        <w:t>具体范围和内容详见招标文件第五章发包人要求。</w:t>
      </w:r>
    </w:p>
    <w:p>
      <w:pPr>
        <w:spacing w:line="400" w:lineRule="exact"/>
        <w:ind w:firstLine="420" w:firstLineChars="200"/>
        <w:rPr>
          <w:rFonts w:hint="eastAsia" w:hAnsi="宋体"/>
          <w:color w:val="auto"/>
          <w:szCs w:val="21"/>
          <w:highlight w:val="none"/>
          <w:u w:val="single"/>
        </w:rPr>
      </w:pPr>
      <w:r>
        <w:rPr>
          <w:rFonts w:hint="eastAsia" w:hAnsi="宋体"/>
          <w:color w:val="auto"/>
          <w:szCs w:val="21"/>
          <w:highlight w:val="none"/>
          <w:u w:val="none"/>
        </w:rPr>
        <w:t>2.4类别：</w:t>
      </w:r>
      <w:r>
        <w:rPr>
          <w:rFonts w:hint="eastAsia" w:hAnsi="宋体"/>
          <w:color w:val="auto"/>
          <w:szCs w:val="21"/>
          <w:highlight w:val="none"/>
          <w:u w:val="single"/>
        </w:rPr>
        <w:t>服务类</w:t>
      </w:r>
    </w:p>
    <w:p>
      <w:pPr>
        <w:spacing w:line="360" w:lineRule="auto"/>
        <w:ind w:firstLine="420" w:firstLineChars="200"/>
        <w:rPr>
          <w:rFonts w:hint="eastAsia" w:hAnsi="宋体"/>
          <w:color w:val="auto"/>
          <w:szCs w:val="21"/>
          <w:highlight w:val="none"/>
        </w:rPr>
      </w:pPr>
      <w:r>
        <w:rPr>
          <w:rFonts w:hint="eastAsia" w:hAnsi="宋体"/>
          <w:color w:val="auto"/>
          <w:szCs w:val="21"/>
          <w:highlight w:val="none"/>
          <w:u w:val="none"/>
        </w:rPr>
        <w:t>2.5</w:t>
      </w:r>
      <w:r>
        <w:rPr>
          <w:rFonts w:hint="eastAsia" w:hAnsi="宋体"/>
          <w:color w:val="auto"/>
          <w:szCs w:val="21"/>
          <w:highlight w:val="none"/>
        </w:rPr>
        <w:t>勘察设计服务期限（具体实际工期以开工报告、竣工报告为准）：</w:t>
      </w:r>
    </w:p>
    <w:p>
      <w:pPr>
        <w:spacing w:line="360" w:lineRule="auto"/>
        <w:ind w:firstLine="420" w:firstLineChars="200"/>
        <w:rPr>
          <w:rFonts w:hint="eastAsia" w:eastAsia="宋体"/>
          <w:color w:val="auto"/>
          <w:highlight w:val="none"/>
          <w:lang w:eastAsia="zh-CN"/>
        </w:rPr>
      </w:pPr>
      <w:r>
        <w:rPr>
          <w:rFonts w:hint="eastAsia"/>
          <w:color w:val="auto"/>
          <w:highlight w:val="none"/>
        </w:rPr>
        <w:t>勘察工期:勘察成果的进度由中标人根据设计成果的进度要求自行控制，但勘察成果需满足初步设计送审、评审和报批，满足施工图设计送审、报批和备案的时间及深度要求</w:t>
      </w:r>
      <w:r>
        <w:rPr>
          <w:rFonts w:hint="eastAsia"/>
          <w:color w:val="auto"/>
          <w:highlight w:val="none"/>
          <w:lang w:eastAsia="zh-CN"/>
        </w:rPr>
        <w:t>。</w:t>
      </w:r>
    </w:p>
    <w:p>
      <w:pPr>
        <w:spacing w:line="360" w:lineRule="auto"/>
        <w:ind w:firstLine="420" w:firstLineChars="200"/>
        <w:rPr>
          <w:color w:val="auto"/>
          <w:highlight w:val="none"/>
        </w:rPr>
      </w:pPr>
      <w:r>
        <w:rPr>
          <w:rFonts w:hint="eastAsia"/>
          <w:color w:val="auto"/>
          <w:highlight w:val="none"/>
          <w:lang w:eastAsia="zh-Hans"/>
        </w:rPr>
        <w:t>设计工程：</w:t>
      </w:r>
      <w:r>
        <w:rPr>
          <w:rFonts w:hint="eastAsia"/>
          <w:color w:val="auto"/>
          <w:highlight w:val="none"/>
        </w:rPr>
        <w:t>总设计工期</w:t>
      </w:r>
      <w:r>
        <w:rPr>
          <w:rFonts w:hint="eastAsia"/>
          <w:color w:val="auto"/>
          <w:highlight w:val="none"/>
          <w:lang w:val="en-US" w:eastAsia="zh-CN"/>
        </w:rPr>
        <w:t>90</w:t>
      </w:r>
      <w:r>
        <w:rPr>
          <w:color w:val="auto"/>
          <w:highlight w:val="none"/>
        </w:rPr>
        <w:t>天（不包含招标人对图纸审核的时间）</w:t>
      </w:r>
    </w:p>
    <w:p>
      <w:pPr>
        <w:spacing w:line="400" w:lineRule="exact"/>
        <w:ind w:firstLine="420" w:firstLineChars="200"/>
        <w:rPr>
          <w:rFonts w:hint="eastAsia" w:hAnsi="宋体"/>
          <w:color w:val="auto"/>
          <w:szCs w:val="21"/>
          <w:highlight w:val="none"/>
          <w:u w:val="none"/>
        </w:rPr>
      </w:pPr>
      <w:r>
        <w:rPr>
          <w:rFonts w:hint="eastAsia" w:hAnsi="宋体"/>
          <w:color w:val="auto"/>
          <w:szCs w:val="21"/>
          <w:highlight w:val="none"/>
          <w:u w:val="none"/>
        </w:rPr>
        <w:t>其中：</w:t>
      </w:r>
    </w:p>
    <w:p>
      <w:pPr>
        <w:spacing w:line="360" w:lineRule="auto"/>
        <w:ind w:firstLine="420" w:firstLineChars="200"/>
        <w:rPr>
          <w:color w:val="auto"/>
          <w:highlight w:val="none"/>
          <w:u w:val="none"/>
        </w:rPr>
      </w:pPr>
      <w:r>
        <w:rPr>
          <w:color w:val="auto"/>
          <w:highlight w:val="none"/>
          <w:u w:val="none"/>
        </w:rPr>
        <w:t>（</w:t>
      </w:r>
      <w:r>
        <w:rPr>
          <w:rFonts w:hint="eastAsia"/>
          <w:color w:val="auto"/>
          <w:highlight w:val="none"/>
          <w:u w:val="none"/>
        </w:rPr>
        <w:t>1</w:t>
      </w:r>
      <w:r>
        <w:rPr>
          <w:color w:val="auto"/>
          <w:highlight w:val="none"/>
          <w:u w:val="none"/>
        </w:rPr>
        <w:t>）方案设计及调整：自中标通知书发出</w:t>
      </w:r>
      <w:r>
        <w:rPr>
          <w:rFonts w:hint="eastAsia"/>
          <w:color w:val="auto"/>
          <w:highlight w:val="none"/>
          <w:u w:val="none"/>
          <w:lang w:val="en-US" w:eastAsia="zh-CN"/>
        </w:rPr>
        <w:t>并取得路径盖章和相关部门复函</w:t>
      </w:r>
      <w:r>
        <w:rPr>
          <w:rFonts w:hint="eastAsia"/>
          <w:color w:val="auto"/>
          <w:highlight w:val="none"/>
          <w:u w:val="none"/>
        </w:rPr>
        <w:t xml:space="preserve">后 10个日历天内向招标人提交设计方案送审稿，送审稿评审通过后 </w:t>
      </w:r>
      <w:r>
        <w:rPr>
          <w:color w:val="auto"/>
          <w:highlight w:val="none"/>
          <w:u w:val="none"/>
        </w:rPr>
        <w:t>5</w:t>
      </w:r>
      <w:r>
        <w:rPr>
          <w:rFonts w:hint="eastAsia"/>
          <w:color w:val="auto"/>
          <w:highlight w:val="none"/>
          <w:u w:val="none"/>
        </w:rPr>
        <w:t xml:space="preserve"> 个日历天内向招标人提交修改后的正式方案</w:t>
      </w:r>
      <w:r>
        <w:rPr>
          <w:color w:val="auto"/>
          <w:highlight w:val="none"/>
          <w:u w:val="none"/>
        </w:rPr>
        <w:t>；</w:t>
      </w:r>
    </w:p>
    <w:p>
      <w:pPr>
        <w:spacing w:line="360" w:lineRule="auto"/>
        <w:ind w:firstLine="420" w:firstLineChars="200"/>
        <w:rPr>
          <w:color w:val="auto"/>
          <w:highlight w:val="none"/>
          <w:u w:val="none"/>
        </w:rPr>
      </w:pPr>
      <w:r>
        <w:rPr>
          <w:color w:val="auto"/>
          <w:highlight w:val="none"/>
          <w:u w:val="none"/>
        </w:rPr>
        <w:t>（</w:t>
      </w:r>
      <w:r>
        <w:rPr>
          <w:rFonts w:hint="eastAsia"/>
          <w:color w:val="auto"/>
          <w:highlight w:val="none"/>
          <w:u w:val="none"/>
        </w:rPr>
        <w:t>2</w:t>
      </w:r>
      <w:r>
        <w:rPr>
          <w:color w:val="auto"/>
          <w:highlight w:val="none"/>
          <w:u w:val="none"/>
        </w:rPr>
        <w:t>）初步设计：</w:t>
      </w:r>
      <w:r>
        <w:rPr>
          <w:rFonts w:hint="eastAsia"/>
          <w:color w:val="auto"/>
          <w:highlight w:val="none"/>
          <w:u w:val="none"/>
        </w:rPr>
        <w:t xml:space="preserve">方案设计文件正式评审通过后 20个日历天内向招标人提交正式初步设计文件（含概算书），并按要求配合招标人办理有关初步设计审查手续； </w:t>
      </w:r>
    </w:p>
    <w:p>
      <w:pPr>
        <w:spacing w:line="360" w:lineRule="auto"/>
        <w:ind w:firstLine="420" w:firstLineChars="200"/>
        <w:rPr>
          <w:rFonts w:hint="eastAsia"/>
          <w:color w:val="auto"/>
          <w:highlight w:val="none"/>
          <w:u w:val="none"/>
        </w:rPr>
      </w:pPr>
      <w:r>
        <w:rPr>
          <w:color w:val="auto"/>
          <w:highlight w:val="none"/>
          <w:u w:val="none"/>
        </w:rPr>
        <w:t>（</w:t>
      </w:r>
      <w:r>
        <w:rPr>
          <w:rFonts w:hint="eastAsia"/>
          <w:color w:val="auto"/>
          <w:highlight w:val="none"/>
          <w:u w:val="none"/>
        </w:rPr>
        <w:t>3</w:t>
      </w:r>
      <w:r>
        <w:rPr>
          <w:color w:val="auto"/>
          <w:highlight w:val="none"/>
          <w:u w:val="none"/>
        </w:rPr>
        <w:t>）</w:t>
      </w:r>
      <w:r>
        <w:rPr>
          <w:rFonts w:hint="eastAsia"/>
          <w:color w:val="auto"/>
          <w:highlight w:val="none"/>
          <w:u w:val="none"/>
        </w:rPr>
        <w:t xml:space="preserve">施工图设计阶段：初步设计文件正式评审通过后 50个日历天内向招标人提交施工图设计文件送审稿和相关资料，送审稿审查通过后 5 个日历天内向招标人提交修改后的正式施工图设计文件和相关资料。 </w:t>
      </w:r>
    </w:p>
    <w:p>
      <w:pPr>
        <w:spacing w:line="440" w:lineRule="exact"/>
        <w:ind w:firstLine="420" w:firstLineChars="200"/>
        <w:rPr>
          <w:color w:val="auto"/>
          <w:highlight w:val="none"/>
          <w:u w:val="none"/>
        </w:rPr>
      </w:pPr>
      <w:r>
        <w:rPr>
          <w:rFonts w:hint="eastAsia"/>
          <w:color w:val="auto"/>
          <w:highlight w:val="none"/>
          <w:u w:val="none"/>
        </w:rPr>
        <w:t>（4）</w:t>
      </w:r>
      <w:r>
        <w:rPr>
          <w:color w:val="auto"/>
          <w:highlight w:val="none"/>
          <w:u w:val="none"/>
        </w:rPr>
        <w:t>施工现场配合服务：自取得施工图审查备案凭证之日起，至项目范围内所有工程竣工验收合格之日止</w:t>
      </w:r>
      <w:r>
        <w:rPr>
          <w:rFonts w:hint="eastAsia"/>
          <w:color w:val="auto"/>
          <w:highlight w:val="none"/>
          <w:u w:val="none"/>
        </w:rPr>
        <w:t>。</w:t>
      </w:r>
    </w:p>
    <w:p>
      <w:pPr>
        <w:spacing w:line="440" w:lineRule="exact"/>
        <w:ind w:firstLine="422" w:firstLineChars="200"/>
        <w:rPr>
          <w:rFonts w:hint="eastAsia" w:ascii="宋体" w:hAnsi="宋体"/>
          <w:strike/>
          <w:color w:val="auto"/>
          <w:szCs w:val="21"/>
          <w:highlight w:val="none"/>
          <w:u w:val="none"/>
        </w:rPr>
      </w:pPr>
      <w:r>
        <w:rPr>
          <w:rFonts w:ascii="宋体" w:hAnsi="宋体"/>
          <w:b/>
          <w:color w:val="auto"/>
          <w:szCs w:val="21"/>
          <w:highlight w:val="none"/>
          <w:u w:val="none"/>
        </w:rPr>
        <w:t>2.</w:t>
      </w:r>
      <w:r>
        <w:rPr>
          <w:rFonts w:hint="eastAsia" w:ascii="宋体" w:hAnsi="宋体"/>
          <w:b/>
          <w:color w:val="auto"/>
          <w:szCs w:val="21"/>
          <w:highlight w:val="none"/>
          <w:u w:val="none"/>
        </w:rPr>
        <w:t>6标的物清单</w:t>
      </w:r>
      <w:r>
        <w:rPr>
          <w:rFonts w:ascii="宋体" w:hAnsi="宋体"/>
          <w:b/>
          <w:color w:val="auto"/>
          <w:szCs w:val="21"/>
          <w:highlight w:val="none"/>
          <w:u w:val="none"/>
        </w:rPr>
        <w:t>：</w:t>
      </w:r>
    </w:p>
    <w:tbl>
      <w:tblPr>
        <w:tblStyle w:val="43"/>
        <w:tblW w:w="0" w:type="auto"/>
        <w:jc w:val="center"/>
        <w:tblLayout w:type="fixed"/>
        <w:tblCellMar>
          <w:top w:w="0" w:type="dxa"/>
          <w:left w:w="0" w:type="dxa"/>
          <w:bottom w:w="0" w:type="dxa"/>
          <w:right w:w="0" w:type="dxa"/>
        </w:tblCellMar>
      </w:tblPr>
      <w:tblGrid>
        <w:gridCol w:w="903"/>
        <w:gridCol w:w="1476"/>
        <w:gridCol w:w="1307"/>
        <w:gridCol w:w="1980"/>
        <w:gridCol w:w="1335"/>
        <w:gridCol w:w="1080"/>
      </w:tblGrid>
      <w:tr>
        <w:tblPrEx>
          <w:tblCellMar>
            <w:top w:w="0" w:type="dxa"/>
            <w:left w:w="0" w:type="dxa"/>
            <w:bottom w:w="0" w:type="dxa"/>
            <w:right w:w="0" w:type="dxa"/>
          </w:tblCellMar>
        </w:tblPrEx>
        <w:trPr>
          <w:trHeight w:val="500" w:hRule="atLeast"/>
          <w:jc w:val="center"/>
        </w:trPr>
        <w:tc>
          <w:tcPr>
            <w:tcW w:w="903"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jc w:val="center"/>
              <w:rPr>
                <w:rFonts w:hint="eastAsia" w:ascii="宋体" w:hAnsi="宋体"/>
                <w:b/>
                <w:color w:val="auto"/>
                <w:sz w:val="18"/>
                <w:highlight w:val="none"/>
              </w:rPr>
            </w:pPr>
            <w:r>
              <w:rPr>
                <w:rFonts w:hint="eastAsia" w:ascii="宋体" w:hAnsi="宋体"/>
                <w:b/>
                <w:color w:val="auto"/>
                <w:sz w:val="18"/>
                <w:highlight w:val="none"/>
              </w:rPr>
              <w:t>标段</w:t>
            </w:r>
          </w:p>
        </w:tc>
        <w:tc>
          <w:tcPr>
            <w:tcW w:w="1476" w:type="dxa"/>
            <w:tcBorders>
              <w:top w:val="single" w:color="000000" w:sz="6" w:space="0"/>
              <w:left w:val="single" w:color="000000" w:sz="6" w:space="0"/>
              <w:bottom w:val="single" w:color="auto" w:sz="4" w:space="0"/>
              <w:right w:val="single" w:color="000000" w:sz="6" w:space="0"/>
            </w:tcBorders>
            <w:shd w:val="clear" w:color="auto" w:fill="FFFFFF"/>
            <w:noWrap w:val="0"/>
            <w:vAlign w:val="center"/>
          </w:tcPr>
          <w:p>
            <w:pPr>
              <w:jc w:val="center"/>
              <w:rPr>
                <w:rFonts w:hint="eastAsia" w:ascii="宋体" w:hAnsi="宋体"/>
                <w:b/>
                <w:color w:val="auto"/>
                <w:sz w:val="18"/>
                <w:highlight w:val="none"/>
              </w:rPr>
            </w:pPr>
            <w:r>
              <w:rPr>
                <w:rFonts w:hint="eastAsia" w:ascii="宋体" w:hAnsi="宋体"/>
                <w:b/>
                <w:color w:val="auto"/>
                <w:sz w:val="18"/>
                <w:highlight w:val="none"/>
              </w:rPr>
              <w:t>预计采购金额</w:t>
            </w:r>
          </w:p>
          <w:p>
            <w:pPr>
              <w:jc w:val="center"/>
              <w:rPr>
                <w:rFonts w:hint="eastAsia" w:ascii="宋体" w:hAnsi="宋体"/>
                <w:b/>
                <w:color w:val="auto"/>
                <w:sz w:val="18"/>
                <w:highlight w:val="none"/>
              </w:rPr>
            </w:pPr>
            <w:r>
              <w:rPr>
                <w:rFonts w:hint="eastAsia" w:ascii="宋体" w:hAnsi="宋体"/>
                <w:b/>
                <w:color w:val="auto"/>
                <w:sz w:val="18"/>
                <w:highlight w:val="none"/>
              </w:rPr>
              <w:t>（万元）</w:t>
            </w:r>
          </w:p>
        </w:tc>
        <w:tc>
          <w:tcPr>
            <w:tcW w:w="1307" w:type="dxa"/>
            <w:tcBorders>
              <w:top w:val="single" w:color="000000" w:sz="6" w:space="0"/>
              <w:left w:val="single" w:color="000000" w:sz="6" w:space="0"/>
              <w:bottom w:val="single" w:color="auto" w:sz="4" w:space="0"/>
              <w:right w:val="nil"/>
            </w:tcBorders>
            <w:shd w:val="clear" w:color="auto" w:fill="FFFFFF"/>
            <w:noWrap w:val="0"/>
            <w:vAlign w:val="center"/>
          </w:tcPr>
          <w:p>
            <w:pPr>
              <w:jc w:val="center"/>
              <w:rPr>
                <w:rFonts w:hint="eastAsia" w:ascii="宋体" w:hAnsi="宋体"/>
                <w:b/>
                <w:color w:val="auto"/>
                <w:sz w:val="18"/>
                <w:highlight w:val="none"/>
              </w:rPr>
            </w:pPr>
            <w:r>
              <w:rPr>
                <w:rFonts w:hint="eastAsia" w:ascii="宋体" w:hAnsi="宋体"/>
                <w:b/>
                <w:color w:val="auto"/>
                <w:sz w:val="18"/>
                <w:highlight w:val="none"/>
              </w:rPr>
              <w:t>最大中标数量</w:t>
            </w:r>
          </w:p>
        </w:tc>
        <w:tc>
          <w:tcPr>
            <w:tcW w:w="1980" w:type="dxa"/>
            <w:tcBorders>
              <w:top w:val="single" w:color="000000" w:sz="6" w:space="0"/>
              <w:left w:val="single" w:color="000000" w:sz="6" w:space="0"/>
              <w:bottom w:val="single" w:color="auto" w:sz="4" w:space="0"/>
              <w:right w:val="single" w:color="000000" w:sz="6" w:space="0"/>
            </w:tcBorders>
            <w:shd w:val="clear" w:color="auto" w:fill="FFFFFF"/>
            <w:noWrap w:val="0"/>
            <w:vAlign w:val="center"/>
          </w:tcPr>
          <w:p>
            <w:pPr>
              <w:jc w:val="center"/>
              <w:rPr>
                <w:rFonts w:hint="eastAsia" w:ascii="宋体" w:hAnsi="宋体"/>
                <w:b/>
                <w:color w:val="auto"/>
                <w:sz w:val="18"/>
                <w:highlight w:val="none"/>
              </w:rPr>
            </w:pPr>
            <w:r>
              <w:rPr>
                <w:rFonts w:hint="eastAsia" w:ascii="宋体" w:hAnsi="宋体"/>
                <w:b/>
                <w:color w:val="auto"/>
                <w:sz w:val="18"/>
                <w:highlight w:val="none"/>
              </w:rPr>
              <w:t>标段名称</w:t>
            </w:r>
          </w:p>
        </w:tc>
        <w:tc>
          <w:tcPr>
            <w:tcW w:w="1335" w:type="dxa"/>
            <w:tcBorders>
              <w:top w:val="single" w:color="000000" w:sz="6" w:space="0"/>
              <w:left w:val="single" w:color="000000" w:sz="6" w:space="0"/>
              <w:bottom w:val="single" w:color="auto" w:sz="4" w:space="0"/>
              <w:right w:val="single" w:color="000000" w:sz="6" w:space="0"/>
            </w:tcBorders>
            <w:shd w:val="clear" w:color="auto" w:fill="FFFFFF"/>
            <w:noWrap w:val="0"/>
            <w:vAlign w:val="center"/>
          </w:tcPr>
          <w:p>
            <w:pPr>
              <w:jc w:val="center"/>
              <w:rPr>
                <w:rFonts w:hint="eastAsia" w:ascii="宋体" w:hAnsi="宋体"/>
                <w:b/>
                <w:color w:val="auto"/>
                <w:sz w:val="18"/>
                <w:highlight w:val="none"/>
              </w:rPr>
            </w:pPr>
            <w:r>
              <w:rPr>
                <w:rFonts w:hint="eastAsia" w:ascii="宋体" w:hAnsi="宋体"/>
                <w:b/>
                <w:color w:val="auto"/>
                <w:sz w:val="18"/>
                <w:highlight w:val="none"/>
              </w:rPr>
              <w:t>标书费（元）</w:t>
            </w:r>
          </w:p>
        </w:tc>
        <w:tc>
          <w:tcPr>
            <w:tcW w:w="1080" w:type="dxa"/>
            <w:tcBorders>
              <w:top w:val="single" w:color="000000" w:sz="6" w:space="0"/>
              <w:left w:val="single" w:color="000000" w:sz="6" w:space="0"/>
              <w:bottom w:val="single" w:color="auto" w:sz="4" w:space="0"/>
              <w:right w:val="single" w:color="000000" w:sz="6" w:space="0"/>
            </w:tcBorders>
            <w:shd w:val="clear" w:color="auto" w:fill="FFFFFF"/>
            <w:noWrap w:val="0"/>
            <w:vAlign w:val="center"/>
          </w:tcPr>
          <w:p>
            <w:pPr>
              <w:jc w:val="center"/>
              <w:rPr>
                <w:rFonts w:hint="eastAsia" w:ascii="宋体" w:hAnsi="宋体"/>
                <w:b/>
                <w:color w:val="auto"/>
                <w:sz w:val="18"/>
                <w:highlight w:val="none"/>
              </w:rPr>
            </w:pPr>
            <w:r>
              <w:rPr>
                <w:rFonts w:hint="eastAsia" w:ascii="宋体" w:hAnsi="宋体"/>
                <w:b/>
                <w:color w:val="auto"/>
                <w:sz w:val="18"/>
                <w:highlight w:val="none"/>
              </w:rPr>
              <w:t>保证金（元）</w:t>
            </w:r>
          </w:p>
        </w:tc>
      </w:tr>
      <w:tr>
        <w:tblPrEx>
          <w:tblCellMar>
            <w:top w:w="0" w:type="dxa"/>
            <w:left w:w="0" w:type="dxa"/>
            <w:bottom w:w="0" w:type="dxa"/>
            <w:right w:w="0" w:type="dxa"/>
          </w:tblCellMar>
        </w:tblPrEx>
        <w:trPr>
          <w:trHeight w:val="500" w:hRule="atLeast"/>
          <w:jc w:val="center"/>
        </w:trPr>
        <w:tc>
          <w:tcPr>
            <w:tcW w:w="903" w:type="dxa"/>
            <w:tcBorders>
              <w:top w:val="single" w:color="000000" w:sz="6" w:space="0"/>
              <w:left w:val="single" w:color="000000" w:sz="6" w:space="0"/>
              <w:bottom w:val="single" w:color="000000" w:sz="6" w:space="0"/>
              <w:right w:val="single" w:color="000000" w:sz="6" w:space="0"/>
            </w:tcBorders>
            <w:shd w:val="clear" w:color="auto" w:fill="FFFFFF"/>
            <w:noWrap w:val="0"/>
            <w:vAlign w:val="center"/>
          </w:tcPr>
          <w:p>
            <w:pPr>
              <w:rPr>
                <w:rFonts w:hint="eastAsia"/>
                <w:color w:val="auto"/>
                <w:highlight w:val="none"/>
              </w:rPr>
            </w:pPr>
          </w:p>
          <w:p>
            <w:pPr>
              <w:ind w:firstLine="210" w:firstLineChars="100"/>
              <w:rPr>
                <w:color w:val="auto"/>
                <w:highlight w:val="none"/>
              </w:rPr>
            </w:pPr>
            <w:r>
              <w:rPr>
                <w:rFonts w:hint="eastAsia"/>
                <w:color w:val="auto"/>
                <w:highlight w:val="none"/>
              </w:rPr>
              <w:t>标段1</w:t>
            </w:r>
          </w:p>
          <w:p>
            <w:pPr>
              <w:ind w:firstLine="181" w:firstLineChars="100"/>
              <w:jc w:val="left"/>
              <w:rPr>
                <w:rFonts w:hint="eastAsia" w:ascii="宋体" w:hAnsi="宋体"/>
                <w:b/>
                <w:color w:val="auto"/>
                <w:sz w:val="18"/>
                <w:highlight w:val="none"/>
              </w:rPr>
            </w:pPr>
          </w:p>
        </w:tc>
        <w:tc>
          <w:tcPr>
            <w:tcW w:w="1476" w:type="dxa"/>
            <w:tcBorders>
              <w:top w:val="single" w:color="000000" w:sz="6" w:space="0"/>
              <w:left w:val="single" w:color="000000" w:sz="6" w:space="0"/>
              <w:bottom w:val="single" w:color="auto" w:sz="4" w:space="0"/>
              <w:right w:val="single" w:color="000000" w:sz="6" w:space="0"/>
            </w:tcBorders>
            <w:shd w:val="clear" w:color="auto" w:fill="FFFFFF"/>
            <w:noWrap w:val="0"/>
            <w:vAlign w:val="center"/>
          </w:tcPr>
          <w:p>
            <w:pPr>
              <w:ind w:firstLine="360" w:firstLineChars="200"/>
              <w:jc w:val="left"/>
              <w:rPr>
                <w:color w:val="auto"/>
                <w:highlight w:val="none"/>
              </w:rPr>
            </w:pPr>
            <w:r>
              <w:rPr>
                <w:color w:val="auto"/>
                <w:sz w:val="18"/>
                <w:szCs w:val="18"/>
                <w:highlight w:val="none"/>
              </w:rPr>
              <w:t>676.010861</w:t>
            </w:r>
          </w:p>
        </w:tc>
        <w:tc>
          <w:tcPr>
            <w:tcW w:w="1307" w:type="dxa"/>
            <w:tcBorders>
              <w:top w:val="single" w:color="000000" w:sz="6" w:space="0"/>
              <w:left w:val="single" w:color="000000" w:sz="6" w:space="0"/>
              <w:bottom w:val="single" w:color="auto" w:sz="4" w:space="0"/>
              <w:right w:val="nil"/>
            </w:tcBorders>
            <w:shd w:val="clear" w:color="auto" w:fill="FFFFFF"/>
            <w:noWrap w:val="0"/>
            <w:vAlign w:val="center"/>
          </w:tcPr>
          <w:p>
            <w:pPr>
              <w:ind w:firstLine="630" w:firstLineChars="300"/>
              <w:jc w:val="left"/>
              <w:rPr>
                <w:rFonts w:hint="eastAsia"/>
                <w:color w:val="auto"/>
                <w:highlight w:val="none"/>
              </w:rPr>
            </w:pPr>
            <w:r>
              <w:rPr>
                <w:rFonts w:hint="eastAsia"/>
                <w:color w:val="auto"/>
                <w:highlight w:val="none"/>
              </w:rPr>
              <w:t>1</w:t>
            </w:r>
          </w:p>
        </w:tc>
        <w:tc>
          <w:tcPr>
            <w:tcW w:w="1980" w:type="dxa"/>
            <w:tcBorders>
              <w:top w:val="single" w:color="000000" w:sz="6" w:space="0"/>
              <w:left w:val="single" w:color="000000" w:sz="6" w:space="0"/>
              <w:bottom w:val="single" w:color="auto" w:sz="4" w:space="0"/>
              <w:right w:val="single" w:color="000000" w:sz="6" w:space="0"/>
            </w:tcBorders>
            <w:shd w:val="clear" w:color="auto" w:fill="FFFFFF"/>
            <w:noWrap w:val="0"/>
            <w:vAlign w:val="center"/>
          </w:tcPr>
          <w:p>
            <w:pPr>
              <w:rPr>
                <w:rFonts w:ascii="宋体" w:hAnsi="宋体"/>
                <w:b/>
                <w:color w:val="auto"/>
                <w:sz w:val="18"/>
                <w:highlight w:val="none"/>
              </w:rPr>
            </w:pPr>
            <w:r>
              <w:rPr>
                <w:rFonts w:hint="eastAsia" w:ascii="宋体" w:hAnsi="宋体"/>
                <w:color w:val="auto"/>
                <w:highlight w:val="none"/>
                <w:u w:val="none"/>
              </w:rPr>
              <w:t>松山湖科学城电缆通道项目（二期）勘察设计</w:t>
            </w:r>
          </w:p>
        </w:tc>
        <w:tc>
          <w:tcPr>
            <w:tcW w:w="1335" w:type="dxa"/>
            <w:tcBorders>
              <w:top w:val="single" w:color="000000" w:sz="6" w:space="0"/>
              <w:left w:val="single" w:color="000000" w:sz="6" w:space="0"/>
              <w:bottom w:val="single" w:color="auto" w:sz="4" w:space="0"/>
              <w:right w:val="single" w:color="000000" w:sz="6" w:space="0"/>
            </w:tcBorders>
            <w:shd w:val="clear" w:color="auto" w:fill="FFFFFF"/>
            <w:noWrap w:val="0"/>
            <w:vAlign w:val="center"/>
          </w:tcPr>
          <w:p>
            <w:pPr>
              <w:jc w:val="center"/>
              <w:rPr>
                <w:rFonts w:ascii="宋体" w:hAnsi="宋体"/>
                <w:color w:val="auto"/>
                <w:highlight w:val="none"/>
                <w:u w:val="single"/>
              </w:rPr>
            </w:pPr>
            <w:r>
              <w:rPr>
                <w:rFonts w:hint="eastAsia" w:ascii="宋体" w:hAnsi="宋体"/>
                <w:color w:val="auto"/>
                <w:highlight w:val="none"/>
              </w:rPr>
              <w:t>500</w:t>
            </w:r>
          </w:p>
        </w:tc>
        <w:tc>
          <w:tcPr>
            <w:tcW w:w="1080" w:type="dxa"/>
            <w:tcBorders>
              <w:top w:val="single" w:color="000000" w:sz="6" w:space="0"/>
              <w:left w:val="single" w:color="000000" w:sz="6" w:space="0"/>
              <w:bottom w:val="single" w:color="auto" w:sz="4" w:space="0"/>
              <w:right w:val="single" w:color="000000" w:sz="6" w:space="0"/>
            </w:tcBorders>
            <w:shd w:val="clear" w:color="auto" w:fill="FFFFFF"/>
            <w:noWrap w:val="0"/>
            <w:vAlign w:val="center"/>
          </w:tcPr>
          <w:p>
            <w:pPr>
              <w:jc w:val="center"/>
              <w:rPr>
                <w:rFonts w:ascii="宋体" w:hAnsi="宋体"/>
                <w:color w:val="auto"/>
                <w:highlight w:val="none"/>
                <w:u w:val="single"/>
              </w:rPr>
            </w:pPr>
            <w:r>
              <w:rPr>
                <w:rFonts w:hint="eastAsia" w:ascii="宋体" w:hAnsi="宋体"/>
                <w:color w:val="auto"/>
                <w:highlight w:val="none"/>
              </w:rPr>
              <w:t>1</w:t>
            </w:r>
            <w:r>
              <w:rPr>
                <w:rFonts w:hint="eastAsia" w:ascii="宋体" w:hAnsi="宋体"/>
                <w:color w:val="auto"/>
                <w:highlight w:val="none"/>
                <w:lang w:val="en-US" w:eastAsia="zh-CN"/>
              </w:rPr>
              <w:t>0</w:t>
            </w:r>
            <w:r>
              <w:rPr>
                <w:rFonts w:hint="eastAsia" w:ascii="宋体" w:hAnsi="宋体"/>
                <w:color w:val="auto"/>
                <w:highlight w:val="none"/>
              </w:rPr>
              <w:t>0000</w:t>
            </w:r>
          </w:p>
        </w:tc>
      </w:tr>
    </w:tbl>
    <w:p>
      <w:pPr>
        <w:pStyle w:val="4"/>
        <w:spacing w:line="240" w:lineRule="auto"/>
        <w:rPr>
          <w:rFonts w:ascii="宋体" w:hAnsi="宋体" w:eastAsia="宋体"/>
          <w:color w:val="auto"/>
          <w:highlight w:val="none"/>
        </w:rPr>
      </w:pPr>
      <w:bookmarkStart w:id="25" w:name="_Toc21496"/>
      <w:bookmarkStart w:id="26" w:name="_Toc21686887"/>
      <w:bookmarkStart w:id="27" w:name="_Toc9546"/>
      <w:bookmarkStart w:id="28" w:name="_Toc28876"/>
      <w:bookmarkStart w:id="29" w:name="_Toc5943"/>
      <w:bookmarkStart w:id="30" w:name="_Toc32590"/>
      <w:r>
        <w:rPr>
          <w:rFonts w:ascii="宋体" w:hAnsi="宋体" w:eastAsia="宋体"/>
          <w:color w:val="auto"/>
          <w:highlight w:val="none"/>
        </w:rPr>
        <w:t>3. 投标人资格要求</w:t>
      </w:r>
      <w:bookmarkEnd w:id="24"/>
      <w:bookmarkEnd w:id="25"/>
      <w:bookmarkEnd w:id="26"/>
      <w:bookmarkEnd w:id="27"/>
      <w:bookmarkEnd w:id="28"/>
      <w:bookmarkEnd w:id="29"/>
      <w:bookmarkEnd w:id="30"/>
    </w:p>
    <w:p>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3.1资质要求：须同时具备勘察、设计，如无勘察资质须联合体投标，联合体牵头单位应具备设计资质且在联合体职责分工中从事设计工作，联合体成员不得超过 2 家：</w:t>
      </w:r>
    </w:p>
    <w:p>
      <w:pPr>
        <w:numPr>
          <w:ilvl w:val="0"/>
          <w:numId w:val="4"/>
        </w:numPr>
        <w:spacing w:line="400" w:lineRule="exact"/>
        <w:ind w:firstLine="630" w:firstLineChars="300"/>
        <w:rPr>
          <w:rFonts w:hint="eastAsia" w:ascii="宋体" w:hAnsi="宋体"/>
          <w:color w:val="auto"/>
          <w:szCs w:val="21"/>
          <w:highlight w:val="none"/>
        </w:rPr>
      </w:pPr>
      <w:r>
        <w:rPr>
          <w:rFonts w:hint="eastAsia" w:ascii="宋体" w:hAnsi="宋体"/>
          <w:color w:val="auto"/>
          <w:szCs w:val="21"/>
          <w:highlight w:val="none"/>
        </w:rPr>
        <w:t>勘察 ：具备工程勘察综合资质甲级或同时具备工程测量乙级（或以上）与岩土工程乙级资质；或同时具备工程测量乙级（或以上）与岩土工程（岩土工程勘察）乙级与岩土工程（工程物探测试检测监测）乙级（或以上）资质。</w:t>
      </w:r>
    </w:p>
    <w:p>
      <w:pPr>
        <w:spacing w:line="400" w:lineRule="exact"/>
        <w:ind w:firstLine="630" w:firstLineChars="300"/>
        <w:rPr>
          <w:rFonts w:ascii="宋体" w:hAnsi="宋体"/>
          <w:color w:val="auto"/>
          <w:szCs w:val="21"/>
          <w:highlight w:val="none"/>
        </w:rPr>
      </w:pPr>
      <w:r>
        <w:rPr>
          <w:rFonts w:hint="eastAsia" w:ascii="宋体" w:hAnsi="宋体"/>
          <w:color w:val="auto"/>
          <w:szCs w:val="21"/>
          <w:highlight w:val="none"/>
        </w:rPr>
        <w:t>（2）设计：具备工程设计综合甲级资质或电力行业乙级及以上资质或电力专业（送电、变电）乙级及以上资质。</w:t>
      </w:r>
    </w:p>
    <w:p>
      <w:pPr>
        <w:spacing w:line="400" w:lineRule="exact"/>
        <w:ind w:firstLine="420" w:firstLineChars="200"/>
        <w:rPr>
          <w:rFonts w:ascii="宋体" w:hAnsi="宋体"/>
          <w:color w:val="auto"/>
          <w:szCs w:val="21"/>
          <w:highlight w:val="none"/>
          <w:u w:val="none"/>
        </w:rPr>
      </w:pPr>
      <w:r>
        <w:rPr>
          <w:rFonts w:ascii="宋体" w:hAnsi="宋体"/>
          <w:color w:val="auto"/>
          <w:szCs w:val="21"/>
          <w:highlight w:val="none"/>
          <w:u w:val="none"/>
        </w:rPr>
        <w:t>3.</w:t>
      </w:r>
      <w:r>
        <w:rPr>
          <w:rFonts w:hint="eastAsia" w:ascii="宋体" w:hAnsi="宋体"/>
          <w:color w:val="auto"/>
          <w:szCs w:val="21"/>
          <w:highlight w:val="none"/>
          <w:u w:val="none"/>
        </w:rPr>
        <w:t xml:space="preserve">2财务要求： </w:t>
      </w:r>
      <w:r>
        <w:rPr>
          <w:rFonts w:hint="eastAsia" w:ascii="宋体" w:hAnsi="宋体"/>
          <w:color w:val="auto"/>
          <w:highlight w:val="none"/>
          <w:u w:val="none"/>
        </w:rPr>
        <w:t>无要求</w:t>
      </w:r>
      <w:r>
        <w:rPr>
          <w:rFonts w:hint="eastAsia" w:ascii="宋体" w:hAnsi="宋体"/>
          <w:color w:val="auto"/>
          <w:sz w:val="24"/>
          <w:szCs w:val="24"/>
          <w:highlight w:val="none"/>
          <w:u w:val="none"/>
        </w:rPr>
        <w:t>。</w:t>
      </w:r>
      <w:r>
        <w:rPr>
          <w:rFonts w:hint="eastAsia" w:ascii="宋体" w:hAnsi="宋体"/>
          <w:color w:val="auto"/>
          <w:szCs w:val="21"/>
          <w:highlight w:val="none"/>
          <w:u w:val="none"/>
        </w:rPr>
        <w:t xml:space="preserve"> </w:t>
      </w:r>
    </w:p>
    <w:p>
      <w:pPr>
        <w:spacing w:line="400" w:lineRule="exact"/>
        <w:ind w:firstLine="420" w:firstLineChars="200"/>
        <w:rPr>
          <w:rFonts w:hint="eastAsia" w:ascii="宋体" w:hAnsi="宋体"/>
          <w:color w:val="auto"/>
          <w:szCs w:val="21"/>
          <w:highlight w:val="none"/>
          <w:u w:val="none"/>
        </w:rPr>
      </w:pPr>
      <w:r>
        <w:rPr>
          <w:rFonts w:hint="eastAsia" w:ascii="宋体" w:hAnsi="宋体"/>
          <w:color w:val="auto"/>
          <w:szCs w:val="21"/>
          <w:highlight w:val="none"/>
          <w:u w:val="none"/>
        </w:rPr>
        <w:t>3.3业绩要求： 无要求 。</w:t>
      </w:r>
    </w:p>
    <w:p>
      <w:pPr>
        <w:spacing w:line="400" w:lineRule="exact"/>
        <w:ind w:firstLine="420" w:firstLineChars="200"/>
        <w:rPr>
          <w:rFonts w:ascii="宋体" w:hAnsi="宋体"/>
          <w:color w:val="auto"/>
          <w:szCs w:val="21"/>
          <w:highlight w:val="none"/>
          <w:u w:val="none"/>
        </w:rPr>
      </w:pPr>
      <w:r>
        <w:rPr>
          <w:rFonts w:hint="eastAsia" w:ascii="宋体" w:hAnsi="宋体"/>
          <w:color w:val="auto"/>
          <w:szCs w:val="21"/>
          <w:highlight w:val="none"/>
          <w:u w:val="none"/>
        </w:rPr>
        <w:t>3.4信誉要求： 无要求 。</w:t>
      </w:r>
    </w:p>
    <w:p>
      <w:pPr>
        <w:spacing w:line="400" w:lineRule="exact"/>
        <w:ind w:firstLine="420" w:firstLineChars="200"/>
        <w:rPr>
          <w:rFonts w:ascii="宋体" w:hAnsi="宋体"/>
          <w:color w:val="auto"/>
          <w:szCs w:val="21"/>
          <w:highlight w:val="none"/>
          <w:u w:val="none"/>
        </w:rPr>
      </w:pPr>
      <w:r>
        <w:rPr>
          <w:rFonts w:hint="eastAsia" w:ascii="宋体" w:hAnsi="宋体"/>
          <w:color w:val="auto"/>
          <w:szCs w:val="21"/>
          <w:highlight w:val="none"/>
          <w:u w:val="none"/>
        </w:rPr>
        <w:t>3.5项目负责人的资格要求：具备电力专业高级工程师职称或注册电气工程师资格，</w:t>
      </w:r>
      <w:r>
        <w:rPr>
          <w:rFonts w:hint="eastAsia" w:ascii="宋体" w:hAnsi="宋体"/>
          <w:color w:val="auto"/>
          <w:szCs w:val="21"/>
          <w:highlight w:val="none"/>
          <w:u w:val="none"/>
          <w:lang w:val="en-US" w:eastAsia="zh-CN"/>
        </w:rPr>
        <w:t>注册于牵头方，</w:t>
      </w:r>
      <w:r>
        <w:rPr>
          <w:rFonts w:hint="eastAsia" w:hAnsi="宋体"/>
          <w:color w:val="auto"/>
          <w:szCs w:val="21"/>
          <w:highlight w:val="none"/>
          <w:u w:val="none"/>
        </w:rPr>
        <w:t>须提供在本单位投标截止日期前</w:t>
      </w:r>
      <w:r>
        <w:rPr>
          <w:rFonts w:hint="eastAsia" w:hAnsi="宋体"/>
          <w:color w:val="auto"/>
          <w:szCs w:val="21"/>
          <w:highlight w:val="none"/>
          <w:u w:val="none"/>
          <w:lang w:eastAsia="zh-Hans"/>
        </w:rPr>
        <w:t>（不含投标当月）</w:t>
      </w:r>
      <w:r>
        <w:rPr>
          <w:rFonts w:hint="eastAsia" w:hAnsi="宋体"/>
          <w:color w:val="auto"/>
          <w:szCs w:val="21"/>
          <w:highlight w:val="none"/>
          <w:u w:val="none"/>
        </w:rPr>
        <w:t>半年内连续3个月的社保证明。</w:t>
      </w:r>
    </w:p>
    <w:p>
      <w:pPr>
        <w:spacing w:line="400" w:lineRule="exact"/>
        <w:ind w:firstLine="420" w:firstLineChars="200"/>
        <w:rPr>
          <w:rFonts w:ascii="宋体" w:hAnsi="宋体"/>
          <w:color w:val="auto"/>
          <w:szCs w:val="21"/>
          <w:highlight w:val="none"/>
          <w:u w:val="none"/>
        </w:rPr>
      </w:pPr>
      <w:r>
        <w:rPr>
          <w:rFonts w:hint="eastAsia" w:ascii="宋体" w:hAnsi="宋体"/>
          <w:color w:val="auto"/>
          <w:szCs w:val="21"/>
          <w:highlight w:val="none"/>
          <w:u w:val="none"/>
        </w:rPr>
        <w:t>3.6其他主要人员要求：</w:t>
      </w:r>
    </w:p>
    <w:p>
      <w:pPr>
        <w:spacing w:line="400" w:lineRule="exact"/>
        <w:ind w:firstLine="420" w:firstLineChars="200"/>
        <w:rPr>
          <w:rFonts w:hint="eastAsia" w:ascii="宋体" w:hAnsi="宋体" w:eastAsia="宋体"/>
          <w:color w:val="auto"/>
          <w:szCs w:val="21"/>
          <w:highlight w:val="none"/>
          <w:u w:val="none"/>
          <w:lang w:eastAsia="zh-CN"/>
        </w:rPr>
      </w:pPr>
      <w:r>
        <w:rPr>
          <w:rFonts w:hint="eastAsia" w:ascii="宋体" w:hAnsi="宋体"/>
          <w:color w:val="auto"/>
          <w:szCs w:val="21"/>
          <w:highlight w:val="none"/>
          <w:u w:val="none"/>
        </w:rPr>
        <w:t>勘察负责人的资格要求：具备</w:t>
      </w:r>
      <w:r>
        <w:rPr>
          <w:rFonts w:hint="eastAsia" w:ascii="宋体" w:hAnsi="宋体"/>
          <w:color w:val="auto"/>
          <w:szCs w:val="21"/>
          <w:highlight w:val="none"/>
          <w:u w:val="none"/>
          <w:lang w:val="en-US" w:eastAsia="zh-CN"/>
        </w:rPr>
        <w:t>勘察</w:t>
      </w:r>
      <w:r>
        <w:rPr>
          <w:rFonts w:hint="eastAsia" w:ascii="宋体" w:hAnsi="宋体"/>
          <w:color w:val="auto"/>
          <w:szCs w:val="21"/>
          <w:highlight w:val="none"/>
          <w:u w:val="none"/>
        </w:rPr>
        <w:t>专业高级工程师职称或注册土木（岩土）工程师资格</w:t>
      </w:r>
      <w:r>
        <w:rPr>
          <w:rFonts w:hint="eastAsia" w:ascii="宋体" w:hAnsi="宋体"/>
          <w:color w:val="auto"/>
          <w:szCs w:val="21"/>
          <w:highlight w:val="none"/>
          <w:u w:val="none"/>
          <w:lang w:eastAsia="zh-CN"/>
        </w:rPr>
        <w:t>。</w:t>
      </w:r>
    </w:p>
    <w:p>
      <w:pPr>
        <w:spacing w:line="400" w:lineRule="exact"/>
        <w:ind w:firstLine="420" w:firstLineChars="200"/>
        <w:rPr>
          <w:rFonts w:ascii="宋体" w:hAnsi="宋体"/>
          <w:color w:val="auto"/>
          <w:szCs w:val="21"/>
          <w:highlight w:val="none"/>
          <w:u w:val="none"/>
        </w:rPr>
      </w:pPr>
      <w:r>
        <w:rPr>
          <w:rFonts w:hint="eastAsia" w:ascii="宋体" w:hAnsi="宋体"/>
          <w:color w:val="auto"/>
          <w:szCs w:val="21"/>
          <w:highlight w:val="none"/>
          <w:u w:val="none"/>
        </w:rPr>
        <w:t xml:space="preserve">3.7勘察设备要求： 无要求。 </w:t>
      </w:r>
    </w:p>
    <w:p>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3.8其他要求：</w:t>
      </w:r>
    </w:p>
    <w:p>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（1）具有独立法人资格，持有合法有效的企业法人营业执照。</w:t>
      </w:r>
    </w:p>
    <w:p>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（2）在工程所在地政府及中国南方电网有限责任公司、广东电网有限责任公司没有处于限制投标资格的处罚。</w:t>
      </w:r>
    </w:p>
    <w:p>
      <w:pPr>
        <w:spacing w:line="400" w:lineRule="exact"/>
        <w:ind w:firstLine="420" w:firstLineChars="200"/>
        <w:rPr>
          <w:rFonts w:hint="eastAsia"/>
          <w:color w:val="auto"/>
          <w:szCs w:val="21"/>
          <w:highlight w:val="none"/>
          <w:u w:val="none"/>
        </w:rPr>
      </w:pPr>
      <w:r>
        <w:rPr>
          <w:rFonts w:hint="eastAsia" w:ascii="宋体" w:hAnsi="宋体"/>
          <w:color w:val="auto"/>
          <w:szCs w:val="21"/>
          <w:highlight w:val="none"/>
          <w:u w:val="none"/>
        </w:rPr>
        <w:t>（3）</w:t>
      </w:r>
      <w:r>
        <w:rPr>
          <w:rFonts w:hint="eastAsia"/>
          <w:color w:val="auto"/>
          <w:szCs w:val="21"/>
          <w:highlight w:val="none"/>
          <w:u w:val="none"/>
        </w:rPr>
        <w:t>若投标人（包括投标人的委托人、代理人或与投标人有销售、劳务或服务等关系的其他主体）在参加南方电网公司系统的招投标活动或经济往来等过程中曾经存在违法事件的，自南方电网公司发文公布违法事件之日起，在规定时间内不接受该投标人参与公司的招投标活动，具体时间按《中国南方电网有限责任公司供应商行贿行为信息记录及处置办法》的相关规定执行。</w:t>
      </w:r>
    </w:p>
    <w:p>
      <w:pPr>
        <w:spacing w:line="400" w:lineRule="exact"/>
        <w:ind w:firstLine="420" w:firstLineChars="200"/>
        <w:rPr>
          <w:rFonts w:ascii="宋体" w:hAnsi="宋体"/>
          <w:color w:val="auto"/>
          <w:szCs w:val="21"/>
          <w:highlight w:val="none"/>
          <w:u w:val="none"/>
        </w:rPr>
      </w:pPr>
      <w:r>
        <w:rPr>
          <w:rFonts w:hint="eastAsia" w:ascii="宋体" w:hAnsi="宋体"/>
          <w:color w:val="auto"/>
          <w:szCs w:val="21"/>
          <w:highlight w:val="none"/>
          <w:u w:val="none"/>
        </w:rPr>
        <w:t>(4)</w:t>
      </w:r>
      <w:r>
        <w:rPr>
          <w:rFonts w:hint="eastAsia"/>
          <w:color w:val="auto"/>
          <w:szCs w:val="21"/>
          <w:highlight w:val="none"/>
          <w:u w:val="none"/>
        </w:rPr>
        <w:t xml:space="preserve"> 已在广州公共资源交易中心办理企业信息登记，且拟担任本工程项目负责人须是本企业在广州公共资源交易中心的企业信息登记在册人员。。</w:t>
      </w:r>
    </w:p>
    <w:p>
      <w:pPr>
        <w:spacing w:line="400" w:lineRule="exact"/>
        <w:ind w:firstLine="420" w:firstLineChars="200"/>
        <w:rPr>
          <w:rFonts w:ascii="宋体" w:hAnsi="宋体"/>
          <w:color w:val="auto"/>
          <w:szCs w:val="21"/>
          <w:highlight w:val="none"/>
          <w:u w:val="none"/>
        </w:rPr>
      </w:pPr>
      <w:r>
        <w:rPr>
          <w:rFonts w:hint="eastAsia" w:ascii="宋体" w:hAnsi="宋体"/>
          <w:color w:val="auto"/>
          <w:szCs w:val="21"/>
          <w:highlight w:val="none"/>
          <w:u w:val="none"/>
        </w:rPr>
        <w:t>3.9本次招标</w:t>
      </w:r>
      <w:r>
        <w:rPr>
          <w:rFonts w:ascii="宋体" w:hAnsi="宋体"/>
          <w:color w:val="auto"/>
          <w:szCs w:val="21"/>
          <w:highlight w:val="none"/>
          <w:u w:val="none"/>
        </w:rPr>
        <w:t xml:space="preserve"> </w:t>
      </w:r>
      <w:r>
        <w:rPr>
          <w:rFonts w:hint="eastAsia" w:ascii="宋体" w:hAnsi="宋体"/>
          <w:color w:val="auto"/>
          <w:szCs w:val="21"/>
          <w:highlight w:val="none"/>
          <w:u w:val="none"/>
        </w:rPr>
        <w:t>接受</w:t>
      </w:r>
      <w:r>
        <w:rPr>
          <w:rFonts w:ascii="宋体" w:hAnsi="宋体"/>
          <w:color w:val="auto"/>
          <w:szCs w:val="21"/>
          <w:highlight w:val="none"/>
          <w:u w:val="none"/>
        </w:rPr>
        <w:t xml:space="preserve"> </w:t>
      </w:r>
      <w:r>
        <w:rPr>
          <w:rFonts w:hint="eastAsia" w:ascii="宋体" w:hAnsi="宋体"/>
          <w:color w:val="auto"/>
          <w:szCs w:val="21"/>
          <w:highlight w:val="none"/>
          <w:u w:val="none"/>
        </w:rPr>
        <w:t>（接受或不接受）联合体投标。联合体投标的，应满足下列要求：</w:t>
      </w:r>
    </w:p>
    <w:p>
      <w:pPr>
        <w:spacing w:line="400" w:lineRule="exact"/>
        <w:ind w:firstLine="420" w:firstLineChars="200"/>
        <w:rPr>
          <w:rFonts w:ascii="宋体" w:hAnsi="宋体"/>
          <w:color w:val="auto"/>
          <w:szCs w:val="21"/>
          <w:highlight w:val="none"/>
          <w:u w:val="none"/>
        </w:rPr>
      </w:pPr>
      <w:r>
        <w:rPr>
          <w:rFonts w:ascii="宋体" w:hAnsi="宋体"/>
          <w:color w:val="auto"/>
          <w:szCs w:val="21"/>
          <w:highlight w:val="none"/>
          <w:u w:val="none"/>
        </w:rPr>
        <w:t>（1）联合体各方应按招标文件提供的格式签订联合体协议书，明确联合体牵头人和各方权利义务，并承诺就中标项目向招标人承担连带责任；</w:t>
      </w:r>
    </w:p>
    <w:p>
      <w:pPr>
        <w:spacing w:line="400" w:lineRule="exact"/>
        <w:ind w:firstLine="420" w:firstLineChars="200"/>
        <w:rPr>
          <w:rFonts w:ascii="宋体" w:hAnsi="宋体"/>
          <w:color w:val="auto"/>
          <w:szCs w:val="21"/>
          <w:highlight w:val="none"/>
          <w:u w:val="none"/>
        </w:rPr>
      </w:pPr>
      <w:r>
        <w:rPr>
          <w:rFonts w:ascii="宋体" w:hAnsi="宋体"/>
          <w:color w:val="auto"/>
          <w:szCs w:val="21"/>
          <w:highlight w:val="none"/>
          <w:u w:val="none"/>
        </w:rPr>
        <w:t>（2）由同一专业的单位组成的联合体，按照资质等级较低的单位确定资质等级；</w:t>
      </w:r>
    </w:p>
    <w:p>
      <w:pPr>
        <w:spacing w:line="400" w:lineRule="exact"/>
        <w:ind w:firstLine="420" w:firstLineChars="200"/>
        <w:rPr>
          <w:rFonts w:ascii="宋体" w:hAnsi="宋体"/>
          <w:color w:val="auto"/>
          <w:szCs w:val="21"/>
          <w:highlight w:val="none"/>
          <w:u w:val="none"/>
        </w:rPr>
      </w:pPr>
      <w:r>
        <w:rPr>
          <w:rFonts w:ascii="宋体" w:hAnsi="宋体"/>
          <w:color w:val="auto"/>
          <w:szCs w:val="21"/>
          <w:highlight w:val="none"/>
          <w:u w:val="none"/>
        </w:rPr>
        <w:t>（3）联合体各方不得再以自己名义单独或参加其他联合体在本招标项目中投标，否则各相关投标均无效。</w:t>
      </w:r>
    </w:p>
    <w:p>
      <w:pPr>
        <w:spacing w:line="400" w:lineRule="exact"/>
        <w:ind w:firstLine="420" w:firstLineChars="200"/>
        <w:rPr>
          <w:rFonts w:hint="eastAsia" w:ascii="宋体" w:hAnsi="宋体"/>
          <w:color w:val="auto"/>
          <w:szCs w:val="21"/>
          <w:highlight w:val="none"/>
          <w:u w:val="none"/>
        </w:rPr>
      </w:pPr>
      <w:r>
        <w:rPr>
          <w:rFonts w:hint="eastAsia" w:ascii="宋体" w:hAnsi="宋体"/>
          <w:color w:val="auto"/>
          <w:szCs w:val="21"/>
          <w:highlight w:val="none"/>
          <w:u w:val="none"/>
        </w:rPr>
        <w:t>（4）联合体牵头单位应具备设计资质且在联合体职责分工中从事设计工作。</w:t>
      </w:r>
    </w:p>
    <w:p>
      <w:pPr>
        <w:pStyle w:val="4"/>
        <w:spacing w:line="240" w:lineRule="auto"/>
        <w:rPr>
          <w:rFonts w:ascii="宋体" w:hAnsi="宋体" w:eastAsia="宋体"/>
          <w:color w:val="auto"/>
          <w:highlight w:val="none"/>
          <w:u w:val="none"/>
        </w:rPr>
      </w:pPr>
      <w:bookmarkStart w:id="31" w:name="_Toc390409512"/>
      <w:bookmarkStart w:id="32" w:name="_Toc21686888"/>
      <w:bookmarkStart w:id="33" w:name="_Toc11595"/>
      <w:bookmarkStart w:id="34" w:name="_Toc1237"/>
      <w:bookmarkStart w:id="35" w:name="_Toc384308190"/>
      <w:bookmarkStart w:id="36" w:name="_Toc10554"/>
      <w:bookmarkStart w:id="37" w:name="_Toc361508565"/>
      <w:bookmarkStart w:id="38" w:name="_Toc32019"/>
      <w:bookmarkStart w:id="39" w:name="_Toc482188415"/>
      <w:bookmarkStart w:id="40" w:name="_Toc31318"/>
      <w:bookmarkStart w:id="41" w:name="_Toc17655"/>
      <w:r>
        <w:rPr>
          <w:rFonts w:ascii="宋体" w:hAnsi="宋体" w:eastAsia="宋体"/>
          <w:color w:val="auto"/>
          <w:highlight w:val="none"/>
          <w:u w:val="none"/>
        </w:rPr>
        <w:t>4.</w:t>
      </w:r>
      <w:r>
        <w:rPr>
          <w:rFonts w:hint="eastAsia" w:ascii="宋体" w:hAnsi="宋体" w:eastAsia="宋体"/>
          <w:color w:val="auto"/>
          <w:highlight w:val="none"/>
          <w:u w:val="none"/>
        </w:rPr>
        <w:t xml:space="preserve"> 技术成果经济补偿</w:t>
      </w:r>
      <w:bookmarkEnd w:id="31"/>
      <w:bookmarkEnd w:id="32"/>
      <w:bookmarkEnd w:id="33"/>
      <w:bookmarkEnd w:id="34"/>
      <w:bookmarkEnd w:id="35"/>
      <w:bookmarkEnd w:id="36"/>
      <w:bookmarkEnd w:id="37"/>
      <w:bookmarkEnd w:id="38"/>
      <w:bookmarkEnd w:id="39"/>
      <w:bookmarkEnd w:id="40"/>
      <w:bookmarkEnd w:id="41"/>
    </w:p>
    <w:p>
      <w:pPr>
        <w:spacing w:line="400" w:lineRule="exact"/>
        <w:ind w:firstLine="420" w:firstLineChars="200"/>
        <w:rPr>
          <w:rFonts w:ascii="宋体" w:hAnsi="宋体"/>
          <w:color w:val="auto"/>
          <w:highlight w:val="none"/>
        </w:rPr>
      </w:pPr>
      <w:r>
        <w:rPr>
          <w:rFonts w:hint="eastAsia" w:ascii="宋体" w:hAnsi="宋体"/>
          <w:color w:val="auto"/>
          <w:highlight w:val="none"/>
        </w:rPr>
        <w:t>本次招标对未中标人投标文件中的技术成果</w:t>
      </w:r>
      <w:r>
        <w:rPr>
          <w:rFonts w:hint="eastAsia" w:ascii="宋体" w:hAnsi="宋体"/>
          <w:color w:val="auto"/>
          <w:highlight w:val="none"/>
          <w:u w:val="single"/>
        </w:rPr>
        <w:t>不给予</w:t>
      </w:r>
      <w:r>
        <w:rPr>
          <w:rFonts w:hint="eastAsia" w:ascii="宋体" w:hAnsi="宋体"/>
          <w:color w:val="auto"/>
          <w:highlight w:val="none"/>
        </w:rPr>
        <w:t>（给予或不给予）经济补偿。给予经济补偿的，招标人将按如下标准支付经济补偿费：</w:t>
      </w:r>
      <w:r>
        <w:rPr>
          <w:rFonts w:hint="eastAsia" w:ascii="宋体" w:hAnsi="宋体"/>
          <w:color w:val="auto"/>
          <w:highlight w:val="none"/>
          <w:u w:val="single"/>
        </w:rPr>
        <w:t>/</w:t>
      </w:r>
      <w:r>
        <w:rPr>
          <w:rFonts w:hint="eastAsia" w:ascii="宋体" w:hAnsi="宋体"/>
          <w:color w:val="auto"/>
          <w:highlight w:val="none"/>
        </w:rPr>
        <w:t>。</w:t>
      </w:r>
    </w:p>
    <w:p>
      <w:pPr>
        <w:pStyle w:val="4"/>
        <w:spacing w:line="240" w:lineRule="auto"/>
        <w:rPr>
          <w:rFonts w:ascii="宋体" w:hAnsi="宋体" w:eastAsia="宋体"/>
          <w:color w:val="auto"/>
          <w:highlight w:val="none"/>
        </w:rPr>
      </w:pPr>
      <w:bookmarkStart w:id="42" w:name="_Toc1339"/>
      <w:bookmarkStart w:id="43" w:name="_Toc14467"/>
      <w:bookmarkStart w:id="44" w:name="_Toc21686889"/>
      <w:bookmarkStart w:id="45" w:name="_Toc11066"/>
      <w:bookmarkStart w:id="46" w:name="_Toc7034"/>
      <w:bookmarkStart w:id="47" w:name="_Toc239"/>
      <w:bookmarkStart w:id="48" w:name="_Toc25954"/>
      <w:r>
        <w:rPr>
          <w:rFonts w:ascii="宋体" w:hAnsi="宋体" w:eastAsia="宋体"/>
          <w:color w:val="auto"/>
          <w:highlight w:val="none"/>
        </w:rPr>
        <w:t xml:space="preserve">5. </w:t>
      </w:r>
      <w:r>
        <w:rPr>
          <w:rFonts w:hint="eastAsia" w:ascii="宋体" w:hAnsi="宋体" w:eastAsia="宋体"/>
          <w:color w:val="auto"/>
          <w:highlight w:val="none"/>
        </w:rPr>
        <w:t>招标文件的获取</w:t>
      </w:r>
      <w:bookmarkEnd w:id="42"/>
      <w:bookmarkEnd w:id="43"/>
      <w:bookmarkEnd w:id="44"/>
      <w:bookmarkEnd w:id="45"/>
      <w:bookmarkEnd w:id="46"/>
      <w:bookmarkEnd w:id="47"/>
      <w:bookmarkEnd w:id="48"/>
    </w:p>
    <w:bookmarkEnd w:id="5"/>
    <w:bookmarkEnd w:id="6"/>
    <w:bookmarkEnd w:id="7"/>
    <w:p>
      <w:pPr>
        <w:widowControl/>
        <w:tabs>
          <w:tab w:val="left" w:pos="360"/>
        </w:tabs>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.1</w:t>
      </w:r>
      <w:r>
        <w:rPr>
          <w:rFonts w:hint="eastAsia" w:ascii="宋体" w:hAnsi="宋体"/>
          <w:color w:val="auto"/>
          <w:szCs w:val="21"/>
          <w:highlight w:val="none"/>
        </w:rPr>
        <w:t xml:space="preserve"> 凡有意参加投标者，请于 2023 年   月   日 17：30 时至 2023 年    月   日 16：00 时（北京时间，下同），请登录广州公共资源交易中心网站（http://www.gzggzy.cn）上进行投标登记（操作流程详见广州公共资源交易中心网站发布的最新版操作指引），逾期不接受投标登记。投标登记后请按以下要求发送资料扫描件至邮箱gdptjs@126.com，并联系招标代理确认。注：投标登记资料必须填报准确的邮箱地址和联系方式，并及时留意相关资料查收。投标登记成功后，经招标代理确认，可在交易中心系统下载招标文件、图纸（如有）。网上下载招标文件、图纸截止时间以广州公共资源交易中心网站（http://www.gzggzy.cn）“本项目招标公告→点击查询日程安排”处公布的时间为准。投标人请及时下载相关资料，逾期无法进行下载的，责任由投标人自行承担。</w:t>
      </w:r>
    </w:p>
    <w:p>
      <w:pPr>
        <w:widowControl/>
        <w:tabs>
          <w:tab w:val="left" w:pos="360"/>
        </w:tabs>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.2</w:t>
      </w:r>
      <w:r>
        <w:rPr>
          <w:rFonts w:hint="eastAsia" w:ascii="宋体" w:hAnsi="宋体"/>
          <w:color w:val="auto"/>
          <w:szCs w:val="21"/>
          <w:highlight w:val="none"/>
        </w:rPr>
        <w:t xml:space="preserve"> 投标登记时需提交以下资料（下述资料复印件均须盖单位公章）：</w:t>
      </w:r>
    </w:p>
    <w:p>
      <w:pPr>
        <w:widowControl/>
        <w:tabs>
          <w:tab w:val="left" w:pos="220"/>
        </w:tabs>
        <w:spacing w:line="440" w:lineRule="exact"/>
        <w:ind w:firstLine="420" w:firstLineChars="200"/>
        <w:rPr>
          <w:rFonts w:hint="eastAsia" w:ascii="宋体" w:hAnsi="宋体"/>
          <w:color w:val="auto"/>
          <w:szCs w:val="21"/>
          <w:highlight w:val="none"/>
        </w:rPr>
      </w:pPr>
      <w:bookmarkStart w:id="49" w:name="_Toc21523432"/>
      <w:bookmarkStart w:id="50" w:name="_Toc21686890"/>
      <w:bookmarkStart w:id="51" w:name="_Toc20438"/>
      <w:bookmarkStart w:id="52" w:name="_Toc13528"/>
      <w:bookmarkStart w:id="53" w:name="_Toc20270"/>
      <w:bookmarkStart w:id="54" w:name="_Toc24975"/>
      <w:bookmarkStart w:id="55" w:name="_Toc16448"/>
      <w:r>
        <w:rPr>
          <w:rFonts w:hint="eastAsia" w:ascii="宋体" w:hAnsi="宋体"/>
          <w:color w:val="auto"/>
          <w:szCs w:val="21"/>
          <w:highlight w:val="none"/>
        </w:rPr>
        <w:t>（1）企业法定代表人证明、授权委托书（如有）；</w:t>
      </w:r>
    </w:p>
    <w:p>
      <w:pPr>
        <w:widowControl/>
        <w:tabs>
          <w:tab w:val="left" w:pos="220"/>
        </w:tabs>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（2）企业营业执照、资质证明、项目负责人证件及相关资料复印件（原件备查）</w:t>
      </w:r>
    </w:p>
    <w:p>
      <w:pPr>
        <w:widowControl/>
        <w:tabs>
          <w:tab w:val="left" w:pos="220"/>
        </w:tabs>
        <w:spacing w:line="440" w:lineRule="exact"/>
        <w:ind w:firstLine="422" w:firstLineChars="200"/>
        <w:rPr>
          <w:rFonts w:hint="eastAsia" w:ascii="宋体" w:hAnsi="宋体"/>
          <w:color w:val="auto"/>
          <w:szCs w:val="21"/>
          <w:highlight w:val="none"/>
          <w:u w:val="none"/>
        </w:rPr>
      </w:pPr>
      <w:r>
        <w:rPr>
          <w:rFonts w:hint="eastAsia" w:ascii="宋体" w:hAnsi="宋体"/>
          <w:b/>
          <w:color w:val="auto"/>
          <w:szCs w:val="21"/>
          <w:highlight w:val="none"/>
          <w:u w:val="none"/>
        </w:rPr>
        <w:t>（3）已在南方电网公司阳光电子商务平台（www.bidding.csg.cn）上办理完成供应商登记的证明材料（如网上截屏）复印件或打印件。</w:t>
      </w:r>
    </w:p>
    <w:p>
      <w:pPr>
        <w:widowControl/>
        <w:tabs>
          <w:tab w:val="left" w:pos="360"/>
        </w:tabs>
        <w:spacing w:line="44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（4）其他: ①《投标登记申请表》（盖单位公章）[一式两份，格式见广州公共资源交易中心网站（www.gzggzy.cn）本工程招标公告附件，自行下载]；②招标文</w:t>
      </w:r>
      <w:r>
        <w:rPr>
          <w:rFonts w:hint="eastAsia" w:ascii="宋体" w:hAnsi="宋体" w:cs="Times New Roman"/>
          <w:color w:val="auto"/>
          <w:szCs w:val="21"/>
          <w:highlight w:val="none"/>
          <w:lang w:val="en-US" w:eastAsia="zh-CN"/>
        </w:rPr>
        <w:t>件</w:t>
      </w:r>
      <w:r>
        <w:rPr>
          <w:rFonts w:hint="eastAsia" w:ascii="宋体" w:hAnsi="宋体" w:eastAsia="宋体" w:cs="Times New Roman"/>
          <w:color w:val="auto"/>
          <w:szCs w:val="21"/>
          <w:highlight w:val="none"/>
        </w:rPr>
        <w:t>领购登记表(一式一份格式见附件）。</w:t>
      </w:r>
    </w:p>
    <w:p>
      <w:pPr>
        <w:widowControl/>
        <w:tabs>
          <w:tab w:val="left" w:pos="360"/>
        </w:tabs>
        <w:spacing w:line="44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注：相关资料的有效期已过，但尚未领到新证或办妥延期手续的，须在领取招标文件时提供相关有效证明文件的复印件并加盖企业公章（须提交原件核对），且相关有效证明须明确包括以下两个内容（一、换证手续办理中；二、原证件办理过程中继续有效使用），否则招标人有权不予认可该证明文件，但行政主管部门另有规定的除外。</w:t>
      </w:r>
    </w:p>
    <w:p>
      <w:pPr>
        <w:widowControl/>
        <w:tabs>
          <w:tab w:val="left" w:pos="360"/>
        </w:tabs>
        <w:spacing w:line="440" w:lineRule="exact"/>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5.3 本次招标文件以电子版发出，请 自 行 登 录 广 州 公 共 资 源 交 易 中 心 网 站 （http://www.gzggzy.cn）下载电子招标文件，招标文件每套售价 500 元，售后不退。图纸若为电子版，不收取押金；图纸若为纸质，收取押金 /  元，在归还图纸时退还。</w:t>
      </w:r>
    </w:p>
    <w:p>
      <w:pPr>
        <w:pStyle w:val="4"/>
        <w:spacing w:line="240" w:lineRule="auto"/>
        <w:rPr>
          <w:rFonts w:ascii="宋体" w:hAnsi="宋体" w:eastAsia="宋体"/>
          <w:color w:val="auto"/>
          <w:highlight w:val="none"/>
        </w:rPr>
      </w:pPr>
      <w:bookmarkStart w:id="56" w:name="_Toc1928"/>
      <w:r>
        <w:rPr>
          <w:rFonts w:ascii="宋体" w:hAnsi="宋体" w:eastAsia="宋体"/>
          <w:color w:val="auto"/>
          <w:highlight w:val="none"/>
        </w:rPr>
        <w:t xml:space="preserve">6. </w:t>
      </w:r>
      <w:r>
        <w:rPr>
          <w:rFonts w:hint="eastAsia" w:ascii="宋体" w:hAnsi="宋体" w:eastAsia="宋体"/>
          <w:color w:val="auto"/>
          <w:highlight w:val="none"/>
        </w:rPr>
        <w:t>投标文件的递交</w:t>
      </w:r>
      <w:bookmarkEnd w:id="49"/>
      <w:bookmarkEnd w:id="50"/>
      <w:bookmarkEnd w:id="51"/>
      <w:bookmarkEnd w:id="52"/>
      <w:bookmarkEnd w:id="53"/>
      <w:bookmarkEnd w:id="54"/>
      <w:bookmarkEnd w:id="55"/>
      <w:bookmarkEnd w:id="56"/>
    </w:p>
    <w:p>
      <w:pPr>
        <w:spacing w:line="440" w:lineRule="exact"/>
        <w:ind w:firstLine="420" w:firstLineChars="200"/>
        <w:rPr>
          <w:rFonts w:ascii="宋体" w:hAnsi="宋体"/>
          <w:color w:val="auto"/>
          <w:szCs w:val="21"/>
          <w:highlight w:val="none"/>
          <w:u w:val="none"/>
        </w:rPr>
      </w:pPr>
      <w:bookmarkStart w:id="57" w:name="_Toc17617"/>
      <w:bookmarkStart w:id="58" w:name="_Toc21523433"/>
      <w:bookmarkStart w:id="59" w:name="_Toc28107"/>
      <w:bookmarkStart w:id="60" w:name="_Toc15103"/>
      <w:bookmarkStart w:id="61" w:name="_Toc18119"/>
      <w:bookmarkStart w:id="62" w:name="_Toc29863"/>
      <w:bookmarkStart w:id="63" w:name="_Toc21686891"/>
      <w:r>
        <w:rPr>
          <w:rFonts w:hint="eastAsia" w:ascii="宋体" w:hAnsi="宋体"/>
          <w:color w:val="auto"/>
          <w:szCs w:val="21"/>
          <w:highlight w:val="none"/>
        </w:rPr>
        <w:t>6</w:t>
      </w:r>
      <w:r>
        <w:rPr>
          <w:rFonts w:ascii="宋体" w:hAnsi="宋体"/>
          <w:color w:val="auto"/>
          <w:szCs w:val="21"/>
          <w:highlight w:val="none"/>
        </w:rPr>
        <w:t>.1投标文件递交的截止时间（</w:t>
      </w:r>
      <w:r>
        <w:rPr>
          <w:rFonts w:hint="eastAsia" w:ascii="宋体" w:hAnsi="宋体"/>
          <w:color w:val="auto"/>
          <w:szCs w:val="21"/>
          <w:highlight w:val="none"/>
        </w:rPr>
        <w:t>北京时间</w:t>
      </w:r>
      <w:r>
        <w:rPr>
          <w:rFonts w:ascii="宋体" w:hAnsi="宋体"/>
          <w:color w:val="auto"/>
          <w:szCs w:val="21"/>
          <w:highlight w:val="none"/>
        </w:rPr>
        <w:t>，下同）为</w:t>
      </w:r>
      <w:r>
        <w:rPr>
          <w:rFonts w:hint="eastAsia" w:ascii="宋体" w:hAnsi="宋体"/>
          <w:color w:val="auto"/>
          <w:szCs w:val="21"/>
          <w:highlight w:val="none"/>
          <w:u w:val="single"/>
        </w:rPr>
        <w:t>2023</w:t>
      </w:r>
      <w:r>
        <w:rPr>
          <w:rFonts w:ascii="宋体" w:hAnsi="宋体"/>
          <w:color w:val="auto"/>
          <w:szCs w:val="21"/>
          <w:highlight w:val="none"/>
        </w:rPr>
        <w:t>年</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rPr>
        <w:t>月</w:t>
      </w:r>
      <w:r>
        <w:rPr>
          <w:rFonts w:ascii="宋体" w:hAnsi="宋体"/>
          <w:color w:val="auto"/>
          <w:szCs w:val="21"/>
          <w:highlight w:val="none"/>
          <w:u w:val="single"/>
        </w:rPr>
        <w:t xml:space="preserve">   </w:t>
      </w:r>
      <w:r>
        <w:rPr>
          <w:rFonts w:ascii="宋体" w:hAnsi="宋体"/>
          <w:color w:val="auto"/>
          <w:szCs w:val="21"/>
          <w:highlight w:val="none"/>
        </w:rPr>
        <w:t>日</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时</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rPr>
        <w:t>分，地点为</w:t>
      </w:r>
      <w:r>
        <w:rPr>
          <w:rFonts w:hint="eastAsia" w:ascii="宋体" w:hAnsi="宋体"/>
          <w:color w:val="auto"/>
          <w:szCs w:val="21"/>
          <w:highlight w:val="none"/>
          <w:u w:val="none"/>
        </w:rPr>
        <w:t>广州市天河区天润路</w:t>
      </w:r>
      <w:r>
        <w:rPr>
          <w:rFonts w:ascii="宋体" w:hAnsi="宋体"/>
          <w:color w:val="auto"/>
          <w:szCs w:val="21"/>
          <w:highlight w:val="none"/>
          <w:u w:val="none"/>
        </w:rPr>
        <w:t>333</w:t>
      </w:r>
      <w:r>
        <w:rPr>
          <w:rFonts w:hint="eastAsia" w:ascii="宋体" w:hAnsi="宋体"/>
          <w:color w:val="auto"/>
          <w:szCs w:val="21"/>
          <w:highlight w:val="none"/>
          <w:u w:val="none"/>
        </w:rPr>
        <w:t>号广州</w:t>
      </w:r>
      <w:r>
        <w:rPr>
          <w:rFonts w:hint="eastAsia" w:ascii="宋体" w:hAnsi="宋体"/>
          <w:color w:val="auto"/>
          <w:highlight w:val="none"/>
          <w:u w:val="none"/>
        </w:rPr>
        <w:t>公共资源交易中心</w:t>
      </w:r>
      <w:r>
        <w:rPr>
          <w:rFonts w:hint="eastAsia" w:ascii="宋体" w:hAnsi="宋体"/>
          <w:color w:val="auto"/>
          <w:szCs w:val="21"/>
          <w:highlight w:val="none"/>
          <w:u w:val="none"/>
        </w:rPr>
        <w:t xml:space="preserve">    。投标人应于当日   </w:t>
      </w:r>
      <w:r>
        <w:rPr>
          <w:rFonts w:ascii="宋体" w:hAnsi="宋体"/>
          <w:color w:val="auto"/>
          <w:szCs w:val="21"/>
          <w:highlight w:val="none"/>
          <w:u w:val="none"/>
        </w:rPr>
        <w:t xml:space="preserve"> </w:t>
      </w:r>
      <w:r>
        <w:rPr>
          <w:rFonts w:hint="eastAsia" w:ascii="宋体" w:hAnsi="宋体"/>
          <w:color w:val="auto"/>
          <w:highlight w:val="none"/>
          <w:u w:val="none"/>
        </w:rPr>
        <w:t>时</w:t>
      </w:r>
      <w:r>
        <w:rPr>
          <w:rFonts w:hint="eastAsia" w:ascii="宋体" w:hAnsi="宋体"/>
          <w:color w:val="auto"/>
          <w:szCs w:val="21"/>
          <w:highlight w:val="none"/>
          <w:u w:val="none"/>
        </w:rPr>
        <w:t xml:space="preserve">   </w:t>
      </w:r>
      <w:r>
        <w:rPr>
          <w:rFonts w:hint="eastAsia" w:ascii="宋体" w:hAnsi="宋体"/>
          <w:color w:val="auto"/>
          <w:highlight w:val="none"/>
          <w:u w:val="none"/>
        </w:rPr>
        <w:t>分</w:t>
      </w:r>
      <w:r>
        <w:rPr>
          <w:rFonts w:hint="eastAsia" w:ascii="宋体" w:hAnsi="宋体"/>
          <w:color w:val="auto"/>
          <w:szCs w:val="21"/>
          <w:highlight w:val="none"/>
          <w:u w:val="none"/>
        </w:rPr>
        <w:t>至   时   分将投标文件递交至规定地点。投标文件递交的截止时间、投标地点具体以广州公共资源交易中心网站（http://www.gzggzy.cn）“服务指南→交易活动安排”处公布的投标截止时间、投标地点为准</w:t>
      </w:r>
      <w:r>
        <w:rPr>
          <w:rFonts w:hint="eastAsia" w:ascii="宋体" w:hAnsi="宋体"/>
          <w:b/>
          <w:color w:val="auto"/>
          <w:szCs w:val="21"/>
          <w:highlight w:val="none"/>
          <w:u w:val="none"/>
        </w:rPr>
        <w:t>（</w:t>
      </w:r>
      <w:r>
        <w:rPr>
          <w:rFonts w:hint="eastAsia" w:ascii="宋体" w:hAnsi="宋体"/>
          <w:b/>
          <w:bCs/>
          <w:color w:val="auto"/>
          <w:highlight w:val="none"/>
          <w:u w:val="none"/>
        </w:rPr>
        <w:t>不接受邮寄方式递交）</w:t>
      </w:r>
      <w:r>
        <w:rPr>
          <w:rFonts w:ascii="宋体" w:hAnsi="宋体"/>
          <w:color w:val="auto"/>
          <w:szCs w:val="21"/>
          <w:highlight w:val="none"/>
          <w:u w:val="none"/>
        </w:rPr>
        <w:t>。</w:t>
      </w:r>
    </w:p>
    <w:p>
      <w:pPr>
        <w:tabs>
          <w:tab w:val="left" w:pos="360"/>
        </w:tabs>
        <w:spacing w:line="440" w:lineRule="exact"/>
        <w:ind w:firstLine="420" w:firstLineChars="200"/>
        <w:rPr>
          <w:rFonts w:ascii="宋体" w:hAnsi="宋体"/>
          <w:color w:val="auto"/>
          <w:szCs w:val="21"/>
          <w:highlight w:val="none"/>
          <w:u w:val="none"/>
        </w:rPr>
      </w:pPr>
      <w:r>
        <w:rPr>
          <w:rFonts w:hint="eastAsia" w:ascii="宋体" w:hAnsi="宋体"/>
          <w:color w:val="auto"/>
          <w:szCs w:val="21"/>
          <w:highlight w:val="none"/>
        </w:rPr>
        <w:t>6</w:t>
      </w:r>
      <w:r>
        <w:rPr>
          <w:rFonts w:ascii="宋体" w:hAnsi="宋体"/>
          <w:color w:val="auto"/>
          <w:szCs w:val="21"/>
          <w:highlight w:val="none"/>
        </w:rPr>
        <w:t xml:space="preserve">.2 </w:t>
      </w:r>
      <w:r>
        <w:rPr>
          <w:rFonts w:ascii="宋体" w:hAnsi="宋体"/>
          <w:color w:val="auto"/>
          <w:szCs w:val="21"/>
          <w:highlight w:val="none"/>
          <w:u w:val="none"/>
        </w:rPr>
        <w:t>逾期送达的或者未送达指定地点</w:t>
      </w:r>
      <w:r>
        <w:rPr>
          <w:rFonts w:hint="eastAsia" w:ascii="宋体" w:hAnsi="宋体"/>
          <w:color w:val="auto"/>
          <w:szCs w:val="21"/>
          <w:highlight w:val="none"/>
          <w:u w:val="none"/>
        </w:rPr>
        <w:t>或未按要求密封</w:t>
      </w:r>
      <w:r>
        <w:rPr>
          <w:rFonts w:ascii="宋体" w:hAnsi="宋体"/>
          <w:color w:val="auto"/>
          <w:szCs w:val="21"/>
          <w:highlight w:val="none"/>
          <w:u w:val="none"/>
        </w:rPr>
        <w:t>的投标文件，招标人不予受理。</w:t>
      </w:r>
    </w:p>
    <w:p>
      <w:pPr>
        <w:spacing w:line="440" w:lineRule="exact"/>
        <w:ind w:firstLine="420" w:firstLineChars="200"/>
        <w:rPr>
          <w:rFonts w:hint="eastAsia" w:ascii="宋体" w:hAnsi="宋体"/>
          <w:color w:val="auto"/>
          <w:szCs w:val="21"/>
          <w:highlight w:val="none"/>
          <w:u w:val="none"/>
        </w:rPr>
      </w:pPr>
      <w:r>
        <w:rPr>
          <w:rFonts w:hint="eastAsia" w:ascii="宋体" w:hAnsi="宋体"/>
          <w:color w:val="auto"/>
          <w:szCs w:val="21"/>
          <w:highlight w:val="none"/>
          <w:u w:val="none"/>
        </w:rPr>
        <w:t xml:space="preserve">6.3 </w:t>
      </w:r>
      <w:r>
        <w:rPr>
          <w:rFonts w:ascii="宋体" w:hAnsi="宋体"/>
          <w:color w:val="auto"/>
          <w:szCs w:val="21"/>
          <w:highlight w:val="none"/>
          <w:u w:val="none"/>
        </w:rPr>
        <w:t>未按上述要求</w:t>
      </w:r>
      <w:r>
        <w:rPr>
          <w:rFonts w:hint="eastAsia" w:ascii="宋体" w:hAnsi="宋体"/>
          <w:color w:val="auto"/>
          <w:szCs w:val="21"/>
          <w:highlight w:val="none"/>
          <w:u w:val="none"/>
        </w:rPr>
        <w:t>进行</w:t>
      </w:r>
      <w:r>
        <w:rPr>
          <w:rFonts w:ascii="宋体" w:hAnsi="宋体"/>
          <w:color w:val="auto"/>
          <w:szCs w:val="21"/>
          <w:highlight w:val="none"/>
          <w:u w:val="none"/>
        </w:rPr>
        <w:t>投标登记申请并</w:t>
      </w:r>
      <w:r>
        <w:rPr>
          <w:rFonts w:hint="eastAsia" w:ascii="宋体" w:hAnsi="宋体"/>
          <w:color w:val="auto"/>
          <w:szCs w:val="21"/>
          <w:highlight w:val="none"/>
          <w:u w:val="none"/>
        </w:rPr>
        <w:t>获取招标文件的潜在投标人不得参与投标。</w:t>
      </w:r>
    </w:p>
    <w:p>
      <w:pPr>
        <w:pStyle w:val="4"/>
        <w:spacing w:line="240" w:lineRule="auto"/>
        <w:rPr>
          <w:rFonts w:ascii="宋体" w:hAnsi="宋体" w:eastAsia="宋体"/>
          <w:color w:val="auto"/>
          <w:highlight w:val="none"/>
        </w:rPr>
      </w:pPr>
      <w:bookmarkStart w:id="64" w:name="_Toc4819"/>
      <w:r>
        <w:rPr>
          <w:rFonts w:ascii="宋体" w:hAnsi="宋体" w:eastAsia="宋体"/>
          <w:color w:val="auto"/>
          <w:highlight w:val="none"/>
        </w:rPr>
        <w:t xml:space="preserve">7. </w:t>
      </w:r>
      <w:r>
        <w:rPr>
          <w:rFonts w:hint="eastAsia" w:ascii="宋体" w:hAnsi="宋体" w:eastAsia="宋体"/>
          <w:color w:val="auto"/>
          <w:highlight w:val="none"/>
        </w:rPr>
        <w:t>发布公告的媒介</w:t>
      </w:r>
      <w:bookmarkEnd w:id="57"/>
      <w:bookmarkEnd w:id="58"/>
      <w:bookmarkEnd w:id="59"/>
      <w:bookmarkEnd w:id="60"/>
      <w:bookmarkEnd w:id="61"/>
      <w:bookmarkEnd w:id="62"/>
      <w:bookmarkEnd w:id="63"/>
      <w:bookmarkEnd w:id="64"/>
    </w:p>
    <w:p>
      <w:pPr>
        <w:spacing w:line="44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招标公告在</w:t>
      </w:r>
      <w:r>
        <w:rPr>
          <w:rFonts w:hint="eastAsia" w:ascii="宋体" w:hAnsi="宋体"/>
          <w:color w:val="auto"/>
          <w:szCs w:val="21"/>
          <w:highlight w:val="none"/>
          <w:u w:val="single"/>
        </w:rPr>
        <w:t>广州公共资源交易中心网</w:t>
      </w:r>
      <w:r>
        <w:rPr>
          <w:rFonts w:hint="eastAsia" w:ascii="宋体" w:hAnsi="宋体"/>
          <w:color w:val="auto"/>
          <w:highlight w:val="none"/>
          <w:u w:val="single"/>
        </w:rPr>
        <w:t>（</w:t>
      </w:r>
      <w:r>
        <w:rPr>
          <w:rFonts w:ascii="宋体" w:hAnsi="宋体"/>
          <w:color w:val="auto"/>
          <w:highlight w:val="none"/>
          <w:u w:val="single"/>
        </w:rPr>
        <w:t>http://www.gzggzy.cn</w:t>
      </w:r>
      <w:r>
        <w:rPr>
          <w:rFonts w:hint="eastAsia" w:ascii="宋体" w:hAnsi="宋体"/>
          <w:color w:val="auto"/>
          <w:highlight w:val="none"/>
          <w:u w:val="single"/>
        </w:rPr>
        <w:t>）、</w:t>
      </w:r>
      <w:r>
        <w:rPr>
          <w:rFonts w:hint="eastAsia" w:ascii="宋体" w:hAnsi="宋体"/>
          <w:bCs/>
          <w:color w:val="auto"/>
          <w:szCs w:val="21"/>
          <w:highlight w:val="none"/>
          <w:u w:val="single"/>
        </w:rPr>
        <w:t>广东省招标投标监管网（网址：http://www.gdzbtb.gov.cn）</w:t>
      </w:r>
      <w:r>
        <w:rPr>
          <w:rFonts w:hint="eastAsia" w:ascii="宋体" w:hAnsi="宋体"/>
          <w:color w:val="auto"/>
          <w:szCs w:val="21"/>
          <w:highlight w:val="none"/>
        </w:rPr>
        <w:t>上发布。</w:t>
      </w:r>
    </w:p>
    <w:p>
      <w:pPr>
        <w:pStyle w:val="4"/>
        <w:spacing w:line="240" w:lineRule="auto"/>
        <w:rPr>
          <w:rFonts w:ascii="宋体" w:hAnsi="宋体" w:eastAsia="宋体"/>
          <w:color w:val="auto"/>
          <w:highlight w:val="none"/>
        </w:rPr>
      </w:pPr>
      <w:bookmarkStart w:id="65" w:name="_Toc12813"/>
      <w:bookmarkStart w:id="66" w:name="_Toc10864"/>
      <w:bookmarkStart w:id="67" w:name="_Toc9294"/>
      <w:bookmarkStart w:id="68" w:name="_Toc23299"/>
      <w:bookmarkStart w:id="69" w:name="_Toc21686892"/>
      <w:bookmarkStart w:id="70" w:name="_Toc21523434"/>
      <w:bookmarkStart w:id="71" w:name="_Toc20163"/>
      <w:bookmarkStart w:id="72" w:name="_Toc10638"/>
      <w:r>
        <w:rPr>
          <w:rFonts w:ascii="宋体" w:hAnsi="宋体" w:eastAsia="宋体"/>
          <w:color w:val="auto"/>
          <w:highlight w:val="none"/>
        </w:rPr>
        <w:t xml:space="preserve">8. </w:t>
      </w:r>
      <w:r>
        <w:rPr>
          <w:rFonts w:hint="eastAsia" w:ascii="宋体" w:hAnsi="宋体" w:eastAsia="宋体"/>
          <w:color w:val="auto"/>
          <w:highlight w:val="none"/>
        </w:rPr>
        <w:t>联系方式</w:t>
      </w:r>
      <w:bookmarkEnd w:id="65"/>
      <w:bookmarkEnd w:id="66"/>
      <w:bookmarkEnd w:id="67"/>
      <w:bookmarkEnd w:id="68"/>
      <w:bookmarkEnd w:id="69"/>
      <w:bookmarkEnd w:id="70"/>
      <w:bookmarkEnd w:id="71"/>
      <w:bookmarkEnd w:id="72"/>
    </w:p>
    <w:tbl>
      <w:tblPr>
        <w:tblStyle w:val="43"/>
        <w:tblW w:w="9286" w:type="dxa"/>
        <w:tblInd w:w="0" w:type="dxa"/>
        <w:tblLayout w:type="fixed"/>
        <w:tblCellMar>
          <w:top w:w="0" w:type="dxa"/>
          <w:left w:w="108" w:type="dxa"/>
          <w:bottom w:w="0" w:type="dxa"/>
          <w:right w:w="108" w:type="dxa"/>
        </w:tblCellMar>
      </w:tblPr>
      <w:tblGrid>
        <w:gridCol w:w="1402"/>
        <w:gridCol w:w="3240"/>
        <w:gridCol w:w="1627"/>
        <w:gridCol w:w="3017"/>
      </w:tblGrid>
      <w:tr>
        <w:tblPrEx>
          <w:tblCellMar>
            <w:top w:w="0" w:type="dxa"/>
            <w:left w:w="108" w:type="dxa"/>
            <w:bottom w:w="0" w:type="dxa"/>
            <w:right w:w="108" w:type="dxa"/>
          </w:tblCellMar>
        </w:tblPrEx>
        <w:tc>
          <w:tcPr>
            <w:tcW w:w="1402" w:type="dxa"/>
            <w:noWrap w:val="0"/>
            <w:vAlign w:val="top"/>
          </w:tcPr>
          <w:p>
            <w:pPr>
              <w:topLinePunct/>
              <w:spacing w:line="380" w:lineRule="exact"/>
              <w:rPr>
                <w:rFonts w:ascii="宋体" w:hAnsi="宋体"/>
                <w:color w:val="auto"/>
                <w:szCs w:val="21"/>
                <w:highlight w:val="none"/>
              </w:rPr>
            </w:pPr>
            <w:bookmarkStart w:id="73" w:name="_Toc247513935"/>
            <w:bookmarkEnd w:id="73"/>
            <w:bookmarkStart w:id="74" w:name="_Toc369531495"/>
            <w:bookmarkEnd w:id="74"/>
            <w:bookmarkStart w:id="75" w:name="_Toc300834927"/>
            <w:bookmarkEnd w:id="75"/>
            <w:bookmarkStart w:id="76" w:name="_Toc361508562"/>
            <w:bookmarkEnd w:id="76"/>
            <w:bookmarkStart w:id="77" w:name="_Toc352691456"/>
            <w:bookmarkEnd w:id="77"/>
            <w:bookmarkStart w:id="78" w:name="_Toc384308185"/>
            <w:bookmarkEnd w:id="78"/>
            <w:bookmarkStart w:id="79" w:name="_Toc361508563"/>
            <w:bookmarkEnd w:id="79"/>
            <w:bookmarkStart w:id="80" w:name="_Toc300834930"/>
            <w:bookmarkEnd w:id="80"/>
            <w:bookmarkStart w:id="81" w:name="_Toc384308188"/>
            <w:bookmarkEnd w:id="81"/>
            <w:bookmarkStart w:id="82" w:name="_Toc247513934"/>
            <w:bookmarkEnd w:id="82"/>
            <w:bookmarkStart w:id="83" w:name="_Toc247527536"/>
            <w:bookmarkEnd w:id="83"/>
            <w:bookmarkStart w:id="84" w:name="_Toc361508560"/>
            <w:bookmarkEnd w:id="84"/>
            <w:bookmarkStart w:id="85" w:name="_Toc152042288"/>
            <w:bookmarkEnd w:id="85"/>
            <w:bookmarkStart w:id="86" w:name="_Toc247527535"/>
            <w:bookmarkEnd w:id="86"/>
            <w:bookmarkStart w:id="87" w:name="_Toc369531497"/>
            <w:bookmarkEnd w:id="87"/>
            <w:bookmarkStart w:id="88" w:name="_Toc300834929"/>
            <w:bookmarkEnd w:id="88"/>
            <w:bookmarkStart w:id="89" w:name="_Toc152045513"/>
            <w:bookmarkEnd w:id="89"/>
            <w:bookmarkStart w:id="90" w:name="_Toc144974481"/>
            <w:bookmarkEnd w:id="90"/>
            <w:bookmarkStart w:id="91" w:name="_Toc369531498"/>
            <w:bookmarkEnd w:id="91"/>
            <w:bookmarkStart w:id="92" w:name="_Toc352691453"/>
            <w:bookmarkEnd w:id="92"/>
            <w:bookmarkStart w:id="93" w:name="_Toc152042289"/>
            <w:bookmarkEnd w:id="93"/>
            <w:bookmarkStart w:id="94" w:name="_Toc352691455"/>
            <w:bookmarkEnd w:id="94"/>
            <w:bookmarkStart w:id="95" w:name="_Toc17972"/>
            <w:bookmarkEnd w:id="95"/>
            <w:bookmarkStart w:id="96" w:name="_Toc152045512"/>
            <w:bookmarkEnd w:id="96"/>
            <w:bookmarkStart w:id="97" w:name="_Toc144974480"/>
            <w:bookmarkEnd w:id="97"/>
            <w:bookmarkStart w:id="98" w:name="_Toc384308187"/>
            <w:bookmarkEnd w:id="98"/>
            <w:bookmarkStart w:id="99" w:name="_Toc30817"/>
            <w:bookmarkEnd w:id="99"/>
            <w:bookmarkStart w:id="100" w:name="_Toc10785"/>
            <w:bookmarkEnd w:id="100"/>
            <w:r>
              <w:rPr>
                <w:rFonts w:ascii="宋体" w:hAnsi="宋体"/>
                <w:color w:val="auto"/>
                <w:szCs w:val="21"/>
                <w:highlight w:val="none"/>
              </w:rPr>
              <w:t>招 标 人：</w:t>
            </w:r>
          </w:p>
        </w:tc>
        <w:tc>
          <w:tcPr>
            <w:tcW w:w="3240" w:type="dxa"/>
            <w:noWrap w:val="0"/>
            <w:vAlign w:val="top"/>
          </w:tcPr>
          <w:p>
            <w:pPr>
              <w:topLinePunct/>
              <w:spacing w:line="380" w:lineRule="exact"/>
              <w:rPr>
                <w:rFonts w:ascii="宋体" w:hAnsi="宋体"/>
                <w:color w:val="auto"/>
                <w:szCs w:val="21"/>
                <w:highlight w:val="none"/>
              </w:rPr>
            </w:pPr>
            <w:r>
              <w:rPr>
                <w:rFonts w:hint="eastAsia" w:hAnsi="宋体" w:cs="宋体"/>
                <w:color w:val="auto"/>
                <w:szCs w:val="21"/>
                <w:highlight w:val="none"/>
              </w:rPr>
              <w:t>东莞松山湖高新技术产业开发区管理委员会</w:t>
            </w:r>
          </w:p>
        </w:tc>
        <w:tc>
          <w:tcPr>
            <w:tcW w:w="1627" w:type="dxa"/>
            <w:noWrap w:val="0"/>
            <w:vAlign w:val="top"/>
          </w:tcPr>
          <w:p>
            <w:pPr>
              <w:topLinePunct/>
              <w:spacing w:line="380" w:lineRule="exact"/>
              <w:rPr>
                <w:rFonts w:ascii="宋体" w:hAnsi="宋体"/>
                <w:color w:val="auto"/>
                <w:szCs w:val="21"/>
                <w:highlight w:val="none"/>
              </w:rPr>
            </w:pPr>
            <w:r>
              <w:rPr>
                <w:rFonts w:ascii="宋体" w:hAnsi="宋体"/>
                <w:color w:val="auto"/>
                <w:szCs w:val="21"/>
                <w:highlight w:val="none"/>
              </w:rPr>
              <w:t>招标代理机构：</w:t>
            </w:r>
          </w:p>
        </w:tc>
        <w:tc>
          <w:tcPr>
            <w:tcW w:w="3017" w:type="dxa"/>
            <w:noWrap w:val="0"/>
            <w:vAlign w:val="top"/>
          </w:tcPr>
          <w:p>
            <w:pPr>
              <w:topLinePunct/>
              <w:spacing w:line="380" w:lineRule="exact"/>
              <w:rPr>
                <w:rFonts w:ascii="宋体" w:hAnsi="宋体"/>
                <w:color w:val="auto"/>
                <w:szCs w:val="21"/>
                <w:highlight w:val="none"/>
              </w:rPr>
            </w:pPr>
            <w:r>
              <w:rPr>
                <w:rFonts w:hint="eastAsia" w:hAnsi="宋体" w:cs="宋体"/>
                <w:color w:val="auto"/>
                <w:szCs w:val="21"/>
                <w:highlight w:val="none"/>
              </w:rPr>
              <w:t>广东普太建设咨询有限公司</w:t>
            </w:r>
          </w:p>
        </w:tc>
      </w:tr>
      <w:tr>
        <w:tblPrEx>
          <w:tblCellMar>
            <w:top w:w="0" w:type="dxa"/>
            <w:left w:w="108" w:type="dxa"/>
            <w:bottom w:w="0" w:type="dxa"/>
            <w:right w:w="108" w:type="dxa"/>
          </w:tblCellMar>
        </w:tblPrEx>
        <w:tc>
          <w:tcPr>
            <w:tcW w:w="1402" w:type="dxa"/>
            <w:noWrap w:val="0"/>
            <w:vAlign w:val="top"/>
          </w:tcPr>
          <w:p>
            <w:pPr>
              <w:topLinePunct/>
              <w:spacing w:line="380" w:lineRule="exact"/>
              <w:rPr>
                <w:rFonts w:ascii="宋体" w:hAnsi="宋体"/>
                <w:color w:val="auto"/>
                <w:szCs w:val="21"/>
                <w:highlight w:val="none"/>
              </w:rPr>
            </w:pPr>
            <w:r>
              <w:rPr>
                <w:rFonts w:ascii="宋体" w:hAnsi="宋体"/>
                <w:color w:val="auto"/>
                <w:szCs w:val="21"/>
                <w:highlight w:val="none"/>
              </w:rPr>
              <w:t>地 址：</w:t>
            </w:r>
          </w:p>
        </w:tc>
        <w:tc>
          <w:tcPr>
            <w:tcW w:w="3240" w:type="dxa"/>
            <w:noWrap w:val="0"/>
            <w:vAlign w:val="top"/>
          </w:tcPr>
          <w:p>
            <w:pPr>
              <w:topLinePunct/>
              <w:spacing w:line="380" w:lineRule="exact"/>
              <w:rPr>
                <w:rFonts w:ascii="宋体" w:hAnsi="宋体"/>
                <w:color w:val="auto"/>
                <w:szCs w:val="21"/>
                <w:highlight w:val="none"/>
              </w:rPr>
            </w:pPr>
            <w:r>
              <w:rPr>
                <w:rFonts w:hint="eastAsia" w:hAnsi="宋体" w:cs="宋体"/>
                <w:color w:val="auto"/>
                <w:szCs w:val="21"/>
                <w:highlight w:val="none"/>
              </w:rPr>
              <w:t>东莞松山湖控股大厦404室</w:t>
            </w:r>
          </w:p>
        </w:tc>
        <w:tc>
          <w:tcPr>
            <w:tcW w:w="1627" w:type="dxa"/>
            <w:noWrap w:val="0"/>
            <w:vAlign w:val="top"/>
          </w:tcPr>
          <w:p>
            <w:pPr>
              <w:topLinePunct/>
              <w:spacing w:line="380" w:lineRule="exact"/>
              <w:rPr>
                <w:rFonts w:hint="eastAsia" w:ascii="宋体" w:hAnsi="宋体"/>
                <w:color w:val="auto"/>
                <w:szCs w:val="21"/>
                <w:highlight w:val="none"/>
              </w:rPr>
            </w:pPr>
            <w:r>
              <w:rPr>
                <w:rFonts w:ascii="宋体" w:hAnsi="宋体"/>
                <w:color w:val="auto"/>
                <w:szCs w:val="21"/>
                <w:highlight w:val="none"/>
              </w:rPr>
              <w:t>地    址</w:t>
            </w:r>
            <w:r>
              <w:rPr>
                <w:rFonts w:hint="eastAsia" w:ascii="宋体" w:hAnsi="宋体"/>
                <w:color w:val="auto"/>
                <w:szCs w:val="21"/>
                <w:highlight w:val="none"/>
              </w:rPr>
              <w:t>：</w:t>
            </w:r>
          </w:p>
        </w:tc>
        <w:tc>
          <w:tcPr>
            <w:tcW w:w="3017" w:type="dxa"/>
            <w:noWrap w:val="0"/>
            <w:vAlign w:val="top"/>
          </w:tcPr>
          <w:p>
            <w:pPr>
              <w:topLinePunct/>
              <w:spacing w:line="380" w:lineRule="exact"/>
              <w:rPr>
                <w:rFonts w:ascii="宋体" w:hAnsi="宋体"/>
                <w:color w:val="auto"/>
                <w:szCs w:val="21"/>
                <w:highlight w:val="none"/>
              </w:rPr>
            </w:pPr>
            <w:r>
              <w:rPr>
                <w:rFonts w:hint="eastAsia" w:hAnsi="宋体" w:cs="宋体"/>
                <w:color w:val="auto"/>
                <w:szCs w:val="21"/>
                <w:highlight w:val="none"/>
              </w:rPr>
              <w:t>东莞市东城街道世博广场J区1203室</w:t>
            </w:r>
          </w:p>
        </w:tc>
      </w:tr>
      <w:tr>
        <w:tblPrEx>
          <w:tblCellMar>
            <w:top w:w="0" w:type="dxa"/>
            <w:left w:w="108" w:type="dxa"/>
            <w:bottom w:w="0" w:type="dxa"/>
            <w:right w:w="108" w:type="dxa"/>
          </w:tblCellMar>
        </w:tblPrEx>
        <w:tc>
          <w:tcPr>
            <w:tcW w:w="1402" w:type="dxa"/>
            <w:noWrap w:val="0"/>
            <w:vAlign w:val="top"/>
          </w:tcPr>
          <w:p>
            <w:pPr>
              <w:topLinePunct/>
              <w:spacing w:line="380" w:lineRule="exact"/>
              <w:rPr>
                <w:rFonts w:ascii="宋体" w:hAnsi="宋体"/>
                <w:color w:val="auto"/>
                <w:szCs w:val="21"/>
                <w:highlight w:val="none"/>
              </w:rPr>
            </w:pPr>
            <w:r>
              <w:rPr>
                <w:rFonts w:ascii="宋体" w:hAnsi="宋体"/>
                <w:color w:val="auto"/>
                <w:szCs w:val="21"/>
                <w:highlight w:val="none"/>
              </w:rPr>
              <w:t>邮    编：</w:t>
            </w:r>
          </w:p>
        </w:tc>
        <w:tc>
          <w:tcPr>
            <w:tcW w:w="3240" w:type="dxa"/>
            <w:noWrap w:val="0"/>
            <w:vAlign w:val="top"/>
          </w:tcPr>
          <w:p>
            <w:pPr>
              <w:topLinePunct/>
              <w:spacing w:line="380" w:lineRule="exact"/>
              <w:rPr>
                <w:rFonts w:hint="eastAsia" w:ascii="宋体" w:hAnsi="宋体"/>
                <w:color w:val="auto"/>
                <w:szCs w:val="21"/>
                <w:highlight w:val="none"/>
              </w:rPr>
            </w:pPr>
            <w:r>
              <w:rPr>
                <w:rFonts w:hint="eastAsia" w:ascii="宋体" w:hAnsi="宋体"/>
                <w:color w:val="auto"/>
                <w:szCs w:val="21"/>
                <w:highlight w:val="none"/>
                <w:u w:val="single"/>
              </w:rPr>
              <w:t>523000</w:t>
            </w:r>
          </w:p>
        </w:tc>
        <w:tc>
          <w:tcPr>
            <w:tcW w:w="1627" w:type="dxa"/>
            <w:noWrap w:val="0"/>
            <w:vAlign w:val="top"/>
          </w:tcPr>
          <w:p>
            <w:pPr>
              <w:topLinePunct/>
              <w:spacing w:line="380" w:lineRule="exact"/>
              <w:rPr>
                <w:rFonts w:hint="eastAsia" w:ascii="宋体" w:hAnsi="宋体"/>
                <w:color w:val="auto"/>
                <w:szCs w:val="21"/>
                <w:highlight w:val="none"/>
              </w:rPr>
            </w:pPr>
            <w:r>
              <w:rPr>
                <w:rFonts w:ascii="宋体" w:hAnsi="宋体"/>
                <w:color w:val="auto"/>
                <w:szCs w:val="21"/>
                <w:highlight w:val="none"/>
              </w:rPr>
              <w:t>邮    编</w:t>
            </w:r>
            <w:r>
              <w:rPr>
                <w:rFonts w:hint="eastAsia" w:ascii="宋体" w:hAnsi="宋体"/>
                <w:color w:val="auto"/>
                <w:szCs w:val="21"/>
                <w:highlight w:val="none"/>
              </w:rPr>
              <w:t>：</w:t>
            </w:r>
          </w:p>
        </w:tc>
        <w:tc>
          <w:tcPr>
            <w:tcW w:w="3017" w:type="dxa"/>
            <w:noWrap w:val="0"/>
            <w:vAlign w:val="top"/>
          </w:tcPr>
          <w:p>
            <w:pPr>
              <w:topLinePunct/>
              <w:spacing w:line="380" w:lineRule="exact"/>
              <w:rPr>
                <w:rFonts w:ascii="宋体" w:hAnsi="宋体"/>
                <w:color w:val="auto"/>
                <w:szCs w:val="21"/>
                <w:highlight w:val="none"/>
              </w:rPr>
            </w:pPr>
            <w:r>
              <w:rPr>
                <w:rFonts w:hint="eastAsia" w:ascii="宋体" w:hAnsi="宋体"/>
                <w:color w:val="auto"/>
                <w:szCs w:val="21"/>
                <w:highlight w:val="none"/>
                <w:u w:val="single"/>
              </w:rPr>
              <w:t>523000</w:t>
            </w:r>
          </w:p>
        </w:tc>
      </w:tr>
      <w:tr>
        <w:tblPrEx>
          <w:tblCellMar>
            <w:top w:w="0" w:type="dxa"/>
            <w:left w:w="108" w:type="dxa"/>
            <w:bottom w:w="0" w:type="dxa"/>
            <w:right w:w="108" w:type="dxa"/>
          </w:tblCellMar>
        </w:tblPrEx>
        <w:tc>
          <w:tcPr>
            <w:tcW w:w="1402" w:type="dxa"/>
            <w:noWrap w:val="0"/>
            <w:vAlign w:val="top"/>
          </w:tcPr>
          <w:p>
            <w:pPr>
              <w:topLinePunct/>
              <w:spacing w:line="380" w:lineRule="exact"/>
              <w:rPr>
                <w:rFonts w:ascii="宋体" w:hAnsi="宋体"/>
                <w:color w:val="auto"/>
                <w:szCs w:val="21"/>
                <w:highlight w:val="none"/>
              </w:rPr>
            </w:pPr>
            <w:r>
              <w:rPr>
                <w:rFonts w:ascii="宋体" w:hAnsi="宋体"/>
                <w:color w:val="auto"/>
                <w:szCs w:val="21"/>
                <w:highlight w:val="none"/>
              </w:rPr>
              <w:t>联 系 人：</w:t>
            </w:r>
          </w:p>
        </w:tc>
        <w:tc>
          <w:tcPr>
            <w:tcW w:w="3240" w:type="dxa"/>
            <w:noWrap w:val="0"/>
            <w:vAlign w:val="top"/>
          </w:tcPr>
          <w:p>
            <w:pPr>
              <w:topLinePunct/>
              <w:spacing w:line="380" w:lineRule="exact"/>
              <w:rPr>
                <w:rFonts w:ascii="宋体" w:hAnsi="宋体"/>
                <w:color w:val="auto"/>
                <w:szCs w:val="21"/>
                <w:highlight w:val="none"/>
              </w:rPr>
            </w:pPr>
            <w:r>
              <w:rPr>
                <w:rFonts w:hint="eastAsia" w:ascii="宋体" w:hAnsi="宋体"/>
                <w:color w:val="auto"/>
                <w:szCs w:val="21"/>
                <w:highlight w:val="none"/>
              </w:rPr>
              <w:t>黄杏瑶</w:t>
            </w:r>
          </w:p>
        </w:tc>
        <w:tc>
          <w:tcPr>
            <w:tcW w:w="1627" w:type="dxa"/>
            <w:noWrap w:val="0"/>
            <w:vAlign w:val="top"/>
          </w:tcPr>
          <w:p>
            <w:pPr>
              <w:topLinePunct/>
              <w:spacing w:line="380" w:lineRule="exact"/>
              <w:rPr>
                <w:rFonts w:ascii="宋体" w:hAnsi="宋体"/>
                <w:color w:val="auto"/>
                <w:szCs w:val="21"/>
                <w:highlight w:val="none"/>
              </w:rPr>
            </w:pPr>
            <w:r>
              <w:rPr>
                <w:rFonts w:ascii="宋体" w:hAnsi="宋体"/>
                <w:color w:val="auto"/>
                <w:szCs w:val="21"/>
                <w:highlight w:val="none"/>
              </w:rPr>
              <w:t>联 系 人：</w:t>
            </w:r>
          </w:p>
        </w:tc>
        <w:tc>
          <w:tcPr>
            <w:tcW w:w="3017" w:type="dxa"/>
            <w:noWrap w:val="0"/>
            <w:vAlign w:val="top"/>
          </w:tcPr>
          <w:p>
            <w:pPr>
              <w:topLinePunct/>
              <w:spacing w:line="380" w:lineRule="exact"/>
              <w:rPr>
                <w:rFonts w:ascii="宋体" w:hAnsi="宋体"/>
                <w:color w:val="auto"/>
                <w:szCs w:val="21"/>
                <w:highlight w:val="none"/>
              </w:rPr>
            </w:pPr>
            <w:r>
              <w:rPr>
                <w:rFonts w:hint="eastAsia" w:ascii="宋体" w:hAnsi="宋体"/>
                <w:color w:val="auto"/>
                <w:szCs w:val="21"/>
                <w:highlight w:val="none"/>
              </w:rPr>
              <w:t>姚先生</w:t>
            </w:r>
          </w:p>
        </w:tc>
      </w:tr>
      <w:tr>
        <w:tblPrEx>
          <w:tblCellMar>
            <w:top w:w="0" w:type="dxa"/>
            <w:left w:w="108" w:type="dxa"/>
            <w:bottom w:w="0" w:type="dxa"/>
            <w:right w:w="108" w:type="dxa"/>
          </w:tblCellMar>
        </w:tblPrEx>
        <w:tc>
          <w:tcPr>
            <w:tcW w:w="1402" w:type="dxa"/>
            <w:noWrap w:val="0"/>
            <w:vAlign w:val="top"/>
          </w:tcPr>
          <w:p>
            <w:pPr>
              <w:topLinePunct/>
              <w:spacing w:line="380" w:lineRule="exact"/>
              <w:rPr>
                <w:rFonts w:ascii="宋体" w:hAnsi="宋体"/>
                <w:color w:val="auto"/>
                <w:szCs w:val="21"/>
                <w:highlight w:val="none"/>
              </w:rPr>
            </w:pPr>
            <w:r>
              <w:rPr>
                <w:rFonts w:ascii="宋体" w:hAnsi="宋体"/>
                <w:color w:val="auto"/>
                <w:szCs w:val="21"/>
                <w:highlight w:val="none"/>
              </w:rPr>
              <w:t>电    话：</w:t>
            </w:r>
          </w:p>
        </w:tc>
        <w:tc>
          <w:tcPr>
            <w:tcW w:w="3240" w:type="dxa"/>
            <w:noWrap w:val="0"/>
            <w:vAlign w:val="top"/>
          </w:tcPr>
          <w:p>
            <w:pPr>
              <w:topLinePunct/>
              <w:spacing w:line="380" w:lineRule="exact"/>
              <w:rPr>
                <w:rFonts w:ascii="宋体" w:hAnsi="宋体"/>
                <w:color w:val="auto"/>
                <w:szCs w:val="21"/>
                <w:highlight w:val="none"/>
              </w:rPr>
            </w:pPr>
            <w:r>
              <w:rPr>
                <w:rFonts w:hint="eastAsia" w:hAnsi="宋体"/>
                <w:color w:val="auto"/>
                <w:szCs w:val="21"/>
                <w:highlight w:val="none"/>
              </w:rPr>
              <w:t>0769-22891052</w:t>
            </w:r>
          </w:p>
        </w:tc>
        <w:tc>
          <w:tcPr>
            <w:tcW w:w="1627" w:type="dxa"/>
            <w:noWrap w:val="0"/>
            <w:vAlign w:val="top"/>
          </w:tcPr>
          <w:p>
            <w:pPr>
              <w:topLinePunct/>
              <w:spacing w:line="380" w:lineRule="exact"/>
              <w:rPr>
                <w:rFonts w:ascii="宋体" w:hAnsi="宋体"/>
                <w:color w:val="auto"/>
                <w:szCs w:val="21"/>
                <w:highlight w:val="none"/>
              </w:rPr>
            </w:pPr>
            <w:r>
              <w:rPr>
                <w:rFonts w:ascii="宋体" w:hAnsi="宋体"/>
                <w:color w:val="auto"/>
                <w:szCs w:val="21"/>
                <w:highlight w:val="none"/>
              </w:rPr>
              <w:t>电    话：</w:t>
            </w:r>
          </w:p>
        </w:tc>
        <w:tc>
          <w:tcPr>
            <w:tcW w:w="3017" w:type="dxa"/>
            <w:noWrap w:val="0"/>
            <w:vAlign w:val="top"/>
          </w:tcPr>
          <w:p>
            <w:pPr>
              <w:topLinePunct/>
              <w:spacing w:line="380" w:lineRule="exact"/>
              <w:rPr>
                <w:rFonts w:hint="eastAsia" w:ascii="宋体" w:hAnsi="宋体"/>
                <w:color w:val="auto"/>
                <w:szCs w:val="21"/>
                <w:highlight w:val="none"/>
              </w:rPr>
            </w:pPr>
            <w:r>
              <w:rPr>
                <w:rFonts w:hint="eastAsia" w:ascii="宋体" w:hAnsi="宋体"/>
                <w:color w:val="auto"/>
                <w:szCs w:val="21"/>
                <w:highlight w:val="none"/>
              </w:rPr>
              <w:t>0769-22080780-836</w:t>
            </w:r>
          </w:p>
        </w:tc>
      </w:tr>
    </w:tbl>
    <w:p>
      <w:pPr>
        <w:topLinePunct/>
        <w:spacing w:line="400" w:lineRule="exact"/>
        <w:ind w:firstLine="420" w:firstLineChars="200"/>
        <w:rPr>
          <w:rFonts w:ascii="宋体" w:hAnsi="宋体"/>
          <w:color w:val="auto"/>
          <w:highlight w:val="none"/>
        </w:rPr>
      </w:pPr>
    </w:p>
    <w:p>
      <w:pPr>
        <w:pStyle w:val="4"/>
        <w:spacing w:line="240" w:lineRule="auto"/>
        <w:rPr>
          <w:rFonts w:hint="eastAsia" w:ascii="Times New Roman" w:hAnsi="Times New Roman"/>
          <w:color w:val="auto"/>
          <w:highlight w:val="none"/>
        </w:rPr>
      </w:pPr>
      <w:bookmarkStart w:id="101" w:name="_Toc21686893"/>
      <w:bookmarkStart w:id="102" w:name="_Toc24434"/>
      <w:bookmarkStart w:id="103" w:name="_Toc17157"/>
      <w:bookmarkStart w:id="104" w:name="_Toc22525"/>
      <w:bookmarkStart w:id="105" w:name="_Toc21523435"/>
      <w:bookmarkStart w:id="106" w:name="_Toc32631"/>
      <w:bookmarkStart w:id="107" w:name="_Toc18407"/>
      <w:bookmarkStart w:id="108" w:name="_Toc10865"/>
      <w:r>
        <w:rPr>
          <w:rFonts w:hint="eastAsia" w:ascii="Times New Roman" w:hAnsi="Times New Roman"/>
          <w:color w:val="auto"/>
          <w:highlight w:val="none"/>
        </w:rPr>
        <w:t>9.异议</w:t>
      </w:r>
      <w:bookmarkEnd w:id="101"/>
      <w:bookmarkEnd w:id="102"/>
      <w:bookmarkEnd w:id="103"/>
      <w:bookmarkEnd w:id="104"/>
      <w:bookmarkEnd w:id="105"/>
      <w:bookmarkEnd w:id="106"/>
      <w:bookmarkEnd w:id="107"/>
    </w:p>
    <w:p>
      <w:pPr>
        <w:spacing w:line="440" w:lineRule="exact"/>
        <w:rPr>
          <w:rFonts w:hint="eastAsia" w:ascii="宋体" w:hAnsi="宋体"/>
          <w:b/>
          <w:color w:val="auto"/>
          <w:szCs w:val="21"/>
          <w:highlight w:val="none"/>
          <w:u w:val="none"/>
        </w:rPr>
      </w:pPr>
      <w:r>
        <w:rPr>
          <w:rFonts w:hint="eastAsia" w:ascii="宋体" w:hAnsi="宋体"/>
          <w:b/>
          <w:color w:val="auto"/>
          <w:szCs w:val="21"/>
          <w:highlight w:val="none"/>
          <w:u w:val="none"/>
        </w:rPr>
        <w:t>9.1 异议的受理机构及联系方式</w:t>
      </w:r>
    </w:p>
    <w:p>
      <w:pPr>
        <w:spacing w:line="44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受理机构：</w:t>
      </w:r>
      <w:r>
        <w:rPr>
          <w:rFonts w:hint="eastAsia" w:ascii="宋体" w:hAnsi="宋体"/>
          <w:bCs/>
          <w:color w:val="auto"/>
          <w:szCs w:val="21"/>
          <w:highlight w:val="none"/>
          <w:u w:val="single"/>
        </w:rPr>
        <w:t xml:space="preserve"> 广东普太建设咨询有限公司 </w:t>
      </w:r>
    </w:p>
    <w:p>
      <w:pPr>
        <w:spacing w:line="44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地址：</w:t>
      </w:r>
      <w:r>
        <w:rPr>
          <w:rFonts w:hint="eastAsia" w:ascii="宋体" w:hAnsi="宋体"/>
          <w:bCs/>
          <w:color w:val="auto"/>
          <w:szCs w:val="21"/>
          <w:highlight w:val="none"/>
          <w:u w:val="single"/>
        </w:rPr>
        <w:t xml:space="preserve"> 东莞市东城街道世博广场J区1203室 </w:t>
      </w:r>
    </w:p>
    <w:p>
      <w:pPr>
        <w:spacing w:line="44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邮编：</w:t>
      </w:r>
      <w:r>
        <w:rPr>
          <w:rFonts w:hint="eastAsia" w:ascii="宋体" w:hAnsi="宋体"/>
          <w:bCs/>
          <w:color w:val="auto"/>
          <w:szCs w:val="21"/>
          <w:highlight w:val="none"/>
          <w:u w:val="single"/>
        </w:rPr>
        <w:t xml:space="preserve"> </w:t>
      </w:r>
      <w:r>
        <w:rPr>
          <w:rFonts w:hint="eastAsia" w:ascii="宋体" w:hAnsi="宋体"/>
          <w:color w:val="auto"/>
          <w:szCs w:val="21"/>
          <w:highlight w:val="none"/>
          <w:u w:val="single"/>
        </w:rPr>
        <w:t>523000</w:t>
      </w:r>
      <w:r>
        <w:rPr>
          <w:rFonts w:hint="eastAsia" w:ascii="宋体" w:hAnsi="宋体"/>
          <w:bCs/>
          <w:color w:val="auto"/>
          <w:szCs w:val="21"/>
          <w:highlight w:val="none"/>
          <w:u w:val="single"/>
        </w:rPr>
        <w:t xml:space="preserve"> </w:t>
      </w:r>
    </w:p>
    <w:p>
      <w:pPr>
        <w:spacing w:line="44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联系人：</w:t>
      </w:r>
      <w:r>
        <w:rPr>
          <w:rFonts w:hint="eastAsia" w:ascii="宋体" w:hAnsi="宋体"/>
          <w:bCs/>
          <w:color w:val="auto"/>
          <w:szCs w:val="21"/>
          <w:highlight w:val="none"/>
          <w:u w:val="single"/>
        </w:rPr>
        <w:t xml:space="preserve"> 姚先生 </w:t>
      </w:r>
    </w:p>
    <w:p>
      <w:pPr>
        <w:spacing w:line="44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rPr>
        <w:t>联系电话：</w:t>
      </w:r>
      <w:r>
        <w:rPr>
          <w:rFonts w:hint="eastAsia" w:ascii="宋体" w:hAnsi="宋体"/>
          <w:bCs/>
          <w:color w:val="auto"/>
          <w:szCs w:val="21"/>
          <w:highlight w:val="none"/>
          <w:u w:val="single"/>
        </w:rPr>
        <w:t xml:space="preserve"> 15622962781 </w:t>
      </w:r>
    </w:p>
    <w:p>
      <w:pPr>
        <w:spacing w:line="440" w:lineRule="exact"/>
        <w:rPr>
          <w:rFonts w:hint="eastAsia" w:ascii="宋体" w:hAnsi="宋体"/>
          <w:b/>
          <w:color w:val="auto"/>
          <w:szCs w:val="21"/>
          <w:highlight w:val="none"/>
          <w:u w:val="single"/>
        </w:rPr>
      </w:pPr>
      <w:r>
        <w:rPr>
          <w:rFonts w:hint="eastAsia" w:ascii="宋体" w:hAnsi="宋体"/>
          <w:bCs/>
          <w:color w:val="auto"/>
          <w:szCs w:val="21"/>
          <w:highlight w:val="none"/>
        </w:rPr>
        <w:t>受理邮箱：</w:t>
      </w:r>
      <w:r>
        <w:rPr>
          <w:rFonts w:hint="eastAsia" w:ascii="宋体" w:hAnsi="宋体"/>
          <w:bCs/>
          <w:color w:val="auto"/>
          <w:szCs w:val="21"/>
          <w:highlight w:val="none"/>
          <w:u w:val="single"/>
        </w:rPr>
        <w:t xml:space="preserve"> gdptjs@126.com </w:t>
      </w:r>
      <w:r>
        <w:rPr>
          <w:rFonts w:hint="eastAsia" w:ascii="宋体" w:hAnsi="宋体" w:cs="宋体"/>
          <w:bCs/>
          <w:color w:val="auto"/>
          <w:szCs w:val="21"/>
          <w:highlight w:val="none"/>
        </w:rPr>
        <w:t>（</w:t>
      </w:r>
      <w:r>
        <w:rPr>
          <w:rFonts w:hint="eastAsia" w:ascii="宋体" w:hAnsi="宋体" w:cs="宋体"/>
          <w:color w:val="auto"/>
          <w:szCs w:val="21"/>
          <w:highlight w:val="none"/>
        </w:rPr>
        <w:t>异议提出人发送电子异议书至受理邮箱的，需在工作时间拨打“异议受理机构联系人”电话确认邮件接收情况）</w:t>
      </w:r>
    </w:p>
    <w:p>
      <w:pPr>
        <w:spacing w:line="440" w:lineRule="exact"/>
        <w:rPr>
          <w:rFonts w:hint="eastAsia" w:ascii="宋体" w:hAnsi="宋体"/>
          <w:b/>
          <w:color w:val="auto"/>
          <w:szCs w:val="21"/>
          <w:highlight w:val="none"/>
          <w:u w:val="none"/>
        </w:rPr>
      </w:pPr>
      <w:r>
        <w:rPr>
          <w:rFonts w:hint="eastAsia" w:ascii="宋体" w:hAnsi="宋体"/>
          <w:b/>
          <w:color w:val="auto"/>
          <w:szCs w:val="21"/>
          <w:highlight w:val="none"/>
          <w:u w:val="none"/>
        </w:rPr>
        <w:t>9.2 异议书的格式及要求</w:t>
      </w:r>
    </w:p>
    <w:p>
      <w:pPr>
        <w:spacing w:line="44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u w:val="single"/>
        </w:rPr>
        <w:t>异议书中应包含异议提出人名称、联系人及联系方式、异议所针对的对象、提出异议的基本事实、相关请求及主张、有效线索和相关证明材料等信息。</w:t>
      </w:r>
    </w:p>
    <w:p>
      <w:pPr>
        <w:spacing w:line="440" w:lineRule="exact"/>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u w:val="single"/>
        </w:rPr>
        <w:t>异议书必须由其法定代表人及授权代表签字并加盖单位公章；异议由其他利害关系人提出的，还需出示异议提出人与本次采购活动存在利害关系的证明文件，并附有效身份证明复印件。</w:t>
      </w:r>
    </w:p>
    <w:p>
      <w:pPr>
        <w:spacing w:line="440" w:lineRule="exact"/>
        <w:ind w:firstLine="420" w:firstLineChars="200"/>
        <w:rPr>
          <w:rFonts w:hint="eastAsia" w:ascii="宋体" w:hAnsi="宋体"/>
          <w:b/>
          <w:color w:val="auto"/>
          <w:szCs w:val="21"/>
          <w:highlight w:val="none"/>
          <w:u w:val="single"/>
        </w:rPr>
      </w:pPr>
      <w:r>
        <w:rPr>
          <w:rFonts w:hint="eastAsia" w:ascii="宋体" w:hAnsi="宋体"/>
          <w:bCs/>
          <w:color w:val="auto"/>
          <w:szCs w:val="21"/>
          <w:highlight w:val="none"/>
          <w:u w:val="single"/>
        </w:rPr>
        <w:t>本采购项目的参与者或其他利害关系人对采购项目有异议的，可以将异议书签字盖章后，连同其他附件资料以现场递交或邮寄的方式在规定时间内向受理机构提出；采用邮寄方式提出的异议，可以在规定时间内先将异议书扫描件以电子邮件方式发出，但书面异议书必须在电子邮件发出的当天同时寄出。</w:t>
      </w:r>
    </w:p>
    <w:p>
      <w:pPr>
        <w:spacing w:line="440" w:lineRule="exact"/>
        <w:rPr>
          <w:rFonts w:hint="eastAsia" w:ascii="宋体" w:hAnsi="宋体"/>
          <w:b/>
          <w:color w:val="auto"/>
          <w:szCs w:val="21"/>
          <w:highlight w:val="none"/>
          <w:u w:val="none"/>
        </w:rPr>
      </w:pPr>
      <w:r>
        <w:rPr>
          <w:rFonts w:hint="eastAsia" w:ascii="宋体" w:hAnsi="宋体"/>
          <w:b/>
          <w:color w:val="auto"/>
          <w:szCs w:val="21"/>
          <w:highlight w:val="none"/>
          <w:u w:val="none"/>
        </w:rPr>
        <w:t>9.3 异议提出的时限</w:t>
      </w:r>
    </w:p>
    <w:p>
      <w:pPr>
        <w:spacing w:line="440" w:lineRule="exact"/>
        <w:rPr>
          <w:rFonts w:hint="eastAsia" w:ascii="宋体" w:hAnsi="宋体"/>
          <w:b/>
          <w:color w:val="auto"/>
          <w:szCs w:val="21"/>
          <w:highlight w:val="none"/>
          <w:u w:val="single"/>
        </w:rPr>
      </w:pPr>
      <w:r>
        <w:rPr>
          <w:rFonts w:hint="eastAsia" w:ascii="宋体" w:hAnsi="宋体"/>
          <w:b/>
          <w:color w:val="auto"/>
          <w:szCs w:val="21"/>
          <w:highlight w:val="none"/>
          <w:u w:val="single"/>
        </w:rPr>
        <w:t>（1）对资格预审文件的内容有异议的，应当在提交资格预审文件截止时间两天前提出；</w:t>
      </w:r>
    </w:p>
    <w:p>
      <w:pPr>
        <w:spacing w:line="440" w:lineRule="exact"/>
        <w:rPr>
          <w:rFonts w:hint="eastAsia" w:ascii="宋体" w:hAnsi="宋体"/>
          <w:b/>
          <w:color w:val="auto"/>
          <w:szCs w:val="21"/>
          <w:highlight w:val="none"/>
          <w:u w:val="single"/>
        </w:rPr>
      </w:pPr>
      <w:r>
        <w:rPr>
          <w:rFonts w:hint="eastAsia" w:ascii="宋体" w:hAnsi="宋体"/>
          <w:b/>
          <w:color w:val="auto"/>
          <w:szCs w:val="21"/>
          <w:highlight w:val="none"/>
          <w:u w:val="single"/>
        </w:rPr>
        <w:t>（2）对招标文件或采购文件的内容有异议的，应当在投标截止时间十天前提出；</w:t>
      </w:r>
    </w:p>
    <w:p>
      <w:pPr>
        <w:spacing w:line="440" w:lineRule="exact"/>
        <w:rPr>
          <w:rFonts w:hint="eastAsia" w:ascii="宋体" w:hAnsi="宋体"/>
          <w:b/>
          <w:color w:val="auto"/>
          <w:szCs w:val="21"/>
          <w:highlight w:val="none"/>
          <w:u w:val="single"/>
        </w:rPr>
      </w:pPr>
      <w:r>
        <w:rPr>
          <w:rFonts w:hint="eastAsia" w:ascii="宋体" w:hAnsi="宋体"/>
          <w:b/>
          <w:color w:val="auto"/>
          <w:szCs w:val="21"/>
          <w:highlight w:val="none"/>
          <w:u w:val="single"/>
        </w:rPr>
        <w:t>（3）对开标有异议的，应当在开标现场提出；</w:t>
      </w:r>
    </w:p>
    <w:p>
      <w:pPr>
        <w:spacing w:line="440" w:lineRule="exact"/>
        <w:rPr>
          <w:rFonts w:hint="eastAsia" w:ascii="宋体" w:hAnsi="宋体"/>
          <w:b/>
          <w:color w:val="auto"/>
          <w:szCs w:val="21"/>
          <w:highlight w:val="none"/>
          <w:u w:val="single"/>
        </w:rPr>
      </w:pPr>
      <w:r>
        <w:rPr>
          <w:rFonts w:hint="eastAsia" w:ascii="宋体" w:hAnsi="宋体"/>
          <w:b/>
          <w:color w:val="auto"/>
          <w:szCs w:val="21"/>
          <w:highlight w:val="none"/>
          <w:u w:val="single"/>
        </w:rPr>
        <w:t>（4）对推荐中标结果有异议的，应当在中标候选人公示期内提出；</w:t>
      </w:r>
    </w:p>
    <w:p>
      <w:pPr>
        <w:spacing w:line="440" w:lineRule="exact"/>
        <w:rPr>
          <w:rFonts w:hint="eastAsia" w:ascii="宋体" w:hAnsi="宋体"/>
          <w:b/>
          <w:color w:val="auto"/>
          <w:szCs w:val="21"/>
          <w:highlight w:val="none"/>
          <w:u w:val="single"/>
        </w:rPr>
      </w:pPr>
      <w:r>
        <w:rPr>
          <w:rFonts w:hint="eastAsia" w:ascii="宋体" w:hAnsi="宋体"/>
          <w:b/>
          <w:color w:val="auto"/>
          <w:szCs w:val="21"/>
          <w:highlight w:val="none"/>
          <w:u w:val="single"/>
        </w:rPr>
        <w:t>（5）对招标/非招标采购活动合法合规等方面有异议的，在知道或者应当知道之日起十天内提出；</w:t>
      </w:r>
    </w:p>
    <w:p>
      <w:pPr>
        <w:spacing w:line="440" w:lineRule="exact"/>
        <w:rPr>
          <w:rFonts w:hint="eastAsia" w:ascii="宋体" w:hAnsi="宋体"/>
          <w:b/>
          <w:color w:val="auto"/>
          <w:szCs w:val="21"/>
          <w:highlight w:val="none"/>
          <w:u w:val="single"/>
        </w:rPr>
      </w:pPr>
      <w:r>
        <w:rPr>
          <w:rFonts w:hint="eastAsia" w:ascii="宋体" w:hAnsi="宋体"/>
          <w:b/>
          <w:color w:val="auto"/>
          <w:szCs w:val="21"/>
          <w:highlight w:val="none"/>
          <w:u w:val="single"/>
        </w:rPr>
        <w:t>（6）对采用单一来源采购方式公示有异议的，应在公示期内提出。</w:t>
      </w:r>
    </w:p>
    <w:p>
      <w:pPr>
        <w:spacing w:line="440" w:lineRule="exact"/>
        <w:rPr>
          <w:rFonts w:hint="eastAsia" w:ascii="宋体" w:hAnsi="宋体"/>
          <w:b/>
          <w:color w:val="auto"/>
          <w:szCs w:val="21"/>
          <w:highlight w:val="none"/>
          <w:u w:val="none"/>
        </w:rPr>
      </w:pPr>
      <w:r>
        <w:rPr>
          <w:rFonts w:hint="eastAsia" w:ascii="宋体" w:hAnsi="宋体"/>
          <w:b/>
          <w:color w:val="auto"/>
          <w:szCs w:val="21"/>
          <w:highlight w:val="none"/>
          <w:u w:val="none"/>
        </w:rPr>
        <w:t>9.4 异议不予受理的情形</w:t>
      </w:r>
    </w:p>
    <w:p>
      <w:pPr>
        <w:spacing w:line="440" w:lineRule="exact"/>
        <w:rPr>
          <w:rFonts w:hint="eastAsia" w:ascii="宋体" w:hAnsi="宋体"/>
          <w:b/>
          <w:color w:val="auto"/>
          <w:szCs w:val="21"/>
          <w:highlight w:val="none"/>
          <w:u w:val="single"/>
        </w:rPr>
      </w:pPr>
      <w:r>
        <w:rPr>
          <w:rFonts w:hint="eastAsia" w:ascii="宋体" w:hAnsi="宋体"/>
          <w:b/>
          <w:color w:val="auto"/>
          <w:szCs w:val="21"/>
          <w:highlight w:val="none"/>
          <w:u w:val="single"/>
        </w:rPr>
        <w:t>（1）异议提出人不是本采购项目参与者，或未能提供与本次投标存在利害关系证明文件的其他利害关系人；</w:t>
      </w:r>
    </w:p>
    <w:p>
      <w:pPr>
        <w:spacing w:line="440" w:lineRule="exact"/>
        <w:rPr>
          <w:rFonts w:hint="eastAsia" w:ascii="宋体" w:hAnsi="宋体"/>
          <w:b/>
          <w:color w:val="auto"/>
          <w:szCs w:val="21"/>
          <w:highlight w:val="none"/>
          <w:u w:val="single"/>
        </w:rPr>
      </w:pPr>
      <w:r>
        <w:rPr>
          <w:rFonts w:hint="eastAsia" w:ascii="宋体" w:hAnsi="宋体"/>
          <w:b/>
          <w:color w:val="auto"/>
          <w:szCs w:val="21"/>
          <w:highlight w:val="none"/>
          <w:u w:val="single"/>
        </w:rPr>
        <w:t>（2）涉及的事项不具体，且未提供有效线索，难以查证的；</w:t>
      </w:r>
    </w:p>
    <w:p>
      <w:pPr>
        <w:spacing w:line="440" w:lineRule="exact"/>
        <w:rPr>
          <w:rFonts w:hint="eastAsia" w:ascii="宋体" w:hAnsi="宋体"/>
          <w:b/>
          <w:color w:val="auto"/>
          <w:szCs w:val="21"/>
          <w:highlight w:val="none"/>
          <w:u w:val="single"/>
        </w:rPr>
      </w:pPr>
      <w:r>
        <w:rPr>
          <w:rFonts w:hint="eastAsia" w:ascii="宋体" w:hAnsi="宋体"/>
          <w:b/>
          <w:color w:val="auto"/>
          <w:szCs w:val="21"/>
          <w:highlight w:val="none"/>
          <w:u w:val="single"/>
        </w:rPr>
        <w:t>（3）提供的资料未提供异议提出人的真实名称、有效联系方式、法定代表人签字和加盖单位公章的；</w:t>
      </w:r>
    </w:p>
    <w:p>
      <w:pPr>
        <w:spacing w:line="440" w:lineRule="exact"/>
        <w:rPr>
          <w:rFonts w:hint="eastAsia" w:ascii="宋体" w:hAnsi="宋体"/>
          <w:b/>
          <w:color w:val="auto"/>
          <w:szCs w:val="21"/>
          <w:highlight w:val="none"/>
          <w:u w:val="single"/>
        </w:rPr>
      </w:pPr>
      <w:r>
        <w:rPr>
          <w:rFonts w:hint="eastAsia" w:ascii="宋体" w:hAnsi="宋体"/>
          <w:b/>
          <w:color w:val="auto"/>
          <w:szCs w:val="21"/>
          <w:highlight w:val="none"/>
          <w:u w:val="single"/>
        </w:rPr>
        <w:t>（4）超过异议提出时效的（以收到异议书日期为准；采用邮寄方式的，以邮戳日期为准）；</w:t>
      </w:r>
    </w:p>
    <w:p>
      <w:pPr>
        <w:spacing w:line="440" w:lineRule="exact"/>
        <w:rPr>
          <w:rFonts w:hint="eastAsia" w:ascii="宋体" w:hAnsi="宋体"/>
          <w:b/>
          <w:color w:val="auto"/>
          <w:szCs w:val="21"/>
          <w:highlight w:val="none"/>
          <w:u w:val="single"/>
        </w:rPr>
      </w:pPr>
      <w:r>
        <w:rPr>
          <w:rFonts w:hint="eastAsia" w:ascii="宋体" w:hAnsi="宋体"/>
          <w:b/>
          <w:color w:val="auto"/>
          <w:szCs w:val="21"/>
          <w:highlight w:val="none"/>
          <w:u w:val="single"/>
        </w:rPr>
        <w:t>（5）已经作出处理决定，并且异议提出人没有提出新的证据的；</w:t>
      </w:r>
    </w:p>
    <w:p>
      <w:pPr>
        <w:spacing w:line="440" w:lineRule="exact"/>
        <w:rPr>
          <w:rFonts w:hint="eastAsia" w:ascii="宋体" w:hAnsi="宋体"/>
          <w:b/>
          <w:color w:val="auto"/>
          <w:szCs w:val="21"/>
          <w:highlight w:val="none"/>
          <w:u w:val="single"/>
        </w:rPr>
      </w:pPr>
      <w:r>
        <w:rPr>
          <w:rFonts w:hint="eastAsia" w:ascii="宋体" w:hAnsi="宋体"/>
          <w:b/>
          <w:color w:val="auto"/>
          <w:szCs w:val="21"/>
          <w:highlight w:val="none"/>
          <w:u w:val="single"/>
        </w:rPr>
        <w:t>（6）涉及招标评标或非招标采购过程的具体细节、其他投标人的商业秘密或其他投标人投标文件的具体内容但未能说明内容真实性和来源合法性的；</w:t>
      </w:r>
    </w:p>
    <w:p>
      <w:pPr>
        <w:spacing w:line="440" w:lineRule="exact"/>
        <w:rPr>
          <w:rFonts w:hint="eastAsia" w:ascii="宋体" w:hAnsi="宋体"/>
          <w:b/>
          <w:color w:val="auto"/>
          <w:szCs w:val="21"/>
          <w:highlight w:val="none"/>
          <w:u w:val="single"/>
        </w:rPr>
      </w:pPr>
      <w:r>
        <w:rPr>
          <w:rFonts w:hint="eastAsia" w:ascii="宋体" w:hAnsi="宋体"/>
          <w:b/>
          <w:color w:val="auto"/>
          <w:szCs w:val="21"/>
          <w:highlight w:val="none"/>
          <w:u w:val="single"/>
        </w:rPr>
        <w:t>（7）缺乏事实根据或者法律依据的，或者投诉人捏造事实、伪造材料或者以非法手段取得证明材料的异议。</w:t>
      </w:r>
    </w:p>
    <w:p>
      <w:pPr>
        <w:spacing w:line="440" w:lineRule="exact"/>
        <w:rPr>
          <w:rFonts w:hint="eastAsia" w:ascii="宋体" w:hAnsi="宋体"/>
          <w:b/>
          <w:color w:val="auto"/>
          <w:szCs w:val="21"/>
          <w:highlight w:val="none"/>
          <w:u w:val="none"/>
        </w:rPr>
      </w:pPr>
      <w:r>
        <w:rPr>
          <w:rFonts w:hint="eastAsia" w:ascii="宋体" w:hAnsi="宋体"/>
          <w:b/>
          <w:color w:val="auto"/>
          <w:szCs w:val="21"/>
          <w:highlight w:val="none"/>
          <w:u w:val="none"/>
        </w:rPr>
        <w:t>9.5 恶意行为的处罚</w:t>
      </w:r>
    </w:p>
    <w:p>
      <w:pPr>
        <w:spacing w:line="440" w:lineRule="exact"/>
        <w:rPr>
          <w:rFonts w:hint="eastAsia" w:ascii="宋体" w:hAnsi="宋体"/>
          <w:b/>
          <w:color w:val="auto"/>
          <w:szCs w:val="21"/>
          <w:highlight w:val="none"/>
          <w:u w:val="single"/>
        </w:rPr>
      </w:pPr>
      <w:r>
        <w:rPr>
          <w:rFonts w:hint="eastAsia" w:ascii="宋体" w:hAnsi="宋体"/>
          <w:b/>
          <w:color w:val="auto"/>
          <w:szCs w:val="21"/>
          <w:highlight w:val="none"/>
          <w:u w:val="single"/>
        </w:rPr>
        <w:t>异议提出人不得以投诉为名排挤竞争对手，不得进行虚假、恶意投诉，阻碍招标/非招标采购活动的正常进行。经核查发现所提出的异议存在诬告、故意扰乱采购秩序等恶意行为的，将按照《中国南方电网有限责任公司供货商扣分处罚实施细则》进行处罚。</w:t>
      </w:r>
    </w:p>
    <w:p>
      <w:pPr>
        <w:pStyle w:val="4"/>
        <w:spacing w:line="240" w:lineRule="auto"/>
        <w:rPr>
          <w:rFonts w:hint="eastAsia" w:ascii="Times New Roman" w:hAnsi="Times New Roman"/>
          <w:color w:val="auto"/>
          <w:highlight w:val="none"/>
        </w:rPr>
      </w:pPr>
      <w:bookmarkStart w:id="109" w:name="_Toc21686894"/>
      <w:bookmarkStart w:id="110" w:name="_Toc12872"/>
      <w:bookmarkStart w:id="111" w:name="_Toc21523436"/>
      <w:bookmarkStart w:id="112" w:name="_Toc26669"/>
      <w:bookmarkStart w:id="113" w:name="_Toc6078"/>
      <w:bookmarkStart w:id="114" w:name="_Toc10988"/>
      <w:bookmarkStart w:id="115" w:name="_Toc15873"/>
      <w:r>
        <w:rPr>
          <w:rFonts w:hint="eastAsia" w:ascii="Times New Roman" w:hAnsi="Times New Roman"/>
          <w:color w:val="auto"/>
          <w:highlight w:val="none"/>
        </w:rPr>
        <w:t>10. 监督与投诉</w:t>
      </w:r>
      <w:bookmarkEnd w:id="109"/>
      <w:bookmarkEnd w:id="110"/>
      <w:bookmarkEnd w:id="111"/>
      <w:bookmarkEnd w:id="112"/>
      <w:bookmarkEnd w:id="113"/>
      <w:bookmarkEnd w:id="114"/>
      <w:bookmarkEnd w:id="115"/>
    </w:p>
    <w:p>
      <w:pPr>
        <w:spacing w:line="440" w:lineRule="exact"/>
        <w:ind w:firstLine="420" w:firstLineChars="200"/>
        <w:rPr>
          <w:rFonts w:hint="eastAsia" w:ascii="宋体" w:hAnsi="宋体"/>
          <w:bCs/>
          <w:color w:val="auto"/>
          <w:szCs w:val="21"/>
          <w:highlight w:val="none"/>
        </w:rPr>
      </w:pPr>
      <w:bookmarkStart w:id="116" w:name="_Toc23707"/>
      <w:bookmarkStart w:id="117" w:name="_Toc28338"/>
      <w:bookmarkStart w:id="118" w:name="_Toc11041"/>
      <w:bookmarkStart w:id="119" w:name="_Toc21686895"/>
      <w:bookmarkStart w:id="120" w:name="_Toc21523437"/>
      <w:bookmarkStart w:id="121" w:name="_Toc16758"/>
      <w:r>
        <w:rPr>
          <w:rFonts w:hint="eastAsia" w:ascii="宋体" w:hAnsi="宋体"/>
          <w:bCs/>
          <w:color w:val="auto"/>
          <w:szCs w:val="21"/>
          <w:highlight w:val="none"/>
        </w:rPr>
        <w:t>投诉单位：</w:t>
      </w:r>
      <w:r>
        <w:rPr>
          <w:rFonts w:hint="eastAsia" w:ascii="宋体" w:hAnsi="宋体"/>
          <w:bCs/>
          <w:color w:val="auto"/>
          <w:szCs w:val="21"/>
          <w:highlight w:val="none"/>
          <w:u w:val="single"/>
        </w:rPr>
        <w:t xml:space="preserve">广东电网有限责任公司东莞供电局 </w:t>
      </w:r>
    </w:p>
    <w:p>
      <w:pPr>
        <w:spacing w:line="44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联系电话：</w:t>
      </w:r>
      <w:r>
        <w:rPr>
          <w:rFonts w:hint="eastAsia" w:ascii="宋体" w:hAnsi="宋体"/>
          <w:bCs/>
          <w:color w:val="auto"/>
          <w:szCs w:val="21"/>
          <w:highlight w:val="none"/>
          <w:u w:val="single"/>
        </w:rPr>
        <w:t xml:space="preserve"> 0769-22829635 </w:t>
      </w:r>
    </w:p>
    <w:p>
      <w:pPr>
        <w:spacing w:line="440" w:lineRule="exact"/>
        <w:ind w:firstLine="420" w:firstLineChars="200"/>
        <w:rPr>
          <w:rFonts w:hint="eastAsia" w:ascii="宋体" w:hAnsi="宋体"/>
          <w:b/>
          <w:color w:val="auto"/>
          <w:szCs w:val="21"/>
          <w:highlight w:val="none"/>
          <w:u w:val="single"/>
        </w:rPr>
      </w:pPr>
      <w:r>
        <w:rPr>
          <w:rFonts w:hint="eastAsia" w:ascii="宋体" w:hAnsi="宋体"/>
          <w:bCs/>
          <w:color w:val="auto"/>
          <w:szCs w:val="21"/>
          <w:highlight w:val="none"/>
        </w:rPr>
        <w:t>地址：</w:t>
      </w:r>
      <w:r>
        <w:rPr>
          <w:rFonts w:hint="eastAsia" w:ascii="宋体" w:hAnsi="宋体"/>
          <w:bCs/>
          <w:color w:val="auto"/>
          <w:szCs w:val="21"/>
          <w:highlight w:val="none"/>
          <w:u w:val="single"/>
        </w:rPr>
        <w:t xml:space="preserve">东莞市东城路239号 </w:t>
      </w:r>
    </w:p>
    <w:p>
      <w:pPr>
        <w:pStyle w:val="4"/>
        <w:spacing w:line="240" w:lineRule="auto"/>
        <w:rPr>
          <w:rFonts w:hint="eastAsia" w:ascii="Times New Roman" w:hAnsi="Times New Roman"/>
          <w:color w:val="auto"/>
          <w:highlight w:val="none"/>
        </w:rPr>
      </w:pPr>
      <w:bookmarkStart w:id="122" w:name="_Toc7280"/>
      <w:r>
        <w:rPr>
          <w:rFonts w:hint="eastAsia" w:ascii="Times New Roman" w:hAnsi="Times New Roman"/>
          <w:color w:val="auto"/>
          <w:highlight w:val="none"/>
        </w:rPr>
        <w:t>11. 公告附件</w:t>
      </w:r>
      <w:bookmarkEnd w:id="116"/>
      <w:bookmarkEnd w:id="117"/>
      <w:bookmarkEnd w:id="118"/>
      <w:bookmarkEnd w:id="119"/>
      <w:bookmarkEnd w:id="120"/>
      <w:bookmarkEnd w:id="121"/>
      <w:bookmarkEnd w:id="122"/>
    </w:p>
    <w:p>
      <w:pPr>
        <w:spacing w:line="360" w:lineRule="auto"/>
        <w:ind w:firstLine="420" w:firstLineChars="200"/>
        <w:rPr>
          <w:rFonts w:hint="eastAsia"/>
          <w:color w:val="auto"/>
          <w:highlight w:val="none"/>
        </w:rPr>
      </w:pPr>
      <w:r>
        <w:rPr>
          <w:rFonts w:hint="eastAsia" w:ascii="宋体" w:hAnsi="宋体"/>
          <w:bCs/>
          <w:color w:val="auto"/>
          <w:szCs w:val="21"/>
          <w:highlight w:val="none"/>
        </w:rPr>
        <w:t>（1）发售招标文件登记表</w:t>
      </w:r>
    </w:p>
    <w:p>
      <w:pPr>
        <w:pStyle w:val="2"/>
        <w:ind w:firstLine="420" w:firstLineChars="200"/>
        <w:rPr>
          <w:rFonts w:hint="eastAsia" w:ascii="宋体" w:hAnsi="宋体"/>
          <w:bCs/>
          <w:color w:val="auto"/>
          <w:szCs w:val="21"/>
          <w:highlight w:val="none"/>
        </w:rPr>
      </w:pPr>
      <w:r>
        <w:rPr>
          <w:rFonts w:hint="eastAsia" w:ascii="宋体" w:hAnsi="宋体"/>
          <w:bCs/>
          <w:color w:val="auto"/>
          <w:szCs w:val="21"/>
          <w:highlight w:val="none"/>
        </w:rPr>
        <w:t>（2）异议书（模板）</w:t>
      </w:r>
    </w:p>
    <w:p>
      <w:pPr>
        <w:pStyle w:val="2"/>
        <w:ind w:firstLine="420" w:firstLineChars="200"/>
        <w:rPr>
          <w:rFonts w:hint="eastAsia" w:ascii="宋体" w:hAnsi="宋体"/>
          <w:bCs/>
          <w:color w:val="auto"/>
          <w:szCs w:val="21"/>
          <w:highlight w:val="none"/>
        </w:rPr>
      </w:pPr>
      <w:r>
        <w:rPr>
          <w:rFonts w:hint="eastAsia" w:ascii="宋体" w:hAnsi="宋体"/>
          <w:bCs/>
          <w:color w:val="auto"/>
          <w:szCs w:val="21"/>
          <w:highlight w:val="none"/>
        </w:rPr>
        <w:t>（3）投诉书（格式）</w:t>
      </w:r>
    </w:p>
    <w:p>
      <w:pPr>
        <w:widowControl/>
        <w:spacing w:line="440" w:lineRule="exact"/>
        <w:rPr>
          <w:rFonts w:hint="eastAsia" w:ascii="宋体" w:hAnsi="宋体"/>
          <w:b/>
          <w:color w:val="auto"/>
          <w:highlight w:val="none"/>
        </w:rPr>
      </w:pPr>
    </w:p>
    <w:p>
      <w:pPr>
        <w:spacing w:line="440" w:lineRule="exact"/>
        <w:rPr>
          <w:rFonts w:ascii="宋体" w:hAnsi="宋体"/>
          <w:color w:val="auto"/>
          <w:szCs w:val="21"/>
          <w:highlight w:val="none"/>
        </w:rPr>
      </w:pPr>
      <w:r>
        <w:rPr>
          <w:rFonts w:ascii="宋体" w:hAnsi="宋体"/>
          <w:color w:val="auto"/>
          <w:szCs w:val="21"/>
          <w:highlight w:val="none"/>
        </w:rPr>
        <w:t>　　　　　　　　　　　　　　　　　　　　　　　　　</w:t>
      </w:r>
      <w:r>
        <w:rPr>
          <w:rFonts w:hint="eastAsia" w:ascii="宋体" w:hAnsi="宋体"/>
          <w:color w:val="auto"/>
          <w:szCs w:val="21"/>
          <w:highlight w:val="none"/>
        </w:rPr>
        <w:t xml:space="preserve">       </w:t>
      </w:r>
    </w:p>
    <w:bookmarkEnd w:id="108"/>
    <w:p>
      <w:pPr>
        <w:spacing w:line="240" w:lineRule="auto"/>
        <w:jc w:val="right"/>
        <w:rPr>
          <w:rFonts w:hint="eastAsia" w:ascii="宋体" w:hAnsi="宋体"/>
          <w:color w:val="auto"/>
          <w:szCs w:val="21"/>
          <w:highlight w:val="none"/>
          <w:u w:val="single"/>
        </w:rPr>
      </w:pPr>
      <w:bookmarkStart w:id="123" w:name="_Toc21662"/>
      <w:r>
        <w:rPr>
          <w:rFonts w:hint="eastAsia" w:ascii="宋体" w:hAnsi="宋体"/>
          <w:color w:val="auto"/>
          <w:szCs w:val="21"/>
          <w:highlight w:val="none"/>
        </w:rPr>
        <w:t>招标人</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盖章</w:t>
      </w:r>
      <w:r>
        <w:rPr>
          <w:rFonts w:hint="eastAsia" w:ascii="宋体" w:hAnsi="宋体"/>
          <w:color w:val="auto"/>
          <w:szCs w:val="21"/>
          <w:highlight w:val="none"/>
          <w:lang w:eastAsia="zh-CN"/>
        </w:rPr>
        <w:t>）</w:t>
      </w:r>
      <w:r>
        <w:rPr>
          <w:rFonts w:hint="eastAsia" w:ascii="宋体" w:hAnsi="宋体"/>
          <w:color w:val="auto"/>
          <w:szCs w:val="21"/>
          <w:highlight w:val="none"/>
        </w:rPr>
        <w:t>：</w:t>
      </w:r>
      <w:r>
        <w:rPr>
          <w:rFonts w:hint="eastAsia" w:ascii="宋体" w:hAnsi="宋体"/>
          <w:color w:val="auto"/>
          <w:szCs w:val="21"/>
          <w:highlight w:val="none"/>
          <w:u w:val="single"/>
        </w:rPr>
        <w:t>东莞松山湖高新技术产业开发区管理委员会</w:t>
      </w:r>
    </w:p>
    <w:p>
      <w:pPr>
        <w:spacing w:line="240" w:lineRule="auto"/>
        <w:ind w:firstLine="5250" w:firstLineChars="2500"/>
        <w:jc w:val="both"/>
        <w:rPr>
          <w:rFonts w:hint="eastAsia" w:ascii="宋体" w:hAnsi="宋体"/>
          <w:color w:val="auto"/>
          <w:szCs w:val="21"/>
          <w:highlight w:val="none"/>
          <w:lang w:val="en-US" w:eastAsia="zh-CN"/>
        </w:rPr>
      </w:pPr>
    </w:p>
    <w:p>
      <w:pPr>
        <w:spacing w:line="240" w:lineRule="auto"/>
        <w:ind w:firstLine="2940" w:firstLineChars="1400"/>
        <w:jc w:val="both"/>
        <w:rPr>
          <w:rFonts w:hint="eastAsia" w:ascii="宋体" w:hAnsi="宋体"/>
          <w:color w:val="auto"/>
          <w:szCs w:val="21"/>
          <w:highlight w:val="none"/>
        </w:rPr>
      </w:pPr>
      <w:r>
        <w:rPr>
          <w:rFonts w:hint="eastAsia" w:ascii="宋体" w:hAnsi="宋体"/>
          <w:color w:val="auto"/>
          <w:szCs w:val="21"/>
          <w:highlight w:val="none"/>
          <w:lang w:val="en-US" w:eastAsia="zh-CN"/>
        </w:rPr>
        <w:t>招标人授权的项目负责人（签名）：</w:t>
      </w:r>
      <w:r>
        <w:rPr>
          <w:rFonts w:hint="eastAsia" w:ascii="宋体" w:hAnsi="宋体"/>
          <w:color w:val="auto"/>
          <w:szCs w:val="21"/>
          <w:highlight w:val="none"/>
          <w:u w:val="single"/>
        </w:rPr>
        <w:t>黄杏瑶</w:t>
      </w:r>
      <w:r>
        <w:rPr>
          <w:rFonts w:hint="eastAsia" w:ascii="宋体" w:hAnsi="宋体"/>
          <w:color w:val="auto"/>
          <w:szCs w:val="21"/>
          <w:highlight w:val="none"/>
          <w:u w:val="single"/>
          <w:lang w:val="en-US" w:eastAsia="zh-CN"/>
        </w:rPr>
        <w:t xml:space="preserve"> </w:t>
      </w:r>
    </w:p>
    <w:p>
      <w:pPr>
        <w:spacing w:line="400" w:lineRule="exact"/>
        <w:jc w:val="right"/>
        <w:rPr>
          <w:rFonts w:hint="eastAsia" w:ascii="宋体" w:hAnsi="宋体"/>
          <w:color w:val="auto"/>
          <w:szCs w:val="21"/>
          <w:highlight w:val="none"/>
        </w:rPr>
      </w:pPr>
    </w:p>
    <w:p>
      <w:pPr>
        <w:spacing w:line="400" w:lineRule="exact"/>
        <w:jc w:val="right"/>
        <w:rPr>
          <w:rFonts w:hint="eastAsia" w:ascii="宋体" w:hAnsi="宋体"/>
          <w:color w:val="auto"/>
          <w:szCs w:val="21"/>
          <w:highlight w:val="none"/>
        </w:rPr>
      </w:pPr>
    </w:p>
    <w:p>
      <w:pPr>
        <w:pStyle w:val="2"/>
        <w:rPr>
          <w:rFonts w:hint="eastAsia" w:ascii="宋体" w:hAnsi="宋体"/>
          <w:color w:val="auto"/>
          <w:szCs w:val="21"/>
          <w:highlight w:val="none"/>
        </w:rPr>
      </w:pPr>
    </w:p>
    <w:p>
      <w:pPr>
        <w:rPr>
          <w:rFonts w:hint="eastAsia"/>
          <w:color w:val="auto"/>
          <w:highlight w:val="none"/>
        </w:rPr>
      </w:pPr>
    </w:p>
    <w:p>
      <w:pPr>
        <w:spacing w:line="360" w:lineRule="auto"/>
        <w:jc w:val="center"/>
        <w:rPr>
          <w:rFonts w:hint="eastAsia" w:ascii="宋体" w:hAnsi="宋体"/>
          <w:color w:val="auto"/>
          <w:szCs w:val="21"/>
          <w:highlight w:val="none"/>
          <w:u w:val="single"/>
        </w:rPr>
      </w:pPr>
      <w:r>
        <w:rPr>
          <w:rFonts w:hint="eastAsia" w:ascii="宋体" w:hAnsi="宋体"/>
          <w:color w:val="auto"/>
          <w:szCs w:val="21"/>
          <w:highlight w:val="none"/>
          <w:lang w:val="en-US" w:eastAsia="zh-CN"/>
        </w:rPr>
        <w:t xml:space="preserve">                        招标代理（盖章）</w:t>
      </w:r>
      <w:r>
        <w:rPr>
          <w:rFonts w:hint="eastAsia" w:ascii="宋体" w:hAnsi="宋体"/>
          <w:color w:val="auto"/>
          <w:szCs w:val="21"/>
          <w:highlight w:val="none"/>
        </w:rPr>
        <w:t>：</w:t>
      </w:r>
      <w:r>
        <w:rPr>
          <w:rFonts w:hint="eastAsia" w:ascii="宋体" w:hAnsi="宋体"/>
          <w:color w:val="auto"/>
          <w:szCs w:val="21"/>
          <w:highlight w:val="none"/>
          <w:u w:val="single"/>
        </w:rPr>
        <w:t>广东普太建设咨询有限公司　</w:t>
      </w:r>
    </w:p>
    <w:p>
      <w:pPr>
        <w:spacing w:line="360" w:lineRule="auto"/>
        <w:jc w:val="center"/>
        <w:rPr>
          <w:rFonts w:hint="eastAsia" w:ascii="宋体" w:hAnsi="宋体"/>
          <w:color w:val="auto"/>
          <w:szCs w:val="21"/>
          <w:highlight w:val="none"/>
        </w:rPr>
      </w:pPr>
      <w:r>
        <w:rPr>
          <w:rFonts w:hint="eastAsia" w:ascii="宋体" w:hAnsi="宋体"/>
          <w:color w:val="auto"/>
          <w:szCs w:val="21"/>
          <w:highlight w:val="none"/>
          <w:lang w:val="en-US" w:eastAsia="zh-CN"/>
        </w:rPr>
        <w:t xml:space="preserve">                   招标代理机构授权的项目负责人（签名）：</w:t>
      </w:r>
      <w:r>
        <w:rPr>
          <w:rFonts w:hint="eastAsia" w:ascii="宋体" w:hAnsi="宋体"/>
          <w:color w:val="auto"/>
          <w:szCs w:val="21"/>
          <w:highlight w:val="none"/>
          <w:u w:val="single"/>
          <w:lang w:val="en-US" w:eastAsia="zh-CN"/>
        </w:rPr>
        <w:t xml:space="preserve"> 姚浩轩  </w:t>
      </w:r>
      <w:r>
        <w:rPr>
          <w:rFonts w:hint="eastAsia" w:ascii="宋体" w:hAnsi="宋体"/>
          <w:color w:val="auto"/>
          <w:szCs w:val="21"/>
          <w:highlight w:val="none"/>
        </w:rPr>
        <w:t>　　　</w:t>
      </w:r>
    </w:p>
    <w:p>
      <w:pPr>
        <w:rPr>
          <w:rFonts w:hint="eastAsia" w:ascii="宋体" w:hAnsi="宋体"/>
          <w:color w:val="auto"/>
          <w:szCs w:val="21"/>
          <w:highlight w:val="none"/>
        </w:rPr>
      </w:pPr>
      <w:r>
        <w:rPr>
          <w:rFonts w:hint="eastAsia" w:ascii="宋体" w:hAnsi="宋体"/>
          <w:color w:val="auto"/>
          <w:szCs w:val="21"/>
          <w:highlight w:val="none"/>
        </w:rPr>
        <w:t xml:space="preserve">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 xml:space="preserve"> </w:t>
      </w:r>
    </w:p>
    <w:p>
      <w:pPr>
        <w:ind w:firstLine="5670" w:firstLineChars="2700"/>
        <w:rPr>
          <w:rFonts w:hint="eastAsia" w:ascii="宋体" w:hAnsi="宋体"/>
          <w:color w:val="auto"/>
          <w:szCs w:val="21"/>
          <w:highlight w:val="none"/>
        </w:rPr>
      </w:pPr>
      <w:r>
        <w:rPr>
          <w:rFonts w:hint="eastAsia" w:ascii="宋体" w:hAnsi="宋体"/>
          <w:color w:val="auto"/>
          <w:szCs w:val="21"/>
          <w:highlight w:val="none"/>
        </w:rPr>
        <w:t xml:space="preserve"> 20</w:t>
      </w:r>
      <w:r>
        <w:rPr>
          <w:rFonts w:hint="eastAsia" w:ascii="宋体" w:hAnsi="宋体"/>
          <w:color w:val="auto"/>
          <w:szCs w:val="21"/>
          <w:highlight w:val="none"/>
          <w:lang w:val="en-US" w:eastAsia="zh-CN"/>
        </w:rPr>
        <w:t>23</w:t>
      </w:r>
      <w:r>
        <w:rPr>
          <w:rFonts w:hint="eastAsia" w:ascii="宋体" w:hAnsi="宋体"/>
          <w:color w:val="auto"/>
          <w:szCs w:val="21"/>
          <w:highlight w:val="none"/>
        </w:rPr>
        <w:t>年</w:t>
      </w:r>
      <w:r>
        <w:rPr>
          <w:rFonts w:hint="eastAsia" w:ascii="宋体" w:hAnsi="宋体"/>
          <w:color w:val="auto"/>
          <w:szCs w:val="21"/>
          <w:highlight w:val="none"/>
          <w:lang w:val="en-US" w:eastAsia="zh-CN"/>
        </w:rPr>
        <w:t>7</w:t>
      </w:r>
      <w:r>
        <w:rPr>
          <w:rFonts w:hint="eastAsia" w:ascii="宋体" w:hAnsi="宋体"/>
          <w:color w:val="auto"/>
          <w:szCs w:val="21"/>
          <w:highlight w:val="none"/>
        </w:rPr>
        <w:t xml:space="preserve"> 月     日</w:t>
      </w:r>
    </w:p>
    <w:p>
      <w:pPr>
        <w:bidi w:val="0"/>
        <w:rPr>
          <w:rFonts w:hint="eastAsia"/>
          <w:color w:val="auto"/>
          <w:kern w:val="2"/>
          <w:sz w:val="21"/>
          <w:szCs w:val="24"/>
          <w:highlight w:val="none"/>
          <w:lang w:val="en-US" w:eastAsia="zh-CN" w:bidi="ar-SA"/>
        </w:rPr>
      </w:pPr>
    </w:p>
    <w:p>
      <w:pPr>
        <w:bidi w:val="0"/>
        <w:rPr>
          <w:rFonts w:hint="eastAsia"/>
          <w:color w:val="auto"/>
          <w:highlight w:val="none"/>
          <w:lang w:val="en-US" w:eastAsia="zh-CN"/>
        </w:rPr>
      </w:pPr>
    </w:p>
    <w:p>
      <w:pPr>
        <w:tabs>
          <w:tab w:val="left" w:pos="910"/>
        </w:tabs>
        <w:bidi w:val="0"/>
        <w:jc w:val="left"/>
        <w:rPr>
          <w:rFonts w:hint="eastAsia"/>
          <w:color w:val="auto"/>
          <w:highlight w:val="none"/>
          <w:lang w:val="en-US" w:eastAsia="zh-CN"/>
        </w:rPr>
      </w:pPr>
      <w:r>
        <w:rPr>
          <w:rFonts w:hint="eastAsia"/>
          <w:color w:val="auto"/>
          <w:highlight w:val="none"/>
          <w:lang w:val="en-US" w:eastAsia="zh-CN"/>
        </w:rPr>
        <w:tab/>
      </w:r>
    </w:p>
    <w:p>
      <w:pPr>
        <w:tabs>
          <w:tab w:val="left" w:pos="910"/>
        </w:tabs>
        <w:bidi w:val="0"/>
        <w:jc w:val="left"/>
        <w:rPr>
          <w:rFonts w:hint="eastAsia"/>
          <w:color w:val="auto"/>
          <w:highlight w:val="none"/>
          <w:lang w:val="en-US" w:eastAsia="zh-CN"/>
        </w:rPr>
      </w:pPr>
    </w:p>
    <w:p>
      <w:pPr>
        <w:tabs>
          <w:tab w:val="left" w:pos="910"/>
        </w:tabs>
        <w:bidi w:val="0"/>
        <w:jc w:val="left"/>
        <w:rPr>
          <w:rFonts w:hint="default"/>
          <w:color w:val="auto"/>
          <w:highlight w:val="none"/>
          <w:u w:val="single"/>
          <w:lang w:val="en-US" w:eastAsia="zh-CN"/>
        </w:rPr>
      </w:pPr>
      <w:r>
        <w:rPr>
          <w:rFonts w:hint="eastAsia"/>
          <w:color w:val="auto"/>
          <w:highlight w:val="none"/>
          <w:lang w:val="en-US" w:eastAsia="zh-CN"/>
        </w:rPr>
        <w:t>核备单位（盖章）：</w:t>
      </w:r>
      <w:r>
        <w:rPr>
          <w:rFonts w:hint="eastAsia"/>
          <w:color w:val="auto"/>
          <w:highlight w:val="none"/>
          <w:u w:val="single"/>
          <w:lang w:val="en-US" w:eastAsia="zh-CN"/>
        </w:rPr>
        <w:t>广东电网有限责任公司东莞供电局</w:t>
      </w:r>
    </w:p>
    <w:p>
      <w:pPr>
        <w:pStyle w:val="3"/>
        <w:jc w:val="center"/>
        <w:rPr>
          <w:rFonts w:hint="eastAsia"/>
          <w:color w:val="auto"/>
          <w:highlight w:val="none"/>
        </w:rPr>
      </w:pPr>
    </w:p>
    <w:p>
      <w:pPr>
        <w:rPr>
          <w:rFonts w:hint="eastAsia"/>
        </w:rPr>
      </w:pPr>
    </w:p>
    <w:p>
      <w:pPr>
        <w:rPr>
          <w:rFonts w:hint="eastAsia"/>
          <w:color w:val="auto"/>
          <w:highlight w:val="none"/>
        </w:rPr>
      </w:pPr>
    </w:p>
    <w:p>
      <w:pPr>
        <w:pStyle w:val="3"/>
        <w:ind w:firstLine="2650" w:firstLineChars="600"/>
        <w:jc w:val="both"/>
        <w:rPr>
          <w:rFonts w:hint="eastAsia" w:ascii="Times New Roman" w:hAnsi="Times New Roman"/>
          <w:color w:val="auto"/>
          <w:highlight w:val="none"/>
        </w:rPr>
      </w:pPr>
      <w:bookmarkStart w:id="124" w:name="_Toc25299"/>
      <w:r>
        <w:rPr>
          <w:rFonts w:hint="eastAsia"/>
          <w:color w:val="auto"/>
          <w:highlight w:val="none"/>
        </w:rPr>
        <w:t>第二章 投标人须知</w:t>
      </w:r>
    </w:p>
    <w:p>
      <w:pPr>
        <w:pStyle w:val="4"/>
        <w:rPr>
          <w:rFonts w:ascii="Times New Roman" w:hAnsi="Times New Roman"/>
          <w:color w:val="auto"/>
          <w:highlight w:val="none"/>
        </w:rPr>
      </w:pPr>
      <w:r>
        <w:rPr>
          <w:rFonts w:hint="eastAsia" w:ascii="Times New Roman" w:hAnsi="Times New Roman"/>
          <w:color w:val="auto"/>
          <w:highlight w:val="none"/>
        </w:rPr>
        <w:t>投标人须知前附表</w:t>
      </w:r>
      <w:bookmarkEnd w:id="124"/>
    </w:p>
    <w:p>
      <w:pPr>
        <w:pStyle w:val="2"/>
        <w:rPr>
          <w:rFonts w:hint="eastAsia"/>
        </w:rPr>
      </w:pPr>
    </w:p>
    <w:bookmarkEnd w:id="123"/>
    <w:tbl>
      <w:tblPr>
        <w:tblStyle w:val="43"/>
        <w:tblW w:w="9322" w:type="dxa"/>
        <w:tblInd w:w="0" w:type="dxa"/>
        <w:tblLayout w:type="fixed"/>
        <w:tblCellMar>
          <w:top w:w="0" w:type="dxa"/>
          <w:left w:w="108" w:type="dxa"/>
          <w:bottom w:w="0" w:type="dxa"/>
          <w:right w:w="108" w:type="dxa"/>
        </w:tblCellMar>
      </w:tblPr>
      <w:tblGrid>
        <w:gridCol w:w="1165"/>
        <w:gridCol w:w="2488"/>
        <w:gridCol w:w="5669"/>
      </w:tblGrid>
      <w:tr>
        <w:tblPrEx>
          <w:tblCellMar>
            <w:top w:w="0" w:type="dxa"/>
            <w:left w:w="108" w:type="dxa"/>
            <w:bottom w:w="0" w:type="dxa"/>
            <w:right w:w="108" w:type="dxa"/>
          </w:tblCellMar>
        </w:tblPrEx>
        <w:trPr>
          <w:tblHeader/>
        </w:trPr>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b/>
                <w:color w:val="auto"/>
                <w:szCs w:val="21"/>
                <w:highlight w:val="none"/>
              </w:rPr>
            </w:pPr>
            <w:r>
              <w:rPr>
                <w:rFonts w:ascii="宋体" w:hAnsi="宋体"/>
                <w:b/>
                <w:color w:val="auto"/>
                <w:szCs w:val="21"/>
                <w:highlight w:val="none"/>
              </w:rPr>
              <w:t>条款号</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b/>
                <w:color w:val="auto"/>
                <w:szCs w:val="21"/>
                <w:highlight w:val="none"/>
              </w:rPr>
            </w:pPr>
            <w:r>
              <w:rPr>
                <w:rFonts w:ascii="宋体" w:hAnsi="宋体"/>
                <w:b/>
                <w:color w:val="auto"/>
                <w:szCs w:val="21"/>
                <w:highlight w:val="none"/>
              </w:rPr>
              <w:t>条款名称</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b/>
                <w:color w:val="auto"/>
                <w:szCs w:val="21"/>
                <w:highlight w:val="none"/>
              </w:rPr>
            </w:pPr>
            <w:r>
              <w:rPr>
                <w:rFonts w:ascii="宋体" w:hAnsi="宋体"/>
                <w:b/>
                <w:color w:val="auto"/>
                <w:szCs w:val="21"/>
                <w:highlight w:val="none"/>
              </w:rPr>
              <w:t>编列内容</w:t>
            </w:r>
          </w:p>
        </w:tc>
      </w:tr>
      <w:tr>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1.1.2</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招标人</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hint="eastAsia" w:ascii="宋体" w:hAnsi="宋体"/>
                <w:color w:val="auto"/>
                <w:szCs w:val="21"/>
                <w:highlight w:val="none"/>
                <w:u w:val="single"/>
              </w:rPr>
            </w:pPr>
            <w:r>
              <w:rPr>
                <w:rFonts w:hint="eastAsia" w:ascii="宋体" w:hAnsi="宋体"/>
                <w:color w:val="auto"/>
                <w:szCs w:val="21"/>
                <w:highlight w:val="none"/>
                <w:u w:val="single"/>
              </w:rPr>
              <w:t>见第一章“招标公告”第8项</w:t>
            </w:r>
          </w:p>
          <w:p>
            <w:pPr>
              <w:spacing w:line="440" w:lineRule="exact"/>
              <w:jc w:val="left"/>
              <w:rPr>
                <w:rFonts w:hint="eastAsia" w:ascii="宋体" w:hAnsi="宋体"/>
                <w:color w:val="auto"/>
                <w:szCs w:val="21"/>
                <w:highlight w:val="none"/>
                <w:u w:val="single"/>
              </w:rPr>
            </w:pPr>
            <w:r>
              <w:rPr>
                <w:rFonts w:hint="eastAsia" w:hAnsi="宋体"/>
                <w:color w:val="auto"/>
                <w:highlight w:val="none"/>
              </w:rPr>
              <w:t>项目建设单位：东莞松山湖高新技术产业开发区管理委员会</w:t>
            </w:r>
            <w:r>
              <w:rPr>
                <w:rFonts w:hint="eastAsia" w:hAnsi="宋体"/>
                <w:color w:val="auto"/>
                <w:highlight w:val="none"/>
                <w:u w:val="single"/>
              </w:rPr>
              <w:t xml:space="preserve"> </w:t>
            </w:r>
          </w:p>
        </w:tc>
      </w:tr>
      <w:tr>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1.1.3</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招标代理机构</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ascii="宋体" w:hAnsi="宋体"/>
                <w:color w:val="auto"/>
                <w:szCs w:val="21"/>
                <w:highlight w:val="none"/>
              </w:rPr>
            </w:pPr>
            <w:r>
              <w:rPr>
                <w:rFonts w:hint="eastAsia" w:ascii="宋体" w:hAnsi="宋体"/>
                <w:color w:val="auto"/>
                <w:szCs w:val="21"/>
                <w:highlight w:val="none"/>
                <w:u w:val="single"/>
              </w:rPr>
              <w:t>见第一章“招标公告”第8项</w:t>
            </w:r>
          </w:p>
        </w:tc>
      </w:tr>
      <w:tr>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1.1.4</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招标项目名称</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ascii="宋体" w:hAnsi="宋体"/>
                <w:color w:val="auto"/>
                <w:szCs w:val="21"/>
                <w:highlight w:val="none"/>
              </w:rPr>
            </w:pPr>
            <w:r>
              <w:rPr>
                <w:rFonts w:hint="eastAsia" w:hAnsi="宋体"/>
                <w:color w:val="auto"/>
                <w:highlight w:val="none"/>
                <w:u w:val="single"/>
              </w:rPr>
              <w:t xml:space="preserve"> 松山湖科学城电缆通道项目（二期）勘察设计 </w:t>
            </w:r>
          </w:p>
        </w:tc>
      </w:tr>
      <w:tr>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1.1.5</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项目建设地点</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ascii="宋体" w:hAnsi="宋体"/>
                <w:color w:val="auto"/>
                <w:szCs w:val="21"/>
                <w:highlight w:val="none"/>
              </w:rPr>
            </w:pPr>
            <w:r>
              <w:rPr>
                <w:rFonts w:hint="eastAsia" w:ascii="宋体" w:hAnsi="宋体"/>
                <w:color w:val="auto"/>
                <w:szCs w:val="21"/>
                <w:highlight w:val="none"/>
                <w:u w:val="single"/>
              </w:rPr>
              <w:t>见第一章“招标公告”第2.1项</w:t>
            </w:r>
          </w:p>
        </w:tc>
      </w:tr>
      <w:tr>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1.1.6</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项目建设规模</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ascii="宋体" w:hAnsi="宋体"/>
                <w:color w:val="auto"/>
                <w:szCs w:val="21"/>
                <w:highlight w:val="none"/>
              </w:rPr>
            </w:pPr>
            <w:r>
              <w:rPr>
                <w:rFonts w:hint="eastAsia" w:ascii="宋体" w:hAnsi="宋体"/>
                <w:color w:val="auto"/>
                <w:szCs w:val="21"/>
                <w:highlight w:val="none"/>
                <w:u w:val="single"/>
              </w:rPr>
              <w:t>见第一章“招标公告”第2.2项</w:t>
            </w:r>
          </w:p>
        </w:tc>
      </w:tr>
      <w:tr>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1.1.7</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项目投资估算</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ascii="宋体" w:hAnsi="宋体"/>
                <w:color w:val="auto"/>
                <w:szCs w:val="21"/>
                <w:highlight w:val="none"/>
              </w:rPr>
            </w:pPr>
            <w:r>
              <w:rPr>
                <w:rFonts w:hint="eastAsia" w:hAnsi="宋体"/>
                <w:color w:val="auto"/>
                <w:highlight w:val="none"/>
                <w:u w:val="single"/>
              </w:rPr>
              <w:t xml:space="preserve"> 约15100.00万元 </w:t>
            </w:r>
          </w:p>
        </w:tc>
      </w:tr>
      <w:tr>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1.1.8</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hint="eastAsia" w:ascii="宋体" w:hAnsi="宋体"/>
                <w:color w:val="auto"/>
                <w:szCs w:val="21"/>
                <w:highlight w:val="none"/>
              </w:rPr>
              <w:t>前期服务机构</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hint="eastAsia" w:hAnsi="宋体"/>
                <w:color w:val="auto"/>
                <w:highlight w:val="none"/>
                <w:u w:val="single"/>
              </w:rPr>
            </w:pPr>
            <w:r>
              <w:rPr>
                <w:rFonts w:hint="eastAsia" w:hAnsi="宋体"/>
                <w:color w:val="auto"/>
                <w:highlight w:val="none"/>
                <w:u w:val="single"/>
              </w:rPr>
              <w:t>招标人允许前期服务机构参加本次投标</w:t>
            </w:r>
          </w:p>
        </w:tc>
      </w:tr>
      <w:tr>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1.2.1</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资金来源</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ascii="宋体" w:hAnsi="宋体"/>
                <w:color w:val="auto"/>
                <w:szCs w:val="21"/>
                <w:highlight w:val="none"/>
              </w:rPr>
            </w:pPr>
            <w:r>
              <w:rPr>
                <w:rFonts w:hint="eastAsia" w:ascii="宋体" w:hAnsi="宋体"/>
                <w:color w:val="auto"/>
                <w:szCs w:val="21"/>
                <w:highlight w:val="none"/>
                <w:u w:val="single"/>
              </w:rPr>
              <w:t>见第一章“招标公告”第1项</w:t>
            </w:r>
          </w:p>
        </w:tc>
      </w:tr>
      <w:tr>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1.2.2</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资金落实情况</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ascii="宋体" w:hAnsi="宋体"/>
                <w:color w:val="auto"/>
                <w:szCs w:val="21"/>
                <w:highlight w:val="none"/>
              </w:rPr>
            </w:pPr>
            <w:r>
              <w:rPr>
                <w:rFonts w:hint="eastAsia" w:ascii="宋体" w:hAnsi="宋体"/>
                <w:color w:val="auto"/>
                <w:szCs w:val="21"/>
                <w:highlight w:val="none"/>
              </w:rPr>
              <w:t>已落实</w:t>
            </w:r>
          </w:p>
        </w:tc>
      </w:tr>
      <w:tr>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1.3.1</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招标范围</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ascii="宋体" w:hAnsi="宋体"/>
                <w:color w:val="auto"/>
                <w:szCs w:val="21"/>
                <w:highlight w:val="none"/>
              </w:rPr>
            </w:pPr>
            <w:r>
              <w:rPr>
                <w:rFonts w:hint="eastAsia" w:ascii="宋体" w:hAnsi="宋体"/>
                <w:color w:val="auto"/>
                <w:szCs w:val="21"/>
                <w:highlight w:val="none"/>
                <w:u w:val="single"/>
              </w:rPr>
              <w:t>见第一章“招标公告”第2.3项</w:t>
            </w:r>
          </w:p>
        </w:tc>
      </w:tr>
      <w:tr>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1.3.2</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hint="eastAsia" w:ascii="宋体" w:hAnsi="宋体"/>
                <w:color w:val="auto"/>
                <w:szCs w:val="21"/>
                <w:highlight w:val="none"/>
              </w:rPr>
              <w:t>勘察</w:t>
            </w:r>
            <w:r>
              <w:rPr>
                <w:rFonts w:ascii="宋体" w:hAnsi="宋体"/>
                <w:color w:val="auto"/>
                <w:szCs w:val="21"/>
                <w:highlight w:val="none"/>
              </w:rPr>
              <w:t>设计服务期限</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ascii="宋体" w:hAnsi="宋体"/>
                <w:color w:val="auto"/>
                <w:szCs w:val="21"/>
                <w:highlight w:val="none"/>
              </w:rPr>
            </w:pPr>
            <w:r>
              <w:rPr>
                <w:rFonts w:hint="eastAsia" w:ascii="宋体" w:hAnsi="宋体"/>
                <w:color w:val="auto"/>
                <w:szCs w:val="21"/>
                <w:highlight w:val="none"/>
                <w:u w:val="single"/>
              </w:rPr>
              <w:t>见第一章“招标公告”第2.5项</w:t>
            </w:r>
          </w:p>
        </w:tc>
      </w:tr>
      <w:tr>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1.3.3</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质量标准</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left"/>
              <w:rPr>
                <w:rFonts w:ascii="宋体" w:hAnsi="宋体"/>
                <w:color w:val="auto"/>
                <w:szCs w:val="21"/>
                <w:highlight w:val="none"/>
              </w:rPr>
            </w:pPr>
            <w:r>
              <w:rPr>
                <w:rFonts w:hint="eastAsia" w:ascii="宋体" w:hAnsi="宋体"/>
                <w:color w:val="auto"/>
                <w:szCs w:val="21"/>
                <w:highlight w:val="none"/>
                <w:u w:val="single"/>
              </w:rPr>
              <w:t>满足国家勘察设计规范，符合南网标准设计、绿色电网建设行动指南</w:t>
            </w:r>
          </w:p>
        </w:tc>
      </w:tr>
      <w:tr>
        <w:tblPrEx>
          <w:tblCellMar>
            <w:top w:w="0" w:type="dxa"/>
            <w:left w:w="108" w:type="dxa"/>
            <w:bottom w:w="0" w:type="dxa"/>
            <w:right w:w="108" w:type="dxa"/>
          </w:tblCellMar>
        </w:tblPrEx>
        <w:trPr>
          <w:trHeight w:val="90"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1.4.1</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Cs w:val="21"/>
                <w:highlight w:val="none"/>
              </w:rPr>
            </w:pPr>
            <w:r>
              <w:rPr>
                <w:rFonts w:ascii="宋体" w:hAnsi="宋体"/>
                <w:color w:val="auto"/>
                <w:szCs w:val="21"/>
                <w:highlight w:val="none"/>
              </w:rPr>
              <w:t>投标人资质条件、能力、信誉</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ascii="宋体" w:hAnsi="宋体"/>
                <w:color w:val="auto"/>
                <w:szCs w:val="21"/>
                <w:highlight w:val="none"/>
                <w:u w:val="single"/>
              </w:rPr>
            </w:pPr>
            <w:r>
              <w:rPr>
                <w:rFonts w:hint="eastAsia" w:ascii="宋体" w:hAnsi="宋体"/>
                <w:color w:val="auto"/>
                <w:szCs w:val="21"/>
                <w:highlight w:val="none"/>
                <w:u w:val="single"/>
              </w:rPr>
              <w:t>见第一章“招标公告”第3项</w:t>
            </w:r>
          </w:p>
        </w:tc>
      </w:tr>
      <w:tr>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1.4.2</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是否接受联合体投标</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ascii="宋体" w:hAnsi="宋体"/>
                <w:color w:val="auto"/>
                <w:szCs w:val="21"/>
                <w:highlight w:val="none"/>
              </w:rPr>
            </w:pPr>
            <w:r>
              <w:rPr>
                <w:rFonts w:hint="eastAsia" w:ascii="宋体" w:hAnsi="宋体"/>
                <w:color w:val="auto"/>
                <w:szCs w:val="21"/>
                <w:highlight w:val="none"/>
                <w:u w:val="single"/>
              </w:rPr>
              <w:t>见第一章“招标公告”第3.9项</w:t>
            </w:r>
          </w:p>
        </w:tc>
      </w:tr>
      <w:tr>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1.4.3</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auto"/>
                <w:szCs w:val="21"/>
                <w:highlight w:val="none"/>
              </w:rPr>
            </w:pPr>
            <w:r>
              <w:rPr>
                <w:rFonts w:ascii="宋体" w:hAnsi="宋体"/>
                <w:color w:val="auto"/>
                <w:szCs w:val="21"/>
                <w:highlight w:val="none"/>
              </w:rPr>
              <w:t>投标人不得存在的</w:t>
            </w:r>
            <w:r>
              <w:rPr>
                <w:rFonts w:hint="eastAsia" w:ascii="宋体" w:hAnsi="宋体"/>
                <w:color w:val="auto"/>
                <w:szCs w:val="21"/>
                <w:highlight w:val="none"/>
              </w:rPr>
              <w:t>其他</w:t>
            </w:r>
            <w:r>
              <w:rPr>
                <w:rFonts w:ascii="宋体" w:hAnsi="宋体"/>
                <w:color w:val="auto"/>
                <w:szCs w:val="21"/>
                <w:highlight w:val="none"/>
              </w:rPr>
              <w:t>情形</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rPr>
                <w:rFonts w:ascii="宋体" w:hAnsi="宋体"/>
                <w:color w:val="auto"/>
                <w:szCs w:val="21"/>
                <w:highlight w:val="none"/>
                <w:u w:val="single"/>
              </w:rPr>
            </w:pPr>
            <w:r>
              <w:rPr>
                <w:rFonts w:hint="eastAsia" w:ascii="宋体" w:hAnsi="宋体"/>
                <w:color w:val="auto"/>
                <w:szCs w:val="21"/>
                <w:highlight w:val="none"/>
                <w:u w:val="single"/>
              </w:rPr>
              <w:t>见第二章“投标人须知”第1.4.3项</w:t>
            </w:r>
          </w:p>
        </w:tc>
      </w:tr>
      <w:tr>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1.9.1</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Cs w:val="21"/>
                <w:highlight w:val="none"/>
              </w:rPr>
            </w:pPr>
            <w:r>
              <w:rPr>
                <w:rFonts w:ascii="宋体" w:hAnsi="宋体"/>
                <w:color w:val="auto"/>
                <w:szCs w:val="21"/>
                <w:highlight w:val="none"/>
              </w:rPr>
              <w:t>踏勘现场</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pStyle w:val="16"/>
              <w:topLinePunct/>
              <w:spacing w:line="400" w:lineRule="exact"/>
              <w:rPr>
                <w:rFonts w:hAnsi="宋体"/>
                <w:color w:val="auto"/>
                <w:sz w:val="21"/>
                <w:szCs w:val="21"/>
                <w:highlight w:val="none"/>
              </w:rPr>
            </w:pPr>
            <w:r>
              <w:rPr>
                <w:rFonts w:hint="eastAsia" w:hAnsi="宋体"/>
                <w:color w:val="auto"/>
                <w:sz w:val="21"/>
                <w:szCs w:val="21"/>
                <w:highlight w:val="none"/>
              </w:rPr>
              <w:sym w:font="Wingdings 2" w:char="0052"/>
            </w:r>
            <w:r>
              <w:rPr>
                <w:rFonts w:hAnsi="宋体"/>
                <w:color w:val="auto"/>
                <w:sz w:val="21"/>
                <w:szCs w:val="21"/>
                <w:highlight w:val="none"/>
              </w:rPr>
              <w:t>不组织</w:t>
            </w:r>
          </w:p>
          <w:p>
            <w:pPr>
              <w:pStyle w:val="16"/>
              <w:topLinePunct/>
              <w:spacing w:line="400" w:lineRule="exact"/>
              <w:rPr>
                <w:rFonts w:hAnsi="宋体"/>
                <w:color w:val="auto"/>
                <w:sz w:val="21"/>
                <w:szCs w:val="21"/>
                <w:highlight w:val="none"/>
              </w:rPr>
            </w:pPr>
            <w:r>
              <w:rPr>
                <w:rFonts w:hint="eastAsia" w:hAnsi="宋体"/>
                <w:color w:val="auto"/>
                <w:sz w:val="21"/>
                <w:szCs w:val="21"/>
                <w:highlight w:val="none"/>
              </w:rPr>
              <w:t>□</w:t>
            </w:r>
            <w:r>
              <w:rPr>
                <w:rFonts w:hAnsi="宋体"/>
                <w:color w:val="auto"/>
                <w:sz w:val="21"/>
                <w:szCs w:val="21"/>
                <w:highlight w:val="none"/>
              </w:rPr>
              <w:t>组织，踏勘时间：</w:t>
            </w:r>
          </w:p>
          <w:p>
            <w:pPr>
              <w:pStyle w:val="16"/>
              <w:topLinePunct/>
              <w:spacing w:line="400" w:lineRule="exact"/>
              <w:ind w:firstLine="840" w:firstLineChars="400"/>
              <w:rPr>
                <w:rFonts w:hAnsi="宋体"/>
                <w:color w:val="auto"/>
                <w:sz w:val="21"/>
                <w:szCs w:val="21"/>
                <w:highlight w:val="none"/>
              </w:rPr>
            </w:pPr>
            <w:r>
              <w:rPr>
                <w:rFonts w:hAnsi="宋体"/>
                <w:color w:val="auto"/>
                <w:sz w:val="21"/>
                <w:szCs w:val="21"/>
                <w:highlight w:val="none"/>
              </w:rPr>
              <w:t>踏勘集中地点：</w:t>
            </w:r>
          </w:p>
        </w:tc>
      </w:tr>
      <w:tr>
        <w:tblPrEx>
          <w:tblCellMar>
            <w:top w:w="0" w:type="dxa"/>
            <w:left w:w="108" w:type="dxa"/>
            <w:bottom w:w="0" w:type="dxa"/>
            <w:right w:w="108" w:type="dxa"/>
          </w:tblCellMar>
        </w:tblPrEx>
        <w:trPr>
          <w:trHeight w:val="90"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1.10.1</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投标预备会</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pStyle w:val="16"/>
              <w:topLinePunct/>
              <w:spacing w:line="400" w:lineRule="exact"/>
              <w:rPr>
                <w:rFonts w:hAnsi="宋体"/>
                <w:color w:val="auto"/>
                <w:sz w:val="21"/>
                <w:szCs w:val="21"/>
                <w:highlight w:val="none"/>
              </w:rPr>
            </w:pPr>
            <w:r>
              <w:rPr>
                <w:rFonts w:hint="eastAsia" w:hAnsi="宋体"/>
                <w:color w:val="auto"/>
                <w:sz w:val="21"/>
                <w:szCs w:val="21"/>
                <w:highlight w:val="none"/>
              </w:rPr>
              <w:sym w:font="Wingdings 2" w:char="0052"/>
            </w:r>
            <w:r>
              <w:rPr>
                <w:rFonts w:hAnsi="宋体"/>
                <w:color w:val="auto"/>
                <w:sz w:val="21"/>
                <w:szCs w:val="21"/>
                <w:highlight w:val="none"/>
              </w:rPr>
              <w:t>不召开</w:t>
            </w:r>
          </w:p>
          <w:p>
            <w:pPr>
              <w:spacing w:line="440" w:lineRule="exac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召开，召开时间：</w:t>
            </w:r>
          </w:p>
          <w:p>
            <w:pPr>
              <w:spacing w:line="440" w:lineRule="exact"/>
              <w:ind w:firstLine="840" w:firstLineChars="400"/>
              <w:rPr>
                <w:rFonts w:ascii="宋体" w:hAnsi="宋体"/>
                <w:color w:val="auto"/>
                <w:szCs w:val="21"/>
                <w:highlight w:val="none"/>
              </w:rPr>
            </w:pPr>
            <w:r>
              <w:rPr>
                <w:rFonts w:ascii="宋体" w:hAnsi="宋体"/>
                <w:color w:val="auto"/>
                <w:szCs w:val="21"/>
                <w:highlight w:val="none"/>
              </w:rPr>
              <w:t>召开地点：</w:t>
            </w:r>
          </w:p>
        </w:tc>
      </w:tr>
      <w:tr>
        <w:tblPrEx>
          <w:tblCellMar>
            <w:top w:w="0" w:type="dxa"/>
            <w:left w:w="108" w:type="dxa"/>
            <w:bottom w:w="0" w:type="dxa"/>
            <w:right w:w="108" w:type="dxa"/>
          </w:tblCellMar>
        </w:tblPrEx>
        <w:tc>
          <w:tcPr>
            <w:tcW w:w="1165" w:type="dxa"/>
            <w:tcBorders>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1.10.</w:t>
            </w:r>
            <w:r>
              <w:rPr>
                <w:rFonts w:hint="eastAsia" w:ascii="宋体" w:hAnsi="宋体"/>
                <w:color w:val="auto"/>
                <w:szCs w:val="21"/>
                <w:highlight w:val="none"/>
              </w:rPr>
              <w:t>2</w:t>
            </w:r>
          </w:p>
        </w:tc>
        <w:tc>
          <w:tcPr>
            <w:tcW w:w="2488" w:type="dxa"/>
            <w:tcBorders>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招标文件澄清发出的形式</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pStyle w:val="23"/>
              <w:rPr>
                <w:rFonts w:hint="eastAsia" w:hAnsi="宋体"/>
                <w:bCs/>
                <w:color w:val="auto"/>
                <w:highlight w:val="none"/>
              </w:rPr>
            </w:pPr>
            <w:r>
              <w:rPr>
                <w:rFonts w:hint="eastAsia" w:hAnsi="宋体"/>
                <w:bCs/>
                <w:color w:val="auto"/>
                <w:highlight w:val="none"/>
              </w:rPr>
              <w:t>1、</w:t>
            </w:r>
            <w:r>
              <w:rPr>
                <w:rFonts w:hint="eastAsia" w:hAnsi="宋体"/>
                <w:color w:val="auto"/>
                <w:szCs w:val="21"/>
                <w:highlight w:val="none"/>
              </w:rPr>
              <w:t>投标人若有问题需要澄清，必须在</w:t>
            </w:r>
            <w:r>
              <w:rPr>
                <w:rFonts w:hAnsi="宋体"/>
                <w:color w:val="auto"/>
                <w:szCs w:val="21"/>
                <w:highlight w:val="none"/>
              </w:rPr>
              <w:t>招标人书面澄清时间</w:t>
            </w:r>
            <w:r>
              <w:rPr>
                <w:rFonts w:hint="eastAsia" w:hAnsi="宋体"/>
                <w:color w:val="auto"/>
                <w:szCs w:val="21"/>
                <w:highlight w:val="none"/>
              </w:rPr>
              <w:t>前</w:t>
            </w:r>
            <w:r>
              <w:rPr>
                <w:rFonts w:hint="eastAsia" w:hAnsi="宋体"/>
                <w:color w:val="auto"/>
                <w:szCs w:val="21"/>
                <w:highlight w:val="none"/>
                <w:u w:val="single"/>
              </w:rPr>
              <w:t>2</w:t>
            </w:r>
            <w:r>
              <w:rPr>
                <w:rFonts w:hint="eastAsia" w:hAnsi="宋体"/>
                <w:color w:val="auto"/>
                <w:szCs w:val="21"/>
                <w:highlight w:val="none"/>
              </w:rPr>
              <w:t>天以书面形式向招标代理人提出，并将需澄清问题PDF版（投标单位签章）和word可编辑版发至邮箱</w:t>
            </w:r>
            <w:r>
              <w:rPr>
                <w:rFonts w:hint="eastAsia" w:hAnsi="宋体"/>
                <w:bCs/>
                <w:color w:val="auto"/>
                <w:highlight w:val="none"/>
              </w:rPr>
              <w:t>，否则不予答复。（澄清问题提出后建议电话通知招标代理机构联系人）。</w:t>
            </w:r>
          </w:p>
          <w:p>
            <w:pPr>
              <w:pStyle w:val="23"/>
              <w:rPr>
                <w:rFonts w:hAnsi="宋体"/>
                <w:bCs/>
                <w:color w:val="auto"/>
                <w:highlight w:val="none"/>
              </w:rPr>
            </w:pPr>
            <w:r>
              <w:rPr>
                <w:rFonts w:hint="eastAsia" w:hAnsi="宋体"/>
                <w:bCs/>
                <w:color w:val="auto"/>
                <w:highlight w:val="none"/>
              </w:rPr>
              <w:t>2、电子邮件澄清地址：</w:t>
            </w:r>
            <w:r>
              <w:rPr>
                <w:rFonts w:hint="eastAsia" w:hAnsi="宋体"/>
                <w:bCs/>
                <w:color w:val="auto"/>
                <w:highlight w:val="none"/>
                <w:u w:val="single"/>
              </w:rPr>
              <w:t xml:space="preserve"> </w:t>
            </w:r>
            <w:r>
              <w:rPr>
                <w:rFonts w:hint="eastAsia" w:hAnsi="宋体"/>
                <w:bCs/>
                <w:color w:val="auto"/>
                <w:szCs w:val="21"/>
                <w:highlight w:val="none"/>
                <w:u w:val="single"/>
              </w:rPr>
              <w:t>gdptjs@126.com</w:t>
            </w:r>
            <w:r>
              <w:rPr>
                <w:rFonts w:hint="eastAsia" w:hAnsi="宋体"/>
                <w:bCs/>
                <w:color w:val="auto"/>
                <w:highlight w:val="none"/>
                <w:u w:val="single"/>
              </w:rPr>
              <w:t xml:space="preserve"> </w:t>
            </w:r>
            <w:r>
              <w:rPr>
                <w:rFonts w:hint="eastAsia" w:hAnsi="宋体"/>
                <w:bCs/>
                <w:color w:val="auto"/>
                <w:highlight w:val="none"/>
              </w:rPr>
              <w:t>。</w:t>
            </w:r>
          </w:p>
          <w:p>
            <w:pPr>
              <w:pStyle w:val="23"/>
              <w:rPr>
                <w:rFonts w:hAnsi="宋体"/>
                <w:bCs/>
                <w:color w:val="auto"/>
                <w:highlight w:val="none"/>
              </w:rPr>
            </w:pPr>
            <w:r>
              <w:rPr>
                <w:rFonts w:hint="eastAsia" w:hAnsi="宋体"/>
                <w:bCs/>
                <w:color w:val="auto"/>
                <w:highlight w:val="none"/>
              </w:rPr>
              <w:t>3、投标人提出问题的截止时间:</w:t>
            </w:r>
            <w:r>
              <w:rPr>
                <w:rFonts w:hint="eastAsia" w:hAnsi="宋体"/>
                <w:bCs/>
                <w:color w:val="auto"/>
                <w:highlight w:val="none"/>
                <w:u w:val="single"/>
              </w:rPr>
              <w:t xml:space="preserve">  </w:t>
            </w:r>
            <w:r>
              <w:rPr>
                <w:rFonts w:hint="eastAsia" w:hAnsi="宋体"/>
                <w:bCs/>
                <w:color w:val="auto"/>
                <w:highlight w:val="none"/>
              </w:rPr>
              <w:t>年</w:t>
            </w:r>
            <w:r>
              <w:rPr>
                <w:rFonts w:hint="eastAsia" w:hAnsi="宋体"/>
                <w:bCs/>
                <w:color w:val="auto"/>
                <w:highlight w:val="none"/>
                <w:u w:val="single"/>
              </w:rPr>
              <w:t xml:space="preserve">  </w:t>
            </w:r>
            <w:r>
              <w:rPr>
                <w:rFonts w:hint="eastAsia" w:hAnsi="宋体"/>
                <w:bCs/>
                <w:color w:val="auto"/>
                <w:highlight w:val="none"/>
              </w:rPr>
              <w:t>月</w:t>
            </w:r>
            <w:r>
              <w:rPr>
                <w:rFonts w:hint="eastAsia" w:hAnsi="宋体"/>
                <w:bCs/>
                <w:color w:val="auto"/>
                <w:highlight w:val="none"/>
                <w:u w:val="single"/>
              </w:rPr>
              <w:t xml:space="preserve">  </w:t>
            </w:r>
            <w:r>
              <w:rPr>
                <w:rFonts w:hint="eastAsia" w:hAnsi="宋体"/>
                <w:bCs/>
                <w:color w:val="auto"/>
                <w:highlight w:val="none"/>
              </w:rPr>
              <w:t>日</w:t>
            </w:r>
            <w:r>
              <w:rPr>
                <w:rFonts w:hint="eastAsia" w:hAnsi="宋体"/>
                <w:bCs/>
                <w:color w:val="auto"/>
                <w:highlight w:val="none"/>
                <w:u w:val="single"/>
              </w:rPr>
              <w:t xml:space="preserve">  </w:t>
            </w:r>
            <w:r>
              <w:rPr>
                <w:rFonts w:hint="eastAsia" w:hAnsi="宋体"/>
                <w:bCs/>
                <w:color w:val="auto"/>
                <w:highlight w:val="none"/>
              </w:rPr>
              <w:t>时</w:t>
            </w:r>
            <w:r>
              <w:rPr>
                <w:rFonts w:hint="eastAsia" w:hAnsi="宋体"/>
                <w:bCs/>
                <w:color w:val="auto"/>
                <w:highlight w:val="none"/>
                <w:u w:val="single"/>
              </w:rPr>
              <w:t xml:space="preserve">  </w:t>
            </w:r>
            <w:r>
              <w:rPr>
                <w:rFonts w:hint="eastAsia" w:hAnsi="宋体"/>
                <w:bCs/>
                <w:color w:val="auto"/>
                <w:highlight w:val="none"/>
              </w:rPr>
              <w:t>分</w:t>
            </w:r>
            <w:r>
              <w:rPr>
                <w:rFonts w:hint="eastAsia" w:hAnsi="宋体"/>
                <w:bCs/>
                <w:color w:val="auto"/>
                <w:highlight w:val="none"/>
                <w:u w:val="single"/>
              </w:rPr>
              <w:t xml:space="preserve">  </w:t>
            </w:r>
            <w:r>
              <w:rPr>
                <w:rFonts w:hint="eastAsia" w:hAnsi="宋体"/>
                <w:bCs/>
                <w:color w:val="auto"/>
                <w:highlight w:val="none"/>
              </w:rPr>
              <w:t>秒。</w:t>
            </w:r>
          </w:p>
          <w:p>
            <w:pPr>
              <w:pStyle w:val="23"/>
              <w:rPr>
                <w:rFonts w:hint="eastAsia" w:hAnsi="宋体"/>
                <w:bCs/>
                <w:color w:val="auto"/>
                <w:highlight w:val="none"/>
              </w:rPr>
            </w:pPr>
            <w:r>
              <w:rPr>
                <w:rFonts w:hint="eastAsia" w:hAnsi="宋体"/>
                <w:bCs/>
                <w:color w:val="auto"/>
                <w:highlight w:val="none"/>
              </w:rPr>
              <w:t>4、网上答疑的相关事项详见招标文件第二章投标人须知 总则2.2.1款。</w:t>
            </w:r>
          </w:p>
        </w:tc>
      </w:tr>
      <w:tr>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1.11.1</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分包</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ascii="宋体" w:hAnsi="宋体"/>
                <w:color w:val="auto"/>
                <w:szCs w:val="21"/>
                <w:highlight w:val="none"/>
              </w:rPr>
            </w:pPr>
            <w:r>
              <w:rPr>
                <w:rFonts w:hint="eastAsia" w:ascii="宋体" w:hAnsi="宋体"/>
                <w:color w:val="auto"/>
                <w:szCs w:val="21"/>
                <w:highlight w:val="none"/>
              </w:rPr>
              <w:sym w:font="Wingdings 2" w:char="0052"/>
            </w:r>
            <w:r>
              <w:rPr>
                <w:rFonts w:ascii="宋体" w:hAnsi="宋体"/>
                <w:color w:val="auto"/>
                <w:szCs w:val="21"/>
                <w:highlight w:val="none"/>
              </w:rPr>
              <w:t>不允许</w:t>
            </w:r>
          </w:p>
          <w:p>
            <w:pPr>
              <w:spacing w:line="440" w:lineRule="exac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允许，分包内容要求：</w:t>
            </w:r>
            <w:r>
              <w:rPr>
                <w:rFonts w:hint="eastAsia" w:ascii="宋体" w:hAnsi="宋体"/>
                <w:color w:val="auto"/>
                <w:szCs w:val="21"/>
                <w:highlight w:val="none"/>
                <w:u w:val="single"/>
              </w:rPr>
              <w:t>见第四章“合同条款及格式”</w:t>
            </w:r>
          </w:p>
          <w:p>
            <w:pPr>
              <w:spacing w:line="440" w:lineRule="exact"/>
              <w:ind w:firstLine="840" w:firstLineChars="400"/>
              <w:rPr>
                <w:rFonts w:ascii="宋体" w:hAnsi="宋体"/>
                <w:color w:val="auto"/>
                <w:szCs w:val="21"/>
                <w:highlight w:val="none"/>
              </w:rPr>
            </w:pPr>
            <w:r>
              <w:rPr>
                <w:rFonts w:ascii="宋体" w:hAnsi="宋体"/>
                <w:color w:val="auto"/>
                <w:szCs w:val="21"/>
                <w:highlight w:val="none"/>
              </w:rPr>
              <w:t>分包金额要求：</w:t>
            </w:r>
            <w:r>
              <w:rPr>
                <w:rFonts w:hint="eastAsia" w:ascii="宋体" w:hAnsi="宋体"/>
                <w:color w:val="auto"/>
                <w:szCs w:val="21"/>
                <w:highlight w:val="none"/>
                <w:u w:val="single"/>
              </w:rPr>
              <w:t>见第四章“合同条款及格式”</w:t>
            </w:r>
          </w:p>
          <w:p>
            <w:pPr>
              <w:spacing w:line="440" w:lineRule="exact"/>
              <w:ind w:firstLine="840" w:firstLineChars="400"/>
              <w:rPr>
                <w:rFonts w:ascii="宋体" w:hAnsi="宋体"/>
                <w:color w:val="auto"/>
                <w:szCs w:val="21"/>
                <w:highlight w:val="none"/>
              </w:rPr>
            </w:pPr>
            <w:r>
              <w:rPr>
                <w:rFonts w:ascii="宋体" w:hAnsi="宋体"/>
                <w:color w:val="auto"/>
                <w:szCs w:val="21"/>
                <w:highlight w:val="none"/>
              </w:rPr>
              <w:t>对分包人的资质要求：</w:t>
            </w:r>
            <w:r>
              <w:rPr>
                <w:rFonts w:hint="eastAsia" w:ascii="宋体" w:hAnsi="宋体"/>
                <w:color w:val="auto"/>
                <w:szCs w:val="21"/>
                <w:highlight w:val="none"/>
                <w:u w:val="single"/>
              </w:rPr>
              <w:t>见第四章“合同条款及格式”</w:t>
            </w:r>
          </w:p>
        </w:tc>
      </w:tr>
      <w:tr>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1.12.1</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实质性要求和条件</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pStyle w:val="16"/>
              <w:topLinePunct/>
              <w:spacing w:line="400" w:lineRule="exact"/>
              <w:rPr>
                <w:rFonts w:hAnsi="宋体"/>
                <w:color w:val="auto"/>
                <w:sz w:val="21"/>
                <w:szCs w:val="21"/>
                <w:highlight w:val="none"/>
                <w:u w:val="single"/>
              </w:rPr>
            </w:pPr>
            <w:r>
              <w:rPr>
                <w:rFonts w:hint="eastAsia" w:hAnsi="宋体"/>
                <w:color w:val="auto"/>
                <w:sz w:val="21"/>
                <w:szCs w:val="21"/>
                <w:highlight w:val="none"/>
                <w:u w:val="single"/>
              </w:rPr>
              <w:t>投标文件应当对招标文件有关勘察设计服务期限、投标有效期、质量标准、技术标准和要求、招标范围等实质性内容作出响应。</w:t>
            </w:r>
          </w:p>
        </w:tc>
      </w:tr>
      <w:tr>
        <w:tblPrEx>
          <w:tblCellMar>
            <w:top w:w="0" w:type="dxa"/>
            <w:left w:w="108" w:type="dxa"/>
            <w:bottom w:w="0" w:type="dxa"/>
            <w:right w:w="108" w:type="dxa"/>
          </w:tblCellMar>
        </w:tblPrEx>
        <w:trPr>
          <w:trHeight w:val="90"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1.12.3</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偏差</w:t>
            </w:r>
          </w:p>
        </w:tc>
        <w:tc>
          <w:tcPr>
            <w:tcW w:w="5669" w:type="dxa"/>
            <w:tcBorders>
              <w:top w:val="single" w:color="auto" w:sz="4" w:space="0"/>
              <w:left w:val="single" w:color="auto" w:sz="4" w:space="0"/>
              <w:bottom w:val="single" w:color="auto" w:sz="4" w:space="0"/>
              <w:right w:val="single" w:color="auto" w:sz="4" w:space="0"/>
            </w:tcBorders>
            <w:noWrap w:val="0"/>
            <w:vAlign w:val="top"/>
          </w:tcPr>
          <w:p>
            <w:pPr>
              <w:spacing w:line="440" w:lineRule="exact"/>
              <w:rPr>
                <w:rFonts w:ascii="宋体" w:hAnsi="宋体"/>
                <w:color w:val="auto"/>
                <w:szCs w:val="21"/>
                <w:highlight w:val="none"/>
              </w:rPr>
            </w:pPr>
            <w:r>
              <w:rPr>
                <w:rFonts w:ascii="宋体" w:hAnsi="宋体"/>
                <w:color w:val="auto"/>
                <w:szCs w:val="21"/>
                <w:highlight w:val="none"/>
              </w:rPr>
              <w:sym w:font="Wingdings 2" w:char="F052"/>
            </w:r>
            <w:r>
              <w:rPr>
                <w:rFonts w:ascii="宋体" w:hAnsi="宋体"/>
                <w:color w:val="auto"/>
                <w:szCs w:val="21"/>
                <w:highlight w:val="none"/>
              </w:rPr>
              <w:t>不允许</w:t>
            </w:r>
          </w:p>
          <w:p>
            <w:pPr>
              <w:pStyle w:val="16"/>
              <w:topLinePunct/>
              <w:spacing w:line="400" w:lineRule="exact"/>
              <w:rPr>
                <w:rFonts w:hAnsi="宋体"/>
                <w:color w:val="auto"/>
                <w:sz w:val="21"/>
                <w:szCs w:val="21"/>
                <w:highlight w:val="none"/>
              </w:rPr>
            </w:pPr>
            <w:r>
              <w:rPr>
                <w:rFonts w:hint="eastAsia" w:hAnsi="宋体"/>
                <w:color w:val="auto"/>
                <w:sz w:val="21"/>
                <w:szCs w:val="21"/>
                <w:highlight w:val="none"/>
              </w:rPr>
              <w:t>□允许，</w:t>
            </w:r>
            <w:r>
              <w:rPr>
                <w:rFonts w:hAnsi="宋体"/>
                <w:color w:val="auto"/>
                <w:sz w:val="21"/>
                <w:szCs w:val="21"/>
                <w:highlight w:val="none"/>
              </w:rPr>
              <w:t>偏差范围：</w:t>
            </w:r>
          </w:p>
          <w:p>
            <w:pPr>
              <w:pStyle w:val="16"/>
              <w:topLinePunct/>
              <w:spacing w:line="400" w:lineRule="exact"/>
              <w:ind w:firstLine="840" w:firstLineChars="400"/>
              <w:rPr>
                <w:rFonts w:hAnsi="宋体"/>
                <w:color w:val="auto"/>
                <w:sz w:val="21"/>
                <w:szCs w:val="21"/>
                <w:highlight w:val="none"/>
              </w:rPr>
            </w:pPr>
            <w:r>
              <w:rPr>
                <w:rFonts w:hAnsi="宋体"/>
                <w:color w:val="auto"/>
                <w:sz w:val="21"/>
                <w:szCs w:val="21"/>
                <w:highlight w:val="none"/>
              </w:rPr>
              <w:t>偏差幅度：</w:t>
            </w:r>
          </w:p>
        </w:tc>
      </w:tr>
      <w:tr>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2.1</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构成招标文件的其他资料</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hint="eastAsia" w:ascii="宋体" w:hAnsi="宋体"/>
                <w:color w:val="auto"/>
                <w:szCs w:val="21"/>
                <w:highlight w:val="none"/>
              </w:rPr>
            </w:pPr>
            <w:r>
              <w:rPr>
                <w:rFonts w:hint="eastAsia" w:ascii="宋体" w:hAnsi="宋体"/>
                <w:color w:val="auto"/>
                <w:szCs w:val="21"/>
                <w:highlight w:val="none"/>
              </w:rPr>
              <w:t>/</w:t>
            </w:r>
          </w:p>
        </w:tc>
      </w:tr>
      <w:tr>
        <w:tblPrEx>
          <w:tblCellMar>
            <w:top w:w="0" w:type="dxa"/>
            <w:left w:w="108" w:type="dxa"/>
            <w:bottom w:w="0" w:type="dxa"/>
            <w:right w:w="108" w:type="dxa"/>
          </w:tblCellMar>
        </w:tblPrEx>
        <w:trPr>
          <w:trHeight w:val="3280"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2.2.1</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Cs w:val="21"/>
                <w:highlight w:val="none"/>
              </w:rPr>
            </w:pPr>
            <w:r>
              <w:rPr>
                <w:rFonts w:ascii="宋体" w:hAnsi="宋体"/>
                <w:color w:val="auto"/>
                <w:szCs w:val="21"/>
                <w:highlight w:val="none"/>
              </w:rPr>
              <w:t>投标人要求澄清招标文件</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hint="eastAsia" w:hAnsi="宋体"/>
                <w:bCs/>
                <w:color w:val="auto"/>
                <w:highlight w:val="none"/>
              </w:rPr>
            </w:pPr>
            <w:r>
              <w:rPr>
                <w:rFonts w:hint="eastAsia" w:hAnsi="宋体"/>
                <w:bCs/>
                <w:color w:val="auto"/>
                <w:highlight w:val="none"/>
              </w:rPr>
              <w:t>1、投标人需在投标人提出问题的截止时间前以电子邮件方式（格式见招标文件附件）提出澄清问题，否则不予答复。（澄清问题提出后建议电话通知招标代理机构联系人） 。</w:t>
            </w:r>
          </w:p>
          <w:p>
            <w:pPr>
              <w:spacing w:line="440" w:lineRule="exact"/>
              <w:rPr>
                <w:rFonts w:hAnsi="宋体"/>
                <w:bCs/>
                <w:color w:val="auto"/>
                <w:highlight w:val="none"/>
              </w:rPr>
            </w:pPr>
            <w:r>
              <w:rPr>
                <w:rFonts w:hint="eastAsia" w:hAnsi="宋体"/>
                <w:bCs/>
                <w:color w:val="auto"/>
                <w:highlight w:val="none"/>
              </w:rPr>
              <w:t>2、电子邮件澄清地址：</w:t>
            </w:r>
            <w:r>
              <w:rPr>
                <w:rFonts w:hint="eastAsia" w:hAnsi="宋体"/>
                <w:bCs/>
                <w:color w:val="auto"/>
                <w:highlight w:val="none"/>
                <w:u w:val="single"/>
              </w:rPr>
              <w:t xml:space="preserve"> </w:t>
            </w:r>
            <w:r>
              <w:rPr>
                <w:rFonts w:hint="eastAsia" w:ascii="宋体" w:hAnsi="宋体"/>
                <w:bCs/>
                <w:color w:val="auto"/>
                <w:szCs w:val="21"/>
                <w:highlight w:val="none"/>
                <w:u w:val="single"/>
              </w:rPr>
              <w:t>gdptjs@126.com</w:t>
            </w:r>
            <w:r>
              <w:rPr>
                <w:rFonts w:hint="eastAsia" w:hAnsi="宋体"/>
                <w:bCs/>
                <w:color w:val="auto"/>
                <w:highlight w:val="none"/>
                <w:u w:val="single"/>
              </w:rPr>
              <w:t xml:space="preserve"> </w:t>
            </w:r>
            <w:r>
              <w:rPr>
                <w:rFonts w:hint="eastAsia" w:hAnsi="宋体"/>
                <w:bCs/>
                <w:color w:val="auto"/>
                <w:highlight w:val="none"/>
              </w:rPr>
              <w:t>。</w:t>
            </w:r>
          </w:p>
          <w:p>
            <w:pPr>
              <w:spacing w:line="440" w:lineRule="exact"/>
              <w:rPr>
                <w:rFonts w:hAnsi="宋体"/>
                <w:bCs/>
                <w:color w:val="auto"/>
                <w:highlight w:val="none"/>
              </w:rPr>
            </w:pPr>
            <w:r>
              <w:rPr>
                <w:rFonts w:hint="eastAsia" w:hAnsi="宋体"/>
                <w:bCs/>
                <w:color w:val="auto"/>
                <w:highlight w:val="none"/>
              </w:rPr>
              <w:t>3、投标人提出问题的截止时间:</w:t>
            </w:r>
            <w:r>
              <w:rPr>
                <w:rFonts w:hint="eastAsia" w:hAnsi="宋体"/>
                <w:bCs/>
                <w:color w:val="auto"/>
                <w:highlight w:val="none"/>
                <w:u w:val="single"/>
              </w:rPr>
              <w:t xml:space="preserve">  </w:t>
            </w:r>
            <w:r>
              <w:rPr>
                <w:rFonts w:hint="eastAsia" w:hAnsi="宋体"/>
                <w:bCs/>
                <w:color w:val="auto"/>
                <w:highlight w:val="none"/>
              </w:rPr>
              <w:t>年</w:t>
            </w:r>
            <w:r>
              <w:rPr>
                <w:rFonts w:hint="eastAsia" w:hAnsi="宋体"/>
                <w:bCs/>
                <w:color w:val="auto"/>
                <w:highlight w:val="none"/>
                <w:u w:val="single"/>
              </w:rPr>
              <w:t xml:space="preserve">  </w:t>
            </w:r>
            <w:r>
              <w:rPr>
                <w:rFonts w:hint="eastAsia" w:hAnsi="宋体"/>
                <w:bCs/>
                <w:color w:val="auto"/>
                <w:highlight w:val="none"/>
              </w:rPr>
              <w:t>月</w:t>
            </w:r>
            <w:r>
              <w:rPr>
                <w:rFonts w:hint="eastAsia" w:hAnsi="宋体"/>
                <w:bCs/>
                <w:color w:val="auto"/>
                <w:highlight w:val="none"/>
                <w:u w:val="single"/>
              </w:rPr>
              <w:t xml:space="preserve">  </w:t>
            </w:r>
            <w:r>
              <w:rPr>
                <w:rFonts w:hint="eastAsia" w:hAnsi="宋体"/>
                <w:bCs/>
                <w:color w:val="auto"/>
                <w:highlight w:val="none"/>
              </w:rPr>
              <w:t>日</w:t>
            </w:r>
            <w:r>
              <w:rPr>
                <w:rFonts w:hint="eastAsia" w:hAnsi="宋体"/>
                <w:bCs/>
                <w:color w:val="auto"/>
                <w:highlight w:val="none"/>
                <w:u w:val="single"/>
              </w:rPr>
              <w:t xml:space="preserve">  </w:t>
            </w:r>
            <w:r>
              <w:rPr>
                <w:rFonts w:hint="eastAsia" w:hAnsi="宋体"/>
                <w:bCs/>
                <w:color w:val="auto"/>
                <w:highlight w:val="none"/>
              </w:rPr>
              <w:t>时</w:t>
            </w:r>
            <w:r>
              <w:rPr>
                <w:rFonts w:hint="eastAsia" w:hAnsi="宋体"/>
                <w:bCs/>
                <w:color w:val="auto"/>
                <w:highlight w:val="none"/>
                <w:u w:val="single"/>
              </w:rPr>
              <w:t xml:space="preserve">  </w:t>
            </w:r>
            <w:r>
              <w:rPr>
                <w:rFonts w:hint="eastAsia" w:hAnsi="宋体"/>
                <w:bCs/>
                <w:color w:val="auto"/>
                <w:highlight w:val="none"/>
              </w:rPr>
              <w:t>分</w:t>
            </w:r>
            <w:r>
              <w:rPr>
                <w:rFonts w:hint="eastAsia" w:hAnsi="宋体"/>
                <w:bCs/>
                <w:color w:val="auto"/>
                <w:highlight w:val="none"/>
                <w:u w:val="single"/>
              </w:rPr>
              <w:t xml:space="preserve">  </w:t>
            </w:r>
            <w:r>
              <w:rPr>
                <w:rFonts w:hint="eastAsia" w:hAnsi="宋体"/>
                <w:bCs/>
                <w:color w:val="auto"/>
                <w:highlight w:val="none"/>
              </w:rPr>
              <w:t>秒。</w:t>
            </w:r>
          </w:p>
          <w:p>
            <w:pPr>
              <w:spacing w:line="440" w:lineRule="exact"/>
              <w:rPr>
                <w:rFonts w:ascii="宋体" w:hAnsi="宋体"/>
                <w:color w:val="auto"/>
                <w:szCs w:val="21"/>
                <w:highlight w:val="none"/>
              </w:rPr>
            </w:pPr>
            <w:r>
              <w:rPr>
                <w:rFonts w:hint="eastAsia" w:hAnsi="宋体"/>
                <w:bCs/>
                <w:color w:val="auto"/>
                <w:highlight w:val="none"/>
              </w:rPr>
              <w:t>4、网上答疑的相关事项详见招标文件第二章投标人须知总则2.2.1款。</w:t>
            </w:r>
          </w:p>
        </w:tc>
      </w:tr>
      <w:tr>
        <w:tblPrEx>
          <w:tblCellMar>
            <w:top w:w="0" w:type="dxa"/>
            <w:left w:w="108" w:type="dxa"/>
            <w:bottom w:w="0" w:type="dxa"/>
            <w:right w:w="108" w:type="dxa"/>
          </w:tblCellMar>
        </w:tblPrEx>
        <w:trPr>
          <w:trHeight w:val="2596" w:hRule="atLeast"/>
        </w:trPr>
        <w:tc>
          <w:tcPr>
            <w:tcW w:w="1165" w:type="dxa"/>
            <w:tcBorders>
              <w:top w:val="single" w:color="auto" w:sz="4" w:space="0"/>
              <w:left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2.2.</w:t>
            </w:r>
            <w:r>
              <w:rPr>
                <w:rFonts w:hint="eastAsia" w:ascii="宋体" w:hAnsi="宋体"/>
                <w:color w:val="auto"/>
                <w:szCs w:val="21"/>
                <w:highlight w:val="none"/>
              </w:rPr>
              <w:t>2</w:t>
            </w:r>
          </w:p>
        </w:tc>
        <w:tc>
          <w:tcPr>
            <w:tcW w:w="2488" w:type="dxa"/>
            <w:tcBorders>
              <w:top w:val="single" w:color="auto" w:sz="4" w:space="0"/>
              <w:left w:val="single" w:color="auto" w:sz="4" w:space="0"/>
              <w:right w:val="single" w:color="auto" w:sz="4" w:space="0"/>
            </w:tcBorders>
            <w:noWrap w:val="0"/>
            <w:vAlign w:val="center"/>
          </w:tcPr>
          <w:p>
            <w:pPr>
              <w:jc w:val="center"/>
              <w:rPr>
                <w:rFonts w:ascii="宋体" w:hAnsi="宋体"/>
                <w:color w:val="auto"/>
                <w:szCs w:val="21"/>
                <w:highlight w:val="none"/>
              </w:rPr>
            </w:pPr>
            <w:r>
              <w:rPr>
                <w:rFonts w:ascii="宋体" w:hAnsi="宋体"/>
                <w:color w:val="auto"/>
                <w:szCs w:val="21"/>
                <w:highlight w:val="none"/>
              </w:rPr>
              <w:t>投标人确认收到招标文件澄清</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left"/>
              <w:rPr>
                <w:rFonts w:hint="eastAsia" w:ascii="宋体" w:hAnsi="宋体"/>
                <w:color w:val="auto"/>
                <w:szCs w:val="21"/>
                <w:highlight w:val="none"/>
              </w:rPr>
            </w:pPr>
            <w:r>
              <w:rPr>
                <w:rFonts w:hint="eastAsia" w:hAnsi="宋体"/>
                <w:color w:val="auto"/>
                <w:szCs w:val="21"/>
                <w:highlight w:val="none"/>
              </w:rPr>
              <w:t>以书面形式通知所有获取招标文件的潜在投标人。</w:t>
            </w:r>
            <w:r>
              <w:rPr>
                <w:rFonts w:hint="eastAsia" w:ascii="宋体" w:hAnsi="宋体" w:cs="仿宋_GB2312"/>
                <w:color w:val="auto"/>
                <w:kern w:val="0"/>
                <w:szCs w:val="21"/>
                <w:highlight w:val="none"/>
                <w:u w:val="single"/>
              </w:rPr>
              <w:t>通过</w:t>
            </w:r>
            <w:r>
              <w:rPr>
                <w:rFonts w:hint="eastAsia"/>
                <w:color w:val="auto"/>
                <w:highlight w:val="none"/>
                <w:u w:val="single"/>
              </w:rPr>
              <w:t>广州公共资源交易中心网站（</w:t>
            </w:r>
            <w:r>
              <w:rPr>
                <w:rFonts w:ascii="宋体" w:hAnsi="宋体"/>
                <w:color w:val="auto"/>
                <w:highlight w:val="none"/>
                <w:u w:val="single"/>
              </w:rPr>
              <w:t>http://ggzy.gz.gov.cn/</w:t>
            </w:r>
            <w:r>
              <w:rPr>
                <w:rFonts w:hint="eastAsia"/>
                <w:color w:val="auto"/>
                <w:highlight w:val="none"/>
                <w:u w:val="single"/>
              </w:rPr>
              <w:t>）</w:t>
            </w:r>
            <w:r>
              <w:rPr>
                <w:rFonts w:hint="eastAsia" w:ascii="宋体" w:hAnsi="宋体" w:cs="仿宋_GB2312"/>
                <w:color w:val="auto"/>
                <w:kern w:val="0"/>
                <w:szCs w:val="21"/>
                <w:highlight w:val="none"/>
                <w:u w:val="single"/>
              </w:rPr>
              <w:t>发布，</w:t>
            </w:r>
            <w:r>
              <w:rPr>
                <w:rFonts w:hAnsi="宋体"/>
                <w:color w:val="auto"/>
                <w:szCs w:val="21"/>
                <w:highlight w:val="none"/>
              </w:rPr>
              <w:t>无须投标人确认</w:t>
            </w:r>
            <w:r>
              <w:rPr>
                <w:rFonts w:hint="eastAsia" w:hAnsi="宋体"/>
                <w:color w:val="auto"/>
                <w:szCs w:val="21"/>
                <w:highlight w:val="none"/>
              </w:rPr>
              <w:t>。</w:t>
            </w:r>
            <w:r>
              <w:rPr>
                <w:rFonts w:hAnsi="宋体"/>
                <w:color w:val="auto"/>
                <w:szCs w:val="21"/>
                <w:highlight w:val="none"/>
              </w:rPr>
              <w:t>投标人必须密切留意上述网站关于本工程补遗书的发放信息（除此方式外，不再另行通知，网站发布即视为已送达各投标人），并在上述网站上及时自行下载补遗书及补充资料。如投标人未按要求留意补遗书的发放信息或未及时下载补遗书及补充资料，一切后果由投标人自负。</w:t>
            </w:r>
          </w:p>
        </w:tc>
      </w:tr>
      <w:tr>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3.1.1</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构成投标文件的其他资料</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hint="eastAsia" w:ascii="宋体" w:hAnsi="宋体"/>
                <w:color w:val="auto"/>
                <w:szCs w:val="21"/>
                <w:highlight w:val="none"/>
              </w:rPr>
            </w:pPr>
            <w:r>
              <w:rPr>
                <w:rFonts w:hint="eastAsia" w:ascii="宋体" w:hAnsi="宋体"/>
                <w:color w:val="auto"/>
                <w:szCs w:val="21"/>
                <w:highlight w:val="none"/>
              </w:rPr>
              <w:t>/</w:t>
            </w:r>
          </w:p>
        </w:tc>
      </w:tr>
      <w:tr>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3.2.1</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增值税税金的计算方法</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ascii="宋体" w:hAnsi="宋体"/>
                <w:color w:val="auto"/>
                <w:szCs w:val="21"/>
                <w:highlight w:val="none"/>
                <w:u w:val="single"/>
              </w:rPr>
            </w:pPr>
            <w:r>
              <w:rPr>
                <w:rFonts w:hint="eastAsia" w:ascii="宋体" w:hAnsi="宋体"/>
                <w:color w:val="auto"/>
                <w:szCs w:val="21"/>
                <w:highlight w:val="none"/>
                <w:u w:val="single"/>
              </w:rPr>
              <w:t>税金费用执行《关于全面推开营业税改征增值税试点的通知》（财税[2016]36号）及国家最新税收政策，采用一般计税方法计列增值税；若中标单位采用简易计税方法计税，则在结算过程中调整相应结算金额。</w:t>
            </w:r>
          </w:p>
        </w:tc>
      </w:tr>
      <w:tr>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hint="eastAsia" w:ascii="宋体" w:hAnsi="宋体"/>
                <w:color w:val="auto"/>
                <w:szCs w:val="21"/>
                <w:highlight w:val="none"/>
              </w:rPr>
              <w:t>3.2.3</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hint="eastAsia" w:ascii="宋体" w:hAnsi="宋体"/>
                <w:color w:val="auto"/>
                <w:szCs w:val="21"/>
                <w:highlight w:val="none"/>
              </w:rPr>
              <w:t>报价方式</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color w:val="auto"/>
                <w:szCs w:val="21"/>
                <w:highlight w:val="none"/>
                <w:u w:val="single"/>
              </w:rPr>
            </w:pPr>
            <w:r>
              <w:rPr>
                <w:rFonts w:hint="eastAsia"/>
                <w:color w:val="auto"/>
                <w:szCs w:val="21"/>
                <w:highlight w:val="none"/>
                <w:u w:val="single"/>
              </w:rPr>
              <w:t>采用投标下浮率报价形式，同时根据“</w:t>
            </w:r>
            <w:r>
              <w:rPr>
                <w:rFonts w:hint="eastAsia"/>
                <w:color w:val="auto"/>
                <w:szCs w:val="21"/>
                <w:highlight w:val="none"/>
                <w:u w:val="single"/>
                <w:lang w:val="en-US" w:eastAsia="zh-CN"/>
              </w:rPr>
              <w:t>预计采购金额(6760108.61元)</w:t>
            </w:r>
            <w:r>
              <w:rPr>
                <w:rFonts w:hint="eastAsia"/>
                <w:color w:val="auto"/>
                <w:szCs w:val="21"/>
                <w:highlight w:val="none"/>
                <w:u w:val="single"/>
              </w:rPr>
              <w:t>×（1-投标下浮率）”报列投标报价。</w:t>
            </w:r>
          </w:p>
          <w:p>
            <w:pPr>
              <w:spacing w:line="440" w:lineRule="exact"/>
              <w:rPr>
                <w:rFonts w:ascii="宋体" w:hAnsi="宋体"/>
                <w:color w:val="auto"/>
                <w:szCs w:val="21"/>
                <w:highlight w:val="none"/>
                <w:u w:val="single"/>
              </w:rPr>
            </w:pPr>
            <w:r>
              <w:rPr>
                <w:rFonts w:hint="eastAsia"/>
                <w:color w:val="auto"/>
                <w:highlight w:val="none"/>
                <w:u w:val="single"/>
              </w:rPr>
              <w:t>当投标下浮率与</w:t>
            </w:r>
            <w:r>
              <w:rPr>
                <w:rFonts w:hint="eastAsia" w:ascii="宋体" w:hAnsi="宋体"/>
                <w:color w:val="auto"/>
                <w:highlight w:val="none"/>
                <w:u w:val="single"/>
              </w:rPr>
              <w:t>“</w:t>
            </w:r>
            <w:r>
              <w:rPr>
                <w:rFonts w:hint="eastAsia" w:ascii="宋体" w:hAnsi="宋体"/>
                <w:color w:val="auto"/>
                <w:szCs w:val="21"/>
                <w:highlight w:val="none"/>
                <w:u w:val="single"/>
              </w:rPr>
              <w:t>[1-投标报价/</w:t>
            </w:r>
            <w:r>
              <w:rPr>
                <w:rFonts w:hint="eastAsia"/>
                <w:color w:val="auto"/>
                <w:szCs w:val="21"/>
                <w:highlight w:val="none"/>
                <w:u w:val="single"/>
                <w:lang w:val="en-US" w:eastAsia="zh-CN"/>
              </w:rPr>
              <w:t>预计采购金额</w:t>
            </w:r>
            <w:r>
              <w:rPr>
                <w:rFonts w:hint="eastAsia" w:ascii="宋体" w:hAnsi="宋体"/>
                <w:color w:val="auto"/>
                <w:szCs w:val="21"/>
                <w:highlight w:val="none"/>
                <w:u w:val="single"/>
              </w:rPr>
              <w:t>]×100%”</w:t>
            </w:r>
            <w:r>
              <w:rPr>
                <w:rFonts w:hint="eastAsia"/>
                <w:color w:val="auto"/>
                <w:highlight w:val="none"/>
                <w:u w:val="single"/>
              </w:rPr>
              <w:t>的计算结果不一致时，以投标下浮率为准，调整投标报价。</w:t>
            </w:r>
          </w:p>
        </w:tc>
      </w:tr>
      <w:tr>
        <w:tblPrEx>
          <w:tblCellMar>
            <w:top w:w="0" w:type="dxa"/>
            <w:left w:w="108" w:type="dxa"/>
            <w:bottom w:w="0" w:type="dxa"/>
            <w:right w:w="108" w:type="dxa"/>
          </w:tblCellMar>
        </w:tblPrEx>
        <w:trPr>
          <w:trHeight w:val="90"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3.2.</w:t>
            </w:r>
            <w:r>
              <w:rPr>
                <w:rFonts w:hint="eastAsia" w:ascii="宋体" w:hAnsi="宋体"/>
                <w:color w:val="auto"/>
                <w:szCs w:val="21"/>
                <w:highlight w:val="none"/>
              </w:rPr>
              <w:t>4</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最高投标限价</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无</w:t>
            </w:r>
          </w:p>
          <w:p>
            <w:pPr>
              <w:spacing w:line="440" w:lineRule="exact"/>
              <w:rPr>
                <w:rFonts w:ascii="宋体" w:hAnsi="宋体"/>
                <w:color w:val="auto"/>
                <w:szCs w:val="21"/>
                <w:highlight w:val="none"/>
              </w:rPr>
            </w:pPr>
            <w:r>
              <w:rPr>
                <w:rFonts w:hint="eastAsia" w:ascii="宋体" w:hAnsi="宋体"/>
                <w:color w:val="auto"/>
                <w:szCs w:val="21"/>
                <w:highlight w:val="none"/>
              </w:rPr>
              <w:sym w:font="Wingdings 2" w:char="0052"/>
            </w:r>
            <w:r>
              <w:rPr>
                <w:rFonts w:ascii="宋体" w:hAnsi="宋体"/>
                <w:color w:val="auto"/>
                <w:szCs w:val="21"/>
                <w:highlight w:val="none"/>
              </w:rPr>
              <w:t>有，</w:t>
            </w:r>
            <w:r>
              <w:rPr>
                <w:color w:val="auto"/>
                <w:szCs w:val="21"/>
                <w:highlight w:val="none"/>
              </w:rPr>
              <w:t>最高投标限价：</w:t>
            </w:r>
            <w:r>
              <w:rPr>
                <w:rFonts w:hint="eastAsia"/>
                <w:color w:val="auto"/>
                <w:szCs w:val="21"/>
                <w:highlight w:val="none"/>
                <w:lang w:val="en-US" w:eastAsia="zh-CN"/>
              </w:rPr>
              <w:t>5408086.89</w:t>
            </w:r>
            <w:r>
              <w:rPr>
                <w:rFonts w:hint="eastAsia"/>
                <w:color w:val="auto"/>
                <w:szCs w:val="21"/>
                <w:highlight w:val="none"/>
              </w:rPr>
              <w:t>元，包含勘</w:t>
            </w:r>
            <w:r>
              <w:rPr>
                <w:rFonts w:hint="eastAsia"/>
                <w:color w:val="auto"/>
                <w:szCs w:val="21"/>
                <w:highlight w:val="none"/>
                <w:lang w:val="en-US" w:eastAsia="zh-CN"/>
              </w:rPr>
              <w:t>测</w:t>
            </w:r>
            <w:r>
              <w:rPr>
                <w:rFonts w:hint="eastAsia"/>
                <w:color w:val="auto"/>
                <w:szCs w:val="21"/>
                <w:highlight w:val="none"/>
              </w:rPr>
              <w:t xml:space="preserve">费及设计费。  </w:t>
            </w:r>
          </w:p>
        </w:tc>
      </w:tr>
      <w:tr>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3.2.</w:t>
            </w:r>
            <w:r>
              <w:rPr>
                <w:rFonts w:hint="eastAsia" w:ascii="宋体" w:hAnsi="宋体"/>
                <w:color w:val="auto"/>
                <w:szCs w:val="21"/>
                <w:highlight w:val="none"/>
              </w:rPr>
              <w:t>5</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投标报价的其他要求</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numPr>
                <w:ilvl w:val="0"/>
                <w:numId w:val="5"/>
              </w:numPr>
              <w:spacing w:line="360" w:lineRule="auto"/>
              <w:rPr>
                <w:rFonts w:hint="eastAsia"/>
                <w:color w:val="auto"/>
                <w:szCs w:val="21"/>
                <w:highlight w:val="none"/>
                <w:u w:val="none"/>
              </w:rPr>
            </w:pPr>
            <w:r>
              <w:rPr>
                <w:rFonts w:hint="eastAsia"/>
                <w:color w:val="auto"/>
                <w:szCs w:val="21"/>
                <w:highlight w:val="none"/>
              </w:rPr>
              <w:t>有效投标报价：投标下浮率</w:t>
            </w:r>
            <w:r>
              <w:rPr>
                <w:rFonts w:hint="eastAsia"/>
                <w:color w:val="auto"/>
                <w:szCs w:val="21"/>
                <w:highlight w:val="none"/>
                <w:lang w:val="en-US" w:eastAsia="zh-CN"/>
              </w:rPr>
              <w:t>≥2</w:t>
            </w:r>
            <w:r>
              <w:rPr>
                <w:color w:val="auto"/>
                <w:szCs w:val="21"/>
                <w:highlight w:val="none"/>
              </w:rPr>
              <w:t>0</w:t>
            </w:r>
            <w:r>
              <w:rPr>
                <w:rFonts w:hint="eastAsia"/>
                <w:color w:val="auto"/>
                <w:szCs w:val="21"/>
                <w:highlight w:val="none"/>
              </w:rPr>
              <w:t>%，且不低于其成本。非竞争性费用报价项（如有）按照招标人公布的金额进行报列</w:t>
            </w:r>
            <w:r>
              <w:rPr>
                <w:rFonts w:hint="eastAsia" w:hAnsi="宋体"/>
                <w:color w:val="auto"/>
                <w:highlight w:val="none"/>
                <w:u w:val="none"/>
              </w:rPr>
              <w:t>，不得自行变更，否则视为原则性不响应招标文件要求，作否决投标处理</w:t>
            </w:r>
            <w:r>
              <w:rPr>
                <w:rFonts w:hint="eastAsia"/>
                <w:color w:val="auto"/>
                <w:szCs w:val="21"/>
                <w:highlight w:val="none"/>
                <w:u w:val="none"/>
              </w:rPr>
              <w:t>。</w:t>
            </w:r>
          </w:p>
          <w:p>
            <w:pPr>
              <w:numPr>
                <w:ilvl w:val="-1"/>
                <w:numId w:val="0"/>
              </w:numPr>
              <w:spacing w:line="360" w:lineRule="auto"/>
              <w:rPr>
                <w:rFonts w:hint="eastAsia"/>
                <w:color w:val="auto"/>
                <w:szCs w:val="21"/>
                <w:highlight w:val="none"/>
              </w:rPr>
            </w:pPr>
            <w:r>
              <w:rPr>
                <w:rFonts w:hint="eastAsia"/>
                <w:color w:val="auto"/>
                <w:szCs w:val="21"/>
                <w:highlight w:val="none"/>
              </w:rPr>
              <w:t>（2）成本警示价：</w:t>
            </w:r>
            <w:r>
              <w:rPr>
                <w:rFonts w:hint="eastAsia" w:hAnsi="Times New Roman"/>
                <w:color w:val="auto"/>
                <w:szCs w:val="21"/>
                <w:highlight w:val="none"/>
              </w:rPr>
              <w:t>投标下浮率＞</w:t>
            </w:r>
            <w:r>
              <w:rPr>
                <w:rFonts w:hint="eastAsia" w:hAnsi="Times New Roman"/>
                <w:color w:val="auto"/>
                <w:szCs w:val="21"/>
                <w:highlight w:val="none"/>
                <w:lang w:val="en-US" w:eastAsia="zh-CN"/>
              </w:rPr>
              <w:t>3</w:t>
            </w:r>
            <w:r>
              <w:rPr>
                <w:rFonts w:hint="eastAsia" w:hAnsi="Times New Roman"/>
                <w:color w:val="auto"/>
                <w:szCs w:val="21"/>
                <w:highlight w:val="none"/>
              </w:rPr>
              <w:t>0%时，应在投标文件中附成本分析报告，充分说明单价和费用的组成、降低成本的合理措施及在其他工程中应用过的经验等，否则视为原则性不响应招标文件要求，作否决投标处理</w:t>
            </w:r>
            <w:r>
              <w:rPr>
                <w:rFonts w:hint="eastAsia"/>
                <w:color w:val="auto"/>
                <w:szCs w:val="21"/>
                <w:highlight w:val="none"/>
              </w:rPr>
              <w:t>。</w:t>
            </w:r>
          </w:p>
          <w:p>
            <w:pPr>
              <w:spacing w:line="360" w:lineRule="auto"/>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w:t>
            </w:r>
            <w:r>
              <w:rPr>
                <w:rFonts w:ascii="宋体" w:hAnsi="宋体"/>
                <w:color w:val="auto"/>
                <w:szCs w:val="21"/>
                <w:highlight w:val="none"/>
              </w:rPr>
              <w:t>投标报价为</w:t>
            </w:r>
            <w:r>
              <w:rPr>
                <w:rFonts w:hint="eastAsia" w:ascii="宋体" w:hAnsi="宋体"/>
                <w:color w:val="auto"/>
                <w:szCs w:val="21"/>
                <w:highlight w:val="none"/>
              </w:rPr>
              <w:t>完成本工程</w:t>
            </w:r>
            <w:r>
              <w:rPr>
                <w:rFonts w:ascii="宋体" w:hAnsi="宋体"/>
                <w:color w:val="auto"/>
                <w:szCs w:val="21"/>
                <w:highlight w:val="none"/>
              </w:rPr>
              <w:t>项目的</w:t>
            </w:r>
            <w:r>
              <w:rPr>
                <w:rFonts w:hint="eastAsia" w:ascii="宋体" w:hAnsi="宋体"/>
                <w:color w:val="auto"/>
                <w:szCs w:val="21"/>
                <w:highlight w:val="none"/>
                <w:u w:val="none"/>
              </w:rPr>
              <w:t>工程勘察、</w:t>
            </w:r>
            <w:r>
              <w:rPr>
                <w:rFonts w:hint="eastAsia" w:ascii="宋体" w:hAnsi="宋体"/>
                <w:color w:val="auto"/>
                <w:highlight w:val="none"/>
                <w:u w:val="none"/>
              </w:rPr>
              <w:t>初步设计、概算、施工图设计、现场技术服务和竣工图</w:t>
            </w:r>
            <w:r>
              <w:rPr>
                <w:rFonts w:hint="eastAsia" w:ascii="宋体" w:hAnsi="宋体"/>
                <w:color w:val="auto"/>
                <w:highlight w:val="none"/>
                <w:u w:val="none"/>
                <w:lang w:val="en-US" w:eastAsia="zh-CN"/>
              </w:rPr>
              <w:t>配合服务</w:t>
            </w:r>
            <w:r>
              <w:rPr>
                <w:rFonts w:hint="eastAsia" w:ascii="宋体" w:hAnsi="宋体"/>
                <w:color w:val="auto"/>
                <w:highlight w:val="none"/>
                <w:u w:val="none"/>
              </w:rPr>
              <w:t>、设计配合结算、电子化移交、</w:t>
            </w:r>
            <w:r>
              <w:rPr>
                <w:rFonts w:ascii="宋体" w:hAnsi="宋体"/>
                <w:color w:val="auto"/>
                <w:szCs w:val="21"/>
                <w:highlight w:val="none"/>
                <w:u w:val="none"/>
              </w:rPr>
              <w:t>物资设备录入</w:t>
            </w:r>
            <w:r>
              <w:rPr>
                <w:rFonts w:hint="eastAsia" w:ascii="宋体" w:hAnsi="宋体"/>
                <w:color w:val="auto"/>
                <w:highlight w:val="none"/>
                <w:u w:val="none"/>
              </w:rPr>
              <w:t>、配合建筑方案报批、全面开展标准建设等工作</w:t>
            </w:r>
            <w:r>
              <w:rPr>
                <w:rFonts w:hint="eastAsia" w:ascii="宋体" w:hAnsi="宋体"/>
                <w:color w:val="auto"/>
                <w:szCs w:val="21"/>
                <w:highlight w:val="none"/>
                <w:u w:val="none"/>
              </w:rPr>
              <w:t>。</w:t>
            </w:r>
            <w:r>
              <w:rPr>
                <w:rFonts w:ascii="宋体" w:hAnsi="宋体"/>
                <w:color w:val="auto"/>
                <w:szCs w:val="21"/>
                <w:highlight w:val="none"/>
              </w:rPr>
              <w:t>缺陷责任期（指按竣工投产之日起计算满</w:t>
            </w:r>
            <w:r>
              <w:rPr>
                <w:rFonts w:ascii="宋体" w:hAnsi="宋体"/>
                <w:color w:val="auto"/>
                <w:szCs w:val="21"/>
                <w:highlight w:val="none"/>
                <w:u w:val="single"/>
              </w:rPr>
              <w:t>2</w:t>
            </w:r>
            <w:r>
              <w:rPr>
                <w:rFonts w:ascii="宋体" w:hAnsi="宋体"/>
                <w:color w:val="auto"/>
                <w:szCs w:val="21"/>
                <w:highlight w:val="none"/>
              </w:rPr>
              <w:t>年）内的所有费用（非</w:t>
            </w:r>
            <w:r>
              <w:rPr>
                <w:rFonts w:hint="eastAsia" w:ascii="宋体" w:hAnsi="宋体"/>
                <w:color w:val="auto"/>
                <w:szCs w:val="21"/>
                <w:highlight w:val="none"/>
              </w:rPr>
              <w:t>勘察</w:t>
            </w:r>
            <w:r>
              <w:rPr>
                <w:rFonts w:ascii="宋体" w:hAnsi="宋体"/>
                <w:color w:val="auto"/>
                <w:szCs w:val="21"/>
                <w:highlight w:val="none"/>
              </w:rPr>
              <w:t>设计方原因造成的除外）。</w:t>
            </w:r>
          </w:p>
          <w:p>
            <w:pPr>
              <w:spacing w:line="360" w:lineRule="auto"/>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）投标报价：</w:t>
            </w:r>
            <w:r>
              <w:rPr>
                <w:rFonts w:hint="eastAsia" w:ascii="宋体" w:hAnsi="宋体" w:cs="宋体"/>
                <w:color w:val="auto"/>
                <w:kern w:val="0"/>
                <w:szCs w:val="21"/>
                <w:highlight w:val="none"/>
                <w:lang w:bidi="ar"/>
              </w:rPr>
              <w:t>工程设计费，按照《工程勘察设计收费标准》（2002年修订本）的收费基准价×（1</w:t>
            </w:r>
            <w:r>
              <w:rPr>
                <w:rFonts w:ascii="宋体" w:hAnsi="宋体" w:cs="宋体"/>
                <w:color w:val="auto"/>
                <w:kern w:val="0"/>
                <w:szCs w:val="21"/>
                <w:highlight w:val="none"/>
                <w:lang w:bidi="ar"/>
              </w:rPr>
              <w:t>-</w:t>
            </w:r>
            <w:r>
              <w:rPr>
                <w:rFonts w:hint="eastAsia" w:ascii="宋体" w:hAnsi="宋体" w:cs="宋体"/>
                <w:color w:val="auto"/>
                <w:kern w:val="0"/>
                <w:szCs w:val="21"/>
                <w:highlight w:val="none"/>
                <w:lang w:bidi="ar"/>
              </w:rPr>
              <w:t xml:space="preserve">投标下浮率）计算，最终以招标人确认或财审审定的工程施工图总预算价作为计费基数（计费额），其工程设计收费标准的专业调整系数为 </w:t>
            </w:r>
            <w:r>
              <w:rPr>
                <w:rFonts w:ascii="宋体" w:hAnsi="宋体" w:cs="宋体"/>
                <w:color w:val="auto"/>
                <w:kern w:val="0"/>
                <w:szCs w:val="21"/>
                <w:highlight w:val="none"/>
                <w:lang w:bidi="ar"/>
              </w:rPr>
              <w:t>1.2</w:t>
            </w:r>
            <w:r>
              <w:rPr>
                <w:rFonts w:hint="eastAsia" w:ascii="宋体" w:hAnsi="宋体" w:cs="宋体"/>
                <w:color w:val="auto"/>
                <w:kern w:val="0"/>
                <w:szCs w:val="21"/>
                <w:highlight w:val="none"/>
                <w:lang w:bidi="ar"/>
              </w:rPr>
              <w:t>，工程复杂程度调整系数为 1.0，附加调整系数为1.0。（备注：调整系数为暂定系数，最终以财政部门审定为准）</w:t>
            </w:r>
            <w:r>
              <w:rPr>
                <w:rFonts w:hint="eastAsia" w:ascii="宋体" w:hAnsi="宋体" w:cs="宋体"/>
                <w:color w:val="auto"/>
                <w:kern w:val="0"/>
                <w:szCs w:val="21"/>
                <w:highlight w:val="none"/>
                <w:lang w:eastAsia="zh-CN" w:bidi="ar"/>
              </w:rPr>
              <w:t>。</w:t>
            </w:r>
            <w:r>
              <w:rPr>
                <w:rFonts w:hint="eastAsia" w:ascii="宋体" w:hAnsi="宋体"/>
                <w:color w:val="auto"/>
                <w:szCs w:val="21"/>
                <w:highlight w:val="none"/>
              </w:rPr>
              <w:t>本项目工程勘察费根据国家发展计划委员会、建设部</w:t>
            </w:r>
            <w:r>
              <w:rPr>
                <w:rFonts w:ascii="宋体" w:hAnsi="宋体"/>
                <w:color w:val="auto"/>
                <w:szCs w:val="21"/>
                <w:highlight w:val="none"/>
              </w:rPr>
              <w:t>2002</w:t>
            </w:r>
            <w:r>
              <w:rPr>
                <w:rFonts w:hint="eastAsia" w:ascii="宋体" w:hAnsi="宋体"/>
                <w:color w:val="auto"/>
                <w:szCs w:val="21"/>
                <w:highlight w:val="none"/>
              </w:rPr>
              <w:t>年颁布的《工程勘察设计收费标准》（</w:t>
            </w:r>
            <w:r>
              <w:rPr>
                <w:rFonts w:ascii="宋体" w:hAnsi="宋体"/>
                <w:color w:val="auto"/>
                <w:szCs w:val="21"/>
                <w:highlight w:val="none"/>
              </w:rPr>
              <w:t>2002</w:t>
            </w:r>
            <w:r>
              <w:rPr>
                <w:rFonts w:hint="eastAsia" w:ascii="宋体" w:hAnsi="宋体"/>
                <w:color w:val="auto"/>
                <w:szCs w:val="21"/>
                <w:highlight w:val="none"/>
              </w:rPr>
              <w:t>年修订本）规定</w:t>
            </w:r>
            <w:r>
              <w:rPr>
                <w:rFonts w:hint="eastAsia" w:ascii="宋体" w:hAnsi="宋体" w:cs="宋体"/>
                <w:color w:val="auto"/>
                <w:kern w:val="0"/>
                <w:szCs w:val="21"/>
                <w:highlight w:val="none"/>
                <w:lang w:bidi="ar"/>
              </w:rPr>
              <w:t>×（1</w:t>
            </w:r>
            <w:r>
              <w:rPr>
                <w:rFonts w:ascii="宋体" w:hAnsi="宋体" w:cs="宋体"/>
                <w:color w:val="auto"/>
                <w:kern w:val="0"/>
                <w:szCs w:val="21"/>
                <w:highlight w:val="none"/>
                <w:lang w:bidi="ar"/>
              </w:rPr>
              <w:t>-</w:t>
            </w:r>
            <w:r>
              <w:rPr>
                <w:rFonts w:hint="eastAsia" w:ascii="宋体" w:hAnsi="宋体" w:cs="宋体"/>
                <w:color w:val="auto"/>
                <w:kern w:val="0"/>
                <w:szCs w:val="21"/>
                <w:highlight w:val="none"/>
                <w:lang w:bidi="ar"/>
              </w:rPr>
              <w:t>投标下浮率）计算</w:t>
            </w:r>
            <w:r>
              <w:rPr>
                <w:rFonts w:hint="eastAsia" w:ascii="宋体" w:hAnsi="宋体"/>
                <w:color w:val="auto"/>
                <w:szCs w:val="21"/>
                <w:highlight w:val="none"/>
              </w:rPr>
              <w:t>。</w:t>
            </w:r>
          </w:p>
          <w:p>
            <w:pPr>
              <w:spacing w:line="360" w:lineRule="auto"/>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投标报价应包括（但不限于）工程需办理工程勘察相关许可的费用，购买有关资料费，勘察设计</w:t>
            </w:r>
            <w:r>
              <w:rPr>
                <w:rFonts w:hint="eastAsia" w:ascii="宋体" w:hAnsi="宋体"/>
                <w:color w:val="auto"/>
                <w:szCs w:val="21"/>
                <w:highlight w:val="none"/>
              </w:rPr>
              <w:t>服务</w:t>
            </w:r>
            <w:r>
              <w:rPr>
                <w:rFonts w:ascii="宋体" w:hAnsi="宋体"/>
                <w:color w:val="auto"/>
                <w:szCs w:val="21"/>
                <w:highlight w:val="none"/>
              </w:rPr>
              <w:t>期间发生下列相关工作及费用由勘察设计方负责：</w:t>
            </w:r>
          </w:p>
          <w:p>
            <w:pPr>
              <w:spacing w:line="360" w:lineRule="auto"/>
              <w:rPr>
                <w:rFonts w:ascii="宋体" w:hAnsi="宋体"/>
                <w:color w:val="auto"/>
                <w:szCs w:val="21"/>
                <w:highlight w:val="none"/>
              </w:rPr>
            </w:pPr>
            <w:r>
              <w:rPr>
                <w:rFonts w:hint="eastAsia" w:ascii="宋体" w:hAnsi="宋体"/>
                <w:color w:val="auto"/>
                <w:szCs w:val="21"/>
                <w:highlight w:val="none"/>
              </w:rPr>
              <w:sym w:font="Wingdings 2" w:char="0052"/>
            </w:r>
            <w:r>
              <w:rPr>
                <w:rFonts w:ascii="宋体" w:hAnsi="宋体"/>
                <w:color w:val="auto"/>
                <w:szCs w:val="21"/>
                <w:highlight w:val="none"/>
              </w:rPr>
              <w:t>青苗（含树木、水上草殖、草场等）赔偿费</w:t>
            </w:r>
          </w:p>
          <w:p>
            <w:pPr>
              <w:spacing w:line="360" w:lineRule="auto"/>
              <w:rPr>
                <w:rFonts w:ascii="宋体" w:hAnsi="宋体"/>
                <w:color w:val="auto"/>
                <w:szCs w:val="21"/>
                <w:highlight w:val="none"/>
              </w:rPr>
            </w:pPr>
            <w:r>
              <w:rPr>
                <w:rFonts w:hint="eastAsia" w:ascii="宋体" w:hAnsi="宋体"/>
                <w:color w:val="auto"/>
                <w:szCs w:val="21"/>
                <w:highlight w:val="none"/>
              </w:rPr>
              <w:sym w:font="Wingdings 2" w:char="0052"/>
            </w:r>
            <w:r>
              <w:rPr>
                <w:rFonts w:ascii="宋体" w:hAnsi="宋体"/>
                <w:color w:val="auto"/>
                <w:szCs w:val="21"/>
                <w:highlight w:val="none"/>
              </w:rPr>
              <w:t>妨碍现场作业的地上地下构筑物拆除、地下管线查明、开挖及修复费</w:t>
            </w:r>
          </w:p>
          <w:p>
            <w:pPr>
              <w:spacing w:line="360" w:lineRule="auto"/>
              <w:rPr>
                <w:rFonts w:ascii="宋体" w:hAnsi="宋体"/>
                <w:color w:val="auto"/>
                <w:szCs w:val="21"/>
                <w:highlight w:val="none"/>
              </w:rPr>
            </w:pPr>
            <w:r>
              <w:rPr>
                <w:rFonts w:hint="eastAsia" w:ascii="宋体" w:hAnsi="宋体"/>
                <w:color w:val="auto"/>
                <w:szCs w:val="21"/>
                <w:highlight w:val="none"/>
              </w:rPr>
              <w:sym w:font="Wingdings 2" w:char="0052"/>
            </w:r>
            <w:r>
              <w:rPr>
                <w:rFonts w:ascii="宋体" w:hAnsi="宋体"/>
                <w:color w:val="auto"/>
                <w:szCs w:val="21"/>
                <w:highlight w:val="none"/>
              </w:rPr>
              <w:t>水上勘察作业船、排、平台及驾船工费用</w:t>
            </w:r>
          </w:p>
          <w:p>
            <w:pPr>
              <w:spacing w:line="360" w:lineRule="auto"/>
              <w:rPr>
                <w:rFonts w:ascii="宋体" w:hAnsi="宋体"/>
                <w:color w:val="auto"/>
                <w:szCs w:val="21"/>
                <w:highlight w:val="none"/>
              </w:rPr>
            </w:pPr>
            <w:r>
              <w:rPr>
                <w:rFonts w:hint="eastAsia" w:ascii="宋体" w:hAnsi="宋体"/>
                <w:color w:val="auto"/>
                <w:szCs w:val="21"/>
                <w:highlight w:val="none"/>
              </w:rPr>
              <w:sym w:font="Wingdings 2" w:char="0052"/>
            </w:r>
            <w:r>
              <w:rPr>
                <w:rFonts w:ascii="宋体" w:hAnsi="宋体"/>
                <w:color w:val="auto"/>
                <w:szCs w:val="21"/>
                <w:highlight w:val="none"/>
              </w:rPr>
              <w:t>船舶停靠码头费用、水上交通安全监督维护费、水上填岛或筑台费</w:t>
            </w:r>
          </w:p>
          <w:p>
            <w:pPr>
              <w:spacing w:line="360" w:lineRule="auto"/>
              <w:rPr>
                <w:rFonts w:ascii="宋体" w:hAnsi="宋体"/>
                <w:color w:val="auto"/>
                <w:szCs w:val="21"/>
                <w:highlight w:val="none"/>
              </w:rPr>
            </w:pPr>
            <w:r>
              <w:rPr>
                <w:rFonts w:hint="eastAsia" w:ascii="宋体" w:hAnsi="宋体"/>
                <w:color w:val="auto"/>
                <w:szCs w:val="21"/>
                <w:highlight w:val="none"/>
              </w:rPr>
              <w:sym w:font="Wingdings 2" w:char="0052"/>
            </w:r>
            <w:r>
              <w:rPr>
                <w:rFonts w:ascii="宋体" w:hAnsi="宋体"/>
                <w:color w:val="auto"/>
                <w:szCs w:val="21"/>
                <w:highlight w:val="none"/>
              </w:rPr>
              <w:t>工程水文、工程气象的基础资料费</w:t>
            </w:r>
          </w:p>
          <w:p>
            <w:pPr>
              <w:spacing w:line="360" w:lineRule="auto"/>
              <w:rPr>
                <w:rFonts w:ascii="宋体" w:hAnsi="宋体"/>
                <w:color w:val="auto"/>
                <w:szCs w:val="21"/>
                <w:highlight w:val="none"/>
              </w:rPr>
            </w:pPr>
            <w:r>
              <w:rPr>
                <w:rFonts w:hint="eastAsia" w:ascii="宋体" w:hAnsi="宋体"/>
                <w:color w:val="auto"/>
                <w:szCs w:val="21"/>
                <w:highlight w:val="none"/>
              </w:rPr>
              <w:sym w:font="Wingdings 2" w:char="0052"/>
            </w:r>
            <w:r>
              <w:rPr>
                <w:rFonts w:ascii="宋体" w:hAnsi="宋体"/>
                <w:color w:val="auto"/>
                <w:szCs w:val="21"/>
                <w:highlight w:val="none"/>
              </w:rPr>
              <w:t>工程测量起算数据成果资料费</w:t>
            </w:r>
          </w:p>
          <w:p>
            <w:pPr>
              <w:spacing w:line="360" w:lineRule="auto"/>
              <w:rPr>
                <w:rFonts w:ascii="宋体" w:hAnsi="宋体"/>
                <w:color w:val="auto"/>
                <w:szCs w:val="21"/>
                <w:highlight w:val="none"/>
              </w:rPr>
            </w:pPr>
            <w:r>
              <w:rPr>
                <w:rFonts w:hint="eastAsia" w:ascii="宋体" w:hAnsi="宋体"/>
                <w:color w:val="auto"/>
                <w:szCs w:val="21"/>
                <w:highlight w:val="none"/>
              </w:rPr>
              <w:sym w:font="Wingdings 2" w:char="0052"/>
            </w:r>
            <w:r>
              <w:rPr>
                <w:rFonts w:ascii="宋体" w:hAnsi="宋体"/>
                <w:color w:val="auto"/>
                <w:szCs w:val="21"/>
                <w:highlight w:val="none"/>
              </w:rPr>
              <w:t>航测、遥感判译所需的航、卫片购置费</w:t>
            </w:r>
          </w:p>
          <w:p>
            <w:pPr>
              <w:spacing w:line="360" w:lineRule="auto"/>
              <w:rPr>
                <w:rFonts w:ascii="宋体" w:hAnsi="宋体"/>
                <w:color w:val="auto"/>
                <w:szCs w:val="21"/>
                <w:highlight w:val="none"/>
              </w:rPr>
            </w:pPr>
            <w:r>
              <w:rPr>
                <w:rFonts w:hint="eastAsia" w:ascii="宋体" w:hAnsi="宋体"/>
                <w:color w:val="auto"/>
                <w:szCs w:val="21"/>
                <w:highlight w:val="none"/>
              </w:rPr>
              <w:sym w:font="Wingdings 2" w:char="0052"/>
            </w:r>
            <w:r>
              <w:rPr>
                <w:rFonts w:ascii="宋体" w:hAnsi="宋体"/>
                <w:color w:val="auto"/>
                <w:szCs w:val="21"/>
                <w:highlight w:val="none"/>
              </w:rPr>
              <w:t>区域地质及场地地震资料费等购买有关资料费</w:t>
            </w:r>
          </w:p>
          <w:p>
            <w:pPr>
              <w:spacing w:line="360" w:lineRule="auto"/>
              <w:rPr>
                <w:rFonts w:ascii="宋体" w:hAnsi="宋体"/>
                <w:color w:val="auto"/>
                <w:szCs w:val="21"/>
                <w:highlight w:val="none"/>
              </w:rPr>
            </w:pPr>
            <w:r>
              <w:rPr>
                <w:rFonts w:hint="eastAsia" w:ascii="宋体" w:hAnsi="宋体"/>
                <w:color w:val="auto"/>
                <w:szCs w:val="21"/>
                <w:highlight w:val="none"/>
              </w:rPr>
              <w:sym w:font="Wingdings 2" w:char="0052"/>
            </w:r>
            <w:r>
              <w:rPr>
                <w:rFonts w:ascii="宋体" w:hAnsi="宋体"/>
                <w:color w:val="auto"/>
                <w:szCs w:val="21"/>
                <w:highlight w:val="none"/>
              </w:rPr>
              <w:t>变电站工程中的进站道路、永久电源、临时施工电源、水源引水或是打井、通信工程及送电线路工程中跨越线路引起的迁改工程</w:t>
            </w:r>
          </w:p>
          <w:p>
            <w:pPr>
              <w:spacing w:line="360" w:lineRule="auto"/>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其他</w:t>
            </w:r>
            <w:r>
              <w:rPr>
                <w:rFonts w:hint="eastAsia" w:ascii="宋体" w:hAnsi="宋体"/>
                <w:color w:val="auto"/>
                <w:szCs w:val="21"/>
                <w:highlight w:val="none"/>
              </w:rPr>
              <w:t>：</w:t>
            </w:r>
            <w:r>
              <w:rPr>
                <w:rFonts w:ascii="宋体" w:hAnsi="宋体"/>
                <w:color w:val="auto"/>
                <w:szCs w:val="21"/>
                <w:highlight w:val="none"/>
              </w:rPr>
              <w:t>__________</w:t>
            </w:r>
            <w:r>
              <w:rPr>
                <w:rFonts w:hint="eastAsia" w:ascii="宋体" w:hAnsi="宋体"/>
                <w:color w:val="auto"/>
                <w:szCs w:val="21"/>
                <w:highlight w:val="none"/>
              </w:rPr>
              <w:t>/</w:t>
            </w:r>
            <w:r>
              <w:rPr>
                <w:rFonts w:ascii="宋体" w:hAnsi="宋体"/>
                <w:color w:val="auto"/>
                <w:szCs w:val="21"/>
                <w:highlight w:val="none"/>
              </w:rPr>
              <w:t>_________________</w:t>
            </w:r>
          </w:p>
          <w:p>
            <w:pPr>
              <w:spacing w:line="360" w:lineRule="auto"/>
              <w:rPr>
                <w:rFonts w:ascii="宋体" w:hAnsi="宋体"/>
                <w:color w:val="auto"/>
                <w:szCs w:val="21"/>
                <w:highlight w:val="none"/>
              </w:rPr>
            </w:pPr>
            <w:r>
              <w:rPr>
                <w:rFonts w:ascii="宋体" w:hAnsi="宋体"/>
                <w:color w:val="auto"/>
                <w:szCs w:val="21"/>
                <w:highlight w:val="none"/>
              </w:rPr>
              <w:t>等相应的各阶段勘察设计费。</w:t>
            </w:r>
          </w:p>
        </w:tc>
      </w:tr>
      <w:tr>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3.3.1</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投标有效期</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ascii="宋体" w:hAnsi="宋体"/>
                <w:color w:val="auto"/>
                <w:szCs w:val="21"/>
                <w:highlight w:val="none"/>
              </w:rPr>
            </w:pPr>
            <w:bookmarkStart w:id="125" w:name="_Toc352691470"/>
            <w:bookmarkStart w:id="126" w:name="_Toc384308207"/>
            <w:bookmarkStart w:id="127" w:name="_Toc300834946"/>
            <w:bookmarkStart w:id="128" w:name="_Toc361508582"/>
            <w:bookmarkStart w:id="129" w:name="_Toc1789"/>
            <w:bookmarkStart w:id="130" w:name="_Toc369531512"/>
            <w:r>
              <w:rPr>
                <w:rFonts w:hint="eastAsia" w:ascii="宋体" w:hAnsi="宋体"/>
                <w:color w:val="auto"/>
                <w:szCs w:val="21"/>
                <w:highlight w:val="none"/>
              </w:rPr>
              <w:t>投标截止日起</w:t>
            </w:r>
            <w:r>
              <w:rPr>
                <w:rFonts w:hint="eastAsia" w:ascii="宋体" w:hAnsi="宋体"/>
                <w:color w:val="auto"/>
                <w:szCs w:val="21"/>
                <w:highlight w:val="none"/>
                <w:u w:val="single"/>
              </w:rPr>
              <w:t>120</w:t>
            </w:r>
            <w:r>
              <w:rPr>
                <w:rFonts w:hint="eastAsia" w:ascii="宋体" w:hAnsi="宋体"/>
                <w:color w:val="auto"/>
                <w:szCs w:val="21"/>
                <w:highlight w:val="none"/>
              </w:rPr>
              <w:t>天</w:t>
            </w:r>
          </w:p>
        </w:tc>
      </w:tr>
      <w:bookmarkEnd w:id="125"/>
      <w:bookmarkEnd w:id="126"/>
      <w:bookmarkEnd w:id="127"/>
      <w:bookmarkEnd w:id="128"/>
      <w:bookmarkEnd w:id="129"/>
      <w:bookmarkEnd w:id="130"/>
      <w:tr>
        <w:tblPrEx>
          <w:tblCellMar>
            <w:top w:w="0" w:type="dxa"/>
            <w:left w:w="108" w:type="dxa"/>
            <w:bottom w:w="0" w:type="dxa"/>
            <w:right w:w="108" w:type="dxa"/>
          </w:tblCellMar>
        </w:tblPrEx>
        <w:trPr>
          <w:trHeight w:val="906"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3.4.1</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hint="eastAsia"/>
                <w:color w:val="auto"/>
                <w:szCs w:val="21"/>
                <w:highlight w:val="none"/>
              </w:rPr>
              <w:t>投标保证金</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rPr>
                <w:rFonts w:hint="eastAsia" w:hAnsi="宋体"/>
                <w:color w:val="auto"/>
                <w:szCs w:val="21"/>
                <w:highlight w:val="none"/>
                <w:u w:val="single"/>
              </w:rPr>
            </w:pPr>
            <w:r>
              <w:rPr>
                <w:rFonts w:hint="eastAsia" w:hAnsi="宋体"/>
                <w:color w:val="auto"/>
                <w:szCs w:val="21"/>
                <w:highlight w:val="none"/>
                <w:u w:val="single"/>
              </w:rPr>
              <w:t>投标保证金的形式和要求：仅限于电汇</w:t>
            </w:r>
            <w:r>
              <w:rPr>
                <w:rFonts w:hAnsi="宋体"/>
                <w:color w:val="auto"/>
                <w:szCs w:val="21"/>
                <w:highlight w:val="none"/>
                <w:u w:val="single"/>
              </w:rPr>
              <w:t>(</w:t>
            </w:r>
            <w:r>
              <w:rPr>
                <w:rFonts w:hint="eastAsia" w:hAnsi="宋体"/>
                <w:color w:val="auto"/>
                <w:szCs w:val="21"/>
                <w:highlight w:val="none"/>
                <w:u w:val="single"/>
              </w:rPr>
              <w:t>转账</w:t>
            </w:r>
            <w:r>
              <w:rPr>
                <w:rFonts w:hAnsi="宋体"/>
                <w:color w:val="auto"/>
                <w:szCs w:val="21"/>
                <w:highlight w:val="none"/>
                <w:u w:val="single"/>
              </w:rPr>
              <w:t>)</w:t>
            </w:r>
            <w:r>
              <w:rPr>
                <w:rFonts w:hint="eastAsia" w:hAnsi="宋体"/>
                <w:color w:val="auto"/>
                <w:szCs w:val="21"/>
                <w:highlight w:val="none"/>
                <w:u w:val="single"/>
              </w:rPr>
              <w:t>或者是具有法律效力的保函、保险等方式，优先推荐使用保函方式。采用保函、保险方式递交的，保函、保险有效期应与投标有效期一致。采用电汇</w:t>
            </w:r>
            <w:r>
              <w:rPr>
                <w:rFonts w:hAnsi="宋体"/>
                <w:color w:val="auto"/>
                <w:szCs w:val="21"/>
                <w:highlight w:val="none"/>
                <w:u w:val="single"/>
              </w:rPr>
              <w:t>(</w:t>
            </w:r>
            <w:r>
              <w:rPr>
                <w:rFonts w:hint="eastAsia" w:hAnsi="宋体"/>
                <w:color w:val="auto"/>
                <w:szCs w:val="21"/>
                <w:highlight w:val="none"/>
                <w:u w:val="single"/>
              </w:rPr>
              <w:t>转账</w:t>
            </w:r>
            <w:r>
              <w:rPr>
                <w:rFonts w:hAnsi="宋体"/>
                <w:color w:val="auto"/>
                <w:szCs w:val="21"/>
                <w:highlight w:val="none"/>
                <w:u w:val="single"/>
              </w:rPr>
              <w:t>)</w:t>
            </w:r>
            <w:r>
              <w:rPr>
                <w:rFonts w:hint="eastAsia" w:hAnsi="宋体"/>
                <w:color w:val="auto"/>
                <w:szCs w:val="21"/>
                <w:highlight w:val="none"/>
                <w:u w:val="single"/>
              </w:rPr>
              <w:t>方式递交的，投标保证金应当从其基本账户转出，必须按规定的投标截止时间提前到达招标文件指定账户。</w:t>
            </w:r>
          </w:p>
          <w:p>
            <w:pPr>
              <w:rPr>
                <w:rFonts w:hint="eastAsia" w:hAnsi="宋体"/>
                <w:color w:val="auto"/>
                <w:szCs w:val="21"/>
                <w:highlight w:val="none"/>
                <w:u w:val="single"/>
              </w:rPr>
            </w:pPr>
            <w:r>
              <w:rPr>
                <w:rFonts w:hint="eastAsia" w:hAnsi="宋体"/>
                <w:color w:val="auto"/>
                <w:szCs w:val="21"/>
                <w:highlight w:val="none"/>
                <w:u w:val="single"/>
              </w:rPr>
              <w:t>投标保证金的金额：</w:t>
            </w:r>
            <w:r>
              <w:rPr>
                <w:rFonts w:hint="eastAsia" w:hAnsi="宋体"/>
                <w:color w:val="auto"/>
                <w:highlight w:val="none"/>
                <w:u w:val="single"/>
              </w:rPr>
              <w:t>各标段保证金金额见招标公告。</w:t>
            </w:r>
          </w:p>
          <w:p>
            <w:pPr>
              <w:rPr>
                <w:rFonts w:hAnsi="宋体"/>
                <w:color w:val="auto"/>
                <w:highlight w:val="none"/>
                <w:u w:val="single"/>
              </w:rPr>
            </w:pPr>
            <w:r>
              <w:rPr>
                <w:rFonts w:hint="eastAsia" w:hAnsi="宋体"/>
                <w:color w:val="auto"/>
                <w:szCs w:val="21"/>
                <w:highlight w:val="none"/>
                <w:u w:val="single"/>
              </w:rPr>
              <w:t>收款单位：</w:t>
            </w:r>
            <w:r>
              <w:rPr>
                <w:rFonts w:hint="eastAsia" w:hAnsi="宋体"/>
                <w:color w:val="auto"/>
                <w:highlight w:val="none"/>
                <w:u w:val="single"/>
                <w:lang w:val="en-US" w:eastAsia="zh-CN"/>
              </w:rPr>
              <w:t>广州交易集团有限公司</w:t>
            </w:r>
            <w:r>
              <w:rPr>
                <w:rFonts w:hint="eastAsia" w:hAnsi="宋体"/>
                <w:color w:val="auto"/>
                <w:highlight w:val="none"/>
                <w:u w:val="single"/>
              </w:rPr>
              <w:t>。</w:t>
            </w:r>
          </w:p>
          <w:p>
            <w:pPr>
              <w:rPr>
                <w:rFonts w:hint="eastAsia" w:hAnsi="宋体"/>
                <w:color w:val="auto"/>
                <w:szCs w:val="21"/>
                <w:highlight w:val="none"/>
                <w:u w:val="single"/>
              </w:rPr>
            </w:pPr>
            <w:r>
              <w:rPr>
                <w:rFonts w:hint="eastAsia" w:hAnsi="宋体"/>
                <w:color w:val="auto"/>
                <w:szCs w:val="21"/>
                <w:highlight w:val="none"/>
                <w:u w:val="single"/>
              </w:rPr>
              <w:t>开户银行：</w:t>
            </w:r>
            <w:r>
              <w:rPr>
                <w:rFonts w:hint="eastAsia" w:hAnsi="宋体"/>
                <w:color w:val="auto"/>
                <w:highlight w:val="none"/>
                <w:u w:val="single"/>
                <w:lang w:val="en-US" w:eastAsia="zh-CN"/>
              </w:rPr>
              <w:t>中国建设银行广州天润路支行</w:t>
            </w:r>
            <w:r>
              <w:rPr>
                <w:rFonts w:hint="eastAsia" w:hAnsi="宋体"/>
                <w:color w:val="auto"/>
                <w:highlight w:val="none"/>
                <w:u w:val="single"/>
              </w:rPr>
              <w:t>。</w:t>
            </w:r>
          </w:p>
          <w:p>
            <w:pPr>
              <w:rPr>
                <w:rFonts w:hint="eastAsia" w:hAnsi="宋体"/>
                <w:color w:val="auto"/>
                <w:highlight w:val="none"/>
                <w:u w:val="single"/>
              </w:rPr>
            </w:pPr>
            <w:r>
              <w:rPr>
                <w:rFonts w:hint="eastAsia" w:hAnsi="宋体"/>
                <w:color w:val="auto"/>
                <w:szCs w:val="21"/>
                <w:highlight w:val="none"/>
                <w:u w:val="single"/>
              </w:rPr>
              <w:t xml:space="preserve">账 </w:t>
            </w:r>
            <w:r>
              <w:rPr>
                <w:rFonts w:hAnsi="宋体"/>
                <w:color w:val="auto"/>
                <w:szCs w:val="21"/>
                <w:highlight w:val="none"/>
                <w:u w:val="single"/>
              </w:rPr>
              <w:t xml:space="preserve"> </w:t>
            </w:r>
            <w:r>
              <w:rPr>
                <w:rFonts w:hint="eastAsia" w:hAnsi="宋体"/>
                <w:color w:val="auto"/>
                <w:szCs w:val="21"/>
                <w:highlight w:val="none"/>
                <w:u w:val="single"/>
              </w:rPr>
              <w:t xml:space="preserve">  号：</w:t>
            </w:r>
            <w:r>
              <w:rPr>
                <w:rFonts w:hint="eastAsia" w:hAnsi="宋体"/>
                <w:color w:val="auto"/>
                <w:highlight w:val="none"/>
                <w:u w:val="single"/>
                <w:lang w:val="en-US" w:eastAsia="zh-CN"/>
              </w:rPr>
              <w:t>44001583404059333333</w:t>
            </w:r>
            <w:r>
              <w:rPr>
                <w:rFonts w:hint="eastAsia" w:hAnsi="宋体"/>
                <w:color w:val="auto"/>
                <w:highlight w:val="none"/>
                <w:u w:val="single"/>
              </w:rPr>
              <w:t>。</w:t>
            </w:r>
          </w:p>
          <w:p>
            <w:pPr>
              <w:rPr>
                <w:rFonts w:hint="eastAsia" w:hAnsi="宋体"/>
                <w:color w:val="auto"/>
                <w:szCs w:val="21"/>
                <w:highlight w:val="none"/>
                <w:u w:val="none"/>
              </w:rPr>
            </w:pPr>
            <w:r>
              <w:rPr>
                <w:rFonts w:hint="eastAsia" w:hAnsi="宋体"/>
                <w:color w:val="auto"/>
                <w:szCs w:val="21"/>
                <w:highlight w:val="none"/>
                <w:u w:val="none"/>
              </w:rPr>
              <w:t xml:space="preserve">其    它：                         </w:t>
            </w:r>
          </w:p>
          <w:p>
            <w:pPr>
              <w:spacing w:line="240" w:lineRule="auto"/>
              <w:rPr>
                <w:rFonts w:hint="eastAsia" w:hAnsi="宋体"/>
                <w:color w:val="auto"/>
                <w:szCs w:val="21"/>
                <w:highlight w:val="none"/>
                <w:u w:val="none"/>
              </w:rPr>
            </w:pPr>
            <w:r>
              <w:rPr>
                <w:rFonts w:hint="eastAsia" w:hAnsi="宋体"/>
                <w:color w:val="auto"/>
                <w:szCs w:val="21"/>
                <w:highlight w:val="none"/>
                <w:u w:val="none"/>
              </w:rPr>
              <w:t>①联合体投标的，应当以联合体中牵头人的名义提交投标保证金，并对联合体各成员具有约束力。</w:t>
            </w:r>
          </w:p>
          <w:p>
            <w:pPr>
              <w:spacing w:line="240" w:lineRule="auto"/>
              <w:rPr>
                <w:rFonts w:hint="eastAsia" w:hAnsi="宋体"/>
                <w:color w:val="auto"/>
                <w:szCs w:val="21"/>
                <w:highlight w:val="none"/>
                <w:u w:val="none"/>
              </w:rPr>
            </w:pPr>
            <w:r>
              <w:rPr>
                <w:rFonts w:hint="eastAsia" w:hAnsi="宋体"/>
                <w:color w:val="auto"/>
                <w:szCs w:val="21"/>
                <w:highlight w:val="none"/>
                <w:u w:val="none"/>
              </w:rPr>
              <w:t>②投标保证金（收取确认、退还）咨询电话：</w:t>
            </w:r>
            <w:r>
              <w:rPr>
                <w:rFonts w:hint="eastAsia" w:hAnsi="宋体"/>
                <w:color w:val="auto"/>
                <w:szCs w:val="21"/>
                <w:highlight w:val="none"/>
                <w:u w:val="none"/>
                <w:lang w:val="en-US" w:eastAsia="zh-CN"/>
              </w:rPr>
              <w:t>020-28866000</w:t>
            </w:r>
            <w:r>
              <w:rPr>
                <w:rFonts w:hint="eastAsia" w:hAnsi="宋体"/>
                <w:color w:val="auto"/>
                <w:szCs w:val="21"/>
                <w:highlight w:val="none"/>
                <w:u w:val="none"/>
              </w:rPr>
              <w:t xml:space="preserve">               </w:t>
            </w:r>
          </w:p>
          <w:p>
            <w:pPr>
              <w:spacing w:line="240" w:lineRule="auto"/>
              <w:rPr>
                <w:rFonts w:hint="eastAsia"/>
                <w:color w:val="auto"/>
                <w:highlight w:val="none"/>
              </w:rPr>
            </w:pPr>
            <w:r>
              <w:rPr>
                <w:rFonts w:hint="eastAsia" w:hAnsi="宋体"/>
                <w:color w:val="auto"/>
                <w:szCs w:val="21"/>
                <w:highlight w:val="none"/>
                <w:u w:val="none"/>
              </w:rPr>
              <w:t>③</w:t>
            </w:r>
            <w:r>
              <w:rPr>
                <w:color w:val="auto"/>
                <w:highlight w:val="none"/>
              </w:rPr>
              <w:t>本账号为基本户汇款账号，请未办理基本户的单位尽快</w:t>
            </w:r>
            <w:r>
              <w:rPr>
                <w:rFonts w:hint="eastAsia"/>
                <w:color w:val="auto"/>
                <w:highlight w:val="none"/>
              </w:rPr>
              <w:t>去广州公共资源交易中心</w:t>
            </w:r>
            <w:r>
              <w:rPr>
                <w:color w:val="auto"/>
                <w:highlight w:val="none"/>
              </w:rPr>
              <w:t>办理，并按时完成保证金递交，</w:t>
            </w:r>
            <w:r>
              <w:rPr>
                <w:rFonts w:hint="eastAsia"/>
                <w:color w:val="auto"/>
                <w:highlight w:val="none"/>
              </w:rPr>
              <w:t>投标保证金回执经广州公共资源交易中心盖章确认或具有电子签章确认，</w:t>
            </w:r>
            <w:r>
              <w:rPr>
                <w:color w:val="auto"/>
                <w:highlight w:val="none"/>
              </w:rPr>
              <w:t>递交</w:t>
            </w:r>
            <w:r>
              <w:rPr>
                <w:rFonts w:hint="eastAsia"/>
                <w:color w:val="auto"/>
                <w:highlight w:val="none"/>
              </w:rPr>
              <w:t>投标文件</w:t>
            </w:r>
            <w:r>
              <w:rPr>
                <w:color w:val="auto"/>
                <w:highlight w:val="none"/>
              </w:rPr>
              <w:t>时单独递交。</w:t>
            </w:r>
          </w:p>
          <w:p>
            <w:pPr>
              <w:spacing w:line="240" w:lineRule="auto"/>
              <w:rPr>
                <w:rFonts w:hint="eastAsia" w:hAnsi="宋体"/>
                <w:color w:val="auto"/>
                <w:szCs w:val="21"/>
                <w:highlight w:val="none"/>
                <w:u w:val="none"/>
              </w:rPr>
            </w:pPr>
            <w:r>
              <w:rPr>
                <w:rFonts w:hint="eastAsia" w:ascii="Calibri"/>
                <w:color w:val="auto"/>
                <w:highlight w:val="none"/>
                <w:u w:val="none"/>
              </w:rPr>
              <w:t>注：广州公共资源交易中心代收投标保证金的，其缴纳情况以广州公共资源交易中心数据库记录的信息为准。</w:t>
            </w:r>
          </w:p>
          <w:p>
            <w:pPr>
              <w:spacing w:line="240" w:lineRule="auto"/>
              <w:rPr>
                <w:rFonts w:hint="eastAsia" w:hAnsi="宋体"/>
                <w:color w:val="auto"/>
                <w:szCs w:val="21"/>
                <w:highlight w:val="none"/>
                <w:u w:val="single"/>
              </w:rPr>
            </w:pPr>
            <w:r>
              <w:rPr>
                <w:rFonts w:hint="eastAsia" w:hAnsi="宋体"/>
                <w:color w:val="auto"/>
                <w:szCs w:val="21"/>
                <w:highlight w:val="none"/>
                <w:u w:val="none"/>
              </w:rPr>
              <w:t>④</w:t>
            </w:r>
            <w:r>
              <w:rPr>
                <w:rFonts w:hint="eastAsia" w:hAnsi="宋体"/>
                <w:color w:val="auto"/>
                <w:szCs w:val="21"/>
                <w:highlight w:val="none"/>
              </w:rPr>
              <w:t>投标保证金采用保函方式递交的，投标保证金的</w:t>
            </w:r>
            <w:r>
              <w:rPr>
                <w:rFonts w:hint="eastAsia" w:hAnsi="宋体"/>
                <w:bCs/>
                <w:color w:val="auto"/>
                <w:szCs w:val="21"/>
                <w:highlight w:val="none"/>
              </w:rPr>
              <w:t>有效期应与投标有效期一致</w:t>
            </w:r>
            <w:r>
              <w:rPr>
                <w:rFonts w:hint="eastAsia" w:hAnsi="宋体"/>
                <w:color w:val="auto"/>
                <w:szCs w:val="21"/>
                <w:highlight w:val="none"/>
              </w:rPr>
              <w:t>。</w:t>
            </w:r>
            <w:r>
              <w:rPr>
                <w:rFonts w:hint="eastAsia" w:hAnsi="宋体"/>
                <w:bCs/>
                <w:color w:val="auto"/>
                <w:szCs w:val="21"/>
                <w:highlight w:val="none"/>
              </w:rPr>
              <w:t>保函需注明项目名称，</w:t>
            </w:r>
            <w:r>
              <w:rPr>
                <w:rFonts w:hint="eastAsia" w:hAnsi="宋体"/>
                <w:color w:val="auto"/>
                <w:szCs w:val="21"/>
                <w:highlight w:val="none"/>
              </w:rPr>
              <w:t>投标人需在投标当天递交</w:t>
            </w:r>
            <w:r>
              <w:rPr>
                <w:rFonts w:hint="eastAsia"/>
                <w:color w:val="auto"/>
                <w:highlight w:val="none"/>
              </w:rPr>
              <w:t>投标文件</w:t>
            </w:r>
            <w:r>
              <w:rPr>
                <w:color w:val="auto"/>
                <w:highlight w:val="none"/>
              </w:rPr>
              <w:t>时</w:t>
            </w:r>
            <w:r>
              <w:rPr>
                <w:rFonts w:hint="eastAsia"/>
                <w:color w:val="auto"/>
                <w:highlight w:val="none"/>
              </w:rPr>
              <w:t>同时递交</w:t>
            </w:r>
            <w:r>
              <w:rPr>
                <w:rFonts w:hint="eastAsia" w:hAnsi="宋体"/>
                <w:color w:val="auto"/>
                <w:szCs w:val="21"/>
                <w:highlight w:val="none"/>
              </w:rPr>
              <w:t>保函原件及复印件</w:t>
            </w:r>
            <w:r>
              <w:rPr>
                <w:rFonts w:hint="eastAsia" w:hAnsi="宋体"/>
                <w:bCs/>
                <w:color w:val="auto"/>
                <w:szCs w:val="21"/>
                <w:highlight w:val="none"/>
              </w:rPr>
              <w:t>。</w:t>
            </w:r>
          </w:p>
          <w:p>
            <w:pPr>
              <w:spacing w:line="240" w:lineRule="auto"/>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⑤保函递交地点：同投标文件递交地点。</w:t>
            </w:r>
          </w:p>
          <w:p>
            <w:pPr>
              <w:spacing w:line="240" w:lineRule="auto"/>
              <w:jc w:val="left"/>
              <w:rPr>
                <w:rFonts w:hint="default" w:hAnsi="宋体" w:eastAsia="宋体"/>
                <w:color w:val="auto"/>
                <w:szCs w:val="21"/>
                <w:highlight w:val="none"/>
                <w:u w:val="single"/>
                <w:lang w:val="en-US" w:eastAsia="zh-CN"/>
              </w:rPr>
            </w:pPr>
            <w:r>
              <w:rPr>
                <w:rFonts w:hint="eastAsia" w:hAnsi="宋体"/>
                <w:color w:val="auto"/>
                <w:szCs w:val="21"/>
                <w:highlight w:val="none"/>
                <w:u w:val="none"/>
                <w:lang w:val="en-US" w:eastAsia="zh-CN"/>
              </w:rPr>
              <w:t>⑥</w:t>
            </w:r>
            <w:r>
              <w:rPr>
                <w:rFonts w:hint="eastAsia" w:hAnsi="宋体"/>
                <w:color w:val="auto"/>
                <w:szCs w:val="21"/>
                <w:highlight w:val="none"/>
                <w:u w:val="none"/>
              </w:rPr>
              <w:t>缴费的操作详见广州公共资源交易中心的</w:t>
            </w:r>
            <w:r>
              <w:rPr>
                <w:rFonts w:hint="eastAsia" w:hAnsi="宋体"/>
                <w:color w:val="auto"/>
                <w:szCs w:val="21"/>
                <w:highlight w:val="none"/>
                <w:u w:val="none"/>
                <w:lang w:val="en-US" w:eastAsia="zh-CN"/>
              </w:rPr>
              <w:t>服务指南</w:t>
            </w:r>
            <w:bookmarkStart w:id="559" w:name="_GoBack"/>
            <w:bookmarkEnd w:id="559"/>
          </w:p>
        </w:tc>
      </w:tr>
      <w:tr>
        <w:tblPrEx>
          <w:tblCellMar>
            <w:top w:w="0" w:type="dxa"/>
            <w:left w:w="108" w:type="dxa"/>
            <w:bottom w:w="0" w:type="dxa"/>
            <w:right w:w="108" w:type="dxa"/>
          </w:tblCellMar>
        </w:tblPrEx>
        <w:trPr>
          <w:trHeight w:val="906"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3.4.4</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其他可以不予退还投标保证金的情形</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ascii="宋体" w:hAnsi="宋体"/>
                <w:color w:val="auto"/>
                <w:szCs w:val="21"/>
                <w:highlight w:val="none"/>
              </w:rPr>
            </w:pPr>
            <w:r>
              <w:rPr>
                <w:rFonts w:hint="eastAsia" w:ascii="宋体" w:hAnsi="宋体"/>
                <w:color w:val="auto"/>
                <w:szCs w:val="21"/>
                <w:highlight w:val="none"/>
                <w:u w:val="single"/>
              </w:rPr>
              <w:t>无。</w:t>
            </w:r>
          </w:p>
        </w:tc>
      </w:tr>
      <w:tr>
        <w:tblPrEx>
          <w:tblCellMar>
            <w:top w:w="0" w:type="dxa"/>
            <w:left w:w="108" w:type="dxa"/>
            <w:bottom w:w="0" w:type="dxa"/>
            <w:right w:w="108" w:type="dxa"/>
          </w:tblCellMar>
        </w:tblPrEx>
        <w:trPr>
          <w:trHeight w:val="906"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3.5</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资格审查资料的特殊要求</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pStyle w:val="16"/>
              <w:topLinePunct/>
              <w:spacing w:line="400" w:lineRule="exact"/>
              <w:rPr>
                <w:rFonts w:hAnsi="宋体"/>
                <w:color w:val="auto"/>
                <w:sz w:val="21"/>
                <w:szCs w:val="21"/>
                <w:highlight w:val="none"/>
              </w:rPr>
            </w:pPr>
            <w:r>
              <w:rPr>
                <w:rFonts w:hAnsi="宋体"/>
                <w:color w:val="auto"/>
                <w:sz w:val="21"/>
                <w:szCs w:val="21"/>
                <w:highlight w:val="none"/>
              </w:rPr>
              <w:sym w:font="Wingdings 2" w:char="F052"/>
            </w:r>
            <w:r>
              <w:rPr>
                <w:rFonts w:hAnsi="宋体"/>
                <w:color w:val="auto"/>
                <w:sz w:val="21"/>
                <w:szCs w:val="21"/>
                <w:highlight w:val="none"/>
              </w:rPr>
              <w:t>无</w:t>
            </w:r>
          </w:p>
          <w:p>
            <w:pPr>
              <w:pStyle w:val="16"/>
              <w:topLinePunct/>
              <w:spacing w:line="400" w:lineRule="exact"/>
              <w:rPr>
                <w:rFonts w:hAnsi="宋体"/>
                <w:color w:val="auto"/>
                <w:sz w:val="21"/>
                <w:szCs w:val="21"/>
                <w:highlight w:val="none"/>
              </w:rPr>
            </w:pPr>
            <w:r>
              <w:rPr>
                <w:rFonts w:hint="eastAsia" w:hAnsi="宋体"/>
                <w:color w:val="auto"/>
                <w:sz w:val="21"/>
                <w:szCs w:val="21"/>
                <w:highlight w:val="none"/>
              </w:rPr>
              <w:t>□</w:t>
            </w:r>
            <w:r>
              <w:rPr>
                <w:rFonts w:hAnsi="宋体"/>
                <w:color w:val="auto"/>
                <w:sz w:val="21"/>
                <w:szCs w:val="21"/>
                <w:highlight w:val="none"/>
              </w:rPr>
              <w:t>有，具体要求：</w:t>
            </w:r>
          </w:p>
        </w:tc>
      </w:tr>
      <w:tr>
        <w:tblPrEx>
          <w:tblCellMar>
            <w:top w:w="0" w:type="dxa"/>
            <w:left w:w="108" w:type="dxa"/>
            <w:bottom w:w="0" w:type="dxa"/>
            <w:right w:w="108" w:type="dxa"/>
          </w:tblCellMar>
        </w:tblPrEx>
        <w:trPr>
          <w:trHeight w:val="906"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3.5.2</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近年财务状况的年份要求</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ascii="宋体" w:hAnsi="宋体"/>
                <w:color w:val="auto"/>
                <w:szCs w:val="21"/>
                <w:highlight w:val="none"/>
                <w:u w:val="single"/>
              </w:rPr>
            </w:pPr>
            <w:r>
              <w:rPr>
                <w:rFonts w:hint="eastAsia" w:hAnsi="宋体"/>
                <w:color w:val="auto"/>
                <w:szCs w:val="21"/>
                <w:highlight w:val="none"/>
                <w:u w:val="single"/>
              </w:rPr>
              <w:t>2020 -2022年</w:t>
            </w:r>
            <w:r>
              <w:rPr>
                <w:rFonts w:hint="eastAsia" w:hAnsi="宋体"/>
                <w:color w:val="auto"/>
                <w:szCs w:val="21"/>
                <w:highlight w:val="none"/>
              </w:rPr>
              <w:t>（投标前</w:t>
            </w:r>
            <w:r>
              <w:rPr>
                <w:rFonts w:hint="eastAsia" w:hAnsi="宋体"/>
                <w:color w:val="auto"/>
                <w:szCs w:val="21"/>
                <w:highlight w:val="none"/>
                <w:u w:val="single"/>
              </w:rPr>
              <w:t xml:space="preserve"> 3 </w:t>
            </w:r>
            <w:r>
              <w:rPr>
                <w:rFonts w:hint="eastAsia" w:hAnsi="宋体"/>
                <w:color w:val="auto"/>
                <w:szCs w:val="21"/>
                <w:highlight w:val="none"/>
              </w:rPr>
              <w:t>年</w:t>
            </w:r>
            <w:r>
              <w:rPr>
                <w:rFonts w:hAnsi="宋体"/>
                <w:color w:val="auto"/>
                <w:szCs w:val="21"/>
                <w:highlight w:val="none"/>
              </w:rPr>
              <w:t>内</w:t>
            </w:r>
            <w:r>
              <w:rPr>
                <w:rFonts w:hint="eastAsia" w:hAnsi="宋体"/>
                <w:color w:val="auto"/>
                <w:szCs w:val="21"/>
                <w:highlight w:val="none"/>
              </w:rPr>
              <w:t>）</w:t>
            </w:r>
          </w:p>
        </w:tc>
      </w:tr>
      <w:tr>
        <w:tblPrEx>
          <w:tblCellMar>
            <w:top w:w="0" w:type="dxa"/>
            <w:left w:w="108" w:type="dxa"/>
            <w:bottom w:w="0" w:type="dxa"/>
            <w:right w:w="108" w:type="dxa"/>
          </w:tblCellMar>
        </w:tblPrEx>
        <w:trPr>
          <w:trHeight w:val="906"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3.5.3</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近年完成的类似项目情况</w:t>
            </w:r>
            <w:r>
              <w:rPr>
                <w:rFonts w:hint="eastAsia" w:ascii="宋体" w:hAnsi="宋体"/>
                <w:color w:val="auto"/>
                <w:szCs w:val="21"/>
                <w:highlight w:val="none"/>
              </w:rPr>
              <w:t>的</w:t>
            </w:r>
            <w:r>
              <w:rPr>
                <w:rFonts w:ascii="宋体" w:hAnsi="宋体"/>
                <w:color w:val="auto"/>
                <w:szCs w:val="21"/>
                <w:highlight w:val="none"/>
              </w:rPr>
              <w:t>时间要求</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color w:val="auto"/>
                <w:szCs w:val="21"/>
                <w:highlight w:val="none"/>
              </w:rPr>
            </w:pPr>
            <w:r>
              <w:rPr>
                <w:rFonts w:hint="eastAsia" w:hAnsi="宋体"/>
                <w:color w:val="auto"/>
                <w:szCs w:val="21"/>
                <w:highlight w:val="none"/>
                <w:u w:val="single"/>
              </w:rPr>
              <w:t>2018 至今</w:t>
            </w:r>
            <w:r>
              <w:rPr>
                <w:rFonts w:hint="eastAsia" w:hAnsi="宋体"/>
                <w:color w:val="auto"/>
                <w:szCs w:val="21"/>
                <w:highlight w:val="none"/>
              </w:rPr>
              <w:t>（投标当月）</w:t>
            </w:r>
          </w:p>
        </w:tc>
      </w:tr>
      <w:tr>
        <w:tblPrEx>
          <w:tblCellMar>
            <w:top w:w="0" w:type="dxa"/>
            <w:left w:w="108" w:type="dxa"/>
            <w:bottom w:w="0" w:type="dxa"/>
            <w:right w:w="108" w:type="dxa"/>
          </w:tblCellMar>
        </w:tblPrEx>
        <w:trPr>
          <w:trHeight w:val="906"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3.5.5</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近年发生的诉讼及仲裁情况的时间要求</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ascii="宋体" w:hAnsi="宋体"/>
                <w:color w:val="auto"/>
                <w:szCs w:val="21"/>
                <w:highlight w:val="none"/>
              </w:rPr>
            </w:pPr>
            <w:r>
              <w:rPr>
                <w:rFonts w:hint="eastAsia" w:hAnsi="宋体"/>
                <w:color w:val="auto"/>
                <w:szCs w:val="21"/>
                <w:highlight w:val="none"/>
                <w:u w:val="single"/>
              </w:rPr>
              <w:t>2020-年至今(开标当月)</w:t>
            </w:r>
          </w:p>
        </w:tc>
      </w:tr>
      <w:tr>
        <w:tblPrEx>
          <w:tblCellMar>
            <w:top w:w="0" w:type="dxa"/>
            <w:left w:w="108" w:type="dxa"/>
            <w:bottom w:w="0" w:type="dxa"/>
            <w:right w:w="108" w:type="dxa"/>
          </w:tblCellMar>
        </w:tblPrEx>
        <w:trPr>
          <w:trHeight w:val="906"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3.6.1</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是否允许递交备选投标方案</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pStyle w:val="16"/>
              <w:topLinePunct/>
              <w:spacing w:line="400" w:lineRule="exact"/>
              <w:rPr>
                <w:rFonts w:hAnsi="宋体"/>
                <w:color w:val="auto"/>
                <w:sz w:val="21"/>
                <w:szCs w:val="21"/>
                <w:highlight w:val="none"/>
              </w:rPr>
            </w:pPr>
            <w:r>
              <w:rPr>
                <w:rFonts w:hAnsi="宋体"/>
                <w:color w:val="auto"/>
                <w:sz w:val="21"/>
                <w:szCs w:val="21"/>
                <w:highlight w:val="none"/>
              </w:rPr>
              <w:sym w:font="Wingdings 2" w:char="F052"/>
            </w:r>
            <w:r>
              <w:rPr>
                <w:rFonts w:hAnsi="宋体"/>
                <w:color w:val="auto"/>
                <w:sz w:val="21"/>
                <w:szCs w:val="21"/>
                <w:highlight w:val="none"/>
              </w:rPr>
              <w:t>不允许</w:t>
            </w:r>
          </w:p>
          <w:p>
            <w:pPr>
              <w:spacing w:line="440" w:lineRule="exac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允许</w:t>
            </w:r>
          </w:p>
        </w:tc>
      </w:tr>
      <w:tr>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3.7.</w:t>
            </w:r>
            <w:r>
              <w:rPr>
                <w:rFonts w:hint="eastAsia" w:ascii="宋体" w:hAnsi="宋体"/>
                <w:color w:val="auto"/>
                <w:szCs w:val="21"/>
                <w:highlight w:val="none"/>
              </w:rPr>
              <w:t>1</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auto"/>
                <w:szCs w:val="21"/>
                <w:highlight w:val="none"/>
              </w:rPr>
            </w:pPr>
            <w:r>
              <w:rPr>
                <w:rFonts w:ascii="宋体" w:hAnsi="宋体"/>
                <w:color w:val="auto"/>
                <w:szCs w:val="21"/>
                <w:highlight w:val="none"/>
              </w:rPr>
              <w:t>投标文件签字或盖章要求</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pStyle w:val="23"/>
              <w:rPr>
                <w:color w:val="auto"/>
                <w:highlight w:val="none"/>
              </w:rPr>
            </w:pPr>
            <w:r>
              <w:rPr>
                <w:rFonts w:hint="eastAsia" w:hAnsi="宋体"/>
                <w:color w:val="auto"/>
                <w:highlight w:val="none"/>
              </w:rPr>
              <w:t>1</w:t>
            </w:r>
            <w:r>
              <w:rPr>
                <w:rFonts w:hint="eastAsia"/>
                <w:color w:val="auto"/>
                <w:highlight w:val="none"/>
              </w:rPr>
              <w:t>、投标文件应用不褪色的材料书写或打印，由投标人的法定代表人或其委托代理人签字并盖单位章。委托代理人签字的，投标文件应附法定代表人签署的授权委托书。投标文件应尽量避免涂改、行间插字或删除。如果出现上述情况，改动之处应加盖单位章或由投标人的法定代表人或其授权的代理人签字确认。</w:t>
            </w:r>
          </w:p>
          <w:p>
            <w:pPr>
              <w:pStyle w:val="23"/>
              <w:rPr>
                <w:rFonts w:hint="eastAsia" w:hAnsi="宋体"/>
                <w:color w:val="auto"/>
                <w:szCs w:val="21"/>
                <w:highlight w:val="none"/>
                <w:u w:val="single"/>
              </w:rPr>
            </w:pPr>
            <w:r>
              <w:rPr>
                <w:rFonts w:hint="eastAsia"/>
                <w:color w:val="auto"/>
                <w:highlight w:val="none"/>
              </w:rPr>
              <w:t>2、投标文件的正本应由投标人的法定代表人或者其委托的代理人签署并加盖投标人法人公章，副本可以为正本签字盖章后的复印件（封面盖章并加盖骑缝章）（签署并盖章的内容至少应包括：①封面页（或内封面）；②投标函和投标文件格式内容有要求的）。</w:t>
            </w:r>
          </w:p>
        </w:tc>
      </w:tr>
      <w:tr>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pPr>
              <w:pStyle w:val="23"/>
              <w:jc w:val="center"/>
              <w:rPr>
                <w:rFonts w:hAnsi="宋体"/>
                <w:color w:val="auto"/>
                <w:szCs w:val="21"/>
                <w:highlight w:val="none"/>
              </w:rPr>
            </w:pPr>
            <w:r>
              <w:rPr>
                <w:rFonts w:hint="eastAsia" w:hAnsi="宋体"/>
                <w:color w:val="auto"/>
                <w:szCs w:val="21"/>
                <w:highlight w:val="none"/>
              </w:rPr>
              <w:t>3.7.2</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pStyle w:val="23"/>
              <w:jc w:val="center"/>
              <w:rPr>
                <w:rFonts w:hAnsi="宋体"/>
                <w:color w:val="auto"/>
                <w:szCs w:val="21"/>
                <w:highlight w:val="none"/>
              </w:rPr>
            </w:pPr>
            <w:r>
              <w:rPr>
                <w:rFonts w:hint="eastAsia" w:hAnsi="宋体"/>
                <w:color w:val="auto"/>
                <w:szCs w:val="21"/>
                <w:highlight w:val="none"/>
              </w:rPr>
              <w:t>投标文件文档要求</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widowControl/>
              <w:rPr>
                <w:rFonts w:hint="eastAsia" w:ascii="宋体" w:hAnsi="宋体" w:cs="宋体"/>
                <w:color w:val="auto"/>
                <w:kern w:val="0"/>
                <w:szCs w:val="21"/>
                <w:highlight w:val="none"/>
              </w:rPr>
            </w:pPr>
            <w:r>
              <w:rPr>
                <w:rFonts w:hint="eastAsia" w:ascii="宋体" w:hAnsi="宋体" w:cs="宋体"/>
                <w:color w:val="auto"/>
                <w:kern w:val="0"/>
                <w:szCs w:val="21"/>
                <w:highlight w:val="none"/>
              </w:rPr>
              <w:t>纸质版: 商务文件：正本1份，副本</w:t>
            </w:r>
            <w:r>
              <w:rPr>
                <w:rFonts w:ascii="宋体" w:hAnsi="宋体" w:cs="宋体"/>
                <w:color w:val="auto"/>
                <w:kern w:val="0"/>
                <w:szCs w:val="21"/>
                <w:highlight w:val="none"/>
                <w:u w:val="single"/>
              </w:rPr>
              <w:t>4</w:t>
            </w:r>
            <w:r>
              <w:rPr>
                <w:rFonts w:hint="eastAsia" w:ascii="宋体" w:hAnsi="宋体" w:cs="宋体"/>
                <w:color w:val="auto"/>
                <w:kern w:val="0"/>
                <w:szCs w:val="21"/>
                <w:highlight w:val="none"/>
              </w:rPr>
              <w:t>份。</w:t>
            </w:r>
          </w:p>
          <w:p>
            <w:pPr>
              <w:widowControl/>
              <w:ind w:firstLine="840" w:firstLineChars="400"/>
              <w:rPr>
                <w:rFonts w:ascii="宋体" w:hAnsi="宋体" w:cs="宋体"/>
                <w:color w:val="auto"/>
                <w:kern w:val="0"/>
                <w:szCs w:val="21"/>
                <w:highlight w:val="none"/>
              </w:rPr>
            </w:pPr>
            <w:r>
              <w:rPr>
                <w:rFonts w:hint="eastAsia" w:ascii="宋体" w:hAnsi="宋体" w:cs="宋体"/>
                <w:color w:val="auto"/>
                <w:kern w:val="0"/>
                <w:szCs w:val="21"/>
                <w:highlight w:val="none"/>
              </w:rPr>
              <w:t>技术文件：正本1份，副本</w:t>
            </w:r>
            <w:r>
              <w:rPr>
                <w:rFonts w:ascii="宋体" w:hAnsi="宋体" w:cs="宋体"/>
                <w:color w:val="auto"/>
                <w:kern w:val="0"/>
                <w:szCs w:val="21"/>
                <w:highlight w:val="none"/>
                <w:u w:val="single"/>
              </w:rPr>
              <w:t>4</w:t>
            </w:r>
            <w:r>
              <w:rPr>
                <w:rFonts w:hint="eastAsia" w:ascii="宋体" w:hAnsi="宋体" w:cs="宋体"/>
                <w:color w:val="auto"/>
                <w:kern w:val="0"/>
                <w:szCs w:val="21"/>
                <w:highlight w:val="none"/>
              </w:rPr>
              <w:t>份；</w:t>
            </w:r>
          </w:p>
          <w:p>
            <w:pPr>
              <w:widowControl/>
              <w:ind w:firstLine="840" w:firstLineChars="400"/>
              <w:rPr>
                <w:rFonts w:hint="eastAsia" w:ascii="宋体" w:hAnsi="宋体" w:cs="宋体"/>
                <w:color w:val="auto"/>
                <w:kern w:val="0"/>
                <w:szCs w:val="21"/>
                <w:highlight w:val="none"/>
              </w:rPr>
            </w:pPr>
            <w:r>
              <w:rPr>
                <w:rFonts w:hint="eastAsia" w:ascii="宋体" w:hAnsi="宋体" w:cs="宋体"/>
                <w:color w:val="auto"/>
                <w:kern w:val="0"/>
                <w:szCs w:val="21"/>
                <w:highlight w:val="none"/>
              </w:rPr>
              <w:t>投标函及报价书：正本1份，副本</w:t>
            </w:r>
            <w:r>
              <w:rPr>
                <w:rFonts w:ascii="宋体" w:hAnsi="宋体" w:cs="宋体"/>
                <w:color w:val="auto"/>
                <w:kern w:val="0"/>
                <w:szCs w:val="21"/>
                <w:highlight w:val="none"/>
                <w:u w:val="single"/>
              </w:rPr>
              <w:t>4</w:t>
            </w:r>
            <w:r>
              <w:rPr>
                <w:rFonts w:hint="eastAsia" w:ascii="宋体" w:hAnsi="宋体" w:cs="宋体"/>
                <w:color w:val="auto"/>
                <w:kern w:val="0"/>
                <w:szCs w:val="21"/>
                <w:highlight w:val="none"/>
              </w:rPr>
              <w:t>份；</w:t>
            </w:r>
          </w:p>
          <w:p>
            <w:pPr>
              <w:rPr>
                <w:rFonts w:hint="eastAsia" w:ascii="宋体" w:hAnsi="宋体"/>
                <w:color w:val="auto"/>
                <w:szCs w:val="21"/>
                <w:highlight w:val="none"/>
              </w:rPr>
            </w:pPr>
            <w:r>
              <w:rPr>
                <w:rFonts w:hint="eastAsia" w:ascii="宋体" w:hAnsi="宋体"/>
                <w:color w:val="auto"/>
                <w:szCs w:val="21"/>
                <w:highlight w:val="none"/>
              </w:rPr>
              <w:t>电子版：</w:t>
            </w:r>
            <w:r>
              <w:rPr>
                <w:rFonts w:ascii="宋体" w:hAnsi="宋体"/>
                <w:color w:val="auto"/>
                <w:szCs w:val="21"/>
                <w:highlight w:val="none"/>
              </w:rPr>
              <w:t>电子</w:t>
            </w:r>
            <w:r>
              <w:rPr>
                <w:rFonts w:hint="eastAsia" w:ascii="宋体" w:hAnsi="宋体"/>
                <w:color w:val="auto"/>
                <w:szCs w:val="21"/>
                <w:highlight w:val="none"/>
              </w:rPr>
              <w:t>版文件：（光盘或</w:t>
            </w:r>
            <w:r>
              <w:rPr>
                <w:rFonts w:hint="eastAsia" w:ascii="宋体" w:hAnsi="宋体"/>
                <w:color w:val="auto"/>
                <w:szCs w:val="21"/>
                <w:highlight w:val="none"/>
                <w:u w:val="none"/>
              </w:rPr>
              <w:t>U盘</w:t>
            </w:r>
            <w:r>
              <w:rPr>
                <w:rFonts w:hint="eastAsia" w:ascii="宋体" w:hAnsi="宋体"/>
                <w:color w:val="auto"/>
                <w:szCs w:val="21"/>
                <w:highlight w:val="none"/>
              </w:rPr>
              <w:t>）</w:t>
            </w:r>
            <w:r>
              <w:rPr>
                <w:rFonts w:hint="eastAsia" w:ascii="宋体" w:hAnsi="宋体"/>
                <w:color w:val="auto"/>
                <w:szCs w:val="21"/>
                <w:highlight w:val="none"/>
                <w:u w:val="single"/>
              </w:rPr>
              <w:t>1</w:t>
            </w:r>
            <w:r>
              <w:rPr>
                <w:rFonts w:ascii="宋体" w:hAnsi="宋体"/>
                <w:color w:val="auto"/>
                <w:szCs w:val="21"/>
                <w:highlight w:val="none"/>
              </w:rPr>
              <w:t>份</w:t>
            </w:r>
            <w:r>
              <w:rPr>
                <w:rFonts w:hint="eastAsia" w:ascii="宋体" w:hAnsi="宋体"/>
                <w:color w:val="auto"/>
                <w:szCs w:val="21"/>
                <w:highlight w:val="none"/>
              </w:rPr>
              <w:t>（内含技术文件、</w:t>
            </w:r>
            <w:r>
              <w:rPr>
                <w:rFonts w:hint="eastAsia" w:ascii="宋体" w:hAnsi="Courier New"/>
                <w:color w:val="auto"/>
                <w:highlight w:val="none"/>
              </w:rPr>
              <w:t>投标函及报价书</w:t>
            </w:r>
            <w:r>
              <w:rPr>
                <w:rFonts w:hint="eastAsia" w:ascii="宋体" w:hAnsi="宋体"/>
                <w:color w:val="auto"/>
                <w:szCs w:val="21"/>
                <w:highlight w:val="none"/>
              </w:rPr>
              <w:t xml:space="preserve">、商务文件的所有内容）； </w:t>
            </w:r>
          </w:p>
          <w:p>
            <w:pPr>
              <w:rPr>
                <w:rFonts w:hint="eastAsia" w:ascii="宋体" w:hAnsi="宋体"/>
                <w:color w:val="auto"/>
                <w:szCs w:val="21"/>
                <w:highlight w:val="none"/>
                <w:u w:val="single"/>
              </w:rPr>
            </w:pPr>
            <w:r>
              <w:rPr>
                <w:rFonts w:hint="eastAsia" w:ascii="宋体" w:hAnsi="宋体"/>
                <w:color w:val="auto"/>
                <w:szCs w:val="21"/>
                <w:highlight w:val="none"/>
                <w:u w:val="single"/>
              </w:rPr>
              <w:t>注：</w:t>
            </w:r>
            <w:r>
              <w:rPr>
                <w:rFonts w:hint="eastAsia" w:ascii="宋体" w:hAnsi="宋体"/>
                <w:color w:val="auto"/>
                <w:highlight w:val="none"/>
                <w:u w:val="single"/>
              </w:rPr>
              <w:t>1、投标文件的</w:t>
            </w:r>
            <w:r>
              <w:rPr>
                <w:rFonts w:ascii="宋体" w:hAnsi="宋体"/>
                <w:bCs/>
                <w:color w:val="auto"/>
                <w:szCs w:val="21"/>
                <w:highlight w:val="none"/>
                <w:u w:val="single"/>
              </w:rPr>
              <w:t>电子版本</w:t>
            </w:r>
            <w:r>
              <w:rPr>
                <w:rFonts w:hint="eastAsia" w:ascii="宋体" w:hAnsi="宋体"/>
                <w:bCs/>
                <w:color w:val="auto"/>
                <w:szCs w:val="21"/>
                <w:highlight w:val="none"/>
                <w:u w:val="single"/>
              </w:rPr>
              <w:t>（</w:t>
            </w:r>
            <w:r>
              <w:rPr>
                <w:rFonts w:hint="eastAsia" w:ascii="宋体" w:hAnsi="宋体"/>
                <w:color w:val="auto"/>
                <w:szCs w:val="21"/>
                <w:highlight w:val="none"/>
                <w:u w:val="single"/>
              </w:rPr>
              <w:t>光盘或U盘</w:t>
            </w:r>
            <w:r>
              <w:rPr>
                <w:rFonts w:hint="eastAsia" w:ascii="宋体" w:hAnsi="宋体"/>
                <w:bCs/>
                <w:color w:val="auto"/>
                <w:szCs w:val="21"/>
                <w:highlight w:val="none"/>
                <w:u w:val="single"/>
              </w:rPr>
              <w:t>）</w:t>
            </w:r>
            <w:r>
              <w:rPr>
                <w:rFonts w:hint="eastAsia" w:ascii="宋体" w:hAnsi="宋体"/>
                <w:color w:val="auto"/>
                <w:highlight w:val="none"/>
                <w:u w:val="single"/>
              </w:rPr>
              <w:t>应有工程（及标段）名称、投标人名称等外观标识。</w:t>
            </w:r>
          </w:p>
          <w:p>
            <w:pPr>
              <w:pStyle w:val="16"/>
              <w:topLinePunct/>
              <w:rPr>
                <w:rFonts w:hint="eastAsia" w:hAnsi="宋体"/>
                <w:color w:val="auto"/>
                <w:sz w:val="21"/>
                <w:szCs w:val="21"/>
                <w:highlight w:val="none"/>
                <w:u w:val="single"/>
              </w:rPr>
            </w:pPr>
            <w:r>
              <w:rPr>
                <w:rFonts w:hint="eastAsia" w:ascii="Times New Roman" w:hAnsi="宋体"/>
                <w:color w:val="auto"/>
                <w:sz w:val="21"/>
                <w:szCs w:val="21"/>
                <w:highlight w:val="none"/>
                <w:u w:val="single"/>
              </w:rPr>
              <w:t>2、中标后中标单位按招标人所需投标文件份数，无偿提供投标文件副本。</w:t>
            </w:r>
          </w:p>
        </w:tc>
      </w:tr>
      <w:tr>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4.1.</w:t>
            </w:r>
            <w:r>
              <w:rPr>
                <w:rFonts w:hint="eastAsia" w:ascii="宋体" w:hAnsi="宋体"/>
                <w:color w:val="auto"/>
                <w:szCs w:val="21"/>
                <w:highlight w:val="none"/>
              </w:rPr>
              <w:t>1</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shd w:val="clear" w:color="FFFFFF" w:fill="D9D9D9"/>
              </w:rPr>
            </w:pPr>
            <w:r>
              <w:rPr>
                <w:rFonts w:ascii="宋体" w:hAnsi="宋体"/>
                <w:color w:val="auto"/>
                <w:szCs w:val="21"/>
                <w:highlight w:val="none"/>
              </w:rPr>
              <w:t>封套上应载明的信息</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pStyle w:val="23"/>
              <w:rPr>
                <w:rFonts w:hint="eastAsia" w:hAnsi="宋体" w:cs="仿宋_GB2312"/>
                <w:color w:val="auto"/>
                <w:kern w:val="0"/>
                <w:szCs w:val="21"/>
                <w:highlight w:val="none"/>
              </w:rPr>
            </w:pPr>
            <w:r>
              <w:rPr>
                <w:rFonts w:hint="eastAsia" w:hAnsi="宋体" w:cs="仿宋_GB2312"/>
                <w:color w:val="auto"/>
                <w:kern w:val="0"/>
                <w:szCs w:val="21"/>
                <w:highlight w:val="none"/>
                <w:u w:val="single"/>
              </w:rPr>
              <w:t xml:space="preserve">         （项目名称）  </w:t>
            </w:r>
            <w:r>
              <w:rPr>
                <w:rFonts w:hint="eastAsia" w:hAnsi="宋体" w:cs="仿宋_GB2312"/>
                <w:color w:val="auto"/>
                <w:kern w:val="0"/>
                <w:szCs w:val="21"/>
                <w:highlight w:val="none"/>
              </w:rPr>
              <w:t>投标文件</w:t>
            </w:r>
          </w:p>
          <w:p>
            <w:pPr>
              <w:pStyle w:val="23"/>
              <w:rPr>
                <w:rFonts w:hint="eastAsia" w:hAnsi="宋体" w:cs="仿宋_GB2312"/>
                <w:color w:val="auto"/>
                <w:kern w:val="0"/>
                <w:szCs w:val="21"/>
                <w:highlight w:val="none"/>
              </w:rPr>
            </w:pPr>
            <w:r>
              <w:rPr>
                <w:rFonts w:hint="eastAsia" w:hAnsi="宋体" w:cs="仿宋_GB2312"/>
                <w:color w:val="auto"/>
                <w:kern w:val="0"/>
                <w:szCs w:val="21"/>
                <w:highlight w:val="none"/>
              </w:rPr>
              <w:t>在</w:t>
            </w:r>
            <w:r>
              <w:rPr>
                <w:rFonts w:hint="eastAsia" w:hAnsi="宋体" w:cs="仿宋_GB2312"/>
                <w:color w:val="auto"/>
                <w:kern w:val="0"/>
                <w:szCs w:val="21"/>
                <w:highlight w:val="none"/>
                <w:u w:val="single"/>
              </w:rPr>
              <w:t xml:space="preserve">   </w:t>
            </w:r>
            <w:r>
              <w:rPr>
                <w:rFonts w:hint="eastAsia" w:hAnsi="宋体" w:cs="仿宋_GB2312"/>
                <w:color w:val="auto"/>
                <w:kern w:val="0"/>
                <w:szCs w:val="21"/>
                <w:highlight w:val="none"/>
              </w:rPr>
              <w:t>年</w:t>
            </w:r>
            <w:r>
              <w:rPr>
                <w:rFonts w:hint="eastAsia" w:hAnsi="宋体" w:cs="仿宋_GB2312"/>
                <w:color w:val="auto"/>
                <w:kern w:val="0"/>
                <w:szCs w:val="21"/>
                <w:highlight w:val="none"/>
                <w:u w:val="single"/>
              </w:rPr>
              <w:t xml:space="preserve">    </w:t>
            </w:r>
            <w:r>
              <w:rPr>
                <w:rFonts w:hint="eastAsia" w:hAnsi="宋体" w:cs="仿宋_GB2312"/>
                <w:color w:val="auto"/>
                <w:kern w:val="0"/>
                <w:szCs w:val="21"/>
                <w:highlight w:val="none"/>
              </w:rPr>
              <w:t>月</w:t>
            </w:r>
            <w:r>
              <w:rPr>
                <w:rFonts w:hint="eastAsia" w:hAnsi="宋体" w:cs="仿宋_GB2312"/>
                <w:color w:val="auto"/>
                <w:kern w:val="0"/>
                <w:szCs w:val="21"/>
                <w:highlight w:val="none"/>
                <w:u w:val="single"/>
              </w:rPr>
              <w:t xml:space="preserve">    </w:t>
            </w:r>
            <w:r>
              <w:rPr>
                <w:rFonts w:hint="eastAsia" w:hAnsi="宋体" w:cs="仿宋_GB2312"/>
                <w:color w:val="auto"/>
                <w:kern w:val="0"/>
                <w:szCs w:val="21"/>
                <w:highlight w:val="none"/>
              </w:rPr>
              <w:t>日</w:t>
            </w:r>
            <w:r>
              <w:rPr>
                <w:rFonts w:hint="eastAsia" w:hAnsi="宋体" w:cs="仿宋_GB2312"/>
                <w:color w:val="auto"/>
                <w:kern w:val="0"/>
                <w:szCs w:val="21"/>
                <w:highlight w:val="none"/>
                <w:u w:val="single"/>
              </w:rPr>
              <w:t xml:space="preserve">    </w:t>
            </w:r>
            <w:r>
              <w:rPr>
                <w:rFonts w:hint="eastAsia" w:hAnsi="宋体" w:cs="仿宋_GB2312"/>
                <w:color w:val="auto"/>
                <w:kern w:val="0"/>
                <w:szCs w:val="21"/>
                <w:highlight w:val="none"/>
              </w:rPr>
              <w:t>时</w:t>
            </w:r>
            <w:r>
              <w:rPr>
                <w:rFonts w:hint="eastAsia" w:hAnsi="宋体" w:cs="仿宋_GB2312"/>
                <w:color w:val="auto"/>
                <w:kern w:val="0"/>
                <w:szCs w:val="21"/>
                <w:highlight w:val="none"/>
                <w:u w:val="single"/>
              </w:rPr>
              <w:t xml:space="preserve">    </w:t>
            </w:r>
            <w:r>
              <w:rPr>
                <w:rFonts w:hint="eastAsia" w:hAnsi="宋体" w:cs="仿宋_GB2312"/>
                <w:color w:val="auto"/>
                <w:kern w:val="0"/>
                <w:szCs w:val="21"/>
                <w:highlight w:val="none"/>
              </w:rPr>
              <w:t>分前不得开启</w:t>
            </w:r>
          </w:p>
          <w:p>
            <w:pPr>
              <w:pStyle w:val="23"/>
              <w:rPr>
                <w:rFonts w:hint="eastAsia" w:hAnsi="宋体"/>
                <w:color w:val="auto"/>
                <w:highlight w:val="none"/>
              </w:rPr>
            </w:pPr>
            <w:r>
              <w:rPr>
                <w:rFonts w:hint="eastAsia" w:hAnsi="宋体" w:cs="仿宋_GB2312"/>
                <w:color w:val="auto"/>
                <w:kern w:val="0"/>
                <w:szCs w:val="21"/>
                <w:highlight w:val="none"/>
              </w:rPr>
              <w:t>投标单位：</w:t>
            </w:r>
            <w:r>
              <w:rPr>
                <w:rFonts w:hint="eastAsia" w:hAnsi="宋体" w:cs="仿宋_GB2312"/>
                <w:color w:val="auto"/>
                <w:kern w:val="0"/>
                <w:szCs w:val="21"/>
                <w:highlight w:val="none"/>
                <w:u w:val="single"/>
              </w:rPr>
              <w:t>___________________</w:t>
            </w:r>
          </w:p>
        </w:tc>
      </w:tr>
      <w:tr>
        <w:tblPrEx>
          <w:tblCellMar>
            <w:top w:w="0" w:type="dxa"/>
            <w:left w:w="108" w:type="dxa"/>
            <w:bottom w:w="0" w:type="dxa"/>
            <w:right w:w="108" w:type="dxa"/>
          </w:tblCellMar>
        </w:tblPrEx>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4.2.1</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投标截止时间</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ascii="宋体" w:hAnsi="宋体"/>
                <w:color w:val="auto"/>
                <w:szCs w:val="21"/>
                <w:highlight w:val="none"/>
              </w:rPr>
            </w:pPr>
            <w:r>
              <w:rPr>
                <w:rFonts w:hint="eastAsia" w:ascii="宋体" w:hAnsi="宋体"/>
                <w:color w:val="auto"/>
                <w:szCs w:val="21"/>
                <w:highlight w:val="none"/>
                <w:u w:val="single"/>
              </w:rPr>
              <w:t>见第一章“招标公告”第6.2项</w:t>
            </w:r>
          </w:p>
        </w:tc>
      </w:tr>
      <w:tr>
        <w:tblPrEx>
          <w:tblCellMar>
            <w:top w:w="0" w:type="dxa"/>
            <w:left w:w="108" w:type="dxa"/>
            <w:bottom w:w="0" w:type="dxa"/>
            <w:right w:w="108" w:type="dxa"/>
          </w:tblCellMar>
        </w:tblPrEx>
        <w:trPr>
          <w:trHeight w:val="840"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4.2.3</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投标文件是否退还</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pStyle w:val="16"/>
              <w:topLinePunct/>
              <w:spacing w:line="400" w:lineRule="exact"/>
              <w:rPr>
                <w:rFonts w:hAnsi="宋体"/>
                <w:color w:val="auto"/>
                <w:sz w:val="21"/>
                <w:szCs w:val="21"/>
                <w:highlight w:val="none"/>
              </w:rPr>
            </w:pPr>
            <w:r>
              <w:rPr>
                <w:rFonts w:hAnsi="宋体"/>
                <w:color w:val="auto"/>
                <w:sz w:val="21"/>
                <w:szCs w:val="21"/>
                <w:highlight w:val="none"/>
              </w:rPr>
              <w:sym w:font="Wingdings 2" w:char="F052"/>
            </w:r>
            <w:r>
              <w:rPr>
                <w:rFonts w:hint="eastAsia" w:hAnsi="宋体"/>
                <w:color w:val="auto"/>
                <w:sz w:val="21"/>
                <w:szCs w:val="21"/>
                <w:highlight w:val="none"/>
              </w:rPr>
              <w:t>否</w:t>
            </w:r>
          </w:p>
          <w:p>
            <w:pPr>
              <w:pStyle w:val="16"/>
              <w:topLinePunct/>
              <w:spacing w:line="400" w:lineRule="exact"/>
              <w:rPr>
                <w:rFonts w:hAnsi="宋体"/>
                <w:color w:val="auto"/>
                <w:sz w:val="21"/>
                <w:szCs w:val="21"/>
                <w:highlight w:val="none"/>
              </w:rPr>
            </w:pPr>
            <w:r>
              <w:rPr>
                <w:rFonts w:hint="eastAsia" w:hAnsi="宋体"/>
                <w:color w:val="auto"/>
                <w:sz w:val="21"/>
                <w:szCs w:val="21"/>
                <w:highlight w:val="none"/>
              </w:rPr>
              <w:t>□</w:t>
            </w:r>
            <w:r>
              <w:rPr>
                <w:rFonts w:hAnsi="宋体"/>
                <w:color w:val="auto"/>
                <w:sz w:val="21"/>
                <w:szCs w:val="21"/>
                <w:highlight w:val="none"/>
              </w:rPr>
              <w:t>是，退还时间：</w:t>
            </w:r>
          </w:p>
        </w:tc>
      </w:tr>
      <w:tr>
        <w:tblPrEx>
          <w:tblCellMar>
            <w:top w:w="0" w:type="dxa"/>
            <w:left w:w="108" w:type="dxa"/>
            <w:bottom w:w="0" w:type="dxa"/>
            <w:right w:w="108" w:type="dxa"/>
          </w:tblCellMar>
        </w:tblPrEx>
        <w:trPr>
          <w:trHeight w:val="880" w:hRule="atLeast"/>
        </w:trPr>
        <w:tc>
          <w:tcPr>
            <w:tcW w:w="1165" w:type="dxa"/>
            <w:tcBorders>
              <w:top w:val="single" w:color="auto" w:sz="4" w:space="0"/>
              <w:left w:val="single" w:color="auto" w:sz="4" w:space="0"/>
              <w:bottom w:val="nil"/>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5.1</w:t>
            </w:r>
          </w:p>
        </w:tc>
        <w:tc>
          <w:tcPr>
            <w:tcW w:w="2488" w:type="dxa"/>
            <w:tcBorders>
              <w:top w:val="single" w:color="auto" w:sz="4" w:space="0"/>
              <w:left w:val="single" w:color="auto" w:sz="4" w:space="0"/>
              <w:bottom w:val="nil"/>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开标时间和地点</w:t>
            </w:r>
          </w:p>
        </w:tc>
        <w:tc>
          <w:tcPr>
            <w:tcW w:w="5669" w:type="dxa"/>
            <w:tcBorders>
              <w:top w:val="single" w:color="auto" w:sz="4" w:space="0"/>
              <w:left w:val="single" w:color="auto" w:sz="4" w:space="0"/>
              <w:bottom w:val="nil"/>
              <w:right w:val="single" w:color="auto" w:sz="4" w:space="0"/>
            </w:tcBorders>
            <w:noWrap w:val="0"/>
            <w:vAlign w:val="center"/>
          </w:tcPr>
          <w:p>
            <w:pPr>
              <w:rPr>
                <w:rFonts w:ascii="宋体" w:hAnsi="宋体"/>
                <w:color w:val="auto"/>
                <w:spacing w:val="8"/>
                <w:highlight w:val="none"/>
                <w:u w:val="single"/>
              </w:rPr>
            </w:pPr>
            <w:r>
              <w:rPr>
                <w:rFonts w:hint="eastAsia" w:ascii="宋体" w:hAnsi="宋体"/>
                <w:color w:val="auto"/>
                <w:highlight w:val="none"/>
              </w:rPr>
              <w:t>投标文件递交地点：</w:t>
            </w:r>
            <w:r>
              <w:rPr>
                <w:rFonts w:hint="eastAsia" w:ascii="宋体" w:hAnsi="宋体"/>
                <w:color w:val="auto"/>
                <w:spacing w:val="8"/>
                <w:highlight w:val="none"/>
                <w:u w:val="single"/>
              </w:rPr>
              <w:t>广州公共资源交易中心（广州市天河区天润路333号）</w:t>
            </w:r>
          </w:p>
          <w:p>
            <w:pPr>
              <w:pStyle w:val="23"/>
              <w:rPr>
                <w:rFonts w:hint="eastAsia" w:hAnsi="宋体"/>
                <w:bCs/>
                <w:color w:val="auto"/>
                <w:highlight w:val="none"/>
              </w:rPr>
            </w:pPr>
            <w:r>
              <w:rPr>
                <w:rFonts w:hint="eastAsia" w:ascii="Calibri" w:hAnsi="宋体"/>
                <w:color w:val="auto"/>
                <w:szCs w:val="21"/>
                <w:highlight w:val="none"/>
              </w:rPr>
              <w:t>注：</w:t>
            </w:r>
            <w:r>
              <w:rPr>
                <w:rFonts w:hint="eastAsia" w:ascii="Calibri" w:hAnsi="宋体"/>
                <w:color w:val="auto"/>
                <w:szCs w:val="21"/>
                <w:highlight w:val="none"/>
                <w:u w:val="single"/>
              </w:rPr>
              <w:t>（具体以</w:t>
            </w:r>
            <w:r>
              <w:rPr>
                <w:rFonts w:hint="eastAsia"/>
                <w:color w:val="auto"/>
                <w:highlight w:val="none"/>
                <w:u w:val="single"/>
              </w:rPr>
              <w:t>广州公共资源交易中心网站</w:t>
            </w:r>
            <w:r>
              <w:rPr>
                <w:rFonts w:hint="eastAsia" w:ascii="Times New Roman"/>
                <w:color w:val="auto"/>
                <w:highlight w:val="none"/>
                <w:u w:val="single"/>
              </w:rPr>
              <w:t>（</w:t>
            </w:r>
            <w:r>
              <w:rPr>
                <w:rFonts w:hAnsi="宋体"/>
                <w:color w:val="auto"/>
                <w:highlight w:val="none"/>
                <w:u w:val="single"/>
              </w:rPr>
              <w:t>http://ggzy.gz.gov.cn/</w:t>
            </w:r>
            <w:r>
              <w:rPr>
                <w:rFonts w:hint="eastAsia" w:ascii="Times New Roman"/>
                <w:color w:val="auto"/>
                <w:highlight w:val="none"/>
                <w:u w:val="single"/>
              </w:rPr>
              <w:t>）</w:t>
            </w:r>
            <w:r>
              <w:rPr>
                <w:rFonts w:hint="eastAsia" w:ascii="Calibri" w:hAnsi="宋体"/>
                <w:color w:val="auto"/>
                <w:szCs w:val="21"/>
                <w:highlight w:val="none"/>
                <w:u w:val="single"/>
              </w:rPr>
              <w:t>公布的地点安排为准）</w:t>
            </w:r>
          </w:p>
        </w:tc>
      </w:tr>
      <w:tr>
        <w:tblPrEx>
          <w:tblCellMar>
            <w:top w:w="0" w:type="dxa"/>
            <w:left w:w="108" w:type="dxa"/>
            <w:bottom w:w="0" w:type="dxa"/>
            <w:right w:w="108" w:type="dxa"/>
          </w:tblCellMar>
        </w:tblPrEx>
        <w:trPr>
          <w:trHeight w:val="880"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6.1.1</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评标委员会的组建</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ascii="宋体" w:hAnsi="宋体"/>
                <w:color w:val="auto"/>
                <w:highlight w:val="none"/>
              </w:rPr>
            </w:pPr>
            <w:r>
              <w:rPr>
                <w:rFonts w:ascii="宋体" w:hAnsi="宋体"/>
                <w:color w:val="auto"/>
                <w:szCs w:val="21"/>
                <w:highlight w:val="none"/>
              </w:rPr>
              <w:t>评标委员会构成：</w:t>
            </w:r>
            <w:r>
              <w:rPr>
                <w:rFonts w:hint="eastAsia" w:ascii="宋体" w:hAnsi="宋体"/>
                <w:color w:val="auto"/>
                <w:highlight w:val="none"/>
                <w:u w:val="single"/>
              </w:rPr>
              <w:t>5</w:t>
            </w:r>
            <w:r>
              <w:rPr>
                <w:rFonts w:ascii="宋体" w:hAnsi="宋体"/>
                <w:color w:val="auto"/>
                <w:szCs w:val="21"/>
                <w:highlight w:val="none"/>
              </w:rPr>
              <w:t>人</w:t>
            </w:r>
            <w:r>
              <w:rPr>
                <w:rFonts w:hint="eastAsia" w:ascii="宋体" w:hAnsi="宋体"/>
                <w:color w:val="auto"/>
                <w:szCs w:val="21"/>
                <w:highlight w:val="none"/>
              </w:rPr>
              <w:t>，</w:t>
            </w:r>
            <w:r>
              <w:rPr>
                <w:rFonts w:hint="eastAsia" w:ascii="宋体" w:hAnsi="宋体"/>
                <w:color w:val="auto"/>
                <w:highlight w:val="none"/>
              </w:rPr>
              <w:t>其中：招标人代表</w:t>
            </w:r>
            <w:r>
              <w:rPr>
                <w:rFonts w:ascii="宋体" w:hAnsi="宋体"/>
                <w:color w:val="auto"/>
                <w:highlight w:val="none"/>
                <w:u w:val="single"/>
              </w:rPr>
              <w:t xml:space="preserve"> </w:t>
            </w:r>
            <w:r>
              <w:rPr>
                <w:rFonts w:hint="eastAsia" w:ascii="宋体" w:hAnsi="宋体"/>
                <w:color w:val="auto"/>
                <w:highlight w:val="none"/>
                <w:u w:val="single"/>
              </w:rPr>
              <w:t>1</w:t>
            </w:r>
            <w:r>
              <w:rPr>
                <w:rFonts w:ascii="宋体" w:hAnsi="宋体"/>
                <w:color w:val="auto"/>
                <w:highlight w:val="none"/>
                <w:u w:val="single"/>
              </w:rPr>
              <w:t xml:space="preserve"> </w:t>
            </w:r>
            <w:r>
              <w:rPr>
                <w:rFonts w:hint="eastAsia" w:ascii="宋体" w:hAnsi="宋体"/>
                <w:color w:val="auto"/>
                <w:highlight w:val="none"/>
              </w:rPr>
              <w:t>人，从</w:t>
            </w:r>
            <w:r>
              <w:rPr>
                <w:rFonts w:hint="eastAsia" w:ascii="宋体" w:hAnsi="宋体"/>
                <w:color w:val="auto"/>
                <w:highlight w:val="none"/>
                <w:u w:val="single"/>
              </w:rPr>
              <w:t>广州公共资源交易中心</w:t>
            </w:r>
            <w:r>
              <w:rPr>
                <w:rFonts w:hint="eastAsia" w:ascii="宋体" w:hAnsi="宋体"/>
                <w:color w:val="auto"/>
                <w:highlight w:val="none"/>
              </w:rPr>
              <w:t>评标专家库随机抽取技术、经济等方面的专家共</w:t>
            </w:r>
            <w:r>
              <w:rPr>
                <w:rFonts w:ascii="宋体" w:hAnsi="宋体"/>
                <w:color w:val="auto"/>
                <w:highlight w:val="none"/>
                <w:u w:val="single"/>
              </w:rPr>
              <w:t xml:space="preserve"> </w:t>
            </w:r>
            <w:r>
              <w:rPr>
                <w:rFonts w:hint="eastAsia" w:ascii="宋体" w:hAnsi="宋体"/>
                <w:color w:val="auto"/>
                <w:highlight w:val="none"/>
                <w:u w:val="single"/>
              </w:rPr>
              <w:t xml:space="preserve">4 </w:t>
            </w:r>
            <w:r>
              <w:rPr>
                <w:rFonts w:hint="eastAsia" w:ascii="宋体" w:hAnsi="宋体"/>
                <w:color w:val="auto"/>
                <w:highlight w:val="none"/>
              </w:rPr>
              <w:t>人</w:t>
            </w:r>
          </w:p>
        </w:tc>
      </w:tr>
      <w:tr>
        <w:tblPrEx>
          <w:tblCellMar>
            <w:top w:w="0" w:type="dxa"/>
            <w:left w:w="108" w:type="dxa"/>
            <w:bottom w:w="0" w:type="dxa"/>
            <w:right w:w="108" w:type="dxa"/>
          </w:tblCellMar>
        </w:tblPrEx>
        <w:trPr>
          <w:trHeight w:val="880"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6.3.2</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评标委员会推荐中标候选人的人数</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ascii="宋体" w:hAnsi="宋体"/>
                <w:color w:val="auto"/>
                <w:szCs w:val="21"/>
                <w:highlight w:val="none"/>
              </w:rPr>
            </w:pPr>
            <w:r>
              <w:rPr>
                <w:rFonts w:hint="eastAsia" w:ascii="宋体" w:hAnsi="宋体"/>
                <w:color w:val="auto"/>
                <w:szCs w:val="21"/>
                <w:highlight w:val="none"/>
                <w:u w:val="single"/>
              </w:rPr>
              <w:t>3</w:t>
            </w:r>
          </w:p>
        </w:tc>
      </w:tr>
      <w:tr>
        <w:tblPrEx>
          <w:tblCellMar>
            <w:top w:w="0" w:type="dxa"/>
            <w:left w:w="108" w:type="dxa"/>
            <w:bottom w:w="0" w:type="dxa"/>
            <w:right w:w="108" w:type="dxa"/>
          </w:tblCellMar>
        </w:tblPrEx>
        <w:trPr>
          <w:trHeight w:val="880"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7.1</w:t>
            </w:r>
            <w:r>
              <w:rPr>
                <w:rFonts w:hint="eastAsia" w:ascii="宋体" w:hAnsi="宋体"/>
                <w:color w:val="auto"/>
                <w:szCs w:val="21"/>
                <w:highlight w:val="none"/>
              </w:rPr>
              <w:t>.1</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ascii="宋体" w:hAnsi="宋体"/>
                <w:color w:val="auto"/>
                <w:szCs w:val="21"/>
                <w:highlight w:val="none"/>
              </w:rPr>
            </w:pPr>
            <w:r>
              <w:rPr>
                <w:rFonts w:ascii="宋体" w:hAnsi="宋体"/>
                <w:color w:val="auto"/>
                <w:szCs w:val="21"/>
                <w:highlight w:val="none"/>
              </w:rPr>
              <w:t>中标候选人公示媒介及期限</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pStyle w:val="23"/>
              <w:rPr>
                <w:rFonts w:hint="eastAsia" w:hAnsi="宋体"/>
                <w:color w:val="auto"/>
                <w:szCs w:val="21"/>
                <w:highlight w:val="none"/>
              </w:rPr>
            </w:pPr>
            <w:r>
              <w:rPr>
                <w:rFonts w:hAnsi="宋体"/>
                <w:color w:val="auto"/>
                <w:highlight w:val="none"/>
                <w:u w:val="single"/>
              </w:rPr>
              <w:t>广州公共资源交易中心网（</w:t>
            </w:r>
            <w:r>
              <w:rPr>
                <w:rFonts w:hint="eastAsia" w:hAnsi="宋体"/>
                <w:color w:val="auto"/>
                <w:highlight w:val="none"/>
                <w:u w:val="single"/>
              </w:rPr>
              <w:t>www.gzggzy.cn</w:t>
            </w:r>
            <w:r>
              <w:rPr>
                <w:rFonts w:hAnsi="宋体"/>
                <w:color w:val="auto"/>
                <w:highlight w:val="none"/>
                <w:u w:val="single"/>
              </w:rPr>
              <w:t>）</w:t>
            </w:r>
            <w:r>
              <w:rPr>
                <w:rFonts w:hint="eastAsia" w:hAnsi="宋体"/>
                <w:color w:val="auto"/>
                <w:highlight w:val="none"/>
                <w:u w:val="single"/>
              </w:rPr>
              <w:t>、</w:t>
            </w:r>
            <w:r>
              <w:rPr>
                <w:rFonts w:hint="eastAsia" w:hAnsi="宋体"/>
                <w:bCs/>
                <w:color w:val="auto"/>
                <w:highlight w:val="none"/>
                <w:u w:val="single"/>
              </w:rPr>
              <w:t>广东省招标投标监管网（http://www.gdzbtb.gov.cn）</w:t>
            </w:r>
          </w:p>
        </w:tc>
      </w:tr>
      <w:tr>
        <w:tblPrEx>
          <w:tblCellMar>
            <w:top w:w="0" w:type="dxa"/>
            <w:left w:w="108" w:type="dxa"/>
            <w:bottom w:w="0" w:type="dxa"/>
            <w:right w:w="108" w:type="dxa"/>
          </w:tblCellMar>
        </w:tblPrEx>
        <w:trPr>
          <w:trHeight w:val="880"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宋体" w:hAnsi="宋体"/>
                <w:color w:val="auto"/>
                <w:szCs w:val="21"/>
                <w:highlight w:val="none"/>
              </w:rPr>
            </w:pPr>
            <w:r>
              <w:rPr>
                <w:rFonts w:hint="eastAsia" w:ascii="宋体" w:hAnsi="宋体"/>
                <w:color w:val="auto"/>
                <w:szCs w:val="21"/>
                <w:highlight w:val="none"/>
              </w:rPr>
              <w:t>7.1.2</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宋体" w:hAnsi="宋体"/>
                <w:color w:val="auto"/>
                <w:szCs w:val="21"/>
                <w:highlight w:val="none"/>
              </w:rPr>
            </w:pPr>
            <w:r>
              <w:rPr>
                <w:rFonts w:hint="eastAsia" w:ascii="宋体" w:hAnsi="宋体"/>
                <w:color w:val="auto"/>
                <w:szCs w:val="21"/>
                <w:highlight w:val="none"/>
              </w:rPr>
              <w:t>中标公告媒介</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pStyle w:val="23"/>
              <w:rPr>
                <w:rFonts w:hint="eastAsia" w:hAnsi="宋体"/>
                <w:color w:val="auto"/>
                <w:szCs w:val="21"/>
                <w:highlight w:val="none"/>
              </w:rPr>
            </w:pPr>
            <w:r>
              <w:rPr>
                <w:rFonts w:hAnsi="宋体"/>
                <w:color w:val="auto"/>
                <w:highlight w:val="none"/>
                <w:u w:val="single"/>
              </w:rPr>
              <w:t>广州公共资源交易中心网（</w:t>
            </w:r>
            <w:r>
              <w:rPr>
                <w:rFonts w:hint="eastAsia" w:hAnsi="宋体"/>
                <w:color w:val="auto"/>
                <w:highlight w:val="none"/>
                <w:u w:val="single"/>
              </w:rPr>
              <w:t>www.gzggzy.cn</w:t>
            </w:r>
            <w:r>
              <w:rPr>
                <w:rFonts w:hAnsi="宋体"/>
                <w:color w:val="auto"/>
                <w:highlight w:val="none"/>
                <w:u w:val="single"/>
              </w:rPr>
              <w:t>）</w:t>
            </w:r>
            <w:r>
              <w:rPr>
                <w:rFonts w:hint="eastAsia" w:hAnsi="宋体"/>
                <w:color w:val="auto"/>
                <w:highlight w:val="none"/>
                <w:u w:val="single"/>
              </w:rPr>
              <w:t>、</w:t>
            </w:r>
            <w:r>
              <w:rPr>
                <w:rFonts w:hint="eastAsia" w:hAnsi="宋体"/>
                <w:bCs/>
                <w:color w:val="auto"/>
                <w:highlight w:val="none"/>
                <w:u w:val="single"/>
              </w:rPr>
              <w:t>广东省招标投标监管网（http://www.gdzbtb.gov.cn）</w:t>
            </w:r>
          </w:p>
        </w:tc>
      </w:tr>
      <w:tr>
        <w:tblPrEx>
          <w:tblCellMar>
            <w:top w:w="0" w:type="dxa"/>
            <w:left w:w="108" w:type="dxa"/>
            <w:bottom w:w="0" w:type="dxa"/>
            <w:right w:w="108" w:type="dxa"/>
          </w:tblCellMar>
        </w:tblPrEx>
        <w:trPr>
          <w:trHeight w:val="880"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7.4</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是否授权评标委员会确定中标人</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是</w:t>
            </w:r>
          </w:p>
          <w:p>
            <w:pPr>
              <w:spacing w:line="440" w:lineRule="exact"/>
              <w:rPr>
                <w:rFonts w:ascii="宋体" w:hAnsi="宋体"/>
                <w:color w:val="auto"/>
                <w:szCs w:val="21"/>
                <w:highlight w:val="none"/>
              </w:rPr>
            </w:pPr>
            <w:r>
              <w:rPr>
                <w:rFonts w:hint="eastAsia" w:ascii="宋体" w:hAnsi="宋体"/>
                <w:color w:val="auto"/>
                <w:szCs w:val="21"/>
                <w:highlight w:val="none"/>
              </w:rPr>
              <w:sym w:font="Wingdings 2" w:char="0052"/>
            </w:r>
            <w:r>
              <w:rPr>
                <w:rFonts w:ascii="宋体" w:hAnsi="宋体"/>
                <w:color w:val="auto"/>
                <w:szCs w:val="21"/>
                <w:highlight w:val="none"/>
              </w:rPr>
              <w:t>否</w:t>
            </w:r>
          </w:p>
        </w:tc>
      </w:tr>
      <w:tr>
        <w:tblPrEx>
          <w:tblCellMar>
            <w:top w:w="0" w:type="dxa"/>
            <w:left w:w="108" w:type="dxa"/>
            <w:bottom w:w="0" w:type="dxa"/>
            <w:right w:w="108" w:type="dxa"/>
          </w:tblCellMar>
        </w:tblPrEx>
        <w:trPr>
          <w:trHeight w:val="880"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7.6</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hint="eastAsia" w:ascii="宋体" w:hAnsi="宋体"/>
                <w:color w:val="auto"/>
                <w:szCs w:val="21"/>
                <w:highlight w:val="none"/>
              </w:rPr>
              <w:t>技术成果经济补偿</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tabs>
                <w:tab w:val="left" w:pos="360"/>
              </w:tabs>
              <w:rPr>
                <w:rFonts w:ascii="宋体" w:hAnsi="宋体"/>
                <w:color w:val="auto"/>
                <w:szCs w:val="21"/>
                <w:highlight w:val="none"/>
              </w:rPr>
            </w:pPr>
            <w:r>
              <w:rPr>
                <w:rFonts w:ascii="宋体" w:hAnsi="宋体"/>
                <w:color w:val="auto"/>
                <w:szCs w:val="21"/>
                <w:highlight w:val="none"/>
              </w:rPr>
              <w:sym w:font="Wingdings 2" w:char="F052"/>
            </w:r>
            <w:r>
              <w:rPr>
                <w:rFonts w:hint="eastAsia" w:ascii="宋体" w:hAnsi="宋体"/>
                <w:color w:val="auto"/>
                <w:szCs w:val="21"/>
                <w:highlight w:val="none"/>
              </w:rPr>
              <w:t>不补偿</w:t>
            </w:r>
          </w:p>
          <w:p>
            <w:pPr>
              <w:spacing w:line="440" w:lineRule="exact"/>
              <w:rPr>
                <w:rFonts w:ascii="宋体" w:hAnsi="宋体"/>
                <w:color w:val="auto"/>
                <w:szCs w:val="21"/>
                <w:highlight w:val="none"/>
              </w:rPr>
            </w:pPr>
            <w:r>
              <w:rPr>
                <w:rFonts w:hint="eastAsia" w:ascii="宋体" w:hAnsi="宋体"/>
                <w:color w:val="auto"/>
                <w:szCs w:val="21"/>
                <w:highlight w:val="none"/>
              </w:rPr>
              <w:t>□补偿，补偿标准：</w:t>
            </w:r>
          </w:p>
        </w:tc>
      </w:tr>
      <w:tr>
        <w:tblPrEx>
          <w:tblCellMar>
            <w:top w:w="0" w:type="dxa"/>
            <w:left w:w="108" w:type="dxa"/>
            <w:bottom w:w="0" w:type="dxa"/>
            <w:right w:w="108" w:type="dxa"/>
          </w:tblCellMar>
        </w:tblPrEx>
        <w:trPr>
          <w:trHeight w:val="880"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7</w:t>
            </w:r>
            <w:r>
              <w:rPr>
                <w:rFonts w:ascii="宋体" w:hAnsi="宋体"/>
                <w:color w:val="auto"/>
                <w:szCs w:val="21"/>
                <w:highlight w:val="none"/>
              </w:rPr>
              <w:t>.1</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履约保证金</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widowControl/>
              <w:wordWrap w:val="0"/>
              <w:spacing w:line="360" w:lineRule="exact"/>
              <w:jc w:val="left"/>
              <w:rPr>
                <w:rFonts w:hint="eastAsia" w:hAnsi="宋体"/>
                <w:color w:val="auto"/>
                <w:highlight w:val="none"/>
              </w:rPr>
            </w:pPr>
            <w:r>
              <w:rPr>
                <w:rFonts w:hint="eastAsia" w:hAnsi="宋体"/>
                <w:color w:val="auto"/>
                <w:highlight w:val="none"/>
              </w:rPr>
              <w:t xml:space="preserve">履约担保的金额：分别按勘察、设计合同按暂定价款 10% </w:t>
            </w:r>
          </w:p>
          <w:p>
            <w:pPr>
              <w:widowControl/>
              <w:wordWrap w:val="0"/>
              <w:spacing w:line="360" w:lineRule="exact"/>
              <w:jc w:val="left"/>
              <w:rPr>
                <w:rFonts w:hint="eastAsia" w:hAnsi="宋体"/>
                <w:color w:val="auto"/>
                <w:highlight w:val="none"/>
              </w:rPr>
            </w:pPr>
            <w:r>
              <w:rPr>
                <w:rFonts w:hint="eastAsia" w:hAnsi="宋体"/>
                <w:color w:val="auto"/>
                <w:highlight w:val="none"/>
              </w:rPr>
              <w:t>履约担保的形式：</w:t>
            </w:r>
            <w:r>
              <w:rPr>
                <w:rFonts w:ascii="宋体" w:hAnsi="宋体"/>
                <w:color w:val="auto"/>
                <w:szCs w:val="21"/>
                <w:highlight w:val="none"/>
              </w:rPr>
              <w:sym w:font="Wingdings 2" w:char="F052"/>
            </w:r>
            <w:r>
              <w:rPr>
                <w:rFonts w:hint="eastAsia" w:hAnsi="宋体"/>
                <w:color w:val="auto"/>
                <w:highlight w:val="none"/>
              </w:rPr>
              <w:t>银行履约保函【财政投资项目适用条款】</w:t>
            </w:r>
          </w:p>
          <w:p>
            <w:pPr>
              <w:widowControl/>
              <w:wordWrap w:val="0"/>
              <w:spacing w:line="360" w:lineRule="exact"/>
              <w:jc w:val="left"/>
              <w:rPr>
                <w:rFonts w:hint="eastAsia" w:hAnsi="宋体"/>
                <w:color w:val="auto"/>
                <w:highlight w:val="none"/>
              </w:rPr>
            </w:pPr>
            <w:r>
              <w:rPr>
                <w:rFonts w:hint="eastAsia" w:hAnsi="宋体"/>
                <w:color w:val="auto"/>
                <w:highlight w:val="none"/>
              </w:rPr>
              <w:sym w:font="Wingdings 2" w:char="00A3"/>
            </w:r>
            <w:r>
              <w:rPr>
                <w:rFonts w:hint="eastAsia" w:hAnsi="宋体"/>
                <w:color w:val="auto"/>
                <w:highlight w:val="none"/>
              </w:rPr>
              <w:t xml:space="preserve">担保公司履约担保书 </w:t>
            </w:r>
          </w:p>
          <w:p>
            <w:pPr>
              <w:widowControl/>
              <w:wordWrap w:val="0"/>
              <w:spacing w:line="360" w:lineRule="exact"/>
              <w:jc w:val="left"/>
              <w:rPr>
                <w:rFonts w:hint="eastAsia" w:hAnsi="宋体"/>
                <w:color w:val="auto"/>
                <w:highlight w:val="none"/>
              </w:rPr>
            </w:pPr>
            <w:r>
              <w:rPr>
                <w:rFonts w:ascii="宋体" w:hAnsi="宋体"/>
                <w:color w:val="auto"/>
                <w:szCs w:val="21"/>
                <w:highlight w:val="none"/>
              </w:rPr>
              <w:sym w:font="Wingdings 2" w:char="F052"/>
            </w:r>
            <w:r>
              <w:rPr>
                <w:rFonts w:hint="eastAsia" w:hAnsi="宋体"/>
                <w:color w:val="auto"/>
                <w:highlight w:val="none"/>
              </w:rPr>
              <w:t xml:space="preserve">履约保证金【财政投资项目适用条款】 </w:t>
            </w:r>
          </w:p>
          <w:p>
            <w:pPr>
              <w:widowControl/>
              <w:wordWrap w:val="0"/>
              <w:spacing w:line="360" w:lineRule="exact"/>
              <w:jc w:val="left"/>
              <w:rPr>
                <w:rFonts w:hint="eastAsia" w:hAnsi="宋体"/>
                <w:color w:val="auto"/>
                <w:highlight w:val="none"/>
              </w:rPr>
            </w:pPr>
            <w:r>
              <w:rPr>
                <w:rFonts w:ascii="宋体" w:hAnsi="宋体"/>
                <w:color w:val="auto"/>
                <w:szCs w:val="21"/>
                <w:highlight w:val="none"/>
              </w:rPr>
              <w:sym w:font="Wingdings 2" w:char="F052"/>
            </w:r>
            <w:r>
              <w:rPr>
                <w:rFonts w:hint="eastAsia" w:hAnsi="宋体"/>
                <w:color w:val="auto"/>
                <w:highlight w:val="none"/>
              </w:rPr>
              <w:t xml:space="preserve">已在东莞市住房和城乡建设局建立信用档案的保险公司出具的建筑工程履约保证保险 【财政投资项 目适用条款】 </w:t>
            </w:r>
          </w:p>
          <w:p>
            <w:pPr>
              <w:widowControl/>
              <w:wordWrap w:val="0"/>
              <w:spacing w:line="360" w:lineRule="exact"/>
              <w:jc w:val="left"/>
              <w:rPr>
                <w:rFonts w:hint="eastAsia" w:hAnsi="宋体"/>
                <w:color w:val="auto"/>
                <w:highlight w:val="none"/>
              </w:rPr>
            </w:pPr>
            <w:r>
              <w:rPr>
                <w:rFonts w:hint="eastAsia" w:hAnsi="宋体"/>
                <w:color w:val="auto"/>
                <w:highlight w:val="none"/>
              </w:rPr>
              <w:sym w:font="Wingdings 2" w:char="00A3"/>
            </w:r>
            <w:r>
              <w:rPr>
                <w:rFonts w:hint="eastAsia" w:hAnsi="宋体"/>
                <w:color w:val="auto"/>
                <w:highlight w:val="none"/>
              </w:rPr>
              <w:t xml:space="preserve">政府性融资担保机构履约保函 【财政投资项目适用条款】 </w:t>
            </w:r>
          </w:p>
          <w:p>
            <w:pPr>
              <w:widowControl/>
              <w:wordWrap w:val="0"/>
              <w:spacing w:line="360" w:lineRule="exact"/>
              <w:jc w:val="left"/>
              <w:rPr>
                <w:rFonts w:hint="eastAsia" w:hAnsi="宋体"/>
                <w:color w:val="auto"/>
                <w:highlight w:val="none"/>
              </w:rPr>
            </w:pPr>
            <w:r>
              <w:rPr>
                <w:rFonts w:hint="eastAsia" w:hAnsi="宋体"/>
                <w:color w:val="auto"/>
                <w:highlight w:val="none"/>
              </w:rPr>
              <w:t xml:space="preserve">履约担保的有效期： </w:t>
            </w:r>
          </w:p>
          <w:p>
            <w:pPr>
              <w:pStyle w:val="16"/>
              <w:topLinePunct/>
              <w:spacing w:line="400" w:lineRule="exact"/>
              <w:ind w:firstLine="420" w:firstLineChars="200"/>
              <w:rPr>
                <w:rFonts w:hAnsi="宋体"/>
                <w:color w:val="auto"/>
                <w:sz w:val="21"/>
                <w:szCs w:val="21"/>
                <w:highlight w:val="none"/>
              </w:rPr>
            </w:pPr>
            <w:r>
              <w:rPr>
                <w:rFonts w:hAnsi="宋体"/>
                <w:color w:val="auto"/>
                <w:sz w:val="21"/>
                <w:szCs w:val="21"/>
                <w:highlight w:val="none"/>
              </w:rPr>
              <w:t>从合同签订之日起至勘察设计范围内全部工程竣工验 收合格及勘察设计费结算经合同双方签字确定后 7 日内保持 有效。</w:t>
            </w:r>
          </w:p>
        </w:tc>
      </w:tr>
      <w:tr>
        <w:tblPrEx>
          <w:tblCellMar>
            <w:top w:w="0" w:type="dxa"/>
            <w:left w:w="108" w:type="dxa"/>
            <w:bottom w:w="0" w:type="dxa"/>
            <w:right w:w="108" w:type="dxa"/>
          </w:tblCellMar>
        </w:tblPrEx>
        <w:trPr>
          <w:trHeight w:val="880"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宋体" w:hAnsi="宋体"/>
                <w:color w:val="auto"/>
                <w:szCs w:val="21"/>
                <w:highlight w:val="none"/>
              </w:rPr>
            </w:pPr>
            <w:r>
              <w:rPr>
                <w:rFonts w:hint="eastAsia" w:ascii="宋体" w:hAnsi="宋体"/>
                <w:color w:val="auto"/>
                <w:szCs w:val="21"/>
                <w:highlight w:val="none"/>
              </w:rPr>
              <w:t>8</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hint="eastAsia" w:ascii="宋体" w:hAnsi="宋体"/>
                <w:color w:val="auto"/>
                <w:szCs w:val="21"/>
                <w:highlight w:val="none"/>
              </w:rPr>
              <w:t>重新招标和不再招标</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pStyle w:val="16"/>
              <w:topLinePunct/>
              <w:spacing w:line="400" w:lineRule="exact"/>
              <w:rPr>
                <w:rFonts w:hAnsi="宋体"/>
                <w:color w:val="auto"/>
                <w:highlight w:val="none"/>
                <w:u w:val="single"/>
              </w:rPr>
            </w:pPr>
            <w:r>
              <w:rPr>
                <w:rFonts w:hint="eastAsia" w:hAnsi="宋体"/>
                <w:color w:val="auto"/>
                <w:sz w:val="21"/>
                <w:szCs w:val="21"/>
                <w:highlight w:val="none"/>
              </w:rPr>
              <w:t>详见第二章第8条。</w:t>
            </w:r>
          </w:p>
        </w:tc>
      </w:tr>
      <w:tr>
        <w:tblPrEx>
          <w:tblCellMar>
            <w:top w:w="0" w:type="dxa"/>
            <w:left w:w="108" w:type="dxa"/>
            <w:bottom w:w="0" w:type="dxa"/>
            <w:right w:w="108" w:type="dxa"/>
          </w:tblCellMar>
        </w:tblPrEx>
        <w:trPr>
          <w:trHeight w:val="880"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hint="eastAsia" w:ascii="宋体" w:hAnsi="宋体"/>
                <w:color w:val="auto"/>
                <w:szCs w:val="21"/>
                <w:highlight w:val="none"/>
              </w:rPr>
              <w:t>10</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hint="eastAsia" w:ascii="宋体" w:hAnsi="宋体"/>
                <w:color w:val="auto"/>
                <w:szCs w:val="21"/>
                <w:highlight w:val="none"/>
              </w:rPr>
              <w:t>异议的受理机构及联系方式</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color w:val="auto"/>
                <w:szCs w:val="21"/>
                <w:highlight w:val="none"/>
              </w:rPr>
            </w:pPr>
            <w:r>
              <w:rPr>
                <w:rFonts w:hint="eastAsia"/>
                <w:color w:val="auto"/>
                <w:szCs w:val="21"/>
                <w:highlight w:val="none"/>
              </w:rPr>
              <w:t xml:space="preserve">详见第一章招标公告             </w:t>
            </w:r>
          </w:p>
        </w:tc>
      </w:tr>
      <w:tr>
        <w:tblPrEx>
          <w:tblCellMar>
            <w:top w:w="0" w:type="dxa"/>
            <w:left w:w="108" w:type="dxa"/>
            <w:bottom w:w="0" w:type="dxa"/>
            <w:right w:w="108" w:type="dxa"/>
          </w:tblCellMar>
        </w:tblPrEx>
        <w:trPr>
          <w:trHeight w:val="880"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hint="eastAsia" w:ascii="宋体" w:hAnsi="宋体"/>
                <w:color w:val="auto"/>
                <w:szCs w:val="21"/>
                <w:highlight w:val="none"/>
              </w:rPr>
              <w:t>11</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hint="eastAsia" w:ascii="宋体" w:hAnsi="宋体"/>
                <w:color w:val="auto"/>
                <w:szCs w:val="21"/>
                <w:highlight w:val="none"/>
              </w:rPr>
              <w:t>监督与投诉</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color w:val="auto"/>
                <w:szCs w:val="21"/>
                <w:highlight w:val="none"/>
              </w:rPr>
            </w:pPr>
            <w:r>
              <w:rPr>
                <w:rFonts w:hint="eastAsia"/>
                <w:color w:val="auto"/>
                <w:szCs w:val="21"/>
                <w:highlight w:val="none"/>
              </w:rPr>
              <w:t xml:space="preserve">详见第一章招标公告              </w:t>
            </w:r>
          </w:p>
        </w:tc>
      </w:tr>
      <w:tr>
        <w:tblPrEx>
          <w:tblCellMar>
            <w:top w:w="0" w:type="dxa"/>
            <w:left w:w="108" w:type="dxa"/>
            <w:bottom w:w="0" w:type="dxa"/>
            <w:right w:w="108" w:type="dxa"/>
          </w:tblCellMar>
        </w:tblPrEx>
        <w:trPr>
          <w:trHeight w:val="880"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hint="eastAsia" w:ascii="宋体" w:hAnsi="宋体"/>
                <w:color w:val="auto"/>
                <w:szCs w:val="21"/>
                <w:highlight w:val="none"/>
              </w:rPr>
              <w:t>12</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宋体" w:hAnsi="宋体"/>
                <w:color w:val="auto"/>
                <w:szCs w:val="21"/>
                <w:highlight w:val="none"/>
              </w:rPr>
            </w:pPr>
            <w:r>
              <w:rPr>
                <w:rFonts w:hint="eastAsia" w:ascii="宋体" w:hAnsi="宋体"/>
                <w:color w:val="auto"/>
                <w:szCs w:val="21"/>
                <w:highlight w:val="none"/>
              </w:rPr>
              <w:t>招标代理服务费收费</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hint="eastAsia"/>
                <w:color w:val="auto"/>
                <w:szCs w:val="21"/>
                <w:highlight w:val="none"/>
              </w:rPr>
            </w:pPr>
            <w:r>
              <w:rPr>
                <w:rFonts w:hint="eastAsia"/>
                <w:color w:val="auto"/>
                <w:szCs w:val="21"/>
                <w:highlight w:val="none"/>
              </w:rPr>
              <w:t>项目类别：见招标公告。</w:t>
            </w:r>
          </w:p>
          <w:p>
            <w:pPr>
              <w:spacing w:line="440" w:lineRule="exact"/>
              <w:rPr>
                <w:rFonts w:hint="eastAsia"/>
                <w:color w:val="auto"/>
                <w:szCs w:val="21"/>
                <w:highlight w:val="none"/>
              </w:rPr>
            </w:pPr>
            <w:r>
              <w:rPr>
                <w:rFonts w:hint="eastAsia"/>
                <w:color w:val="auto"/>
                <w:szCs w:val="21"/>
                <w:highlight w:val="none"/>
              </w:rPr>
              <w:t>代理费支付：由招标人支付。</w:t>
            </w:r>
          </w:p>
        </w:tc>
      </w:tr>
      <w:tr>
        <w:tblPrEx>
          <w:tblCellMar>
            <w:top w:w="0" w:type="dxa"/>
            <w:left w:w="108" w:type="dxa"/>
            <w:bottom w:w="0" w:type="dxa"/>
            <w:right w:w="108" w:type="dxa"/>
          </w:tblCellMar>
        </w:tblPrEx>
        <w:trPr>
          <w:trHeight w:val="880" w:hRule="atLeast"/>
        </w:trPr>
        <w:tc>
          <w:tcPr>
            <w:tcW w:w="1165"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hint="eastAsia"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3</w:t>
            </w:r>
          </w:p>
        </w:tc>
        <w:tc>
          <w:tcPr>
            <w:tcW w:w="2488"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rFonts w:ascii="宋体" w:hAnsi="宋体"/>
                <w:color w:val="auto"/>
                <w:szCs w:val="21"/>
                <w:highlight w:val="none"/>
              </w:rPr>
            </w:pPr>
            <w:r>
              <w:rPr>
                <w:rFonts w:ascii="宋体" w:hAnsi="宋体"/>
                <w:color w:val="auto"/>
                <w:szCs w:val="21"/>
                <w:highlight w:val="none"/>
              </w:rPr>
              <w:t>需要补充的其他内容</w:t>
            </w:r>
          </w:p>
        </w:tc>
        <w:tc>
          <w:tcPr>
            <w:tcW w:w="5669" w:type="dxa"/>
            <w:tcBorders>
              <w:top w:val="single" w:color="auto" w:sz="4" w:space="0"/>
              <w:left w:val="single" w:color="auto" w:sz="4" w:space="0"/>
              <w:bottom w:val="single" w:color="auto" w:sz="4" w:space="0"/>
              <w:right w:val="single" w:color="auto" w:sz="4" w:space="0"/>
            </w:tcBorders>
            <w:noWrap w:val="0"/>
            <w:vAlign w:val="center"/>
          </w:tcPr>
          <w:p>
            <w:pPr>
              <w:numPr>
                <w:ilvl w:val="0"/>
                <w:numId w:val="6"/>
              </w:numPr>
              <w:spacing w:line="440" w:lineRule="exact"/>
              <w:jc w:val="left"/>
            </w:pPr>
            <w:r>
              <w:rPr>
                <w:rFonts w:hint="eastAsia"/>
              </w:rPr>
              <w:t>标段划分：详见第一章招标公告第2.6项。</w:t>
            </w:r>
          </w:p>
          <w:p>
            <w:pPr>
              <w:numPr>
                <w:ilvl w:val="0"/>
                <w:numId w:val="6"/>
              </w:numPr>
              <w:spacing w:line="440" w:lineRule="exact"/>
              <w:jc w:val="left"/>
            </w:pPr>
            <w:r>
              <w:rPr>
                <w:rFonts w:hint="eastAsia"/>
              </w:rPr>
              <w:t>近年获奖的类似设计项目情况的时间要求：2018</w:t>
            </w:r>
            <w:r>
              <w:t xml:space="preserve"> 年至</w:t>
            </w:r>
            <w:r>
              <w:rPr>
                <w:rFonts w:hint="eastAsia"/>
              </w:rPr>
              <w:t xml:space="preserve">   </w:t>
            </w:r>
            <w:r>
              <w:rPr>
                <w:rFonts w:hint="eastAsia"/>
                <w:lang w:val="en-US" w:eastAsia="zh-Hans"/>
              </w:rPr>
              <w:t>今</w:t>
            </w:r>
            <w:r>
              <w:rPr>
                <w:rFonts w:hint="eastAsia"/>
              </w:rPr>
              <w:t>（投标前5年</w:t>
            </w:r>
            <w:r>
              <w:t>内）</w:t>
            </w:r>
          </w:p>
          <w:p>
            <w:pPr>
              <w:spacing w:line="440" w:lineRule="exact"/>
              <w:jc w:val="left"/>
            </w:pPr>
            <w:r>
              <w:rPr>
                <w:rFonts w:hint="eastAsia"/>
              </w:rPr>
              <w:t>3、投标人必须认真阅读以下内容，并在技术文件标书中承诺具体实施细节。</w:t>
            </w:r>
          </w:p>
          <w:p>
            <w:pPr>
              <w:spacing w:line="440" w:lineRule="exact"/>
              <w:jc w:val="left"/>
            </w:pPr>
            <w:r>
              <w:rPr>
                <w:rFonts w:hint="eastAsia"/>
              </w:rPr>
              <w:t>（1）持续推进基建安风体系认证工作，严格执行“四步法”、“八步骤”、“7S”管理，规范PPE管理，形成施工现场安全管理文化。</w:t>
            </w:r>
          </w:p>
          <w:p>
            <w:pPr>
              <w:spacing w:line="440" w:lineRule="exact"/>
              <w:jc w:val="left"/>
            </w:pPr>
            <w:r>
              <w:rPr>
                <w:rFonts w:hint="eastAsia"/>
              </w:rPr>
              <w:t>（2）服从《南方电网公司基建承包商违章处罚条款》的日常检查及处罚。</w:t>
            </w:r>
          </w:p>
          <w:p>
            <w:pPr>
              <w:spacing w:line="440" w:lineRule="exact"/>
              <w:jc w:val="left"/>
            </w:pPr>
            <w:r>
              <w:rPr>
                <w:rFonts w:hint="eastAsia"/>
              </w:rPr>
              <w:t>（3）遵守国家、电力行业、公司持证上岗相关要求。</w:t>
            </w:r>
          </w:p>
          <w:p>
            <w:pPr>
              <w:spacing w:line="440" w:lineRule="exact"/>
              <w:jc w:val="left"/>
            </w:pPr>
            <w:r>
              <w:rPr>
                <w:rFonts w:hint="eastAsia"/>
              </w:rPr>
              <w:t>（4）自愿参加南方电网公司基建承包商登记建档并服从承包商管理相关规定。</w:t>
            </w:r>
          </w:p>
          <w:p>
            <w:pPr>
              <w:spacing w:line="440" w:lineRule="exact"/>
              <w:jc w:val="left"/>
            </w:pPr>
            <w:r>
              <w:rPr>
                <w:rFonts w:hint="eastAsia"/>
              </w:rPr>
              <w:t>（5）规范PPE（人工防护用品）</w:t>
            </w:r>
            <w:r>
              <w:t>管理</w:t>
            </w:r>
            <w:r>
              <w:rPr>
                <w:rFonts w:hint="eastAsia"/>
              </w:rPr>
              <w:t>，形成施工现场安全管理文化。</w:t>
            </w:r>
          </w:p>
          <w:p>
            <w:pPr>
              <w:spacing w:line="440" w:lineRule="exact"/>
              <w:jc w:val="left"/>
            </w:pPr>
            <w:r>
              <w:rPr>
                <w:rFonts w:hint="eastAsia"/>
              </w:rPr>
              <w:t>（6）严格执行南网“八不准”。</w:t>
            </w:r>
          </w:p>
          <w:p>
            <w:pPr>
              <w:spacing w:line="440" w:lineRule="exact"/>
              <w:jc w:val="left"/>
            </w:pPr>
            <w:r>
              <w:rPr>
                <w:rFonts w:hint="eastAsia"/>
              </w:rPr>
              <w:t>（7）深化WHS、施工作业指导书和验评标准的现场应用。</w:t>
            </w:r>
          </w:p>
          <w:p>
            <w:pPr>
              <w:spacing w:line="440" w:lineRule="exact"/>
              <w:jc w:val="left"/>
            </w:pPr>
            <w:r>
              <w:rPr>
                <w:rFonts w:hint="eastAsia"/>
              </w:rPr>
              <w:t>（8）完善基建项目缺陷管理制度、表单，所有项目均严格实行缺陷填报。</w:t>
            </w:r>
          </w:p>
          <w:p>
            <w:pPr>
              <w:spacing w:line="440" w:lineRule="exact"/>
              <w:jc w:val="left"/>
            </w:pPr>
            <w:r>
              <w:rPr>
                <w:rFonts w:hint="eastAsia"/>
              </w:rPr>
              <w:t>4、投标人必须严格执行现行中华人民共和国以及省、自治区、直辖市或行业的有关法律法规、标准、规范要求，遵守中国南方电网有限责任公司相关管理制度和规定，包括但不限于第五章“管理规范和技术（规范）标准”内容。</w:t>
            </w:r>
          </w:p>
          <w:p>
            <w:pPr>
              <w:spacing w:line="440" w:lineRule="exact"/>
              <w:jc w:val="left"/>
              <w:rPr>
                <w:rFonts w:hint="eastAsia"/>
              </w:rPr>
            </w:pPr>
            <w:r>
              <w:rPr>
                <w:rFonts w:hint="eastAsia"/>
              </w:rPr>
              <w:t>5、按照公司要求使用资产管理信息系统及南网基建移动应用，若违反使用要求，按照南网基建承包商处罚条款进行扣分。</w:t>
            </w:r>
          </w:p>
          <w:p>
            <w:pPr>
              <w:spacing w:line="440" w:lineRule="exact"/>
              <w:jc w:val="left"/>
              <w:rPr>
                <w:rFonts w:hint="eastAsia"/>
              </w:rPr>
            </w:pPr>
            <w:r>
              <w:rPr>
                <w:rFonts w:hint="eastAsia"/>
              </w:rPr>
              <w:t>6、执行《关于进一步加强供应商廉洁诚信管理的通知》（物资[2017]15号文），其中限制违法违规供应商投标的条款为：若投标人（包括投标人的委托人、代理人或与投标人有销售、劳务或服务等关系的其他主体）在参加南方电网公司系统的招投标活动或经注往来等过程中曾经存在违法事件的，自公司发文公布违法事件之日起，在规定时间不接受该投标人参与公司的招投标活动，具体时间按《中国南方电网有限责任公司供应商行贿行为信息记录及处理办法》的相关规定执行。</w:t>
            </w:r>
          </w:p>
          <w:p>
            <w:pPr>
              <w:spacing w:line="440" w:lineRule="exact"/>
              <w:jc w:val="left"/>
              <w:rPr>
                <w:rFonts w:hint="eastAsia"/>
              </w:rPr>
            </w:pPr>
            <w:r>
              <w:rPr>
                <w:rFonts w:hint="eastAsia"/>
              </w:rPr>
              <w:t>7、结算支付方式为：电汇、支票以及双方认可的其它方式。</w:t>
            </w:r>
          </w:p>
          <w:p>
            <w:pPr>
              <w:pStyle w:val="2"/>
            </w:pPr>
            <w:r>
              <w:rPr>
                <w:rFonts w:hint="eastAsia" w:hAnsi="宋体"/>
                <w:bCs/>
                <w:color w:val="auto"/>
                <w:highlight w:val="none"/>
                <w:u w:val="none"/>
                <w:lang w:val="en-US" w:eastAsia="zh-CN"/>
              </w:rPr>
              <w:t>8、</w:t>
            </w:r>
            <w:r>
              <w:rPr>
                <w:rFonts w:hint="eastAsia" w:hAnsi="宋体"/>
                <w:bCs/>
                <w:color w:val="auto"/>
                <w:highlight w:val="none"/>
                <w:u w:val="none"/>
              </w:rPr>
              <w:t>由中标单位按照相关文件缴纳公共资源交易服务费。</w:t>
            </w:r>
          </w:p>
        </w:tc>
      </w:tr>
    </w:tbl>
    <w:p>
      <w:pPr>
        <w:spacing w:line="400" w:lineRule="exact"/>
        <w:rPr>
          <w:color w:val="auto"/>
          <w:highlight w:val="none"/>
        </w:rPr>
      </w:pPr>
      <w:r>
        <w:rPr>
          <w:color w:val="auto"/>
          <w:highlight w:val="none"/>
        </w:rPr>
        <w:br w:type="page"/>
      </w:r>
    </w:p>
    <w:p>
      <w:pPr>
        <w:pStyle w:val="4"/>
        <w:rPr>
          <w:rFonts w:ascii="Times New Roman" w:hAnsi="Times New Roman"/>
          <w:color w:val="auto"/>
          <w:highlight w:val="none"/>
        </w:rPr>
      </w:pPr>
      <w:bookmarkStart w:id="131" w:name="_Toc16484"/>
      <w:r>
        <w:rPr>
          <w:rFonts w:ascii="Times New Roman" w:hAnsi="Times New Roman"/>
          <w:color w:val="auto"/>
          <w:highlight w:val="none"/>
        </w:rPr>
        <w:t>1. 总则</w:t>
      </w:r>
      <w:bookmarkEnd w:id="131"/>
    </w:p>
    <w:p>
      <w:pPr>
        <w:pStyle w:val="5"/>
        <w:spacing w:line="240" w:lineRule="auto"/>
        <w:ind w:firstLine="137"/>
        <w:rPr>
          <w:rFonts w:ascii="Times New Roman"/>
          <w:color w:val="auto"/>
          <w:highlight w:val="none"/>
        </w:rPr>
      </w:pPr>
      <w:bookmarkStart w:id="132" w:name="_Toc7987"/>
      <w:r>
        <w:rPr>
          <w:rFonts w:ascii="Times New Roman"/>
          <w:color w:val="auto"/>
          <w:highlight w:val="none"/>
        </w:rPr>
        <w:t xml:space="preserve">1.1 </w:t>
      </w:r>
      <w:r>
        <w:rPr>
          <w:rFonts w:hint="eastAsia" w:ascii="Times New Roman"/>
          <w:color w:val="auto"/>
          <w:highlight w:val="none"/>
        </w:rPr>
        <w:t>招标项目概况</w:t>
      </w:r>
      <w:bookmarkEnd w:id="132"/>
    </w:p>
    <w:p>
      <w:pPr>
        <w:spacing w:line="400" w:lineRule="exact"/>
        <w:ind w:firstLine="420" w:firstLineChars="200"/>
        <w:rPr>
          <w:color w:val="auto"/>
          <w:highlight w:val="none"/>
        </w:rPr>
      </w:pPr>
      <w:r>
        <w:rPr>
          <w:color w:val="auto"/>
          <w:highlight w:val="none"/>
        </w:rPr>
        <w:t>1.1.1根据《中华人民共和国招标投标法》、《中华人民共和国招标投标法实施条例》等有关法律、法规和规章的规定，本招标项目已具备招标条件，现对</w:t>
      </w:r>
      <w:r>
        <w:rPr>
          <w:rFonts w:hint="eastAsia"/>
          <w:color w:val="auto"/>
          <w:highlight w:val="none"/>
        </w:rPr>
        <w:t>勘察</w:t>
      </w:r>
      <w:r>
        <w:rPr>
          <w:color w:val="auto"/>
          <w:highlight w:val="none"/>
        </w:rPr>
        <w:t>设计进行招标。</w:t>
      </w:r>
    </w:p>
    <w:p>
      <w:pPr>
        <w:spacing w:line="400" w:lineRule="exact"/>
        <w:ind w:firstLine="420" w:firstLineChars="200"/>
        <w:rPr>
          <w:color w:val="auto"/>
          <w:highlight w:val="none"/>
        </w:rPr>
      </w:pPr>
      <w:r>
        <w:rPr>
          <w:color w:val="auto"/>
          <w:highlight w:val="none"/>
        </w:rPr>
        <w:t>1.1.2 招标人：见投标人须知前附表。</w:t>
      </w:r>
    </w:p>
    <w:p>
      <w:pPr>
        <w:spacing w:line="400" w:lineRule="exact"/>
        <w:ind w:firstLine="420" w:firstLineChars="200"/>
        <w:rPr>
          <w:color w:val="auto"/>
          <w:highlight w:val="none"/>
        </w:rPr>
      </w:pPr>
      <w:r>
        <w:rPr>
          <w:color w:val="auto"/>
          <w:highlight w:val="none"/>
        </w:rPr>
        <w:t>1.1.3 招标代理机构：见投标人须知前附表。</w:t>
      </w:r>
    </w:p>
    <w:p>
      <w:pPr>
        <w:spacing w:line="400" w:lineRule="exact"/>
        <w:ind w:firstLine="420" w:firstLineChars="200"/>
        <w:rPr>
          <w:color w:val="auto"/>
          <w:highlight w:val="none"/>
        </w:rPr>
      </w:pPr>
      <w:r>
        <w:rPr>
          <w:color w:val="auto"/>
          <w:highlight w:val="none"/>
        </w:rPr>
        <w:t>1.1.4 招标项目名称：见投标人须知前附表。</w:t>
      </w:r>
    </w:p>
    <w:p>
      <w:pPr>
        <w:spacing w:line="400" w:lineRule="exact"/>
        <w:ind w:firstLine="420" w:firstLineChars="200"/>
        <w:rPr>
          <w:color w:val="auto"/>
          <w:highlight w:val="none"/>
        </w:rPr>
      </w:pPr>
      <w:r>
        <w:rPr>
          <w:color w:val="auto"/>
          <w:highlight w:val="none"/>
        </w:rPr>
        <w:t>1.1.5 项目建设地点：见投标人须知前附表。</w:t>
      </w:r>
    </w:p>
    <w:p>
      <w:pPr>
        <w:spacing w:line="400" w:lineRule="exact"/>
        <w:ind w:firstLine="420" w:firstLineChars="200"/>
        <w:rPr>
          <w:color w:val="auto"/>
          <w:highlight w:val="none"/>
        </w:rPr>
      </w:pPr>
      <w:r>
        <w:rPr>
          <w:color w:val="auto"/>
          <w:highlight w:val="none"/>
        </w:rPr>
        <w:t>1.1.6 项目建设规模：见投标人须知前附表。</w:t>
      </w:r>
    </w:p>
    <w:p>
      <w:pPr>
        <w:spacing w:line="400" w:lineRule="exact"/>
        <w:ind w:firstLine="420" w:firstLineChars="200"/>
        <w:rPr>
          <w:color w:val="auto"/>
          <w:highlight w:val="none"/>
        </w:rPr>
      </w:pPr>
      <w:r>
        <w:rPr>
          <w:color w:val="auto"/>
          <w:highlight w:val="none"/>
        </w:rPr>
        <w:t>1.1.7 项目投资估算：见投标人须知前附表。</w:t>
      </w:r>
    </w:p>
    <w:p>
      <w:pPr>
        <w:pStyle w:val="5"/>
        <w:spacing w:line="240" w:lineRule="auto"/>
        <w:ind w:firstLine="137"/>
        <w:rPr>
          <w:rFonts w:ascii="Times New Roman"/>
          <w:color w:val="auto"/>
          <w:highlight w:val="none"/>
        </w:rPr>
      </w:pPr>
      <w:bookmarkStart w:id="133" w:name="_Toc24929"/>
      <w:r>
        <w:rPr>
          <w:rFonts w:ascii="Times New Roman"/>
          <w:color w:val="auto"/>
          <w:highlight w:val="none"/>
        </w:rPr>
        <w:t xml:space="preserve">1.2 </w:t>
      </w:r>
      <w:r>
        <w:rPr>
          <w:rFonts w:hint="eastAsia" w:ascii="Times New Roman"/>
          <w:color w:val="auto"/>
          <w:highlight w:val="none"/>
        </w:rPr>
        <w:t>招标项目的资金来源和落实情况</w:t>
      </w:r>
      <w:bookmarkEnd w:id="133"/>
    </w:p>
    <w:p>
      <w:pPr>
        <w:spacing w:line="400" w:lineRule="exact"/>
        <w:ind w:firstLine="420" w:firstLineChars="200"/>
        <w:rPr>
          <w:color w:val="auto"/>
          <w:highlight w:val="none"/>
        </w:rPr>
      </w:pPr>
      <w:r>
        <w:rPr>
          <w:color w:val="auto"/>
          <w:highlight w:val="none"/>
        </w:rPr>
        <w:t>1.2.1 资金来源及比例：见投标人须知前附表。</w:t>
      </w:r>
    </w:p>
    <w:p>
      <w:pPr>
        <w:spacing w:line="400" w:lineRule="exact"/>
        <w:ind w:firstLine="420" w:firstLineChars="200"/>
        <w:rPr>
          <w:color w:val="auto"/>
          <w:highlight w:val="none"/>
        </w:rPr>
      </w:pPr>
      <w:r>
        <w:rPr>
          <w:color w:val="auto"/>
          <w:highlight w:val="none"/>
        </w:rPr>
        <w:t>1.2.2 资金落实情况：见投标人须知前附表。</w:t>
      </w:r>
    </w:p>
    <w:p>
      <w:pPr>
        <w:pStyle w:val="5"/>
        <w:spacing w:line="240" w:lineRule="auto"/>
        <w:ind w:firstLine="137"/>
        <w:rPr>
          <w:rFonts w:ascii="Times New Roman"/>
          <w:color w:val="auto"/>
          <w:highlight w:val="none"/>
        </w:rPr>
      </w:pPr>
      <w:bookmarkStart w:id="134" w:name="_Toc10279"/>
      <w:r>
        <w:rPr>
          <w:rFonts w:ascii="Times New Roman"/>
          <w:color w:val="auto"/>
          <w:highlight w:val="none"/>
        </w:rPr>
        <w:t>1.3</w:t>
      </w:r>
      <w:r>
        <w:rPr>
          <w:rFonts w:hint="eastAsia" w:ascii="Times New Roman"/>
          <w:color w:val="auto"/>
          <w:highlight w:val="none"/>
        </w:rPr>
        <w:t xml:space="preserve"> 招标范围、勘察设计服务期限和质量标准</w:t>
      </w:r>
      <w:bookmarkEnd w:id="134"/>
    </w:p>
    <w:p>
      <w:pPr>
        <w:spacing w:line="400" w:lineRule="exact"/>
        <w:ind w:firstLine="420" w:firstLineChars="200"/>
        <w:rPr>
          <w:color w:val="auto"/>
          <w:highlight w:val="none"/>
        </w:rPr>
      </w:pPr>
      <w:r>
        <w:rPr>
          <w:color w:val="auto"/>
          <w:highlight w:val="none"/>
        </w:rPr>
        <w:t>1.3.1 招标范围：见投标人须知前附表。</w:t>
      </w:r>
    </w:p>
    <w:p>
      <w:pPr>
        <w:spacing w:line="400" w:lineRule="exact"/>
        <w:ind w:firstLine="420" w:firstLineChars="200"/>
        <w:rPr>
          <w:color w:val="auto"/>
          <w:highlight w:val="none"/>
        </w:rPr>
      </w:pPr>
      <w:r>
        <w:rPr>
          <w:color w:val="auto"/>
          <w:highlight w:val="none"/>
        </w:rPr>
        <w:t xml:space="preserve">1.3.2 </w:t>
      </w:r>
      <w:r>
        <w:rPr>
          <w:rFonts w:hint="eastAsia"/>
          <w:color w:val="auto"/>
          <w:highlight w:val="none"/>
        </w:rPr>
        <w:t>勘察</w:t>
      </w:r>
      <w:r>
        <w:rPr>
          <w:color w:val="auto"/>
          <w:highlight w:val="none"/>
        </w:rPr>
        <w:t>设计服务期限：见投标人须知前附表。</w:t>
      </w:r>
    </w:p>
    <w:p>
      <w:pPr>
        <w:spacing w:line="400" w:lineRule="exact"/>
        <w:ind w:firstLine="420" w:firstLineChars="200"/>
        <w:rPr>
          <w:color w:val="auto"/>
          <w:highlight w:val="none"/>
        </w:rPr>
      </w:pPr>
      <w:r>
        <w:rPr>
          <w:color w:val="auto"/>
          <w:highlight w:val="none"/>
        </w:rPr>
        <w:t>1.3.3 质量标准：见投标人须知前附表。</w:t>
      </w:r>
    </w:p>
    <w:p>
      <w:pPr>
        <w:pStyle w:val="5"/>
        <w:spacing w:line="240" w:lineRule="auto"/>
        <w:ind w:firstLine="137"/>
        <w:rPr>
          <w:rFonts w:ascii="Times New Roman"/>
          <w:color w:val="auto"/>
          <w:highlight w:val="none"/>
        </w:rPr>
      </w:pPr>
      <w:bookmarkStart w:id="135" w:name="_Toc11601"/>
      <w:r>
        <w:rPr>
          <w:rFonts w:ascii="Times New Roman"/>
          <w:color w:val="auto"/>
          <w:highlight w:val="none"/>
        </w:rPr>
        <w:t>1.4</w:t>
      </w:r>
      <w:r>
        <w:rPr>
          <w:rFonts w:hint="eastAsia" w:ascii="Times New Roman"/>
          <w:color w:val="auto"/>
          <w:highlight w:val="none"/>
        </w:rPr>
        <w:t xml:space="preserve"> 投标人资格要求</w:t>
      </w:r>
      <w:bookmarkEnd w:id="135"/>
    </w:p>
    <w:p>
      <w:pPr>
        <w:spacing w:line="400" w:lineRule="exact"/>
        <w:ind w:firstLine="420" w:firstLineChars="200"/>
        <w:rPr>
          <w:color w:val="auto"/>
          <w:highlight w:val="none"/>
        </w:rPr>
      </w:pPr>
      <w:r>
        <w:rPr>
          <w:color w:val="auto"/>
          <w:highlight w:val="none"/>
        </w:rPr>
        <w:t>1.4.1 投标人应具备承担本招标项目资质条件、能力和信誉：</w:t>
      </w:r>
    </w:p>
    <w:p>
      <w:pPr>
        <w:spacing w:line="400" w:lineRule="exact"/>
        <w:ind w:firstLine="315" w:firstLineChars="150"/>
        <w:rPr>
          <w:color w:val="auto"/>
          <w:highlight w:val="none"/>
        </w:rPr>
      </w:pPr>
      <w:r>
        <w:rPr>
          <w:color w:val="auto"/>
          <w:highlight w:val="none"/>
        </w:rPr>
        <w:t>（1）资质要求：见投标人须知前附表；</w:t>
      </w:r>
    </w:p>
    <w:p>
      <w:pPr>
        <w:spacing w:line="400" w:lineRule="exact"/>
        <w:ind w:firstLine="315" w:firstLineChars="150"/>
        <w:rPr>
          <w:color w:val="auto"/>
          <w:highlight w:val="none"/>
        </w:rPr>
      </w:pPr>
      <w:r>
        <w:rPr>
          <w:color w:val="auto"/>
          <w:highlight w:val="none"/>
        </w:rPr>
        <w:t>（2）财务要求：见投标人须知前附表；</w:t>
      </w:r>
    </w:p>
    <w:p>
      <w:pPr>
        <w:spacing w:line="400" w:lineRule="exact"/>
        <w:ind w:firstLine="315" w:firstLineChars="150"/>
        <w:rPr>
          <w:color w:val="auto"/>
          <w:highlight w:val="none"/>
        </w:rPr>
      </w:pPr>
      <w:r>
        <w:rPr>
          <w:color w:val="auto"/>
          <w:highlight w:val="none"/>
        </w:rPr>
        <w:t>（3）业绩要求：见投标人须知前附表；</w:t>
      </w:r>
    </w:p>
    <w:p>
      <w:pPr>
        <w:spacing w:line="400" w:lineRule="exact"/>
        <w:ind w:firstLine="315" w:firstLineChars="150"/>
        <w:rPr>
          <w:color w:val="auto"/>
          <w:highlight w:val="none"/>
        </w:rPr>
      </w:pPr>
      <w:r>
        <w:rPr>
          <w:color w:val="auto"/>
          <w:highlight w:val="none"/>
        </w:rPr>
        <w:t>（4）信誉要求：见投标人须知前附表；</w:t>
      </w:r>
    </w:p>
    <w:p>
      <w:pPr>
        <w:spacing w:line="400" w:lineRule="exact"/>
        <w:ind w:firstLine="315" w:firstLineChars="150"/>
        <w:rPr>
          <w:color w:val="auto"/>
          <w:highlight w:val="none"/>
        </w:rPr>
      </w:pPr>
      <w:r>
        <w:rPr>
          <w:color w:val="auto"/>
          <w:highlight w:val="none"/>
        </w:rPr>
        <w:t>（5）项目负责人的资格要求：应当具备</w:t>
      </w:r>
      <w:r>
        <w:rPr>
          <w:rFonts w:hint="eastAsia"/>
          <w:color w:val="auto"/>
          <w:highlight w:val="none"/>
        </w:rPr>
        <w:t>工程勘察类注册执业资格（如有）或</w:t>
      </w:r>
      <w:r>
        <w:rPr>
          <w:color w:val="auto"/>
          <w:highlight w:val="none"/>
        </w:rPr>
        <w:t>应当具备工程设计类注册执业资格</w:t>
      </w:r>
      <w:r>
        <w:rPr>
          <w:rFonts w:hint="eastAsia"/>
          <w:color w:val="auto"/>
          <w:highlight w:val="none"/>
        </w:rPr>
        <w:t>（如有）</w:t>
      </w:r>
      <w:r>
        <w:rPr>
          <w:color w:val="auto"/>
          <w:highlight w:val="none"/>
        </w:rPr>
        <w:t>，</w:t>
      </w:r>
      <w:r>
        <w:rPr>
          <w:rFonts w:hint="eastAsia"/>
          <w:color w:val="auto"/>
          <w:highlight w:val="none"/>
        </w:rPr>
        <w:t>具体要求</w:t>
      </w:r>
      <w:r>
        <w:rPr>
          <w:color w:val="auto"/>
          <w:highlight w:val="none"/>
        </w:rPr>
        <w:t>见投标人须知前附表；</w:t>
      </w:r>
    </w:p>
    <w:p>
      <w:pPr>
        <w:spacing w:line="400" w:lineRule="exact"/>
        <w:ind w:firstLine="315" w:firstLineChars="150"/>
        <w:rPr>
          <w:color w:val="auto"/>
          <w:highlight w:val="none"/>
        </w:rPr>
      </w:pPr>
      <w:r>
        <w:rPr>
          <w:rFonts w:hint="eastAsia"/>
          <w:color w:val="auto"/>
          <w:highlight w:val="none"/>
        </w:rPr>
        <w:t>（6）其他主要人员要求：</w:t>
      </w:r>
      <w:r>
        <w:rPr>
          <w:color w:val="auto"/>
          <w:highlight w:val="none"/>
        </w:rPr>
        <w:t>见投标人须知前附表。</w:t>
      </w:r>
    </w:p>
    <w:p>
      <w:pPr>
        <w:spacing w:line="400" w:lineRule="exact"/>
        <w:ind w:firstLine="315" w:firstLineChars="150"/>
        <w:rPr>
          <w:color w:val="auto"/>
          <w:highlight w:val="none"/>
        </w:rPr>
      </w:pPr>
      <w:r>
        <w:rPr>
          <w:rFonts w:hint="eastAsia"/>
          <w:color w:val="auto"/>
          <w:highlight w:val="none"/>
        </w:rPr>
        <w:t>（7）勘察设备要求：见投标人须知前附表。</w:t>
      </w:r>
    </w:p>
    <w:p>
      <w:pPr>
        <w:spacing w:line="400" w:lineRule="exact"/>
        <w:ind w:firstLine="315" w:firstLineChars="150"/>
        <w:rPr>
          <w:color w:val="auto"/>
          <w:highlight w:val="none"/>
        </w:rPr>
      </w:pPr>
      <w:r>
        <w:rPr>
          <w:color w:val="auto"/>
          <w:highlight w:val="none"/>
        </w:rPr>
        <w:t>（</w:t>
      </w:r>
      <w:r>
        <w:rPr>
          <w:rFonts w:hint="eastAsia"/>
          <w:color w:val="auto"/>
          <w:highlight w:val="none"/>
        </w:rPr>
        <w:t>8</w:t>
      </w:r>
      <w:r>
        <w:rPr>
          <w:color w:val="auto"/>
          <w:highlight w:val="none"/>
        </w:rPr>
        <w:t>）其他要求：见投标人须知前附表。</w:t>
      </w:r>
    </w:p>
    <w:p>
      <w:pPr>
        <w:spacing w:line="400" w:lineRule="exact"/>
        <w:ind w:firstLine="420" w:firstLineChars="200"/>
        <w:rPr>
          <w:color w:val="auto"/>
          <w:highlight w:val="none"/>
        </w:rPr>
      </w:pPr>
      <w:r>
        <w:rPr>
          <w:color w:val="auto"/>
          <w:highlight w:val="none"/>
        </w:rPr>
        <w:t>需要提交的相关证明材料见本章第3.5款的规定。</w:t>
      </w:r>
    </w:p>
    <w:p>
      <w:pPr>
        <w:spacing w:line="400" w:lineRule="exact"/>
        <w:ind w:firstLine="420" w:firstLineChars="200"/>
        <w:rPr>
          <w:color w:val="auto"/>
          <w:highlight w:val="none"/>
        </w:rPr>
      </w:pPr>
      <w:r>
        <w:rPr>
          <w:color w:val="auto"/>
          <w:highlight w:val="none"/>
        </w:rPr>
        <w:t>1.4.2投标人须知前附表规定接受联合体投标的，联合体除应符合本章第1.4.1项和投标人须知前附表的要求外，还应遵守以下规定：</w:t>
      </w:r>
    </w:p>
    <w:p>
      <w:pPr>
        <w:spacing w:line="400" w:lineRule="exact"/>
        <w:ind w:firstLine="315" w:firstLineChars="150"/>
        <w:rPr>
          <w:color w:val="auto"/>
          <w:highlight w:val="none"/>
        </w:rPr>
      </w:pPr>
      <w:r>
        <w:rPr>
          <w:color w:val="auto"/>
          <w:highlight w:val="none"/>
        </w:rPr>
        <w:t>（1）联合体各方应按招标文件提供的格式签订联合体协议书，明确联合体牵头人和各方权利义务，并承诺就中标项目向招标人承担连带责任；</w:t>
      </w:r>
    </w:p>
    <w:p>
      <w:pPr>
        <w:spacing w:line="400" w:lineRule="exact"/>
        <w:ind w:firstLine="315" w:firstLineChars="150"/>
        <w:rPr>
          <w:color w:val="auto"/>
          <w:highlight w:val="none"/>
        </w:rPr>
      </w:pPr>
      <w:r>
        <w:rPr>
          <w:color w:val="auto"/>
          <w:highlight w:val="none"/>
        </w:rPr>
        <w:t>（2）由同一专业的单位组成的联合体，按照资质等级较低的单位确定资质等级；</w:t>
      </w:r>
    </w:p>
    <w:p>
      <w:pPr>
        <w:spacing w:line="400" w:lineRule="exact"/>
        <w:ind w:firstLine="315" w:firstLineChars="150"/>
        <w:rPr>
          <w:color w:val="auto"/>
          <w:highlight w:val="none"/>
        </w:rPr>
      </w:pPr>
      <w:r>
        <w:rPr>
          <w:color w:val="auto"/>
          <w:highlight w:val="none"/>
        </w:rPr>
        <w:t>（3）联合体各方不得再以自己名义单独或参加其他联合体在本招标项目中投标，否则各相关投标均无效。</w:t>
      </w:r>
    </w:p>
    <w:p>
      <w:pPr>
        <w:spacing w:line="400" w:lineRule="exact"/>
        <w:ind w:firstLine="420" w:firstLineChars="200"/>
        <w:rPr>
          <w:color w:val="auto"/>
          <w:szCs w:val="21"/>
          <w:highlight w:val="none"/>
        </w:rPr>
      </w:pPr>
      <w:r>
        <w:rPr>
          <w:color w:val="auto"/>
          <w:szCs w:val="21"/>
          <w:highlight w:val="none"/>
        </w:rPr>
        <w:t>1.4.3 投标人不得存在下列情形之一：</w:t>
      </w:r>
    </w:p>
    <w:p>
      <w:pPr>
        <w:spacing w:line="400" w:lineRule="exact"/>
        <w:ind w:firstLine="420" w:firstLineChars="200"/>
        <w:rPr>
          <w:color w:val="auto"/>
          <w:szCs w:val="21"/>
          <w:highlight w:val="none"/>
        </w:rPr>
      </w:pPr>
      <w:r>
        <w:rPr>
          <w:color w:val="auto"/>
          <w:szCs w:val="21"/>
          <w:highlight w:val="none"/>
        </w:rPr>
        <w:t>（1）为招标人不具有独立法人资格的附属机构（单位）；</w:t>
      </w:r>
    </w:p>
    <w:p>
      <w:pPr>
        <w:spacing w:line="400" w:lineRule="exact"/>
        <w:ind w:firstLine="420" w:firstLineChars="200"/>
        <w:rPr>
          <w:color w:val="auto"/>
          <w:szCs w:val="21"/>
          <w:highlight w:val="none"/>
        </w:rPr>
      </w:pPr>
      <w:r>
        <w:rPr>
          <w:color w:val="auto"/>
          <w:szCs w:val="21"/>
          <w:highlight w:val="none"/>
        </w:rPr>
        <w:t>（2）与招标人存在利害关系且可能影响招标公正性；</w:t>
      </w:r>
    </w:p>
    <w:p>
      <w:pPr>
        <w:spacing w:line="400" w:lineRule="exact"/>
        <w:ind w:firstLine="420" w:firstLineChars="200"/>
        <w:rPr>
          <w:color w:val="auto"/>
          <w:szCs w:val="21"/>
          <w:highlight w:val="none"/>
        </w:rPr>
      </w:pPr>
      <w:r>
        <w:rPr>
          <w:color w:val="auto"/>
          <w:szCs w:val="21"/>
          <w:highlight w:val="none"/>
        </w:rPr>
        <w:t>（3）与本招标项目的其他投标人为同一个单位负责人；</w:t>
      </w:r>
    </w:p>
    <w:p>
      <w:pPr>
        <w:spacing w:line="400" w:lineRule="exact"/>
        <w:ind w:firstLine="420" w:firstLineChars="200"/>
        <w:rPr>
          <w:color w:val="auto"/>
          <w:szCs w:val="21"/>
          <w:highlight w:val="none"/>
        </w:rPr>
      </w:pPr>
      <w:r>
        <w:rPr>
          <w:color w:val="auto"/>
          <w:szCs w:val="21"/>
          <w:highlight w:val="none"/>
        </w:rPr>
        <w:t>（4）与本招标项目的其他投标人存在控股、管理关系；</w:t>
      </w:r>
    </w:p>
    <w:p>
      <w:pPr>
        <w:spacing w:line="400" w:lineRule="exact"/>
        <w:ind w:firstLine="420" w:firstLineChars="200"/>
        <w:rPr>
          <w:color w:val="auto"/>
          <w:szCs w:val="21"/>
          <w:highlight w:val="none"/>
        </w:rPr>
      </w:pPr>
      <w:r>
        <w:rPr>
          <w:color w:val="auto"/>
          <w:szCs w:val="21"/>
          <w:highlight w:val="none"/>
        </w:rPr>
        <w:t>（5）为本招标项目的代建人；</w:t>
      </w:r>
    </w:p>
    <w:p>
      <w:pPr>
        <w:spacing w:line="400" w:lineRule="exact"/>
        <w:ind w:firstLine="420" w:firstLineChars="200"/>
        <w:rPr>
          <w:color w:val="auto"/>
          <w:szCs w:val="21"/>
          <w:highlight w:val="none"/>
        </w:rPr>
      </w:pPr>
      <w:r>
        <w:rPr>
          <w:color w:val="auto"/>
          <w:szCs w:val="21"/>
          <w:highlight w:val="none"/>
        </w:rPr>
        <w:t>（6）为本招标项目的招标代理机构；</w:t>
      </w:r>
    </w:p>
    <w:p>
      <w:pPr>
        <w:spacing w:line="400" w:lineRule="exact"/>
        <w:ind w:firstLine="420" w:firstLineChars="200"/>
        <w:rPr>
          <w:color w:val="auto"/>
          <w:szCs w:val="21"/>
          <w:highlight w:val="none"/>
        </w:rPr>
      </w:pPr>
      <w:r>
        <w:rPr>
          <w:color w:val="auto"/>
          <w:szCs w:val="21"/>
          <w:highlight w:val="none"/>
        </w:rPr>
        <w:t>（7）与本招标项目的代建人或招标代理机构同为一个法定代表人；</w:t>
      </w:r>
    </w:p>
    <w:p>
      <w:pPr>
        <w:spacing w:line="400" w:lineRule="exact"/>
        <w:ind w:firstLine="420" w:firstLineChars="200"/>
        <w:rPr>
          <w:color w:val="auto"/>
          <w:szCs w:val="21"/>
          <w:highlight w:val="none"/>
        </w:rPr>
      </w:pPr>
      <w:r>
        <w:rPr>
          <w:color w:val="auto"/>
          <w:szCs w:val="21"/>
          <w:highlight w:val="none"/>
        </w:rPr>
        <w:t>（8）与本招标项目的代建人或招标代理机构存在控股或参股关系；</w:t>
      </w:r>
    </w:p>
    <w:p>
      <w:pPr>
        <w:spacing w:line="400" w:lineRule="exact"/>
        <w:ind w:firstLine="420" w:firstLineChars="200"/>
        <w:rPr>
          <w:color w:val="auto"/>
          <w:szCs w:val="21"/>
          <w:highlight w:val="none"/>
        </w:rPr>
      </w:pPr>
      <w:r>
        <w:rPr>
          <w:color w:val="auto"/>
          <w:szCs w:val="21"/>
          <w:highlight w:val="none"/>
        </w:rPr>
        <w:t>（9）被依法暂停或者取消投标资格；</w:t>
      </w:r>
    </w:p>
    <w:p>
      <w:pPr>
        <w:spacing w:line="400" w:lineRule="exact"/>
        <w:ind w:firstLine="420" w:firstLineChars="200"/>
        <w:rPr>
          <w:color w:val="auto"/>
          <w:szCs w:val="21"/>
          <w:highlight w:val="none"/>
        </w:rPr>
      </w:pPr>
      <w:r>
        <w:rPr>
          <w:color w:val="auto"/>
          <w:szCs w:val="21"/>
          <w:highlight w:val="none"/>
        </w:rPr>
        <w:t>（10）被责令停产停业、暂扣或者吊销许可证、暂扣或者吊销执照；</w:t>
      </w:r>
    </w:p>
    <w:p>
      <w:pPr>
        <w:spacing w:line="400" w:lineRule="exact"/>
        <w:ind w:firstLine="420" w:firstLineChars="200"/>
        <w:rPr>
          <w:color w:val="auto"/>
          <w:szCs w:val="21"/>
          <w:highlight w:val="none"/>
        </w:rPr>
      </w:pPr>
      <w:r>
        <w:rPr>
          <w:color w:val="auto"/>
          <w:szCs w:val="21"/>
          <w:highlight w:val="none"/>
        </w:rPr>
        <w:t>（11）进入清算程序，或被宣告破产，或其他丧失履约能力的情形；</w:t>
      </w:r>
    </w:p>
    <w:p>
      <w:pPr>
        <w:spacing w:line="400" w:lineRule="exact"/>
        <w:ind w:firstLine="420" w:firstLineChars="200"/>
        <w:rPr>
          <w:color w:val="auto"/>
          <w:szCs w:val="21"/>
          <w:highlight w:val="none"/>
        </w:rPr>
      </w:pPr>
      <w:r>
        <w:rPr>
          <w:color w:val="auto"/>
          <w:szCs w:val="21"/>
          <w:highlight w:val="none"/>
        </w:rPr>
        <w:t>（12）在最近三年内发生重大</w:t>
      </w:r>
      <w:r>
        <w:rPr>
          <w:rFonts w:hint="eastAsia"/>
          <w:color w:val="auto"/>
          <w:szCs w:val="21"/>
          <w:highlight w:val="none"/>
        </w:rPr>
        <w:t>勘察或</w:t>
      </w:r>
      <w:r>
        <w:rPr>
          <w:color w:val="auto"/>
          <w:szCs w:val="21"/>
          <w:highlight w:val="none"/>
        </w:rPr>
        <w:t>设计质量问题（以相关行业主管部门的行政处罚决定或司法机关出具的有关法律文书为准）；</w:t>
      </w:r>
    </w:p>
    <w:p>
      <w:pPr>
        <w:spacing w:line="400" w:lineRule="exact"/>
        <w:ind w:firstLine="420" w:firstLineChars="200"/>
        <w:rPr>
          <w:color w:val="auto"/>
          <w:szCs w:val="21"/>
          <w:highlight w:val="none"/>
        </w:rPr>
      </w:pPr>
      <w:r>
        <w:rPr>
          <w:color w:val="auto"/>
          <w:szCs w:val="21"/>
          <w:highlight w:val="none"/>
        </w:rPr>
        <w:t>（13）被工商行政管理机关在全国企业信用信息公示系统中列入严重违法失信企业名单；</w:t>
      </w:r>
    </w:p>
    <w:p>
      <w:pPr>
        <w:spacing w:line="400" w:lineRule="exact"/>
        <w:ind w:firstLine="420" w:firstLineChars="200"/>
        <w:rPr>
          <w:color w:val="auto"/>
          <w:szCs w:val="21"/>
          <w:highlight w:val="none"/>
        </w:rPr>
      </w:pPr>
      <w:r>
        <w:rPr>
          <w:color w:val="auto"/>
          <w:szCs w:val="21"/>
          <w:highlight w:val="none"/>
        </w:rPr>
        <w:t>（14）被最高人民法院在</w:t>
      </w:r>
      <w:r>
        <w:rPr>
          <w:rFonts w:hint="eastAsia"/>
          <w:color w:val="auto"/>
          <w:szCs w:val="21"/>
          <w:highlight w:val="none"/>
        </w:rPr>
        <w:t>“</w:t>
      </w:r>
      <w:r>
        <w:rPr>
          <w:color w:val="auto"/>
          <w:szCs w:val="21"/>
          <w:highlight w:val="none"/>
        </w:rPr>
        <w:t>信用中国</w:t>
      </w:r>
      <w:r>
        <w:rPr>
          <w:rFonts w:hint="eastAsia"/>
          <w:color w:val="auto"/>
          <w:szCs w:val="21"/>
          <w:highlight w:val="none"/>
        </w:rPr>
        <w:t>”</w:t>
      </w:r>
      <w:r>
        <w:rPr>
          <w:color w:val="auto"/>
          <w:szCs w:val="21"/>
          <w:highlight w:val="none"/>
        </w:rPr>
        <w:t>网站（www.creditchina.gov.cn）或各级信用信息共享平台中列入失信被执行人名单；</w:t>
      </w:r>
    </w:p>
    <w:p>
      <w:pPr>
        <w:spacing w:line="400" w:lineRule="exact"/>
        <w:ind w:firstLine="420" w:firstLineChars="200"/>
        <w:rPr>
          <w:color w:val="auto"/>
          <w:szCs w:val="21"/>
          <w:highlight w:val="none"/>
        </w:rPr>
      </w:pPr>
      <w:r>
        <w:rPr>
          <w:color w:val="auto"/>
          <w:szCs w:val="21"/>
          <w:highlight w:val="none"/>
        </w:rPr>
        <w:t>（15）在近三年内投标人或其法定代表人、拟委任的项目负责人有行贿犯罪行为的；</w:t>
      </w:r>
    </w:p>
    <w:p>
      <w:pPr>
        <w:spacing w:line="400" w:lineRule="exact"/>
        <w:ind w:firstLine="420" w:firstLineChars="200"/>
        <w:rPr>
          <w:rFonts w:hint="eastAsia"/>
          <w:color w:val="auto"/>
          <w:szCs w:val="21"/>
          <w:highlight w:val="none"/>
        </w:rPr>
      </w:pPr>
      <w:bookmarkStart w:id="136" w:name="_Toc19731"/>
      <w:r>
        <w:rPr>
          <w:color w:val="auto"/>
          <w:szCs w:val="21"/>
          <w:highlight w:val="none"/>
        </w:rPr>
        <w:t>（16）</w:t>
      </w:r>
      <w:r>
        <w:rPr>
          <w:rFonts w:hint="eastAsia" w:hAnsi="宋体"/>
          <w:color w:val="auto"/>
          <w:highlight w:val="none"/>
        </w:rPr>
        <w:t>已放弃中标的单位重新参与此标段重新招标的投标；</w:t>
      </w:r>
    </w:p>
    <w:p>
      <w:pPr>
        <w:spacing w:line="400" w:lineRule="exact"/>
        <w:ind w:firstLine="420" w:firstLineChars="200"/>
        <w:rPr>
          <w:color w:val="auto"/>
          <w:szCs w:val="21"/>
          <w:highlight w:val="none"/>
        </w:rPr>
      </w:pPr>
      <w:r>
        <w:rPr>
          <w:rFonts w:hint="eastAsia"/>
          <w:color w:val="auto"/>
          <w:szCs w:val="21"/>
          <w:highlight w:val="none"/>
        </w:rPr>
        <w:t>（17）</w:t>
      </w:r>
      <w:r>
        <w:rPr>
          <w:color w:val="auto"/>
          <w:szCs w:val="21"/>
          <w:highlight w:val="none"/>
        </w:rPr>
        <w:t>法律法规或投标人须知前附表规定的其他情形。</w:t>
      </w:r>
    </w:p>
    <w:p>
      <w:pPr>
        <w:pStyle w:val="5"/>
        <w:spacing w:line="240" w:lineRule="auto"/>
        <w:ind w:firstLine="137"/>
        <w:rPr>
          <w:rFonts w:ascii="Times New Roman"/>
          <w:color w:val="auto"/>
          <w:highlight w:val="none"/>
        </w:rPr>
      </w:pPr>
      <w:r>
        <w:rPr>
          <w:rFonts w:ascii="Times New Roman"/>
          <w:color w:val="auto"/>
          <w:highlight w:val="none"/>
        </w:rPr>
        <w:t>1.5</w:t>
      </w:r>
      <w:r>
        <w:rPr>
          <w:rFonts w:hint="eastAsia" w:ascii="Times New Roman"/>
          <w:color w:val="auto"/>
          <w:highlight w:val="none"/>
        </w:rPr>
        <w:t xml:space="preserve"> 费用承担</w:t>
      </w:r>
      <w:bookmarkEnd w:id="136"/>
    </w:p>
    <w:p>
      <w:pPr>
        <w:spacing w:line="400" w:lineRule="exact"/>
        <w:ind w:firstLine="420" w:firstLineChars="200"/>
        <w:rPr>
          <w:color w:val="auto"/>
          <w:highlight w:val="none"/>
        </w:rPr>
      </w:pPr>
      <w:r>
        <w:rPr>
          <w:color w:val="auto"/>
          <w:highlight w:val="none"/>
        </w:rPr>
        <w:t>投标人准备和参加投标活动发生的费用自理。</w:t>
      </w:r>
    </w:p>
    <w:p>
      <w:pPr>
        <w:pStyle w:val="5"/>
        <w:spacing w:line="240" w:lineRule="auto"/>
        <w:ind w:firstLine="137"/>
        <w:rPr>
          <w:rFonts w:ascii="Times New Roman"/>
          <w:color w:val="auto"/>
          <w:highlight w:val="none"/>
        </w:rPr>
      </w:pPr>
      <w:bookmarkStart w:id="137" w:name="_Toc27905"/>
      <w:r>
        <w:rPr>
          <w:rFonts w:ascii="Times New Roman"/>
          <w:color w:val="auto"/>
          <w:highlight w:val="none"/>
        </w:rPr>
        <w:t>1.6</w:t>
      </w:r>
      <w:r>
        <w:rPr>
          <w:rFonts w:hint="eastAsia" w:ascii="Times New Roman"/>
          <w:color w:val="auto"/>
          <w:highlight w:val="none"/>
        </w:rPr>
        <w:t xml:space="preserve"> 保密</w:t>
      </w:r>
      <w:bookmarkEnd w:id="137"/>
    </w:p>
    <w:p>
      <w:pPr>
        <w:spacing w:line="400" w:lineRule="exact"/>
        <w:ind w:firstLine="420" w:firstLineChars="200"/>
        <w:rPr>
          <w:color w:val="auto"/>
          <w:highlight w:val="none"/>
        </w:rPr>
      </w:pPr>
      <w:r>
        <w:rPr>
          <w:color w:val="auto"/>
          <w:highlight w:val="none"/>
        </w:rPr>
        <w:t>参与招标投标活动的各方应对招标文件和投标文件中</w:t>
      </w:r>
      <w:bookmarkStart w:id="138" w:name="_Toc352691477"/>
      <w:bookmarkStart w:id="139" w:name="_Toc369531519"/>
      <w:bookmarkStart w:id="140" w:name="_Toc5326"/>
      <w:bookmarkStart w:id="141" w:name="_Toc361508589"/>
      <w:bookmarkStart w:id="142" w:name="_Toc384308214"/>
      <w:r>
        <w:rPr>
          <w:color w:val="auto"/>
          <w:highlight w:val="none"/>
        </w:rPr>
        <w:t>的商业和技术等秘密保密</w:t>
      </w:r>
      <w:bookmarkEnd w:id="138"/>
      <w:bookmarkEnd w:id="139"/>
      <w:bookmarkEnd w:id="140"/>
      <w:bookmarkEnd w:id="141"/>
      <w:bookmarkEnd w:id="142"/>
      <w:r>
        <w:rPr>
          <w:color w:val="auto"/>
          <w:highlight w:val="none"/>
        </w:rPr>
        <w:t>，否则应承担相应的法律责任。</w:t>
      </w:r>
    </w:p>
    <w:p>
      <w:pPr>
        <w:pStyle w:val="5"/>
        <w:spacing w:line="240" w:lineRule="auto"/>
        <w:ind w:firstLine="137"/>
        <w:rPr>
          <w:rFonts w:ascii="Times New Roman"/>
          <w:color w:val="auto"/>
          <w:highlight w:val="none"/>
        </w:rPr>
      </w:pPr>
      <w:bookmarkStart w:id="143" w:name="_Toc10442"/>
      <w:r>
        <w:rPr>
          <w:rFonts w:ascii="Times New Roman"/>
          <w:color w:val="auto"/>
          <w:highlight w:val="none"/>
        </w:rPr>
        <w:t xml:space="preserve">1.7 </w:t>
      </w:r>
      <w:r>
        <w:rPr>
          <w:rFonts w:hint="eastAsia" w:ascii="Times New Roman"/>
          <w:color w:val="auto"/>
          <w:highlight w:val="none"/>
        </w:rPr>
        <w:t>语言文字</w:t>
      </w:r>
      <w:bookmarkEnd w:id="143"/>
    </w:p>
    <w:p>
      <w:pPr>
        <w:spacing w:line="400" w:lineRule="exact"/>
        <w:ind w:firstLine="420" w:firstLineChars="200"/>
        <w:rPr>
          <w:color w:val="auto"/>
          <w:highlight w:val="none"/>
        </w:rPr>
      </w:pPr>
      <w:r>
        <w:rPr>
          <w:color w:val="auto"/>
          <w:highlight w:val="none"/>
        </w:rPr>
        <w:t>招标投标文件使用的语言文字为中文。专用术语使用外文的，应附有中文注释。</w:t>
      </w:r>
    </w:p>
    <w:p>
      <w:pPr>
        <w:pStyle w:val="5"/>
        <w:spacing w:line="240" w:lineRule="auto"/>
        <w:ind w:firstLine="137"/>
        <w:rPr>
          <w:rFonts w:ascii="Times New Roman"/>
          <w:color w:val="auto"/>
          <w:highlight w:val="none"/>
        </w:rPr>
      </w:pPr>
      <w:bookmarkStart w:id="144" w:name="_Toc5927"/>
      <w:r>
        <w:rPr>
          <w:rFonts w:ascii="Times New Roman"/>
          <w:color w:val="auto"/>
          <w:highlight w:val="none"/>
        </w:rPr>
        <w:t>1.8</w:t>
      </w:r>
      <w:r>
        <w:rPr>
          <w:rFonts w:hint="eastAsia" w:ascii="Times New Roman"/>
          <w:color w:val="auto"/>
          <w:highlight w:val="none"/>
        </w:rPr>
        <w:t xml:space="preserve"> 计量单位</w:t>
      </w:r>
      <w:bookmarkEnd w:id="144"/>
    </w:p>
    <w:p>
      <w:pPr>
        <w:spacing w:line="400" w:lineRule="exact"/>
        <w:ind w:firstLine="420" w:firstLineChars="200"/>
        <w:rPr>
          <w:color w:val="auto"/>
          <w:highlight w:val="none"/>
        </w:rPr>
      </w:pPr>
      <w:r>
        <w:rPr>
          <w:color w:val="auto"/>
          <w:highlight w:val="none"/>
        </w:rPr>
        <w:t>所有计量均采用中华人民共和国法定计量单位。</w:t>
      </w:r>
    </w:p>
    <w:p>
      <w:pPr>
        <w:pStyle w:val="5"/>
        <w:spacing w:line="240" w:lineRule="auto"/>
        <w:ind w:firstLine="137"/>
        <w:rPr>
          <w:rFonts w:ascii="Times New Roman"/>
          <w:color w:val="auto"/>
          <w:highlight w:val="none"/>
        </w:rPr>
      </w:pPr>
      <w:bookmarkStart w:id="145" w:name="_Toc391393967"/>
      <w:bookmarkStart w:id="146" w:name="_Toc18838"/>
      <w:bookmarkStart w:id="147" w:name="_Toc152042315"/>
      <w:bookmarkStart w:id="148" w:name="_Toc482188480"/>
      <w:bookmarkStart w:id="149" w:name="_Toc300834959"/>
      <w:bookmarkStart w:id="150" w:name="_Toc247513962"/>
      <w:bookmarkStart w:id="151" w:name="_Toc384308219"/>
      <w:bookmarkStart w:id="152" w:name="_Toc370676289"/>
      <w:bookmarkStart w:id="153" w:name="_Toc361508594"/>
      <w:bookmarkStart w:id="154" w:name="_Toc247527563"/>
      <w:bookmarkStart w:id="155" w:name="_Toc144974507"/>
      <w:bookmarkStart w:id="156" w:name="_Toc152045539"/>
      <w:r>
        <w:rPr>
          <w:rFonts w:ascii="Times New Roman"/>
          <w:color w:val="auto"/>
          <w:highlight w:val="none"/>
        </w:rPr>
        <w:t xml:space="preserve">1.9 </w:t>
      </w:r>
      <w:r>
        <w:rPr>
          <w:rFonts w:hint="eastAsia" w:ascii="Times New Roman"/>
          <w:color w:val="auto"/>
          <w:highlight w:val="none"/>
        </w:rPr>
        <w:t>踏勘现场</w:t>
      </w:r>
      <w:bookmarkEnd w:id="145"/>
      <w:bookmarkEnd w:id="146"/>
      <w:bookmarkEnd w:id="147"/>
      <w:bookmarkEnd w:id="148"/>
      <w:bookmarkEnd w:id="149"/>
      <w:bookmarkEnd w:id="150"/>
      <w:bookmarkEnd w:id="151"/>
      <w:bookmarkEnd w:id="152"/>
      <w:bookmarkEnd w:id="153"/>
      <w:bookmarkEnd w:id="154"/>
      <w:bookmarkEnd w:id="155"/>
      <w:bookmarkEnd w:id="156"/>
    </w:p>
    <w:p>
      <w:pPr>
        <w:spacing w:line="400" w:lineRule="exact"/>
        <w:ind w:firstLine="420" w:firstLineChars="200"/>
        <w:rPr>
          <w:color w:val="auto"/>
          <w:highlight w:val="none"/>
        </w:rPr>
      </w:pPr>
      <w:r>
        <w:rPr>
          <w:color w:val="auto"/>
          <w:highlight w:val="none"/>
        </w:rPr>
        <w:t>1.9.1 投标人须知前附表规定组织踏勘现场的，招标人按投标人须知前附表规定的时间、地点组织投标人踏勘项目现场。部分投标人未按时参加踏勘现场的，不影响踏勘现场的正常进行。</w:t>
      </w:r>
    </w:p>
    <w:p>
      <w:pPr>
        <w:spacing w:line="400" w:lineRule="exact"/>
        <w:ind w:firstLine="420" w:firstLineChars="200"/>
        <w:rPr>
          <w:color w:val="auto"/>
          <w:highlight w:val="none"/>
        </w:rPr>
      </w:pPr>
      <w:r>
        <w:rPr>
          <w:color w:val="auto"/>
          <w:highlight w:val="none"/>
        </w:rPr>
        <w:t>1.9.2 投标人踏勘现场发生的费用自理。</w:t>
      </w:r>
    </w:p>
    <w:p>
      <w:pPr>
        <w:spacing w:line="400" w:lineRule="exact"/>
        <w:ind w:firstLine="420" w:firstLineChars="200"/>
        <w:rPr>
          <w:color w:val="auto"/>
          <w:highlight w:val="none"/>
        </w:rPr>
      </w:pPr>
      <w:r>
        <w:rPr>
          <w:color w:val="auto"/>
          <w:highlight w:val="none"/>
        </w:rPr>
        <w:t>1.9.3 除招标人的原因外，投标人自行负责在踏勘现场中所发生的人员伤亡和财产损失。</w:t>
      </w:r>
    </w:p>
    <w:p>
      <w:pPr>
        <w:spacing w:line="400" w:lineRule="exact"/>
        <w:ind w:firstLine="420" w:firstLineChars="200"/>
        <w:rPr>
          <w:color w:val="auto"/>
          <w:highlight w:val="none"/>
        </w:rPr>
      </w:pPr>
      <w:r>
        <w:rPr>
          <w:color w:val="auto"/>
          <w:highlight w:val="none"/>
        </w:rPr>
        <w:t>1.9.4 招标人在踏勘现场中介绍的工程场地和相关的周边环境情况，供投标人在编制投标文件时参考，招标人不对投标人据此作出的判断和决策负责。</w:t>
      </w:r>
    </w:p>
    <w:p>
      <w:pPr>
        <w:pStyle w:val="5"/>
        <w:spacing w:line="240" w:lineRule="auto"/>
        <w:ind w:firstLine="137"/>
        <w:rPr>
          <w:rFonts w:ascii="Times New Roman"/>
          <w:color w:val="auto"/>
          <w:highlight w:val="none"/>
        </w:rPr>
      </w:pPr>
      <w:bookmarkStart w:id="157" w:name="_Toc20905"/>
      <w:r>
        <w:rPr>
          <w:rFonts w:ascii="Times New Roman"/>
          <w:color w:val="auto"/>
          <w:highlight w:val="none"/>
        </w:rPr>
        <w:t>1.10</w:t>
      </w:r>
      <w:r>
        <w:rPr>
          <w:rFonts w:hint="eastAsia" w:ascii="Times New Roman"/>
          <w:color w:val="auto"/>
          <w:highlight w:val="none"/>
        </w:rPr>
        <w:t xml:space="preserve"> 投标预备会</w:t>
      </w:r>
      <w:bookmarkEnd w:id="157"/>
    </w:p>
    <w:p>
      <w:pPr>
        <w:spacing w:line="400" w:lineRule="exact"/>
        <w:ind w:firstLine="420" w:firstLineChars="200"/>
        <w:rPr>
          <w:color w:val="auto"/>
          <w:highlight w:val="none"/>
        </w:rPr>
      </w:pPr>
      <w:r>
        <w:rPr>
          <w:color w:val="auto"/>
          <w:highlight w:val="none"/>
        </w:rPr>
        <w:t>1.10.1 投标人须知前附表规定召开投标预备会的，招标人按投标人须知前附表规定的时间和地点召开投标预备会，澄清投标人提出的问题。</w:t>
      </w:r>
    </w:p>
    <w:p>
      <w:pPr>
        <w:spacing w:line="400" w:lineRule="exact"/>
        <w:ind w:firstLine="420" w:firstLineChars="200"/>
        <w:rPr>
          <w:color w:val="auto"/>
          <w:highlight w:val="none"/>
        </w:rPr>
      </w:pPr>
      <w:r>
        <w:rPr>
          <w:color w:val="auto"/>
          <w:highlight w:val="none"/>
        </w:rPr>
        <w:t>1.10.2 投标人应按投标人须知前附表规定的时间和形式将提出的问题送达招标人，以便招标人在会议期间澄清。</w:t>
      </w:r>
    </w:p>
    <w:p>
      <w:pPr>
        <w:spacing w:line="400" w:lineRule="exact"/>
        <w:ind w:firstLine="420" w:firstLineChars="200"/>
        <w:rPr>
          <w:color w:val="auto"/>
          <w:highlight w:val="none"/>
        </w:rPr>
      </w:pPr>
      <w:r>
        <w:rPr>
          <w:color w:val="auto"/>
          <w:highlight w:val="none"/>
        </w:rPr>
        <w:t>1.10.3 投标预备会后，招标人将对投标人所提问题的澄清，以投标人须知前附表规定的形式通知所有购买招标文件的投标人。该澄清内容为招标文件的组成部分。</w:t>
      </w:r>
    </w:p>
    <w:p>
      <w:pPr>
        <w:pStyle w:val="5"/>
        <w:spacing w:line="240" w:lineRule="auto"/>
        <w:ind w:firstLine="137"/>
        <w:rPr>
          <w:rFonts w:ascii="Times New Roman"/>
          <w:color w:val="auto"/>
          <w:highlight w:val="none"/>
        </w:rPr>
      </w:pPr>
      <w:bookmarkStart w:id="158" w:name="_Toc21373"/>
      <w:r>
        <w:rPr>
          <w:rFonts w:ascii="Times New Roman"/>
          <w:color w:val="auto"/>
          <w:highlight w:val="none"/>
        </w:rPr>
        <w:t>1.11</w:t>
      </w:r>
      <w:r>
        <w:rPr>
          <w:rFonts w:hint="eastAsia" w:ascii="Times New Roman"/>
          <w:color w:val="auto"/>
          <w:highlight w:val="none"/>
        </w:rPr>
        <w:t xml:space="preserve"> 分包</w:t>
      </w:r>
      <w:bookmarkEnd w:id="158"/>
    </w:p>
    <w:p>
      <w:pPr>
        <w:spacing w:line="400" w:lineRule="exact"/>
        <w:ind w:firstLine="420" w:firstLineChars="200"/>
        <w:rPr>
          <w:color w:val="auto"/>
          <w:szCs w:val="20"/>
          <w:highlight w:val="none"/>
        </w:rPr>
      </w:pPr>
      <w:r>
        <w:rPr>
          <w:color w:val="auto"/>
          <w:highlight w:val="none"/>
        </w:rPr>
        <w:t>1.11.1 投标人拟在中标后将中标项目的非主体</w:t>
      </w:r>
      <w:r>
        <w:rPr>
          <w:rFonts w:hint="eastAsia"/>
          <w:color w:val="auto"/>
          <w:highlight w:val="none"/>
        </w:rPr>
        <w:t>、非关键性勘察</w:t>
      </w:r>
      <w:r>
        <w:rPr>
          <w:color w:val="auto"/>
          <w:highlight w:val="none"/>
        </w:rPr>
        <w:t>设计工作进行分包的，应符合投标人须知前附表规定的分包内容、分包金额和资质要求等限制性条件，除投标人须知前附表规定的非主体</w:t>
      </w:r>
      <w:r>
        <w:rPr>
          <w:rFonts w:hint="eastAsia"/>
          <w:color w:val="auto"/>
          <w:highlight w:val="none"/>
        </w:rPr>
        <w:t>、非关键性勘察</w:t>
      </w:r>
      <w:r>
        <w:rPr>
          <w:color w:val="auto"/>
          <w:highlight w:val="none"/>
        </w:rPr>
        <w:t>设计</w:t>
      </w:r>
      <w:r>
        <w:rPr>
          <w:rFonts w:hint="eastAsia"/>
          <w:color w:val="auto"/>
          <w:highlight w:val="none"/>
        </w:rPr>
        <w:t>工作</w:t>
      </w:r>
      <w:r>
        <w:rPr>
          <w:color w:val="auto"/>
          <w:highlight w:val="none"/>
        </w:rPr>
        <w:t xml:space="preserve">外，其他工作不得分包。 </w:t>
      </w:r>
    </w:p>
    <w:p>
      <w:pPr>
        <w:spacing w:line="400" w:lineRule="exact"/>
        <w:ind w:firstLine="420" w:firstLineChars="200"/>
        <w:rPr>
          <w:color w:val="auto"/>
          <w:highlight w:val="none"/>
        </w:rPr>
      </w:pPr>
      <w:r>
        <w:rPr>
          <w:color w:val="auto"/>
          <w:highlight w:val="none"/>
        </w:rPr>
        <w:t>1.11.2中标人不得向他人转让中标项目，接受分包的人不得再次分包。中标人应当就分包项目向招标人负责，接受分包的人就分包项目承担连带责任。</w:t>
      </w:r>
    </w:p>
    <w:p>
      <w:pPr>
        <w:pStyle w:val="5"/>
        <w:spacing w:line="240" w:lineRule="auto"/>
        <w:ind w:firstLine="137"/>
        <w:rPr>
          <w:rFonts w:ascii="Times New Roman"/>
          <w:color w:val="auto"/>
          <w:highlight w:val="none"/>
        </w:rPr>
      </w:pPr>
      <w:bookmarkStart w:id="159" w:name="_Toc22339"/>
      <w:r>
        <w:rPr>
          <w:rFonts w:ascii="Times New Roman"/>
          <w:color w:val="auto"/>
          <w:highlight w:val="none"/>
        </w:rPr>
        <w:t>1.12</w:t>
      </w:r>
      <w:r>
        <w:rPr>
          <w:rFonts w:hint="eastAsia" w:ascii="Times New Roman"/>
          <w:color w:val="auto"/>
          <w:highlight w:val="none"/>
        </w:rPr>
        <w:t xml:space="preserve"> 响应和偏差</w:t>
      </w:r>
      <w:bookmarkEnd w:id="159"/>
    </w:p>
    <w:p>
      <w:pPr>
        <w:spacing w:line="400" w:lineRule="exact"/>
        <w:ind w:firstLine="420" w:firstLineChars="200"/>
        <w:rPr>
          <w:color w:val="auto"/>
          <w:highlight w:val="none"/>
        </w:rPr>
      </w:pPr>
      <w:r>
        <w:rPr>
          <w:color w:val="auto"/>
          <w:highlight w:val="none"/>
        </w:rPr>
        <w:t>1.12.1投标文件应当对招标文件的实质性要求和条件作出满足性或更有利于招标人的响应，否则，投标人的投标将被否决。实质性要求和条件见投标人须知前附表。</w:t>
      </w:r>
    </w:p>
    <w:p>
      <w:pPr>
        <w:spacing w:line="400" w:lineRule="exact"/>
        <w:ind w:firstLine="420" w:firstLineChars="200"/>
        <w:rPr>
          <w:color w:val="auto"/>
          <w:highlight w:val="none"/>
        </w:rPr>
      </w:pPr>
      <w:r>
        <w:rPr>
          <w:color w:val="auto"/>
          <w:highlight w:val="none"/>
        </w:rPr>
        <w:t xml:space="preserve">1.12.2 </w:t>
      </w:r>
      <w:r>
        <w:rPr>
          <w:color w:val="auto"/>
          <w:szCs w:val="21"/>
          <w:highlight w:val="none"/>
        </w:rPr>
        <w:t>投标人应根据招标文件的要求提供</w:t>
      </w:r>
      <w:r>
        <w:rPr>
          <w:color w:val="auto"/>
          <w:highlight w:val="none"/>
        </w:rPr>
        <w:t>投标</w:t>
      </w:r>
      <w:r>
        <w:rPr>
          <w:rFonts w:hint="eastAsia"/>
          <w:color w:val="auto"/>
          <w:highlight w:val="none"/>
        </w:rPr>
        <w:t>勘察</w:t>
      </w:r>
      <w:r>
        <w:rPr>
          <w:color w:val="auto"/>
          <w:highlight w:val="none"/>
        </w:rPr>
        <w:t>设计方案等内容以对招标文件作出响应。</w:t>
      </w:r>
    </w:p>
    <w:p>
      <w:pPr>
        <w:spacing w:line="400" w:lineRule="exact"/>
        <w:ind w:firstLine="435"/>
        <w:rPr>
          <w:color w:val="auto"/>
          <w:highlight w:val="none"/>
        </w:rPr>
      </w:pPr>
      <w:r>
        <w:rPr>
          <w:color w:val="auto"/>
          <w:highlight w:val="none"/>
        </w:rPr>
        <w:t>1.12.3投标人须知前附表允许投标文件偏离招标文件某些要求的，偏差应当符合招标文件规定的偏差范围和幅度。</w:t>
      </w:r>
    </w:p>
    <w:p>
      <w:pPr>
        <w:pStyle w:val="4"/>
        <w:rPr>
          <w:rFonts w:ascii="Times New Roman" w:hAnsi="Times New Roman"/>
          <w:color w:val="auto"/>
          <w:highlight w:val="none"/>
        </w:rPr>
      </w:pPr>
      <w:bookmarkStart w:id="160" w:name="_Toc18899"/>
      <w:r>
        <w:rPr>
          <w:rFonts w:ascii="Times New Roman" w:hAnsi="Times New Roman"/>
          <w:color w:val="auto"/>
          <w:highlight w:val="none"/>
        </w:rPr>
        <w:t xml:space="preserve">2. </w:t>
      </w:r>
      <w:r>
        <w:rPr>
          <w:rFonts w:hint="eastAsia" w:ascii="Times New Roman" w:hAnsi="Times New Roman"/>
          <w:color w:val="auto"/>
          <w:highlight w:val="none"/>
        </w:rPr>
        <w:t>招标文件</w:t>
      </w:r>
      <w:bookmarkEnd w:id="160"/>
    </w:p>
    <w:p>
      <w:pPr>
        <w:pStyle w:val="5"/>
        <w:spacing w:line="240" w:lineRule="auto"/>
        <w:ind w:firstLine="137"/>
        <w:rPr>
          <w:rFonts w:ascii="Times New Roman"/>
          <w:color w:val="auto"/>
          <w:highlight w:val="none"/>
        </w:rPr>
      </w:pPr>
      <w:bookmarkStart w:id="161" w:name="_Toc27472"/>
      <w:r>
        <w:rPr>
          <w:rFonts w:ascii="Times New Roman"/>
          <w:color w:val="auto"/>
          <w:highlight w:val="none"/>
        </w:rPr>
        <w:t xml:space="preserve">2.1 </w:t>
      </w:r>
      <w:r>
        <w:rPr>
          <w:rFonts w:hint="eastAsia" w:ascii="Times New Roman"/>
          <w:color w:val="auto"/>
          <w:highlight w:val="none"/>
        </w:rPr>
        <w:t>招标文件的组成</w:t>
      </w:r>
      <w:bookmarkEnd w:id="161"/>
    </w:p>
    <w:p>
      <w:pPr>
        <w:spacing w:line="400" w:lineRule="exact"/>
        <w:ind w:firstLine="359" w:firstLineChars="171"/>
        <w:rPr>
          <w:color w:val="auto"/>
          <w:highlight w:val="none"/>
        </w:rPr>
      </w:pPr>
      <w:r>
        <w:rPr>
          <w:color w:val="auto"/>
          <w:highlight w:val="none"/>
        </w:rPr>
        <w:t>本招标文件包括：</w:t>
      </w:r>
    </w:p>
    <w:p>
      <w:pPr>
        <w:spacing w:line="400" w:lineRule="exact"/>
        <w:ind w:firstLine="359" w:firstLineChars="171"/>
        <w:rPr>
          <w:color w:val="auto"/>
          <w:highlight w:val="none"/>
        </w:rPr>
      </w:pPr>
      <w:r>
        <w:rPr>
          <w:color w:val="auto"/>
          <w:highlight w:val="none"/>
        </w:rPr>
        <w:t>（1）招标公告（或投标邀请书）；</w:t>
      </w:r>
    </w:p>
    <w:p>
      <w:pPr>
        <w:spacing w:line="400" w:lineRule="exact"/>
        <w:ind w:firstLine="359" w:firstLineChars="171"/>
        <w:rPr>
          <w:color w:val="auto"/>
          <w:highlight w:val="none"/>
        </w:rPr>
      </w:pPr>
      <w:r>
        <w:rPr>
          <w:color w:val="auto"/>
          <w:highlight w:val="none"/>
        </w:rPr>
        <w:t>（2）投标人须知；</w:t>
      </w:r>
    </w:p>
    <w:p>
      <w:pPr>
        <w:spacing w:line="400" w:lineRule="exact"/>
        <w:ind w:firstLine="359" w:firstLineChars="171"/>
        <w:rPr>
          <w:color w:val="auto"/>
          <w:highlight w:val="none"/>
        </w:rPr>
      </w:pPr>
      <w:r>
        <w:rPr>
          <w:color w:val="auto"/>
          <w:highlight w:val="none"/>
        </w:rPr>
        <w:t>（3）评标办法；</w:t>
      </w:r>
    </w:p>
    <w:p>
      <w:pPr>
        <w:spacing w:line="400" w:lineRule="exact"/>
        <w:ind w:firstLine="359" w:firstLineChars="171"/>
        <w:rPr>
          <w:color w:val="auto"/>
          <w:highlight w:val="none"/>
        </w:rPr>
      </w:pPr>
      <w:r>
        <w:rPr>
          <w:color w:val="auto"/>
          <w:highlight w:val="none"/>
        </w:rPr>
        <w:t>（4）合同条款及格式；</w:t>
      </w:r>
    </w:p>
    <w:p>
      <w:pPr>
        <w:spacing w:line="400" w:lineRule="exact"/>
        <w:ind w:firstLine="359" w:firstLineChars="171"/>
        <w:rPr>
          <w:color w:val="auto"/>
          <w:highlight w:val="none"/>
        </w:rPr>
      </w:pPr>
      <w:r>
        <w:rPr>
          <w:color w:val="auto"/>
          <w:highlight w:val="none"/>
        </w:rPr>
        <w:t>（5）发包人要求；</w:t>
      </w:r>
    </w:p>
    <w:p>
      <w:pPr>
        <w:spacing w:line="400" w:lineRule="exact"/>
        <w:ind w:firstLine="359" w:firstLineChars="171"/>
        <w:rPr>
          <w:color w:val="auto"/>
          <w:highlight w:val="none"/>
        </w:rPr>
      </w:pPr>
      <w:r>
        <w:rPr>
          <w:color w:val="auto"/>
          <w:highlight w:val="none"/>
        </w:rPr>
        <w:t>（6）投标文件格式；</w:t>
      </w:r>
    </w:p>
    <w:p>
      <w:pPr>
        <w:spacing w:line="400" w:lineRule="exact"/>
        <w:ind w:firstLine="359" w:firstLineChars="171"/>
        <w:rPr>
          <w:color w:val="auto"/>
          <w:highlight w:val="none"/>
        </w:rPr>
      </w:pPr>
      <w:r>
        <w:rPr>
          <w:color w:val="auto"/>
          <w:highlight w:val="none"/>
        </w:rPr>
        <w:t>（7）投标人须知前附表规定的其他资料。</w:t>
      </w:r>
    </w:p>
    <w:p>
      <w:pPr>
        <w:spacing w:line="400" w:lineRule="exact"/>
        <w:ind w:firstLine="420" w:firstLineChars="200"/>
        <w:rPr>
          <w:color w:val="auto"/>
          <w:highlight w:val="none"/>
        </w:rPr>
      </w:pPr>
      <w:r>
        <w:rPr>
          <w:color w:val="auto"/>
          <w:highlight w:val="none"/>
        </w:rPr>
        <w:t>根据本章第1.10款、第2.2款和第2.3款对招标文件所作的澄清、修改，构成招标文件的组成部分。</w:t>
      </w:r>
    </w:p>
    <w:p>
      <w:pPr>
        <w:pStyle w:val="5"/>
        <w:spacing w:line="240" w:lineRule="auto"/>
        <w:ind w:firstLine="137"/>
        <w:rPr>
          <w:rFonts w:ascii="Times New Roman"/>
          <w:color w:val="auto"/>
          <w:highlight w:val="none"/>
        </w:rPr>
      </w:pPr>
      <w:bookmarkStart w:id="162" w:name="_Toc17013"/>
      <w:r>
        <w:rPr>
          <w:rFonts w:ascii="Times New Roman"/>
          <w:color w:val="auto"/>
          <w:highlight w:val="none"/>
        </w:rPr>
        <w:t xml:space="preserve">2.2 </w:t>
      </w:r>
      <w:r>
        <w:rPr>
          <w:rFonts w:hint="eastAsia" w:ascii="Times New Roman"/>
          <w:color w:val="auto"/>
          <w:highlight w:val="none"/>
        </w:rPr>
        <w:t>招标文件的澄清</w:t>
      </w:r>
      <w:bookmarkEnd w:id="162"/>
    </w:p>
    <w:p>
      <w:pPr>
        <w:spacing w:line="400" w:lineRule="exact"/>
        <w:ind w:firstLine="420" w:firstLineChars="200"/>
        <w:rPr>
          <w:color w:val="auto"/>
          <w:highlight w:val="none"/>
        </w:rPr>
      </w:pPr>
      <w:r>
        <w:rPr>
          <w:color w:val="auto"/>
          <w:highlight w:val="none"/>
        </w:rPr>
        <w:t>2.2.1 投标人应仔细阅读和检查招标文件的全部内容。如发现缺页或附件不全，应及时向招标人提出，以便补齐。如有疑问，应按投标人须知前附表规定的时间和形式将提出的问题送达招标人，要求招标人对招标文件予以澄清</w:t>
      </w:r>
      <w:r>
        <w:rPr>
          <w:rFonts w:hint="eastAsia"/>
          <w:color w:val="auto"/>
          <w:highlight w:val="none"/>
        </w:rPr>
        <w:t>，</w:t>
      </w:r>
      <w:r>
        <w:rPr>
          <w:rFonts w:hint="eastAsia" w:hAnsi="宋体"/>
          <w:color w:val="auto"/>
          <w:highlight w:val="none"/>
        </w:rPr>
        <w:t>否则不予解答。</w:t>
      </w:r>
    </w:p>
    <w:p>
      <w:pPr>
        <w:spacing w:line="400" w:lineRule="exact"/>
        <w:ind w:firstLine="420" w:firstLineChars="200"/>
        <w:rPr>
          <w:color w:val="auto"/>
          <w:highlight w:val="none"/>
        </w:rPr>
      </w:pPr>
      <w:r>
        <w:rPr>
          <w:color w:val="auto"/>
          <w:highlight w:val="none"/>
        </w:rPr>
        <w:t>2.2.2招标文件的澄清以投标人须知前附表规定的形式发给所有购买招标文件的投标人，但不指明澄清问题的来源。澄清发出的时间距本章第4.2.1项规定的投标截止时间不足15日的，并且澄清内容可能影响投标文件编制的，将相应延长投标截止时间。</w:t>
      </w:r>
      <w:r>
        <w:rPr>
          <w:rFonts w:hint="eastAsia" w:hAnsi="宋体"/>
          <w:color w:val="auto"/>
          <w:highlight w:val="none"/>
        </w:rPr>
        <w:t>若澄清中没有明确延长时间，即表示投标时间不延长。</w:t>
      </w:r>
    </w:p>
    <w:p>
      <w:pPr>
        <w:spacing w:line="400" w:lineRule="exact"/>
        <w:ind w:firstLine="420" w:firstLineChars="200"/>
        <w:rPr>
          <w:color w:val="auto"/>
          <w:highlight w:val="none"/>
        </w:rPr>
      </w:pPr>
      <w:r>
        <w:rPr>
          <w:color w:val="auto"/>
          <w:highlight w:val="none"/>
        </w:rPr>
        <w:t>2.2.3 投标人在收到澄清后，应按投标人须知前附表规定的时间和形式通知招标人，确认已收到该澄清。</w:t>
      </w:r>
    </w:p>
    <w:p>
      <w:pPr>
        <w:spacing w:line="400" w:lineRule="exact"/>
        <w:ind w:firstLine="420" w:firstLineChars="200"/>
        <w:rPr>
          <w:rFonts w:hint="eastAsia"/>
          <w:color w:val="auto"/>
          <w:highlight w:val="none"/>
        </w:rPr>
      </w:pPr>
      <w:r>
        <w:rPr>
          <w:color w:val="auto"/>
          <w:highlight w:val="none"/>
        </w:rPr>
        <w:t>2.2.4 除非招标人认为确有必要答复，否则，招标人有权拒绝回复投标人在</w:t>
      </w:r>
      <w:r>
        <w:rPr>
          <w:rFonts w:hint="eastAsia"/>
          <w:color w:val="auto"/>
          <w:highlight w:val="none"/>
        </w:rPr>
        <w:t>本章第2.2.1项</w:t>
      </w:r>
      <w:r>
        <w:rPr>
          <w:color w:val="auto"/>
          <w:highlight w:val="none"/>
        </w:rPr>
        <w:t>规定的时间后的任何澄清要求。</w:t>
      </w:r>
    </w:p>
    <w:p>
      <w:pPr>
        <w:spacing w:line="400" w:lineRule="exact"/>
        <w:ind w:firstLine="420" w:firstLineChars="200"/>
        <w:rPr>
          <w:rFonts w:hint="eastAsia"/>
          <w:color w:val="auto"/>
          <w:highlight w:val="none"/>
        </w:rPr>
      </w:pPr>
      <w:r>
        <w:rPr>
          <w:rFonts w:hint="eastAsia"/>
          <w:color w:val="auto"/>
          <w:highlight w:val="none"/>
        </w:rPr>
        <w:t>2.2.5</w:t>
      </w:r>
      <w:r>
        <w:rPr>
          <w:rFonts w:hint="eastAsia" w:hAnsi="宋体"/>
          <w:color w:val="auto"/>
          <w:szCs w:val="21"/>
          <w:highlight w:val="none"/>
        </w:rPr>
        <w:t>若招标答疑纪要与招标文件有矛盾时，以</w:t>
      </w:r>
      <w:r>
        <w:rPr>
          <w:rFonts w:hint="eastAsia"/>
          <w:color w:val="auto"/>
          <w:highlight w:val="none"/>
          <w:u w:val="single"/>
        </w:rPr>
        <w:t>广州公共资源交易中心网站（</w:t>
      </w:r>
      <w:r>
        <w:rPr>
          <w:rFonts w:hAnsi="宋体"/>
          <w:color w:val="auto"/>
          <w:highlight w:val="none"/>
          <w:u w:val="single"/>
        </w:rPr>
        <w:t>http://ggzy.gz.gov.cn/</w:t>
      </w:r>
      <w:r>
        <w:rPr>
          <w:rFonts w:hint="eastAsia"/>
          <w:color w:val="auto"/>
          <w:highlight w:val="none"/>
          <w:u w:val="single"/>
        </w:rPr>
        <w:t>）</w:t>
      </w:r>
      <w:r>
        <w:rPr>
          <w:rFonts w:hint="eastAsia" w:hAnsi="宋体"/>
          <w:color w:val="auto"/>
          <w:szCs w:val="21"/>
          <w:highlight w:val="none"/>
        </w:rPr>
        <w:t>发布的答疑纪要为准。</w:t>
      </w:r>
    </w:p>
    <w:p>
      <w:pPr>
        <w:pStyle w:val="5"/>
        <w:spacing w:line="240" w:lineRule="auto"/>
        <w:ind w:firstLine="137"/>
        <w:rPr>
          <w:rFonts w:ascii="Times New Roman"/>
          <w:color w:val="auto"/>
          <w:highlight w:val="none"/>
        </w:rPr>
      </w:pPr>
      <w:bookmarkStart w:id="163" w:name="_Toc21725"/>
      <w:bookmarkStart w:id="164" w:name="_Toc352691479"/>
      <w:r>
        <w:rPr>
          <w:rFonts w:ascii="Times New Roman"/>
          <w:color w:val="auto"/>
          <w:highlight w:val="none"/>
        </w:rPr>
        <w:t xml:space="preserve">2.3 </w:t>
      </w:r>
      <w:r>
        <w:rPr>
          <w:rFonts w:hint="eastAsia" w:ascii="Times New Roman"/>
          <w:color w:val="auto"/>
          <w:highlight w:val="none"/>
        </w:rPr>
        <w:t>招标文件的修</w:t>
      </w:r>
      <w:bookmarkStart w:id="165" w:name="_Toc16514"/>
      <w:bookmarkStart w:id="166" w:name="_Toc369531521"/>
      <w:r>
        <w:rPr>
          <w:rFonts w:hint="eastAsia" w:ascii="Times New Roman"/>
          <w:color w:val="auto"/>
          <w:highlight w:val="none"/>
        </w:rPr>
        <w:t>改</w:t>
      </w:r>
      <w:bookmarkEnd w:id="163"/>
    </w:p>
    <w:p>
      <w:pPr>
        <w:spacing w:line="400" w:lineRule="exact"/>
        <w:ind w:firstLine="420" w:firstLineChars="200"/>
        <w:rPr>
          <w:rFonts w:hint="eastAsia" w:hAnsi="宋体"/>
          <w:color w:val="auto"/>
          <w:szCs w:val="21"/>
          <w:highlight w:val="none"/>
        </w:rPr>
      </w:pPr>
      <w:r>
        <w:rPr>
          <w:color w:val="auto"/>
          <w:highlight w:val="none"/>
        </w:rPr>
        <w:t>2.3.1招标人以投标人须知前附表规定的形式修改招标文件，并通知所有已购买招标文件的投标人。修改招标文件的时间距本章第4.2.1项规定的投标截止时间不足15日的，并且修改内容可能影响投标文件编制的，将相应延长投标截止时间。</w:t>
      </w:r>
      <w:r>
        <w:rPr>
          <w:rFonts w:hint="eastAsia" w:hAnsi="宋体"/>
          <w:color w:val="auto"/>
          <w:szCs w:val="21"/>
          <w:highlight w:val="none"/>
        </w:rPr>
        <w:t>若修改中没有明确延长时间，即表示投标时间不延长。</w:t>
      </w:r>
    </w:p>
    <w:bookmarkEnd w:id="164"/>
    <w:bookmarkEnd w:id="165"/>
    <w:bookmarkEnd w:id="166"/>
    <w:p>
      <w:pPr>
        <w:spacing w:line="400" w:lineRule="exact"/>
        <w:ind w:firstLine="420" w:firstLineChars="200"/>
        <w:rPr>
          <w:rFonts w:hint="eastAsia"/>
          <w:color w:val="auto"/>
          <w:highlight w:val="none"/>
        </w:rPr>
      </w:pPr>
      <w:r>
        <w:rPr>
          <w:color w:val="auto"/>
          <w:highlight w:val="none"/>
        </w:rPr>
        <w:t>2.3.2 投标人收到修改内容</w:t>
      </w:r>
      <w:bookmarkStart w:id="167" w:name="_Toc361508593"/>
      <w:bookmarkStart w:id="168" w:name="_Toc144974506"/>
      <w:bookmarkStart w:id="169" w:name="_Toc152045538"/>
      <w:bookmarkStart w:id="170" w:name="_Toc384308218"/>
      <w:bookmarkStart w:id="171" w:name="_Toc247527562"/>
      <w:bookmarkStart w:id="172" w:name="_Toc247513961"/>
      <w:bookmarkStart w:id="173" w:name="_Toc352691482"/>
      <w:bookmarkStart w:id="174" w:name="_Toc24632"/>
      <w:bookmarkStart w:id="175" w:name="_Toc369531524"/>
      <w:bookmarkStart w:id="176" w:name="_Toc152042314"/>
      <w:bookmarkStart w:id="177" w:name="_Toc300834958"/>
      <w:r>
        <w:rPr>
          <w:color w:val="auto"/>
          <w:highlight w:val="none"/>
        </w:rPr>
        <w:t>后，</w:t>
      </w:r>
      <w:bookmarkEnd w:id="167"/>
      <w:bookmarkEnd w:id="168"/>
      <w:bookmarkEnd w:id="169"/>
      <w:bookmarkEnd w:id="170"/>
      <w:bookmarkEnd w:id="171"/>
      <w:bookmarkEnd w:id="172"/>
      <w:bookmarkEnd w:id="173"/>
      <w:bookmarkEnd w:id="174"/>
      <w:bookmarkEnd w:id="175"/>
      <w:bookmarkEnd w:id="176"/>
      <w:bookmarkEnd w:id="177"/>
      <w:bookmarkStart w:id="178" w:name="_Toc369531526"/>
      <w:bookmarkStart w:id="179" w:name="_Toc16623"/>
      <w:bookmarkStart w:id="180" w:name="_Toc152042316"/>
      <w:bookmarkStart w:id="181" w:name="_Toc247513963"/>
      <w:bookmarkStart w:id="182" w:name="_Toc152045540"/>
      <w:bookmarkStart w:id="183" w:name="_Toc300834960"/>
      <w:bookmarkStart w:id="184" w:name="_Toc352691484"/>
      <w:bookmarkStart w:id="185" w:name="_Toc384308220"/>
      <w:bookmarkStart w:id="186" w:name="_Toc247527564"/>
      <w:bookmarkStart w:id="187" w:name="_Toc144974508"/>
      <w:bookmarkStart w:id="188" w:name="_Toc361508595"/>
      <w:r>
        <w:rPr>
          <w:color w:val="auto"/>
          <w:highlight w:val="none"/>
        </w:rPr>
        <w:t>应按投标人须知前附表规定的时间和形式通知招标人，确认已收到该修改。</w:t>
      </w:r>
    </w:p>
    <w:p>
      <w:pPr>
        <w:spacing w:line="400" w:lineRule="exact"/>
        <w:ind w:firstLine="420" w:firstLineChars="200"/>
        <w:rPr>
          <w:rFonts w:hint="eastAsia"/>
          <w:color w:val="auto"/>
          <w:highlight w:val="none"/>
        </w:rPr>
      </w:pPr>
      <w:r>
        <w:rPr>
          <w:rFonts w:hint="eastAsia" w:hAnsi="宋体"/>
          <w:color w:val="auto"/>
          <w:szCs w:val="21"/>
          <w:highlight w:val="none"/>
        </w:rPr>
        <w:t>2.3.3招标文件的修改均以</w:t>
      </w:r>
      <w:r>
        <w:rPr>
          <w:rFonts w:hint="eastAsia"/>
          <w:color w:val="auto"/>
          <w:highlight w:val="none"/>
          <w:u w:val="single"/>
        </w:rPr>
        <w:t>广州公共资源交易中心网站（</w:t>
      </w:r>
      <w:r>
        <w:rPr>
          <w:rFonts w:hAnsi="宋体"/>
          <w:color w:val="auto"/>
          <w:highlight w:val="none"/>
          <w:u w:val="single"/>
        </w:rPr>
        <w:t>http://ggzy.gz.gov.cn/</w:t>
      </w:r>
      <w:r>
        <w:rPr>
          <w:rFonts w:hint="eastAsia"/>
          <w:color w:val="auto"/>
          <w:highlight w:val="none"/>
          <w:u w:val="single"/>
        </w:rPr>
        <w:t>）</w:t>
      </w:r>
      <w:r>
        <w:rPr>
          <w:rFonts w:hint="eastAsia" w:hAnsi="宋体"/>
          <w:color w:val="auto"/>
          <w:szCs w:val="21"/>
          <w:highlight w:val="none"/>
        </w:rPr>
        <w:t>发布的内容为准。当招标文件的修改在同一内容的表述不一致时，以</w:t>
      </w:r>
      <w:r>
        <w:rPr>
          <w:rFonts w:hint="eastAsia"/>
          <w:color w:val="auto"/>
          <w:highlight w:val="none"/>
          <w:u w:val="single"/>
        </w:rPr>
        <w:t>广州公共资源交易中心网站（</w:t>
      </w:r>
      <w:r>
        <w:rPr>
          <w:rFonts w:hAnsi="宋体"/>
          <w:color w:val="auto"/>
          <w:highlight w:val="none"/>
          <w:u w:val="single"/>
        </w:rPr>
        <w:t>http://ggzy.gz.gov.cn/</w:t>
      </w:r>
      <w:r>
        <w:rPr>
          <w:rFonts w:hint="eastAsia"/>
          <w:color w:val="auto"/>
          <w:highlight w:val="none"/>
          <w:u w:val="single"/>
        </w:rPr>
        <w:t>）</w:t>
      </w:r>
      <w:r>
        <w:rPr>
          <w:rFonts w:hint="eastAsia" w:hAnsi="宋体"/>
          <w:color w:val="auto"/>
          <w:szCs w:val="21"/>
          <w:highlight w:val="none"/>
        </w:rPr>
        <w:t>最后发布的内容为准。</w:t>
      </w:r>
    </w:p>
    <w:p>
      <w:pPr>
        <w:pStyle w:val="5"/>
        <w:spacing w:line="240" w:lineRule="auto"/>
        <w:ind w:firstLine="137"/>
        <w:rPr>
          <w:rFonts w:ascii="Times New Roman"/>
          <w:color w:val="auto"/>
          <w:highlight w:val="none"/>
        </w:rPr>
      </w:pPr>
      <w:bookmarkStart w:id="189" w:name="_Toc5835"/>
      <w:r>
        <w:rPr>
          <w:rFonts w:ascii="Times New Roman"/>
          <w:color w:val="auto"/>
          <w:highlight w:val="none"/>
        </w:rPr>
        <w:t>2.</w:t>
      </w:r>
      <w:bookmarkEnd w:id="178"/>
      <w:bookmarkEnd w:id="179"/>
      <w:bookmarkEnd w:id="180"/>
      <w:bookmarkEnd w:id="181"/>
      <w:bookmarkEnd w:id="182"/>
      <w:bookmarkEnd w:id="183"/>
      <w:bookmarkEnd w:id="184"/>
      <w:bookmarkEnd w:id="185"/>
      <w:bookmarkEnd w:id="186"/>
      <w:bookmarkEnd w:id="187"/>
      <w:bookmarkEnd w:id="188"/>
      <w:r>
        <w:rPr>
          <w:rFonts w:ascii="Times New Roman"/>
          <w:color w:val="auto"/>
          <w:highlight w:val="none"/>
        </w:rPr>
        <w:t>4 招标文件的异议</w:t>
      </w:r>
      <w:bookmarkEnd w:id="189"/>
    </w:p>
    <w:p>
      <w:pPr>
        <w:spacing w:line="400" w:lineRule="exact"/>
        <w:ind w:firstLine="420" w:firstLineChars="200"/>
        <w:rPr>
          <w:color w:val="auto"/>
          <w:highlight w:val="none"/>
        </w:rPr>
      </w:pPr>
      <w:r>
        <w:rPr>
          <w:color w:val="auto"/>
          <w:highlight w:val="none"/>
        </w:rPr>
        <w:t>投标人或者其他利害关系人对招标文件有异议的，应当在投标截止时间10日前以书面形式提出。招标人将在收到异议之日起3日内作出答复；作出答复前，将暂停招标投标活动。</w:t>
      </w:r>
    </w:p>
    <w:p>
      <w:pPr>
        <w:pStyle w:val="4"/>
        <w:rPr>
          <w:rFonts w:ascii="Times New Roman" w:hAnsi="Times New Roman"/>
          <w:color w:val="auto"/>
          <w:highlight w:val="none"/>
        </w:rPr>
      </w:pPr>
      <w:bookmarkStart w:id="190" w:name="_Toc22284"/>
      <w:r>
        <w:rPr>
          <w:rFonts w:ascii="Times New Roman" w:hAnsi="Times New Roman"/>
          <w:color w:val="auto"/>
          <w:highlight w:val="none"/>
        </w:rPr>
        <w:t xml:space="preserve">3. </w:t>
      </w:r>
      <w:r>
        <w:rPr>
          <w:rFonts w:hint="eastAsia" w:ascii="Times New Roman" w:hAnsi="Times New Roman"/>
          <w:color w:val="auto"/>
          <w:highlight w:val="none"/>
        </w:rPr>
        <w:t>投标文件</w:t>
      </w:r>
      <w:bookmarkEnd w:id="190"/>
    </w:p>
    <w:p>
      <w:pPr>
        <w:pStyle w:val="5"/>
        <w:spacing w:line="240" w:lineRule="auto"/>
        <w:ind w:firstLine="137"/>
        <w:rPr>
          <w:rFonts w:ascii="Times New Roman"/>
          <w:color w:val="auto"/>
          <w:highlight w:val="none"/>
        </w:rPr>
      </w:pPr>
      <w:bookmarkStart w:id="191" w:name="_Toc3108"/>
      <w:r>
        <w:rPr>
          <w:rFonts w:ascii="Times New Roman"/>
          <w:color w:val="auto"/>
          <w:highlight w:val="none"/>
        </w:rPr>
        <w:t xml:space="preserve">3.1 </w:t>
      </w:r>
      <w:r>
        <w:rPr>
          <w:rFonts w:hint="eastAsia" w:ascii="Times New Roman"/>
          <w:color w:val="auto"/>
          <w:highlight w:val="none"/>
        </w:rPr>
        <w:t>投标文件的组成</w:t>
      </w:r>
      <w:bookmarkEnd w:id="191"/>
    </w:p>
    <w:p>
      <w:pPr>
        <w:spacing w:line="400" w:lineRule="exact"/>
        <w:rPr>
          <w:color w:val="auto"/>
          <w:highlight w:val="none"/>
        </w:rPr>
      </w:pPr>
      <w:r>
        <w:rPr>
          <w:color w:val="auto"/>
          <w:highlight w:val="none"/>
        </w:rPr>
        <w:t>　　3.1.1 投标文件应包括下列内容</w:t>
      </w:r>
      <w:r>
        <w:rPr>
          <w:rFonts w:hint="eastAsia" w:ascii="宋体" w:hAnsi="宋体"/>
          <w:color w:val="auto"/>
          <w:highlight w:val="none"/>
        </w:rPr>
        <w:t>，具体详见第六章的“投标文件格式”</w:t>
      </w:r>
      <w:r>
        <w:rPr>
          <w:color w:val="auto"/>
          <w:highlight w:val="none"/>
        </w:rPr>
        <w:t>：</w:t>
      </w:r>
    </w:p>
    <w:p>
      <w:pPr>
        <w:spacing w:line="400" w:lineRule="exact"/>
        <w:ind w:firstLine="420" w:firstLineChars="200"/>
        <w:rPr>
          <w:rFonts w:hint="eastAsia"/>
          <w:color w:val="auto"/>
          <w:highlight w:val="none"/>
        </w:rPr>
      </w:pPr>
      <w:r>
        <w:rPr>
          <w:rFonts w:hint="eastAsia"/>
          <w:color w:val="auto"/>
          <w:highlight w:val="none"/>
        </w:rPr>
        <w:t>（1）商务文件；</w:t>
      </w:r>
    </w:p>
    <w:p>
      <w:pPr>
        <w:spacing w:line="400" w:lineRule="exact"/>
        <w:ind w:firstLine="420" w:firstLineChars="200"/>
        <w:rPr>
          <w:rFonts w:hint="eastAsia"/>
          <w:color w:val="auto"/>
          <w:highlight w:val="none"/>
        </w:rPr>
      </w:pPr>
      <w:r>
        <w:rPr>
          <w:rFonts w:hint="eastAsia"/>
          <w:color w:val="auto"/>
          <w:highlight w:val="none"/>
        </w:rPr>
        <w:t>（2）技术文件；</w:t>
      </w:r>
    </w:p>
    <w:p>
      <w:pPr>
        <w:spacing w:line="400" w:lineRule="exact"/>
        <w:ind w:firstLine="420" w:firstLineChars="200"/>
        <w:rPr>
          <w:rFonts w:hint="eastAsia"/>
          <w:color w:val="auto"/>
          <w:highlight w:val="none"/>
        </w:rPr>
      </w:pPr>
      <w:r>
        <w:rPr>
          <w:rFonts w:hint="eastAsia"/>
          <w:color w:val="auto"/>
          <w:highlight w:val="none"/>
        </w:rPr>
        <w:t>（3）投标函及报价书；</w:t>
      </w:r>
    </w:p>
    <w:p>
      <w:pPr>
        <w:spacing w:line="400" w:lineRule="exact"/>
        <w:ind w:firstLine="420" w:firstLineChars="200"/>
        <w:rPr>
          <w:rFonts w:hint="eastAsia"/>
          <w:color w:val="auto"/>
          <w:highlight w:val="none"/>
        </w:rPr>
      </w:pPr>
      <w:r>
        <w:rPr>
          <w:rFonts w:hint="eastAsia"/>
          <w:color w:val="auto"/>
          <w:highlight w:val="none"/>
        </w:rPr>
        <w:t>（4）投标文件电子版；</w:t>
      </w:r>
    </w:p>
    <w:p>
      <w:pPr>
        <w:spacing w:line="400" w:lineRule="exact"/>
        <w:ind w:firstLine="420" w:firstLineChars="200"/>
        <w:rPr>
          <w:color w:val="auto"/>
          <w:highlight w:val="none"/>
        </w:rPr>
      </w:pPr>
      <w:r>
        <w:rPr>
          <w:color w:val="auto"/>
          <w:highlight w:val="none"/>
        </w:rPr>
        <w:t>（</w:t>
      </w:r>
      <w:r>
        <w:rPr>
          <w:rFonts w:hint="eastAsia"/>
          <w:color w:val="auto"/>
          <w:highlight w:val="none"/>
        </w:rPr>
        <w:t>5</w:t>
      </w:r>
      <w:r>
        <w:rPr>
          <w:color w:val="auto"/>
          <w:highlight w:val="none"/>
        </w:rPr>
        <w:t>）</w:t>
      </w:r>
      <w:r>
        <w:rPr>
          <w:rFonts w:hint="eastAsia"/>
          <w:color w:val="auto"/>
          <w:highlight w:val="none"/>
        </w:rPr>
        <w:t>按</w:t>
      </w:r>
      <w:r>
        <w:rPr>
          <w:color w:val="auto"/>
          <w:highlight w:val="none"/>
        </w:rPr>
        <w:t>投标人须知前附表规定</w:t>
      </w:r>
      <w:r>
        <w:rPr>
          <w:rFonts w:hint="eastAsia"/>
          <w:color w:val="auto"/>
          <w:highlight w:val="none"/>
        </w:rPr>
        <w:t>或投标人认为有必要提供</w:t>
      </w:r>
      <w:r>
        <w:rPr>
          <w:color w:val="auto"/>
          <w:highlight w:val="none"/>
        </w:rPr>
        <w:t>的其他资料。</w:t>
      </w:r>
    </w:p>
    <w:p>
      <w:pPr>
        <w:spacing w:line="400" w:lineRule="exact"/>
        <w:ind w:firstLine="420" w:firstLineChars="200"/>
        <w:rPr>
          <w:color w:val="auto"/>
          <w:highlight w:val="none"/>
        </w:rPr>
      </w:pPr>
      <w:r>
        <w:rPr>
          <w:color w:val="auto"/>
          <w:highlight w:val="none"/>
        </w:rPr>
        <w:t>投标人在评标过程中作出的符合法律法规和招标文件规定的澄清确认，构成投标文件的组成部分。</w:t>
      </w:r>
    </w:p>
    <w:p>
      <w:pPr>
        <w:spacing w:line="400" w:lineRule="exact"/>
        <w:ind w:firstLine="359" w:firstLineChars="171"/>
        <w:rPr>
          <w:color w:val="auto"/>
          <w:highlight w:val="none"/>
        </w:rPr>
      </w:pPr>
      <w:r>
        <w:rPr>
          <w:color w:val="auto"/>
          <w:highlight w:val="none"/>
        </w:rPr>
        <w:t>3.1.2 投标人须知前附表规定不接受联合体投标的，或投标人没有组成联合体的，投标文件不包括联合体协议书。</w:t>
      </w:r>
    </w:p>
    <w:p>
      <w:pPr>
        <w:pStyle w:val="5"/>
        <w:spacing w:line="240" w:lineRule="auto"/>
        <w:ind w:firstLine="137"/>
        <w:rPr>
          <w:rFonts w:ascii="Times New Roman"/>
          <w:color w:val="auto"/>
          <w:highlight w:val="none"/>
        </w:rPr>
      </w:pPr>
      <w:bookmarkStart w:id="192" w:name="_Toc21354"/>
      <w:r>
        <w:rPr>
          <w:rFonts w:ascii="Times New Roman"/>
          <w:color w:val="auto"/>
          <w:highlight w:val="none"/>
        </w:rPr>
        <w:t xml:space="preserve">3.2 </w:t>
      </w:r>
      <w:r>
        <w:rPr>
          <w:rFonts w:hint="eastAsia" w:ascii="Times New Roman"/>
          <w:color w:val="auto"/>
          <w:highlight w:val="none"/>
        </w:rPr>
        <w:t>投标报价</w:t>
      </w:r>
      <w:bookmarkEnd w:id="192"/>
    </w:p>
    <w:p>
      <w:pPr>
        <w:spacing w:line="400" w:lineRule="exact"/>
        <w:ind w:firstLine="420" w:firstLineChars="200"/>
        <w:rPr>
          <w:color w:val="auto"/>
          <w:highlight w:val="none"/>
        </w:rPr>
      </w:pPr>
      <w:r>
        <w:rPr>
          <w:color w:val="auto"/>
          <w:highlight w:val="none"/>
        </w:rPr>
        <w:t>3.2.1投标报价应包括国家规定的增值税税金，除投标人须知前附表另有规定外，</w:t>
      </w:r>
      <w:bookmarkStart w:id="193" w:name="_Hlk18761004"/>
      <w:r>
        <w:rPr>
          <w:rFonts w:hint="eastAsia"/>
          <w:color w:val="auto"/>
          <w:highlight w:val="none"/>
        </w:rPr>
        <w:t>税金费用执行《关于全面推开营业税改征增值税试点的通知》（财税[2016]36号）及国家最新税收政策，采用一般计税方法计列增值税</w:t>
      </w:r>
      <w:bookmarkEnd w:id="193"/>
      <w:r>
        <w:rPr>
          <w:color w:val="auto"/>
          <w:highlight w:val="none"/>
        </w:rPr>
        <w:t>。</w:t>
      </w:r>
      <w:r>
        <w:t>投标人应按第六章</w:t>
      </w:r>
      <w:r>
        <w:rPr>
          <w:rFonts w:hint="eastAsia"/>
        </w:rPr>
        <w:t>“</w:t>
      </w:r>
      <w:r>
        <w:t>投标文件格式</w:t>
      </w:r>
      <w:r>
        <w:rPr>
          <w:rFonts w:hint="eastAsia"/>
        </w:rPr>
        <w:t>”</w:t>
      </w:r>
      <w:r>
        <w:t>的要求在投标函中进行报价并填写</w:t>
      </w:r>
      <w:r>
        <w:rPr>
          <w:rFonts w:hint="eastAsia"/>
        </w:rPr>
        <w:t>勘察</w:t>
      </w:r>
      <w:r>
        <w:t>设计费用清单。</w:t>
      </w:r>
    </w:p>
    <w:p>
      <w:pPr>
        <w:spacing w:line="400" w:lineRule="exact"/>
        <w:ind w:firstLine="420" w:firstLineChars="200"/>
        <w:rPr>
          <w:color w:val="auto"/>
          <w:highlight w:val="none"/>
        </w:rPr>
      </w:pPr>
      <w:r>
        <w:rPr>
          <w:color w:val="auto"/>
          <w:highlight w:val="none"/>
        </w:rPr>
        <w:t>3.2.2 投标人应充分了解该项目的总体情况以及影响投标报价的其他要素。</w:t>
      </w:r>
    </w:p>
    <w:p>
      <w:pPr>
        <w:spacing w:line="400" w:lineRule="exact"/>
        <w:ind w:firstLine="420" w:firstLineChars="200"/>
        <w:rPr>
          <w:color w:val="auto"/>
          <w:highlight w:val="none"/>
        </w:rPr>
      </w:pPr>
      <w:r>
        <w:rPr>
          <w:color w:val="auto"/>
          <w:highlight w:val="none"/>
        </w:rPr>
        <w:t>3.2.3</w:t>
      </w:r>
      <w:bookmarkStart w:id="194" w:name="_Toc352691487"/>
      <w:bookmarkEnd w:id="194"/>
      <w:bookmarkStart w:id="195" w:name="_Toc15242"/>
      <w:bookmarkEnd w:id="195"/>
      <w:bookmarkStart w:id="196" w:name="_Toc384308224"/>
      <w:bookmarkEnd w:id="196"/>
      <w:bookmarkStart w:id="197" w:name="_Toc144974511"/>
      <w:bookmarkEnd w:id="197"/>
      <w:bookmarkStart w:id="198" w:name="_Toc152042319"/>
      <w:bookmarkEnd w:id="198"/>
      <w:bookmarkStart w:id="199" w:name="_Toc152045543"/>
      <w:bookmarkEnd w:id="199"/>
      <w:bookmarkStart w:id="200" w:name="_Toc369531530"/>
      <w:bookmarkEnd w:id="200"/>
      <w:bookmarkStart w:id="201" w:name="_Toc247527568"/>
      <w:bookmarkEnd w:id="201"/>
      <w:bookmarkStart w:id="202" w:name="_Toc247513967"/>
      <w:bookmarkEnd w:id="202"/>
      <w:bookmarkStart w:id="203" w:name="_Toc300834964"/>
      <w:bookmarkEnd w:id="203"/>
      <w:bookmarkStart w:id="204" w:name="_Toc361508599"/>
      <w:bookmarkEnd w:id="204"/>
      <w:r>
        <w:rPr>
          <w:rFonts w:hint="eastAsia"/>
          <w:color w:val="auto"/>
          <w:highlight w:val="none"/>
        </w:rPr>
        <w:t xml:space="preserve"> 本项目的报价方式见投标人须知前附表。</w:t>
      </w:r>
      <w:r>
        <w:rPr>
          <w:color w:val="auto"/>
          <w:highlight w:val="none"/>
        </w:rPr>
        <w:t>投标人在投标截止时间前修改投标函中的投标报价总额，应同时修改投标文件</w:t>
      </w:r>
      <w:r>
        <w:rPr>
          <w:rFonts w:hint="eastAsia"/>
          <w:color w:val="auto"/>
          <w:highlight w:val="none"/>
        </w:rPr>
        <w:t>“勘察设计费用清单”</w:t>
      </w:r>
      <w:r>
        <w:rPr>
          <w:color w:val="auto"/>
          <w:highlight w:val="none"/>
        </w:rPr>
        <w:t>中的相应报价。此修改须符合本章第4.3款的有关要求。</w:t>
      </w:r>
    </w:p>
    <w:p>
      <w:pPr>
        <w:spacing w:line="400" w:lineRule="exact"/>
        <w:ind w:firstLine="420" w:firstLineChars="200"/>
        <w:rPr>
          <w:color w:val="auto"/>
          <w:highlight w:val="none"/>
        </w:rPr>
      </w:pPr>
      <w:r>
        <w:rPr>
          <w:color w:val="auto"/>
          <w:highlight w:val="none"/>
        </w:rPr>
        <w:t>3.2.4</w:t>
      </w:r>
      <w:r>
        <w:rPr>
          <w:rFonts w:hint="eastAsia"/>
          <w:color w:val="auto"/>
          <w:highlight w:val="none"/>
        </w:rPr>
        <w:t xml:space="preserve"> </w:t>
      </w:r>
      <w:r>
        <w:rPr>
          <w:color w:val="auto"/>
          <w:highlight w:val="none"/>
        </w:rPr>
        <w:t>招标人设有最高投标限价的，投标人的投标报价不得超过最高投标限价，最高投标限价在投标</w:t>
      </w:r>
      <w:bookmarkStart w:id="205" w:name="_Toc361508600"/>
      <w:bookmarkStart w:id="206" w:name="_Toc10429"/>
      <w:bookmarkStart w:id="207" w:name="_Toc369531531"/>
      <w:bookmarkStart w:id="208" w:name="_Toc152042320"/>
      <w:bookmarkStart w:id="209" w:name="_Toc247513968"/>
      <w:bookmarkStart w:id="210" w:name="_Toc144974512"/>
      <w:bookmarkStart w:id="211" w:name="_Toc300834965"/>
      <w:bookmarkStart w:id="212" w:name="_Toc152045544"/>
      <w:bookmarkStart w:id="213" w:name="_Toc384308225"/>
      <w:bookmarkStart w:id="214" w:name="_Toc352691488"/>
      <w:bookmarkStart w:id="215" w:name="_Toc247527569"/>
      <w:r>
        <w:rPr>
          <w:color w:val="auto"/>
          <w:highlight w:val="none"/>
        </w:rPr>
        <w:t>人须知前附表中载明。</w:t>
      </w:r>
      <w:bookmarkEnd w:id="205"/>
      <w:bookmarkEnd w:id="206"/>
      <w:bookmarkEnd w:id="207"/>
      <w:bookmarkEnd w:id="208"/>
      <w:bookmarkEnd w:id="209"/>
      <w:bookmarkEnd w:id="210"/>
      <w:bookmarkEnd w:id="211"/>
      <w:bookmarkEnd w:id="212"/>
      <w:bookmarkEnd w:id="213"/>
      <w:bookmarkEnd w:id="214"/>
      <w:bookmarkEnd w:id="215"/>
    </w:p>
    <w:p>
      <w:pPr>
        <w:spacing w:line="400" w:lineRule="exact"/>
        <w:ind w:firstLine="420" w:firstLineChars="200"/>
        <w:rPr>
          <w:color w:val="auto"/>
          <w:highlight w:val="none"/>
        </w:rPr>
      </w:pPr>
      <w:r>
        <w:rPr>
          <w:color w:val="auto"/>
          <w:highlight w:val="none"/>
        </w:rPr>
        <w:t>3.2.</w:t>
      </w:r>
      <w:r>
        <w:rPr>
          <w:rFonts w:hint="eastAsia"/>
          <w:color w:val="auto"/>
          <w:highlight w:val="none"/>
        </w:rPr>
        <w:t>5</w:t>
      </w:r>
      <w:r>
        <w:rPr>
          <w:color w:val="auto"/>
          <w:highlight w:val="none"/>
        </w:rPr>
        <w:t xml:space="preserve"> 投标报价的其他要求见投标人须知前附表。</w:t>
      </w:r>
    </w:p>
    <w:p>
      <w:pPr>
        <w:pStyle w:val="5"/>
        <w:spacing w:line="240" w:lineRule="auto"/>
        <w:ind w:firstLine="137"/>
        <w:rPr>
          <w:rFonts w:ascii="Times New Roman"/>
          <w:color w:val="auto"/>
          <w:highlight w:val="none"/>
        </w:rPr>
      </w:pPr>
      <w:bookmarkStart w:id="216" w:name="_Toc12698"/>
      <w:r>
        <w:rPr>
          <w:rFonts w:ascii="Times New Roman"/>
          <w:color w:val="auto"/>
          <w:highlight w:val="none"/>
        </w:rPr>
        <w:t xml:space="preserve">3.3 </w:t>
      </w:r>
      <w:r>
        <w:rPr>
          <w:rFonts w:hint="eastAsia" w:ascii="Times New Roman"/>
          <w:color w:val="auto"/>
          <w:highlight w:val="none"/>
        </w:rPr>
        <w:t>投标有效期</w:t>
      </w:r>
      <w:bookmarkEnd w:id="216"/>
    </w:p>
    <w:p>
      <w:pPr>
        <w:spacing w:line="400" w:lineRule="exact"/>
        <w:ind w:firstLine="420" w:firstLineChars="200"/>
        <w:rPr>
          <w:color w:val="auto"/>
          <w:highlight w:val="none"/>
        </w:rPr>
      </w:pPr>
      <w:r>
        <w:rPr>
          <w:color w:val="auto"/>
          <w:highlight w:val="none"/>
        </w:rPr>
        <w:t>3.3.1 除投标人须知前附表另有规定外，投标有效期为</w:t>
      </w:r>
      <w:r>
        <w:rPr>
          <w:rFonts w:hint="eastAsia"/>
          <w:color w:val="auto"/>
          <w:highlight w:val="none"/>
        </w:rPr>
        <w:t>120</w:t>
      </w:r>
      <w:r>
        <w:rPr>
          <w:color w:val="auto"/>
          <w:highlight w:val="none"/>
        </w:rPr>
        <w:t>天。</w:t>
      </w:r>
    </w:p>
    <w:p>
      <w:pPr>
        <w:spacing w:line="400" w:lineRule="exact"/>
        <w:ind w:firstLine="420" w:firstLineChars="200"/>
        <w:rPr>
          <w:color w:val="auto"/>
          <w:highlight w:val="none"/>
        </w:rPr>
      </w:pPr>
      <w:r>
        <w:rPr>
          <w:color w:val="auto"/>
          <w:highlight w:val="none"/>
        </w:rPr>
        <w:t>3.3.2 在投标有效期内，投标人撤销投标文件的，应承担招标文件和法律规定的责任。</w:t>
      </w:r>
    </w:p>
    <w:p>
      <w:pPr>
        <w:spacing w:line="400" w:lineRule="exact"/>
        <w:ind w:firstLine="420" w:firstLineChars="200"/>
        <w:rPr>
          <w:color w:val="auto"/>
          <w:highlight w:val="none"/>
        </w:rPr>
      </w:pPr>
      <w:r>
        <w:rPr>
          <w:color w:val="auto"/>
          <w:highlight w:val="none"/>
        </w:rPr>
        <w:t>3.3.3 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及以现金或者支票形式递交的投标保证金的银行同期存款利息。</w:t>
      </w:r>
    </w:p>
    <w:p>
      <w:pPr>
        <w:pStyle w:val="5"/>
        <w:spacing w:line="240" w:lineRule="auto"/>
        <w:ind w:firstLine="137"/>
        <w:rPr>
          <w:rFonts w:ascii="Times New Roman"/>
          <w:color w:val="auto"/>
          <w:highlight w:val="none"/>
        </w:rPr>
      </w:pPr>
      <w:bookmarkStart w:id="217" w:name="_Toc21493"/>
      <w:r>
        <w:rPr>
          <w:rFonts w:ascii="Times New Roman"/>
          <w:color w:val="auto"/>
          <w:highlight w:val="none"/>
        </w:rPr>
        <w:t xml:space="preserve">3.4 </w:t>
      </w:r>
      <w:r>
        <w:rPr>
          <w:rFonts w:hint="eastAsia" w:ascii="Times New Roman"/>
          <w:color w:val="auto"/>
          <w:highlight w:val="none"/>
        </w:rPr>
        <w:t>投标保证金</w:t>
      </w:r>
      <w:bookmarkEnd w:id="217"/>
    </w:p>
    <w:p>
      <w:pPr>
        <w:spacing w:line="400" w:lineRule="exact"/>
        <w:ind w:firstLine="420" w:firstLineChars="200"/>
        <w:rPr>
          <w:color w:val="auto"/>
          <w:highlight w:val="none"/>
        </w:rPr>
      </w:pPr>
      <w:r>
        <w:rPr>
          <w:color w:val="auto"/>
          <w:highlight w:val="none"/>
        </w:rPr>
        <w:t>3.4.1 投标人在递交投标文件的同时，应按投标人须知前附表规定的金额</w:t>
      </w:r>
      <w:bookmarkStart w:id="218" w:name="_Toc152042321"/>
      <w:bookmarkStart w:id="219" w:name="_Toc352691489"/>
      <w:bookmarkStart w:id="220" w:name="_Toc361508601"/>
      <w:bookmarkStart w:id="221" w:name="_Toc369531532"/>
      <w:bookmarkStart w:id="222" w:name="_Toc152045545"/>
      <w:bookmarkStart w:id="223" w:name="_Toc144974513"/>
      <w:bookmarkStart w:id="224" w:name="_Toc247527570"/>
      <w:bookmarkStart w:id="225" w:name="_Toc4592"/>
      <w:bookmarkStart w:id="226" w:name="_Toc247513969"/>
      <w:bookmarkStart w:id="227" w:name="_Toc384308226"/>
      <w:bookmarkStart w:id="228" w:name="_Toc300834966"/>
      <w:r>
        <w:rPr>
          <w:color w:val="auto"/>
          <w:highlight w:val="none"/>
        </w:rPr>
        <w:t>、形式和第六章</w:t>
      </w:r>
      <w:r>
        <w:rPr>
          <w:rFonts w:hint="eastAsia"/>
          <w:color w:val="auto"/>
          <w:highlight w:val="none"/>
        </w:rPr>
        <w:t>“</w:t>
      </w:r>
      <w:r>
        <w:rPr>
          <w:color w:val="auto"/>
          <w:highlight w:val="none"/>
        </w:rPr>
        <w:t>投标文</w:t>
      </w:r>
      <w:bookmarkEnd w:id="218"/>
      <w:bookmarkEnd w:id="219"/>
      <w:bookmarkEnd w:id="220"/>
      <w:bookmarkEnd w:id="221"/>
      <w:bookmarkEnd w:id="222"/>
      <w:bookmarkEnd w:id="223"/>
      <w:bookmarkEnd w:id="224"/>
      <w:bookmarkEnd w:id="225"/>
      <w:bookmarkEnd w:id="226"/>
      <w:bookmarkEnd w:id="227"/>
      <w:bookmarkEnd w:id="228"/>
      <w:r>
        <w:rPr>
          <w:color w:val="auto"/>
          <w:highlight w:val="none"/>
        </w:rPr>
        <w:t>件格式</w:t>
      </w:r>
      <w:r>
        <w:rPr>
          <w:rFonts w:hint="eastAsia"/>
          <w:color w:val="auto"/>
          <w:highlight w:val="none"/>
        </w:rPr>
        <w:t>”</w:t>
      </w:r>
      <w:r>
        <w:rPr>
          <w:color w:val="auto"/>
          <w:highlight w:val="none"/>
        </w:rPr>
        <w:t>规定的投标保证金格式递交投标保证金，并作为其投标文件的组成部分。境内投标人以现金或者支票形式提交的投标保证金，应当从其基本账户转出并在投标文件中附上基本账户开户证明。联合体投标的，其投标保证金可以由牵头人递交，并应符合投标人须知前附表的规定。</w:t>
      </w:r>
    </w:p>
    <w:p>
      <w:pPr>
        <w:spacing w:line="400" w:lineRule="exact"/>
        <w:ind w:firstLine="420" w:firstLineChars="200"/>
        <w:jc w:val="left"/>
        <w:rPr>
          <w:color w:val="auto"/>
          <w:highlight w:val="none"/>
        </w:rPr>
      </w:pPr>
      <w:r>
        <w:rPr>
          <w:color w:val="auto"/>
          <w:highlight w:val="none"/>
        </w:rPr>
        <w:t>3.4.2 投标人不按本章第3.4.1项</w:t>
      </w:r>
      <w:bookmarkStart w:id="229" w:name="_Toc361508602"/>
      <w:bookmarkStart w:id="230" w:name="_Toc369531533"/>
      <w:bookmarkStart w:id="231" w:name="_Toc29025"/>
      <w:bookmarkStart w:id="232" w:name="_Toc384308227"/>
      <w:bookmarkStart w:id="233" w:name="_Toc352691490"/>
      <w:r>
        <w:rPr>
          <w:color w:val="auto"/>
          <w:highlight w:val="none"/>
        </w:rPr>
        <w:t>要求提交投标保证金的，</w:t>
      </w:r>
      <w:bookmarkEnd w:id="229"/>
      <w:bookmarkEnd w:id="230"/>
      <w:bookmarkEnd w:id="231"/>
      <w:bookmarkEnd w:id="232"/>
      <w:bookmarkEnd w:id="233"/>
      <w:r>
        <w:rPr>
          <w:color w:val="auto"/>
          <w:highlight w:val="none"/>
        </w:rPr>
        <w:t>评标委员会将否决其投标。</w:t>
      </w:r>
    </w:p>
    <w:p>
      <w:pPr>
        <w:spacing w:line="400" w:lineRule="exact"/>
        <w:ind w:firstLine="420" w:firstLineChars="200"/>
        <w:rPr>
          <w:color w:val="auto"/>
          <w:highlight w:val="none"/>
        </w:rPr>
      </w:pPr>
      <w:r>
        <w:rPr>
          <w:color w:val="auto"/>
          <w:highlight w:val="none"/>
        </w:rPr>
        <w:t>3.4.3 招标人最迟将在与中标人</w:t>
      </w:r>
      <w:bookmarkStart w:id="234" w:name="_Toc352691491"/>
      <w:bookmarkStart w:id="235" w:name="_Toc247527571"/>
      <w:bookmarkStart w:id="236" w:name="_Toc144974514"/>
      <w:bookmarkStart w:id="237" w:name="_Toc14751"/>
      <w:bookmarkStart w:id="238" w:name="_Toc152045546"/>
      <w:bookmarkStart w:id="239" w:name="_Toc369531534"/>
      <w:bookmarkStart w:id="240" w:name="_Toc300834967"/>
      <w:bookmarkStart w:id="241" w:name="_Toc152042322"/>
      <w:bookmarkStart w:id="242" w:name="_Toc247513970"/>
      <w:bookmarkStart w:id="243" w:name="_Toc361508603"/>
      <w:bookmarkStart w:id="244" w:name="_Toc384308228"/>
      <w:r>
        <w:rPr>
          <w:color w:val="auto"/>
          <w:highlight w:val="none"/>
        </w:rPr>
        <w:t>签订合同后5日</w:t>
      </w:r>
      <w:bookmarkEnd w:id="234"/>
      <w:bookmarkEnd w:id="235"/>
      <w:bookmarkEnd w:id="236"/>
      <w:bookmarkEnd w:id="237"/>
      <w:bookmarkEnd w:id="238"/>
      <w:bookmarkEnd w:id="239"/>
      <w:bookmarkEnd w:id="240"/>
      <w:bookmarkEnd w:id="241"/>
      <w:bookmarkEnd w:id="242"/>
      <w:bookmarkEnd w:id="243"/>
      <w:bookmarkEnd w:id="244"/>
      <w:r>
        <w:rPr>
          <w:color w:val="auto"/>
          <w:highlight w:val="none"/>
        </w:rPr>
        <w:t>内</w:t>
      </w:r>
      <w:bookmarkStart w:id="245" w:name="_Toc352691492"/>
      <w:bookmarkStart w:id="246" w:name="_Toc369531535"/>
      <w:bookmarkStart w:id="247" w:name="_Toc17952"/>
      <w:bookmarkStart w:id="248" w:name="_Toc384308229"/>
      <w:bookmarkStart w:id="249" w:name="_Toc300834968"/>
      <w:bookmarkStart w:id="250" w:name="_Toc361508604"/>
      <w:bookmarkStart w:id="251" w:name="_Toc152045547"/>
      <w:bookmarkStart w:id="252" w:name="_Toc144974515"/>
      <w:bookmarkStart w:id="253" w:name="_Toc247527572"/>
      <w:bookmarkStart w:id="254" w:name="_Toc247513971"/>
      <w:bookmarkStart w:id="255" w:name="_Toc152042323"/>
      <w:r>
        <w:rPr>
          <w:color w:val="auto"/>
          <w:highlight w:val="none"/>
        </w:rPr>
        <w:t>，向未中标的投标人和中</w:t>
      </w:r>
      <w:bookmarkEnd w:id="245"/>
      <w:bookmarkEnd w:id="246"/>
      <w:bookmarkEnd w:id="247"/>
      <w:bookmarkEnd w:id="248"/>
      <w:bookmarkEnd w:id="249"/>
      <w:bookmarkEnd w:id="250"/>
      <w:bookmarkEnd w:id="251"/>
      <w:bookmarkEnd w:id="252"/>
      <w:bookmarkEnd w:id="253"/>
      <w:bookmarkEnd w:id="254"/>
      <w:bookmarkEnd w:id="255"/>
      <w:r>
        <w:rPr>
          <w:color w:val="auto"/>
          <w:highlight w:val="none"/>
        </w:rPr>
        <w:t>标人退还投标保证金。投标保证金以现金或者支票形式递交的，还应退还银行同期存款利息。</w:t>
      </w:r>
      <w:r>
        <w:rPr>
          <w:rFonts w:hint="eastAsia" w:ascii="宋体" w:hAnsi="宋体"/>
          <w:color w:val="auto"/>
          <w:highlight w:val="none"/>
        </w:rPr>
        <w:t>采用保函、保险方式递交保证金的，将向投标人退还原件。</w:t>
      </w:r>
    </w:p>
    <w:p>
      <w:pPr>
        <w:spacing w:line="400" w:lineRule="exact"/>
        <w:ind w:firstLine="420" w:firstLineChars="200"/>
        <w:rPr>
          <w:color w:val="auto"/>
          <w:highlight w:val="none"/>
        </w:rPr>
      </w:pPr>
      <w:r>
        <w:rPr>
          <w:color w:val="auto"/>
          <w:highlight w:val="none"/>
        </w:rPr>
        <w:t>3.4.4 有下列情形之一的，投标保证金将不予退还：</w:t>
      </w:r>
    </w:p>
    <w:p>
      <w:pPr>
        <w:spacing w:line="400" w:lineRule="exact"/>
        <w:ind w:firstLine="315" w:firstLineChars="150"/>
        <w:rPr>
          <w:color w:val="auto"/>
          <w:highlight w:val="none"/>
        </w:rPr>
      </w:pPr>
      <w:r>
        <w:rPr>
          <w:color w:val="auto"/>
          <w:highlight w:val="none"/>
        </w:rPr>
        <w:t>（1）投标人在投标有效期内撤销</w:t>
      </w:r>
      <w:r>
        <w:rPr>
          <w:rFonts w:hint="eastAsia"/>
          <w:color w:val="auto"/>
          <w:highlight w:val="none"/>
        </w:rPr>
        <w:t>或修改其</w:t>
      </w:r>
      <w:r>
        <w:rPr>
          <w:color w:val="auto"/>
          <w:highlight w:val="none"/>
        </w:rPr>
        <w:t>投标文件；</w:t>
      </w:r>
    </w:p>
    <w:p>
      <w:pPr>
        <w:spacing w:line="400" w:lineRule="exact"/>
        <w:ind w:firstLine="315" w:firstLineChars="150"/>
        <w:rPr>
          <w:rFonts w:hint="eastAsia"/>
          <w:color w:val="auto"/>
          <w:highlight w:val="none"/>
        </w:rPr>
      </w:pPr>
      <w:r>
        <w:rPr>
          <w:color w:val="auto"/>
          <w:highlight w:val="none"/>
        </w:rPr>
        <w:t>（2）中标人在收到中标通知书后，无正当理由不与招标人订立合同，在签订合同时向招标人提出附加条件，或者不按照招标文件要求提交履约保证金；</w:t>
      </w:r>
    </w:p>
    <w:p>
      <w:pPr>
        <w:spacing w:line="400" w:lineRule="exact"/>
        <w:ind w:firstLine="315" w:firstLineChars="150"/>
        <w:rPr>
          <w:rFonts w:hint="eastAsia"/>
          <w:color w:val="auto"/>
          <w:highlight w:val="none"/>
        </w:rPr>
      </w:pPr>
      <w:r>
        <w:rPr>
          <w:rFonts w:hint="eastAsia"/>
          <w:color w:val="auto"/>
          <w:highlight w:val="none"/>
        </w:rPr>
        <w:t>（3）投标人存在伪造、变造资格、资质证书或者其他许可证件的行为的。</w:t>
      </w:r>
    </w:p>
    <w:p>
      <w:pPr>
        <w:spacing w:line="400" w:lineRule="exact"/>
        <w:ind w:firstLine="315" w:firstLineChars="150"/>
        <w:rPr>
          <w:color w:val="auto"/>
          <w:highlight w:val="none"/>
        </w:rPr>
      </w:pPr>
      <w:r>
        <w:rPr>
          <w:color w:val="auto"/>
          <w:highlight w:val="none"/>
        </w:rPr>
        <w:t>（</w:t>
      </w:r>
      <w:r>
        <w:rPr>
          <w:rFonts w:hint="eastAsia"/>
          <w:color w:val="auto"/>
          <w:highlight w:val="none"/>
        </w:rPr>
        <w:t>4</w:t>
      </w:r>
      <w:r>
        <w:rPr>
          <w:color w:val="auto"/>
          <w:highlight w:val="none"/>
        </w:rPr>
        <w:t>）发生投标人须知前附表</w:t>
      </w:r>
      <w:r>
        <w:rPr>
          <w:color w:val="auto"/>
          <w:szCs w:val="21"/>
          <w:highlight w:val="none"/>
        </w:rPr>
        <w:t>规定的其他可以不予退还投标保证金的情形。</w:t>
      </w:r>
    </w:p>
    <w:p>
      <w:pPr>
        <w:pStyle w:val="5"/>
        <w:spacing w:line="240" w:lineRule="auto"/>
        <w:ind w:firstLine="137"/>
        <w:rPr>
          <w:rFonts w:ascii="Times New Roman"/>
          <w:color w:val="auto"/>
          <w:highlight w:val="none"/>
        </w:rPr>
      </w:pPr>
      <w:bookmarkStart w:id="256" w:name="_Toc27474"/>
      <w:r>
        <w:rPr>
          <w:rFonts w:ascii="Times New Roman"/>
          <w:color w:val="auto"/>
          <w:highlight w:val="none"/>
        </w:rPr>
        <w:t xml:space="preserve">3.5 </w:t>
      </w:r>
      <w:r>
        <w:rPr>
          <w:rFonts w:hint="eastAsia" w:ascii="Times New Roman"/>
          <w:color w:val="auto"/>
          <w:highlight w:val="none"/>
        </w:rPr>
        <w:t>资格审查资料（适用于已进行资格预审的）</w:t>
      </w:r>
      <w:bookmarkEnd w:id="256"/>
    </w:p>
    <w:p>
      <w:pPr>
        <w:spacing w:line="400" w:lineRule="exact"/>
        <w:ind w:firstLine="420" w:firstLineChars="200"/>
        <w:jc w:val="left"/>
        <w:rPr>
          <w:color w:val="auto"/>
          <w:highlight w:val="none"/>
        </w:rPr>
      </w:pPr>
      <w:r>
        <w:rPr>
          <w:color w:val="auto"/>
          <w:highlight w:val="none"/>
        </w:rPr>
        <w:t>投标人在递交投标文件前，发生可能影响其投标资格的新情况的，应更新或补充其在申请资格预审时提供的资料，以证实其各项资格条件仍能继续满足资格预审文件的要求，且没有实质性降低。</w:t>
      </w:r>
    </w:p>
    <w:p>
      <w:pPr>
        <w:pStyle w:val="5"/>
        <w:spacing w:line="240" w:lineRule="auto"/>
        <w:ind w:firstLine="137"/>
        <w:rPr>
          <w:rFonts w:ascii="Times New Roman"/>
          <w:color w:val="auto"/>
          <w:highlight w:val="none"/>
        </w:rPr>
      </w:pPr>
      <w:bookmarkStart w:id="257" w:name="_Toc19042"/>
      <w:r>
        <w:rPr>
          <w:rFonts w:ascii="Times New Roman"/>
          <w:color w:val="auto"/>
          <w:highlight w:val="none"/>
        </w:rPr>
        <w:t xml:space="preserve">3.5 </w:t>
      </w:r>
      <w:r>
        <w:rPr>
          <w:rFonts w:hint="eastAsia" w:ascii="Times New Roman"/>
          <w:color w:val="auto"/>
          <w:highlight w:val="none"/>
        </w:rPr>
        <w:t>资格审查资料（适用于未进行资格预审的）</w:t>
      </w:r>
      <w:bookmarkEnd w:id="257"/>
    </w:p>
    <w:p>
      <w:pPr>
        <w:spacing w:line="400" w:lineRule="exact"/>
        <w:ind w:firstLine="420" w:firstLineChars="200"/>
        <w:rPr>
          <w:color w:val="auto"/>
          <w:highlight w:val="none"/>
        </w:rPr>
      </w:pPr>
      <w:r>
        <w:rPr>
          <w:color w:val="auto"/>
          <w:highlight w:val="none"/>
        </w:rPr>
        <w:t>除投标人须知前附表另有规定外，投标人应按下列规定提供资格审查资料，以证明其满足本章第1.4款规定的资质、财务、业绩、信誉等要求。</w:t>
      </w:r>
    </w:p>
    <w:p>
      <w:pPr>
        <w:spacing w:line="400" w:lineRule="exact"/>
        <w:ind w:firstLine="420" w:firstLineChars="200"/>
        <w:rPr>
          <w:color w:val="auto"/>
          <w:highlight w:val="none"/>
        </w:rPr>
      </w:pPr>
      <w:r>
        <w:rPr>
          <w:color w:val="auto"/>
          <w:highlight w:val="none"/>
        </w:rPr>
        <w:t xml:space="preserve">3.5.1 </w:t>
      </w:r>
      <w:r>
        <w:rPr>
          <w:rFonts w:hint="eastAsia"/>
          <w:color w:val="auto"/>
          <w:highlight w:val="none"/>
        </w:rPr>
        <w:t>“</w:t>
      </w:r>
      <w:r>
        <w:rPr>
          <w:color w:val="auto"/>
          <w:highlight w:val="none"/>
        </w:rPr>
        <w:t>投标人基本情况表</w:t>
      </w:r>
      <w:r>
        <w:rPr>
          <w:rFonts w:hint="eastAsia"/>
          <w:color w:val="auto"/>
          <w:highlight w:val="none"/>
        </w:rPr>
        <w:t>”</w:t>
      </w:r>
      <w:r>
        <w:rPr>
          <w:color w:val="auto"/>
          <w:highlight w:val="none"/>
        </w:rPr>
        <w:t>应附投标人营业执照复印件、投标人</w:t>
      </w:r>
      <w:r>
        <w:rPr>
          <w:rFonts w:hint="eastAsia"/>
          <w:color w:val="auto"/>
          <w:highlight w:val="none"/>
        </w:rPr>
        <w:t>勘察、</w:t>
      </w:r>
      <w:r>
        <w:rPr>
          <w:color w:val="auto"/>
          <w:highlight w:val="none"/>
        </w:rPr>
        <w:t>设计资质证书副本等材料的复印件。</w:t>
      </w:r>
    </w:p>
    <w:p>
      <w:pPr>
        <w:spacing w:line="400" w:lineRule="exact"/>
        <w:ind w:firstLine="420" w:firstLineChars="200"/>
        <w:rPr>
          <w:color w:val="auto"/>
          <w:highlight w:val="none"/>
        </w:rPr>
      </w:pPr>
      <w:r>
        <w:rPr>
          <w:color w:val="auto"/>
          <w:highlight w:val="none"/>
        </w:rPr>
        <w:t xml:space="preserve">3.5.2 </w:t>
      </w:r>
      <w:r>
        <w:rPr>
          <w:rFonts w:hint="eastAsia"/>
          <w:color w:val="auto"/>
          <w:highlight w:val="none"/>
        </w:rPr>
        <w:t>“</w:t>
      </w:r>
      <w:r>
        <w:rPr>
          <w:color w:val="auto"/>
          <w:highlight w:val="none"/>
        </w:rPr>
        <w:t>近年财务状况表</w:t>
      </w:r>
      <w:r>
        <w:rPr>
          <w:rFonts w:hint="eastAsia"/>
          <w:color w:val="auto"/>
          <w:highlight w:val="none"/>
        </w:rPr>
        <w:t>”</w:t>
      </w:r>
      <w:r>
        <w:rPr>
          <w:color w:val="auto"/>
          <w:highlight w:val="none"/>
        </w:rPr>
        <w:t>应附经会计师事务所或审计机构审计的财务会计报表，包括资产负债表、现金流量表、利润表和财务情况说明书的复印件，具体年份要求见投标人须知前附表。投标人的成立时间少于投标人须知前附表规定年份的，应提供成立以来的财务状况表。</w:t>
      </w:r>
    </w:p>
    <w:p>
      <w:pPr>
        <w:spacing w:line="400" w:lineRule="exact"/>
        <w:ind w:firstLine="420" w:firstLineChars="200"/>
        <w:rPr>
          <w:color w:val="auto"/>
          <w:highlight w:val="none"/>
        </w:rPr>
      </w:pPr>
      <w:r>
        <w:rPr>
          <w:color w:val="auto"/>
          <w:highlight w:val="none"/>
        </w:rPr>
        <w:t xml:space="preserve">3.5.3 </w:t>
      </w:r>
      <w:r>
        <w:rPr>
          <w:rFonts w:hint="eastAsia"/>
          <w:color w:val="auto"/>
          <w:highlight w:val="none"/>
        </w:rPr>
        <w:t>“</w:t>
      </w:r>
      <w:r>
        <w:rPr>
          <w:color w:val="auto"/>
          <w:highlight w:val="none"/>
        </w:rPr>
        <w:t>近年完成的类似</w:t>
      </w:r>
      <w:r>
        <w:rPr>
          <w:rFonts w:hint="eastAsia"/>
          <w:color w:val="auto"/>
          <w:highlight w:val="none"/>
        </w:rPr>
        <w:t>勘察</w:t>
      </w:r>
      <w:r>
        <w:rPr>
          <w:color w:val="auto"/>
          <w:highlight w:val="none"/>
        </w:rPr>
        <w:t>设计项目情况表</w:t>
      </w:r>
      <w:r>
        <w:rPr>
          <w:rFonts w:hint="eastAsia"/>
          <w:color w:val="auto"/>
          <w:highlight w:val="none"/>
        </w:rPr>
        <w:t>”</w:t>
      </w:r>
      <w:r>
        <w:rPr>
          <w:color w:val="auto"/>
          <w:highlight w:val="none"/>
        </w:rPr>
        <w:t>应附中标通知书和（或）合同协议书、发包人出具的证明文件；具体</w:t>
      </w:r>
      <w:r>
        <w:rPr>
          <w:rFonts w:hint="eastAsia"/>
          <w:color w:val="auto"/>
          <w:highlight w:val="none"/>
        </w:rPr>
        <w:t>时间</w:t>
      </w:r>
      <w:r>
        <w:rPr>
          <w:color w:val="auto"/>
          <w:highlight w:val="none"/>
        </w:rPr>
        <w:t>要求见投标人须知前附表，每张表格只填写一个项目，并标明序号。</w:t>
      </w:r>
    </w:p>
    <w:p>
      <w:pPr>
        <w:spacing w:line="400" w:lineRule="exact"/>
        <w:ind w:firstLine="420" w:firstLineChars="200"/>
        <w:rPr>
          <w:color w:val="auto"/>
          <w:highlight w:val="none"/>
        </w:rPr>
      </w:pPr>
      <w:r>
        <w:rPr>
          <w:color w:val="auto"/>
          <w:highlight w:val="none"/>
        </w:rPr>
        <w:t xml:space="preserve">3.5.4 </w:t>
      </w:r>
      <w:r>
        <w:rPr>
          <w:rFonts w:hint="eastAsia"/>
          <w:color w:val="auto"/>
          <w:highlight w:val="none"/>
        </w:rPr>
        <w:t>“</w:t>
      </w:r>
      <w:r>
        <w:rPr>
          <w:color w:val="auto"/>
          <w:highlight w:val="none"/>
        </w:rPr>
        <w:t>正在</w:t>
      </w:r>
      <w:r>
        <w:rPr>
          <w:rFonts w:hint="eastAsia"/>
          <w:color w:val="auto"/>
          <w:highlight w:val="none"/>
        </w:rPr>
        <w:t>勘察设计</w:t>
      </w:r>
      <w:r>
        <w:rPr>
          <w:color w:val="auto"/>
          <w:highlight w:val="none"/>
        </w:rPr>
        <w:t>和新承接的项目情况表</w:t>
      </w:r>
      <w:r>
        <w:rPr>
          <w:rFonts w:hint="eastAsia"/>
          <w:color w:val="auto"/>
          <w:highlight w:val="none"/>
        </w:rPr>
        <w:t>”</w:t>
      </w:r>
      <w:r>
        <w:rPr>
          <w:color w:val="auto"/>
          <w:highlight w:val="none"/>
        </w:rPr>
        <w:t>应附中标通知书和（或）合同协议书复印件。每张表格只填写一个项目，并标明序号。</w:t>
      </w:r>
    </w:p>
    <w:p>
      <w:pPr>
        <w:spacing w:line="400" w:lineRule="exact"/>
        <w:ind w:firstLine="420" w:firstLineChars="200"/>
        <w:rPr>
          <w:color w:val="auto"/>
          <w:highlight w:val="none"/>
        </w:rPr>
      </w:pPr>
      <w:r>
        <w:rPr>
          <w:color w:val="auto"/>
          <w:highlight w:val="none"/>
        </w:rPr>
        <w:t xml:space="preserve">3.5.5 </w:t>
      </w:r>
      <w:r>
        <w:rPr>
          <w:rFonts w:hint="eastAsia"/>
          <w:color w:val="auto"/>
          <w:highlight w:val="none"/>
        </w:rPr>
        <w:t>“</w:t>
      </w:r>
      <w:r>
        <w:rPr>
          <w:color w:val="auto"/>
          <w:highlight w:val="none"/>
        </w:rPr>
        <w:t>近年发生的诉讼及仲裁情况</w:t>
      </w:r>
      <w:r>
        <w:rPr>
          <w:rFonts w:hint="eastAsia"/>
          <w:color w:val="auto"/>
          <w:highlight w:val="none"/>
        </w:rPr>
        <w:t>”</w:t>
      </w:r>
      <w:r>
        <w:rPr>
          <w:color w:val="auto"/>
          <w:highlight w:val="none"/>
        </w:rPr>
        <w:t>应说明投标人败诉的</w:t>
      </w:r>
      <w:r>
        <w:rPr>
          <w:rFonts w:hint="eastAsia"/>
          <w:color w:val="auto"/>
          <w:highlight w:val="none"/>
        </w:rPr>
        <w:t>勘察</w:t>
      </w:r>
      <w:r>
        <w:rPr>
          <w:color w:val="auto"/>
          <w:highlight w:val="none"/>
        </w:rPr>
        <w:t>设计合同的相关情况，并附法院或仲裁机构作出的判决、裁决等有关法律文书复印件，具体</w:t>
      </w:r>
      <w:r>
        <w:rPr>
          <w:rFonts w:hint="eastAsia"/>
          <w:color w:val="auto"/>
          <w:highlight w:val="none"/>
        </w:rPr>
        <w:t>时间</w:t>
      </w:r>
      <w:r>
        <w:rPr>
          <w:color w:val="auto"/>
          <w:highlight w:val="none"/>
        </w:rPr>
        <w:t>要求见投标人须知前附表。</w:t>
      </w:r>
    </w:p>
    <w:p>
      <w:pPr>
        <w:spacing w:line="400" w:lineRule="exact"/>
        <w:ind w:firstLine="420" w:firstLineChars="200"/>
        <w:rPr>
          <w:color w:val="auto"/>
          <w:highlight w:val="none"/>
        </w:rPr>
      </w:pPr>
      <w:r>
        <w:rPr>
          <w:color w:val="auto"/>
          <w:highlight w:val="none"/>
        </w:rPr>
        <w:t xml:space="preserve">3.5.6 </w:t>
      </w:r>
      <w:r>
        <w:rPr>
          <w:rFonts w:hint="eastAsia"/>
          <w:color w:val="auto"/>
          <w:highlight w:val="none"/>
        </w:rPr>
        <w:t>“拟委任的主要人员汇总表”应填报满足本章第</w:t>
      </w:r>
      <w:r>
        <w:rPr>
          <w:color w:val="auto"/>
          <w:highlight w:val="none"/>
        </w:rPr>
        <w:t>1.4.1</w:t>
      </w:r>
      <w:r>
        <w:rPr>
          <w:rFonts w:hint="eastAsia"/>
          <w:color w:val="auto"/>
          <w:highlight w:val="none"/>
        </w:rPr>
        <w:t>项规定的项目负责人和其他主要人员的相关信息。“主要人员简历表”中项目负责人应附身份证、学历证、职称证、执业资格证书和社保缴费证明复印件，管理过的项目业绩须附合同协议书复印件；其他主要人员应附身份证、学历证、职称证、有关证书和社保缴费证明复印件。</w:t>
      </w:r>
    </w:p>
    <w:p>
      <w:pPr>
        <w:spacing w:line="400" w:lineRule="exact"/>
        <w:ind w:firstLine="420" w:firstLineChars="200"/>
        <w:rPr>
          <w:color w:val="auto"/>
          <w:highlight w:val="none"/>
        </w:rPr>
      </w:pPr>
      <w:r>
        <w:rPr>
          <w:rFonts w:hint="eastAsia"/>
          <w:color w:val="auto"/>
          <w:highlight w:val="none"/>
        </w:rPr>
        <w:t>3.5.7“拟投入本项目的主要勘察设备表”应填报满足本章第1.4.1项规定的勘察设备。</w:t>
      </w:r>
    </w:p>
    <w:p>
      <w:pPr>
        <w:spacing w:line="400" w:lineRule="exact"/>
        <w:ind w:firstLine="420" w:firstLineChars="200"/>
        <w:rPr>
          <w:color w:val="auto"/>
          <w:highlight w:val="none"/>
        </w:rPr>
      </w:pPr>
      <w:r>
        <w:rPr>
          <w:color w:val="auto"/>
          <w:highlight w:val="none"/>
        </w:rPr>
        <w:t>3.5.</w:t>
      </w:r>
      <w:r>
        <w:rPr>
          <w:rFonts w:hint="eastAsia"/>
          <w:color w:val="auto"/>
          <w:highlight w:val="none"/>
        </w:rPr>
        <w:t>8</w:t>
      </w:r>
      <w:r>
        <w:rPr>
          <w:color w:val="auto"/>
          <w:highlight w:val="none"/>
        </w:rPr>
        <w:t xml:space="preserve"> </w:t>
      </w:r>
      <w:r>
        <w:rPr>
          <w:rFonts w:hint="eastAsia"/>
          <w:color w:val="auto"/>
          <w:highlight w:val="none"/>
        </w:rPr>
        <w:t>投标人须知前附表规定接受联合体投标的，本章第</w:t>
      </w:r>
      <w:r>
        <w:rPr>
          <w:color w:val="auto"/>
          <w:highlight w:val="none"/>
        </w:rPr>
        <w:t>3.5.1</w:t>
      </w:r>
      <w:r>
        <w:rPr>
          <w:rFonts w:hint="eastAsia"/>
          <w:color w:val="auto"/>
          <w:highlight w:val="none"/>
        </w:rPr>
        <w:t>项至第</w:t>
      </w:r>
      <w:r>
        <w:rPr>
          <w:color w:val="auto"/>
          <w:highlight w:val="none"/>
        </w:rPr>
        <w:t>3.5.</w:t>
      </w:r>
      <w:r>
        <w:rPr>
          <w:rFonts w:hint="eastAsia"/>
          <w:color w:val="auto"/>
          <w:highlight w:val="none"/>
        </w:rPr>
        <w:t>7项规定的表格和资料应包括联合体各方相关情况。</w:t>
      </w:r>
    </w:p>
    <w:p>
      <w:pPr>
        <w:pStyle w:val="5"/>
        <w:spacing w:line="240" w:lineRule="auto"/>
        <w:ind w:firstLine="137"/>
        <w:rPr>
          <w:rFonts w:ascii="Times New Roman"/>
          <w:color w:val="auto"/>
          <w:highlight w:val="none"/>
        </w:rPr>
      </w:pPr>
      <w:bookmarkStart w:id="258" w:name="_Toc7275"/>
      <w:r>
        <w:rPr>
          <w:rFonts w:ascii="Times New Roman"/>
          <w:color w:val="auto"/>
          <w:highlight w:val="none"/>
        </w:rPr>
        <w:t xml:space="preserve">3.6 </w:t>
      </w:r>
      <w:r>
        <w:rPr>
          <w:rFonts w:hint="eastAsia" w:ascii="Times New Roman"/>
          <w:color w:val="auto"/>
          <w:highlight w:val="none"/>
        </w:rPr>
        <w:t>备选投标方案</w:t>
      </w:r>
      <w:bookmarkEnd w:id="258"/>
    </w:p>
    <w:p>
      <w:pPr>
        <w:spacing w:line="400" w:lineRule="exact"/>
        <w:ind w:firstLine="420" w:firstLineChars="200"/>
        <w:rPr>
          <w:color w:val="auto"/>
          <w:highlight w:val="none"/>
        </w:rPr>
      </w:pPr>
      <w:r>
        <w:rPr>
          <w:color w:val="auto"/>
          <w:highlight w:val="none"/>
        </w:rPr>
        <w:t>3.6.1 除投标人须知前附表规定允许外，投标人不得递交备选投标方案，否则其投标将被否决。</w:t>
      </w:r>
    </w:p>
    <w:p>
      <w:pPr>
        <w:spacing w:line="400" w:lineRule="exact"/>
        <w:ind w:firstLine="420" w:firstLineChars="200"/>
        <w:rPr>
          <w:color w:val="auto"/>
          <w:highlight w:val="none"/>
        </w:rPr>
      </w:pPr>
      <w:r>
        <w:rPr>
          <w:color w:val="auto"/>
          <w:highlight w:val="none"/>
        </w:rPr>
        <w:t>3.6.2 允许投标人递交备选投标方案的，只有中标人所递交的备选投标方案方可予以考虑。评标委员会认为中标人的备选投标方案优于其按照招标文件要求编制的投标方案的，招标人可以接受该备选投标方案。</w:t>
      </w:r>
    </w:p>
    <w:p>
      <w:pPr>
        <w:spacing w:line="400" w:lineRule="exact"/>
        <w:ind w:firstLine="420" w:firstLineChars="200"/>
        <w:rPr>
          <w:color w:val="auto"/>
          <w:highlight w:val="none"/>
        </w:rPr>
      </w:pPr>
      <w:r>
        <w:rPr>
          <w:color w:val="auto"/>
          <w:highlight w:val="none"/>
        </w:rPr>
        <w:t>3.6.3 投标人提供两个或两个以上投标报价，或者在投标文件中提供一个报价，但同时提供两个或两个以上</w:t>
      </w:r>
      <w:bookmarkStart w:id="259" w:name="_Toc144974518"/>
      <w:bookmarkStart w:id="260" w:name="_Toc29902"/>
      <w:bookmarkStart w:id="261" w:name="_Toc247527575"/>
      <w:bookmarkStart w:id="262" w:name="_Toc384308232"/>
      <w:bookmarkStart w:id="263" w:name="_Toc300834971"/>
      <w:bookmarkStart w:id="264" w:name="_Toc369531538"/>
      <w:bookmarkStart w:id="265" w:name="_Toc152045550"/>
      <w:bookmarkStart w:id="266" w:name="_Toc361508607"/>
      <w:bookmarkStart w:id="267" w:name="_Toc152042326"/>
      <w:bookmarkStart w:id="268" w:name="_Toc352691495"/>
      <w:bookmarkStart w:id="269" w:name="_Toc247513974"/>
      <w:r>
        <w:rPr>
          <w:rFonts w:hint="eastAsia"/>
          <w:color w:val="auto"/>
          <w:highlight w:val="none"/>
        </w:rPr>
        <w:t>勘察设计方案</w:t>
      </w:r>
      <w:r>
        <w:rPr>
          <w:color w:val="auto"/>
          <w:highlight w:val="none"/>
        </w:rPr>
        <w:t>的</w:t>
      </w:r>
      <w:bookmarkEnd w:id="259"/>
      <w:bookmarkEnd w:id="260"/>
      <w:bookmarkEnd w:id="261"/>
      <w:bookmarkEnd w:id="262"/>
      <w:bookmarkEnd w:id="263"/>
      <w:bookmarkEnd w:id="264"/>
      <w:bookmarkEnd w:id="265"/>
      <w:bookmarkEnd w:id="266"/>
      <w:bookmarkEnd w:id="267"/>
      <w:bookmarkEnd w:id="268"/>
      <w:bookmarkEnd w:id="269"/>
      <w:r>
        <w:rPr>
          <w:color w:val="auto"/>
          <w:highlight w:val="none"/>
        </w:rPr>
        <w:t>，视为提供备选方案。</w:t>
      </w:r>
    </w:p>
    <w:p>
      <w:pPr>
        <w:pStyle w:val="5"/>
        <w:spacing w:line="240" w:lineRule="auto"/>
        <w:ind w:firstLine="137"/>
        <w:rPr>
          <w:rFonts w:ascii="Times New Roman"/>
          <w:color w:val="auto"/>
          <w:highlight w:val="none"/>
        </w:rPr>
      </w:pPr>
      <w:bookmarkStart w:id="270" w:name="_Toc31894"/>
      <w:r>
        <w:rPr>
          <w:rFonts w:ascii="Times New Roman"/>
          <w:color w:val="auto"/>
          <w:highlight w:val="none"/>
        </w:rPr>
        <w:t xml:space="preserve">3.7 </w:t>
      </w:r>
      <w:r>
        <w:rPr>
          <w:rFonts w:hint="eastAsia" w:ascii="Times New Roman"/>
          <w:color w:val="auto"/>
          <w:highlight w:val="none"/>
        </w:rPr>
        <w:t>投标文件的编制</w:t>
      </w:r>
      <w:bookmarkEnd w:id="270"/>
    </w:p>
    <w:p>
      <w:pPr>
        <w:spacing w:line="400" w:lineRule="exact"/>
        <w:ind w:firstLine="420" w:firstLineChars="20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3.7.1投标文件应按第六章“投标文件格式”进行编写，如有必要，可以增加附页，作为投标文件的组成部分。其中，投标函附录在满足招标文件实质性要求的基础上，可以提出比招标文件要求更有利于招标人的承诺。</w:t>
      </w:r>
    </w:p>
    <w:p>
      <w:pPr>
        <w:spacing w:line="400" w:lineRule="exact"/>
        <w:ind w:firstLine="420" w:firstLineChars="20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3.7.2投标文件应当对招标文件有关工期、投标有效期、质量要求、技术标准和要求、招标范围等实质性内容作出响应。</w:t>
      </w:r>
    </w:p>
    <w:p>
      <w:pPr>
        <w:spacing w:line="400" w:lineRule="exact"/>
        <w:ind w:firstLine="420" w:firstLineChars="20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3.7.3投标文件应用不褪色的材料书写或打印，由投标人的法定代表人或其委托代理人签字并盖单位章。委托代理人签字的，投标文件应附法定代表人签署的授权委托书。投标文件应尽量避免涂改、行间插字或删除。如果出现上述情况，改动之处应加盖单位章或由投标人的法定代表人或其授权的代理人签字确认。签字或盖章的具体要求见投标人须知前附表。</w:t>
      </w:r>
    </w:p>
    <w:p>
      <w:pPr>
        <w:spacing w:line="400" w:lineRule="exact"/>
        <w:ind w:firstLine="420" w:firstLineChars="20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3.7.4投标文件份数见投标人须知前附表。正本和副本的封面上应清楚地标记“正本”或“副本”的字样。当副本和正本不一致时，以正本为准。</w:t>
      </w:r>
    </w:p>
    <w:p>
      <w:pPr>
        <w:spacing w:line="400" w:lineRule="exact"/>
        <w:ind w:firstLine="420" w:firstLineChars="20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3.7.5投标文件的正本与副本应分别装订成册，并编制目录，具体装订要求见投标人须知前附表规定。</w:t>
      </w:r>
    </w:p>
    <w:p>
      <w:pPr>
        <w:spacing w:line="400" w:lineRule="exact"/>
        <w:ind w:firstLine="420" w:firstLineChars="200"/>
        <w:rPr>
          <w:rFonts w:hint="eastAsia"/>
          <w:color w:val="auto"/>
          <w:highlight w:val="none"/>
        </w:rPr>
      </w:pPr>
      <w:r>
        <w:rPr>
          <w:rFonts w:hint="eastAsia" w:hAnsi="宋体"/>
          <w:color w:val="auto"/>
          <w:highlight w:val="none"/>
        </w:rPr>
        <w:t>3.7.6 投标文件的</w:t>
      </w:r>
      <w:r>
        <w:rPr>
          <w:rFonts w:hAnsi="宋体"/>
          <w:b/>
          <w:bCs/>
          <w:color w:val="auto"/>
          <w:szCs w:val="21"/>
          <w:highlight w:val="none"/>
        </w:rPr>
        <w:t>电子版本</w:t>
      </w:r>
      <w:r>
        <w:rPr>
          <w:rFonts w:hint="eastAsia" w:hAnsi="宋体"/>
          <w:b/>
          <w:bCs/>
          <w:color w:val="auto"/>
          <w:szCs w:val="21"/>
          <w:highlight w:val="none"/>
        </w:rPr>
        <w:t>（</w:t>
      </w:r>
      <w:r>
        <w:rPr>
          <w:rFonts w:hint="eastAsia" w:hAnsi="宋体"/>
          <w:color w:val="auto"/>
          <w:szCs w:val="21"/>
          <w:highlight w:val="none"/>
        </w:rPr>
        <w:t>光盘或</w:t>
      </w:r>
      <w:r>
        <w:rPr>
          <w:rFonts w:hint="eastAsia" w:hAnsi="宋体"/>
          <w:color w:val="auto"/>
          <w:szCs w:val="21"/>
          <w:highlight w:val="none"/>
          <w:u w:val="single"/>
        </w:rPr>
        <w:t>U盘</w:t>
      </w:r>
      <w:r>
        <w:rPr>
          <w:rFonts w:hint="eastAsia" w:hAnsi="宋体"/>
          <w:b/>
          <w:bCs/>
          <w:color w:val="auto"/>
          <w:szCs w:val="21"/>
          <w:highlight w:val="none"/>
        </w:rPr>
        <w:t>）</w:t>
      </w:r>
      <w:r>
        <w:rPr>
          <w:rFonts w:hint="eastAsia" w:hAnsi="宋体"/>
          <w:color w:val="auto"/>
          <w:highlight w:val="none"/>
        </w:rPr>
        <w:t>内容与纸质版投标文件完全一致，建立目录并分级，</w:t>
      </w:r>
      <w:r>
        <w:rPr>
          <w:rFonts w:hint="eastAsia" w:hAnsi="宋体"/>
          <w:color w:val="auto"/>
          <w:highlight w:val="none"/>
          <w:u w:val="single"/>
        </w:rPr>
        <w:t>应保证目录清晰、内容完整，文件仅限于word、Excel、CAD等常用软件格式，且同时提供盖章后的投标文件（商务文件、</w:t>
      </w:r>
      <w:r>
        <w:rPr>
          <w:rFonts w:hint="eastAsia" w:hAnsi="宋体"/>
          <w:color w:val="auto"/>
          <w:highlight w:val="none"/>
        </w:rPr>
        <w:t>技术文件、投标函及报价书）扫描件（仅限于PDF版），当电子版本与纸质版存在不一致时以纸质版为准。</w:t>
      </w:r>
    </w:p>
    <w:p>
      <w:pPr>
        <w:pStyle w:val="4"/>
        <w:rPr>
          <w:rFonts w:ascii="Times New Roman" w:hAnsi="Times New Roman"/>
          <w:color w:val="auto"/>
          <w:highlight w:val="none"/>
        </w:rPr>
      </w:pPr>
      <w:bookmarkStart w:id="271" w:name="_Toc17151"/>
      <w:r>
        <w:rPr>
          <w:rFonts w:ascii="Times New Roman" w:hAnsi="Times New Roman"/>
          <w:color w:val="auto"/>
          <w:highlight w:val="none"/>
        </w:rPr>
        <w:t xml:space="preserve">4. </w:t>
      </w:r>
      <w:r>
        <w:rPr>
          <w:rFonts w:hint="eastAsia" w:ascii="Times New Roman" w:hAnsi="Times New Roman"/>
          <w:color w:val="auto"/>
          <w:highlight w:val="none"/>
        </w:rPr>
        <w:t>投标</w:t>
      </w:r>
      <w:bookmarkEnd w:id="271"/>
    </w:p>
    <w:p>
      <w:pPr>
        <w:pStyle w:val="5"/>
        <w:spacing w:line="240" w:lineRule="auto"/>
        <w:ind w:firstLine="137"/>
        <w:rPr>
          <w:rFonts w:ascii="Times New Roman"/>
          <w:color w:val="auto"/>
          <w:highlight w:val="none"/>
        </w:rPr>
      </w:pPr>
      <w:bookmarkStart w:id="272" w:name="_Toc27205"/>
      <w:r>
        <w:rPr>
          <w:rFonts w:ascii="Times New Roman"/>
          <w:color w:val="auto"/>
          <w:highlight w:val="none"/>
        </w:rPr>
        <w:t xml:space="preserve">4.1 </w:t>
      </w:r>
      <w:r>
        <w:rPr>
          <w:rFonts w:hint="eastAsia" w:ascii="Times New Roman"/>
          <w:color w:val="auto"/>
          <w:highlight w:val="none"/>
        </w:rPr>
        <w:t>投标文件的密封和标记</w:t>
      </w:r>
      <w:bookmarkEnd w:id="272"/>
    </w:p>
    <w:p>
      <w:pPr>
        <w:spacing w:line="400" w:lineRule="exact"/>
        <w:ind w:firstLine="420" w:firstLineChars="200"/>
        <w:rPr>
          <w:rFonts w:hint="eastAsia" w:ascii="Times New Roman" w:hAnsi="Times New Roman" w:eastAsia="宋体" w:cs="Times New Roman"/>
          <w:color w:val="auto"/>
          <w:highlight w:val="none"/>
        </w:rPr>
      </w:pPr>
      <w:bookmarkStart w:id="273" w:name="_Toc15182"/>
      <w:r>
        <w:rPr>
          <w:rFonts w:hint="eastAsia" w:ascii="Times New Roman" w:hAnsi="Times New Roman" w:eastAsia="宋体" w:cs="Times New Roman"/>
          <w:color w:val="auto"/>
          <w:highlight w:val="none"/>
        </w:rPr>
        <w:t>4.1.1密封和标记要求见投标人须知前附表。</w:t>
      </w:r>
    </w:p>
    <w:p>
      <w:pPr>
        <w:spacing w:line="400" w:lineRule="exact"/>
        <w:ind w:firstLine="420" w:firstLineChars="20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4.1.2封套上应写明的其他内容见投标人须知前附表。</w:t>
      </w:r>
    </w:p>
    <w:p>
      <w:pPr>
        <w:spacing w:line="400" w:lineRule="exact"/>
        <w:ind w:firstLine="420" w:firstLineChars="20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4.1.3 未按本章第4.1.1 项或第4.1.2 项要求密封和加写标记的投标文件，招标人不予受理。</w:t>
      </w:r>
    </w:p>
    <w:p>
      <w:pPr>
        <w:spacing w:line="400" w:lineRule="exact"/>
        <w:ind w:firstLine="420" w:firstLineChars="20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4.1.4 招标人不承担投标文件错放或提前开封的责任，标段错放、混放的投标文件，招标人不予受理。</w:t>
      </w:r>
    </w:p>
    <w:p>
      <w:pPr>
        <w:pStyle w:val="5"/>
        <w:spacing w:line="240" w:lineRule="auto"/>
        <w:ind w:firstLine="137"/>
        <w:rPr>
          <w:rFonts w:ascii="Times New Roman"/>
          <w:color w:val="auto"/>
          <w:highlight w:val="none"/>
        </w:rPr>
      </w:pPr>
      <w:r>
        <w:rPr>
          <w:rFonts w:ascii="Times New Roman"/>
          <w:color w:val="auto"/>
          <w:highlight w:val="none"/>
        </w:rPr>
        <w:t xml:space="preserve">4.2 </w:t>
      </w:r>
      <w:r>
        <w:rPr>
          <w:rFonts w:hint="eastAsia" w:ascii="Times New Roman"/>
          <w:color w:val="auto"/>
          <w:highlight w:val="none"/>
        </w:rPr>
        <w:t>投标文件的递交</w:t>
      </w:r>
      <w:bookmarkEnd w:id="273"/>
    </w:p>
    <w:p>
      <w:pPr>
        <w:spacing w:line="400" w:lineRule="exact"/>
        <w:ind w:firstLine="420" w:firstLineChars="200"/>
        <w:rPr>
          <w:rFonts w:hint="eastAsia" w:ascii="Times New Roman" w:hAnsi="宋体" w:eastAsia="宋体" w:cs="Times New Roman"/>
          <w:color w:val="auto"/>
          <w:highlight w:val="none"/>
        </w:rPr>
      </w:pPr>
      <w:bookmarkStart w:id="274" w:name="_Toc4227"/>
      <w:r>
        <w:rPr>
          <w:rFonts w:hint="eastAsia" w:ascii="Times New Roman" w:hAnsi="宋体" w:eastAsia="宋体" w:cs="Times New Roman"/>
          <w:color w:val="auto"/>
          <w:highlight w:val="none"/>
        </w:rPr>
        <w:t>4.2.1 投标人应在投标人须知前附表规定的投标截止时间前递交投标文件。</w:t>
      </w:r>
    </w:p>
    <w:p>
      <w:pPr>
        <w:spacing w:line="400" w:lineRule="exact"/>
        <w:ind w:firstLine="420" w:firstLineChars="200"/>
        <w:rPr>
          <w:rFonts w:hint="eastAsia" w:ascii="Times New Roman" w:hAnsi="宋体" w:eastAsia="宋体" w:cs="Times New Roman"/>
          <w:color w:val="auto"/>
          <w:highlight w:val="none"/>
        </w:rPr>
      </w:pPr>
      <w:r>
        <w:rPr>
          <w:rFonts w:hint="eastAsia" w:ascii="Times New Roman" w:hAnsi="宋体" w:eastAsia="宋体" w:cs="Times New Roman"/>
          <w:color w:val="auto"/>
          <w:highlight w:val="none"/>
        </w:rPr>
        <w:t>4.2.2 投标人递交投标文件的地点：见投标人须知前附表。</w:t>
      </w:r>
    </w:p>
    <w:p>
      <w:pPr>
        <w:spacing w:line="400" w:lineRule="exact"/>
        <w:ind w:firstLine="420" w:firstLineChars="200"/>
        <w:rPr>
          <w:rFonts w:hint="eastAsia" w:ascii="Times New Roman" w:hAnsi="宋体" w:eastAsia="宋体" w:cs="Times New Roman"/>
          <w:color w:val="auto"/>
          <w:highlight w:val="none"/>
        </w:rPr>
      </w:pPr>
      <w:r>
        <w:rPr>
          <w:rFonts w:hint="eastAsia" w:ascii="Times New Roman" w:hAnsi="宋体" w:eastAsia="宋体" w:cs="Times New Roman"/>
          <w:color w:val="auto"/>
          <w:highlight w:val="none"/>
        </w:rPr>
        <w:t>4.2.3 除投标人须知前附表另有规定外，投标人所递交的投标文件不予退还。</w:t>
      </w:r>
    </w:p>
    <w:p>
      <w:pPr>
        <w:spacing w:line="400" w:lineRule="exact"/>
        <w:ind w:firstLine="420" w:firstLineChars="200"/>
        <w:rPr>
          <w:rFonts w:hint="eastAsia" w:ascii="Times New Roman" w:hAnsi="宋体" w:eastAsia="宋体" w:cs="Times New Roman"/>
          <w:color w:val="auto"/>
          <w:highlight w:val="none"/>
        </w:rPr>
      </w:pPr>
      <w:r>
        <w:rPr>
          <w:rFonts w:hint="eastAsia" w:ascii="Times New Roman" w:hAnsi="宋体" w:eastAsia="宋体" w:cs="Times New Roman"/>
          <w:color w:val="auto"/>
          <w:highlight w:val="none"/>
        </w:rPr>
        <w:t>4.2.4 投标人递交投标文件的其他要求：具体要求见标人须知前附表。</w:t>
      </w:r>
    </w:p>
    <w:p>
      <w:pPr>
        <w:spacing w:line="400" w:lineRule="exact"/>
        <w:ind w:firstLine="420" w:firstLineChars="200"/>
        <w:rPr>
          <w:rFonts w:hint="eastAsia" w:ascii="Times New Roman" w:hAnsi="宋体" w:eastAsia="宋体" w:cs="Times New Roman"/>
          <w:color w:val="auto"/>
          <w:highlight w:val="none"/>
        </w:rPr>
      </w:pPr>
      <w:r>
        <w:rPr>
          <w:rFonts w:hint="eastAsia" w:ascii="Times New Roman" w:hAnsi="宋体" w:eastAsia="宋体" w:cs="Times New Roman"/>
          <w:color w:val="auto"/>
          <w:highlight w:val="none"/>
        </w:rPr>
        <w:t>4.2.5 逾期送达的或者未送达指定地点的投标文件，招标人不予受理。</w:t>
      </w:r>
    </w:p>
    <w:p>
      <w:pPr>
        <w:spacing w:line="400" w:lineRule="exact"/>
        <w:ind w:firstLine="420" w:firstLineChars="200"/>
        <w:rPr>
          <w:rFonts w:hint="eastAsia" w:ascii="Times New Roman" w:hAnsi="宋体" w:eastAsia="宋体" w:cs="Times New Roman"/>
          <w:color w:val="auto"/>
          <w:highlight w:val="none"/>
        </w:rPr>
      </w:pPr>
      <w:r>
        <w:rPr>
          <w:rFonts w:hint="eastAsia" w:ascii="Times New Roman" w:hAnsi="宋体" w:eastAsia="宋体" w:cs="Times New Roman"/>
          <w:color w:val="auto"/>
          <w:highlight w:val="none"/>
        </w:rPr>
        <w:t>4.2.6 其他：  /  。</w:t>
      </w:r>
    </w:p>
    <w:p>
      <w:pPr>
        <w:pStyle w:val="5"/>
        <w:spacing w:line="240" w:lineRule="auto"/>
        <w:ind w:firstLine="137"/>
        <w:rPr>
          <w:rFonts w:ascii="Times New Roman"/>
          <w:color w:val="auto"/>
          <w:highlight w:val="none"/>
        </w:rPr>
      </w:pPr>
      <w:r>
        <w:rPr>
          <w:rFonts w:ascii="Times New Roman"/>
          <w:color w:val="auto"/>
          <w:highlight w:val="none"/>
        </w:rPr>
        <w:t xml:space="preserve">4.3 </w:t>
      </w:r>
      <w:r>
        <w:rPr>
          <w:rFonts w:hint="eastAsia" w:ascii="Times New Roman"/>
          <w:color w:val="auto"/>
          <w:highlight w:val="none"/>
        </w:rPr>
        <w:t>投标文件的修改与撤回</w:t>
      </w:r>
      <w:bookmarkEnd w:id="274"/>
    </w:p>
    <w:p>
      <w:pPr>
        <w:spacing w:line="400" w:lineRule="exact"/>
        <w:ind w:firstLine="420" w:firstLineChars="200"/>
        <w:rPr>
          <w:color w:val="auto"/>
          <w:highlight w:val="none"/>
        </w:rPr>
      </w:pPr>
      <w:r>
        <w:rPr>
          <w:color w:val="auto"/>
          <w:highlight w:val="none"/>
        </w:rPr>
        <w:t>4.3.1 在本章第4.2.1项规定的投标截止时间前，投标人可以修改或撤回已递交的投标文件，但应以书面形式通知招标人。</w:t>
      </w:r>
    </w:p>
    <w:p>
      <w:pPr>
        <w:spacing w:line="400" w:lineRule="exact"/>
        <w:ind w:firstLine="420" w:firstLineChars="200"/>
        <w:rPr>
          <w:color w:val="auto"/>
          <w:highlight w:val="none"/>
        </w:rPr>
      </w:pPr>
      <w:r>
        <w:rPr>
          <w:color w:val="auto"/>
          <w:highlight w:val="none"/>
        </w:rPr>
        <w:t>4.3.2 投标人撤回投标文件的，招标人自收到投标人书面撤回通知之日起5日内退还已收取的投标保证金。</w:t>
      </w:r>
    </w:p>
    <w:p>
      <w:pPr>
        <w:spacing w:line="400" w:lineRule="exact"/>
        <w:ind w:firstLine="420" w:firstLineChars="200"/>
        <w:rPr>
          <w:rFonts w:hint="eastAsia"/>
          <w:color w:val="auto"/>
          <w:highlight w:val="none"/>
        </w:rPr>
      </w:pPr>
      <w:r>
        <w:rPr>
          <w:rFonts w:hint="eastAsia"/>
          <w:color w:val="auto"/>
          <w:highlight w:val="none"/>
        </w:rPr>
        <w:t>4.3.3在递交投标文件截止时间后，投标人不得补充、修改和更换投标文件。</w:t>
      </w:r>
    </w:p>
    <w:p>
      <w:pPr>
        <w:spacing w:line="400" w:lineRule="exact"/>
        <w:ind w:firstLine="420" w:firstLineChars="200"/>
        <w:rPr>
          <w:rFonts w:hint="eastAsia"/>
          <w:color w:val="auto"/>
          <w:highlight w:val="none"/>
        </w:rPr>
      </w:pPr>
      <w:r>
        <w:rPr>
          <w:rFonts w:hint="eastAsia"/>
          <w:color w:val="auto"/>
          <w:highlight w:val="none"/>
        </w:rPr>
        <w:t>4.3.4 在递交投标文件截止时间后，投标人在投标文件格式中规定的有效期终止日前，投标人不能撤回投标文件，否则其投标担保将不予退还，且招标人有权就其撤回行为报告主管部门载入不良诚信记录。</w:t>
      </w:r>
    </w:p>
    <w:p>
      <w:pPr>
        <w:spacing w:line="400" w:lineRule="exact"/>
        <w:ind w:firstLine="420" w:firstLineChars="200"/>
        <w:rPr>
          <w:rFonts w:hint="eastAsia"/>
          <w:color w:val="auto"/>
          <w:highlight w:val="none"/>
        </w:rPr>
      </w:pPr>
      <w:r>
        <w:rPr>
          <w:rFonts w:hint="eastAsia"/>
          <w:color w:val="auto"/>
          <w:highlight w:val="none"/>
        </w:rPr>
        <w:t>4.3.5 其他：</w:t>
      </w:r>
      <w:r>
        <w:rPr>
          <w:rFonts w:hint="eastAsia"/>
          <w:color w:val="auto"/>
          <w:highlight w:val="none"/>
          <w:u w:val="single"/>
        </w:rPr>
        <w:t xml:space="preserve">    /    </w:t>
      </w:r>
      <w:r>
        <w:rPr>
          <w:rFonts w:hint="eastAsia"/>
          <w:color w:val="auto"/>
          <w:highlight w:val="none"/>
        </w:rPr>
        <w:t xml:space="preserve"> 。</w:t>
      </w:r>
    </w:p>
    <w:p>
      <w:pPr>
        <w:pStyle w:val="4"/>
        <w:rPr>
          <w:rFonts w:ascii="Times New Roman" w:hAnsi="Times New Roman"/>
          <w:color w:val="auto"/>
          <w:highlight w:val="none"/>
        </w:rPr>
      </w:pPr>
      <w:bookmarkStart w:id="275" w:name="_Toc21439"/>
      <w:r>
        <w:rPr>
          <w:rFonts w:ascii="Times New Roman" w:hAnsi="Times New Roman"/>
          <w:color w:val="auto"/>
          <w:highlight w:val="none"/>
        </w:rPr>
        <w:t xml:space="preserve">5. </w:t>
      </w:r>
      <w:r>
        <w:rPr>
          <w:rFonts w:hint="eastAsia" w:ascii="Times New Roman" w:hAnsi="Times New Roman"/>
          <w:color w:val="auto"/>
          <w:highlight w:val="none"/>
        </w:rPr>
        <w:t>开标</w:t>
      </w:r>
      <w:bookmarkEnd w:id="275"/>
    </w:p>
    <w:p>
      <w:pPr>
        <w:pStyle w:val="5"/>
        <w:spacing w:line="240" w:lineRule="auto"/>
        <w:ind w:firstLine="137"/>
        <w:rPr>
          <w:rFonts w:ascii="Times New Roman"/>
          <w:color w:val="auto"/>
          <w:highlight w:val="none"/>
        </w:rPr>
      </w:pPr>
      <w:bookmarkStart w:id="276" w:name="_Toc29408"/>
      <w:r>
        <w:rPr>
          <w:rFonts w:ascii="Times New Roman"/>
          <w:color w:val="auto"/>
          <w:highlight w:val="none"/>
        </w:rPr>
        <w:t xml:space="preserve">5.1 </w:t>
      </w:r>
      <w:r>
        <w:rPr>
          <w:rFonts w:hint="eastAsia" w:ascii="Times New Roman"/>
          <w:color w:val="auto"/>
          <w:highlight w:val="none"/>
        </w:rPr>
        <w:t>开标时间和地点</w:t>
      </w:r>
      <w:bookmarkEnd w:id="276"/>
    </w:p>
    <w:p>
      <w:pPr>
        <w:ind w:firstLine="420" w:firstLineChars="200"/>
        <w:rPr>
          <w:rFonts w:hint="eastAsia" w:ascii="宋体" w:hAnsi="宋体"/>
          <w:bCs/>
          <w:color w:val="auto"/>
          <w:szCs w:val="21"/>
          <w:highlight w:val="none"/>
        </w:rPr>
      </w:pPr>
      <w:bookmarkStart w:id="277" w:name="_Toc369"/>
      <w:r>
        <w:rPr>
          <w:rFonts w:hint="eastAsia" w:ascii="宋体" w:hAnsi="宋体"/>
          <w:bCs/>
          <w:color w:val="auto"/>
          <w:szCs w:val="21"/>
          <w:highlight w:val="none"/>
        </w:rPr>
        <w:t>见“投标人须知”5.1。</w:t>
      </w:r>
    </w:p>
    <w:p>
      <w:pPr>
        <w:pStyle w:val="5"/>
        <w:spacing w:line="240" w:lineRule="auto"/>
        <w:ind w:firstLine="137"/>
        <w:rPr>
          <w:rFonts w:ascii="Times New Roman"/>
          <w:color w:val="auto"/>
          <w:highlight w:val="none"/>
        </w:rPr>
      </w:pPr>
      <w:r>
        <w:rPr>
          <w:rFonts w:ascii="Times New Roman"/>
          <w:color w:val="auto"/>
          <w:highlight w:val="none"/>
        </w:rPr>
        <w:t xml:space="preserve">5.2 </w:t>
      </w:r>
      <w:r>
        <w:rPr>
          <w:rFonts w:hint="eastAsia" w:ascii="Times New Roman"/>
          <w:color w:val="auto"/>
          <w:highlight w:val="none"/>
        </w:rPr>
        <w:t>开标程序</w:t>
      </w:r>
      <w:bookmarkEnd w:id="277"/>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主持人按下列程序进行开标：</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1</w:t>
      </w:r>
      <w:r>
        <w:rPr>
          <w:rFonts w:hint="eastAsia" w:ascii="宋体" w:hAnsi="宋体"/>
          <w:color w:val="auto"/>
          <w:szCs w:val="21"/>
          <w:highlight w:val="none"/>
        </w:rPr>
        <w:t>）宣布开标纪律；</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2</w:t>
      </w:r>
      <w:r>
        <w:rPr>
          <w:rFonts w:hint="eastAsia" w:ascii="宋体" w:hAnsi="宋体"/>
          <w:color w:val="auto"/>
          <w:szCs w:val="21"/>
          <w:highlight w:val="none"/>
        </w:rPr>
        <w:t>）公布在投标截止时间前递交投标文件的投标人名称，并点名确认投标人是否派人到场；</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）宣布开标人、唱标人、记录人、监标人等有关人员姓名；</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）由投标人或者其推选的代表检查投标文件的密封情况；</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5</w:t>
      </w:r>
      <w:r>
        <w:rPr>
          <w:rFonts w:hint="eastAsia" w:ascii="宋体" w:hAnsi="宋体"/>
          <w:color w:val="auto"/>
          <w:szCs w:val="21"/>
          <w:highlight w:val="none"/>
        </w:rPr>
        <w:t>）按照递交投标文件的先后顺序确定并宣布投标文件开标顺序；</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6</w:t>
      </w:r>
      <w:r>
        <w:rPr>
          <w:rFonts w:hint="eastAsia" w:ascii="宋体" w:hAnsi="宋体"/>
          <w:color w:val="auto"/>
          <w:szCs w:val="21"/>
          <w:highlight w:val="none"/>
        </w:rPr>
        <w:t>）设有标底的，公布标底；</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7</w:t>
      </w:r>
      <w:r>
        <w:rPr>
          <w:rFonts w:hint="eastAsia" w:ascii="宋体" w:hAnsi="宋体"/>
          <w:color w:val="auto"/>
          <w:szCs w:val="21"/>
          <w:highlight w:val="none"/>
        </w:rPr>
        <w:t>）按照宣布的开标顺序当众开标，公布投标人名称、标段名称、投标报价、</w:t>
      </w:r>
      <w:r>
        <w:rPr>
          <w:rFonts w:hint="eastAsia" w:ascii="宋体" w:hAnsi="宋体"/>
          <w:color w:val="auto"/>
          <w:szCs w:val="21"/>
          <w:highlight w:val="none"/>
          <w:u w:val="single"/>
        </w:rPr>
        <w:t>投标保证金的递交情况、质量目标、工期及其他内容</w:t>
      </w:r>
      <w:r>
        <w:rPr>
          <w:rFonts w:hint="eastAsia" w:ascii="宋体" w:hAnsi="宋体"/>
          <w:color w:val="auto"/>
          <w:szCs w:val="21"/>
          <w:highlight w:val="none"/>
        </w:rPr>
        <w:t>，并记录在案；</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8</w:t>
      </w:r>
      <w:r>
        <w:rPr>
          <w:rFonts w:hint="eastAsia" w:ascii="宋体" w:hAnsi="宋体"/>
          <w:color w:val="auto"/>
          <w:szCs w:val="21"/>
          <w:highlight w:val="none"/>
        </w:rPr>
        <w:t>）投标人代表、招标人代表、记录人等有关人员在开标记录上签字确认；</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9</w:t>
      </w:r>
      <w:r>
        <w:rPr>
          <w:rFonts w:hint="eastAsia" w:ascii="宋体" w:hAnsi="宋体"/>
          <w:color w:val="auto"/>
          <w:szCs w:val="21"/>
          <w:highlight w:val="none"/>
        </w:rPr>
        <w:t>）开标结束。</w:t>
      </w:r>
    </w:p>
    <w:p>
      <w:pPr>
        <w:spacing w:line="360" w:lineRule="auto"/>
        <w:rPr>
          <w:rFonts w:hint="eastAsia" w:ascii="宋体" w:hAnsi="宋体" w:cs="宋体"/>
          <w:b/>
          <w:color w:val="auto"/>
          <w:szCs w:val="21"/>
          <w:highlight w:val="none"/>
        </w:rPr>
      </w:pPr>
      <w:bookmarkStart w:id="278" w:name="_Toc482286073"/>
      <w:bookmarkStart w:id="279" w:name="_Toc482287918"/>
      <w:bookmarkStart w:id="280" w:name="_Toc483324368"/>
      <w:r>
        <w:rPr>
          <w:rFonts w:hint="eastAsia" w:ascii="宋体" w:hAnsi="宋体" w:cs="宋体"/>
          <w:b/>
          <w:color w:val="auto"/>
          <w:szCs w:val="21"/>
          <w:highlight w:val="none"/>
        </w:rPr>
        <w:t>5.3 开标异议</w:t>
      </w:r>
      <w:bookmarkEnd w:id="278"/>
      <w:bookmarkEnd w:id="279"/>
      <w:bookmarkEnd w:id="280"/>
    </w:p>
    <w:p>
      <w:pPr>
        <w:ind w:firstLine="420" w:firstLineChars="200"/>
        <w:rPr>
          <w:rFonts w:hint="eastAsia" w:ascii="宋体" w:hAnsi="宋体"/>
          <w:bCs/>
          <w:color w:val="auto"/>
          <w:sz w:val="24"/>
          <w:szCs w:val="24"/>
          <w:highlight w:val="none"/>
        </w:rPr>
      </w:pPr>
      <w:r>
        <w:rPr>
          <w:rFonts w:hint="eastAsia" w:ascii="宋体" w:hAnsi="宋体" w:cs="宋体"/>
          <w:color w:val="auto"/>
          <w:szCs w:val="21"/>
          <w:highlight w:val="none"/>
        </w:rPr>
        <w:t>投标人对开标有异议的，应当在开标现场提出，招标人当场作出答复，并制作记录</w:t>
      </w:r>
    </w:p>
    <w:p>
      <w:pPr>
        <w:spacing w:line="360" w:lineRule="auto"/>
        <w:ind w:firstLine="420" w:firstLineChars="200"/>
        <w:rPr>
          <w:rFonts w:hint="eastAsia" w:ascii="宋体" w:hAnsi="宋体"/>
          <w:color w:val="auto"/>
          <w:szCs w:val="21"/>
          <w:highlight w:val="none"/>
        </w:rPr>
      </w:pPr>
    </w:p>
    <w:p>
      <w:pPr>
        <w:pStyle w:val="4"/>
        <w:rPr>
          <w:rFonts w:ascii="Times New Roman" w:hAnsi="Times New Roman"/>
          <w:color w:val="auto"/>
          <w:highlight w:val="none"/>
        </w:rPr>
      </w:pPr>
      <w:bookmarkStart w:id="281" w:name="_Toc13670"/>
      <w:r>
        <w:rPr>
          <w:rFonts w:ascii="Times New Roman" w:hAnsi="Times New Roman"/>
          <w:color w:val="auto"/>
          <w:highlight w:val="none"/>
        </w:rPr>
        <w:t xml:space="preserve">6. </w:t>
      </w:r>
      <w:r>
        <w:rPr>
          <w:rFonts w:hint="eastAsia" w:ascii="Times New Roman" w:hAnsi="Times New Roman"/>
          <w:color w:val="auto"/>
          <w:highlight w:val="none"/>
        </w:rPr>
        <w:t>评标</w:t>
      </w:r>
      <w:bookmarkEnd w:id="281"/>
    </w:p>
    <w:p>
      <w:pPr>
        <w:pStyle w:val="5"/>
        <w:spacing w:line="240" w:lineRule="auto"/>
        <w:ind w:firstLine="137"/>
        <w:rPr>
          <w:rFonts w:ascii="Times New Roman"/>
          <w:color w:val="auto"/>
          <w:highlight w:val="none"/>
        </w:rPr>
      </w:pPr>
      <w:bookmarkStart w:id="282" w:name="_Toc16077"/>
      <w:r>
        <w:rPr>
          <w:rFonts w:ascii="Times New Roman"/>
          <w:color w:val="auto"/>
          <w:highlight w:val="none"/>
        </w:rPr>
        <w:t xml:space="preserve">6.1 </w:t>
      </w:r>
      <w:r>
        <w:rPr>
          <w:rFonts w:hint="eastAsia" w:ascii="Times New Roman"/>
          <w:color w:val="auto"/>
          <w:highlight w:val="none"/>
        </w:rPr>
        <w:t>评标委员会</w:t>
      </w:r>
      <w:bookmarkEnd w:id="282"/>
    </w:p>
    <w:p>
      <w:pPr>
        <w:spacing w:line="400" w:lineRule="exact"/>
        <w:ind w:firstLine="420" w:firstLineChars="20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pPr>
        <w:spacing w:line="400" w:lineRule="exact"/>
        <w:ind w:firstLine="420" w:firstLineChars="20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评标委员会负责按照招标文件确定的评标标准和方法对投标文件进行评审和比较，承担具体的评标工作、出具评标报告、按有关规定向招标人推荐中标候选人。</w:t>
      </w:r>
    </w:p>
    <w:p>
      <w:pPr>
        <w:spacing w:line="400" w:lineRule="exact"/>
        <w:ind w:firstLine="420" w:firstLineChars="20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评标委员会分别对技术、商务、价格进行评审工作。</w:t>
      </w:r>
    </w:p>
    <w:p>
      <w:pPr>
        <w:spacing w:line="400" w:lineRule="exact"/>
        <w:ind w:firstLine="420" w:firstLineChars="20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6.1.2 评标委员会成员有下列情形之一的，应当回避：</w:t>
      </w:r>
    </w:p>
    <w:p>
      <w:pPr>
        <w:spacing w:line="400" w:lineRule="exact"/>
        <w:ind w:firstLine="420" w:firstLineChars="20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（1）投标人或投标人主要负责人的近亲属；</w:t>
      </w:r>
    </w:p>
    <w:p>
      <w:pPr>
        <w:spacing w:line="400" w:lineRule="exact"/>
        <w:ind w:firstLine="420" w:firstLineChars="20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（2）项目主管部门或者行政监督部门的人员；</w:t>
      </w:r>
    </w:p>
    <w:p>
      <w:pPr>
        <w:spacing w:line="400" w:lineRule="exact"/>
        <w:ind w:firstLine="420" w:firstLineChars="20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（3）与投标人有经济利益关系，可能影响对投标公正评审的；</w:t>
      </w:r>
    </w:p>
    <w:p>
      <w:pPr>
        <w:spacing w:line="400" w:lineRule="exact"/>
        <w:ind w:left="840" w:leftChars="200" w:hanging="420" w:hangingChars="20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（4）曾因在招标、评</w:t>
      </w:r>
      <w:bookmarkStart w:id="283" w:name="_Toc247527580"/>
      <w:bookmarkStart w:id="284" w:name="_Toc384308237"/>
      <w:bookmarkStart w:id="285" w:name="_Toc6230"/>
      <w:bookmarkStart w:id="286" w:name="_Toc369531543"/>
      <w:bookmarkStart w:id="287" w:name="_Toc352691499"/>
      <w:bookmarkStart w:id="288" w:name="_Toc300834976"/>
      <w:bookmarkStart w:id="289" w:name="_Toc144974523"/>
      <w:bookmarkStart w:id="290" w:name="_Toc152045555"/>
      <w:bookmarkStart w:id="291" w:name="_Toc152042331"/>
      <w:bookmarkStart w:id="292" w:name="_Toc361508612"/>
      <w:bookmarkStart w:id="293" w:name="_Toc247513979"/>
      <w:r>
        <w:rPr>
          <w:rFonts w:hint="eastAsia" w:ascii="Times New Roman" w:hAnsi="Times New Roman" w:eastAsia="宋体" w:cs="Times New Roman"/>
          <w:color w:val="auto"/>
          <w:highlight w:val="none"/>
        </w:rPr>
        <w:t>标以及其他</w:t>
      </w:r>
      <w:bookmarkEnd w:id="283"/>
      <w:bookmarkEnd w:id="284"/>
      <w:bookmarkEnd w:id="285"/>
      <w:bookmarkEnd w:id="286"/>
      <w:bookmarkEnd w:id="287"/>
      <w:bookmarkEnd w:id="288"/>
      <w:bookmarkEnd w:id="289"/>
      <w:bookmarkEnd w:id="290"/>
      <w:bookmarkEnd w:id="291"/>
      <w:bookmarkEnd w:id="292"/>
      <w:bookmarkEnd w:id="293"/>
      <w:r>
        <w:rPr>
          <w:rFonts w:hint="eastAsia" w:ascii="Times New Roman" w:hAnsi="Times New Roman" w:eastAsia="宋体" w:cs="Times New Roman"/>
          <w:color w:val="auto"/>
          <w:highlight w:val="none"/>
        </w:rPr>
        <w:t>与</w:t>
      </w:r>
      <w:bookmarkStart w:id="294" w:name="_Toc17703"/>
      <w:bookmarkStart w:id="295" w:name="_Toc384308238"/>
      <w:bookmarkStart w:id="296" w:name="_Toc152042332"/>
      <w:bookmarkStart w:id="297" w:name="_Toc352691500"/>
      <w:bookmarkStart w:id="298" w:name="_Toc247513980"/>
      <w:bookmarkStart w:id="299" w:name="_Toc369531544"/>
      <w:bookmarkStart w:id="300" w:name="_Toc247527581"/>
      <w:bookmarkStart w:id="301" w:name="_Toc144974524"/>
      <w:bookmarkStart w:id="302" w:name="_Toc361508613"/>
      <w:bookmarkStart w:id="303" w:name="_Toc152045556"/>
      <w:bookmarkStart w:id="304" w:name="_Toc300834977"/>
      <w:r>
        <w:rPr>
          <w:rFonts w:hint="eastAsia" w:ascii="Times New Roman" w:hAnsi="Times New Roman" w:eastAsia="宋体" w:cs="Times New Roman"/>
          <w:color w:val="auto"/>
          <w:highlight w:val="none"/>
        </w:rPr>
        <w:t>招标投标有关活动中从事违法行</w:t>
      </w:r>
      <w:bookmarkEnd w:id="294"/>
      <w:bookmarkEnd w:id="295"/>
      <w:bookmarkEnd w:id="296"/>
      <w:bookmarkEnd w:id="297"/>
      <w:bookmarkEnd w:id="298"/>
      <w:bookmarkEnd w:id="299"/>
      <w:bookmarkEnd w:id="300"/>
      <w:bookmarkEnd w:id="301"/>
      <w:bookmarkEnd w:id="302"/>
      <w:bookmarkEnd w:id="303"/>
      <w:bookmarkEnd w:id="304"/>
      <w:r>
        <w:rPr>
          <w:rFonts w:hint="eastAsia" w:ascii="Times New Roman" w:hAnsi="Times New Roman" w:eastAsia="宋体" w:cs="Times New Roman"/>
          <w:color w:val="auto"/>
          <w:highlight w:val="none"/>
        </w:rPr>
        <w:t>为而受过行政处罚或刑事处罚的；</w:t>
      </w:r>
    </w:p>
    <w:p>
      <w:pPr>
        <w:spacing w:line="400" w:lineRule="exact"/>
        <w:ind w:firstLine="718" w:firstLineChars="342"/>
        <w:rPr>
          <w:color w:val="auto"/>
          <w:highlight w:val="none"/>
        </w:rPr>
      </w:pPr>
      <w:r>
        <w:rPr>
          <w:color w:val="auto"/>
          <w:highlight w:val="none"/>
        </w:rPr>
        <w:t>（5）与投标人有其他利害关系。</w:t>
      </w:r>
    </w:p>
    <w:p>
      <w:pPr>
        <w:spacing w:line="400" w:lineRule="exact"/>
        <w:ind w:firstLine="420" w:firstLineChars="200"/>
        <w:rPr>
          <w:color w:val="auto"/>
          <w:highlight w:val="none"/>
        </w:rPr>
      </w:pPr>
      <w:r>
        <w:rPr>
          <w:color w:val="auto"/>
          <w:highlight w:val="none"/>
        </w:rPr>
        <w:t>6.1.3 评标过程中，评标委员会成员有回避事由、擅离职守或者因健康等原因不能继续评标的，招标人有权更换。被更换的评标委员会成员作出的评审结论无效，由更换后的评标委员会成员重新进行评审。</w:t>
      </w:r>
    </w:p>
    <w:p>
      <w:pPr>
        <w:pStyle w:val="5"/>
        <w:spacing w:line="240" w:lineRule="auto"/>
        <w:ind w:firstLine="137"/>
        <w:rPr>
          <w:rFonts w:ascii="Times New Roman"/>
          <w:color w:val="auto"/>
          <w:highlight w:val="none"/>
        </w:rPr>
      </w:pPr>
      <w:bookmarkStart w:id="305" w:name="_Toc24212"/>
      <w:r>
        <w:rPr>
          <w:rFonts w:ascii="Times New Roman"/>
          <w:color w:val="auto"/>
          <w:highlight w:val="none"/>
        </w:rPr>
        <w:t xml:space="preserve">6.2 </w:t>
      </w:r>
      <w:r>
        <w:rPr>
          <w:rFonts w:hint="eastAsia" w:ascii="Times New Roman"/>
          <w:color w:val="auto"/>
          <w:highlight w:val="none"/>
        </w:rPr>
        <w:t>评标原则</w:t>
      </w:r>
      <w:bookmarkEnd w:id="305"/>
    </w:p>
    <w:p>
      <w:pPr>
        <w:spacing w:line="400" w:lineRule="exact"/>
        <w:ind w:firstLine="420" w:firstLineChars="200"/>
        <w:rPr>
          <w:color w:val="auto"/>
          <w:highlight w:val="none"/>
        </w:rPr>
      </w:pPr>
      <w:r>
        <w:rPr>
          <w:color w:val="auto"/>
          <w:highlight w:val="none"/>
        </w:rPr>
        <w:t>评标活动遵循公平、公正、科学和择优的原</w:t>
      </w:r>
      <w:bookmarkStart w:id="306" w:name="_Toc300834978"/>
      <w:bookmarkStart w:id="307" w:name="_Toc384308239"/>
      <w:bookmarkStart w:id="308" w:name="_Toc361508614"/>
      <w:bookmarkStart w:id="309" w:name="_Toc247513981"/>
      <w:bookmarkStart w:id="310" w:name="_Toc18949"/>
      <w:bookmarkStart w:id="311" w:name="_Toc369531545"/>
      <w:bookmarkStart w:id="312" w:name="_Toc352691501"/>
      <w:bookmarkStart w:id="313" w:name="_Toc247527582"/>
      <w:bookmarkStart w:id="314" w:name="_Toc152042333"/>
      <w:bookmarkStart w:id="315" w:name="_Toc152045557"/>
      <w:bookmarkStart w:id="316" w:name="_Toc144974525"/>
      <w:r>
        <w:rPr>
          <w:color w:val="auto"/>
          <w:highlight w:val="none"/>
        </w:rPr>
        <w:t>则。</w:t>
      </w:r>
    </w:p>
    <w:p>
      <w:pPr>
        <w:pStyle w:val="5"/>
        <w:spacing w:line="240" w:lineRule="auto"/>
        <w:ind w:firstLine="137"/>
        <w:rPr>
          <w:rFonts w:ascii="Times New Roman"/>
          <w:color w:val="auto"/>
          <w:highlight w:val="none"/>
        </w:rPr>
      </w:pPr>
      <w:bookmarkStart w:id="317" w:name="_Toc22689"/>
      <w:r>
        <w:rPr>
          <w:rFonts w:ascii="Times New Roman"/>
          <w:color w:val="auto"/>
          <w:highlight w:val="none"/>
        </w:rPr>
        <w:t xml:space="preserve">6.3 </w:t>
      </w:r>
      <w:r>
        <w:rPr>
          <w:rFonts w:hint="eastAsia" w:ascii="Times New Roman"/>
          <w:color w:val="auto"/>
          <w:highlight w:val="none"/>
        </w:rPr>
        <w:t>评标</w:t>
      </w:r>
      <w:bookmarkEnd w:id="317"/>
    </w:p>
    <w:p>
      <w:pPr>
        <w:spacing w:line="400" w:lineRule="exact"/>
        <w:ind w:firstLine="420" w:firstLineChars="200"/>
        <w:rPr>
          <w:color w:val="auto"/>
          <w:highlight w:val="none"/>
        </w:rPr>
      </w:pPr>
      <w:r>
        <w:rPr>
          <w:color w:val="auto"/>
          <w:highlight w:val="none"/>
        </w:rPr>
        <w:t>6</w:t>
      </w:r>
      <w:bookmarkEnd w:id="306"/>
      <w:bookmarkEnd w:id="307"/>
      <w:bookmarkEnd w:id="308"/>
      <w:bookmarkEnd w:id="309"/>
      <w:bookmarkEnd w:id="310"/>
      <w:bookmarkEnd w:id="311"/>
      <w:bookmarkEnd w:id="312"/>
      <w:bookmarkEnd w:id="313"/>
      <w:bookmarkEnd w:id="314"/>
      <w:bookmarkEnd w:id="315"/>
      <w:bookmarkEnd w:id="316"/>
      <w:r>
        <w:rPr>
          <w:color w:val="auto"/>
          <w:highlight w:val="none"/>
        </w:rPr>
        <w:t>.3.1评标委员会按照第三章</w:t>
      </w:r>
      <w:r>
        <w:rPr>
          <w:rFonts w:hint="eastAsia"/>
          <w:color w:val="auto"/>
          <w:highlight w:val="none"/>
        </w:rPr>
        <w:t>“</w:t>
      </w:r>
      <w:r>
        <w:rPr>
          <w:color w:val="auto"/>
          <w:highlight w:val="none"/>
        </w:rPr>
        <w:t>评标办法</w:t>
      </w:r>
      <w:r>
        <w:rPr>
          <w:rFonts w:hint="eastAsia"/>
          <w:color w:val="auto"/>
          <w:highlight w:val="none"/>
        </w:rPr>
        <w:t>”</w:t>
      </w:r>
      <w:r>
        <w:rPr>
          <w:color w:val="auto"/>
          <w:highlight w:val="none"/>
        </w:rPr>
        <w:t>规定的方法、评审因素、标准和程序对投标文件进行评审。第三章</w:t>
      </w:r>
      <w:r>
        <w:rPr>
          <w:rFonts w:hint="eastAsia"/>
          <w:color w:val="auto"/>
          <w:highlight w:val="none"/>
        </w:rPr>
        <w:t>“</w:t>
      </w:r>
      <w:r>
        <w:rPr>
          <w:color w:val="auto"/>
          <w:highlight w:val="none"/>
        </w:rPr>
        <w:t>评标办法</w:t>
      </w:r>
      <w:r>
        <w:rPr>
          <w:rFonts w:hint="eastAsia"/>
          <w:color w:val="auto"/>
          <w:highlight w:val="none"/>
        </w:rPr>
        <w:t>”</w:t>
      </w:r>
      <w:r>
        <w:rPr>
          <w:color w:val="auto"/>
          <w:highlight w:val="none"/>
        </w:rPr>
        <w:t>没有规定的方法、评审因素和标准，不作为评标依据。</w:t>
      </w:r>
    </w:p>
    <w:p>
      <w:pPr>
        <w:spacing w:line="400" w:lineRule="exact"/>
        <w:ind w:firstLine="420" w:firstLineChars="200"/>
        <w:rPr>
          <w:color w:val="auto"/>
          <w:highlight w:val="none"/>
        </w:rPr>
      </w:pPr>
      <w:r>
        <w:rPr>
          <w:color w:val="auto"/>
          <w:highlight w:val="none"/>
        </w:rPr>
        <w:t>6.3.2评标完成后，评标委员会应当向招标人提交书面评标报告和中标候选人名单。评标委员会推荐中标</w:t>
      </w:r>
      <w:bookmarkStart w:id="318" w:name="_Toc369531546"/>
      <w:bookmarkStart w:id="319" w:name="_Toc361508615"/>
      <w:bookmarkStart w:id="320" w:name="_Toc384308240"/>
      <w:bookmarkStart w:id="321" w:name="_Toc247527583"/>
      <w:bookmarkStart w:id="322" w:name="_Toc352691502"/>
      <w:bookmarkStart w:id="323" w:name="_Toc152045558"/>
      <w:bookmarkStart w:id="324" w:name="_Toc12259"/>
      <w:bookmarkStart w:id="325" w:name="_Toc247513982"/>
      <w:bookmarkStart w:id="326" w:name="_Toc152042334"/>
      <w:bookmarkStart w:id="327" w:name="_Toc300834979"/>
      <w:bookmarkStart w:id="328" w:name="_Toc144974526"/>
      <w:r>
        <w:rPr>
          <w:color w:val="auto"/>
          <w:highlight w:val="none"/>
        </w:rPr>
        <w:t>候选人的人数见投标人须知前附</w:t>
      </w:r>
      <w:bookmarkEnd w:id="318"/>
      <w:bookmarkEnd w:id="319"/>
      <w:bookmarkEnd w:id="320"/>
      <w:bookmarkEnd w:id="321"/>
      <w:bookmarkEnd w:id="322"/>
      <w:bookmarkEnd w:id="323"/>
      <w:bookmarkEnd w:id="324"/>
      <w:bookmarkEnd w:id="325"/>
      <w:bookmarkEnd w:id="326"/>
      <w:bookmarkEnd w:id="327"/>
      <w:bookmarkEnd w:id="328"/>
      <w:r>
        <w:rPr>
          <w:color w:val="auto"/>
          <w:highlight w:val="none"/>
        </w:rPr>
        <w:t>表。</w:t>
      </w:r>
    </w:p>
    <w:p>
      <w:pPr>
        <w:pStyle w:val="4"/>
        <w:rPr>
          <w:rFonts w:ascii="Times New Roman" w:hAnsi="Times New Roman"/>
          <w:color w:val="auto"/>
          <w:highlight w:val="none"/>
        </w:rPr>
      </w:pPr>
      <w:bookmarkStart w:id="329" w:name="_Toc24493"/>
      <w:r>
        <w:rPr>
          <w:rFonts w:ascii="Times New Roman" w:hAnsi="Times New Roman"/>
          <w:color w:val="auto"/>
          <w:highlight w:val="none"/>
        </w:rPr>
        <w:t xml:space="preserve">7. </w:t>
      </w:r>
      <w:r>
        <w:rPr>
          <w:rFonts w:hint="eastAsia" w:ascii="Times New Roman" w:hAnsi="Times New Roman"/>
          <w:color w:val="auto"/>
          <w:highlight w:val="none"/>
        </w:rPr>
        <w:t>合同授予</w:t>
      </w:r>
      <w:bookmarkEnd w:id="329"/>
    </w:p>
    <w:p>
      <w:pPr>
        <w:pStyle w:val="5"/>
        <w:spacing w:line="240" w:lineRule="auto"/>
        <w:ind w:firstLine="137"/>
        <w:rPr>
          <w:rFonts w:ascii="Times New Roman"/>
          <w:color w:val="auto"/>
          <w:highlight w:val="none"/>
        </w:rPr>
      </w:pPr>
      <w:bookmarkStart w:id="330" w:name="_Toc10297"/>
      <w:r>
        <w:rPr>
          <w:rFonts w:ascii="Times New Roman"/>
          <w:color w:val="auto"/>
          <w:highlight w:val="none"/>
        </w:rPr>
        <w:t xml:space="preserve">7.1 </w:t>
      </w:r>
      <w:r>
        <w:rPr>
          <w:rFonts w:hint="eastAsia" w:ascii="Times New Roman"/>
          <w:color w:val="auto"/>
          <w:highlight w:val="none"/>
        </w:rPr>
        <w:t>中标候选人公示</w:t>
      </w:r>
      <w:bookmarkEnd w:id="330"/>
      <w:r>
        <w:rPr>
          <w:rFonts w:hint="eastAsia" w:ascii="Times New Roman"/>
          <w:color w:val="auto"/>
          <w:highlight w:val="none"/>
        </w:rPr>
        <w:t>和中标公告</w:t>
      </w:r>
    </w:p>
    <w:p>
      <w:pPr>
        <w:spacing w:line="400" w:lineRule="exact"/>
        <w:ind w:firstLine="420" w:firstLineChars="200"/>
        <w:rPr>
          <w:color w:val="auto"/>
          <w:highlight w:val="none"/>
        </w:rPr>
      </w:pPr>
      <w:bookmarkStart w:id="331" w:name="_Toc8380"/>
      <w:r>
        <w:rPr>
          <w:rFonts w:hint="eastAsia"/>
          <w:color w:val="auto"/>
          <w:highlight w:val="none"/>
        </w:rPr>
        <w:t>7.1.1</w:t>
      </w:r>
      <w:r>
        <w:rPr>
          <w:color w:val="auto"/>
          <w:highlight w:val="none"/>
        </w:rPr>
        <w:t>招标人在收到评标报告之日起3日内，按照投标人须知前附表规定的公示媒介和期限公示中标候选人，公示期不得少于3天。</w:t>
      </w:r>
    </w:p>
    <w:p>
      <w:pPr>
        <w:spacing w:line="400" w:lineRule="exact"/>
        <w:ind w:firstLine="420" w:firstLineChars="200"/>
        <w:rPr>
          <w:rFonts w:hint="eastAsia"/>
          <w:color w:val="auto"/>
          <w:highlight w:val="none"/>
        </w:rPr>
      </w:pPr>
      <w:r>
        <w:rPr>
          <w:rFonts w:hint="eastAsia"/>
          <w:color w:val="auto"/>
          <w:highlight w:val="none"/>
        </w:rPr>
        <w:t>7.1.2</w:t>
      </w:r>
      <w:r>
        <w:rPr>
          <w:rFonts w:hint="eastAsia" w:ascii="宋体" w:hAnsi="宋体"/>
          <w:color w:val="auto"/>
          <w:highlight w:val="none"/>
        </w:rPr>
        <w:t>招标人在投标人须知前附表规定的媒介发布中标公告。</w:t>
      </w:r>
    </w:p>
    <w:p>
      <w:pPr>
        <w:pStyle w:val="5"/>
        <w:spacing w:line="240" w:lineRule="auto"/>
        <w:ind w:firstLine="137"/>
        <w:rPr>
          <w:rFonts w:ascii="Times New Roman"/>
          <w:color w:val="auto"/>
          <w:highlight w:val="none"/>
        </w:rPr>
      </w:pPr>
      <w:r>
        <w:rPr>
          <w:rFonts w:ascii="Times New Roman"/>
          <w:color w:val="auto"/>
          <w:highlight w:val="none"/>
        </w:rPr>
        <w:t xml:space="preserve">7.2 </w:t>
      </w:r>
      <w:r>
        <w:rPr>
          <w:rFonts w:hint="eastAsia" w:ascii="Times New Roman"/>
          <w:color w:val="auto"/>
          <w:highlight w:val="none"/>
        </w:rPr>
        <w:t>评标结果异议</w:t>
      </w:r>
      <w:bookmarkEnd w:id="331"/>
    </w:p>
    <w:p>
      <w:pPr>
        <w:spacing w:line="400" w:lineRule="exact"/>
        <w:ind w:firstLine="420" w:firstLineChars="200"/>
        <w:rPr>
          <w:color w:val="auto"/>
          <w:highlight w:val="none"/>
        </w:rPr>
      </w:pPr>
      <w:r>
        <w:rPr>
          <w:color w:val="auto"/>
          <w:highlight w:val="none"/>
        </w:rPr>
        <w:t>投标人或者其他利</w:t>
      </w:r>
      <w:bookmarkStart w:id="332" w:name="_Toc144974529"/>
      <w:bookmarkStart w:id="333" w:name="_Toc361508618"/>
      <w:bookmarkStart w:id="334" w:name="_Toc152042337"/>
      <w:bookmarkStart w:id="335" w:name="_Toc369531549"/>
      <w:bookmarkStart w:id="336" w:name="_Toc247513985"/>
      <w:bookmarkStart w:id="337" w:name="_Toc352691505"/>
      <w:bookmarkStart w:id="338" w:name="_Toc30095"/>
      <w:bookmarkStart w:id="339" w:name="_Toc152045561"/>
      <w:bookmarkStart w:id="340" w:name="_Toc247527586"/>
      <w:bookmarkStart w:id="341" w:name="_Toc300834982"/>
      <w:bookmarkStart w:id="342" w:name="_Toc384308243"/>
      <w:r>
        <w:rPr>
          <w:color w:val="auto"/>
          <w:highlight w:val="none"/>
        </w:rPr>
        <w:t>害关系人对评标结</w:t>
      </w:r>
      <w:bookmarkEnd w:id="332"/>
      <w:bookmarkEnd w:id="333"/>
      <w:bookmarkEnd w:id="334"/>
      <w:bookmarkEnd w:id="335"/>
      <w:bookmarkEnd w:id="336"/>
      <w:bookmarkEnd w:id="337"/>
      <w:bookmarkEnd w:id="338"/>
      <w:bookmarkEnd w:id="339"/>
      <w:bookmarkEnd w:id="340"/>
      <w:bookmarkEnd w:id="341"/>
      <w:bookmarkEnd w:id="342"/>
      <w:r>
        <w:rPr>
          <w:color w:val="auto"/>
          <w:highlight w:val="none"/>
        </w:rPr>
        <w:t>果有异议的，应当在中标候选人公示期间提出。招标人将在收到异议之日起3日内作出答复；作出答复前，将暂停招标投标活动。</w:t>
      </w:r>
    </w:p>
    <w:p>
      <w:pPr>
        <w:pStyle w:val="5"/>
        <w:spacing w:line="240" w:lineRule="auto"/>
        <w:ind w:firstLine="137"/>
        <w:rPr>
          <w:rFonts w:ascii="Times New Roman"/>
          <w:color w:val="auto"/>
          <w:highlight w:val="none"/>
        </w:rPr>
      </w:pPr>
      <w:bookmarkStart w:id="343" w:name="_Toc16160"/>
      <w:r>
        <w:rPr>
          <w:rFonts w:ascii="Times New Roman"/>
          <w:color w:val="auto"/>
          <w:highlight w:val="none"/>
        </w:rPr>
        <w:t xml:space="preserve">7.3 </w:t>
      </w:r>
      <w:r>
        <w:rPr>
          <w:rFonts w:hint="eastAsia" w:ascii="Times New Roman"/>
          <w:color w:val="auto"/>
          <w:highlight w:val="none"/>
        </w:rPr>
        <w:t>中标候选人履约能力审查</w:t>
      </w:r>
      <w:bookmarkEnd w:id="343"/>
    </w:p>
    <w:p>
      <w:pPr>
        <w:spacing w:line="400" w:lineRule="exact"/>
        <w:ind w:firstLine="420" w:firstLineChars="200"/>
        <w:rPr>
          <w:color w:val="auto"/>
          <w:highlight w:val="none"/>
        </w:rPr>
      </w:pPr>
      <w:r>
        <w:rPr>
          <w:color w:val="auto"/>
          <w:highlight w:val="none"/>
        </w:rPr>
        <w:t>中标候选人的经营、财务状况发生较大变化或存在违法行为，招标人认为可能影响其履约能力的，将在发出中标通知书前提请原评标委员会按照招标文件规定的标准和方法进行审查确认。</w:t>
      </w:r>
    </w:p>
    <w:p>
      <w:pPr>
        <w:pStyle w:val="5"/>
        <w:spacing w:line="240" w:lineRule="auto"/>
        <w:ind w:firstLine="137"/>
        <w:rPr>
          <w:rFonts w:ascii="Times New Roman"/>
          <w:color w:val="auto"/>
          <w:highlight w:val="none"/>
        </w:rPr>
      </w:pPr>
      <w:bookmarkStart w:id="344" w:name="_Toc31835"/>
      <w:r>
        <w:rPr>
          <w:rFonts w:ascii="Times New Roman"/>
          <w:color w:val="auto"/>
          <w:highlight w:val="none"/>
        </w:rPr>
        <w:t xml:space="preserve">7.4 </w:t>
      </w:r>
      <w:r>
        <w:rPr>
          <w:rFonts w:hint="eastAsia" w:ascii="Times New Roman"/>
          <w:color w:val="auto"/>
          <w:highlight w:val="none"/>
        </w:rPr>
        <w:t>定标</w:t>
      </w:r>
      <w:bookmarkEnd w:id="344"/>
    </w:p>
    <w:p>
      <w:pPr>
        <w:spacing w:line="400" w:lineRule="exact"/>
        <w:ind w:firstLine="420" w:firstLineChars="200"/>
        <w:rPr>
          <w:color w:val="auto"/>
          <w:highlight w:val="none"/>
        </w:rPr>
      </w:pPr>
      <w:r>
        <w:rPr>
          <w:color w:val="auto"/>
          <w:highlight w:val="none"/>
        </w:rPr>
        <w:t>按照投标人须知前附表的规定，招标人或招标人授权的评标委员会依法确定中标人。</w:t>
      </w:r>
    </w:p>
    <w:p>
      <w:pPr>
        <w:pStyle w:val="5"/>
        <w:spacing w:line="240" w:lineRule="auto"/>
        <w:ind w:firstLine="137"/>
        <w:rPr>
          <w:rFonts w:ascii="Times New Roman"/>
          <w:color w:val="auto"/>
          <w:highlight w:val="none"/>
        </w:rPr>
      </w:pPr>
      <w:bookmarkStart w:id="345" w:name="_Toc10985"/>
      <w:r>
        <w:rPr>
          <w:rFonts w:ascii="Times New Roman"/>
          <w:color w:val="auto"/>
          <w:highlight w:val="none"/>
        </w:rPr>
        <w:t xml:space="preserve">7.5 </w:t>
      </w:r>
      <w:r>
        <w:rPr>
          <w:rFonts w:hint="eastAsia" w:ascii="Times New Roman"/>
          <w:color w:val="auto"/>
          <w:highlight w:val="none"/>
        </w:rPr>
        <w:t>中标通知</w:t>
      </w:r>
      <w:bookmarkEnd w:id="345"/>
    </w:p>
    <w:p>
      <w:pPr>
        <w:spacing w:line="400" w:lineRule="exact"/>
        <w:ind w:firstLine="420" w:firstLineChars="200"/>
        <w:rPr>
          <w:color w:val="auto"/>
          <w:highlight w:val="none"/>
        </w:rPr>
      </w:pPr>
      <w:r>
        <w:rPr>
          <w:color w:val="auto"/>
          <w:highlight w:val="none"/>
        </w:rPr>
        <w:t>在本章第3.3款规定的投标有效期内，招标人以书面形式向中标人发出中标</w:t>
      </w:r>
      <w:bookmarkStart w:id="346" w:name="_Toc352691506"/>
      <w:bookmarkStart w:id="347" w:name="_Toc384308244"/>
      <w:bookmarkStart w:id="348" w:name="_Toc369531550"/>
      <w:bookmarkStart w:id="349" w:name="_Toc361508619"/>
      <w:bookmarkStart w:id="350" w:name="_Toc300834983"/>
      <w:bookmarkStart w:id="351" w:name="_Toc5668"/>
      <w:r>
        <w:rPr>
          <w:color w:val="auto"/>
          <w:highlight w:val="none"/>
        </w:rPr>
        <w:t>通知书，同时将中</w:t>
      </w:r>
      <w:bookmarkEnd w:id="346"/>
      <w:bookmarkEnd w:id="347"/>
      <w:bookmarkEnd w:id="348"/>
      <w:bookmarkEnd w:id="349"/>
      <w:bookmarkEnd w:id="350"/>
      <w:bookmarkEnd w:id="351"/>
      <w:r>
        <w:rPr>
          <w:color w:val="auto"/>
          <w:highlight w:val="none"/>
        </w:rPr>
        <w:t>标结果通知未中标的投标人。</w:t>
      </w:r>
    </w:p>
    <w:p>
      <w:pPr>
        <w:pStyle w:val="5"/>
        <w:spacing w:line="240" w:lineRule="auto"/>
        <w:ind w:firstLine="137"/>
        <w:rPr>
          <w:rFonts w:ascii="Times New Roman"/>
          <w:color w:val="auto"/>
          <w:highlight w:val="none"/>
        </w:rPr>
      </w:pPr>
      <w:bookmarkStart w:id="352" w:name="_Toc7724"/>
      <w:bookmarkStart w:id="353" w:name="_Toc482188479"/>
      <w:r>
        <w:rPr>
          <w:rFonts w:ascii="Times New Roman"/>
          <w:color w:val="auto"/>
          <w:highlight w:val="none"/>
        </w:rPr>
        <w:t xml:space="preserve">7.6 </w:t>
      </w:r>
      <w:r>
        <w:rPr>
          <w:rFonts w:hint="eastAsia" w:ascii="Times New Roman"/>
          <w:color w:val="auto"/>
          <w:highlight w:val="none"/>
        </w:rPr>
        <w:t>技术成果经济补偿</w:t>
      </w:r>
      <w:bookmarkEnd w:id="352"/>
      <w:bookmarkEnd w:id="353"/>
    </w:p>
    <w:p>
      <w:pPr>
        <w:spacing w:line="400" w:lineRule="exact"/>
        <w:ind w:firstLine="420" w:firstLineChars="200"/>
        <w:rPr>
          <w:color w:val="auto"/>
          <w:highlight w:val="none"/>
        </w:rPr>
      </w:pPr>
      <w:r>
        <w:rPr>
          <w:rFonts w:hint="eastAsia"/>
          <w:color w:val="auto"/>
          <w:highlight w:val="none"/>
        </w:rPr>
        <w:t>招标人对符合招标文件规定的未中标人的技术成果进行补偿的，招标人将按投标人须知前附表规定的标准给予经济补偿，</w:t>
      </w:r>
      <w:r>
        <w:rPr>
          <w:color w:val="auto"/>
          <w:highlight w:val="none"/>
        </w:rPr>
        <w:t>未中标人在投标</w:t>
      </w:r>
      <w:r>
        <w:rPr>
          <w:rFonts w:hint="eastAsia"/>
          <w:color w:val="auto"/>
          <w:highlight w:val="none"/>
        </w:rPr>
        <w:t>文件</w:t>
      </w:r>
      <w:r>
        <w:rPr>
          <w:color w:val="auto"/>
          <w:highlight w:val="none"/>
        </w:rPr>
        <w:t>中声明放弃</w:t>
      </w:r>
      <w:r>
        <w:rPr>
          <w:rFonts w:hint="eastAsia"/>
          <w:color w:val="auto"/>
          <w:highlight w:val="none"/>
        </w:rPr>
        <w:t>技术成果经济补偿费</w:t>
      </w:r>
      <w:r>
        <w:rPr>
          <w:color w:val="auto"/>
          <w:highlight w:val="none"/>
        </w:rPr>
        <w:t>的</w:t>
      </w:r>
      <w:r>
        <w:rPr>
          <w:rFonts w:hint="eastAsia"/>
          <w:color w:val="auto"/>
          <w:highlight w:val="none"/>
        </w:rPr>
        <w:t>除外。招标人将于中标通知书发出后</w:t>
      </w:r>
      <w:r>
        <w:rPr>
          <w:color w:val="auto"/>
          <w:highlight w:val="none"/>
        </w:rPr>
        <w:t>3</w:t>
      </w:r>
      <w:r>
        <w:rPr>
          <w:rFonts w:hint="eastAsia"/>
          <w:color w:val="auto"/>
          <w:highlight w:val="none"/>
        </w:rPr>
        <w:t>0日内向未中标人支付技术成果经济补偿费。</w:t>
      </w:r>
    </w:p>
    <w:p>
      <w:pPr>
        <w:pStyle w:val="5"/>
        <w:spacing w:line="240" w:lineRule="auto"/>
        <w:ind w:firstLine="137"/>
        <w:rPr>
          <w:rFonts w:ascii="Times New Roman"/>
          <w:color w:val="auto"/>
          <w:highlight w:val="none"/>
        </w:rPr>
      </w:pPr>
      <w:bookmarkStart w:id="354" w:name="_Toc29323"/>
      <w:r>
        <w:rPr>
          <w:rFonts w:ascii="Times New Roman"/>
          <w:color w:val="auto"/>
          <w:highlight w:val="none"/>
        </w:rPr>
        <w:t>7.</w:t>
      </w:r>
      <w:r>
        <w:rPr>
          <w:rFonts w:hint="eastAsia" w:ascii="Times New Roman"/>
          <w:color w:val="auto"/>
          <w:highlight w:val="none"/>
        </w:rPr>
        <w:t>7</w:t>
      </w:r>
      <w:r>
        <w:rPr>
          <w:rFonts w:ascii="Times New Roman"/>
          <w:color w:val="auto"/>
          <w:highlight w:val="none"/>
        </w:rPr>
        <w:t xml:space="preserve"> </w:t>
      </w:r>
      <w:r>
        <w:rPr>
          <w:rFonts w:hint="eastAsia" w:ascii="Times New Roman"/>
          <w:color w:val="auto"/>
          <w:highlight w:val="none"/>
        </w:rPr>
        <w:t>履约保证金</w:t>
      </w:r>
      <w:bookmarkEnd w:id="354"/>
    </w:p>
    <w:p>
      <w:pPr>
        <w:spacing w:line="400" w:lineRule="exact"/>
        <w:ind w:firstLine="420" w:firstLineChars="200"/>
        <w:rPr>
          <w:color w:val="auto"/>
          <w:highlight w:val="none"/>
        </w:rPr>
      </w:pPr>
      <w:r>
        <w:rPr>
          <w:color w:val="auto"/>
          <w:highlight w:val="none"/>
        </w:rPr>
        <w:t>7.</w:t>
      </w:r>
      <w:r>
        <w:rPr>
          <w:rFonts w:hint="eastAsia"/>
          <w:color w:val="auto"/>
          <w:highlight w:val="none"/>
        </w:rPr>
        <w:t>7</w:t>
      </w:r>
      <w:r>
        <w:rPr>
          <w:color w:val="auto"/>
          <w:highlight w:val="none"/>
        </w:rPr>
        <w:t xml:space="preserve">.1 </w:t>
      </w:r>
      <w:r>
        <w:rPr>
          <w:rFonts w:hint="eastAsia"/>
          <w:color w:val="auto"/>
          <w:highlight w:val="none"/>
        </w:rPr>
        <w:t>中标人应</w:t>
      </w:r>
      <w:r>
        <w:rPr>
          <w:color w:val="auto"/>
          <w:highlight w:val="none"/>
        </w:rPr>
        <w:t>按投标人须知前附表规定的形式、金额和招标文件第四章</w:t>
      </w:r>
      <w:r>
        <w:rPr>
          <w:rFonts w:hint="eastAsia"/>
          <w:color w:val="auto"/>
          <w:highlight w:val="none"/>
        </w:rPr>
        <w:t>“</w:t>
      </w:r>
      <w:r>
        <w:rPr>
          <w:color w:val="auto"/>
          <w:highlight w:val="none"/>
        </w:rPr>
        <w:t>合同条款及格式</w:t>
      </w:r>
      <w:r>
        <w:rPr>
          <w:rFonts w:hint="eastAsia"/>
          <w:color w:val="auto"/>
          <w:highlight w:val="none"/>
        </w:rPr>
        <w:t>”</w:t>
      </w:r>
      <w:r>
        <w:rPr>
          <w:color w:val="auto"/>
          <w:highlight w:val="none"/>
        </w:rPr>
        <w:t>规定的或者事先经过招标人书面认可的履约保证金格式向招标人提交履约保证金。除投标人须知前附表另有规定外，履约保证金为中标合同金额的</w:t>
      </w:r>
      <w:r>
        <w:rPr>
          <w:color w:val="auto"/>
          <w:highlight w:val="none"/>
          <w:u w:val="single"/>
        </w:rPr>
        <w:t>10%</w:t>
      </w:r>
      <w:r>
        <w:rPr>
          <w:color w:val="auto"/>
          <w:highlight w:val="none"/>
        </w:rPr>
        <w:t>。联合体中标的，其履约保证金以联合体各方或者联合体中牵头人的名义提交。</w:t>
      </w:r>
      <w:r>
        <w:rPr>
          <w:rFonts w:hint="eastAsia" w:ascii="宋体" w:hAnsi="宋体"/>
          <w:color w:val="auto"/>
          <w:highlight w:val="none"/>
        </w:rPr>
        <w:t>（合同价50万元以下的，无需履约担保）</w:t>
      </w:r>
    </w:p>
    <w:p>
      <w:pPr>
        <w:spacing w:line="400" w:lineRule="exact"/>
        <w:ind w:firstLine="420" w:firstLineChars="200"/>
        <w:rPr>
          <w:color w:val="auto"/>
          <w:highlight w:val="none"/>
        </w:rPr>
      </w:pPr>
      <w:r>
        <w:rPr>
          <w:color w:val="auto"/>
          <w:highlight w:val="none"/>
        </w:rPr>
        <w:t>7.</w:t>
      </w:r>
      <w:r>
        <w:rPr>
          <w:rFonts w:hint="eastAsia"/>
          <w:color w:val="auto"/>
          <w:highlight w:val="none"/>
        </w:rPr>
        <w:t>7</w:t>
      </w:r>
      <w:r>
        <w:rPr>
          <w:color w:val="auto"/>
          <w:highlight w:val="none"/>
        </w:rPr>
        <w:t>.2 中标人不能按本章第7.</w:t>
      </w:r>
      <w:r>
        <w:rPr>
          <w:rFonts w:hint="eastAsia"/>
          <w:color w:val="auto"/>
          <w:highlight w:val="none"/>
        </w:rPr>
        <w:t>7</w:t>
      </w:r>
      <w:r>
        <w:rPr>
          <w:color w:val="auto"/>
          <w:highlight w:val="none"/>
        </w:rPr>
        <w:t>.1项要求提交履约保证金的，视为放弃中标，其投标保证金不予退还，给招标人造成的损失超过投标保证金数额的，中标人还应当对超过部分予以赔偿。</w:t>
      </w:r>
    </w:p>
    <w:p>
      <w:pPr>
        <w:pStyle w:val="5"/>
        <w:spacing w:line="240" w:lineRule="auto"/>
        <w:ind w:firstLine="137"/>
        <w:rPr>
          <w:rFonts w:ascii="Times New Roman"/>
          <w:color w:val="auto"/>
          <w:highlight w:val="none"/>
        </w:rPr>
      </w:pPr>
      <w:bookmarkStart w:id="355" w:name="_Toc10796"/>
      <w:r>
        <w:rPr>
          <w:rFonts w:ascii="Times New Roman"/>
          <w:color w:val="auto"/>
          <w:highlight w:val="none"/>
        </w:rPr>
        <w:t>7.</w:t>
      </w:r>
      <w:r>
        <w:rPr>
          <w:rFonts w:hint="eastAsia" w:ascii="Times New Roman"/>
          <w:color w:val="auto"/>
          <w:highlight w:val="none"/>
        </w:rPr>
        <w:t>8</w:t>
      </w:r>
      <w:r>
        <w:rPr>
          <w:rFonts w:ascii="Times New Roman"/>
          <w:color w:val="auto"/>
          <w:highlight w:val="none"/>
        </w:rPr>
        <w:t xml:space="preserve"> </w:t>
      </w:r>
      <w:r>
        <w:rPr>
          <w:rFonts w:hint="eastAsia" w:ascii="Times New Roman"/>
          <w:color w:val="auto"/>
          <w:highlight w:val="none"/>
        </w:rPr>
        <w:t>签订合同</w:t>
      </w:r>
      <w:bookmarkEnd w:id="355"/>
    </w:p>
    <w:p>
      <w:pPr>
        <w:spacing w:line="400" w:lineRule="exact"/>
        <w:ind w:firstLine="420" w:firstLineChars="200"/>
        <w:rPr>
          <w:color w:val="auto"/>
          <w:highlight w:val="none"/>
        </w:rPr>
      </w:pPr>
      <w:r>
        <w:rPr>
          <w:color w:val="auto"/>
          <w:highlight w:val="none"/>
        </w:rPr>
        <w:t>7.</w:t>
      </w:r>
      <w:r>
        <w:rPr>
          <w:rFonts w:hint="eastAsia"/>
          <w:color w:val="auto"/>
          <w:highlight w:val="none"/>
        </w:rPr>
        <w:t>8</w:t>
      </w:r>
      <w:r>
        <w:rPr>
          <w:color w:val="auto"/>
          <w:highlight w:val="none"/>
        </w:rPr>
        <w:t>.1 招标人和中标人应当在中标通知书发出之日起30日内，根据招标文件和中标人的投标文件订立书面合同。中标人无正当理由</w:t>
      </w:r>
      <w:r>
        <w:rPr>
          <w:rFonts w:hint="eastAsia"/>
          <w:color w:val="auto"/>
          <w:highlight w:val="none"/>
        </w:rPr>
        <w:t>拒签</w:t>
      </w:r>
      <w:r>
        <w:rPr>
          <w:color w:val="auto"/>
          <w:highlight w:val="none"/>
        </w:rPr>
        <w:t>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r>
        <w:rPr>
          <w:rFonts w:hint="eastAsia" w:ascii="宋体" w:hAnsi="宋体"/>
          <w:color w:val="auto"/>
          <w:highlight w:val="none"/>
        </w:rPr>
        <w:t>在此情况下，招标人可将合同授予排名次之的中标候选人，或重新招标（注：已放弃中标的单位不得再参与此标段重新招标的投标）。</w:t>
      </w:r>
    </w:p>
    <w:p>
      <w:pPr>
        <w:spacing w:line="400" w:lineRule="exact"/>
        <w:ind w:firstLine="420" w:firstLineChars="200"/>
        <w:rPr>
          <w:color w:val="auto"/>
          <w:highlight w:val="none"/>
        </w:rPr>
      </w:pPr>
      <w:r>
        <w:rPr>
          <w:color w:val="auto"/>
          <w:highlight w:val="none"/>
        </w:rPr>
        <w:t>7.</w:t>
      </w:r>
      <w:r>
        <w:rPr>
          <w:rFonts w:hint="eastAsia"/>
          <w:color w:val="auto"/>
          <w:highlight w:val="none"/>
        </w:rPr>
        <w:t>8</w:t>
      </w:r>
      <w:r>
        <w:rPr>
          <w:color w:val="auto"/>
          <w:highlight w:val="none"/>
        </w:rPr>
        <w:t>.2 发出中标通知书后，招标人无正当理由拒签合同，或者在签订合同时</w:t>
      </w:r>
      <w:r>
        <w:rPr>
          <w:rFonts w:hint="eastAsia"/>
          <w:color w:val="auto"/>
          <w:highlight w:val="none"/>
        </w:rPr>
        <w:t>向中标人</w:t>
      </w:r>
      <w:r>
        <w:rPr>
          <w:color w:val="auto"/>
          <w:highlight w:val="none"/>
        </w:rPr>
        <w:t>提出附加条件的，招标人向中标人退还投标保证金；给中标人造成损失的，还应当赔偿损失。</w:t>
      </w:r>
    </w:p>
    <w:p>
      <w:pPr>
        <w:spacing w:line="400" w:lineRule="exact"/>
        <w:ind w:firstLine="420" w:firstLineChars="200"/>
        <w:rPr>
          <w:color w:val="auto"/>
          <w:szCs w:val="21"/>
          <w:highlight w:val="none"/>
        </w:rPr>
      </w:pPr>
      <w:r>
        <w:rPr>
          <w:color w:val="auto"/>
          <w:highlight w:val="none"/>
        </w:rPr>
        <w:t>7.</w:t>
      </w:r>
      <w:r>
        <w:rPr>
          <w:rFonts w:hint="eastAsia"/>
          <w:color w:val="auto"/>
          <w:highlight w:val="none"/>
        </w:rPr>
        <w:t>8</w:t>
      </w:r>
      <w:r>
        <w:rPr>
          <w:color w:val="auto"/>
          <w:highlight w:val="none"/>
        </w:rPr>
        <w:t>.3</w:t>
      </w:r>
      <w:r>
        <w:rPr>
          <w:color w:val="auto"/>
          <w:szCs w:val="21"/>
          <w:highlight w:val="none"/>
        </w:rPr>
        <w:t>联合体中标的，联合体各方应当共同与招标人签订合同，就中标项目向招标人承担连带责任。</w:t>
      </w:r>
    </w:p>
    <w:p>
      <w:pPr>
        <w:pStyle w:val="4"/>
        <w:spacing w:before="0" w:after="0" w:line="240" w:lineRule="auto"/>
        <w:rPr>
          <w:rFonts w:hint="eastAsia" w:ascii="Times New Roman" w:hAnsi="Times New Roman"/>
          <w:b w:val="0"/>
          <w:color w:val="auto"/>
          <w:highlight w:val="none"/>
        </w:rPr>
      </w:pPr>
      <w:bookmarkStart w:id="356" w:name="_Toc144974539"/>
      <w:bookmarkStart w:id="357" w:name="_Toc4687"/>
      <w:bookmarkStart w:id="358" w:name="_Toc21523447"/>
      <w:bookmarkStart w:id="359" w:name="_Toc152045571"/>
      <w:bookmarkStart w:id="360" w:name="_Toc508286550"/>
      <w:bookmarkStart w:id="361" w:name="_Toc152042347"/>
      <w:bookmarkStart w:id="362" w:name="_Toc179632589"/>
      <w:bookmarkStart w:id="363" w:name="_Toc300834991"/>
      <w:bookmarkStart w:id="364" w:name="_Toc152042344"/>
      <w:bookmarkStart w:id="365" w:name="_Toc247513992"/>
      <w:bookmarkStart w:id="366" w:name="_Toc144974536"/>
      <w:bookmarkStart w:id="367" w:name="_Toc384308252"/>
      <w:bookmarkStart w:id="368" w:name="_Toc247527593"/>
      <w:bookmarkStart w:id="369" w:name="_Toc152045568"/>
      <w:bookmarkStart w:id="370" w:name="_Toc361508627"/>
      <w:bookmarkStart w:id="371" w:name="_Toc24067"/>
      <w:r>
        <w:rPr>
          <w:rFonts w:hint="eastAsia" w:ascii="Times New Roman" w:hAnsi="Times New Roman"/>
          <w:b w:val="0"/>
          <w:color w:val="auto"/>
          <w:highlight w:val="none"/>
        </w:rPr>
        <w:t>8. 重新招标和不再招标</w:t>
      </w:r>
      <w:bookmarkEnd w:id="356"/>
      <w:bookmarkEnd w:id="357"/>
      <w:bookmarkEnd w:id="358"/>
      <w:bookmarkEnd w:id="359"/>
      <w:bookmarkEnd w:id="360"/>
      <w:bookmarkEnd w:id="361"/>
      <w:bookmarkEnd w:id="362"/>
    </w:p>
    <w:p>
      <w:pPr>
        <w:pStyle w:val="5"/>
        <w:spacing w:line="240" w:lineRule="auto"/>
        <w:ind w:firstLine="137"/>
        <w:rPr>
          <w:rFonts w:hint="eastAsia" w:ascii="Times New Roman"/>
          <w:color w:val="auto"/>
          <w:highlight w:val="none"/>
        </w:rPr>
      </w:pPr>
      <w:bookmarkStart w:id="372" w:name="_Toc152045572"/>
      <w:bookmarkStart w:id="373" w:name="_Toc179632590"/>
      <w:bookmarkStart w:id="374" w:name="_Toc152042348"/>
      <w:bookmarkStart w:id="375" w:name="_Toc306294222"/>
      <w:bookmarkStart w:id="376" w:name="_Toc144974540"/>
      <w:r>
        <w:rPr>
          <w:rFonts w:hint="eastAsia" w:ascii="Times New Roman"/>
          <w:color w:val="auto"/>
          <w:highlight w:val="none"/>
        </w:rPr>
        <w:t>8.1 重新招标</w:t>
      </w:r>
      <w:bookmarkEnd w:id="372"/>
      <w:bookmarkEnd w:id="373"/>
      <w:bookmarkEnd w:id="374"/>
      <w:bookmarkEnd w:id="375"/>
      <w:bookmarkEnd w:id="376"/>
    </w:p>
    <w:p>
      <w:pPr>
        <w:spacing w:line="400" w:lineRule="exact"/>
        <w:ind w:firstLine="420" w:firstLineChars="200"/>
        <w:rPr>
          <w:rFonts w:hint="eastAsia"/>
          <w:color w:val="auto"/>
          <w:highlight w:val="none"/>
        </w:rPr>
      </w:pPr>
      <w:r>
        <w:rPr>
          <w:rFonts w:hint="eastAsia"/>
          <w:color w:val="auto"/>
          <w:highlight w:val="none"/>
        </w:rPr>
        <w:t>有下列情形之一的，招标人将重新招标：</w:t>
      </w:r>
    </w:p>
    <w:p>
      <w:pPr>
        <w:spacing w:line="400" w:lineRule="exact"/>
        <w:ind w:firstLine="420" w:firstLineChars="200"/>
        <w:rPr>
          <w:rFonts w:hint="eastAsia"/>
          <w:color w:val="auto"/>
          <w:highlight w:val="none"/>
        </w:rPr>
      </w:pPr>
      <w:r>
        <w:rPr>
          <w:rFonts w:hint="eastAsia"/>
          <w:color w:val="auto"/>
          <w:highlight w:val="none"/>
        </w:rPr>
        <w:t>（1）投标截止时间止，投标人少于3个的；</w:t>
      </w:r>
    </w:p>
    <w:p>
      <w:pPr>
        <w:spacing w:line="400" w:lineRule="exact"/>
        <w:ind w:firstLine="420" w:firstLineChars="200"/>
        <w:rPr>
          <w:rFonts w:hint="eastAsia"/>
          <w:color w:val="auto"/>
          <w:highlight w:val="none"/>
        </w:rPr>
      </w:pPr>
      <w:r>
        <w:rPr>
          <w:rFonts w:hint="eastAsia"/>
          <w:color w:val="auto"/>
          <w:highlight w:val="none"/>
        </w:rPr>
        <w:t>（2）</w:t>
      </w:r>
      <w:r>
        <w:rPr>
          <w:rFonts w:hint="eastAsia" w:ascii="宋体" w:hAnsi="宋体"/>
          <w:color w:val="auto"/>
          <w:szCs w:val="21"/>
          <w:highlight w:val="none"/>
        </w:rPr>
        <w:t>推荐的中标候选人少于</w:t>
      </w:r>
      <w:r>
        <w:rPr>
          <w:rFonts w:hint="eastAsia" w:ascii="宋体" w:hAnsi="宋体"/>
          <w:color w:val="auto"/>
          <w:highlight w:val="none"/>
        </w:rPr>
        <w:t>3个的；</w:t>
      </w:r>
      <w:r>
        <w:rPr>
          <w:rFonts w:hint="eastAsia"/>
          <w:color w:val="auto"/>
          <w:highlight w:val="none"/>
        </w:rPr>
        <w:t xml:space="preserve"> </w:t>
      </w:r>
    </w:p>
    <w:p>
      <w:pPr>
        <w:spacing w:line="400" w:lineRule="exact"/>
        <w:ind w:firstLine="420" w:firstLineChars="200"/>
        <w:rPr>
          <w:rFonts w:hint="eastAsia"/>
          <w:color w:val="auto"/>
          <w:highlight w:val="none"/>
        </w:rPr>
      </w:pPr>
      <w:r>
        <w:rPr>
          <w:rFonts w:hint="eastAsia"/>
          <w:color w:val="auto"/>
          <w:highlight w:val="none"/>
        </w:rPr>
        <w:t>（3）经评标委员会评审后否决所有投标的。</w:t>
      </w:r>
    </w:p>
    <w:p>
      <w:pPr>
        <w:pStyle w:val="5"/>
        <w:spacing w:line="240" w:lineRule="auto"/>
        <w:ind w:firstLine="137"/>
        <w:rPr>
          <w:rFonts w:hint="eastAsia" w:ascii="Times New Roman"/>
          <w:color w:val="auto"/>
          <w:highlight w:val="none"/>
        </w:rPr>
      </w:pPr>
      <w:bookmarkStart w:id="377" w:name="_Toc179632591"/>
      <w:bookmarkStart w:id="378" w:name="_Toc152045573"/>
      <w:bookmarkStart w:id="379" w:name="_Toc306294223"/>
      <w:bookmarkStart w:id="380" w:name="_Toc144974541"/>
      <w:bookmarkStart w:id="381" w:name="_Toc152042349"/>
      <w:r>
        <w:rPr>
          <w:rFonts w:hint="eastAsia" w:ascii="Times New Roman"/>
          <w:color w:val="auto"/>
          <w:highlight w:val="none"/>
        </w:rPr>
        <w:t>8.2 不再招标</w:t>
      </w:r>
      <w:bookmarkEnd w:id="377"/>
      <w:bookmarkEnd w:id="378"/>
      <w:bookmarkEnd w:id="379"/>
      <w:bookmarkEnd w:id="380"/>
      <w:bookmarkEnd w:id="381"/>
    </w:p>
    <w:p>
      <w:pPr>
        <w:spacing w:line="400" w:lineRule="exact"/>
        <w:ind w:firstLine="420" w:firstLineChars="200"/>
        <w:rPr>
          <w:rFonts w:hint="eastAsia"/>
          <w:color w:val="auto"/>
          <w:highlight w:val="none"/>
        </w:rPr>
      </w:pPr>
      <w:r>
        <w:rPr>
          <w:rFonts w:hint="eastAsia"/>
          <w:color w:val="auto"/>
          <w:highlight w:val="none"/>
        </w:rPr>
        <w:t>重新招标后投标人仍少于3个或者所有投标被否决的，属于必须审批或核准的工程建设项目，经原审批或核准部门批准后不再进行招标。</w:t>
      </w:r>
    </w:p>
    <w:p>
      <w:pPr>
        <w:spacing w:line="400" w:lineRule="exact"/>
        <w:ind w:firstLine="420" w:firstLineChars="200"/>
        <w:rPr>
          <w:color w:val="auto"/>
          <w:szCs w:val="21"/>
          <w:highlight w:val="none"/>
        </w:rPr>
      </w:pPr>
    </w:p>
    <w:p>
      <w:pPr>
        <w:pStyle w:val="4"/>
        <w:spacing w:before="0" w:after="0" w:line="240" w:lineRule="auto"/>
        <w:rPr>
          <w:rFonts w:hint="eastAsia" w:ascii="Times New Roman" w:hAnsi="Times New Roman"/>
          <w:b w:val="0"/>
          <w:color w:val="auto"/>
          <w:highlight w:val="none"/>
        </w:rPr>
      </w:pPr>
      <w:bookmarkStart w:id="382" w:name="_Toc152042350"/>
      <w:bookmarkStart w:id="383" w:name="_Toc21523448"/>
      <w:bookmarkStart w:id="384" w:name="_Toc18553"/>
      <w:bookmarkStart w:id="385" w:name="_Toc144974542"/>
      <w:bookmarkStart w:id="386" w:name="_Toc179632592"/>
      <w:bookmarkStart w:id="387" w:name="_Toc508286551"/>
      <w:bookmarkStart w:id="388" w:name="_Toc152045574"/>
      <w:r>
        <w:rPr>
          <w:rFonts w:hint="eastAsia" w:ascii="Times New Roman" w:hAnsi="Times New Roman"/>
          <w:b w:val="0"/>
          <w:color w:val="auto"/>
          <w:highlight w:val="none"/>
        </w:rPr>
        <w:t>9. 纪律和监督</w:t>
      </w:r>
      <w:bookmarkEnd w:id="382"/>
      <w:bookmarkEnd w:id="383"/>
      <w:bookmarkEnd w:id="384"/>
      <w:bookmarkEnd w:id="385"/>
      <w:bookmarkEnd w:id="386"/>
      <w:bookmarkEnd w:id="387"/>
      <w:bookmarkEnd w:id="388"/>
    </w:p>
    <w:p>
      <w:pPr>
        <w:pStyle w:val="5"/>
        <w:spacing w:line="240" w:lineRule="auto"/>
        <w:ind w:firstLine="137"/>
        <w:rPr>
          <w:rFonts w:hint="eastAsia" w:ascii="Times New Roman"/>
          <w:color w:val="auto"/>
          <w:highlight w:val="none"/>
        </w:rPr>
      </w:pPr>
      <w:bookmarkStart w:id="389" w:name="_Toc179632593"/>
      <w:bookmarkStart w:id="390" w:name="_Toc306294225"/>
      <w:bookmarkStart w:id="391" w:name="_Toc144974543"/>
      <w:bookmarkStart w:id="392" w:name="_Toc152045575"/>
      <w:bookmarkStart w:id="393" w:name="_Toc152042351"/>
      <w:r>
        <w:rPr>
          <w:rFonts w:hint="eastAsia" w:ascii="Times New Roman"/>
          <w:color w:val="auto"/>
          <w:highlight w:val="none"/>
        </w:rPr>
        <w:t>9.1 对招标人的纪律要求</w:t>
      </w:r>
      <w:bookmarkEnd w:id="389"/>
      <w:bookmarkEnd w:id="390"/>
      <w:bookmarkEnd w:id="391"/>
      <w:bookmarkEnd w:id="392"/>
      <w:bookmarkEnd w:id="393"/>
    </w:p>
    <w:p>
      <w:pPr>
        <w:spacing w:line="400" w:lineRule="exact"/>
        <w:ind w:firstLine="420" w:firstLineChars="200"/>
        <w:rPr>
          <w:rFonts w:hint="eastAsia"/>
          <w:color w:val="auto"/>
          <w:highlight w:val="none"/>
        </w:rPr>
      </w:pPr>
      <w:r>
        <w:rPr>
          <w:rFonts w:hint="eastAsia"/>
          <w:color w:val="auto"/>
          <w:highlight w:val="none"/>
        </w:rPr>
        <w:t>招标人不得利用划分标段限制或排斥潜在投标人，不得泄漏招标投标活动中应当保密的情况和资料，不得与投标人串通损害国家利益、社会公共利益或者他人合法权益。</w:t>
      </w:r>
    </w:p>
    <w:p>
      <w:pPr>
        <w:pStyle w:val="5"/>
        <w:spacing w:line="240" w:lineRule="auto"/>
        <w:ind w:firstLine="137"/>
        <w:rPr>
          <w:rFonts w:hint="eastAsia" w:ascii="Times New Roman"/>
          <w:color w:val="auto"/>
          <w:highlight w:val="none"/>
        </w:rPr>
      </w:pPr>
      <w:bookmarkStart w:id="394" w:name="_Toc306294226"/>
      <w:bookmarkStart w:id="395" w:name="_Toc152042352"/>
      <w:bookmarkStart w:id="396" w:name="_Toc144974544"/>
      <w:bookmarkStart w:id="397" w:name="_Toc152045576"/>
      <w:bookmarkStart w:id="398" w:name="_Toc179632594"/>
      <w:r>
        <w:rPr>
          <w:rFonts w:hint="eastAsia" w:ascii="Times New Roman"/>
          <w:color w:val="auto"/>
          <w:highlight w:val="none"/>
        </w:rPr>
        <w:t>9.2 对投标人的纪律要求</w:t>
      </w:r>
      <w:bookmarkEnd w:id="394"/>
      <w:bookmarkEnd w:id="395"/>
      <w:bookmarkEnd w:id="396"/>
      <w:bookmarkEnd w:id="397"/>
      <w:bookmarkEnd w:id="398"/>
    </w:p>
    <w:p>
      <w:pPr>
        <w:spacing w:line="400" w:lineRule="exact"/>
        <w:ind w:firstLine="420" w:firstLineChars="200"/>
        <w:rPr>
          <w:rFonts w:hint="eastAsia"/>
          <w:color w:val="auto"/>
          <w:highlight w:val="none"/>
        </w:rPr>
      </w:pPr>
      <w:r>
        <w:rPr>
          <w:rFonts w:hint="eastAsia"/>
          <w:color w:val="auto"/>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pPr>
        <w:pStyle w:val="5"/>
        <w:spacing w:line="240" w:lineRule="auto"/>
        <w:ind w:firstLine="137"/>
        <w:rPr>
          <w:rFonts w:hint="eastAsia" w:ascii="Times New Roman"/>
          <w:color w:val="auto"/>
          <w:highlight w:val="none"/>
        </w:rPr>
      </w:pPr>
      <w:bookmarkStart w:id="399" w:name="_Toc144974545"/>
      <w:bookmarkStart w:id="400" w:name="_Toc306294227"/>
      <w:bookmarkStart w:id="401" w:name="_Toc179632595"/>
      <w:bookmarkStart w:id="402" w:name="_Toc152042353"/>
      <w:bookmarkStart w:id="403" w:name="_Toc152045577"/>
      <w:r>
        <w:rPr>
          <w:rFonts w:hint="eastAsia" w:ascii="Times New Roman"/>
          <w:color w:val="auto"/>
          <w:highlight w:val="none"/>
        </w:rPr>
        <w:t>9.3 对评标委员会成员的纪律要求</w:t>
      </w:r>
      <w:bookmarkEnd w:id="399"/>
      <w:bookmarkEnd w:id="400"/>
      <w:bookmarkEnd w:id="401"/>
      <w:bookmarkEnd w:id="402"/>
      <w:bookmarkEnd w:id="403"/>
    </w:p>
    <w:p>
      <w:pPr>
        <w:spacing w:line="400" w:lineRule="exact"/>
        <w:ind w:firstLine="420" w:firstLineChars="200"/>
        <w:rPr>
          <w:rFonts w:hint="eastAsia"/>
          <w:color w:val="auto"/>
          <w:highlight w:val="none"/>
        </w:rPr>
      </w:pPr>
      <w:r>
        <w:rPr>
          <w:rFonts w:hint="eastAsia"/>
          <w:color w:val="auto"/>
          <w:highlight w:val="none"/>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pPr>
        <w:pStyle w:val="5"/>
        <w:spacing w:line="240" w:lineRule="auto"/>
        <w:ind w:firstLine="137"/>
        <w:rPr>
          <w:rFonts w:hint="eastAsia" w:ascii="Times New Roman"/>
          <w:color w:val="auto"/>
          <w:highlight w:val="none"/>
        </w:rPr>
      </w:pPr>
      <w:bookmarkStart w:id="404" w:name="_Toc152045578"/>
      <w:bookmarkStart w:id="405" w:name="_Toc152042354"/>
      <w:bookmarkStart w:id="406" w:name="_Toc306294228"/>
      <w:bookmarkStart w:id="407" w:name="_Toc179632596"/>
      <w:bookmarkStart w:id="408" w:name="_Toc144974546"/>
      <w:r>
        <w:rPr>
          <w:rFonts w:hint="eastAsia" w:ascii="Times New Roman"/>
          <w:color w:val="auto"/>
          <w:highlight w:val="none"/>
        </w:rPr>
        <w:t>9.4 对与评标活动有关的工作人员的纪律要求</w:t>
      </w:r>
      <w:bookmarkEnd w:id="404"/>
      <w:bookmarkEnd w:id="405"/>
      <w:bookmarkEnd w:id="406"/>
      <w:bookmarkEnd w:id="407"/>
    </w:p>
    <w:p>
      <w:pPr>
        <w:spacing w:line="400" w:lineRule="exact"/>
        <w:ind w:firstLine="420" w:firstLineChars="200"/>
        <w:rPr>
          <w:rFonts w:hint="eastAsia"/>
          <w:color w:val="auto"/>
          <w:highlight w:val="none"/>
        </w:rPr>
      </w:pPr>
      <w:bookmarkStart w:id="409" w:name="_Toc152042355"/>
      <w:r>
        <w:rPr>
          <w:rFonts w:hint="eastAsia"/>
          <w:color w:val="auto"/>
          <w:highlight w:val="none"/>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409"/>
    </w:p>
    <w:p>
      <w:pPr>
        <w:pStyle w:val="5"/>
        <w:spacing w:line="240" w:lineRule="auto"/>
        <w:ind w:firstLine="137"/>
        <w:rPr>
          <w:rFonts w:hint="eastAsia" w:ascii="Times New Roman"/>
          <w:color w:val="auto"/>
          <w:highlight w:val="none"/>
        </w:rPr>
      </w:pPr>
      <w:r>
        <w:rPr>
          <w:rFonts w:hint="eastAsia" w:ascii="Times New Roman"/>
          <w:color w:val="auto"/>
          <w:highlight w:val="none"/>
        </w:rPr>
        <w:t xml:space="preserve">9.5 </w:t>
      </w:r>
      <w:r>
        <w:rPr>
          <w:rFonts w:hint="eastAsia" w:ascii="宋体" w:hAnsi="宋体"/>
          <w:bCs/>
          <w:color w:val="auto"/>
          <w:szCs w:val="22"/>
          <w:highlight w:val="none"/>
        </w:rPr>
        <w:t>针对重大项目要求</w:t>
      </w:r>
    </w:p>
    <w:p>
      <w:pPr>
        <w:spacing w:line="400" w:lineRule="exact"/>
        <w:ind w:firstLine="420" w:firstLineChars="200"/>
        <w:rPr>
          <w:rFonts w:hint="eastAsia"/>
          <w:color w:val="auto"/>
          <w:highlight w:val="none"/>
        </w:rPr>
      </w:pPr>
      <w:r>
        <w:rPr>
          <w:rFonts w:hint="eastAsia"/>
          <w:color w:val="auto"/>
          <w:highlight w:val="none"/>
        </w:rPr>
        <w:t>该招标项目在定标前，招标人经调查发现中标候选人发生下列情形的，有权依法取消中标资格。</w:t>
      </w:r>
    </w:p>
    <w:p>
      <w:pPr>
        <w:spacing w:line="400" w:lineRule="exact"/>
        <w:ind w:firstLine="420" w:firstLineChars="200"/>
        <w:rPr>
          <w:rFonts w:hint="eastAsia"/>
          <w:color w:val="auto"/>
          <w:highlight w:val="none"/>
        </w:rPr>
      </w:pPr>
      <w:r>
        <w:rPr>
          <w:rFonts w:hint="eastAsia"/>
          <w:color w:val="auto"/>
          <w:highlight w:val="none"/>
        </w:rPr>
        <w:t>（1）发生营业执照被依法吊销的情况；</w:t>
      </w:r>
    </w:p>
    <w:p>
      <w:pPr>
        <w:spacing w:line="400" w:lineRule="exact"/>
        <w:ind w:firstLine="420" w:firstLineChars="200"/>
        <w:rPr>
          <w:rFonts w:hint="eastAsia"/>
          <w:color w:val="auto"/>
          <w:highlight w:val="none"/>
        </w:rPr>
      </w:pPr>
      <w:r>
        <w:rPr>
          <w:rFonts w:hint="eastAsia"/>
          <w:color w:val="auto"/>
          <w:highlight w:val="none"/>
        </w:rPr>
        <w:t>（2）发生被责令停业、停产、关闭、重大并购的情况；</w:t>
      </w:r>
    </w:p>
    <w:p>
      <w:pPr>
        <w:spacing w:line="400" w:lineRule="exact"/>
        <w:ind w:firstLine="420" w:firstLineChars="200"/>
        <w:rPr>
          <w:rFonts w:hint="eastAsia"/>
          <w:color w:val="auto"/>
          <w:highlight w:val="none"/>
        </w:rPr>
      </w:pPr>
      <w:r>
        <w:rPr>
          <w:rFonts w:hint="eastAsia"/>
          <w:color w:val="auto"/>
          <w:highlight w:val="none"/>
        </w:rPr>
        <w:t>（3）发生资质证书或其他许可证被依法收缴、吊销的情况；</w:t>
      </w:r>
    </w:p>
    <w:p>
      <w:pPr>
        <w:spacing w:line="400" w:lineRule="exact"/>
        <w:ind w:firstLine="420" w:firstLineChars="200"/>
        <w:rPr>
          <w:rFonts w:hint="eastAsia"/>
          <w:color w:val="auto"/>
          <w:highlight w:val="none"/>
        </w:rPr>
      </w:pPr>
      <w:r>
        <w:rPr>
          <w:rFonts w:hint="eastAsia"/>
          <w:color w:val="auto"/>
          <w:highlight w:val="none"/>
        </w:rPr>
        <w:t>（4）发生突发安全事件、重大设备故障事件等重大变故，严重影响合同正常履行；</w:t>
      </w:r>
    </w:p>
    <w:p>
      <w:pPr>
        <w:spacing w:line="400" w:lineRule="exact"/>
        <w:ind w:firstLine="420" w:firstLineChars="200"/>
        <w:rPr>
          <w:rFonts w:hint="eastAsia"/>
          <w:color w:val="auto"/>
          <w:highlight w:val="none"/>
        </w:rPr>
      </w:pPr>
      <w:r>
        <w:rPr>
          <w:rFonts w:hint="eastAsia"/>
          <w:color w:val="auto"/>
          <w:highlight w:val="none"/>
        </w:rPr>
        <w:t>（5）发生财产被接管、冻结，或被法院裁定重整、破产清算，或财务状况严重恶化等情况，将严重影响合同正常履行；</w:t>
      </w:r>
    </w:p>
    <w:p>
      <w:pPr>
        <w:spacing w:line="400" w:lineRule="exact"/>
        <w:ind w:firstLine="420" w:firstLineChars="200"/>
        <w:rPr>
          <w:rFonts w:hint="eastAsia"/>
          <w:color w:val="auto"/>
          <w:highlight w:val="none"/>
        </w:rPr>
      </w:pPr>
      <w:r>
        <w:rPr>
          <w:rFonts w:hint="eastAsia"/>
          <w:color w:val="auto"/>
          <w:highlight w:val="none"/>
        </w:rPr>
        <w:t>（6）因税务、环境违法等行为被行政机关处罚，或发生重大民事法律案件，或发生重大负面舆情，将严重影响合同正常履行；</w:t>
      </w:r>
    </w:p>
    <w:p>
      <w:pPr>
        <w:spacing w:line="400" w:lineRule="exact"/>
        <w:ind w:firstLine="420" w:firstLineChars="200"/>
        <w:rPr>
          <w:rFonts w:hint="eastAsia"/>
          <w:color w:val="auto"/>
          <w:highlight w:val="none"/>
        </w:rPr>
      </w:pPr>
      <w:r>
        <w:rPr>
          <w:rFonts w:hint="eastAsia"/>
          <w:color w:val="auto"/>
          <w:highlight w:val="none"/>
        </w:rPr>
        <w:t>（7）被行政机关或监管机构立案调查，可能被作出退市处理（适用于上市公司）</w:t>
      </w:r>
    </w:p>
    <w:p>
      <w:pPr>
        <w:spacing w:line="400" w:lineRule="exact"/>
        <w:ind w:firstLine="420" w:firstLineChars="200"/>
        <w:rPr>
          <w:rFonts w:hint="eastAsia"/>
          <w:color w:val="auto"/>
          <w:highlight w:val="none"/>
        </w:rPr>
      </w:pPr>
      <w:r>
        <w:rPr>
          <w:rFonts w:hint="eastAsia"/>
          <w:color w:val="auto"/>
          <w:highlight w:val="none"/>
        </w:rPr>
        <w:t>（8）已与招标人发生重大法律争议或民事法律案件。</w:t>
      </w:r>
    </w:p>
    <w:p>
      <w:pPr>
        <w:spacing w:line="400" w:lineRule="exact"/>
        <w:ind w:firstLine="420" w:firstLineChars="200"/>
        <w:rPr>
          <w:rFonts w:hint="eastAsia"/>
          <w:color w:val="auto"/>
          <w:highlight w:val="none"/>
        </w:rPr>
      </w:pPr>
      <w:r>
        <w:rPr>
          <w:rFonts w:hint="eastAsia"/>
          <w:color w:val="auto"/>
          <w:highlight w:val="none"/>
        </w:rPr>
        <w:t>（9）其他可能影响合同履行的情况。</w:t>
      </w:r>
    </w:p>
    <w:bookmarkEnd w:id="408"/>
    <w:p>
      <w:pPr>
        <w:pStyle w:val="5"/>
        <w:spacing w:line="240" w:lineRule="auto"/>
        <w:ind w:firstLine="137"/>
        <w:rPr>
          <w:rFonts w:hint="eastAsia" w:ascii="Times New Roman"/>
          <w:color w:val="auto"/>
          <w:highlight w:val="none"/>
        </w:rPr>
      </w:pPr>
      <w:bookmarkStart w:id="410" w:name="_Toc306294230"/>
      <w:r>
        <w:rPr>
          <w:rFonts w:hint="eastAsia" w:ascii="Times New Roman"/>
          <w:color w:val="auto"/>
          <w:highlight w:val="none"/>
        </w:rPr>
        <w:t>9.</w:t>
      </w:r>
      <w:r>
        <w:rPr>
          <w:rFonts w:ascii="Times New Roman"/>
          <w:color w:val="auto"/>
          <w:highlight w:val="none"/>
        </w:rPr>
        <w:t>6</w:t>
      </w:r>
      <w:r>
        <w:rPr>
          <w:rFonts w:hint="eastAsia" w:ascii="Times New Roman"/>
          <w:color w:val="auto"/>
          <w:highlight w:val="none"/>
        </w:rPr>
        <w:t xml:space="preserve"> 廉洁</w:t>
      </w:r>
      <w:bookmarkEnd w:id="410"/>
    </w:p>
    <w:p>
      <w:pPr>
        <w:spacing w:line="400" w:lineRule="exact"/>
        <w:ind w:firstLine="420" w:firstLineChars="200"/>
        <w:rPr>
          <w:rFonts w:hint="eastAsia"/>
          <w:color w:val="auto"/>
          <w:highlight w:val="none"/>
        </w:rPr>
      </w:pPr>
      <w:r>
        <w:rPr>
          <w:rFonts w:hint="eastAsia"/>
          <w:color w:val="auto"/>
          <w:highlight w:val="none"/>
        </w:rPr>
        <w:t>执行中国南方电网有限责任公司的相关规定，在合同协议书签署前同时签署“廉洁协议书”。</w:t>
      </w:r>
    </w:p>
    <w:p>
      <w:pPr>
        <w:pStyle w:val="23"/>
        <w:ind w:firstLine="420" w:firstLineChars="200"/>
        <w:rPr>
          <w:rFonts w:hint="eastAsia" w:hAnsi="宋体"/>
          <w:color w:val="auto"/>
          <w:highlight w:val="none"/>
        </w:rPr>
      </w:pPr>
    </w:p>
    <w:p>
      <w:pPr>
        <w:pStyle w:val="4"/>
        <w:spacing w:before="0" w:after="0" w:line="240" w:lineRule="auto"/>
        <w:rPr>
          <w:rFonts w:hint="eastAsia" w:ascii="Times New Roman" w:hAnsi="Times New Roman"/>
          <w:b w:val="0"/>
          <w:color w:val="auto"/>
          <w:highlight w:val="none"/>
        </w:rPr>
      </w:pPr>
      <w:bookmarkStart w:id="411" w:name="_Toc21523449"/>
      <w:bookmarkStart w:id="412" w:name="_Toc21631"/>
      <w:r>
        <w:rPr>
          <w:rFonts w:hint="eastAsia" w:ascii="Times New Roman" w:hAnsi="Times New Roman"/>
          <w:b w:val="0"/>
          <w:color w:val="auto"/>
          <w:highlight w:val="none"/>
        </w:rPr>
        <w:t>10. 异议</w:t>
      </w:r>
      <w:bookmarkEnd w:id="411"/>
      <w:bookmarkEnd w:id="412"/>
    </w:p>
    <w:p>
      <w:pPr>
        <w:pStyle w:val="5"/>
        <w:spacing w:line="240" w:lineRule="auto"/>
        <w:ind w:firstLine="137"/>
        <w:rPr>
          <w:rFonts w:hint="eastAsia" w:ascii="Times New Roman"/>
          <w:color w:val="auto"/>
          <w:highlight w:val="none"/>
        </w:rPr>
      </w:pPr>
      <w:r>
        <w:rPr>
          <w:rFonts w:hint="eastAsia" w:ascii="Times New Roman"/>
          <w:color w:val="auto"/>
          <w:highlight w:val="none"/>
        </w:rPr>
        <w:t>10.1 异议的受理机构及联系方式</w:t>
      </w:r>
    </w:p>
    <w:p>
      <w:pPr>
        <w:spacing w:line="360" w:lineRule="auto"/>
        <w:ind w:right="-34" w:firstLine="424" w:firstLineChars="202"/>
        <w:rPr>
          <w:rFonts w:hint="eastAsia" w:ascii="宋体" w:hAnsi="宋体"/>
          <w:color w:val="auto"/>
          <w:highlight w:val="none"/>
        </w:rPr>
      </w:pPr>
      <w:r>
        <w:rPr>
          <w:rFonts w:hint="eastAsia" w:ascii="宋体" w:hAnsi="宋体"/>
          <w:color w:val="auto"/>
          <w:highlight w:val="none"/>
        </w:rPr>
        <w:t>受理机构：</w:t>
      </w:r>
      <w:r>
        <w:rPr>
          <w:rFonts w:hint="eastAsia" w:hAnsi="宋体" w:cs="宋体"/>
          <w:color w:val="auto"/>
          <w:szCs w:val="21"/>
          <w:highlight w:val="none"/>
        </w:rPr>
        <w:t>广东普太建设咨询有限公司</w:t>
      </w:r>
    </w:p>
    <w:p>
      <w:pPr>
        <w:tabs>
          <w:tab w:val="left" w:pos="2127"/>
        </w:tabs>
        <w:ind w:firstLine="420" w:firstLineChars="200"/>
        <w:rPr>
          <w:rFonts w:hint="eastAsia" w:ascii="宋体" w:hAnsi="宋体"/>
          <w:color w:val="auto"/>
          <w:highlight w:val="none"/>
        </w:rPr>
      </w:pPr>
      <w:r>
        <w:rPr>
          <w:rFonts w:hint="eastAsia" w:ascii="宋体" w:hAnsi="宋体"/>
          <w:color w:val="auto"/>
          <w:highlight w:val="none"/>
        </w:rPr>
        <w:t>地址：</w:t>
      </w:r>
      <w:r>
        <w:rPr>
          <w:rFonts w:hint="eastAsia" w:hAnsi="宋体" w:cs="宋体"/>
          <w:color w:val="auto"/>
          <w:szCs w:val="21"/>
          <w:highlight w:val="none"/>
        </w:rPr>
        <w:t>东莞市东城街道世博广场J区1203室</w:t>
      </w:r>
    </w:p>
    <w:p>
      <w:pPr>
        <w:tabs>
          <w:tab w:val="left" w:pos="2127"/>
        </w:tabs>
        <w:ind w:firstLine="420" w:firstLineChars="200"/>
        <w:rPr>
          <w:rFonts w:hint="eastAsia" w:ascii="宋体" w:hAnsi="宋体"/>
          <w:color w:val="auto"/>
          <w:highlight w:val="none"/>
        </w:rPr>
      </w:pPr>
      <w:r>
        <w:rPr>
          <w:rFonts w:hint="eastAsia" w:ascii="宋体" w:hAnsi="宋体"/>
          <w:color w:val="auto"/>
          <w:highlight w:val="none"/>
        </w:rPr>
        <w:t>邮编：</w:t>
      </w:r>
      <w:r>
        <w:rPr>
          <w:rFonts w:hint="eastAsia" w:ascii="宋体" w:hAnsi="宋体"/>
          <w:color w:val="auto"/>
          <w:highlight w:val="none"/>
          <w:u w:val="single"/>
        </w:rPr>
        <w:t xml:space="preserve">523000 </w:t>
      </w:r>
    </w:p>
    <w:p>
      <w:pPr>
        <w:tabs>
          <w:tab w:val="left" w:pos="2127"/>
        </w:tabs>
        <w:ind w:firstLine="420" w:firstLineChars="200"/>
        <w:rPr>
          <w:rFonts w:hint="eastAsia" w:ascii="宋体" w:hAnsi="宋体"/>
          <w:color w:val="auto"/>
          <w:highlight w:val="none"/>
        </w:rPr>
      </w:pPr>
      <w:r>
        <w:rPr>
          <w:rFonts w:hint="eastAsia" w:ascii="宋体" w:hAnsi="宋体"/>
          <w:color w:val="auto"/>
          <w:highlight w:val="none"/>
        </w:rPr>
        <w:t xml:space="preserve">联系人： </w:t>
      </w:r>
      <w:r>
        <w:rPr>
          <w:rFonts w:hint="eastAsia" w:hAnsi="宋体" w:cs="宋体"/>
          <w:color w:val="auto"/>
          <w:szCs w:val="21"/>
          <w:highlight w:val="none"/>
        </w:rPr>
        <w:t>姚浩轩</w:t>
      </w:r>
      <w:r>
        <w:rPr>
          <w:rFonts w:hint="eastAsia" w:ascii="宋体" w:hAnsi="宋体"/>
          <w:color w:val="auto"/>
          <w:highlight w:val="none"/>
        </w:rPr>
        <w:t xml:space="preserve"> </w:t>
      </w:r>
    </w:p>
    <w:p>
      <w:pPr>
        <w:tabs>
          <w:tab w:val="left" w:pos="2127"/>
        </w:tabs>
        <w:ind w:firstLine="420" w:firstLineChars="200"/>
        <w:rPr>
          <w:rFonts w:hint="eastAsia" w:ascii="宋体" w:hAnsi="宋体"/>
          <w:color w:val="auto"/>
          <w:highlight w:val="none"/>
          <w:u w:val="single"/>
        </w:rPr>
      </w:pPr>
      <w:r>
        <w:rPr>
          <w:rFonts w:hint="eastAsia" w:ascii="宋体" w:hAnsi="宋体"/>
          <w:color w:val="auto"/>
          <w:highlight w:val="none"/>
        </w:rPr>
        <w:t>联系电话（不是业务咨询电话）：</w:t>
      </w:r>
      <w:r>
        <w:rPr>
          <w:rFonts w:hint="eastAsia" w:ascii="宋体" w:hAnsi="宋体"/>
          <w:color w:val="auto"/>
          <w:highlight w:val="none"/>
          <w:u w:val="single"/>
        </w:rPr>
        <w:t xml:space="preserve">15622962781 </w:t>
      </w:r>
    </w:p>
    <w:p>
      <w:pPr>
        <w:tabs>
          <w:tab w:val="left" w:pos="2127"/>
        </w:tabs>
        <w:ind w:firstLine="420" w:firstLineChars="200"/>
        <w:rPr>
          <w:rFonts w:hint="eastAsia" w:ascii="宋体" w:hAnsi="宋体"/>
          <w:color w:val="auto"/>
          <w:highlight w:val="none"/>
        </w:rPr>
      </w:pPr>
      <w:r>
        <w:rPr>
          <w:rFonts w:hint="eastAsia" w:ascii="宋体" w:hAnsi="宋体"/>
          <w:color w:val="auto"/>
          <w:highlight w:val="none"/>
        </w:rPr>
        <w:t>受理邮箱：</w:t>
      </w:r>
      <w:r>
        <w:rPr>
          <w:rFonts w:hint="eastAsia" w:ascii="宋体" w:hAnsi="宋体"/>
          <w:color w:val="auto"/>
          <w:highlight w:val="none"/>
          <w:u w:val="single"/>
        </w:rPr>
        <w:t xml:space="preserve"> </w:t>
      </w:r>
      <w:r>
        <w:rPr>
          <w:rFonts w:hint="eastAsia" w:hAnsi="宋体" w:cs="宋体"/>
          <w:color w:val="auto"/>
          <w:szCs w:val="21"/>
          <w:highlight w:val="none"/>
        </w:rPr>
        <w:t>gdptjs@126.com</w:t>
      </w:r>
      <w:r>
        <w:rPr>
          <w:rFonts w:hint="eastAsia" w:ascii="宋体" w:hAnsi="宋体"/>
          <w:color w:val="auto"/>
          <w:highlight w:val="none"/>
          <w:u w:val="single"/>
        </w:rPr>
        <w:t xml:space="preserve"> </w:t>
      </w:r>
      <w:r>
        <w:rPr>
          <w:rFonts w:hint="eastAsia" w:ascii="宋体" w:hAnsi="宋体" w:cs="宋体"/>
          <w:color w:val="auto"/>
          <w:szCs w:val="21"/>
          <w:highlight w:val="none"/>
        </w:rPr>
        <w:t>（异议提出人发送电子异议书至受理邮箱的，需在工作时间拨打“异议受理机构联系人”电话确认邮件接收情况）</w:t>
      </w:r>
    </w:p>
    <w:p>
      <w:pPr>
        <w:tabs>
          <w:tab w:val="left" w:pos="2127"/>
        </w:tabs>
        <w:ind w:firstLine="420" w:firstLineChars="200"/>
        <w:rPr>
          <w:rFonts w:hint="eastAsia" w:ascii="宋体" w:hAnsi="宋体"/>
          <w:color w:val="auto"/>
          <w:highlight w:val="none"/>
        </w:rPr>
      </w:pPr>
      <w:r>
        <w:rPr>
          <w:rFonts w:hint="eastAsia" w:ascii="宋体" w:hAnsi="宋体"/>
          <w:color w:val="auto"/>
          <w:highlight w:val="none"/>
        </w:rPr>
        <w:t>注意：项目澄清与异议流程、电话不同，请各投标人按照本项目要求辨别问题属性后再拨打相应电话。</w:t>
      </w:r>
    </w:p>
    <w:p>
      <w:pPr>
        <w:pStyle w:val="5"/>
        <w:spacing w:line="240" w:lineRule="auto"/>
        <w:ind w:firstLine="137"/>
        <w:rPr>
          <w:rFonts w:hint="eastAsia" w:ascii="Times New Roman"/>
          <w:color w:val="auto"/>
          <w:highlight w:val="none"/>
        </w:rPr>
      </w:pPr>
      <w:r>
        <w:rPr>
          <w:rFonts w:hint="eastAsia" w:ascii="Times New Roman"/>
          <w:color w:val="auto"/>
          <w:highlight w:val="none"/>
        </w:rPr>
        <w:t>10.2 异议书的格式及要求</w:t>
      </w:r>
    </w:p>
    <w:p>
      <w:pPr>
        <w:spacing w:line="400" w:lineRule="exact"/>
        <w:ind w:firstLine="420" w:firstLineChars="200"/>
        <w:rPr>
          <w:rFonts w:hint="eastAsia"/>
          <w:color w:val="auto"/>
          <w:highlight w:val="none"/>
        </w:rPr>
      </w:pPr>
      <w:r>
        <w:rPr>
          <w:rFonts w:hint="eastAsia"/>
          <w:color w:val="auto"/>
          <w:highlight w:val="none"/>
        </w:rPr>
        <w:t>异议书中应包含异议提出人名称、联系人及联系方式、异议所针对的对象、提出异议的基本事实、相关请求及主张、有效线索和相关证明材料等信息，异议书格式详见附件《异议书（模板）》。</w:t>
      </w:r>
    </w:p>
    <w:p>
      <w:pPr>
        <w:spacing w:line="400" w:lineRule="exact"/>
        <w:ind w:firstLine="420" w:firstLineChars="200"/>
        <w:rPr>
          <w:rFonts w:hint="eastAsia"/>
          <w:color w:val="auto"/>
          <w:highlight w:val="none"/>
        </w:rPr>
      </w:pPr>
      <w:r>
        <w:rPr>
          <w:rFonts w:hint="eastAsia"/>
          <w:color w:val="auto"/>
          <w:highlight w:val="none"/>
        </w:rPr>
        <w:t>异议书必须由其法定代表人及授权代表签字并加盖单位公章；异议由其他利害关系人提出的，还需出示异议提出人与本次采购活动存在利害关系的证明文件，并附有效身份证明复印件。</w:t>
      </w:r>
    </w:p>
    <w:p>
      <w:pPr>
        <w:spacing w:line="400" w:lineRule="exact"/>
        <w:ind w:firstLine="420" w:firstLineChars="200"/>
        <w:rPr>
          <w:rFonts w:hint="eastAsia"/>
          <w:color w:val="auto"/>
          <w:highlight w:val="none"/>
        </w:rPr>
      </w:pPr>
      <w:r>
        <w:rPr>
          <w:rFonts w:hint="eastAsia"/>
          <w:color w:val="auto"/>
          <w:highlight w:val="none"/>
        </w:rPr>
        <w:t>本采购项目的参与者或其他利害关系人对采购项目有异议的，可以将异议书签字盖章后，连同其他附件资料以现场递交或邮寄的方式在规定时间内向受理机构提出；采用邮寄方式提出的异议，可以在规定时间内先将异议书扫描件以电子邮件方式发出，但书面异议书必须在电子邮件发出的当天同时寄出。</w:t>
      </w:r>
    </w:p>
    <w:p>
      <w:pPr>
        <w:pStyle w:val="5"/>
        <w:spacing w:line="240" w:lineRule="auto"/>
        <w:ind w:firstLine="137"/>
        <w:rPr>
          <w:rFonts w:hint="eastAsia" w:ascii="Times New Roman"/>
          <w:color w:val="auto"/>
          <w:highlight w:val="none"/>
        </w:rPr>
      </w:pPr>
      <w:r>
        <w:rPr>
          <w:rFonts w:hint="eastAsia" w:ascii="Times New Roman"/>
          <w:color w:val="auto"/>
          <w:highlight w:val="none"/>
        </w:rPr>
        <w:t>10.3 异议提出的时限</w:t>
      </w:r>
    </w:p>
    <w:p>
      <w:pPr>
        <w:spacing w:line="400" w:lineRule="exact"/>
        <w:ind w:firstLine="420" w:firstLineChars="200"/>
        <w:rPr>
          <w:rFonts w:hint="eastAsia"/>
          <w:color w:val="auto"/>
          <w:highlight w:val="none"/>
        </w:rPr>
      </w:pPr>
      <w:r>
        <w:rPr>
          <w:rFonts w:hint="eastAsia"/>
          <w:color w:val="auto"/>
          <w:highlight w:val="none"/>
        </w:rPr>
        <w:t>（1）对资格预审文件的内容有异议的，应当在提交资格预审文件截止时间两天前提出；</w:t>
      </w:r>
    </w:p>
    <w:p>
      <w:pPr>
        <w:spacing w:line="400" w:lineRule="exact"/>
        <w:ind w:firstLine="420" w:firstLineChars="200"/>
        <w:rPr>
          <w:rFonts w:hint="eastAsia"/>
          <w:color w:val="auto"/>
          <w:highlight w:val="none"/>
        </w:rPr>
      </w:pPr>
      <w:r>
        <w:rPr>
          <w:rFonts w:hint="eastAsia"/>
          <w:color w:val="auto"/>
          <w:highlight w:val="none"/>
        </w:rPr>
        <w:t>（2）对招标文件或采购文件的内容有异议的，应当在投标截止时间十天前提出；</w:t>
      </w:r>
    </w:p>
    <w:p>
      <w:pPr>
        <w:spacing w:line="400" w:lineRule="exact"/>
        <w:ind w:firstLine="420" w:firstLineChars="200"/>
        <w:rPr>
          <w:rFonts w:hint="eastAsia"/>
          <w:color w:val="auto"/>
          <w:highlight w:val="none"/>
        </w:rPr>
      </w:pPr>
      <w:r>
        <w:rPr>
          <w:rFonts w:hint="eastAsia"/>
          <w:color w:val="auto"/>
          <w:highlight w:val="none"/>
        </w:rPr>
        <w:t>（3）对开标有异议的，应当在开标现场提出；</w:t>
      </w:r>
    </w:p>
    <w:p>
      <w:pPr>
        <w:spacing w:line="400" w:lineRule="exact"/>
        <w:ind w:firstLine="420" w:firstLineChars="200"/>
        <w:rPr>
          <w:rFonts w:hint="eastAsia"/>
          <w:color w:val="auto"/>
          <w:highlight w:val="none"/>
        </w:rPr>
      </w:pPr>
      <w:r>
        <w:rPr>
          <w:rFonts w:hint="eastAsia"/>
          <w:color w:val="auto"/>
          <w:highlight w:val="none"/>
        </w:rPr>
        <w:t>（4）对推荐中标结果有异议的，应当在中标候选人公示期内提出；</w:t>
      </w:r>
    </w:p>
    <w:p>
      <w:pPr>
        <w:spacing w:line="400" w:lineRule="exact"/>
        <w:ind w:firstLine="420" w:firstLineChars="200"/>
        <w:rPr>
          <w:rFonts w:hint="eastAsia"/>
          <w:color w:val="auto"/>
          <w:highlight w:val="none"/>
        </w:rPr>
      </w:pPr>
      <w:r>
        <w:rPr>
          <w:rFonts w:hint="eastAsia"/>
          <w:color w:val="auto"/>
          <w:highlight w:val="none"/>
        </w:rPr>
        <w:t>（5）对招标/非招标采购活动合法合规等方面有异议的，在知道或者应当知道之日起十天内提出；</w:t>
      </w:r>
    </w:p>
    <w:p>
      <w:pPr>
        <w:spacing w:line="400" w:lineRule="exact"/>
        <w:ind w:firstLine="420" w:firstLineChars="200"/>
        <w:rPr>
          <w:rFonts w:hint="eastAsia"/>
          <w:color w:val="auto"/>
          <w:highlight w:val="none"/>
        </w:rPr>
      </w:pPr>
      <w:r>
        <w:rPr>
          <w:rFonts w:hint="eastAsia"/>
          <w:color w:val="auto"/>
          <w:highlight w:val="none"/>
        </w:rPr>
        <w:t>（6）对采用单一来源采购方式公示有异议的，应在公示期内提出。</w:t>
      </w:r>
    </w:p>
    <w:p>
      <w:pPr>
        <w:pStyle w:val="5"/>
        <w:spacing w:line="240" w:lineRule="auto"/>
        <w:ind w:firstLine="137"/>
        <w:rPr>
          <w:rFonts w:hint="eastAsia" w:ascii="Times New Roman"/>
          <w:color w:val="auto"/>
          <w:highlight w:val="none"/>
        </w:rPr>
      </w:pPr>
      <w:r>
        <w:rPr>
          <w:rFonts w:hint="eastAsia" w:ascii="Times New Roman"/>
          <w:color w:val="auto"/>
          <w:highlight w:val="none"/>
        </w:rPr>
        <w:t>10.4 异议不予受理的情形</w:t>
      </w:r>
    </w:p>
    <w:p>
      <w:pPr>
        <w:spacing w:line="400" w:lineRule="exact"/>
        <w:ind w:firstLine="420" w:firstLineChars="200"/>
        <w:rPr>
          <w:rFonts w:hint="eastAsia"/>
          <w:color w:val="auto"/>
          <w:highlight w:val="none"/>
        </w:rPr>
      </w:pPr>
      <w:r>
        <w:rPr>
          <w:rFonts w:hint="eastAsia"/>
          <w:color w:val="auto"/>
          <w:highlight w:val="none"/>
        </w:rPr>
        <w:t>（1）异议提出人不是本采购项目参与者，或未能提供与本次投标存在利害关系证明文件的其他利害关系人；</w:t>
      </w:r>
    </w:p>
    <w:p>
      <w:pPr>
        <w:spacing w:line="400" w:lineRule="exact"/>
        <w:ind w:firstLine="420" w:firstLineChars="200"/>
        <w:rPr>
          <w:rFonts w:hint="eastAsia"/>
          <w:color w:val="auto"/>
          <w:highlight w:val="none"/>
        </w:rPr>
      </w:pPr>
      <w:r>
        <w:rPr>
          <w:rFonts w:hint="eastAsia"/>
          <w:color w:val="auto"/>
          <w:highlight w:val="none"/>
        </w:rPr>
        <w:t>（2）涉及的事项不具体，且未提供有效线索，难以查证的；</w:t>
      </w:r>
    </w:p>
    <w:p>
      <w:pPr>
        <w:spacing w:line="400" w:lineRule="exact"/>
        <w:ind w:firstLine="420" w:firstLineChars="200"/>
        <w:rPr>
          <w:rFonts w:hint="eastAsia"/>
          <w:color w:val="auto"/>
          <w:highlight w:val="none"/>
        </w:rPr>
      </w:pPr>
      <w:r>
        <w:rPr>
          <w:rFonts w:hint="eastAsia"/>
          <w:color w:val="auto"/>
          <w:highlight w:val="none"/>
        </w:rPr>
        <w:t>（3）提供的资料未提供异议提出人的真实名称、有效联系方式、法定代表人签字和加盖单位公章的；</w:t>
      </w:r>
    </w:p>
    <w:p>
      <w:pPr>
        <w:spacing w:line="400" w:lineRule="exact"/>
        <w:ind w:firstLine="420" w:firstLineChars="200"/>
        <w:rPr>
          <w:rFonts w:hint="eastAsia"/>
          <w:color w:val="auto"/>
          <w:highlight w:val="none"/>
        </w:rPr>
      </w:pPr>
      <w:r>
        <w:rPr>
          <w:rFonts w:hint="eastAsia"/>
          <w:color w:val="auto"/>
          <w:highlight w:val="none"/>
        </w:rPr>
        <w:t>（4）超过异议提出时效的（以收到异议书日期为准；采用邮寄方式的，以邮戳日期为准）；</w:t>
      </w:r>
    </w:p>
    <w:p>
      <w:pPr>
        <w:spacing w:line="400" w:lineRule="exact"/>
        <w:ind w:firstLine="420" w:firstLineChars="200"/>
        <w:rPr>
          <w:rFonts w:hint="eastAsia"/>
          <w:color w:val="auto"/>
          <w:highlight w:val="none"/>
        </w:rPr>
      </w:pPr>
      <w:r>
        <w:rPr>
          <w:rFonts w:hint="eastAsia"/>
          <w:color w:val="auto"/>
          <w:highlight w:val="none"/>
        </w:rPr>
        <w:t>（5）已经作出处理决定，并且异议提出人没有提出新的证据的；</w:t>
      </w:r>
    </w:p>
    <w:p>
      <w:pPr>
        <w:spacing w:line="400" w:lineRule="exact"/>
        <w:ind w:firstLine="420" w:firstLineChars="200"/>
        <w:rPr>
          <w:rFonts w:hint="eastAsia"/>
          <w:color w:val="auto"/>
          <w:highlight w:val="none"/>
        </w:rPr>
      </w:pPr>
      <w:r>
        <w:rPr>
          <w:rFonts w:hint="eastAsia"/>
          <w:color w:val="auto"/>
          <w:highlight w:val="none"/>
        </w:rPr>
        <w:t>（6）涉及招标评标或非招标采购过程的具体细节、其他投标人的商业秘密或其他投标人投标文件的具体内容但未能说明内容真实性和来源合法性的；</w:t>
      </w:r>
    </w:p>
    <w:p>
      <w:pPr>
        <w:spacing w:line="400" w:lineRule="exact"/>
        <w:ind w:firstLine="420" w:firstLineChars="200"/>
        <w:rPr>
          <w:rFonts w:hint="eastAsia"/>
          <w:color w:val="auto"/>
          <w:highlight w:val="none"/>
        </w:rPr>
      </w:pPr>
      <w:r>
        <w:rPr>
          <w:rFonts w:hint="eastAsia"/>
          <w:color w:val="auto"/>
          <w:highlight w:val="none"/>
        </w:rPr>
        <w:t>（7）缺乏事实根据或者法律依据的，或者投诉人捏造事实、伪造材料或者以非法手段取得证明材料的异议。</w:t>
      </w:r>
    </w:p>
    <w:p>
      <w:pPr>
        <w:pStyle w:val="5"/>
        <w:spacing w:line="240" w:lineRule="auto"/>
        <w:ind w:firstLine="137"/>
        <w:rPr>
          <w:rFonts w:hint="eastAsia" w:ascii="Times New Roman"/>
          <w:color w:val="auto"/>
          <w:highlight w:val="none"/>
        </w:rPr>
      </w:pPr>
      <w:r>
        <w:rPr>
          <w:rFonts w:hint="eastAsia" w:ascii="Times New Roman"/>
          <w:color w:val="auto"/>
          <w:highlight w:val="none"/>
        </w:rPr>
        <w:t>10.5恶意行为的处罚</w:t>
      </w:r>
    </w:p>
    <w:p>
      <w:pPr>
        <w:spacing w:line="400" w:lineRule="exact"/>
        <w:ind w:firstLine="420" w:firstLineChars="200"/>
        <w:rPr>
          <w:rFonts w:hint="eastAsia"/>
          <w:color w:val="auto"/>
          <w:highlight w:val="none"/>
        </w:rPr>
      </w:pPr>
      <w:r>
        <w:rPr>
          <w:rFonts w:hint="eastAsia"/>
          <w:color w:val="auto"/>
          <w:highlight w:val="none"/>
        </w:rPr>
        <w:t>异议提出人不得以投诉为名排挤竞争对手，不得进行虚假、恶意投诉，阻碍招标/非招标采购活动的正常进行。经核查发现所提出的异议存在诬告、故意扰乱采购秩序等恶意行为的，将按照《中国南方电网有限责任公司供货商扣分处罚实施细则》进行处罚。</w:t>
      </w:r>
    </w:p>
    <w:p>
      <w:pPr>
        <w:tabs>
          <w:tab w:val="left" w:pos="2127"/>
        </w:tabs>
        <w:ind w:firstLine="420" w:firstLineChars="200"/>
        <w:rPr>
          <w:rFonts w:hint="eastAsia" w:ascii="宋体" w:hAnsi="宋体"/>
          <w:color w:val="auto"/>
          <w:highlight w:val="none"/>
        </w:rPr>
      </w:pPr>
    </w:p>
    <w:p>
      <w:pPr>
        <w:pStyle w:val="4"/>
        <w:spacing w:before="0" w:after="0" w:line="240" w:lineRule="auto"/>
        <w:rPr>
          <w:rFonts w:hint="eastAsia" w:ascii="Times New Roman" w:hAnsi="Times New Roman"/>
          <w:b w:val="0"/>
          <w:color w:val="auto"/>
          <w:highlight w:val="none"/>
        </w:rPr>
      </w:pPr>
      <w:bookmarkStart w:id="413" w:name="_Toc6861"/>
      <w:bookmarkStart w:id="414" w:name="_Toc21523450"/>
      <w:r>
        <w:rPr>
          <w:rFonts w:hint="eastAsia" w:ascii="Times New Roman" w:hAnsi="Times New Roman"/>
          <w:b w:val="0"/>
          <w:color w:val="auto"/>
          <w:highlight w:val="none"/>
        </w:rPr>
        <w:t>11. 监督与投诉</w:t>
      </w:r>
      <w:bookmarkEnd w:id="413"/>
      <w:bookmarkEnd w:id="414"/>
    </w:p>
    <w:p>
      <w:pPr>
        <w:spacing w:line="44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投诉单位：</w:t>
      </w:r>
      <w:r>
        <w:rPr>
          <w:rFonts w:hint="eastAsia" w:ascii="宋体" w:hAnsi="宋体"/>
          <w:bCs/>
          <w:color w:val="auto"/>
          <w:szCs w:val="21"/>
          <w:highlight w:val="none"/>
          <w:u w:val="single"/>
        </w:rPr>
        <w:t xml:space="preserve">广东电网有限责任公司东莞供电局 </w:t>
      </w:r>
    </w:p>
    <w:p>
      <w:pPr>
        <w:spacing w:line="44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联系电话：</w:t>
      </w:r>
      <w:r>
        <w:rPr>
          <w:rFonts w:hint="eastAsia" w:ascii="宋体" w:hAnsi="宋体"/>
          <w:bCs/>
          <w:color w:val="auto"/>
          <w:szCs w:val="21"/>
          <w:highlight w:val="none"/>
          <w:u w:val="single"/>
        </w:rPr>
        <w:t xml:space="preserve"> 0769-22829635 </w:t>
      </w:r>
    </w:p>
    <w:p>
      <w:pPr>
        <w:spacing w:line="440" w:lineRule="exact"/>
        <w:ind w:firstLine="420" w:firstLineChars="200"/>
        <w:rPr>
          <w:rFonts w:hint="eastAsia" w:ascii="宋体" w:hAnsi="宋体"/>
          <w:b/>
          <w:color w:val="auto"/>
          <w:szCs w:val="21"/>
          <w:highlight w:val="none"/>
          <w:u w:val="single"/>
        </w:rPr>
      </w:pPr>
      <w:r>
        <w:rPr>
          <w:rFonts w:hint="eastAsia" w:ascii="宋体" w:hAnsi="宋体"/>
          <w:bCs/>
          <w:color w:val="auto"/>
          <w:szCs w:val="21"/>
          <w:highlight w:val="none"/>
        </w:rPr>
        <w:t>地址：</w:t>
      </w:r>
      <w:r>
        <w:rPr>
          <w:rFonts w:hint="eastAsia" w:ascii="宋体" w:hAnsi="宋体"/>
          <w:bCs/>
          <w:color w:val="auto"/>
          <w:szCs w:val="21"/>
          <w:highlight w:val="none"/>
          <w:u w:val="single"/>
        </w:rPr>
        <w:t xml:space="preserve">东莞市东城路239号 </w:t>
      </w:r>
    </w:p>
    <w:p>
      <w:pPr>
        <w:ind w:firstLine="420" w:firstLineChars="200"/>
        <w:rPr>
          <w:rFonts w:hint="eastAsia" w:ascii="宋体" w:hAnsi="宋体"/>
          <w:color w:val="auto"/>
          <w:highlight w:val="none"/>
        </w:rPr>
      </w:pPr>
    </w:p>
    <w:p>
      <w:pPr>
        <w:pStyle w:val="4"/>
        <w:spacing w:before="0" w:after="0" w:line="240" w:lineRule="auto"/>
        <w:rPr>
          <w:rFonts w:hint="eastAsia" w:ascii="Times New Roman" w:hAnsi="Times New Roman"/>
          <w:b w:val="0"/>
          <w:color w:val="auto"/>
          <w:highlight w:val="none"/>
        </w:rPr>
      </w:pPr>
      <w:bookmarkStart w:id="415" w:name="_Toc384914927"/>
      <w:bookmarkStart w:id="416" w:name="_Toc198"/>
      <w:bookmarkStart w:id="417" w:name="_Toc21523451"/>
      <w:bookmarkStart w:id="418" w:name="_Toc510961827"/>
      <w:bookmarkStart w:id="419" w:name="_Toc26351"/>
      <w:r>
        <w:rPr>
          <w:rFonts w:hint="eastAsia" w:ascii="Times New Roman" w:hAnsi="Times New Roman"/>
          <w:b w:val="0"/>
          <w:color w:val="auto"/>
          <w:highlight w:val="none"/>
        </w:rPr>
        <w:t xml:space="preserve">12. </w:t>
      </w:r>
      <w:bookmarkEnd w:id="415"/>
      <w:bookmarkEnd w:id="416"/>
      <w:r>
        <w:rPr>
          <w:rFonts w:hint="eastAsia" w:ascii="Times New Roman" w:hAnsi="Times New Roman"/>
          <w:b w:val="0"/>
          <w:color w:val="auto"/>
          <w:highlight w:val="none"/>
        </w:rPr>
        <w:t>招标代理服务费收费</w:t>
      </w:r>
      <w:bookmarkEnd w:id="417"/>
      <w:bookmarkEnd w:id="418"/>
      <w:bookmarkEnd w:id="419"/>
    </w:p>
    <w:p>
      <w:pPr>
        <w:spacing w:line="400" w:lineRule="exact"/>
        <w:ind w:firstLine="420" w:firstLineChars="200"/>
        <w:rPr>
          <w:rFonts w:hint="eastAsia"/>
          <w:color w:val="auto"/>
          <w:highlight w:val="none"/>
        </w:rPr>
      </w:pPr>
      <w:r>
        <w:rPr>
          <w:rFonts w:hint="eastAsia"/>
          <w:color w:val="auto"/>
          <w:highlight w:val="none"/>
        </w:rPr>
        <w:t>招标项目类别见招标公告。</w:t>
      </w:r>
    </w:p>
    <w:p>
      <w:pPr>
        <w:pStyle w:val="23"/>
        <w:ind w:firstLine="420" w:firstLineChars="200"/>
        <w:rPr>
          <w:rFonts w:hint="eastAsia" w:hAnsi="宋体"/>
          <w:color w:val="auto"/>
          <w:highlight w:val="none"/>
        </w:rPr>
      </w:pPr>
    </w:p>
    <w:p>
      <w:pPr>
        <w:pStyle w:val="4"/>
        <w:spacing w:before="0" w:after="0" w:line="240" w:lineRule="auto"/>
        <w:rPr>
          <w:rFonts w:hint="eastAsia" w:ascii="Times New Roman" w:hAnsi="Times New Roman"/>
          <w:b w:val="0"/>
          <w:color w:val="auto"/>
          <w:highlight w:val="none"/>
        </w:rPr>
      </w:pPr>
      <w:bookmarkStart w:id="420" w:name="_Toc152042357"/>
      <w:bookmarkStart w:id="421" w:name="_Toc144974547"/>
      <w:bookmarkStart w:id="422" w:name="_Toc19162"/>
      <w:bookmarkStart w:id="423" w:name="_Toc508286552"/>
      <w:bookmarkStart w:id="424" w:name="_Toc152045580"/>
      <w:bookmarkStart w:id="425" w:name="_Toc179632598"/>
      <w:bookmarkStart w:id="426" w:name="_Toc21523452"/>
      <w:r>
        <w:rPr>
          <w:rFonts w:hint="eastAsia" w:ascii="Times New Roman" w:hAnsi="Times New Roman"/>
          <w:b w:val="0"/>
          <w:color w:val="auto"/>
          <w:highlight w:val="none"/>
        </w:rPr>
        <w:t>13. 需要补充的其他内容</w:t>
      </w:r>
      <w:bookmarkEnd w:id="420"/>
      <w:bookmarkEnd w:id="421"/>
      <w:bookmarkEnd w:id="422"/>
      <w:bookmarkEnd w:id="423"/>
      <w:bookmarkEnd w:id="424"/>
      <w:bookmarkEnd w:id="425"/>
      <w:bookmarkEnd w:id="426"/>
    </w:p>
    <w:p>
      <w:pPr>
        <w:tabs>
          <w:tab w:val="left" w:pos="2127"/>
        </w:tabs>
        <w:ind w:firstLine="420" w:firstLineChars="200"/>
        <w:rPr>
          <w:rFonts w:hint="eastAsia" w:ascii="宋体" w:hAnsi="宋体"/>
          <w:color w:val="auto"/>
          <w:highlight w:val="none"/>
        </w:rPr>
      </w:pPr>
      <w:r>
        <w:rPr>
          <w:rFonts w:hint="eastAsia"/>
          <w:color w:val="auto"/>
          <w:highlight w:val="none"/>
        </w:rPr>
        <w:t>需要补充的其他内容：见投标人须知前附表。</w:t>
      </w:r>
    </w:p>
    <w:bookmarkEnd w:id="363"/>
    <w:bookmarkEnd w:id="364"/>
    <w:bookmarkEnd w:id="365"/>
    <w:bookmarkEnd w:id="366"/>
    <w:bookmarkEnd w:id="367"/>
    <w:bookmarkEnd w:id="368"/>
    <w:bookmarkEnd w:id="369"/>
    <w:bookmarkEnd w:id="370"/>
    <w:bookmarkEnd w:id="371"/>
    <w:p>
      <w:pPr>
        <w:spacing w:line="400" w:lineRule="exact"/>
        <w:rPr>
          <w:rFonts w:hint="eastAsia" w:ascii="宋体" w:hAnsi="宋体"/>
          <w:color w:val="auto"/>
          <w:sz w:val="24"/>
          <w:highlight w:val="none"/>
        </w:rPr>
      </w:pPr>
    </w:p>
    <w:p>
      <w:pPr>
        <w:spacing w:line="400" w:lineRule="exact"/>
        <w:rPr>
          <w:rFonts w:hint="eastAsia" w:ascii="宋体" w:hAnsi="宋体"/>
          <w:color w:val="auto"/>
          <w:sz w:val="24"/>
          <w:highlight w:val="none"/>
        </w:rPr>
      </w:pPr>
    </w:p>
    <w:p>
      <w:pPr>
        <w:spacing w:line="400" w:lineRule="exact"/>
        <w:rPr>
          <w:rFonts w:hint="eastAsia" w:ascii="宋体" w:hAnsi="宋体"/>
          <w:color w:val="auto"/>
          <w:sz w:val="24"/>
          <w:highlight w:val="none"/>
        </w:rPr>
      </w:pPr>
    </w:p>
    <w:p>
      <w:pPr>
        <w:spacing w:line="400" w:lineRule="exact"/>
        <w:rPr>
          <w:rFonts w:hint="eastAsia" w:ascii="宋体" w:hAnsi="宋体"/>
          <w:color w:val="auto"/>
          <w:sz w:val="24"/>
          <w:highlight w:val="none"/>
        </w:rPr>
      </w:pPr>
    </w:p>
    <w:p>
      <w:pPr>
        <w:spacing w:line="400" w:lineRule="exact"/>
        <w:rPr>
          <w:rFonts w:hint="eastAsia" w:ascii="宋体" w:hAnsi="宋体"/>
          <w:color w:val="auto"/>
          <w:sz w:val="24"/>
          <w:highlight w:val="none"/>
        </w:rPr>
      </w:pPr>
    </w:p>
    <w:p>
      <w:pPr>
        <w:spacing w:line="400" w:lineRule="exact"/>
        <w:rPr>
          <w:rFonts w:hint="eastAsia" w:ascii="宋体" w:hAnsi="宋体"/>
          <w:color w:val="auto"/>
          <w:sz w:val="24"/>
          <w:highlight w:val="none"/>
        </w:rPr>
      </w:pPr>
    </w:p>
    <w:p>
      <w:pPr>
        <w:spacing w:line="400" w:lineRule="exact"/>
        <w:rPr>
          <w:rFonts w:hint="eastAsia" w:ascii="宋体" w:hAnsi="宋体"/>
          <w:color w:val="auto"/>
          <w:sz w:val="24"/>
          <w:highlight w:val="none"/>
        </w:rPr>
      </w:pPr>
    </w:p>
    <w:p>
      <w:pPr>
        <w:spacing w:line="400" w:lineRule="exact"/>
        <w:rPr>
          <w:rFonts w:hint="eastAsia" w:ascii="宋体" w:hAnsi="宋体"/>
          <w:color w:val="auto"/>
          <w:sz w:val="24"/>
          <w:highlight w:val="none"/>
        </w:rPr>
      </w:pPr>
    </w:p>
    <w:p>
      <w:pPr>
        <w:spacing w:line="400" w:lineRule="exact"/>
        <w:rPr>
          <w:rFonts w:hint="eastAsia" w:ascii="宋体" w:hAnsi="宋体"/>
          <w:color w:val="auto"/>
          <w:sz w:val="24"/>
          <w:highlight w:val="none"/>
        </w:rPr>
      </w:pPr>
    </w:p>
    <w:p>
      <w:pPr>
        <w:spacing w:line="400" w:lineRule="exact"/>
        <w:rPr>
          <w:rFonts w:hint="eastAsia" w:ascii="宋体" w:hAnsi="宋体"/>
          <w:color w:val="auto"/>
          <w:sz w:val="24"/>
          <w:highlight w:val="none"/>
        </w:rPr>
      </w:pPr>
    </w:p>
    <w:p>
      <w:pPr>
        <w:spacing w:line="400" w:lineRule="exact"/>
        <w:rPr>
          <w:rFonts w:hint="eastAsia" w:ascii="宋体" w:hAnsi="宋体"/>
          <w:color w:val="auto"/>
          <w:sz w:val="24"/>
          <w:highlight w:val="none"/>
        </w:rPr>
      </w:pPr>
    </w:p>
    <w:p>
      <w:pPr>
        <w:spacing w:line="400" w:lineRule="exact"/>
        <w:rPr>
          <w:rFonts w:hint="eastAsia" w:ascii="宋体" w:hAnsi="宋体"/>
          <w:color w:val="auto"/>
          <w:sz w:val="24"/>
          <w:highlight w:val="none"/>
        </w:rPr>
      </w:pPr>
    </w:p>
    <w:p>
      <w:pPr>
        <w:spacing w:line="400" w:lineRule="exact"/>
        <w:rPr>
          <w:rFonts w:hint="eastAsia" w:ascii="宋体" w:hAnsi="宋体"/>
          <w:color w:val="auto"/>
          <w:sz w:val="24"/>
          <w:highlight w:val="none"/>
        </w:rPr>
      </w:pPr>
    </w:p>
    <w:p>
      <w:pPr>
        <w:spacing w:line="400" w:lineRule="exact"/>
        <w:rPr>
          <w:rFonts w:hint="eastAsia" w:ascii="宋体" w:hAnsi="宋体"/>
          <w:color w:val="auto"/>
          <w:sz w:val="24"/>
          <w:highlight w:val="none"/>
        </w:rPr>
      </w:pPr>
    </w:p>
    <w:p>
      <w:pPr>
        <w:spacing w:line="400" w:lineRule="exact"/>
        <w:rPr>
          <w:rFonts w:hint="eastAsia" w:ascii="宋体" w:hAnsi="宋体"/>
          <w:color w:val="auto"/>
          <w:sz w:val="24"/>
          <w:highlight w:val="none"/>
        </w:rPr>
      </w:pPr>
    </w:p>
    <w:p>
      <w:pPr>
        <w:spacing w:line="400" w:lineRule="exact"/>
        <w:rPr>
          <w:rFonts w:hint="eastAsia" w:ascii="宋体" w:hAnsi="宋体"/>
          <w:color w:val="auto"/>
          <w:sz w:val="24"/>
          <w:highlight w:val="none"/>
        </w:rPr>
      </w:pPr>
    </w:p>
    <w:p>
      <w:pPr>
        <w:spacing w:line="400" w:lineRule="exact"/>
        <w:rPr>
          <w:rFonts w:hint="eastAsia" w:ascii="宋体" w:hAnsi="宋体"/>
          <w:color w:val="auto"/>
          <w:sz w:val="24"/>
          <w:highlight w:val="none"/>
        </w:rPr>
      </w:pPr>
    </w:p>
    <w:p>
      <w:pPr>
        <w:spacing w:line="400" w:lineRule="exact"/>
        <w:rPr>
          <w:rFonts w:hint="eastAsia" w:ascii="宋体" w:hAnsi="宋体"/>
          <w:color w:val="auto"/>
          <w:sz w:val="24"/>
          <w:highlight w:val="none"/>
        </w:rPr>
      </w:pPr>
    </w:p>
    <w:p>
      <w:pPr>
        <w:spacing w:line="400" w:lineRule="exact"/>
        <w:rPr>
          <w:rFonts w:hint="eastAsia" w:ascii="宋体" w:hAnsi="宋体"/>
          <w:color w:val="auto"/>
          <w:sz w:val="24"/>
          <w:highlight w:val="none"/>
        </w:rPr>
      </w:pPr>
    </w:p>
    <w:p>
      <w:pPr>
        <w:spacing w:line="400" w:lineRule="exact"/>
        <w:rPr>
          <w:rFonts w:hint="eastAsia" w:ascii="宋体" w:hAnsi="宋体"/>
          <w:color w:val="auto"/>
          <w:sz w:val="24"/>
          <w:highlight w:val="none"/>
        </w:rPr>
      </w:pPr>
    </w:p>
    <w:p>
      <w:pPr>
        <w:spacing w:line="400" w:lineRule="exact"/>
        <w:rPr>
          <w:rFonts w:hint="eastAsia" w:ascii="宋体" w:hAnsi="宋体"/>
          <w:color w:val="auto"/>
          <w:sz w:val="24"/>
          <w:highlight w:val="none"/>
        </w:rPr>
      </w:pPr>
    </w:p>
    <w:p>
      <w:pPr>
        <w:spacing w:line="400" w:lineRule="exact"/>
        <w:rPr>
          <w:rFonts w:hint="eastAsia" w:ascii="宋体" w:hAnsi="宋体"/>
          <w:color w:val="auto"/>
          <w:sz w:val="24"/>
          <w:highlight w:val="none"/>
        </w:rPr>
      </w:pPr>
    </w:p>
    <w:p>
      <w:pPr>
        <w:spacing w:line="400" w:lineRule="exact"/>
        <w:rPr>
          <w:rFonts w:hint="eastAsia" w:ascii="宋体" w:hAnsi="宋体"/>
          <w:color w:val="auto"/>
          <w:sz w:val="24"/>
          <w:highlight w:val="none"/>
        </w:rPr>
      </w:pPr>
    </w:p>
    <w:p>
      <w:pPr>
        <w:spacing w:line="400" w:lineRule="exact"/>
        <w:rPr>
          <w:rFonts w:hint="eastAsia" w:ascii="宋体" w:hAnsi="宋体"/>
          <w:color w:val="auto"/>
          <w:sz w:val="24"/>
          <w:highlight w:val="none"/>
        </w:rPr>
      </w:pPr>
    </w:p>
    <w:p>
      <w:pPr>
        <w:spacing w:line="400" w:lineRule="exact"/>
        <w:rPr>
          <w:rFonts w:hint="eastAsia" w:ascii="宋体" w:hAnsi="宋体"/>
          <w:color w:val="auto"/>
          <w:sz w:val="24"/>
          <w:highlight w:val="none"/>
        </w:rPr>
      </w:pPr>
    </w:p>
    <w:p>
      <w:pPr>
        <w:spacing w:line="400" w:lineRule="exact"/>
        <w:rPr>
          <w:rFonts w:hint="eastAsia" w:ascii="宋体" w:hAnsi="宋体"/>
          <w:color w:val="auto"/>
          <w:sz w:val="24"/>
          <w:highlight w:val="none"/>
        </w:rPr>
      </w:pPr>
    </w:p>
    <w:p>
      <w:pPr>
        <w:spacing w:line="400" w:lineRule="exact"/>
        <w:rPr>
          <w:rFonts w:hint="eastAsia" w:ascii="宋体" w:hAnsi="宋体"/>
          <w:color w:val="auto"/>
          <w:sz w:val="24"/>
          <w:highlight w:val="none"/>
        </w:rPr>
      </w:pPr>
    </w:p>
    <w:p>
      <w:pPr>
        <w:spacing w:line="400" w:lineRule="exact"/>
        <w:rPr>
          <w:rFonts w:hint="eastAsia" w:ascii="宋体" w:hAnsi="宋体"/>
          <w:color w:val="auto"/>
          <w:sz w:val="24"/>
          <w:highlight w:val="none"/>
        </w:rPr>
      </w:pPr>
      <w:r>
        <w:rPr>
          <w:rFonts w:hint="eastAsia" w:ascii="宋体" w:hAnsi="宋体"/>
          <w:color w:val="auto"/>
          <w:sz w:val="24"/>
          <w:highlight w:val="none"/>
        </w:rPr>
        <w:t>附件1：</w:t>
      </w:r>
    </w:p>
    <w:p>
      <w:pPr>
        <w:pStyle w:val="272"/>
        <w:jc w:val="center"/>
        <w:rPr>
          <w:rFonts w:hint="eastAsia" w:ascii="宋体" w:hAnsi="宋体" w:cs="宋体"/>
          <w:b/>
          <w:color w:val="auto"/>
          <w:kern w:val="0"/>
          <w:sz w:val="34"/>
          <w:szCs w:val="50"/>
          <w:highlight w:val="none"/>
        </w:rPr>
      </w:pPr>
      <w:r>
        <w:rPr>
          <w:rFonts w:hint="eastAsia" w:ascii="宋体" w:hAnsi="宋体" w:cs="宋体"/>
          <w:b/>
          <w:color w:val="auto"/>
          <w:kern w:val="0"/>
          <w:sz w:val="34"/>
          <w:szCs w:val="50"/>
          <w:highlight w:val="none"/>
        </w:rPr>
        <w:t>招标文件领购登记表（格式）</w:t>
      </w:r>
    </w:p>
    <w:tbl>
      <w:tblPr>
        <w:tblStyle w:val="43"/>
        <w:tblW w:w="9423"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7"/>
        <w:gridCol w:w="1779"/>
        <w:gridCol w:w="2191"/>
        <w:gridCol w:w="1065"/>
        <w:gridCol w:w="427"/>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987" w:type="dxa"/>
            <w:noWrap w:val="0"/>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项目名称</w:t>
            </w:r>
          </w:p>
        </w:tc>
        <w:tc>
          <w:tcPr>
            <w:tcW w:w="7436" w:type="dxa"/>
            <w:gridSpan w:val="5"/>
            <w:noWrap w:val="0"/>
            <w:vAlign w:val="center"/>
          </w:tcPr>
          <w:p>
            <w:pPr>
              <w:jc w:val="center"/>
              <w:rPr>
                <w:rFonts w:ascii="宋体" w:hAnsi="宋体" w:cs="宋体"/>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987" w:type="dxa"/>
            <w:noWrap w:val="0"/>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项目编号</w:t>
            </w:r>
          </w:p>
        </w:tc>
        <w:tc>
          <w:tcPr>
            <w:tcW w:w="7436" w:type="dxa"/>
            <w:gridSpan w:val="5"/>
            <w:noWrap w:val="0"/>
            <w:vAlign w:val="center"/>
          </w:tcPr>
          <w:p>
            <w:pPr>
              <w:jc w:val="center"/>
              <w:rPr>
                <w:rFonts w:ascii="宋体" w:hAnsi="宋体" w:cs="宋体"/>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6" w:hRule="atLeast"/>
        </w:trPr>
        <w:tc>
          <w:tcPr>
            <w:tcW w:w="1987" w:type="dxa"/>
            <w:noWrap w:val="0"/>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投标单位名称</w:t>
            </w:r>
          </w:p>
        </w:tc>
        <w:tc>
          <w:tcPr>
            <w:tcW w:w="7436" w:type="dxa"/>
            <w:gridSpan w:val="5"/>
            <w:noWrap w:val="0"/>
            <w:vAlign w:val="center"/>
          </w:tcPr>
          <w:p>
            <w:pPr>
              <w:ind w:firstLine="1680" w:firstLineChars="700"/>
              <w:rPr>
                <w:rFonts w:ascii="宋体" w:hAnsi="宋体" w:cs="宋体"/>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987" w:type="dxa"/>
            <w:noWrap w:val="0"/>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电  话</w:t>
            </w:r>
          </w:p>
        </w:tc>
        <w:tc>
          <w:tcPr>
            <w:tcW w:w="3970" w:type="dxa"/>
            <w:gridSpan w:val="2"/>
            <w:noWrap w:val="0"/>
            <w:vAlign w:val="center"/>
          </w:tcPr>
          <w:p>
            <w:pPr>
              <w:jc w:val="center"/>
              <w:rPr>
                <w:rFonts w:ascii="宋体" w:hAnsi="宋体" w:cs="宋体"/>
                <w:bCs/>
                <w:color w:val="auto"/>
                <w:sz w:val="24"/>
                <w:highlight w:val="none"/>
              </w:rPr>
            </w:pPr>
          </w:p>
        </w:tc>
        <w:tc>
          <w:tcPr>
            <w:tcW w:w="1065" w:type="dxa"/>
            <w:noWrap w:val="0"/>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E-mail</w:t>
            </w:r>
          </w:p>
        </w:tc>
        <w:tc>
          <w:tcPr>
            <w:tcW w:w="2401" w:type="dxa"/>
            <w:gridSpan w:val="2"/>
            <w:noWrap w:val="0"/>
            <w:vAlign w:val="center"/>
          </w:tcPr>
          <w:p>
            <w:pPr>
              <w:jc w:val="center"/>
              <w:rPr>
                <w:rFonts w:ascii="宋体" w:hAnsi="宋体" w:cs="宋体"/>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987" w:type="dxa"/>
            <w:noWrap w:val="0"/>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地  址</w:t>
            </w:r>
          </w:p>
        </w:tc>
        <w:tc>
          <w:tcPr>
            <w:tcW w:w="7436" w:type="dxa"/>
            <w:gridSpan w:val="5"/>
            <w:noWrap w:val="0"/>
            <w:vAlign w:val="top"/>
          </w:tcPr>
          <w:p>
            <w:pPr>
              <w:jc w:val="center"/>
              <w:rPr>
                <w:rFonts w:ascii="宋体" w:hAnsi="宋体" w:cs="宋体"/>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987" w:type="dxa"/>
            <w:vMerge w:val="restart"/>
            <w:noWrap w:val="0"/>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购买采购文件</w:t>
            </w:r>
          </w:p>
          <w:p>
            <w:pPr>
              <w:jc w:val="center"/>
              <w:rPr>
                <w:rFonts w:ascii="宋体" w:hAnsi="宋体" w:cs="宋体"/>
                <w:bCs/>
                <w:color w:val="auto"/>
                <w:sz w:val="24"/>
                <w:highlight w:val="none"/>
              </w:rPr>
            </w:pPr>
            <w:r>
              <w:rPr>
                <w:rFonts w:hint="eastAsia" w:ascii="宋体" w:hAnsi="宋体" w:cs="宋体"/>
                <w:bCs/>
                <w:color w:val="auto"/>
                <w:sz w:val="24"/>
                <w:highlight w:val="none"/>
              </w:rPr>
              <w:t>经办人</w:t>
            </w:r>
          </w:p>
        </w:tc>
        <w:tc>
          <w:tcPr>
            <w:tcW w:w="1779" w:type="dxa"/>
            <w:noWrap w:val="0"/>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姓  名</w:t>
            </w:r>
          </w:p>
        </w:tc>
        <w:tc>
          <w:tcPr>
            <w:tcW w:w="3683" w:type="dxa"/>
            <w:gridSpan w:val="3"/>
            <w:noWrap w:val="0"/>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身份证号码</w:t>
            </w:r>
          </w:p>
        </w:tc>
        <w:tc>
          <w:tcPr>
            <w:tcW w:w="1974" w:type="dxa"/>
            <w:noWrap w:val="0"/>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987" w:type="dxa"/>
            <w:vMerge w:val="continue"/>
            <w:noWrap w:val="0"/>
            <w:vAlign w:val="center"/>
          </w:tcPr>
          <w:p>
            <w:pPr>
              <w:jc w:val="center"/>
              <w:rPr>
                <w:rFonts w:ascii="宋体" w:hAnsi="宋体" w:cs="宋体"/>
                <w:bCs/>
                <w:color w:val="auto"/>
                <w:sz w:val="24"/>
                <w:highlight w:val="none"/>
              </w:rPr>
            </w:pPr>
          </w:p>
        </w:tc>
        <w:tc>
          <w:tcPr>
            <w:tcW w:w="1779" w:type="dxa"/>
            <w:noWrap w:val="0"/>
            <w:vAlign w:val="center"/>
          </w:tcPr>
          <w:p>
            <w:pPr>
              <w:jc w:val="center"/>
              <w:rPr>
                <w:rFonts w:ascii="宋体" w:hAnsi="宋体" w:cs="宋体"/>
                <w:bCs/>
                <w:color w:val="auto"/>
                <w:sz w:val="24"/>
                <w:highlight w:val="none"/>
              </w:rPr>
            </w:pPr>
          </w:p>
        </w:tc>
        <w:tc>
          <w:tcPr>
            <w:tcW w:w="3683" w:type="dxa"/>
            <w:gridSpan w:val="3"/>
            <w:noWrap w:val="0"/>
            <w:vAlign w:val="center"/>
          </w:tcPr>
          <w:p>
            <w:pPr>
              <w:jc w:val="center"/>
              <w:rPr>
                <w:rFonts w:ascii="宋体" w:hAnsi="宋体" w:cs="宋体"/>
                <w:bCs/>
                <w:color w:val="auto"/>
                <w:sz w:val="24"/>
                <w:highlight w:val="none"/>
              </w:rPr>
            </w:pPr>
          </w:p>
        </w:tc>
        <w:tc>
          <w:tcPr>
            <w:tcW w:w="1974" w:type="dxa"/>
            <w:noWrap w:val="0"/>
            <w:vAlign w:val="center"/>
          </w:tcPr>
          <w:p>
            <w:pPr>
              <w:jc w:val="center"/>
              <w:rPr>
                <w:rFonts w:ascii="宋体" w:hAnsi="宋体" w:cs="宋体"/>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987" w:type="dxa"/>
            <w:vMerge w:val="restart"/>
            <w:noWrap w:val="0"/>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报价方</w:t>
            </w:r>
          </w:p>
          <w:p>
            <w:pPr>
              <w:jc w:val="center"/>
              <w:rPr>
                <w:rFonts w:ascii="宋体" w:hAnsi="宋体" w:cs="宋体"/>
                <w:bCs/>
                <w:color w:val="auto"/>
                <w:sz w:val="24"/>
                <w:highlight w:val="none"/>
              </w:rPr>
            </w:pPr>
            <w:r>
              <w:rPr>
                <w:rFonts w:hint="eastAsia" w:ascii="宋体" w:hAnsi="宋体" w:cs="宋体"/>
                <w:bCs/>
                <w:color w:val="auto"/>
                <w:sz w:val="24"/>
                <w:highlight w:val="none"/>
              </w:rPr>
              <w:t>联系人</w:t>
            </w:r>
          </w:p>
        </w:tc>
        <w:tc>
          <w:tcPr>
            <w:tcW w:w="1779" w:type="dxa"/>
            <w:noWrap w:val="0"/>
            <w:vAlign w:val="center"/>
          </w:tcPr>
          <w:p>
            <w:pPr>
              <w:ind w:firstLine="240" w:firstLineChars="100"/>
              <w:rPr>
                <w:rFonts w:ascii="宋体" w:hAnsi="宋体" w:cs="宋体"/>
                <w:bCs/>
                <w:color w:val="auto"/>
                <w:sz w:val="24"/>
                <w:highlight w:val="none"/>
              </w:rPr>
            </w:pPr>
            <w:r>
              <w:rPr>
                <w:rFonts w:hint="eastAsia" w:ascii="宋体" w:hAnsi="宋体" w:cs="宋体"/>
                <w:bCs/>
                <w:color w:val="auto"/>
                <w:sz w:val="24"/>
                <w:highlight w:val="none"/>
              </w:rPr>
              <w:t>姓  名</w:t>
            </w:r>
          </w:p>
        </w:tc>
        <w:tc>
          <w:tcPr>
            <w:tcW w:w="3683" w:type="dxa"/>
            <w:gridSpan w:val="3"/>
            <w:noWrap w:val="0"/>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身份证号码</w:t>
            </w:r>
          </w:p>
        </w:tc>
        <w:tc>
          <w:tcPr>
            <w:tcW w:w="1974" w:type="dxa"/>
            <w:noWrap w:val="0"/>
            <w:vAlign w:val="center"/>
          </w:tcPr>
          <w:p>
            <w:pPr>
              <w:jc w:val="center"/>
              <w:rPr>
                <w:rFonts w:ascii="宋体" w:hAnsi="宋体" w:cs="宋体"/>
                <w:bCs/>
                <w:color w:val="auto"/>
                <w:sz w:val="24"/>
                <w:highlight w:val="none"/>
              </w:rPr>
            </w:pPr>
            <w:r>
              <w:rPr>
                <w:rFonts w:hint="eastAsia" w:ascii="宋体" w:hAnsi="宋体" w:cs="宋体"/>
                <w:bCs/>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987" w:type="dxa"/>
            <w:vMerge w:val="continue"/>
            <w:noWrap w:val="0"/>
            <w:vAlign w:val="center"/>
          </w:tcPr>
          <w:p>
            <w:pPr>
              <w:jc w:val="center"/>
              <w:rPr>
                <w:rFonts w:ascii="宋体" w:hAnsi="宋体" w:cs="宋体"/>
                <w:bCs/>
                <w:color w:val="auto"/>
                <w:sz w:val="24"/>
                <w:highlight w:val="none"/>
              </w:rPr>
            </w:pPr>
          </w:p>
        </w:tc>
        <w:tc>
          <w:tcPr>
            <w:tcW w:w="1779" w:type="dxa"/>
            <w:noWrap w:val="0"/>
            <w:vAlign w:val="center"/>
          </w:tcPr>
          <w:p>
            <w:pPr>
              <w:jc w:val="center"/>
              <w:rPr>
                <w:rFonts w:ascii="宋体" w:hAnsi="宋体" w:cs="宋体"/>
                <w:bCs/>
                <w:color w:val="auto"/>
                <w:sz w:val="24"/>
                <w:highlight w:val="none"/>
              </w:rPr>
            </w:pPr>
          </w:p>
        </w:tc>
        <w:tc>
          <w:tcPr>
            <w:tcW w:w="3683" w:type="dxa"/>
            <w:gridSpan w:val="3"/>
            <w:noWrap w:val="0"/>
            <w:vAlign w:val="center"/>
          </w:tcPr>
          <w:p>
            <w:pPr>
              <w:jc w:val="center"/>
              <w:rPr>
                <w:rFonts w:ascii="宋体" w:hAnsi="宋体" w:cs="宋体"/>
                <w:bCs/>
                <w:color w:val="auto"/>
                <w:sz w:val="24"/>
                <w:highlight w:val="none"/>
              </w:rPr>
            </w:pPr>
          </w:p>
        </w:tc>
        <w:tc>
          <w:tcPr>
            <w:tcW w:w="1974" w:type="dxa"/>
            <w:noWrap w:val="0"/>
            <w:vAlign w:val="center"/>
          </w:tcPr>
          <w:p>
            <w:pPr>
              <w:jc w:val="center"/>
              <w:rPr>
                <w:rFonts w:ascii="宋体" w:hAnsi="宋体" w:cs="宋体"/>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3" w:hRule="atLeast"/>
        </w:trPr>
        <w:tc>
          <w:tcPr>
            <w:tcW w:w="1987" w:type="dxa"/>
            <w:noWrap w:val="0"/>
            <w:vAlign w:val="center"/>
          </w:tcPr>
          <w:p>
            <w:pPr>
              <w:spacing w:line="360" w:lineRule="auto"/>
              <w:jc w:val="center"/>
              <w:rPr>
                <w:rFonts w:ascii="宋体" w:hAnsi="宋体" w:cs="宋体"/>
                <w:bCs/>
                <w:color w:val="auto"/>
                <w:sz w:val="24"/>
                <w:highlight w:val="none"/>
              </w:rPr>
            </w:pPr>
            <w:r>
              <w:rPr>
                <w:rFonts w:hint="eastAsia" w:ascii="宋体" w:hAnsi="宋体" w:cs="宋体"/>
                <w:bCs/>
                <w:color w:val="auto"/>
                <w:sz w:val="24"/>
                <w:highlight w:val="none"/>
              </w:rPr>
              <w:t>购买采购文件</w:t>
            </w:r>
          </w:p>
          <w:p>
            <w:pPr>
              <w:spacing w:line="360" w:lineRule="auto"/>
              <w:jc w:val="center"/>
              <w:rPr>
                <w:rFonts w:ascii="宋体" w:hAnsi="宋体" w:cs="宋体"/>
                <w:bCs/>
                <w:color w:val="auto"/>
                <w:sz w:val="24"/>
                <w:highlight w:val="none"/>
              </w:rPr>
            </w:pPr>
            <w:r>
              <w:rPr>
                <w:rFonts w:hint="eastAsia" w:ascii="宋体" w:hAnsi="宋体" w:cs="宋体"/>
                <w:bCs/>
                <w:color w:val="auto"/>
                <w:sz w:val="24"/>
                <w:highlight w:val="none"/>
              </w:rPr>
              <w:t>递交资料</w:t>
            </w:r>
          </w:p>
        </w:tc>
        <w:tc>
          <w:tcPr>
            <w:tcW w:w="7436" w:type="dxa"/>
            <w:gridSpan w:val="5"/>
            <w:noWrap w:val="0"/>
            <w:vAlign w:val="center"/>
          </w:tcPr>
          <w:p>
            <w:pPr>
              <w:tabs>
                <w:tab w:val="left" w:pos="360"/>
              </w:tabs>
              <w:spacing w:line="420" w:lineRule="exact"/>
              <w:rPr>
                <w:rFonts w:hint="eastAsia"/>
                <w:color w:val="auto"/>
                <w:sz w:val="22"/>
                <w:szCs w:val="24"/>
                <w:highlight w:val="none"/>
              </w:rPr>
            </w:pPr>
            <w:r>
              <w:rPr>
                <w:rFonts w:hint="eastAsia" w:ascii="宋体" w:hAnsi="宋体" w:cs="宋体"/>
                <w:bCs/>
                <w:color w:val="auto"/>
                <w:sz w:val="28"/>
                <w:szCs w:val="24"/>
                <w:highlight w:val="none"/>
              </w:rPr>
              <w:t>□</w:t>
            </w:r>
            <w:r>
              <w:rPr>
                <w:rFonts w:hint="eastAsia"/>
                <w:color w:val="auto"/>
                <w:sz w:val="22"/>
                <w:szCs w:val="24"/>
                <w:highlight w:val="none"/>
              </w:rPr>
              <w:t>《</w:t>
            </w:r>
            <w:r>
              <w:rPr>
                <w:color w:val="auto"/>
                <w:sz w:val="22"/>
                <w:szCs w:val="24"/>
                <w:highlight w:val="none"/>
              </w:rPr>
              <w:t>投标申请人基本信息表</w:t>
            </w:r>
            <w:r>
              <w:rPr>
                <w:rFonts w:hint="eastAsia"/>
                <w:color w:val="auto"/>
                <w:sz w:val="22"/>
                <w:szCs w:val="24"/>
                <w:highlight w:val="none"/>
              </w:rPr>
              <w:t>》</w:t>
            </w:r>
          </w:p>
          <w:p>
            <w:pPr>
              <w:tabs>
                <w:tab w:val="left" w:pos="360"/>
              </w:tabs>
              <w:spacing w:line="420" w:lineRule="exact"/>
              <w:rPr>
                <w:color w:val="auto"/>
                <w:sz w:val="22"/>
                <w:szCs w:val="24"/>
                <w:highlight w:val="none"/>
              </w:rPr>
            </w:pPr>
            <w:r>
              <w:rPr>
                <w:rFonts w:hint="eastAsia" w:ascii="宋体" w:hAnsi="宋体" w:cs="宋体"/>
                <w:bCs/>
                <w:color w:val="auto"/>
                <w:sz w:val="28"/>
                <w:szCs w:val="24"/>
                <w:highlight w:val="none"/>
              </w:rPr>
              <w:t>□</w:t>
            </w:r>
            <w:r>
              <w:rPr>
                <w:color w:val="auto"/>
                <w:sz w:val="22"/>
                <w:szCs w:val="24"/>
                <w:highlight w:val="none"/>
              </w:rPr>
              <w:t>《</w:t>
            </w:r>
            <w:r>
              <w:rPr>
                <w:rFonts w:hint="eastAsia"/>
                <w:color w:val="auto"/>
                <w:sz w:val="22"/>
                <w:szCs w:val="24"/>
                <w:highlight w:val="none"/>
              </w:rPr>
              <w:t>招标</w:t>
            </w:r>
            <w:r>
              <w:rPr>
                <w:color w:val="auto"/>
                <w:sz w:val="22"/>
                <w:szCs w:val="24"/>
                <w:highlight w:val="none"/>
              </w:rPr>
              <w:t>文件领购登记表》</w:t>
            </w:r>
          </w:p>
          <w:p>
            <w:pPr>
              <w:tabs>
                <w:tab w:val="left" w:pos="360"/>
              </w:tabs>
              <w:spacing w:line="420" w:lineRule="exact"/>
              <w:rPr>
                <w:rFonts w:hint="eastAsia"/>
                <w:color w:val="auto"/>
                <w:sz w:val="22"/>
                <w:szCs w:val="24"/>
                <w:highlight w:val="none"/>
              </w:rPr>
            </w:pPr>
            <w:r>
              <w:rPr>
                <w:rFonts w:hint="eastAsia" w:ascii="宋体" w:hAnsi="宋体" w:cs="宋体"/>
                <w:bCs/>
                <w:color w:val="auto"/>
                <w:sz w:val="28"/>
                <w:szCs w:val="24"/>
                <w:highlight w:val="none"/>
              </w:rPr>
              <w:t>□</w:t>
            </w:r>
            <w:r>
              <w:rPr>
                <w:rFonts w:hint="eastAsia"/>
                <w:color w:val="auto"/>
                <w:sz w:val="22"/>
                <w:szCs w:val="24"/>
                <w:highlight w:val="none"/>
              </w:rPr>
              <w:t>《广州建设工程投标登记申请表》</w:t>
            </w:r>
          </w:p>
          <w:p>
            <w:pPr>
              <w:tabs>
                <w:tab w:val="left" w:pos="360"/>
              </w:tabs>
              <w:spacing w:line="420" w:lineRule="exact"/>
              <w:rPr>
                <w:rFonts w:hint="eastAsia"/>
                <w:color w:val="auto"/>
                <w:sz w:val="22"/>
                <w:szCs w:val="24"/>
                <w:highlight w:val="none"/>
              </w:rPr>
            </w:pPr>
            <w:r>
              <w:rPr>
                <w:rFonts w:hint="eastAsia" w:ascii="宋体" w:hAnsi="宋体" w:cs="宋体"/>
                <w:bCs/>
                <w:color w:val="auto"/>
                <w:sz w:val="28"/>
                <w:szCs w:val="24"/>
                <w:highlight w:val="none"/>
              </w:rPr>
              <w:t>□</w:t>
            </w:r>
            <w:r>
              <w:rPr>
                <w:color w:val="auto"/>
                <w:sz w:val="22"/>
                <w:szCs w:val="24"/>
                <w:highlight w:val="none"/>
              </w:rPr>
              <w:t>营业执照副本</w:t>
            </w:r>
            <w:r>
              <w:rPr>
                <w:rFonts w:hint="eastAsia"/>
                <w:color w:val="auto"/>
                <w:sz w:val="22"/>
                <w:szCs w:val="24"/>
                <w:highlight w:val="none"/>
              </w:rPr>
              <w:t>复印件</w:t>
            </w:r>
          </w:p>
          <w:p>
            <w:pPr>
              <w:tabs>
                <w:tab w:val="left" w:pos="360"/>
              </w:tabs>
              <w:spacing w:line="420" w:lineRule="exact"/>
              <w:rPr>
                <w:rFonts w:hint="eastAsia"/>
                <w:color w:val="auto"/>
                <w:sz w:val="22"/>
                <w:szCs w:val="24"/>
                <w:highlight w:val="none"/>
              </w:rPr>
            </w:pPr>
            <w:r>
              <w:rPr>
                <w:rFonts w:hint="eastAsia" w:ascii="宋体" w:hAnsi="宋体" w:cs="宋体"/>
                <w:bCs/>
                <w:color w:val="auto"/>
                <w:sz w:val="28"/>
                <w:szCs w:val="24"/>
                <w:highlight w:val="none"/>
              </w:rPr>
              <w:sym w:font="Wingdings 2" w:char="00A3"/>
            </w:r>
            <w:r>
              <w:rPr>
                <w:rFonts w:hint="eastAsia"/>
                <w:color w:val="auto"/>
                <w:sz w:val="22"/>
                <w:szCs w:val="24"/>
                <w:highlight w:val="none"/>
              </w:rPr>
              <w:t>资质证书复印件</w:t>
            </w:r>
          </w:p>
          <w:p>
            <w:pPr>
              <w:tabs>
                <w:tab w:val="left" w:pos="360"/>
              </w:tabs>
              <w:spacing w:line="420" w:lineRule="exact"/>
              <w:rPr>
                <w:rFonts w:hint="eastAsia"/>
                <w:color w:val="auto"/>
                <w:sz w:val="22"/>
                <w:szCs w:val="24"/>
                <w:highlight w:val="none"/>
              </w:rPr>
            </w:pPr>
            <w:r>
              <w:rPr>
                <w:rFonts w:hint="eastAsia" w:ascii="宋体" w:hAnsi="宋体" w:cs="宋体"/>
                <w:bCs/>
                <w:color w:val="auto"/>
                <w:sz w:val="28"/>
                <w:szCs w:val="24"/>
                <w:highlight w:val="none"/>
              </w:rPr>
              <w:sym w:font="Wingdings 2" w:char="00A3"/>
            </w:r>
            <w:r>
              <w:rPr>
                <w:rFonts w:hint="eastAsia"/>
                <w:color w:val="auto"/>
                <w:sz w:val="22"/>
                <w:szCs w:val="24"/>
                <w:highlight w:val="none"/>
              </w:rPr>
              <w:t>《法定代表人身份证明》</w:t>
            </w:r>
          </w:p>
          <w:p>
            <w:pPr>
              <w:tabs>
                <w:tab w:val="left" w:pos="360"/>
              </w:tabs>
              <w:spacing w:line="420" w:lineRule="exact"/>
              <w:rPr>
                <w:rFonts w:ascii="宋体" w:hAnsi="宋体" w:cs="宋体"/>
                <w:bCs/>
                <w:color w:val="auto"/>
                <w:sz w:val="24"/>
                <w:highlight w:val="none"/>
              </w:rPr>
            </w:pPr>
            <w:r>
              <w:rPr>
                <w:rFonts w:hint="eastAsia" w:ascii="宋体" w:hAnsi="宋体" w:cs="宋体"/>
                <w:bCs/>
                <w:color w:val="auto"/>
                <w:sz w:val="28"/>
                <w:szCs w:val="24"/>
                <w:highlight w:val="none"/>
              </w:rPr>
              <w:t>□</w:t>
            </w:r>
            <w:r>
              <w:rPr>
                <w:rFonts w:hint="eastAsia"/>
                <w:color w:val="auto"/>
                <w:sz w:val="22"/>
                <w:szCs w:val="24"/>
                <w:highlight w:val="none"/>
              </w:rPr>
              <w:t>《授权委托书》</w:t>
            </w:r>
          </w:p>
        </w:tc>
      </w:tr>
    </w:tbl>
    <w:p>
      <w:pPr>
        <w:rPr>
          <w:rFonts w:eastAsia="黑体"/>
          <w:color w:val="auto"/>
          <w:sz w:val="22"/>
          <w:highlight w:val="none"/>
        </w:rPr>
      </w:pPr>
      <w:r>
        <w:rPr>
          <w:rFonts w:eastAsia="黑体"/>
          <w:color w:val="auto"/>
          <w:sz w:val="22"/>
          <w:highlight w:val="none"/>
        </w:rPr>
        <w:t>备注：</w:t>
      </w:r>
      <w:r>
        <w:rPr>
          <w:rFonts w:hint="eastAsia" w:eastAsia="黑体"/>
          <w:color w:val="auto"/>
          <w:sz w:val="22"/>
          <w:highlight w:val="none"/>
        </w:rPr>
        <w:t>招标</w:t>
      </w:r>
      <w:r>
        <w:rPr>
          <w:rFonts w:eastAsia="黑体"/>
          <w:color w:val="auto"/>
          <w:sz w:val="22"/>
          <w:highlight w:val="none"/>
        </w:rPr>
        <w:t>文件</w:t>
      </w:r>
      <w:r>
        <w:rPr>
          <w:rFonts w:hint="eastAsia" w:eastAsia="黑体"/>
          <w:color w:val="auto"/>
          <w:sz w:val="22"/>
          <w:highlight w:val="none"/>
        </w:rPr>
        <w:t>及辅助资料</w:t>
      </w:r>
      <w:r>
        <w:rPr>
          <w:rFonts w:eastAsia="黑体"/>
          <w:color w:val="auto"/>
          <w:sz w:val="22"/>
          <w:highlight w:val="none"/>
        </w:rPr>
        <w:t>售价</w:t>
      </w:r>
      <w:r>
        <w:rPr>
          <w:rFonts w:hint="eastAsia" w:eastAsia="黑体"/>
          <w:b/>
          <w:bCs/>
          <w:color w:val="auto"/>
          <w:sz w:val="22"/>
          <w:highlight w:val="none"/>
        </w:rPr>
        <w:t>500</w:t>
      </w:r>
      <w:r>
        <w:rPr>
          <w:rFonts w:eastAsia="黑体"/>
          <w:b/>
          <w:bCs/>
          <w:color w:val="auto"/>
          <w:sz w:val="22"/>
          <w:highlight w:val="none"/>
        </w:rPr>
        <w:t>元</w:t>
      </w:r>
      <w:r>
        <w:rPr>
          <w:rFonts w:eastAsia="黑体"/>
          <w:color w:val="auto"/>
          <w:sz w:val="22"/>
          <w:highlight w:val="none"/>
        </w:rPr>
        <w:t>/套，</w:t>
      </w:r>
      <w:r>
        <w:rPr>
          <w:rFonts w:hint="eastAsia" w:eastAsia="黑体"/>
          <w:color w:val="auto"/>
          <w:sz w:val="22"/>
          <w:highlight w:val="none"/>
        </w:rPr>
        <w:t>售后不退。</w:t>
      </w:r>
      <w:r>
        <w:rPr>
          <w:rFonts w:eastAsia="黑体"/>
          <w:color w:val="auto"/>
          <w:sz w:val="22"/>
          <w:highlight w:val="none"/>
        </w:rPr>
        <w:t>请仔细填写联系方式</w:t>
      </w:r>
    </w:p>
    <w:p>
      <w:pPr>
        <w:spacing w:line="400" w:lineRule="exact"/>
        <w:rPr>
          <w:rFonts w:hint="eastAsia" w:ascii="宋体" w:hAnsi="宋体"/>
          <w:color w:val="auto"/>
          <w:sz w:val="24"/>
          <w:highlight w:val="none"/>
        </w:rPr>
      </w:pPr>
    </w:p>
    <w:p>
      <w:pPr>
        <w:spacing w:line="400" w:lineRule="exact"/>
        <w:rPr>
          <w:rFonts w:hint="eastAsia" w:ascii="宋体" w:hAnsi="宋体"/>
          <w:color w:val="auto"/>
          <w:sz w:val="24"/>
          <w:highlight w:val="none"/>
        </w:rPr>
      </w:pPr>
    </w:p>
    <w:p>
      <w:pPr>
        <w:spacing w:line="400" w:lineRule="exact"/>
        <w:rPr>
          <w:rFonts w:hint="eastAsia" w:ascii="宋体" w:hAnsi="宋体"/>
          <w:color w:val="auto"/>
          <w:sz w:val="24"/>
          <w:highlight w:val="none"/>
        </w:rPr>
      </w:pPr>
    </w:p>
    <w:p>
      <w:pPr>
        <w:spacing w:line="400" w:lineRule="exact"/>
        <w:rPr>
          <w:rFonts w:hint="eastAsia" w:ascii="宋体" w:hAnsi="宋体"/>
          <w:color w:val="auto"/>
          <w:sz w:val="24"/>
          <w:highlight w:val="none"/>
        </w:rPr>
      </w:pPr>
      <w:r>
        <w:rPr>
          <w:rFonts w:hint="eastAsia" w:ascii="宋体" w:hAnsi="宋体"/>
          <w:color w:val="auto"/>
          <w:sz w:val="24"/>
          <w:highlight w:val="none"/>
        </w:rPr>
        <w:t>附件2：</w:t>
      </w:r>
    </w:p>
    <w:p>
      <w:pPr>
        <w:tabs>
          <w:tab w:val="left" w:pos="251"/>
        </w:tabs>
        <w:jc w:val="left"/>
        <w:rPr>
          <w:rFonts w:hint="eastAsia" w:ascii="宋体" w:hAnsi="宋体" w:cs="宋体"/>
          <w:b/>
          <w:bCs/>
          <w:color w:val="auto"/>
          <w:kern w:val="0"/>
          <w:sz w:val="32"/>
          <w:szCs w:val="32"/>
          <w:highlight w:val="none"/>
        </w:rPr>
      </w:pPr>
    </w:p>
    <w:p>
      <w:pPr>
        <w:jc w:val="center"/>
        <w:rPr>
          <w:rFonts w:hint="eastAsia" w:ascii="宋体" w:hAnsi="宋体"/>
          <w:b/>
          <w:bCs/>
          <w:color w:val="auto"/>
          <w:kern w:val="0"/>
          <w:sz w:val="32"/>
          <w:szCs w:val="32"/>
          <w:highlight w:val="none"/>
        </w:rPr>
      </w:pPr>
      <w:r>
        <w:rPr>
          <w:rFonts w:hint="eastAsia" w:ascii="宋体" w:hAnsi="宋体" w:cs="宋体"/>
          <w:b/>
          <w:bCs/>
          <w:color w:val="auto"/>
          <w:kern w:val="0"/>
          <w:sz w:val="32"/>
          <w:szCs w:val="32"/>
          <w:highlight w:val="none"/>
        </w:rPr>
        <w:t>×××××××项目的投诉书（模板）</w:t>
      </w:r>
    </w:p>
    <w:p>
      <w:pPr>
        <w:rPr>
          <w:rFonts w:hint="eastAsia" w:ascii="宋体" w:hAnsi="宋体"/>
          <w:color w:val="auto"/>
          <w:sz w:val="24"/>
          <w:szCs w:val="24"/>
          <w:highlight w:val="none"/>
        </w:rPr>
      </w:pPr>
      <w:r>
        <w:rPr>
          <w:rFonts w:hint="eastAsia" w:ascii="宋体" w:hAnsi="宋体" w:cs="宋体"/>
          <w:color w:val="auto"/>
          <w:sz w:val="24"/>
          <w:szCs w:val="24"/>
          <w:highlight w:val="none"/>
        </w:rPr>
        <w:t>投诉提出日期：</w:t>
      </w:r>
      <w:r>
        <w:rPr>
          <w:rFonts w:ascii="宋体" w:hAnsi="宋体"/>
          <w:color w:val="auto"/>
          <w:sz w:val="24"/>
          <w:szCs w:val="24"/>
          <w:highlight w:val="none"/>
        </w:rPr>
        <w:t xml:space="preserve"> XX</w:t>
      </w:r>
      <w:r>
        <w:rPr>
          <w:rFonts w:hint="eastAsia" w:ascii="宋体" w:hAnsi="宋体" w:cs="宋体"/>
          <w:color w:val="auto"/>
          <w:sz w:val="24"/>
          <w:szCs w:val="24"/>
          <w:highlight w:val="none"/>
        </w:rPr>
        <w:t>年</w:t>
      </w:r>
      <w:r>
        <w:rPr>
          <w:rFonts w:ascii="宋体" w:hAnsi="宋体"/>
          <w:color w:val="auto"/>
          <w:sz w:val="24"/>
          <w:szCs w:val="24"/>
          <w:highlight w:val="none"/>
        </w:rPr>
        <w:t>XX</w:t>
      </w:r>
      <w:r>
        <w:rPr>
          <w:rFonts w:hint="eastAsia" w:ascii="宋体" w:hAnsi="宋体" w:cs="宋体"/>
          <w:color w:val="auto"/>
          <w:sz w:val="24"/>
          <w:szCs w:val="24"/>
          <w:highlight w:val="none"/>
        </w:rPr>
        <w:t>月</w:t>
      </w:r>
      <w:r>
        <w:rPr>
          <w:rFonts w:ascii="宋体" w:hAnsi="宋体"/>
          <w:color w:val="auto"/>
          <w:sz w:val="24"/>
          <w:szCs w:val="24"/>
          <w:highlight w:val="none"/>
        </w:rPr>
        <w:t>XX</w:t>
      </w:r>
      <w:r>
        <w:rPr>
          <w:rFonts w:hint="eastAsia" w:ascii="宋体" w:hAnsi="宋体" w:cs="宋体"/>
          <w:color w:val="auto"/>
          <w:sz w:val="24"/>
          <w:szCs w:val="24"/>
          <w:highlight w:val="none"/>
        </w:rPr>
        <w:t>日</w:t>
      </w:r>
    </w:p>
    <w:tbl>
      <w:tblPr>
        <w:tblStyle w:val="43"/>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949"/>
        <w:gridCol w:w="3494"/>
        <w:gridCol w:w="1662"/>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szCs w:val="20"/>
                <w:highlight w:val="none"/>
              </w:rPr>
            </w:pPr>
            <w:r>
              <w:rPr>
                <w:rFonts w:hint="eastAsia" w:ascii="宋体" w:hAnsi="宋体" w:cs="宋体"/>
                <w:color w:val="auto"/>
                <w:highlight w:val="none"/>
              </w:rPr>
              <w:t>投诉人名称</w:t>
            </w:r>
          </w:p>
          <w:p>
            <w:pPr>
              <w:jc w:val="center"/>
              <w:rPr>
                <w:rFonts w:ascii="宋体" w:hAnsi="宋体"/>
                <w:color w:val="auto"/>
                <w:highlight w:val="none"/>
              </w:rPr>
            </w:pPr>
            <w:r>
              <w:rPr>
                <w:rFonts w:hint="eastAsia" w:ascii="宋体" w:hAnsi="宋体" w:cs="宋体"/>
                <w:color w:val="auto"/>
                <w:highlight w:val="none"/>
              </w:rPr>
              <w:t>（投标单位或其他利害关系人）</w:t>
            </w:r>
          </w:p>
        </w:tc>
        <w:tc>
          <w:tcPr>
            <w:tcW w:w="3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highlight w:val="none"/>
              </w:rPr>
            </w:pPr>
          </w:p>
        </w:tc>
        <w:tc>
          <w:tcPr>
            <w:tcW w:w="166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highlight w:val="none"/>
              </w:rPr>
            </w:pPr>
            <w:r>
              <w:rPr>
                <w:rFonts w:hint="eastAsia" w:ascii="宋体" w:hAnsi="宋体" w:cs="宋体"/>
                <w:color w:val="auto"/>
                <w:highlight w:val="none"/>
              </w:rPr>
              <w:t>法定代表人或授权委托人</w:t>
            </w:r>
          </w:p>
          <w:p>
            <w:pPr>
              <w:jc w:val="center"/>
              <w:rPr>
                <w:rFonts w:ascii="宋体" w:hAnsi="宋体"/>
                <w:color w:val="auto"/>
                <w:highlight w:val="none"/>
              </w:rPr>
            </w:pPr>
            <w:r>
              <w:rPr>
                <w:rFonts w:hint="eastAsia" w:ascii="宋体" w:hAnsi="宋体" w:cs="宋体"/>
                <w:color w:val="auto"/>
                <w:highlight w:val="none"/>
              </w:rPr>
              <w:t>（签字并盖章）</w:t>
            </w:r>
          </w:p>
        </w:tc>
        <w:tc>
          <w:tcPr>
            <w:tcW w:w="2095"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80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highlight w:val="none"/>
              </w:rPr>
            </w:pPr>
            <w:r>
              <w:rPr>
                <w:rFonts w:hint="eastAsia" w:ascii="宋体" w:hAnsi="宋体" w:cs="宋体"/>
                <w:color w:val="auto"/>
                <w:highlight w:val="none"/>
              </w:rPr>
              <w:t>联系地址</w:t>
            </w:r>
          </w:p>
        </w:tc>
        <w:tc>
          <w:tcPr>
            <w:tcW w:w="349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highlight w:val="none"/>
              </w:rPr>
            </w:pPr>
          </w:p>
        </w:tc>
        <w:tc>
          <w:tcPr>
            <w:tcW w:w="1662"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highlight w:val="none"/>
              </w:rPr>
            </w:pPr>
            <w:r>
              <w:rPr>
                <w:rFonts w:hint="eastAsia" w:ascii="宋体" w:hAnsi="宋体" w:cs="宋体"/>
                <w:color w:val="auto"/>
                <w:highlight w:val="none"/>
              </w:rPr>
              <w:t>联系电话</w:t>
            </w:r>
          </w:p>
        </w:tc>
        <w:tc>
          <w:tcPr>
            <w:tcW w:w="2095"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809"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color w:val="auto"/>
                <w:highlight w:val="none"/>
              </w:rPr>
            </w:pPr>
            <w:r>
              <w:rPr>
                <w:rFonts w:hint="eastAsia" w:ascii="宋体" w:hAnsi="宋体" w:cs="宋体"/>
                <w:color w:val="auto"/>
                <w:highlight w:val="none"/>
              </w:rPr>
              <w:t>投诉对象</w:t>
            </w:r>
          </w:p>
        </w:tc>
        <w:tc>
          <w:tcPr>
            <w:tcW w:w="7251" w:type="dxa"/>
            <w:gridSpan w:val="3"/>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3" w:hRule="atLeast"/>
        </w:trPr>
        <w:tc>
          <w:tcPr>
            <w:tcW w:w="860" w:type="dxa"/>
            <w:tcBorders>
              <w:top w:val="single" w:color="auto" w:sz="4" w:space="0"/>
              <w:left w:val="single" w:color="auto" w:sz="4" w:space="0"/>
              <w:bottom w:val="single" w:color="auto" w:sz="4" w:space="0"/>
              <w:right w:val="single" w:color="auto" w:sz="4" w:space="0"/>
            </w:tcBorders>
            <w:noWrap w:val="0"/>
            <w:textDirection w:val="tbRlV"/>
            <w:vAlign w:val="center"/>
          </w:tcPr>
          <w:p>
            <w:pPr>
              <w:ind w:left="113" w:right="113"/>
              <w:jc w:val="center"/>
              <w:rPr>
                <w:rFonts w:ascii="宋体" w:hAnsi="宋体"/>
                <w:color w:val="auto"/>
                <w:highlight w:val="none"/>
              </w:rPr>
            </w:pPr>
            <w:r>
              <w:rPr>
                <w:rFonts w:hint="eastAsia" w:ascii="宋体" w:hAnsi="宋体" w:cs="宋体"/>
                <w:color w:val="auto"/>
                <w:highlight w:val="none"/>
              </w:rPr>
              <w:t>投诉事项的基本事实</w:t>
            </w:r>
            <w:r>
              <w:rPr>
                <w:rFonts w:ascii="宋体" w:hAnsi="宋体"/>
                <w:color w:val="auto"/>
                <w:highlight w:val="none"/>
              </w:rPr>
              <w:t>(</w:t>
            </w:r>
            <w:r>
              <w:rPr>
                <w:rFonts w:hint="eastAsia" w:ascii="宋体" w:hAnsi="宋体" w:cs="宋体"/>
                <w:color w:val="auto"/>
                <w:highlight w:val="none"/>
              </w:rPr>
              <w:t>法律依据</w:t>
            </w:r>
            <w:r>
              <w:rPr>
                <w:rFonts w:ascii="宋体" w:hAnsi="宋体"/>
                <w:color w:val="auto"/>
                <w:highlight w:val="none"/>
              </w:rPr>
              <w:t>)</w:t>
            </w:r>
          </w:p>
        </w:tc>
        <w:tc>
          <w:tcPr>
            <w:tcW w:w="8200" w:type="dxa"/>
            <w:gridSpan w:val="4"/>
            <w:tcBorders>
              <w:top w:val="single" w:color="auto" w:sz="4" w:space="0"/>
              <w:left w:val="single" w:color="auto" w:sz="4" w:space="0"/>
              <w:bottom w:val="single" w:color="auto" w:sz="4" w:space="0"/>
              <w:right w:val="single" w:color="auto" w:sz="4" w:space="0"/>
            </w:tcBorders>
            <w:noWrap w:val="0"/>
            <w:vAlign w:val="top"/>
          </w:tcPr>
          <w:p>
            <w:pPr>
              <w:adjustRightInd w:val="0"/>
              <w:snapToGrid w:val="0"/>
              <w:spacing w:line="360" w:lineRule="auto"/>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2" w:hRule="atLeast"/>
        </w:trPr>
        <w:tc>
          <w:tcPr>
            <w:tcW w:w="860" w:type="dxa"/>
            <w:tcBorders>
              <w:top w:val="single" w:color="auto" w:sz="4" w:space="0"/>
              <w:left w:val="single" w:color="auto" w:sz="4" w:space="0"/>
              <w:bottom w:val="single" w:color="auto" w:sz="4" w:space="0"/>
              <w:right w:val="single" w:color="auto" w:sz="4" w:space="0"/>
            </w:tcBorders>
            <w:noWrap w:val="0"/>
            <w:textDirection w:val="tbRlV"/>
            <w:vAlign w:val="center"/>
          </w:tcPr>
          <w:p>
            <w:pPr>
              <w:ind w:left="113" w:right="113"/>
              <w:jc w:val="center"/>
              <w:rPr>
                <w:rFonts w:ascii="宋体" w:hAnsi="宋体"/>
                <w:color w:val="auto"/>
                <w:highlight w:val="none"/>
              </w:rPr>
            </w:pPr>
            <w:r>
              <w:rPr>
                <w:rFonts w:hint="eastAsia" w:ascii="宋体" w:hAnsi="宋体" w:cs="宋体"/>
                <w:color w:val="auto"/>
                <w:highlight w:val="none"/>
              </w:rPr>
              <w:t>相关请求及主张</w:t>
            </w:r>
          </w:p>
        </w:tc>
        <w:tc>
          <w:tcPr>
            <w:tcW w:w="8200"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7" w:hRule="atLeast"/>
        </w:trPr>
        <w:tc>
          <w:tcPr>
            <w:tcW w:w="860" w:type="dxa"/>
            <w:tcBorders>
              <w:top w:val="single" w:color="auto" w:sz="4" w:space="0"/>
              <w:left w:val="single" w:color="auto" w:sz="4" w:space="0"/>
              <w:bottom w:val="single" w:color="auto" w:sz="4" w:space="0"/>
              <w:right w:val="single" w:color="auto" w:sz="4" w:space="0"/>
            </w:tcBorders>
            <w:noWrap w:val="0"/>
            <w:textDirection w:val="tbRlV"/>
            <w:vAlign w:val="center"/>
          </w:tcPr>
          <w:p>
            <w:pPr>
              <w:ind w:left="113" w:right="113"/>
              <w:jc w:val="center"/>
              <w:rPr>
                <w:rFonts w:ascii="宋体" w:hAnsi="宋体"/>
                <w:color w:val="auto"/>
                <w:highlight w:val="none"/>
              </w:rPr>
            </w:pPr>
            <w:r>
              <w:rPr>
                <w:rFonts w:hint="eastAsia" w:ascii="宋体" w:hAnsi="宋体" w:cs="宋体"/>
                <w:color w:val="auto"/>
                <w:highlight w:val="none"/>
              </w:rPr>
              <w:t>相关证明材料</w:t>
            </w:r>
          </w:p>
          <w:p>
            <w:pPr>
              <w:ind w:left="113" w:right="113"/>
              <w:jc w:val="center"/>
              <w:rPr>
                <w:rFonts w:ascii="宋体" w:hAnsi="宋体"/>
                <w:color w:val="auto"/>
                <w:highlight w:val="none"/>
              </w:rPr>
            </w:pPr>
            <w:r>
              <w:rPr>
                <w:rFonts w:hint="eastAsia" w:ascii="宋体" w:hAnsi="宋体" w:cs="宋体"/>
                <w:color w:val="auto"/>
                <w:highlight w:val="none"/>
              </w:rPr>
              <w:t>有效线索和</w:t>
            </w:r>
          </w:p>
        </w:tc>
        <w:tc>
          <w:tcPr>
            <w:tcW w:w="8200" w:type="dxa"/>
            <w:gridSpan w:val="4"/>
            <w:tcBorders>
              <w:top w:val="single" w:color="auto" w:sz="4" w:space="0"/>
              <w:left w:val="single" w:color="auto" w:sz="4" w:space="0"/>
              <w:bottom w:val="single" w:color="auto" w:sz="4" w:space="0"/>
              <w:right w:val="single" w:color="auto" w:sz="4" w:space="0"/>
            </w:tcBorders>
            <w:noWrap w:val="0"/>
            <w:vAlign w:val="center"/>
          </w:tcPr>
          <w:p>
            <w:pPr>
              <w:rPr>
                <w:rFonts w:ascii="宋体" w:hAnsi="宋体"/>
                <w:color w:val="auto"/>
                <w:highlight w:val="none"/>
              </w:rPr>
            </w:pPr>
            <w:r>
              <w:rPr>
                <w:rFonts w:hint="eastAsia" w:ascii="宋体" w:hAnsi="宋体" w:cs="宋体"/>
                <w:color w:val="auto"/>
                <w:highlight w:val="none"/>
              </w:rPr>
              <w:t>（可以以附件形式提供）</w:t>
            </w:r>
          </w:p>
        </w:tc>
      </w:tr>
    </w:tbl>
    <w:p>
      <w:pPr>
        <w:ind w:firstLine="480" w:firstLineChars="200"/>
        <w:rPr>
          <w:rFonts w:hint="eastAsia" w:ascii="宋体" w:hAnsi="宋体"/>
          <w:color w:val="auto"/>
          <w:sz w:val="24"/>
          <w:highlight w:val="none"/>
        </w:rPr>
      </w:pPr>
    </w:p>
    <w:p>
      <w:pPr>
        <w:ind w:firstLine="480" w:firstLineChars="200"/>
        <w:rPr>
          <w:rFonts w:hint="eastAsia" w:ascii="宋体" w:hAnsi="宋体"/>
          <w:color w:val="auto"/>
          <w:sz w:val="24"/>
          <w:highlight w:val="none"/>
        </w:rPr>
      </w:pPr>
    </w:p>
    <w:p>
      <w:pPr>
        <w:ind w:firstLine="480" w:firstLineChars="200"/>
        <w:rPr>
          <w:rFonts w:hint="eastAsia" w:ascii="宋体" w:hAnsi="宋体"/>
          <w:color w:val="auto"/>
          <w:sz w:val="24"/>
          <w:highlight w:val="none"/>
        </w:rPr>
      </w:pPr>
    </w:p>
    <w:p>
      <w:pPr>
        <w:ind w:firstLine="480" w:firstLineChars="200"/>
        <w:rPr>
          <w:rFonts w:hint="eastAsia" w:ascii="宋体" w:hAnsi="宋体"/>
          <w:color w:val="auto"/>
          <w:sz w:val="24"/>
          <w:highlight w:val="none"/>
        </w:rPr>
      </w:pPr>
    </w:p>
    <w:p>
      <w:pPr>
        <w:ind w:firstLine="480" w:firstLineChars="200"/>
        <w:rPr>
          <w:rFonts w:hint="eastAsia" w:ascii="宋体" w:hAnsi="宋体"/>
          <w:color w:val="auto"/>
          <w:sz w:val="24"/>
          <w:highlight w:val="none"/>
        </w:rPr>
      </w:pPr>
      <w:r>
        <w:rPr>
          <w:rFonts w:hint="eastAsia" w:ascii="宋体" w:hAnsi="宋体"/>
          <w:color w:val="auto"/>
          <w:sz w:val="24"/>
          <w:highlight w:val="none"/>
        </w:rPr>
        <w:t>附件3：</w:t>
      </w:r>
    </w:p>
    <w:p>
      <w:pPr>
        <w:jc w:val="center"/>
        <w:rPr>
          <w:b/>
          <w:color w:val="auto"/>
          <w:sz w:val="32"/>
          <w:szCs w:val="32"/>
          <w:highlight w:val="none"/>
        </w:rPr>
      </w:pPr>
      <w:r>
        <w:rPr>
          <w:rFonts w:hint="eastAsia"/>
          <w:b/>
          <w:color w:val="auto"/>
          <w:sz w:val="32"/>
          <w:szCs w:val="32"/>
          <w:highlight w:val="none"/>
        </w:rPr>
        <w:t>法定代表人身份证明</w:t>
      </w:r>
    </w:p>
    <w:p>
      <w:pPr>
        <w:spacing w:after="120" w:afterLines="50" w:line="420" w:lineRule="exact"/>
        <w:ind w:firstLine="420" w:firstLineChars="200"/>
        <w:rPr>
          <w:color w:val="auto"/>
          <w:szCs w:val="21"/>
          <w:highlight w:val="none"/>
        </w:rPr>
      </w:pPr>
      <w:r>
        <w:rPr>
          <w:rFonts w:hint="eastAsia"/>
          <w:color w:val="auto"/>
          <w:szCs w:val="21"/>
          <w:highlight w:val="none"/>
        </w:rPr>
        <w:t>投标人名称：</w:t>
      </w:r>
      <w:r>
        <w:rPr>
          <w:rFonts w:hint="eastAsia"/>
          <w:color w:val="auto"/>
          <w:szCs w:val="21"/>
          <w:highlight w:val="none"/>
          <w:u w:val="single"/>
        </w:rPr>
        <w:t xml:space="preserve">                                   </w:t>
      </w:r>
    </w:p>
    <w:p>
      <w:pPr>
        <w:spacing w:after="120" w:afterLines="50" w:line="420" w:lineRule="exact"/>
        <w:ind w:firstLine="420" w:firstLineChars="200"/>
        <w:rPr>
          <w:color w:val="auto"/>
          <w:szCs w:val="21"/>
          <w:highlight w:val="none"/>
          <w:u w:val="single"/>
        </w:rPr>
      </w:pPr>
      <w:r>
        <w:rPr>
          <w:rFonts w:hint="eastAsia"/>
          <w:color w:val="auto"/>
          <w:szCs w:val="21"/>
          <w:highlight w:val="none"/>
        </w:rPr>
        <w:t>单位性质：</w:t>
      </w:r>
      <w:r>
        <w:rPr>
          <w:rFonts w:hint="eastAsia"/>
          <w:color w:val="auto"/>
          <w:szCs w:val="21"/>
          <w:highlight w:val="none"/>
          <w:u w:val="single"/>
        </w:rPr>
        <w:t xml:space="preserve">                                     </w:t>
      </w:r>
    </w:p>
    <w:p>
      <w:pPr>
        <w:spacing w:after="120" w:afterLines="50" w:line="420" w:lineRule="exact"/>
        <w:ind w:firstLine="420" w:firstLineChars="200"/>
        <w:rPr>
          <w:color w:val="auto"/>
          <w:szCs w:val="21"/>
          <w:highlight w:val="none"/>
          <w:u w:val="single"/>
        </w:rPr>
      </w:pPr>
      <w:r>
        <w:rPr>
          <w:rFonts w:hint="eastAsia"/>
          <w:color w:val="auto"/>
          <w:szCs w:val="21"/>
          <w:highlight w:val="none"/>
        </w:rPr>
        <w:t>地址：</w:t>
      </w:r>
      <w:r>
        <w:rPr>
          <w:rFonts w:hint="eastAsia"/>
          <w:color w:val="auto"/>
          <w:szCs w:val="21"/>
          <w:highlight w:val="none"/>
          <w:u w:val="single"/>
        </w:rPr>
        <w:t xml:space="preserve">                                         </w:t>
      </w:r>
    </w:p>
    <w:p>
      <w:pPr>
        <w:spacing w:after="120" w:afterLines="50" w:line="420" w:lineRule="exact"/>
        <w:ind w:firstLine="420" w:firstLineChars="200"/>
        <w:rPr>
          <w:color w:val="auto"/>
          <w:szCs w:val="21"/>
          <w:highlight w:val="none"/>
        </w:rPr>
      </w:pPr>
      <w:r>
        <w:rPr>
          <w:rFonts w:hint="eastAsia"/>
          <w:color w:val="auto"/>
          <w:szCs w:val="21"/>
          <w:highlight w:val="none"/>
        </w:rPr>
        <w:t>成立时间：</w:t>
      </w:r>
      <w:r>
        <w:rPr>
          <w:rFonts w:hint="eastAsia"/>
          <w:color w:val="auto"/>
          <w:szCs w:val="21"/>
          <w:highlight w:val="none"/>
          <w:u w:val="single"/>
        </w:rPr>
        <w:t xml:space="preserve">           </w:t>
      </w:r>
      <w:r>
        <w:rPr>
          <w:rFonts w:hint="eastAsia"/>
          <w:color w:val="auto"/>
          <w:szCs w:val="21"/>
          <w:highlight w:val="none"/>
        </w:rPr>
        <w:t>年</w:t>
      </w:r>
      <w:r>
        <w:rPr>
          <w:rFonts w:hint="eastAsia"/>
          <w:color w:val="auto"/>
          <w:szCs w:val="21"/>
          <w:highlight w:val="none"/>
          <w:u w:val="single"/>
        </w:rPr>
        <w:t xml:space="preserve">          </w:t>
      </w:r>
      <w:r>
        <w:rPr>
          <w:rFonts w:hint="eastAsia"/>
          <w:color w:val="auto"/>
          <w:szCs w:val="21"/>
          <w:highlight w:val="none"/>
        </w:rPr>
        <w:t>月</w:t>
      </w:r>
      <w:r>
        <w:rPr>
          <w:rFonts w:hint="eastAsia"/>
          <w:color w:val="auto"/>
          <w:szCs w:val="21"/>
          <w:highlight w:val="none"/>
          <w:u w:val="single"/>
        </w:rPr>
        <w:t xml:space="preserve">          </w:t>
      </w:r>
      <w:r>
        <w:rPr>
          <w:rFonts w:hint="eastAsia"/>
          <w:color w:val="auto"/>
          <w:szCs w:val="21"/>
          <w:highlight w:val="none"/>
        </w:rPr>
        <w:t>日</w:t>
      </w:r>
    </w:p>
    <w:p>
      <w:pPr>
        <w:spacing w:after="120" w:afterLines="50" w:line="420" w:lineRule="exact"/>
        <w:ind w:firstLine="420" w:firstLineChars="200"/>
        <w:rPr>
          <w:color w:val="auto"/>
          <w:szCs w:val="21"/>
          <w:highlight w:val="none"/>
        </w:rPr>
      </w:pPr>
      <w:r>
        <w:rPr>
          <w:rFonts w:hint="eastAsia"/>
          <w:color w:val="auto"/>
          <w:szCs w:val="21"/>
          <w:highlight w:val="none"/>
        </w:rPr>
        <w:t>经营期限：</w:t>
      </w:r>
      <w:r>
        <w:rPr>
          <w:rFonts w:hint="eastAsia"/>
          <w:color w:val="auto"/>
          <w:szCs w:val="21"/>
          <w:highlight w:val="none"/>
          <w:u w:val="single"/>
        </w:rPr>
        <w:t xml:space="preserve">                                     </w:t>
      </w:r>
    </w:p>
    <w:p>
      <w:pPr>
        <w:spacing w:after="120" w:afterLines="50" w:line="420" w:lineRule="exact"/>
        <w:ind w:firstLine="420" w:firstLineChars="200"/>
        <w:rPr>
          <w:color w:val="auto"/>
          <w:szCs w:val="21"/>
          <w:highlight w:val="none"/>
        </w:rPr>
      </w:pPr>
      <w:r>
        <w:rPr>
          <w:rFonts w:hint="eastAsia"/>
          <w:color w:val="auto"/>
          <w:szCs w:val="21"/>
          <w:highlight w:val="none"/>
        </w:rPr>
        <w:t>姓名：</w:t>
      </w:r>
      <w:r>
        <w:rPr>
          <w:rFonts w:hint="eastAsia"/>
          <w:color w:val="auto"/>
          <w:szCs w:val="21"/>
          <w:highlight w:val="none"/>
          <w:u w:val="single"/>
        </w:rPr>
        <w:t xml:space="preserve">          </w:t>
      </w:r>
      <w:r>
        <w:rPr>
          <w:rFonts w:hint="eastAsia"/>
          <w:color w:val="auto"/>
          <w:szCs w:val="21"/>
          <w:highlight w:val="none"/>
        </w:rPr>
        <w:t>性别：</w:t>
      </w:r>
      <w:r>
        <w:rPr>
          <w:rFonts w:hint="eastAsia"/>
          <w:color w:val="auto"/>
          <w:szCs w:val="21"/>
          <w:highlight w:val="none"/>
          <w:u w:val="single"/>
        </w:rPr>
        <w:t xml:space="preserve">          </w:t>
      </w:r>
      <w:r>
        <w:rPr>
          <w:rFonts w:hint="eastAsia"/>
          <w:color w:val="auto"/>
          <w:szCs w:val="21"/>
          <w:highlight w:val="none"/>
        </w:rPr>
        <w:t>年龄：</w:t>
      </w:r>
      <w:r>
        <w:rPr>
          <w:rFonts w:hint="eastAsia"/>
          <w:color w:val="auto"/>
          <w:szCs w:val="21"/>
          <w:highlight w:val="none"/>
          <w:u w:val="single"/>
        </w:rPr>
        <w:t xml:space="preserve">          </w:t>
      </w:r>
      <w:r>
        <w:rPr>
          <w:rFonts w:hint="eastAsia"/>
          <w:color w:val="auto"/>
          <w:szCs w:val="21"/>
          <w:highlight w:val="none"/>
        </w:rPr>
        <w:t>职务：</w:t>
      </w:r>
      <w:r>
        <w:rPr>
          <w:rFonts w:hint="eastAsia"/>
          <w:color w:val="auto"/>
          <w:szCs w:val="21"/>
          <w:highlight w:val="none"/>
          <w:u w:val="single"/>
        </w:rPr>
        <w:t xml:space="preserve">          </w:t>
      </w:r>
      <w:r>
        <w:rPr>
          <w:rFonts w:hint="eastAsia"/>
          <w:color w:val="auto"/>
          <w:szCs w:val="21"/>
          <w:highlight w:val="none"/>
        </w:rPr>
        <w:t>系</w:t>
      </w:r>
      <w:r>
        <w:rPr>
          <w:rFonts w:hint="eastAsia"/>
          <w:color w:val="auto"/>
          <w:szCs w:val="21"/>
          <w:highlight w:val="none"/>
          <w:u w:val="single"/>
        </w:rPr>
        <w:t>（投标人名称）</w:t>
      </w:r>
      <w:r>
        <w:rPr>
          <w:rFonts w:hint="eastAsia"/>
          <w:color w:val="auto"/>
          <w:szCs w:val="21"/>
          <w:highlight w:val="none"/>
        </w:rPr>
        <w:t>的法定代表人。</w:t>
      </w:r>
    </w:p>
    <w:p>
      <w:pPr>
        <w:spacing w:after="120" w:afterLines="50" w:line="420" w:lineRule="exact"/>
        <w:ind w:firstLine="420" w:firstLineChars="200"/>
        <w:rPr>
          <w:color w:val="auto"/>
          <w:szCs w:val="21"/>
          <w:highlight w:val="none"/>
        </w:rPr>
      </w:pPr>
      <w:r>
        <w:rPr>
          <w:rFonts w:hint="eastAsia"/>
          <w:color w:val="auto"/>
          <w:szCs w:val="21"/>
          <w:highlight w:val="none"/>
        </w:rPr>
        <w:t>特此证明。</w:t>
      </w:r>
    </w:p>
    <w:p>
      <w:pPr>
        <w:spacing w:after="120" w:afterLines="50" w:line="420" w:lineRule="exact"/>
        <w:ind w:firstLine="420" w:firstLineChars="200"/>
        <w:rPr>
          <w:color w:val="auto"/>
          <w:szCs w:val="21"/>
          <w:highlight w:val="none"/>
        </w:rPr>
      </w:pPr>
      <w:r>
        <w:rPr>
          <w:rFonts w:hint="eastAsia"/>
          <w:color w:val="auto"/>
          <w:szCs w:val="21"/>
          <w:highlight w:val="none"/>
        </w:rPr>
        <w:t>此处附法定代表人身份证的正反面复印件：</w:t>
      </w:r>
    </w:p>
    <w:p>
      <w:pPr>
        <w:spacing w:after="120" w:afterLines="50" w:line="420" w:lineRule="exact"/>
        <w:ind w:firstLine="420" w:firstLineChars="200"/>
        <w:rPr>
          <w:color w:val="auto"/>
          <w:szCs w:val="21"/>
          <w:highlight w:val="none"/>
        </w:rPr>
      </w:pPr>
    </w:p>
    <w:p>
      <w:pPr>
        <w:spacing w:after="120" w:afterLines="50" w:line="420" w:lineRule="exact"/>
        <w:ind w:firstLine="420" w:firstLineChars="200"/>
        <w:rPr>
          <w:color w:val="auto"/>
          <w:szCs w:val="21"/>
          <w:highlight w:val="none"/>
        </w:rPr>
      </w:pPr>
    </w:p>
    <w:p>
      <w:pPr>
        <w:spacing w:after="120" w:afterLines="50" w:line="420" w:lineRule="exact"/>
        <w:ind w:firstLine="420" w:firstLineChars="200"/>
        <w:rPr>
          <w:color w:val="auto"/>
          <w:szCs w:val="21"/>
          <w:highlight w:val="none"/>
        </w:rPr>
      </w:pPr>
    </w:p>
    <w:p>
      <w:pPr>
        <w:spacing w:after="120" w:afterLines="50" w:line="420" w:lineRule="exact"/>
        <w:ind w:firstLine="420" w:firstLineChars="200"/>
        <w:rPr>
          <w:color w:val="auto"/>
          <w:szCs w:val="21"/>
          <w:highlight w:val="none"/>
        </w:rPr>
      </w:pPr>
    </w:p>
    <w:p>
      <w:pPr>
        <w:spacing w:before="720" w:after="120" w:afterLines="50" w:line="360" w:lineRule="exact"/>
        <w:ind w:firstLine="4305" w:firstLineChars="2050"/>
        <w:rPr>
          <w:color w:val="auto"/>
          <w:szCs w:val="21"/>
          <w:highlight w:val="none"/>
        </w:rPr>
      </w:pPr>
      <w:r>
        <w:rPr>
          <w:color w:val="auto"/>
          <w:szCs w:val="21"/>
          <w:highlight w:val="none"/>
        </w:rPr>
        <w:t>投标人：</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（全称）（盖章） </w:t>
      </w:r>
      <w:r>
        <w:rPr>
          <w:rFonts w:hint="eastAsia"/>
          <w:color w:val="auto"/>
          <w:szCs w:val="21"/>
          <w:highlight w:val="none"/>
          <w:u w:val="single"/>
        </w:rPr>
        <w:t xml:space="preserve">   </w:t>
      </w:r>
      <w:r>
        <w:rPr>
          <w:color w:val="auto"/>
          <w:szCs w:val="21"/>
          <w:highlight w:val="none"/>
          <w:u w:val="single"/>
        </w:rPr>
        <w:t xml:space="preserve">   </w:t>
      </w:r>
    </w:p>
    <w:p>
      <w:pPr>
        <w:spacing w:line="800" w:lineRule="exact"/>
        <w:ind w:firstLine="4305" w:firstLineChars="2050"/>
        <w:rPr>
          <w:color w:val="auto"/>
          <w:szCs w:val="21"/>
          <w:highlight w:val="none"/>
        </w:rPr>
      </w:pPr>
      <w:r>
        <w:rPr>
          <w:color w:val="auto"/>
          <w:szCs w:val="21"/>
          <w:highlight w:val="none"/>
        </w:rPr>
        <w:t>日</w:t>
      </w:r>
      <w:r>
        <w:rPr>
          <w:rFonts w:hint="eastAsia"/>
          <w:color w:val="auto"/>
          <w:szCs w:val="21"/>
          <w:highlight w:val="none"/>
        </w:rPr>
        <w:t xml:space="preserve">  </w:t>
      </w:r>
      <w:r>
        <w:rPr>
          <w:color w:val="auto"/>
          <w:szCs w:val="21"/>
          <w:highlight w:val="none"/>
        </w:rPr>
        <w:t>期：</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年</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月</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日</w:t>
      </w:r>
    </w:p>
    <w:p>
      <w:pPr>
        <w:ind w:firstLine="420" w:firstLineChars="200"/>
        <w:rPr>
          <w:rFonts w:hint="eastAsia" w:ascii="宋体" w:hAnsi="宋体"/>
          <w:color w:val="auto"/>
          <w:sz w:val="24"/>
          <w:highlight w:val="none"/>
        </w:rPr>
      </w:pPr>
      <w:r>
        <w:rPr>
          <w:color w:val="auto"/>
          <w:szCs w:val="21"/>
          <w:highlight w:val="none"/>
        </w:rPr>
        <w:br w:type="page"/>
      </w:r>
      <w:r>
        <w:rPr>
          <w:rFonts w:hint="eastAsia" w:ascii="宋体" w:hAnsi="宋体"/>
          <w:color w:val="auto"/>
          <w:sz w:val="24"/>
          <w:highlight w:val="none"/>
        </w:rPr>
        <w:t>附件4：</w:t>
      </w:r>
    </w:p>
    <w:p>
      <w:pPr>
        <w:pStyle w:val="272"/>
        <w:rPr>
          <w:color w:val="auto"/>
          <w:highlight w:val="none"/>
        </w:rPr>
      </w:pPr>
    </w:p>
    <w:p>
      <w:pPr>
        <w:spacing w:before="240" w:beforeLines="100" w:after="240" w:afterLines="100" w:line="360" w:lineRule="auto"/>
        <w:jc w:val="center"/>
        <w:rPr>
          <w:rFonts w:eastAsia="黑体"/>
          <w:b/>
          <w:color w:val="auto"/>
          <w:sz w:val="28"/>
          <w:szCs w:val="21"/>
          <w:highlight w:val="none"/>
        </w:rPr>
      </w:pPr>
      <w:r>
        <w:rPr>
          <w:rFonts w:eastAsia="黑体"/>
          <w:b/>
          <w:color w:val="auto"/>
          <w:sz w:val="28"/>
          <w:szCs w:val="21"/>
          <w:highlight w:val="none"/>
        </w:rPr>
        <w:t>授</w:t>
      </w:r>
      <w:r>
        <w:rPr>
          <w:rFonts w:hint="eastAsia" w:eastAsia="黑体"/>
          <w:b/>
          <w:color w:val="auto"/>
          <w:sz w:val="28"/>
          <w:szCs w:val="21"/>
          <w:highlight w:val="none"/>
        </w:rPr>
        <w:t xml:space="preserve"> </w:t>
      </w:r>
      <w:r>
        <w:rPr>
          <w:rFonts w:eastAsia="黑体"/>
          <w:b/>
          <w:color w:val="auto"/>
          <w:sz w:val="28"/>
          <w:szCs w:val="21"/>
          <w:highlight w:val="none"/>
        </w:rPr>
        <w:t>权</w:t>
      </w:r>
      <w:r>
        <w:rPr>
          <w:rFonts w:hint="eastAsia" w:eastAsia="黑体"/>
          <w:b/>
          <w:color w:val="auto"/>
          <w:sz w:val="28"/>
          <w:szCs w:val="21"/>
          <w:highlight w:val="none"/>
        </w:rPr>
        <w:t xml:space="preserve"> 委 托 </w:t>
      </w:r>
      <w:r>
        <w:rPr>
          <w:rFonts w:eastAsia="黑体"/>
          <w:b/>
          <w:color w:val="auto"/>
          <w:sz w:val="28"/>
          <w:szCs w:val="21"/>
          <w:highlight w:val="none"/>
        </w:rPr>
        <w:t>书</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本人</w:t>
      </w:r>
      <w:r>
        <w:rPr>
          <w:rFonts w:hint="eastAsia" w:ascii="宋体" w:hAnsi="宋体"/>
          <w:color w:val="auto"/>
          <w:szCs w:val="21"/>
          <w:highlight w:val="none"/>
          <w:u w:val="single"/>
        </w:rPr>
        <w:t xml:space="preserve">   （姓名）  </w:t>
      </w:r>
      <w:r>
        <w:rPr>
          <w:rFonts w:hint="eastAsia" w:ascii="宋体" w:hAnsi="宋体"/>
          <w:color w:val="auto"/>
          <w:szCs w:val="21"/>
          <w:highlight w:val="none"/>
        </w:rPr>
        <w:t>系</w:t>
      </w:r>
      <w:r>
        <w:rPr>
          <w:rFonts w:hint="eastAsia" w:ascii="宋体" w:hAnsi="宋体"/>
          <w:color w:val="auto"/>
          <w:szCs w:val="21"/>
          <w:highlight w:val="none"/>
          <w:u w:val="single"/>
        </w:rPr>
        <w:t xml:space="preserve">     （投标人名称）    </w:t>
      </w:r>
      <w:r>
        <w:rPr>
          <w:rFonts w:hint="eastAsia" w:ascii="宋体" w:hAnsi="宋体"/>
          <w:color w:val="auto"/>
          <w:szCs w:val="21"/>
          <w:highlight w:val="none"/>
        </w:rPr>
        <w:t>的法定代表人，现委托</w:t>
      </w:r>
      <w:r>
        <w:rPr>
          <w:rFonts w:hint="eastAsia" w:ascii="宋体" w:hAnsi="宋体"/>
          <w:color w:val="auto"/>
          <w:szCs w:val="21"/>
          <w:highlight w:val="none"/>
          <w:u w:val="single"/>
        </w:rPr>
        <w:t xml:space="preserve">    （姓名）   </w:t>
      </w:r>
      <w:r>
        <w:rPr>
          <w:rFonts w:hint="eastAsia" w:ascii="宋体" w:hAnsi="宋体"/>
          <w:color w:val="auto"/>
          <w:szCs w:val="21"/>
          <w:highlight w:val="none"/>
        </w:rPr>
        <w:t xml:space="preserve">为我方代理人，并授权其以我方办理 </w:t>
      </w:r>
      <w:r>
        <w:rPr>
          <w:rFonts w:hint="eastAsia" w:ascii="宋体" w:hAnsi="宋体"/>
          <w:color w:val="auto"/>
          <w:szCs w:val="21"/>
          <w:highlight w:val="none"/>
          <w:u w:val="single"/>
        </w:rPr>
        <w:t xml:space="preserve">       （项目名称）           </w:t>
      </w:r>
      <w:r>
        <w:rPr>
          <w:rFonts w:hint="eastAsia" w:ascii="宋体" w:hAnsi="宋体"/>
          <w:color w:val="auto"/>
          <w:szCs w:val="21"/>
          <w:highlight w:val="none"/>
        </w:rPr>
        <w:t>施工招标文件领购和投标登记，其法律后果由我方承担。</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委托期限：</w:t>
      </w:r>
      <w:r>
        <w:rPr>
          <w:rFonts w:hint="eastAsia" w:ascii="宋体" w:hAnsi="宋体"/>
          <w:color w:val="auto"/>
          <w:szCs w:val="21"/>
          <w:highlight w:val="none"/>
          <w:u w:val="single"/>
        </w:rPr>
        <w:t xml:space="preserve">                                </w:t>
      </w:r>
    </w:p>
    <w:p>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代理人无权再授权。</w:t>
      </w:r>
    </w:p>
    <w:p>
      <w:pPr>
        <w:spacing w:after="120" w:afterLines="50" w:line="360" w:lineRule="exact"/>
        <w:ind w:firstLine="420" w:firstLineChars="200"/>
        <w:rPr>
          <w:color w:val="auto"/>
          <w:szCs w:val="21"/>
          <w:highlight w:val="none"/>
        </w:rPr>
      </w:pPr>
      <w:r>
        <w:rPr>
          <w:rFonts w:hint="eastAsia" w:ascii="宋体" w:hAnsi="宋体"/>
          <w:color w:val="auto"/>
          <w:szCs w:val="21"/>
          <w:highlight w:val="none"/>
        </w:rPr>
        <w:t>附：委托</w:t>
      </w:r>
      <w:r>
        <w:rPr>
          <w:rFonts w:hint="eastAsia"/>
          <w:color w:val="auto"/>
          <w:szCs w:val="21"/>
          <w:highlight w:val="none"/>
        </w:rPr>
        <w:t>代理人身份证的正反面复印件：</w:t>
      </w:r>
    </w:p>
    <w:p>
      <w:pPr>
        <w:spacing w:line="360" w:lineRule="auto"/>
        <w:ind w:firstLine="420" w:firstLineChars="200"/>
        <w:rPr>
          <w:rFonts w:ascii="宋体" w:hAnsi="宋体"/>
          <w:color w:val="auto"/>
          <w:szCs w:val="21"/>
          <w:highlight w:val="none"/>
        </w:rPr>
      </w:pPr>
    </w:p>
    <w:p>
      <w:pPr>
        <w:spacing w:line="360" w:lineRule="auto"/>
        <w:ind w:firstLine="420" w:firstLineChars="200"/>
        <w:rPr>
          <w:rFonts w:ascii="宋体" w:hAnsi="宋体"/>
          <w:color w:val="auto"/>
          <w:szCs w:val="21"/>
          <w:highlight w:val="none"/>
        </w:rPr>
      </w:pPr>
    </w:p>
    <w:p>
      <w:pPr>
        <w:spacing w:line="360" w:lineRule="auto"/>
        <w:ind w:firstLine="420" w:firstLineChars="200"/>
        <w:rPr>
          <w:rFonts w:ascii="宋体" w:hAnsi="宋体"/>
          <w:color w:val="auto"/>
          <w:szCs w:val="21"/>
          <w:highlight w:val="none"/>
        </w:rPr>
      </w:pPr>
    </w:p>
    <w:p>
      <w:pPr>
        <w:spacing w:line="360" w:lineRule="auto"/>
        <w:ind w:firstLine="420" w:firstLineChars="200"/>
        <w:rPr>
          <w:rFonts w:ascii="宋体" w:hAnsi="宋体"/>
          <w:color w:val="auto"/>
          <w:szCs w:val="21"/>
          <w:highlight w:val="none"/>
        </w:rPr>
      </w:pPr>
    </w:p>
    <w:p>
      <w:pPr>
        <w:spacing w:line="360" w:lineRule="auto"/>
        <w:rPr>
          <w:rFonts w:ascii="宋体" w:hAnsi="宋体"/>
          <w:color w:val="auto"/>
          <w:szCs w:val="21"/>
          <w:highlight w:val="none"/>
        </w:rPr>
      </w:pPr>
      <w:r>
        <w:rPr>
          <w:rFonts w:hint="eastAsia" w:ascii="宋体" w:hAnsi="宋体"/>
          <w:color w:val="auto"/>
          <w:szCs w:val="21"/>
          <w:highlight w:val="none"/>
        </w:rPr>
        <w:t>投标人：</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pPr>
        <w:spacing w:line="360" w:lineRule="auto"/>
        <w:ind w:firstLine="420" w:firstLineChars="200"/>
        <w:rPr>
          <w:rFonts w:ascii="宋体" w:hAnsi="宋体"/>
          <w:color w:val="auto"/>
          <w:szCs w:val="21"/>
          <w:highlight w:val="none"/>
        </w:rPr>
      </w:pPr>
    </w:p>
    <w:p>
      <w:pPr>
        <w:spacing w:line="360" w:lineRule="auto"/>
        <w:rPr>
          <w:rFonts w:ascii="宋体" w:hAnsi="宋体"/>
          <w:color w:val="auto"/>
          <w:szCs w:val="21"/>
          <w:highlight w:val="none"/>
        </w:rPr>
      </w:pPr>
      <w:r>
        <w:rPr>
          <w:rFonts w:hint="eastAsia" w:ascii="宋体" w:hAnsi="宋体"/>
          <w:color w:val="auto"/>
          <w:szCs w:val="21"/>
          <w:highlight w:val="none"/>
        </w:rPr>
        <w:t>法定代表人：</w:t>
      </w:r>
      <w:r>
        <w:rPr>
          <w:rFonts w:hint="eastAsia" w:ascii="宋体" w:hAnsi="宋体"/>
          <w:color w:val="auto"/>
          <w:szCs w:val="21"/>
          <w:highlight w:val="none"/>
          <w:u w:val="single"/>
        </w:rPr>
        <w:t xml:space="preserve">                     </w:t>
      </w:r>
      <w:r>
        <w:rPr>
          <w:rFonts w:hint="eastAsia" w:ascii="宋体" w:hAnsi="宋体"/>
          <w:color w:val="auto"/>
          <w:szCs w:val="21"/>
          <w:highlight w:val="none"/>
        </w:rPr>
        <w:t>（签字）</w:t>
      </w:r>
    </w:p>
    <w:p>
      <w:pPr>
        <w:spacing w:line="360" w:lineRule="auto"/>
        <w:ind w:firstLine="420" w:firstLineChars="200"/>
        <w:rPr>
          <w:rFonts w:ascii="宋体" w:hAnsi="宋体"/>
          <w:color w:val="auto"/>
          <w:szCs w:val="21"/>
          <w:highlight w:val="none"/>
        </w:rPr>
      </w:pPr>
    </w:p>
    <w:p>
      <w:pPr>
        <w:spacing w:line="360" w:lineRule="auto"/>
        <w:rPr>
          <w:rFonts w:ascii="宋体" w:hAnsi="宋体"/>
          <w:color w:val="auto"/>
          <w:szCs w:val="21"/>
          <w:highlight w:val="none"/>
        </w:rPr>
      </w:pPr>
      <w:r>
        <w:rPr>
          <w:rFonts w:hint="eastAsia" w:ascii="宋体" w:hAnsi="宋体"/>
          <w:color w:val="auto"/>
          <w:szCs w:val="21"/>
          <w:highlight w:val="none"/>
        </w:rPr>
        <w:t>身份证号码：</w:t>
      </w:r>
      <w:r>
        <w:rPr>
          <w:rFonts w:hint="eastAsia" w:ascii="宋体" w:hAnsi="宋体"/>
          <w:color w:val="auto"/>
          <w:szCs w:val="21"/>
          <w:highlight w:val="none"/>
          <w:u w:val="single"/>
        </w:rPr>
        <w:t xml:space="preserve">                                </w:t>
      </w:r>
    </w:p>
    <w:p>
      <w:pPr>
        <w:spacing w:line="360" w:lineRule="auto"/>
        <w:ind w:firstLine="420" w:firstLineChars="200"/>
        <w:rPr>
          <w:rFonts w:ascii="宋体" w:hAnsi="宋体"/>
          <w:color w:val="auto"/>
          <w:szCs w:val="21"/>
          <w:highlight w:val="none"/>
        </w:rPr>
      </w:pPr>
    </w:p>
    <w:p>
      <w:pPr>
        <w:spacing w:line="360" w:lineRule="auto"/>
        <w:rPr>
          <w:rFonts w:ascii="宋体" w:hAnsi="宋体"/>
          <w:color w:val="auto"/>
          <w:szCs w:val="21"/>
          <w:highlight w:val="none"/>
        </w:rPr>
      </w:pPr>
      <w:r>
        <w:rPr>
          <w:rFonts w:hint="eastAsia" w:ascii="宋体" w:hAnsi="宋体"/>
          <w:color w:val="auto"/>
          <w:szCs w:val="21"/>
          <w:highlight w:val="none"/>
        </w:rPr>
        <w:t>委托代理人：</w:t>
      </w:r>
      <w:r>
        <w:rPr>
          <w:rFonts w:hint="eastAsia" w:ascii="宋体" w:hAnsi="宋体"/>
          <w:color w:val="auto"/>
          <w:szCs w:val="21"/>
          <w:highlight w:val="none"/>
          <w:u w:val="single"/>
        </w:rPr>
        <w:t xml:space="preserve">                      </w:t>
      </w:r>
      <w:r>
        <w:rPr>
          <w:rFonts w:hint="eastAsia" w:ascii="宋体" w:hAnsi="宋体"/>
          <w:color w:val="auto"/>
          <w:szCs w:val="21"/>
          <w:highlight w:val="none"/>
        </w:rPr>
        <w:t>（签字）</w:t>
      </w:r>
    </w:p>
    <w:p>
      <w:pPr>
        <w:spacing w:line="360" w:lineRule="auto"/>
        <w:ind w:firstLine="420" w:firstLineChars="200"/>
        <w:rPr>
          <w:rFonts w:ascii="宋体" w:hAnsi="宋体"/>
          <w:color w:val="auto"/>
          <w:szCs w:val="21"/>
          <w:highlight w:val="none"/>
        </w:rPr>
      </w:pPr>
    </w:p>
    <w:p>
      <w:pPr>
        <w:spacing w:line="360" w:lineRule="auto"/>
        <w:rPr>
          <w:rFonts w:ascii="宋体" w:hAnsi="宋体"/>
          <w:color w:val="auto"/>
          <w:szCs w:val="21"/>
          <w:highlight w:val="none"/>
        </w:rPr>
      </w:pPr>
      <w:r>
        <w:rPr>
          <w:rFonts w:hint="eastAsia" w:ascii="宋体" w:hAnsi="宋体"/>
          <w:color w:val="auto"/>
          <w:szCs w:val="21"/>
          <w:highlight w:val="none"/>
        </w:rPr>
        <w:t>身份证号码：</w:t>
      </w:r>
      <w:r>
        <w:rPr>
          <w:rFonts w:hint="eastAsia" w:ascii="宋体" w:hAnsi="宋体"/>
          <w:color w:val="auto"/>
          <w:szCs w:val="21"/>
          <w:highlight w:val="none"/>
          <w:u w:val="single"/>
        </w:rPr>
        <w:t xml:space="preserve">                                </w:t>
      </w:r>
    </w:p>
    <w:p>
      <w:pPr>
        <w:spacing w:line="360" w:lineRule="auto"/>
        <w:ind w:firstLine="5355" w:firstLineChars="2550"/>
        <w:rPr>
          <w:rFonts w:ascii="宋体" w:hAnsi="宋体"/>
          <w:color w:val="auto"/>
          <w:szCs w:val="21"/>
          <w:highlight w:val="none"/>
        </w:rPr>
      </w:pPr>
    </w:p>
    <w:p>
      <w:pPr>
        <w:pStyle w:val="272"/>
        <w:jc w:val="center"/>
        <w:rPr>
          <w:rFonts w:hint="eastAsia" w:ascii="宋体" w:hAnsi="宋体" w:cs="宋体"/>
          <w:b/>
          <w:color w:val="auto"/>
          <w:kern w:val="0"/>
          <w:sz w:val="34"/>
          <w:szCs w:val="50"/>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pPr>
        <w:pStyle w:val="3"/>
        <w:spacing w:line="240" w:lineRule="atLeast"/>
        <w:jc w:val="center"/>
        <w:rPr>
          <w:color w:val="auto"/>
          <w:highlight w:val="none"/>
        </w:rPr>
      </w:pPr>
    </w:p>
    <w:p>
      <w:pPr>
        <w:ind w:firstLine="480" w:firstLineChars="200"/>
        <w:rPr>
          <w:rFonts w:hint="eastAsia" w:ascii="宋体" w:hAnsi="宋体"/>
          <w:color w:val="auto"/>
          <w:sz w:val="24"/>
          <w:highlight w:val="none"/>
        </w:rPr>
      </w:pPr>
    </w:p>
    <w:p>
      <w:pPr>
        <w:ind w:firstLine="480" w:firstLineChars="200"/>
        <w:rPr>
          <w:rFonts w:hint="eastAsia" w:ascii="宋体" w:hAnsi="宋体"/>
          <w:color w:val="auto"/>
          <w:sz w:val="24"/>
          <w:highlight w:val="none"/>
        </w:rPr>
      </w:pPr>
    </w:p>
    <w:p>
      <w:pPr>
        <w:rPr>
          <w:rFonts w:hint="eastAsia" w:ascii="宋体" w:hAnsi="宋体"/>
          <w:color w:val="auto"/>
          <w:sz w:val="24"/>
          <w:highlight w:val="none"/>
        </w:rPr>
      </w:pPr>
    </w:p>
    <w:p>
      <w:pPr>
        <w:ind w:firstLine="480" w:firstLineChars="200"/>
        <w:rPr>
          <w:rFonts w:hint="eastAsia" w:ascii="宋体" w:hAnsi="宋体"/>
          <w:color w:val="auto"/>
          <w:sz w:val="24"/>
          <w:highlight w:val="none"/>
        </w:rPr>
      </w:pPr>
    </w:p>
    <w:p>
      <w:pPr>
        <w:ind w:firstLine="480" w:firstLineChars="200"/>
        <w:rPr>
          <w:rFonts w:hint="eastAsia" w:ascii="宋体" w:hAnsi="宋体"/>
          <w:color w:val="auto"/>
          <w:sz w:val="24"/>
          <w:highlight w:val="none"/>
        </w:rPr>
      </w:pPr>
    </w:p>
    <w:p>
      <w:pPr>
        <w:ind w:firstLine="480" w:firstLineChars="200"/>
        <w:rPr>
          <w:rFonts w:hint="eastAsia" w:ascii="宋体" w:hAnsi="宋体"/>
          <w:color w:val="auto"/>
          <w:sz w:val="24"/>
          <w:highlight w:val="none"/>
        </w:rPr>
      </w:pPr>
      <w:r>
        <w:rPr>
          <w:rFonts w:hint="eastAsia" w:ascii="宋体" w:hAnsi="宋体"/>
          <w:color w:val="auto"/>
          <w:sz w:val="24"/>
          <w:highlight w:val="none"/>
        </w:rPr>
        <w:t>附件5：</w:t>
      </w:r>
      <w:r>
        <w:rPr>
          <w:rFonts w:ascii="宋体" w:hAnsi="宋体" w:cs="宋体"/>
          <w:color w:val="auto"/>
          <w:sz w:val="24"/>
          <w:szCs w:val="24"/>
          <w:highlight w:val="none"/>
        </w:rPr>
        <w:t>工程勘察设计主要岗位人员基本要求表</w:t>
      </w:r>
    </w:p>
    <w:tbl>
      <w:tblPr>
        <w:tblStyle w:val="43"/>
        <w:tblpPr w:leftFromText="180" w:rightFromText="180" w:vertAnchor="text" w:horzAnchor="page" w:tblpX="1673" w:tblpY="25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3"/>
        <w:gridCol w:w="5041"/>
        <w:gridCol w:w="1085"/>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53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人员</w:t>
            </w:r>
          </w:p>
        </w:tc>
        <w:tc>
          <w:tcPr>
            <w:tcW w:w="5041" w:type="dxa"/>
            <w:noWrap w:val="0"/>
            <w:vAlign w:val="center"/>
          </w:tcPr>
          <w:p>
            <w:pPr>
              <w:pStyle w:val="273"/>
              <w:pBdr>
                <w:left w:val="none" w:color="auto" w:sz="0" w:space="0"/>
                <w:right w:val="none" w:color="auto" w:sz="0" w:space="0"/>
              </w:pBdr>
              <w:spacing w:before="0" w:beforeAutospacing="0" w:after="0" w:afterAutospacing="0"/>
              <w:rPr>
                <w:rFonts w:hint="default"/>
                <w:color w:val="auto"/>
                <w:sz w:val="21"/>
                <w:szCs w:val="21"/>
                <w:highlight w:val="none"/>
              </w:rPr>
            </w:pPr>
            <w:r>
              <w:rPr>
                <w:color w:val="auto"/>
                <w:sz w:val="21"/>
                <w:szCs w:val="21"/>
                <w:highlight w:val="none"/>
              </w:rPr>
              <w:t>资格与经历</w:t>
            </w:r>
          </w:p>
        </w:tc>
        <w:tc>
          <w:tcPr>
            <w:tcW w:w="1085"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人员数量</w:t>
            </w:r>
          </w:p>
        </w:tc>
        <w:tc>
          <w:tcPr>
            <w:tcW w:w="1170"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153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设总（项目负责人）</w:t>
            </w:r>
          </w:p>
        </w:tc>
        <w:tc>
          <w:tcPr>
            <w:tcW w:w="5041" w:type="dxa"/>
            <w:noWrap w:val="0"/>
            <w:vAlign w:val="center"/>
          </w:tcPr>
          <w:p>
            <w:pPr>
              <w:numPr>
                <w:ilvl w:val="-1"/>
                <w:numId w:val="0"/>
              </w:numPr>
              <w:ind w:left="0" w:firstLine="0"/>
              <w:jc w:val="left"/>
              <w:rPr>
                <w:rFonts w:hint="eastAsia" w:ascii="宋体" w:hAnsi="宋体"/>
                <w:color w:val="auto"/>
                <w:szCs w:val="21"/>
                <w:highlight w:val="none"/>
              </w:rPr>
            </w:pPr>
            <w:r>
              <w:rPr>
                <w:rFonts w:hint="eastAsia" w:ascii="宋体" w:hAnsi="宋体"/>
                <w:color w:val="auto"/>
                <w:szCs w:val="21"/>
                <w:highlight w:val="none"/>
                <w:u w:val="none"/>
                <w:lang w:val="en-US" w:eastAsia="zh-CN"/>
              </w:rPr>
              <w:t>①</w:t>
            </w:r>
            <w:r>
              <w:rPr>
                <w:rFonts w:hint="eastAsia" w:ascii="宋体" w:hAnsi="宋体"/>
                <w:color w:val="auto"/>
                <w:szCs w:val="21"/>
                <w:highlight w:val="none"/>
                <w:u w:val="none"/>
              </w:rPr>
              <w:t>具备电力专业高级（或以上）工程师职称或注册电气工程师资格；</w:t>
            </w:r>
          </w:p>
          <w:p>
            <w:pPr>
              <w:jc w:val="left"/>
              <w:rPr>
                <w:rFonts w:ascii="宋体" w:hAnsi="宋体"/>
                <w:color w:val="auto"/>
                <w:szCs w:val="21"/>
                <w:highlight w:val="none"/>
              </w:rPr>
            </w:pPr>
            <w:r>
              <w:rPr>
                <w:rFonts w:hint="eastAsia" w:ascii="宋体" w:hAnsi="宋体"/>
                <w:color w:val="auto"/>
                <w:szCs w:val="21"/>
                <w:highlight w:val="none"/>
              </w:rPr>
              <w:t>②具有10年或以上工作年限。</w:t>
            </w:r>
          </w:p>
        </w:tc>
        <w:tc>
          <w:tcPr>
            <w:tcW w:w="1085" w:type="dxa"/>
            <w:noWrap w:val="0"/>
            <w:vAlign w:val="center"/>
          </w:tcPr>
          <w:p>
            <w:pPr>
              <w:jc w:val="center"/>
              <w:rPr>
                <w:rFonts w:hint="eastAsia" w:ascii="宋体" w:hAnsi="宋体"/>
                <w:color w:val="auto"/>
                <w:szCs w:val="21"/>
                <w:highlight w:val="none"/>
                <w:lang w:val="en-GB"/>
              </w:rPr>
            </w:pPr>
            <w:r>
              <w:rPr>
                <w:rFonts w:hint="eastAsia" w:ascii="宋体" w:hAnsi="宋体" w:cs="仿宋_GB2312"/>
                <w:color w:val="auto"/>
                <w:szCs w:val="21"/>
                <w:highlight w:val="none"/>
              </w:rPr>
              <w:t>1</w:t>
            </w:r>
          </w:p>
        </w:tc>
        <w:tc>
          <w:tcPr>
            <w:tcW w:w="1170" w:type="dxa"/>
            <w:noWrap w:val="0"/>
            <w:vAlign w:val="center"/>
          </w:tcPr>
          <w:p>
            <w:pPr>
              <w:jc w:val="center"/>
              <w:rPr>
                <w:rFonts w:hint="eastAsia" w:ascii="宋体" w:hAnsi="宋体"/>
                <w:color w:val="auto"/>
                <w:szCs w:val="21"/>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3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电力专业负责人</w:t>
            </w:r>
          </w:p>
        </w:tc>
        <w:tc>
          <w:tcPr>
            <w:tcW w:w="5041" w:type="dxa"/>
            <w:noWrap w:val="0"/>
            <w:vAlign w:val="center"/>
          </w:tcPr>
          <w:p>
            <w:pPr>
              <w:numPr>
                <w:ilvl w:val="0"/>
                <w:numId w:val="0"/>
              </w:numPr>
              <w:ind w:leftChars="0"/>
              <w:jc w:val="left"/>
              <w:rPr>
                <w:rFonts w:hint="eastAsia" w:ascii="宋体" w:hAnsi="宋体"/>
                <w:color w:val="auto"/>
                <w:szCs w:val="21"/>
                <w:highlight w:val="none"/>
              </w:rPr>
            </w:pPr>
            <w:r>
              <w:rPr>
                <w:rFonts w:hint="eastAsia" w:ascii="宋体" w:hAnsi="宋体"/>
                <w:color w:val="auto"/>
                <w:szCs w:val="21"/>
                <w:highlight w:val="none"/>
                <w:u w:val="none"/>
                <w:lang w:val="en-US" w:eastAsia="zh-CN"/>
              </w:rPr>
              <w:t>①</w:t>
            </w:r>
            <w:r>
              <w:rPr>
                <w:rFonts w:hint="eastAsia" w:ascii="宋体" w:hAnsi="宋体"/>
                <w:color w:val="auto"/>
                <w:szCs w:val="21"/>
                <w:highlight w:val="none"/>
              </w:rPr>
              <w:t>电力、电气（含相近专业）专业中级（或以上）工程师职称</w:t>
            </w:r>
            <w:r>
              <w:rPr>
                <w:rFonts w:hint="eastAsia" w:ascii="宋体" w:hAnsi="宋体"/>
                <w:color w:val="auto"/>
                <w:szCs w:val="21"/>
                <w:highlight w:val="none"/>
                <w:lang w:val="en-GB"/>
              </w:rPr>
              <w:t>；</w:t>
            </w:r>
            <w:r>
              <w:rPr>
                <w:rFonts w:hint="eastAsia" w:ascii="宋体" w:hAnsi="宋体"/>
                <w:color w:val="auto"/>
                <w:szCs w:val="21"/>
                <w:highlight w:val="none"/>
              </w:rPr>
              <w:t>或注册电气工程师执业资格,注册于投标人本单位；②5 年或以上工作年限；③大专以上学历。</w:t>
            </w:r>
          </w:p>
        </w:tc>
        <w:tc>
          <w:tcPr>
            <w:tcW w:w="1085" w:type="dxa"/>
            <w:noWrap w:val="0"/>
            <w:vAlign w:val="center"/>
          </w:tcPr>
          <w:p>
            <w:pPr>
              <w:autoSpaceDE w:val="0"/>
              <w:autoSpaceDN w:val="0"/>
              <w:adjustRightInd w:val="0"/>
              <w:snapToGrid w:val="0"/>
              <w:jc w:val="center"/>
              <w:rPr>
                <w:rFonts w:hint="eastAsia" w:ascii="宋体" w:hAnsi="宋体" w:cs="仿宋_GB2312"/>
                <w:color w:val="auto"/>
                <w:szCs w:val="21"/>
                <w:highlight w:val="none"/>
                <w:lang w:val="zh-CN"/>
              </w:rPr>
            </w:pPr>
            <w:r>
              <w:rPr>
                <w:rFonts w:hint="eastAsia" w:ascii="宋体" w:hAnsi="宋体" w:cs="仿宋_GB2312"/>
                <w:color w:val="auto"/>
                <w:szCs w:val="21"/>
                <w:highlight w:val="none"/>
              </w:rPr>
              <w:t>1</w:t>
            </w:r>
          </w:p>
        </w:tc>
        <w:tc>
          <w:tcPr>
            <w:tcW w:w="1170" w:type="dxa"/>
            <w:noWrap w:val="0"/>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1533" w:type="dxa"/>
            <w:noWrap w:val="0"/>
            <w:vAlign w:val="center"/>
          </w:tcPr>
          <w:p>
            <w:pPr>
              <w:jc w:val="center"/>
              <w:rPr>
                <w:rFonts w:hint="eastAsia" w:ascii="宋体" w:hAnsi="宋体"/>
                <w:strike w:val="0"/>
                <w:dstrike w:val="0"/>
                <w:color w:val="auto"/>
                <w:szCs w:val="21"/>
                <w:highlight w:val="none"/>
              </w:rPr>
            </w:pPr>
            <w:r>
              <w:rPr>
                <w:rFonts w:hint="eastAsia" w:ascii="宋体" w:hAnsi="宋体"/>
                <w:strike w:val="0"/>
                <w:dstrike w:val="0"/>
                <w:color w:val="auto"/>
                <w:szCs w:val="21"/>
                <w:highlight w:val="none"/>
              </w:rPr>
              <w:t>市政专业负责人</w:t>
            </w:r>
          </w:p>
        </w:tc>
        <w:tc>
          <w:tcPr>
            <w:tcW w:w="5041" w:type="dxa"/>
            <w:noWrap w:val="0"/>
            <w:vAlign w:val="center"/>
          </w:tcPr>
          <w:p>
            <w:pPr>
              <w:numPr>
                <w:ilvl w:val="0"/>
                <w:numId w:val="0"/>
              </w:numPr>
              <w:ind w:leftChars="0"/>
              <w:jc w:val="left"/>
              <w:rPr>
                <w:rFonts w:hint="eastAsia" w:ascii="宋体" w:hAnsi="宋体"/>
                <w:strike w:val="0"/>
                <w:dstrike w:val="0"/>
                <w:color w:val="auto"/>
                <w:szCs w:val="21"/>
                <w:highlight w:val="none"/>
              </w:rPr>
            </w:pPr>
            <w:r>
              <w:rPr>
                <w:rFonts w:hint="eastAsia" w:ascii="宋体" w:hAnsi="宋体"/>
                <w:color w:val="auto"/>
                <w:szCs w:val="21"/>
                <w:highlight w:val="none"/>
                <w:u w:val="none"/>
                <w:lang w:val="en-US" w:eastAsia="zh-CN"/>
              </w:rPr>
              <w:t>①</w:t>
            </w:r>
            <w:r>
              <w:rPr>
                <w:rFonts w:hint="eastAsia" w:ascii="宋体" w:hAnsi="宋体"/>
                <w:strike w:val="0"/>
                <w:dstrike w:val="0"/>
                <w:color w:val="auto"/>
                <w:szCs w:val="21"/>
                <w:highlight w:val="none"/>
              </w:rPr>
              <w:t>具有工程类专业中级（或以上）工程师职称，注册于投标人本单位；②5 年或以上工作年限；③大专以上学历。</w:t>
            </w:r>
          </w:p>
        </w:tc>
        <w:tc>
          <w:tcPr>
            <w:tcW w:w="1085" w:type="dxa"/>
            <w:noWrap w:val="0"/>
            <w:vAlign w:val="center"/>
          </w:tcPr>
          <w:p>
            <w:pPr>
              <w:autoSpaceDE w:val="0"/>
              <w:autoSpaceDN w:val="0"/>
              <w:adjustRightInd w:val="0"/>
              <w:snapToGrid w:val="0"/>
              <w:jc w:val="center"/>
              <w:rPr>
                <w:rFonts w:ascii="宋体" w:hAnsi="宋体" w:cs="仿宋_GB2312"/>
                <w:strike w:val="0"/>
                <w:dstrike w:val="0"/>
                <w:color w:val="auto"/>
                <w:szCs w:val="21"/>
                <w:highlight w:val="none"/>
              </w:rPr>
            </w:pPr>
            <w:r>
              <w:rPr>
                <w:rFonts w:ascii="宋体" w:hAnsi="宋体" w:cs="仿宋_GB2312"/>
                <w:strike w:val="0"/>
                <w:dstrike w:val="0"/>
                <w:color w:val="auto"/>
                <w:szCs w:val="21"/>
                <w:highlight w:val="none"/>
              </w:rPr>
              <w:t>2</w:t>
            </w:r>
          </w:p>
        </w:tc>
        <w:tc>
          <w:tcPr>
            <w:tcW w:w="1170" w:type="dxa"/>
            <w:noWrap w:val="0"/>
            <w:vAlign w:val="center"/>
          </w:tcPr>
          <w:p>
            <w:pPr>
              <w:jc w:val="center"/>
              <w:rPr>
                <w:rFonts w:hint="eastAsia" w:ascii="宋体" w:hAnsi="宋体"/>
                <w:strike/>
                <w:dstrike w:val="0"/>
                <w:color w:val="auto"/>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153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土建专业负责人</w:t>
            </w:r>
          </w:p>
        </w:tc>
        <w:tc>
          <w:tcPr>
            <w:tcW w:w="5041" w:type="dxa"/>
            <w:noWrap w:val="0"/>
            <w:vAlign w:val="center"/>
          </w:tcPr>
          <w:p>
            <w:pPr>
              <w:numPr>
                <w:ilvl w:val="0"/>
                <w:numId w:val="0"/>
              </w:numPr>
              <w:ind w:leftChars="0"/>
              <w:jc w:val="left"/>
              <w:rPr>
                <w:rFonts w:hint="eastAsia" w:ascii="宋体" w:hAnsi="宋体"/>
                <w:color w:val="auto"/>
                <w:szCs w:val="21"/>
                <w:highlight w:val="none"/>
              </w:rPr>
            </w:pPr>
            <w:r>
              <w:rPr>
                <w:rFonts w:hint="eastAsia" w:ascii="宋体" w:hAnsi="宋体"/>
                <w:color w:val="auto"/>
                <w:szCs w:val="21"/>
                <w:highlight w:val="none"/>
                <w:u w:val="none"/>
                <w:lang w:val="en-US" w:eastAsia="zh-CN"/>
              </w:rPr>
              <w:t>①</w:t>
            </w:r>
            <w:r>
              <w:rPr>
                <w:rFonts w:hint="eastAsia" w:ascii="宋体" w:hAnsi="宋体"/>
                <w:color w:val="auto"/>
                <w:szCs w:val="21"/>
                <w:highlight w:val="none"/>
              </w:rPr>
              <w:t>具有工程类专业中级（或以上）工程师职称，注册于投标人本单位；②5 年或以上工作年限；③大专以上学历。</w:t>
            </w:r>
          </w:p>
        </w:tc>
        <w:tc>
          <w:tcPr>
            <w:tcW w:w="1085" w:type="dxa"/>
            <w:noWrap w:val="0"/>
            <w:vAlign w:val="center"/>
          </w:tcPr>
          <w:p>
            <w:pPr>
              <w:autoSpaceDE w:val="0"/>
              <w:autoSpaceDN w:val="0"/>
              <w:adjustRightInd w:val="0"/>
              <w:snapToGrid w:val="0"/>
              <w:jc w:val="center"/>
              <w:rPr>
                <w:rFonts w:ascii="宋体" w:hAnsi="宋体" w:cs="仿宋_GB2312"/>
                <w:color w:val="auto"/>
                <w:szCs w:val="21"/>
                <w:highlight w:val="none"/>
              </w:rPr>
            </w:pPr>
            <w:r>
              <w:rPr>
                <w:rFonts w:ascii="宋体" w:hAnsi="宋体" w:cs="仿宋_GB2312"/>
                <w:color w:val="auto"/>
                <w:szCs w:val="21"/>
                <w:highlight w:val="none"/>
              </w:rPr>
              <w:t>2</w:t>
            </w:r>
          </w:p>
        </w:tc>
        <w:tc>
          <w:tcPr>
            <w:tcW w:w="1170" w:type="dxa"/>
            <w:noWrap w:val="0"/>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153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施工现场配合服务</w:t>
            </w:r>
          </w:p>
          <w:p>
            <w:pPr>
              <w:jc w:val="center"/>
              <w:rPr>
                <w:rFonts w:ascii="宋体" w:hAnsi="宋体"/>
                <w:color w:val="auto"/>
                <w:szCs w:val="21"/>
                <w:highlight w:val="none"/>
              </w:rPr>
            </w:pPr>
            <w:r>
              <w:rPr>
                <w:rFonts w:hint="eastAsia" w:ascii="宋体" w:hAnsi="宋体"/>
                <w:color w:val="auto"/>
                <w:szCs w:val="21"/>
                <w:highlight w:val="none"/>
              </w:rPr>
              <w:t>负责人</w:t>
            </w:r>
          </w:p>
        </w:tc>
        <w:tc>
          <w:tcPr>
            <w:tcW w:w="5041" w:type="dxa"/>
            <w:noWrap w:val="0"/>
            <w:vAlign w:val="center"/>
          </w:tcPr>
          <w:p>
            <w:pPr>
              <w:numPr>
                <w:ilvl w:val="0"/>
                <w:numId w:val="0"/>
              </w:numPr>
              <w:ind w:leftChars="0"/>
              <w:jc w:val="left"/>
              <w:rPr>
                <w:rFonts w:hint="eastAsia" w:ascii="宋体" w:hAnsi="宋体"/>
                <w:color w:val="auto"/>
                <w:szCs w:val="21"/>
                <w:highlight w:val="none"/>
              </w:rPr>
            </w:pPr>
            <w:r>
              <w:rPr>
                <w:rFonts w:hint="eastAsia" w:ascii="宋体" w:hAnsi="宋体"/>
                <w:color w:val="auto"/>
                <w:szCs w:val="21"/>
                <w:highlight w:val="none"/>
                <w:u w:val="none"/>
                <w:lang w:val="en-US" w:eastAsia="zh-CN"/>
              </w:rPr>
              <w:t>①</w:t>
            </w:r>
            <w:r>
              <w:rPr>
                <w:rFonts w:hint="eastAsia" w:ascii="宋体" w:hAnsi="宋体"/>
                <w:color w:val="auto"/>
                <w:szCs w:val="21"/>
                <w:highlight w:val="none"/>
              </w:rPr>
              <w:t>电力、电气（含相近专业）专业中级职称或以上职称或注册电气工程师执业资格,注册于投标人本单位；②5 年或以上工作年限；③大专以上学历。</w:t>
            </w:r>
          </w:p>
        </w:tc>
        <w:tc>
          <w:tcPr>
            <w:tcW w:w="1085" w:type="dxa"/>
            <w:noWrap w:val="0"/>
            <w:vAlign w:val="center"/>
          </w:tcPr>
          <w:p>
            <w:pPr>
              <w:autoSpaceDE w:val="0"/>
              <w:autoSpaceDN w:val="0"/>
              <w:adjustRightInd w:val="0"/>
              <w:snapToGrid w:val="0"/>
              <w:jc w:val="center"/>
              <w:rPr>
                <w:rFonts w:hint="eastAsia" w:ascii="宋体" w:hAnsi="宋体" w:cs="仿宋_GB2312"/>
                <w:color w:val="auto"/>
                <w:szCs w:val="21"/>
                <w:highlight w:val="none"/>
                <w:lang w:val="zh-CN"/>
              </w:rPr>
            </w:pPr>
            <w:r>
              <w:rPr>
                <w:rFonts w:hint="eastAsia" w:ascii="宋体" w:hAnsi="宋体" w:cs="仿宋_GB2312"/>
                <w:color w:val="auto"/>
                <w:szCs w:val="21"/>
                <w:highlight w:val="none"/>
              </w:rPr>
              <w:t>1</w:t>
            </w:r>
          </w:p>
        </w:tc>
        <w:tc>
          <w:tcPr>
            <w:tcW w:w="117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可由前期设计参与人员兼任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1533"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施工现场配合服务</w:t>
            </w:r>
          </w:p>
          <w:p>
            <w:pPr>
              <w:jc w:val="center"/>
              <w:rPr>
                <w:rFonts w:ascii="宋体" w:hAnsi="宋体"/>
                <w:color w:val="auto"/>
                <w:szCs w:val="21"/>
                <w:highlight w:val="none"/>
              </w:rPr>
            </w:pPr>
            <w:r>
              <w:rPr>
                <w:rFonts w:hint="eastAsia" w:ascii="宋体" w:hAnsi="宋体"/>
                <w:color w:val="auto"/>
                <w:szCs w:val="21"/>
                <w:highlight w:val="none"/>
              </w:rPr>
              <w:t>设计代表</w:t>
            </w:r>
          </w:p>
        </w:tc>
        <w:tc>
          <w:tcPr>
            <w:tcW w:w="5041" w:type="dxa"/>
            <w:noWrap w:val="0"/>
            <w:vAlign w:val="center"/>
          </w:tcPr>
          <w:p>
            <w:pPr>
              <w:numPr>
                <w:ilvl w:val="0"/>
                <w:numId w:val="0"/>
              </w:numPr>
              <w:ind w:leftChars="0"/>
              <w:jc w:val="left"/>
              <w:rPr>
                <w:rFonts w:hint="eastAsia" w:ascii="宋体" w:hAnsi="宋体"/>
                <w:color w:val="auto"/>
                <w:szCs w:val="21"/>
                <w:highlight w:val="none"/>
              </w:rPr>
            </w:pPr>
            <w:r>
              <w:rPr>
                <w:rFonts w:hint="eastAsia" w:ascii="宋体" w:hAnsi="宋体"/>
                <w:color w:val="auto"/>
                <w:szCs w:val="21"/>
                <w:highlight w:val="none"/>
                <w:u w:val="none"/>
                <w:lang w:val="en-US" w:eastAsia="zh-CN"/>
              </w:rPr>
              <w:t>①</w:t>
            </w:r>
            <w:r>
              <w:rPr>
                <w:rFonts w:hint="eastAsia" w:ascii="宋体" w:hAnsi="宋体"/>
                <w:color w:val="auto"/>
                <w:szCs w:val="21"/>
                <w:highlight w:val="none"/>
              </w:rPr>
              <w:t>相关专业中级职称或以上职称或具备相应专业注册工程师,注册于投标人本单位；②3年或以上工作年限；③大专以上学历。</w:t>
            </w:r>
          </w:p>
        </w:tc>
        <w:tc>
          <w:tcPr>
            <w:tcW w:w="1085" w:type="dxa"/>
            <w:noWrap w:val="0"/>
            <w:vAlign w:val="center"/>
          </w:tcPr>
          <w:p>
            <w:pPr>
              <w:jc w:val="center"/>
              <w:rPr>
                <w:rFonts w:hint="eastAsia" w:ascii="宋体" w:hAnsi="宋体"/>
                <w:color w:val="auto"/>
                <w:szCs w:val="21"/>
                <w:highlight w:val="none"/>
              </w:rPr>
            </w:pPr>
            <w:r>
              <w:rPr>
                <w:rFonts w:hint="eastAsia" w:ascii="宋体" w:hAnsi="宋体" w:cs="仿宋_GB2312"/>
                <w:color w:val="auto"/>
                <w:szCs w:val="21"/>
                <w:highlight w:val="none"/>
              </w:rPr>
              <w:t>1</w:t>
            </w:r>
          </w:p>
        </w:tc>
        <w:tc>
          <w:tcPr>
            <w:tcW w:w="117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可由前期土建设计参与人员兼任。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153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勘察专业负责人</w:t>
            </w:r>
          </w:p>
        </w:tc>
        <w:tc>
          <w:tcPr>
            <w:tcW w:w="5041" w:type="dxa"/>
            <w:noWrap w:val="0"/>
            <w:vAlign w:val="center"/>
          </w:tcPr>
          <w:p>
            <w:pPr>
              <w:numPr>
                <w:ilvl w:val="0"/>
                <w:numId w:val="0"/>
              </w:numPr>
              <w:ind w:leftChars="0"/>
              <w:jc w:val="left"/>
              <w:rPr>
                <w:rFonts w:hint="eastAsia" w:ascii="宋体" w:hAnsi="宋体"/>
                <w:color w:val="auto"/>
                <w:szCs w:val="21"/>
                <w:highlight w:val="none"/>
              </w:rPr>
            </w:pPr>
            <w:r>
              <w:rPr>
                <w:rFonts w:hint="eastAsia" w:ascii="宋体" w:hAnsi="宋体"/>
                <w:color w:val="auto"/>
                <w:szCs w:val="21"/>
                <w:highlight w:val="none"/>
                <w:u w:val="none"/>
                <w:lang w:val="en-US" w:eastAsia="zh-CN"/>
              </w:rPr>
              <w:t>①</w:t>
            </w:r>
            <w:r>
              <w:rPr>
                <w:rFonts w:hint="eastAsia" w:ascii="宋体" w:hAnsi="宋体"/>
                <w:color w:val="auto"/>
                <w:szCs w:val="21"/>
                <w:highlight w:val="none"/>
              </w:rPr>
              <w:t>具备勘察专业高级工程师职称或注册土木（岩土）工程师资格；②5 年或以上工作年限；③大专以上学历。</w:t>
            </w:r>
          </w:p>
        </w:tc>
        <w:tc>
          <w:tcPr>
            <w:tcW w:w="1085" w:type="dxa"/>
            <w:noWrap w:val="0"/>
            <w:vAlign w:val="center"/>
          </w:tcPr>
          <w:p>
            <w:pPr>
              <w:jc w:val="center"/>
              <w:rPr>
                <w:rFonts w:ascii="宋体" w:hAnsi="宋体" w:cs="仿宋_GB2312"/>
                <w:color w:val="auto"/>
                <w:szCs w:val="21"/>
                <w:highlight w:val="none"/>
              </w:rPr>
            </w:pPr>
            <w:r>
              <w:rPr>
                <w:rFonts w:hint="eastAsia" w:ascii="宋体" w:hAnsi="宋体" w:cs="仿宋_GB2312"/>
                <w:color w:val="auto"/>
                <w:szCs w:val="21"/>
                <w:highlight w:val="none"/>
              </w:rPr>
              <w:t>1</w:t>
            </w:r>
          </w:p>
        </w:tc>
        <w:tc>
          <w:tcPr>
            <w:tcW w:w="1170" w:type="dxa"/>
            <w:noWrap w:val="0"/>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153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物探专业负责人</w:t>
            </w:r>
          </w:p>
        </w:tc>
        <w:tc>
          <w:tcPr>
            <w:tcW w:w="5041" w:type="dxa"/>
            <w:noWrap w:val="0"/>
            <w:vAlign w:val="center"/>
          </w:tcPr>
          <w:p>
            <w:pPr>
              <w:numPr>
                <w:ilvl w:val="0"/>
                <w:numId w:val="0"/>
              </w:numPr>
              <w:ind w:leftChars="0"/>
              <w:jc w:val="left"/>
              <w:rPr>
                <w:rFonts w:hint="eastAsia" w:ascii="宋体" w:hAnsi="宋体"/>
                <w:color w:val="auto"/>
                <w:szCs w:val="21"/>
                <w:highlight w:val="none"/>
              </w:rPr>
            </w:pPr>
            <w:r>
              <w:rPr>
                <w:rFonts w:hint="eastAsia" w:ascii="宋体" w:hAnsi="宋体"/>
                <w:color w:val="auto"/>
                <w:szCs w:val="21"/>
                <w:highlight w:val="none"/>
                <w:u w:val="none"/>
                <w:lang w:val="en-US" w:eastAsia="zh-CN"/>
              </w:rPr>
              <w:t>①</w:t>
            </w:r>
            <w:r>
              <w:rPr>
                <w:color w:val="auto"/>
                <w:highlight w:val="none"/>
              </w:rPr>
              <w:t>具有中级工程师（或以上）职称或者具有注册工程师执业资格</w:t>
            </w:r>
            <w:r>
              <w:rPr>
                <w:rFonts w:hint="eastAsia"/>
                <w:color w:val="auto"/>
                <w:highlight w:val="none"/>
              </w:rPr>
              <w:t>，</w:t>
            </w:r>
            <w:r>
              <w:rPr>
                <w:color w:val="auto"/>
                <w:highlight w:val="none"/>
              </w:rPr>
              <w:t xml:space="preserve">注册于投标人本单位； </w:t>
            </w:r>
            <w:r>
              <w:rPr>
                <w:rFonts w:hint="eastAsia" w:ascii="宋体" w:hAnsi="宋体" w:cs="宋体"/>
                <w:color w:val="auto"/>
                <w:highlight w:val="none"/>
              </w:rPr>
              <w:t>②</w:t>
            </w:r>
            <w:r>
              <w:rPr>
                <w:color w:val="auto"/>
                <w:highlight w:val="none"/>
              </w:rPr>
              <w:t>5 年或 以上</w:t>
            </w:r>
            <w:r>
              <w:rPr>
                <w:rFonts w:hint="eastAsia" w:ascii="宋体" w:hAnsi="宋体"/>
                <w:color w:val="auto"/>
                <w:szCs w:val="21"/>
                <w:highlight w:val="none"/>
              </w:rPr>
              <w:t>工作年限</w:t>
            </w:r>
            <w:r>
              <w:rPr>
                <w:color w:val="auto"/>
                <w:highlight w:val="none"/>
              </w:rPr>
              <w:t>。</w:t>
            </w:r>
          </w:p>
        </w:tc>
        <w:tc>
          <w:tcPr>
            <w:tcW w:w="1085" w:type="dxa"/>
            <w:noWrap w:val="0"/>
            <w:vAlign w:val="center"/>
          </w:tcPr>
          <w:p>
            <w:pPr>
              <w:jc w:val="center"/>
              <w:rPr>
                <w:rFonts w:hint="eastAsia" w:ascii="宋体" w:hAnsi="宋体" w:cs="仿宋_GB2312"/>
                <w:color w:val="auto"/>
                <w:szCs w:val="21"/>
                <w:highlight w:val="none"/>
              </w:rPr>
            </w:pPr>
            <w:r>
              <w:rPr>
                <w:rFonts w:hint="eastAsia" w:ascii="宋体" w:hAnsi="宋体" w:cs="仿宋_GB2312"/>
                <w:color w:val="auto"/>
                <w:szCs w:val="21"/>
                <w:highlight w:val="none"/>
              </w:rPr>
              <w:t>1</w:t>
            </w:r>
          </w:p>
        </w:tc>
        <w:tc>
          <w:tcPr>
            <w:tcW w:w="1170" w:type="dxa"/>
            <w:noWrap w:val="0"/>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153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测量专业负责人</w:t>
            </w:r>
          </w:p>
        </w:tc>
        <w:tc>
          <w:tcPr>
            <w:tcW w:w="5041" w:type="dxa"/>
            <w:noWrap w:val="0"/>
            <w:vAlign w:val="center"/>
          </w:tcPr>
          <w:p>
            <w:pPr>
              <w:numPr>
                <w:ilvl w:val="0"/>
                <w:numId w:val="0"/>
              </w:numPr>
              <w:ind w:leftChars="0"/>
              <w:jc w:val="left"/>
              <w:rPr>
                <w:rFonts w:hint="eastAsia" w:ascii="宋体" w:hAnsi="宋体"/>
                <w:color w:val="auto"/>
                <w:szCs w:val="21"/>
                <w:highlight w:val="none"/>
              </w:rPr>
            </w:pPr>
            <w:r>
              <w:rPr>
                <w:rFonts w:hint="eastAsia" w:ascii="宋体" w:hAnsi="宋体"/>
                <w:color w:val="auto"/>
                <w:szCs w:val="21"/>
                <w:highlight w:val="none"/>
                <w:u w:val="none"/>
                <w:lang w:val="en-US" w:eastAsia="zh-CN"/>
              </w:rPr>
              <w:t>①</w:t>
            </w:r>
            <w:r>
              <w:rPr>
                <w:rFonts w:ascii="宋体" w:hAnsi="宋体"/>
                <w:color w:val="auto"/>
                <w:szCs w:val="21"/>
                <w:highlight w:val="none"/>
              </w:rPr>
              <w:t>具有测绘专业中级工程师（或以上）职称或者具有注册测绘师执业资格</w:t>
            </w:r>
            <w:r>
              <w:rPr>
                <w:rFonts w:hint="eastAsia" w:ascii="宋体" w:hAnsi="宋体"/>
                <w:color w:val="auto"/>
                <w:szCs w:val="21"/>
                <w:highlight w:val="none"/>
              </w:rPr>
              <w:t>，</w:t>
            </w:r>
            <w:r>
              <w:rPr>
                <w:rFonts w:ascii="宋体" w:hAnsi="宋体"/>
                <w:color w:val="auto"/>
                <w:szCs w:val="21"/>
                <w:highlight w:val="none"/>
              </w:rPr>
              <w:t xml:space="preserve">注册于投标人本单位； </w:t>
            </w:r>
            <w:r>
              <w:rPr>
                <w:rFonts w:hint="eastAsia" w:ascii="宋体" w:hAnsi="宋体"/>
                <w:color w:val="auto"/>
                <w:szCs w:val="21"/>
                <w:highlight w:val="none"/>
              </w:rPr>
              <w:t>②</w:t>
            </w:r>
            <w:r>
              <w:rPr>
                <w:rFonts w:ascii="宋体" w:hAnsi="宋体"/>
                <w:color w:val="auto"/>
                <w:szCs w:val="21"/>
                <w:highlight w:val="none"/>
              </w:rPr>
              <w:t>5 年或以上</w:t>
            </w:r>
            <w:r>
              <w:rPr>
                <w:rFonts w:hint="eastAsia" w:ascii="宋体" w:hAnsi="宋体"/>
                <w:color w:val="auto"/>
                <w:szCs w:val="21"/>
                <w:highlight w:val="none"/>
              </w:rPr>
              <w:t>工作年限</w:t>
            </w:r>
            <w:r>
              <w:rPr>
                <w:rFonts w:ascii="宋体" w:hAnsi="宋体"/>
                <w:color w:val="auto"/>
                <w:szCs w:val="21"/>
                <w:highlight w:val="none"/>
              </w:rPr>
              <w:t>。</w:t>
            </w:r>
          </w:p>
        </w:tc>
        <w:tc>
          <w:tcPr>
            <w:tcW w:w="1085" w:type="dxa"/>
            <w:noWrap w:val="0"/>
            <w:vAlign w:val="center"/>
          </w:tcPr>
          <w:p>
            <w:pPr>
              <w:jc w:val="center"/>
              <w:rPr>
                <w:rFonts w:hint="eastAsia" w:ascii="宋体" w:hAnsi="宋体" w:cs="仿宋_GB2312"/>
                <w:color w:val="auto"/>
                <w:szCs w:val="21"/>
                <w:highlight w:val="none"/>
              </w:rPr>
            </w:pPr>
            <w:r>
              <w:rPr>
                <w:rFonts w:hint="eastAsia" w:ascii="宋体" w:hAnsi="宋体" w:cs="仿宋_GB2312"/>
                <w:color w:val="auto"/>
                <w:szCs w:val="21"/>
                <w:highlight w:val="none"/>
              </w:rPr>
              <w:t>1</w:t>
            </w:r>
          </w:p>
        </w:tc>
        <w:tc>
          <w:tcPr>
            <w:tcW w:w="1170" w:type="dxa"/>
            <w:noWrap w:val="0"/>
            <w:vAlign w:val="center"/>
          </w:tcPr>
          <w:p>
            <w:pPr>
              <w:jc w:val="center"/>
              <w:rPr>
                <w:rFonts w:hint="eastAsia"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1533"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勘察现场服务人员</w:t>
            </w:r>
          </w:p>
        </w:tc>
        <w:tc>
          <w:tcPr>
            <w:tcW w:w="5041" w:type="dxa"/>
            <w:noWrap w:val="0"/>
            <w:vAlign w:val="center"/>
          </w:tcPr>
          <w:p>
            <w:pPr>
              <w:numPr>
                <w:ilvl w:val="0"/>
                <w:numId w:val="0"/>
              </w:numPr>
              <w:ind w:leftChars="0"/>
              <w:rPr>
                <w:rFonts w:hint="eastAsia" w:ascii="宋体" w:hAnsi="宋体"/>
                <w:color w:val="auto"/>
                <w:szCs w:val="21"/>
                <w:highlight w:val="none"/>
              </w:rPr>
            </w:pPr>
            <w:r>
              <w:rPr>
                <w:rFonts w:hint="eastAsia" w:ascii="宋体" w:hAnsi="宋体"/>
                <w:color w:val="auto"/>
                <w:szCs w:val="21"/>
                <w:highlight w:val="none"/>
                <w:u w:val="none"/>
                <w:lang w:val="en-US" w:eastAsia="zh-CN"/>
              </w:rPr>
              <w:t>①</w:t>
            </w:r>
            <w:r>
              <w:rPr>
                <w:rFonts w:hint="eastAsia" w:ascii="宋体" w:hAnsi="宋体"/>
                <w:color w:val="auto"/>
                <w:szCs w:val="21"/>
                <w:highlight w:val="none"/>
              </w:rPr>
              <w:t>具备相关专业技术能力； ②3年或以上工作年限。</w:t>
            </w:r>
          </w:p>
        </w:tc>
        <w:tc>
          <w:tcPr>
            <w:tcW w:w="1085" w:type="dxa"/>
            <w:noWrap w:val="0"/>
            <w:vAlign w:val="center"/>
          </w:tcPr>
          <w:p>
            <w:pPr>
              <w:jc w:val="center"/>
              <w:rPr>
                <w:rFonts w:ascii="宋体" w:hAnsi="宋体" w:cs="仿宋_GB2312"/>
                <w:color w:val="auto"/>
                <w:szCs w:val="21"/>
                <w:highlight w:val="none"/>
              </w:rPr>
            </w:pPr>
            <w:r>
              <w:rPr>
                <w:rFonts w:ascii="宋体" w:hAnsi="宋体" w:cs="仿宋_GB2312"/>
                <w:color w:val="auto"/>
                <w:szCs w:val="21"/>
                <w:highlight w:val="none"/>
              </w:rPr>
              <w:t>1</w:t>
            </w:r>
          </w:p>
          <w:p>
            <w:pPr>
              <w:rPr>
                <w:color w:val="auto"/>
                <w:highlight w:val="none"/>
              </w:rPr>
            </w:pPr>
          </w:p>
        </w:tc>
        <w:tc>
          <w:tcPr>
            <w:tcW w:w="1170"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可由前期勘察参与人员兼任</w:t>
            </w:r>
          </w:p>
        </w:tc>
      </w:tr>
    </w:tbl>
    <w:p>
      <w:pPr>
        <w:snapToGrid w:val="0"/>
        <w:rPr>
          <w:rFonts w:hint="eastAsia" w:ascii="宋体" w:hAnsi="宋体"/>
          <w:color w:val="auto"/>
          <w:szCs w:val="21"/>
          <w:highlight w:val="none"/>
          <w:lang w:val="en-GB"/>
        </w:rPr>
      </w:pPr>
      <w:r>
        <w:rPr>
          <w:rFonts w:hint="eastAsia" w:ascii="宋体" w:hAnsi="宋体"/>
          <w:color w:val="auto"/>
          <w:szCs w:val="21"/>
          <w:highlight w:val="none"/>
          <w:lang w:val="en-GB"/>
        </w:rPr>
        <w:t>注：</w:t>
      </w:r>
    </w:p>
    <w:p>
      <w:pPr>
        <w:snapToGrid w:val="0"/>
        <w:ind w:firstLine="422" w:firstLineChars="200"/>
        <w:rPr>
          <w:rFonts w:hint="eastAsia" w:ascii="宋体" w:hAnsi="宋体"/>
          <w:b/>
          <w:bCs/>
          <w:color w:val="auto"/>
          <w:szCs w:val="21"/>
          <w:highlight w:val="none"/>
          <w:lang w:val="en-GB"/>
        </w:rPr>
      </w:pPr>
      <w:r>
        <w:rPr>
          <w:rFonts w:hint="eastAsia" w:ascii="宋体" w:hAnsi="宋体"/>
          <w:b/>
          <w:bCs/>
          <w:color w:val="auto"/>
          <w:szCs w:val="21"/>
          <w:highlight w:val="none"/>
          <w:lang w:val="en-GB"/>
        </w:rPr>
        <w:t>1、本表中所要求配备的人员除有注明外, 不得在本项目中互相兼任；</w:t>
      </w:r>
    </w:p>
    <w:p>
      <w:pPr>
        <w:snapToGrid w:val="0"/>
        <w:ind w:left="708" w:leftChars="203" w:hanging="282" w:hangingChars="134"/>
        <w:rPr>
          <w:rFonts w:hint="eastAsia" w:ascii="宋体" w:hAnsi="宋体"/>
          <w:b/>
          <w:bCs/>
          <w:color w:val="auto"/>
          <w:szCs w:val="21"/>
          <w:highlight w:val="none"/>
          <w:lang w:val="en-GB"/>
        </w:rPr>
      </w:pPr>
      <w:r>
        <w:rPr>
          <w:rFonts w:hint="eastAsia" w:ascii="宋体" w:hAnsi="宋体"/>
          <w:b/>
          <w:bCs/>
          <w:color w:val="auto"/>
          <w:szCs w:val="21"/>
          <w:highlight w:val="none"/>
          <w:lang w:val="en-GB"/>
        </w:rPr>
        <w:t>2、经招标人核实，投标文件中拟投入本工程的相关人员的相关注册信息或工作单位信息等显示为非投标人单位的，或同时受聘于两个（或两个以上）单位的，其投标文件将视为无效投标文件。</w:t>
      </w:r>
    </w:p>
    <w:p>
      <w:pPr>
        <w:snapToGrid w:val="0"/>
        <w:ind w:left="708" w:leftChars="203" w:hanging="282" w:hangingChars="134"/>
        <w:rPr>
          <w:rFonts w:hint="eastAsia" w:ascii="宋体" w:hAnsi="宋体"/>
          <w:b/>
          <w:bCs/>
          <w:color w:val="auto"/>
          <w:szCs w:val="21"/>
          <w:highlight w:val="none"/>
          <w:lang w:val="en-GB"/>
        </w:rPr>
      </w:pPr>
      <w:r>
        <w:rPr>
          <w:rFonts w:hint="eastAsia" w:ascii="宋体" w:hAnsi="宋体"/>
          <w:b/>
          <w:bCs/>
          <w:color w:val="auto"/>
          <w:szCs w:val="21"/>
          <w:highlight w:val="none"/>
          <w:lang w:val="en-GB"/>
        </w:rPr>
        <w:t>3、工作</w:t>
      </w:r>
      <w:r>
        <w:rPr>
          <w:rFonts w:hint="eastAsia" w:ascii="宋体" w:hAnsi="宋体"/>
          <w:b/>
          <w:bCs/>
          <w:color w:val="auto"/>
          <w:szCs w:val="21"/>
          <w:highlight w:val="none"/>
        </w:rPr>
        <w:t>年限</w:t>
      </w:r>
      <w:r>
        <w:rPr>
          <w:rFonts w:hint="eastAsia" w:ascii="宋体" w:hAnsi="宋体" w:cs="宋体"/>
          <w:b/>
          <w:bCs/>
          <w:color w:val="auto"/>
          <w:szCs w:val="21"/>
          <w:highlight w:val="none"/>
          <w:lang w:val="zh-CN"/>
        </w:rPr>
        <w:t>以毕业证毕业时间起算，计算至今</w:t>
      </w:r>
      <w:r>
        <w:rPr>
          <w:rFonts w:hint="eastAsia" w:ascii="宋体" w:hAnsi="宋体"/>
          <w:b/>
          <w:bCs/>
          <w:color w:val="auto"/>
          <w:szCs w:val="21"/>
          <w:highlight w:val="none"/>
          <w:lang w:val="en-GB"/>
        </w:rPr>
        <w:t>。</w:t>
      </w:r>
    </w:p>
    <w:p>
      <w:pPr>
        <w:pStyle w:val="2"/>
        <w:ind w:firstLine="422" w:firstLineChars="200"/>
        <w:rPr>
          <w:rFonts w:hint="default" w:eastAsia="宋体"/>
          <w:lang w:val="en-US" w:eastAsia="zh-CN"/>
        </w:rPr>
      </w:pPr>
      <w:r>
        <w:rPr>
          <w:rFonts w:hint="eastAsia" w:ascii="宋体" w:hAnsi="宋体"/>
          <w:b/>
          <w:bCs/>
          <w:color w:val="auto"/>
          <w:szCs w:val="21"/>
          <w:highlight w:val="none"/>
          <w:lang w:val="en-US" w:eastAsia="zh-CN"/>
        </w:rPr>
        <w:t>4、工程类专业包括建筑工程、土木工程、结构专业。</w:t>
      </w:r>
    </w:p>
    <w:p>
      <w:pPr>
        <w:pStyle w:val="2"/>
        <w:rPr>
          <w:rFonts w:hint="eastAsia" w:ascii="宋体" w:hAnsi="宋体" w:cs="宋体"/>
          <w:color w:val="auto"/>
          <w:sz w:val="30"/>
          <w:szCs w:val="30"/>
          <w:highlight w:val="none"/>
        </w:rPr>
      </w:pPr>
    </w:p>
    <w:p>
      <w:pPr>
        <w:pStyle w:val="2"/>
        <w:rPr>
          <w:rFonts w:hint="eastAsia" w:ascii="宋体" w:hAnsi="宋体" w:cs="宋体"/>
          <w:color w:val="auto"/>
          <w:sz w:val="30"/>
          <w:szCs w:val="30"/>
          <w:highlight w:val="none"/>
        </w:rPr>
      </w:pPr>
    </w:p>
    <w:p>
      <w:pPr>
        <w:pStyle w:val="2"/>
        <w:rPr>
          <w:rFonts w:hint="eastAsia" w:ascii="宋体" w:hAnsi="宋体" w:cs="宋体"/>
          <w:color w:val="auto"/>
          <w:sz w:val="30"/>
          <w:szCs w:val="30"/>
          <w:highlight w:val="none"/>
        </w:rPr>
      </w:pPr>
      <w:r>
        <w:rPr>
          <w:rFonts w:hint="eastAsia" w:ascii="宋体" w:hAnsi="宋体" w:cs="宋体"/>
          <w:color w:val="auto"/>
          <w:sz w:val="30"/>
          <w:szCs w:val="30"/>
          <w:highlight w:val="none"/>
        </w:rPr>
        <w:t>附件6：工程勘测费用估算表</w:t>
      </w:r>
    </w:p>
    <w:tbl>
      <w:tblPr>
        <w:tblStyle w:val="43"/>
        <w:tblpPr w:leftFromText="180" w:rightFromText="180" w:vertAnchor="text" w:horzAnchor="page" w:tblpX="791" w:tblpY="82"/>
        <w:tblOverlap w:val="never"/>
        <w:tblW w:w="9745" w:type="dxa"/>
        <w:tblInd w:w="0" w:type="dxa"/>
        <w:tblLayout w:type="autofit"/>
        <w:tblCellMar>
          <w:top w:w="0" w:type="dxa"/>
          <w:left w:w="108" w:type="dxa"/>
          <w:bottom w:w="0" w:type="dxa"/>
          <w:right w:w="108" w:type="dxa"/>
        </w:tblCellMar>
      </w:tblPr>
      <w:tblGrid>
        <w:gridCol w:w="1841"/>
        <w:gridCol w:w="1772"/>
        <w:gridCol w:w="1616"/>
        <w:gridCol w:w="4516"/>
      </w:tblGrid>
      <w:tr>
        <w:tblPrEx>
          <w:tblCellMar>
            <w:top w:w="0" w:type="dxa"/>
            <w:left w:w="108" w:type="dxa"/>
            <w:bottom w:w="0" w:type="dxa"/>
            <w:right w:w="108" w:type="dxa"/>
          </w:tblCellMar>
        </w:tblPrEx>
        <w:trPr>
          <w:trHeight w:val="285" w:hRule="atLeast"/>
        </w:trPr>
        <w:tc>
          <w:tcPr>
            <w:tcW w:w="9745" w:type="dxa"/>
            <w:gridSpan w:val="4"/>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一、东莞市松山湖科学城电缆</w:t>
            </w:r>
            <w:r>
              <w:rPr>
                <w:rFonts w:hint="eastAsia" w:ascii="宋体" w:hAnsi="宋体" w:eastAsia="宋体" w:cs="宋体"/>
                <w:color w:val="auto"/>
                <w:kern w:val="0"/>
                <w:sz w:val="20"/>
                <w:szCs w:val="20"/>
                <w:highlight w:val="none"/>
                <w:lang w:val="en-US" w:eastAsia="zh-CN" w:bidi="ar"/>
              </w:rPr>
              <w:t>通</w:t>
            </w:r>
            <w:r>
              <w:rPr>
                <w:rFonts w:hint="eastAsia" w:ascii="宋体" w:hAnsi="宋体" w:eastAsia="宋体" w:cs="宋体"/>
                <w:color w:val="auto"/>
                <w:kern w:val="0"/>
                <w:sz w:val="20"/>
                <w:szCs w:val="20"/>
                <w:highlight w:val="none"/>
                <w:lang w:bidi="ar"/>
              </w:rPr>
              <w:t>道工程勘测费用估算总表</w:t>
            </w:r>
          </w:p>
        </w:tc>
      </w:tr>
      <w:tr>
        <w:tblPrEx>
          <w:tblCellMar>
            <w:top w:w="0" w:type="dxa"/>
            <w:left w:w="108" w:type="dxa"/>
            <w:bottom w:w="0" w:type="dxa"/>
            <w:right w:w="108" w:type="dxa"/>
          </w:tblCellMar>
        </w:tblPrEx>
        <w:trPr>
          <w:trHeight w:val="150" w:hRule="atLeast"/>
        </w:trPr>
        <w:tc>
          <w:tcPr>
            <w:tcW w:w="1841"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eastAsia="宋体" w:cs="宋体"/>
                <w:color w:val="auto"/>
                <w:kern w:val="0"/>
                <w:sz w:val="20"/>
                <w:szCs w:val="20"/>
                <w:highlight w:val="none"/>
                <w:lang w:bidi="ar"/>
              </w:rPr>
            </w:pPr>
          </w:p>
        </w:tc>
        <w:tc>
          <w:tcPr>
            <w:tcW w:w="1772"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eastAsia="宋体" w:cs="宋体"/>
                <w:color w:val="auto"/>
                <w:kern w:val="0"/>
                <w:sz w:val="20"/>
                <w:szCs w:val="20"/>
                <w:highlight w:val="none"/>
                <w:lang w:bidi="ar"/>
              </w:rPr>
            </w:pPr>
          </w:p>
        </w:tc>
        <w:tc>
          <w:tcPr>
            <w:tcW w:w="161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eastAsia="宋体" w:cs="宋体"/>
                <w:color w:val="auto"/>
                <w:kern w:val="0"/>
                <w:sz w:val="20"/>
                <w:szCs w:val="20"/>
                <w:highlight w:val="none"/>
                <w:lang w:bidi="ar"/>
              </w:rPr>
            </w:pPr>
          </w:p>
        </w:tc>
        <w:tc>
          <w:tcPr>
            <w:tcW w:w="4516" w:type="dxa"/>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宋体" w:hAnsi="宋体" w:eastAsia="宋体" w:cs="宋体"/>
                <w:color w:val="auto"/>
                <w:kern w:val="0"/>
                <w:sz w:val="20"/>
                <w:szCs w:val="20"/>
                <w:highlight w:val="none"/>
                <w:lang w:bidi="ar"/>
              </w:rPr>
            </w:pPr>
          </w:p>
        </w:tc>
      </w:tr>
      <w:tr>
        <w:tblPrEx>
          <w:tblCellMar>
            <w:top w:w="0" w:type="dxa"/>
            <w:left w:w="108" w:type="dxa"/>
            <w:bottom w:w="0" w:type="dxa"/>
            <w:right w:w="108" w:type="dxa"/>
          </w:tblCellMar>
        </w:tblPrEx>
        <w:trPr>
          <w:trHeight w:val="285" w:hRule="atLeast"/>
        </w:trPr>
        <w:tc>
          <w:tcPr>
            <w:tcW w:w="1841"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序号</w:t>
            </w:r>
          </w:p>
        </w:tc>
        <w:tc>
          <w:tcPr>
            <w:tcW w:w="1772"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工作内容</w:t>
            </w:r>
          </w:p>
        </w:tc>
        <w:tc>
          <w:tcPr>
            <w:tcW w:w="1616"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费用（元）</w:t>
            </w:r>
          </w:p>
        </w:tc>
        <w:tc>
          <w:tcPr>
            <w:tcW w:w="4516" w:type="dxa"/>
            <w:tcBorders>
              <w:top w:val="single" w:color="auto"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备注</w:t>
            </w:r>
          </w:p>
        </w:tc>
      </w:tr>
      <w:tr>
        <w:tblPrEx>
          <w:tblCellMar>
            <w:top w:w="0" w:type="dxa"/>
            <w:left w:w="108" w:type="dxa"/>
            <w:bottom w:w="0" w:type="dxa"/>
            <w:right w:w="108" w:type="dxa"/>
          </w:tblCellMar>
        </w:tblPrEx>
        <w:trPr>
          <w:trHeight w:val="285" w:hRule="atLeast"/>
        </w:trPr>
        <w:tc>
          <w:tcPr>
            <w:tcW w:w="184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1</w:t>
            </w:r>
          </w:p>
        </w:tc>
        <w:tc>
          <w:tcPr>
            <w:tcW w:w="17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测量</w:t>
            </w:r>
          </w:p>
        </w:tc>
        <w:tc>
          <w:tcPr>
            <w:tcW w:w="1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52825.66 </w:t>
            </w:r>
          </w:p>
        </w:tc>
        <w:tc>
          <w:tcPr>
            <w:tcW w:w="45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kern w:val="0"/>
                <w:sz w:val="20"/>
                <w:szCs w:val="20"/>
                <w:highlight w:val="none"/>
                <w:lang w:bidi="ar"/>
              </w:rPr>
            </w:pPr>
          </w:p>
        </w:tc>
      </w:tr>
      <w:tr>
        <w:tblPrEx>
          <w:tblCellMar>
            <w:top w:w="0" w:type="dxa"/>
            <w:left w:w="108" w:type="dxa"/>
            <w:bottom w:w="0" w:type="dxa"/>
            <w:right w:w="108" w:type="dxa"/>
          </w:tblCellMar>
        </w:tblPrEx>
        <w:trPr>
          <w:trHeight w:val="285" w:hRule="atLeast"/>
        </w:trPr>
        <w:tc>
          <w:tcPr>
            <w:tcW w:w="184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2</w:t>
            </w:r>
          </w:p>
        </w:tc>
        <w:tc>
          <w:tcPr>
            <w:tcW w:w="17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物探</w:t>
            </w:r>
          </w:p>
        </w:tc>
        <w:tc>
          <w:tcPr>
            <w:tcW w:w="1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268574.95 </w:t>
            </w:r>
          </w:p>
        </w:tc>
        <w:tc>
          <w:tcPr>
            <w:tcW w:w="45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kern w:val="0"/>
                <w:sz w:val="20"/>
                <w:szCs w:val="20"/>
                <w:highlight w:val="none"/>
                <w:lang w:bidi="ar"/>
              </w:rPr>
            </w:pPr>
          </w:p>
        </w:tc>
      </w:tr>
      <w:tr>
        <w:tblPrEx>
          <w:tblCellMar>
            <w:top w:w="0" w:type="dxa"/>
            <w:left w:w="108" w:type="dxa"/>
            <w:bottom w:w="0" w:type="dxa"/>
            <w:right w:w="108" w:type="dxa"/>
          </w:tblCellMar>
        </w:tblPrEx>
        <w:trPr>
          <w:trHeight w:val="285" w:hRule="atLeast"/>
        </w:trPr>
        <w:tc>
          <w:tcPr>
            <w:tcW w:w="1841"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3</w:t>
            </w:r>
          </w:p>
        </w:tc>
        <w:tc>
          <w:tcPr>
            <w:tcW w:w="177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岩土工程勘察</w:t>
            </w:r>
          </w:p>
        </w:tc>
        <w:tc>
          <w:tcPr>
            <w:tcW w:w="1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1177668.00 </w:t>
            </w:r>
          </w:p>
        </w:tc>
        <w:tc>
          <w:tcPr>
            <w:tcW w:w="45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kern w:val="0"/>
                <w:sz w:val="20"/>
                <w:szCs w:val="20"/>
                <w:highlight w:val="none"/>
                <w:lang w:bidi="ar"/>
              </w:rPr>
            </w:pPr>
          </w:p>
        </w:tc>
      </w:tr>
      <w:tr>
        <w:tblPrEx>
          <w:tblCellMar>
            <w:top w:w="0" w:type="dxa"/>
            <w:left w:w="108" w:type="dxa"/>
            <w:bottom w:w="0" w:type="dxa"/>
            <w:right w:w="108" w:type="dxa"/>
          </w:tblCellMar>
        </w:tblPrEx>
        <w:trPr>
          <w:trHeight w:val="285" w:hRule="atLeast"/>
        </w:trPr>
        <w:tc>
          <w:tcPr>
            <w:tcW w:w="3613"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合计</w:t>
            </w:r>
          </w:p>
        </w:tc>
        <w:tc>
          <w:tcPr>
            <w:tcW w:w="1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kern w:val="0"/>
                <w:sz w:val="20"/>
                <w:szCs w:val="20"/>
                <w:highlight w:val="none"/>
                <w:lang w:bidi="ar"/>
              </w:rPr>
            </w:pPr>
            <w:r>
              <w:rPr>
                <w:rFonts w:hint="eastAsia" w:ascii="宋体" w:hAnsi="宋体" w:eastAsia="宋体" w:cs="宋体"/>
                <w:color w:val="auto"/>
                <w:kern w:val="0"/>
                <w:sz w:val="20"/>
                <w:szCs w:val="20"/>
                <w:highlight w:val="none"/>
                <w:lang w:bidi="ar"/>
              </w:rPr>
              <w:t xml:space="preserve">1499068.61 </w:t>
            </w:r>
          </w:p>
        </w:tc>
        <w:tc>
          <w:tcPr>
            <w:tcW w:w="45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eastAsia" w:ascii="宋体" w:hAnsi="宋体" w:eastAsia="宋体" w:cs="宋体"/>
                <w:color w:val="auto"/>
                <w:kern w:val="0"/>
                <w:sz w:val="20"/>
                <w:szCs w:val="20"/>
                <w:highlight w:val="none"/>
                <w:lang w:bidi="ar"/>
              </w:rPr>
            </w:pPr>
          </w:p>
        </w:tc>
      </w:tr>
      <w:tr>
        <w:tblPrEx>
          <w:tblCellMar>
            <w:top w:w="0" w:type="dxa"/>
            <w:left w:w="108" w:type="dxa"/>
            <w:bottom w:w="0" w:type="dxa"/>
            <w:right w:w="108" w:type="dxa"/>
          </w:tblCellMar>
        </w:tblPrEx>
        <w:trPr>
          <w:trHeight w:val="285" w:hRule="atLeast"/>
        </w:trPr>
        <w:tc>
          <w:tcPr>
            <w:tcW w:w="3613" w:type="dxa"/>
            <w:gridSpan w:val="2"/>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auto"/>
                <w:sz w:val="24"/>
                <w:szCs w:val="24"/>
                <w:highlight w:val="none"/>
                <w:lang w:eastAsia="zh-Hans"/>
              </w:rPr>
            </w:pPr>
            <w:r>
              <w:rPr>
                <w:rFonts w:hint="eastAsia" w:ascii="宋体" w:hAnsi="宋体" w:cs="宋体"/>
                <w:color w:val="auto"/>
                <w:sz w:val="24"/>
                <w:szCs w:val="24"/>
                <w:highlight w:val="none"/>
                <w:lang w:eastAsia="zh-Hans"/>
              </w:rPr>
              <w:t>最高限价（下浮</w:t>
            </w:r>
            <w:r>
              <w:rPr>
                <w:rFonts w:ascii="宋体" w:hAnsi="宋体" w:cs="宋体"/>
                <w:color w:val="auto"/>
                <w:sz w:val="24"/>
                <w:szCs w:val="24"/>
                <w:highlight w:val="none"/>
                <w:lang w:eastAsia="zh-Hans"/>
              </w:rPr>
              <w:t>20%</w:t>
            </w:r>
            <w:r>
              <w:rPr>
                <w:rFonts w:hint="eastAsia" w:ascii="宋体" w:hAnsi="宋体" w:cs="宋体"/>
                <w:color w:val="auto"/>
                <w:sz w:val="24"/>
                <w:szCs w:val="24"/>
                <w:highlight w:val="none"/>
                <w:lang w:eastAsia="zh-Hans"/>
              </w:rPr>
              <w:t>）</w:t>
            </w:r>
          </w:p>
        </w:tc>
        <w:tc>
          <w:tcPr>
            <w:tcW w:w="1616"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auto"/>
                <w:kern w:val="0"/>
                <w:sz w:val="24"/>
                <w:szCs w:val="24"/>
                <w:highlight w:val="none"/>
                <w:lang w:bidi="ar"/>
              </w:rPr>
            </w:pPr>
            <w:r>
              <w:rPr>
                <w:rFonts w:hint="eastAsia" w:ascii="宋体" w:hAnsi="宋体" w:cs="宋体"/>
                <w:color w:val="auto"/>
                <w:kern w:val="0"/>
                <w:sz w:val="24"/>
                <w:szCs w:val="24"/>
                <w:highlight w:val="none"/>
                <w:lang w:bidi="ar"/>
              </w:rPr>
              <w:t>1199254</w:t>
            </w:r>
            <w:r>
              <w:rPr>
                <w:rFonts w:ascii="宋体" w:hAnsi="宋体" w:cs="宋体"/>
                <w:color w:val="auto"/>
                <w:kern w:val="0"/>
                <w:sz w:val="24"/>
                <w:szCs w:val="24"/>
                <w:highlight w:val="none"/>
                <w:lang w:bidi="ar"/>
              </w:rPr>
              <w:t>.</w:t>
            </w:r>
            <w:r>
              <w:rPr>
                <w:rFonts w:hint="eastAsia" w:ascii="宋体" w:hAnsi="宋体" w:cs="宋体"/>
                <w:color w:val="auto"/>
                <w:kern w:val="0"/>
                <w:sz w:val="24"/>
                <w:szCs w:val="24"/>
                <w:highlight w:val="none"/>
                <w:lang w:bidi="ar"/>
              </w:rPr>
              <w:t>8</w:t>
            </w:r>
            <w:r>
              <w:rPr>
                <w:rFonts w:ascii="宋体" w:hAnsi="宋体" w:cs="宋体"/>
                <w:color w:val="auto"/>
                <w:kern w:val="0"/>
                <w:sz w:val="24"/>
                <w:szCs w:val="24"/>
                <w:highlight w:val="none"/>
                <w:lang w:bidi="ar"/>
              </w:rPr>
              <w:t>9</w:t>
            </w:r>
          </w:p>
        </w:tc>
        <w:tc>
          <w:tcPr>
            <w:tcW w:w="451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16"/>
                <w:szCs w:val="16"/>
                <w:highlight w:val="none"/>
              </w:rPr>
            </w:pPr>
          </w:p>
        </w:tc>
      </w:tr>
      <w:tr>
        <w:tblPrEx>
          <w:tblCellMar>
            <w:top w:w="0" w:type="dxa"/>
            <w:left w:w="108" w:type="dxa"/>
            <w:bottom w:w="0" w:type="dxa"/>
            <w:right w:w="108" w:type="dxa"/>
          </w:tblCellMar>
        </w:tblPrEx>
        <w:trPr>
          <w:trHeight w:val="255" w:hRule="atLeast"/>
        </w:trPr>
        <w:tc>
          <w:tcPr>
            <w:tcW w:w="3613" w:type="dxa"/>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16"/>
                <w:szCs w:val="16"/>
                <w:highlight w:val="none"/>
              </w:rPr>
            </w:pPr>
          </w:p>
        </w:tc>
        <w:tc>
          <w:tcPr>
            <w:tcW w:w="161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16"/>
                <w:szCs w:val="16"/>
                <w:highlight w:val="none"/>
              </w:rPr>
            </w:pPr>
          </w:p>
        </w:tc>
        <w:tc>
          <w:tcPr>
            <w:tcW w:w="451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cs="宋体"/>
                <w:color w:val="auto"/>
                <w:sz w:val="16"/>
                <w:szCs w:val="16"/>
                <w:highlight w:val="none"/>
              </w:rPr>
            </w:pPr>
          </w:p>
        </w:tc>
      </w:tr>
    </w:tbl>
    <w:p>
      <w:pPr>
        <w:rPr>
          <w:color w:val="auto"/>
          <w:highlight w:val="none"/>
        </w:rPr>
      </w:pPr>
    </w:p>
    <w:tbl>
      <w:tblPr>
        <w:tblStyle w:val="43"/>
        <w:tblpPr w:leftFromText="180" w:rightFromText="180" w:vertAnchor="text" w:horzAnchor="page" w:tblpX="862" w:tblpY="646"/>
        <w:tblOverlap w:val="never"/>
        <w:tblW w:w="98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2855"/>
        <w:gridCol w:w="795"/>
        <w:gridCol w:w="1170"/>
        <w:gridCol w:w="1080"/>
        <w:gridCol w:w="930"/>
        <w:gridCol w:w="1125"/>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0" w:hRule="atLeast"/>
        </w:trPr>
        <w:tc>
          <w:tcPr>
            <w:tcW w:w="9899" w:type="dxa"/>
            <w:gridSpan w:val="8"/>
            <w:noWrap/>
            <w:vAlign w:val="center"/>
          </w:tcPr>
          <w:p>
            <w:pPr>
              <w:widowControl/>
              <w:jc w:val="center"/>
              <w:textAlignment w:val="center"/>
              <w:rPr>
                <w:rFonts w:hint="eastAsia" w:ascii="宋体" w:hAnsi="宋体" w:cs="宋体"/>
                <w:color w:val="auto"/>
                <w:sz w:val="24"/>
                <w:szCs w:val="24"/>
                <w:highlight w:val="none"/>
              </w:rPr>
            </w:pPr>
            <w:r>
              <w:rPr>
                <w:rFonts w:hint="eastAsia" w:ascii="宋体" w:hAnsi="宋体" w:cs="宋体"/>
                <w:color w:val="auto"/>
                <w:kern w:val="0"/>
                <w:sz w:val="24"/>
                <w:szCs w:val="24"/>
                <w:highlight w:val="none"/>
                <w:lang w:bidi="ar"/>
              </w:rPr>
              <w:t>二、东莞市松山湖科学城电缆</w:t>
            </w:r>
            <w:r>
              <w:rPr>
                <w:rFonts w:hint="eastAsia" w:ascii="宋体" w:hAnsi="宋体" w:cs="宋体"/>
                <w:color w:val="auto"/>
                <w:kern w:val="0"/>
                <w:sz w:val="24"/>
                <w:szCs w:val="24"/>
                <w:highlight w:val="none"/>
                <w:lang w:val="en-US" w:eastAsia="zh-CN" w:bidi="ar"/>
              </w:rPr>
              <w:t>通</w:t>
            </w:r>
            <w:r>
              <w:rPr>
                <w:rFonts w:hint="eastAsia" w:ascii="宋体" w:hAnsi="宋体" w:cs="宋体"/>
                <w:color w:val="auto"/>
                <w:kern w:val="0"/>
                <w:sz w:val="24"/>
                <w:szCs w:val="24"/>
                <w:highlight w:val="none"/>
                <w:lang w:bidi="ar"/>
              </w:rPr>
              <w:t>道工程勘测费用估算表（测量、物探部分）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9" w:type="dxa"/>
            <w:noWrap/>
            <w:vAlign w:val="center"/>
          </w:tcPr>
          <w:p>
            <w:pPr>
              <w:rPr>
                <w:rFonts w:hint="eastAsia" w:ascii="宋体" w:hAnsi="宋体" w:cs="宋体"/>
                <w:color w:val="auto"/>
                <w:sz w:val="24"/>
                <w:szCs w:val="24"/>
                <w:highlight w:val="none"/>
              </w:rPr>
            </w:pPr>
          </w:p>
        </w:tc>
        <w:tc>
          <w:tcPr>
            <w:tcW w:w="2855" w:type="dxa"/>
            <w:noWrap/>
            <w:vAlign w:val="center"/>
          </w:tcPr>
          <w:p>
            <w:pPr>
              <w:rPr>
                <w:rFonts w:hint="eastAsia" w:ascii="宋体" w:hAnsi="宋体" w:cs="宋体"/>
                <w:color w:val="auto"/>
                <w:sz w:val="24"/>
                <w:szCs w:val="24"/>
                <w:highlight w:val="none"/>
              </w:rPr>
            </w:pPr>
          </w:p>
        </w:tc>
        <w:tc>
          <w:tcPr>
            <w:tcW w:w="795" w:type="dxa"/>
            <w:noWrap/>
            <w:vAlign w:val="center"/>
          </w:tcPr>
          <w:p>
            <w:pPr>
              <w:rPr>
                <w:rFonts w:hint="eastAsia" w:ascii="宋体" w:hAnsi="宋体" w:cs="宋体"/>
                <w:color w:val="auto"/>
                <w:sz w:val="24"/>
                <w:szCs w:val="24"/>
                <w:highlight w:val="none"/>
              </w:rPr>
            </w:pPr>
          </w:p>
        </w:tc>
        <w:tc>
          <w:tcPr>
            <w:tcW w:w="1170" w:type="dxa"/>
            <w:noWrap/>
            <w:vAlign w:val="center"/>
          </w:tcPr>
          <w:p>
            <w:pPr>
              <w:rPr>
                <w:rFonts w:hint="eastAsia" w:ascii="宋体" w:hAnsi="宋体" w:cs="宋体"/>
                <w:color w:val="auto"/>
                <w:sz w:val="24"/>
                <w:szCs w:val="24"/>
                <w:highlight w:val="none"/>
              </w:rPr>
            </w:pPr>
          </w:p>
        </w:tc>
        <w:tc>
          <w:tcPr>
            <w:tcW w:w="1080" w:type="dxa"/>
            <w:noWrap/>
            <w:vAlign w:val="center"/>
          </w:tcPr>
          <w:p>
            <w:pPr>
              <w:rPr>
                <w:rFonts w:hint="eastAsia" w:ascii="宋体" w:hAnsi="宋体" w:cs="宋体"/>
                <w:color w:val="auto"/>
                <w:sz w:val="24"/>
                <w:szCs w:val="24"/>
                <w:highlight w:val="none"/>
              </w:rPr>
            </w:pPr>
          </w:p>
        </w:tc>
        <w:tc>
          <w:tcPr>
            <w:tcW w:w="930" w:type="dxa"/>
            <w:noWrap/>
            <w:vAlign w:val="center"/>
          </w:tcPr>
          <w:p>
            <w:pPr>
              <w:rPr>
                <w:rFonts w:hint="eastAsia" w:ascii="宋体" w:hAnsi="宋体" w:cs="宋体"/>
                <w:color w:val="auto"/>
                <w:sz w:val="24"/>
                <w:szCs w:val="24"/>
                <w:highlight w:val="none"/>
              </w:rPr>
            </w:pPr>
          </w:p>
        </w:tc>
        <w:tc>
          <w:tcPr>
            <w:tcW w:w="1125" w:type="dxa"/>
            <w:noWrap/>
            <w:vAlign w:val="center"/>
          </w:tcPr>
          <w:p>
            <w:pPr>
              <w:rPr>
                <w:rFonts w:hint="eastAsia" w:ascii="宋体" w:hAnsi="宋体" w:cs="宋体"/>
                <w:color w:val="auto"/>
                <w:sz w:val="24"/>
                <w:szCs w:val="24"/>
                <w:highlight w:val="none"/>
              </w:rPr>
            </w:pPr>
          </w:p>
        </w:tc>
        <w:tc>
          <w:tcPr>
            <w:tcW w:w="1125" w:type="dxa"/>
            <w:noWrap/>
            <w:vAlign w:val="center"/>
          </w:tcPr>
          <w:p>
            <w:pPr>
              <w:rPr>
                <w:rFonts w:hint="eastAsia"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19"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序号</w:t>
            </w:r>
          </w:p>
        </w:tc>
        <w:tc>
          <w:tcPr>
            <w:tcW w:w="285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项目及内容</w:t>
            </w:r>
          </w:p>
        </w:tc>
        <w:tc>
          <w:tcPr>
            <w:tcW w:w="79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单位</w:t>
            </w:r>
          </w:p>
        </w:tc>
        <w:tc>
          <w:tcPr>
            <w:tcW w:w="1170"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数量</w:t>
            </w:r>
          </w:p>
        </w:tc>
        <w:tc>
          <w:tcPr>
            <w:tcW w:w="1080"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单价（元）</w:t>
            </w:r>
          </w:p>
        </w:tc>
        <w:tc>
          <w:tcPr>
            <w:tcW w:w="930"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附加调整系数</w:t>
            </w:r>
          </w:p>
        </w:tc>
        <w:tc>
          <w:tcPr>
            <w:tcW w:w="112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总价（元）</w:t>
            </w:r>
          </w:p>
        </w:tc>
        <w:tc>
          <w:tcPr>
            <w:tcW w:w="1125" w:type="dxa"/>
            <w:shd w:val="clear" w:color="auto" w:fill="FFFFFF"/>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19" w:type="dxa"/>
            <w:shd w:val="clear" w:color="auto" w:fill="FFFFFF"/>
            <w:noWrap/>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（一）</w:t>
            </w:r>
          </w:p>
        </w:tc>
        <w:tc>
          <w:tcPr>
            <w:tcW w:w="2855" w:type="dxa"/>
            <w:shd w:val="clear" w:color="auto" w:fill="FFFFFF"/>
            <w:noWrap/>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工程测量勘察收费 小计</w:t>
            </w:r>
          </w:p>
        </w:tc>
        <w:tc>
          <w:tcPr>
            <w:tcW w:w="3045" w:type="dxa"/>
            <w:gridSpan w:val="3"/>
            <w:shd w:val="clear" w:color="auto" w:fill="FFFFFF"/>
            <w:noWrap/>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（1）+（2）</w:t>
            </w:r>
          </w:p>
        </w:tc>
        <w:tc>
          <w:tcPr>
            <w:tcW w:w="930" w:type="dxa"/>
            <w:shd w:val="clear" w:color="auto" w:fill="FFFFFF"/>
            <w:noWrap/>
            <w:vAlign w:val="center"/>
          </w:tcPr>
          <w:p>
            <w:pPr>
              <w:jc w:val="center"/>
              <w:rPr>
                <w:rFonts w:hint="eastAsia" w:ascii="宋体" w:hAnsi="宋体" w:cs="宋体"/>
                <w:b/>
                <w:bCs/>
                <w:color w:val="auto"/>
                <w:sz w:val="20"/>
                <w:szCs w:val="20"/>
                <w:highlight w:val="none"/>
              </w:rPr>
            </w:pPr>
          </w:p>
        </w:tc>
        <w:tc>
          <w:tcPr>
            <w:tcW w:w="1125" w:type="dxa"/>
            <w:shd w:val="clear" w:color="auto" w:fill="FFFFFF"/>
            <w:noWrap/>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84330.55 </w:t>
            </w:r>
          </w:p>
        </w:tc>
        <w:tc>
          <w:tcPr>
            <w:tcW w:w="1125" w:type="dxa"/>
            <w:shd w:val="clear" w:color="auto" w:fill="FFFFFF"/>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19"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855" w:type="dxa"/>
            <w:shd w:val="clear" w:color="auto" w:fill="FFFFFF"/>
            <w:noWrap/>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地下管线测量</w:t>
            </w:r>
          </w:p>
        </w:tc>
        <w:tc>
          <w:tcPr>
            <w:tcW w:w="3045" w:type="dxa"/>
            <w:gridSpan w:val="3"/>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（1.1~1.3）小计</w:t>
            </w:r>
          </w:p>
        </w:tc>
        <w:tc>
          <w:tcPr>
            <w:tcW w:w="930" w:type="dxa"/>
            <w:shd w:val="clear" w:color="auto" w:fill="FFFFFF"/>
            <w:noWrap/>
            <w:vAlign w:val="center"/>
          </w:tcPr>
          <w:p>
            <w:pPr>
              <w:jc w:val="center"/>
              <w:rPr>
                <w:rFonts w:hint="eastAsia" w:ascii="宋体" w:hAnsi="宋体" w:cs="宋体"/>
                <w:color w:val="auto"/>
                <w:sz w:val="20"/>
                <w:szCs w:val="20"/>
                <w:highlight w:val="none"/>
              </w:rPr>
            </w:pPr>
          </w:p>
        </w:tc>
        <w:tc>
          <w:tcPr>
            <w:tcW w:w="112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69123.40 </w:t>
            </w:r>
          </w:p>
        </w:tc>
        <w:tc>
          <w:tcPr>
            <w:tcW w:w="1125" w:type="dxa"/>
            <w:shd w:val="clear" w:color="auto" w:fill="FFFFFF"/>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工程勘察实物收费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9"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w:t>
            </w:r>
          </w:p>
        </w:tc>
        <w:tc>
          <w:tcPr>
            <w:tcW w:w="2855" w:type="dxa"/>
            <w:shd w:val="clear" w:color="auto" w:fill="FFFFFF"/>
            <w:noWrap/>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地下电缆</w:t>
            </w:r>
          </w:p>
        </w:tc>
        <w:tc>
          <w:tcPr>
            <w:tcW w:w="79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km</w:t>
            </w:r>
          </w:p>
        </w:tc>
        <w:tc>
          <w:tcPr>
            <w:tcW w:w="1170"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25.700 </w:t>
            </w:r>
          </w:p>
        </w:tc>
        <w:tc>
          <w:tcPr>
            <w:tcW w:w="1080"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1446</w:t>
            </w:r>
          </w:p>
        </w:tc>
        <w:tc>
          <w:tcPr>
            <w:tcW w:w="930" w:type="dxa"/>
            <w:shd w:val="clear" w:color="auto" w:fill="FFFFFF"/>
            <w:noWrap/>
            <w:vAlign w:val="center"/>
          </w:tcPr>
          <w:p>
            <w:pPr>
              <w:jc w:val="center"/>
              <w:rPr>
                <w:rFonts w:hint="eastAsia" w:ascii="宋体" w:hAnsi="宋体" w:cs="宋体"/>
                <w:color w:val="auto"/>
                <w:sz w:val="20"/>
                <w:szCs w:val="20"/>
                <w:highlight w:val="none"/>
              </w:rPr>
            </w:pPr>
          </w:p>
        </w:tc>
        <w:tc>
          <w:tcPr>
            <w:tcW w:w="112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37162.20 </w:t>
            </w:r>
          </w:p>
        </w:tc>
        <w:tc>
          <w:tcPr>
            <w:tcW w:w="1125" w:type="dxa"/>
            <w:shd w:val="clear" w:color="auto" w:fill="FFFFFF"/>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9"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w:t>
            </w:r>
          </w:p>
        </w:tc>
        <w:tc>
          <w:tcPr>
            <w:tcW w:w="2855" w:type="dxa"/>
            <w:shd w:val="clear" w:color="auto" w:fill="FFFFFF"/>
            <w:noWrap/>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工业管道</w:t>
            </w:r>
          </w:p>
        </w:tc>
        <w:tc>
          <w:tcPr>
            <w:tcW w:w="79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km</w:t>
            </w:r>
          </w:p>
        </w:tc>
        <w:tc>
          <w:tcPr>
            <w:tcW w:w="1170"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2.300 </w:t>
            </w:r>
          </w:p>
        </w:tc>
        <w:tc>
          <w:tcPr>
            <w:tcW w:w="1080"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1700</w:t>
            </w:r>
          </w:p>
        </w:tc>
        <w:tc>
          <w:tcPr>
            <w:tcW w:w="930" w:type="dxa"/>
            <w:shd w:val="clear" w:color="auto" w:fill="FFFFFF"/>
            <w:noWrap/>
            <w:vAlign w:val="center"/>
          </w:tcPr>
          <w:p>
            <w:pPr>
              <w:jc w:val="center"/>
              <w:rPr>
                <w:rFonts w:hint="eastAsia" w:ascii="宋体" w:hAnsi="宋体" w:cs="宋体"/>
                <w:color w:val="auto"/>
                <w:sz w:val="20"/>
                <w:szCs w:val="20"/>
                <w:highlight w:val="none"/>
              </w:rPr>
            </w:pPr>
          </w:p>
        </w:tc>
        <w:tc>
          <w:tcPr>
            <w:tcW w:w="112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3910.00 </w:t>
            </w:r>
          </w:p>
        </w:tc>
        <w:tc>
          <w:tcPr>
            <w:tcW w:w="1125" w:type="dxa"/>
            <w:shd w:val="clear" w:color="auto" w:fill="FFFFFF"/>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9"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w:t>
            </w:r>
          </w:p>
        </w:tc>
        <w:tc>
          <w:tcPr>
            <w:tcW w:w="2855" w:type="dxa"/>
            <w:shd w:val="clear" w:color="auto" w:fill="FFFFFF"/>
            <w:noWrap/>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上下水及暖气管道</w:t>
            </w:r>
          </w:p>
        </w:tc>
        <w:tc>
          <w:tcPr>
            <w:tcW w:w="79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km</w:t>
            </w:r>
          </w:p>
        </w:tc>
        <w:tc>
          <w:tcPr>
            <w:tcW w:w="1170"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14.400 </w:t>
            </w:r>
          </w:p>
        </w:tc>
        <w:tc>
          <w:tcPr>
            <w:tcW w:w="1080"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1948</w:t>
            </w:r>
          </w:p>
        </w:tc>
        <w:tc>
          <w:tcPr>
            <w:tcW w:w="930" w:type="dxa"/>
            <w:shd w:val="clear" w:color="auto" w:fill="FFFFFF"/>
            <w:noWrap/>
            <w:vAlign w:val="center"/>
          </w:tcPr>
          <w:p>
            <w:pPr>
              <w:jc w:val="center"/>
              <w:rPr>
                <w:rFonts w:hint="eastAsia" w:ascii="宋体" w:hAnsi="宋体" w:cs="宋体"/>
                <w:color w:val="auto"/>
                <w:sz w:val="20"/>
                <w:szCs w:val="20"/>
                <w:highlight w:val="none"/>
              </w:rPr>
            </w:pPr>
          </w:p>
        </w:tc>
        <w:tc>
          <w:tcPr>
            <w:tcW w:w="112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28051.20 </w:t>
            </w:r>
          </w:p>
        </w:tc>
        <w:tc>
          <w:tcPr>
            <w:tcW w:w="1125" w:type="dxa"/>
            <w:shd w:val="clear" w:color="auto" w:fill="FFFFFF"/>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19"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855" w:type="dxa"/>
            <w:shd w:val="clear" w:color="auto" w:fill="FFFFFF"/>
            <w:noWrap/>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工程勘察技术工作收费</w:t>
            </w:r>
          </w:p>
        </w:tc>
        <w:tc>
          <w:tcPr>
            <w:tcW w:w="79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比例</w:t>
            </w:r>
          </w:p>
        </w:tc>
        <w:tc>
          <w:tcPr>
            <w:tcW w:w="2250" w:type="dxa"/>
            <w:gridSpan w:val="2"/>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0.22</w:t>
            </w:r>
          </w:p>
        </w:tc>
        <w:tc>
          <w:tcPr>
            <w:tcW w:w="930" w:type="dxa"/>
            <w:shd w:val="clear" w:color="auto" w:fill="FFFFFF"/>
            <w:noWrap/>
            <w:vAlign w:val="center"/>
          </w:tcPr>
          <w:p>
            <w:pPr>
              <w:jc w:val="center"/>
              <w:rPr>
                <w:rFonts w:hint="eastAsia" w:ascii="宋体" w:hAnsi="宋体" w:cs="宋体"/>
                <w:color w:val="auto"/>
                <w:sz w:val="20"/>
                <w:szCs w:val="20"/>
                <w:highlight w:val="none"/>
              </w:rPr>
            </w:pPr>
          </w:p>
        </w:tc>
        <w:tc>
          <w:tcPr>
            <w:tcW w:w="112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15207.15 </w:t>
            </w:r>
          </w:p>
        </w:tc>
        <w:tc>
          <w:tcPr>
            <w:tcW w:w="1125" w:type="dxa"/>
            <w:shd w:val="clear" w:color="auto" w:fill="FFFFFF"/>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19" w:type="dxa"/>
            <w:shd w:val="clear" w:color="auto" w:fill="FFFFFF"/>
            <w:noWrap/>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（二）</w:t>
            </w:r>
          </w:p>
        </w:tc>
        <w:tc>
          <w:tcPr>
            <w:tcW w:w="2855" w:type="dxa"/>
            <w:shd w:val="clear" w:color="auto" w:fill="FFFFFF"/>
            <w:noWrap/>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工程物探勘察收费 小计</w:t>
            </w:r>
          </w:p>
        </w:tc>
        <w:tc>
          <w:tcPr>
            <w:tcW w:w="3045" w:type="dxa"/>
            <w:gridSpan w:val="3"/>
            <w:shd w:val="clear" w:color="auto" w:fill="FFFFFF"/>
            <w:noWrap/>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（1）+（2）</w:t>
            </w:r>
          </w:p>
        </w:tc>
        <w:tc>
          <w:tcPr>
            <w:tcW w:w="930" w:type="dxa"/>
            <w:shd w:val="clear" w:color="auto" w:fill="FFFFFF"/>
            <w:noWrap/>
            <w:vAlign w:val="center"/>
          </w:tcPr>
          <w:p>
            <w:pPr>
              <w:jc w:val="center"/>
              <w:rPr>
                <w:rFonts w:hint="eastAsia" w:ascii="宋体" w:hAnsi="宋体" w:cs="宋体"/>
                <w:b/>
                <w:bCs/>
                <w:color w:val="auto"/>
                <w:sz w:val="20"/>
                <w:szCs w:val="20"/>
                <w:highlight w:val="none"/>
              </w:rPr>
            </w:pPr>
          </w:p>
        </w:tc>
        <w:tc>
          <w:tcPr>
            <w:tcW w:w="1125" w:type="dxa"/>
            <w:shd w:val="clear" w:color="auto" w:fill="FFFFFF"/>
            <w:noWrap/>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184244.40 </w:t>
            </w:r>
          </w:p>
        </w:tc>
        <w:tc>
          <w:tcPr>
            <w:tcW w:w="1125" w:type="dxa"/>
            <w:shd w:val="clear" w:color="auto" w:fill="FFFFFF"/>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19"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855" w:type="dxa"/>
            <w:shd w:val="clear" w:color="auto" w:fill="FFFFFF"/>
            <w:noWrap/>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地下管线探测</w:t>
            </w:r>
          </w:p>
        </w:tc>
        <w:tc>
          <w:tcPr>
            <w:tcW w:w="3045" w:type="dxa"/>
            <w:gridSpan w:val="3"/>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（1.1~1.4）小计</w:t>
            </w:r>
          </w:p>
        </w:tc>
        <w:tc>
          <w:tcPr>
            <w:tcW w:w="930" w:type="dxa"/>
            <w:shd w:val="clear" w:color="auto" w:fill="FFFFFF"/>
            <w:noWrap/>
            <w:vAlign w:val="center"/>
          </w:tcPr>
          <w:p>
            <w:pPr>
              <w:jc w:val="center"/>
              <w:rPr>
                <w:rFonts w:hint="eastAsia" w:ascii="宋体" w:hAnsi="宋体" w:cs="宋体"/>
                <w:color w:val="auto"/>
                <w:sz w:val="20"/>
                <w:szCs w:val="20"/>
                <w:highlight w:val="none"/>
              </w:rPr>
            </w:pPr>
          </w:p>
        </w:tc>
        <w:tc>
          <w:tcPr>
            <w:tcW w:w="112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151020.00 </w:t>
            </w:r>
          </w:p>
        </w:tc>
        <w:tc>
          <w:tcPr>
            <w:tcW w:w="1125" w:type="dxa"/>
            <w:shd w:val="clear" w:color="auto" w:fill="FFFFFF"/>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工程勘察实物收费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9"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w:t>
            </w:r>
          </w:p>
        </w:tc>
        <w:tc>
          <w:tcPr>
            <w:tcW w:w="2855" w:type="dxa"/>
            <w:shd w:val="clear" w:color="auto" w:fill="FFFFFF"/>
            <w:noWrap/>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电缆（电力、通讯等）</w:t>
            </w:r>
          </w:p>
        </w:tc>
        <w:tc>
          <w:tcPr>
            <w:tcW w:w="79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km</w:t>
            </w:r>
          </w:p>
        </w:tc>
        <w:tc>
          <w:tcPr>
            <w:tcW w:w="1170"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25.700 </w:t>
            </w:r>
          </w:p>
        </w:tc>
        <w:tc>
          <w:tcPr>
            <w:tcW w:w="1080"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3600</w:t>
            </w:r>
          </w:p>
        </w:tc>
        <w:tc>
          <w:tcPr>
            <w:tcW w:w="930" w:type="dxa"/>
            <w:shd w:val="clear" w:color="auto" w:fill="FFFFFF"/>
            <w:noWrap/>
            <w:vAlign w:val="center"/>
          </w:tcPr>
          <w:p>
            <w:pPr>
              <w:jc w:val="center"/>
              <w:rPr>
                <w:rFonts w:hint="eastAsia" w:ascii="宋体" w:hAnsi="宋体" w:cs="宋体"/>
                <w:color w:val="auto"/>
                <w:sz w:val="20"/>
                <w:szCs w:val="20"/>
                <w:highlight w:val="none"/>
              </w:rPr>
            </w:pPr>
          </w:p>
        </w:tc>
        <w:tc>
          <w:tcPr>
            <w:tcW w:w="112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92520.00 </w:t>
            </w:r>
          </w:p>
        </w:tc>
        <w:tc>
          <w:tcPr>
            <w:tcW w:w="1125" w:type="dxa"/>
            <w:shd w:val="clear" w:color="auto" w:fill="FFFFFF"/>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9"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w:t>
            </w:r>
          </w:p>
        </w:tc>
        <w:tc>
          <w:tcPr>
            <w:tcW w:w="2855" w:type="dxa"/>
            <w:shd w:val="clear" w:color="auto" w:fill="FFFFFF"/>
            <w:noWrap/>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金属管道</w:t>
            </w:r>
          </w:p>
        </w:tc>
        <w:tc>
          <w:tcPr>
            <w:tcW w:w="79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km</w:t>
            </w:r>
          </w:p>
        </w:tc>
        <w:tc>
          <w:tcPr>
            <w:tcW w:w="1170"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4.000 </w:t>
            </w:r>
          </w:p>
        </w:tc>
        <w:tc>
          <w:tcPr>
            <w:tcW w:w="1080"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4500</w:t>
            </w:r>
          </w:p>
        </w:tc>
        <w:tc>
          <w:tcPr>
            <w:tcW w:w="930" w:type="dxa"/>
            <w:shd w:val="clear" w:color="auto" w:fill="FFFFFF"/>
            <w:noWrap/>
            <w:vAlign w:val="center"/>
          </w:tcPr>
          <w:p>
            <w:pPr>
              <w:jc w:val="center"/>
              <w:rPr>
                <w:rFonts w:hint="eastAsia" w:ascii="宋体" w:hAnsi="宋体" w:cs="宋体"/>
                <w:color w:val="auto"/>
                <w:sz w:val="20"/>
                <w:szCs w:val="20"/>
                <w:highlight w:val="none"/>
              </w:rPr>
            </w:pPr>
          </w:p>
        </w:tc>
        <w:tc>
          <w:tcPr>
            <w:tcW w:w="112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18000.00 </w:t>
            </w:r>
          </w:p>
        </w:tc>
        <w:tc>
          <w:tcPr>
            <w:tcW w:w="1125" w:type="dxa"/>
            <w:shd w:val="clear" w:color="auto" w:fill="FFFFFF"/>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9"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w:t>
            </w:r>
          </w:p>
        </w:tc>
        <w:tc>
          <w:tcPr>
            <w:tcW w:w="2855" w:type="dxa"/>
            <w:shd w:val="clear" w:color="auto" w:fill="FFFFFF"/>
            <w:noWrap/>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非金属管道</w:t>
            </w:r>
          </w:p>
        </w:tc>
        <w:tc>
          <w:tcPr>
            <w:tcW w:w="79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km</w:t>
            </w:r>
          </w:p>
        </w:tc>
        <w:tc>
          <w:tcPr>
            <w:tcW w:w="1170"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2.300 </w:t>
            </w:r>
          </w:p>
        </w:tc>
        <w:tc>
          <w:tcPr>
            <w:tcW w:w="1080"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5400</w:t>
            </w:r>
          </w:p>
        </w:tc>
        <w:tc>
          <w:tcPr>
            <w:tcW w:w="930" w:type="dxa"/>
            <w:shd w:val="clear" w:color="auto" w:fill="FFFFFF"/>
            <w:noWrap/>
            <w:vAlign w:val="center"/>
          </w:tcPr>
          <w:p>
            <w:pPr>
              <w:jc w:val="center"/>
              <w:rPr>
                <w:rFonts w:hint="eastAsia" w:ascii="宋体" w:hAnsi="宋体" w:cs="宋体"/>
                <w:color w:val="auto"/>
                <w:sz w:val="20"/>
                <w:szCs w:val="20"/>
                <w:highlight w:val="none"/>
              </w:rPr>
            </w:pPr>
          </w:p>
        </w:tc>
        <w:tc>
          <w:tcPr>
            <w:tcW w:w="112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12420.00 </w:t>
            </w:r>
          </w:p>
        </w:tc>
        <w:tc>
          <w:tcPr>
            <w:tcW w:w="1125" w:type="dxa"/>
            <w:shd w:val="clear" w:color="auto" w:fill="FFFFFF"/>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9"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1.4</w:t>
            </w:r>
          </w:p>
        </w:tc>
        <w:tc>
          <w:tcPr>
            <w:tcW w:w="2855" w:type="dxa"/>
            <w:shd w:val="clear" w:color="auto" w:fill="FFFFFF"/>
            <w:noWrap/>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下水道（有窨井）</w:t>
            </w:r>
          </w:p>
        </w:tc>
        <w:tc>
          <w:tcPr>
            <w:tcW w:w="79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km</w:t>
            </w:r>
          </w:p>
        </w:tc>
        <w:tc>
          <w:tcPr>
            <w:tcW w:w="1170"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10.400 </w:t>
            </w:r>
          </w:p>
        </w:tc>
        <w:tc>
          <w:tcPr>
            <w:tcW w:w="1080"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2700</w:t>
            </w:r>
          </w:p>
        </w:tc>
        <w:tc>
          <w:tcPr>
            <w:tcW w:w="930" w:type="dxa"/>
            <w:shd w:val="clear" w:color="auto" w:fill="FFFFFF"/>
            <w:noWrap/>
            <w:vAlign w:val="center"/>
          </w:tcPr>
          <w:p>
            <w:pPr>
              <w:jc w:val="center"/>
              <w:rPr>
                <w:rFonts w:hint="eastAsia" w:ascii="宋体" w:hAnsi="宋体" w:cs="宋体"/>
                <w:color w:val="auto"/>
                <w:sz w:val="20"/>
                <w:szCs w:val="20"/>
                <w:highlight w:val="none"/>
              </w:rPr>
            </w:pPr>
          </w:p>
        </w:tc>
        <w:tc>
          <w:tcPr>
            <w:tcW w:w="112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28080.00 </w:t>
            </w:r>
          </w:p>
        </w:tc>
        <w:tc>
          <w:tcPr>
            <w:tcW w:w="1125" w:type="dxa"/>
            <w:shd w:val="clear" w:color="auto" w:fill="FFFFFF"/>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19"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855" w:type="dxa"/>
            <w:shd w:val="clear" w:color="auto" w:fill="FFFFFF"/>
            <w:noWrap/>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工程勘察技术工作收费</w:t>
            </w:r>
          </w:p>
        </w:tc>
        <w:tc>
          <w:tcPr>
            <w:tcW w:w="79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比例</w:t>
            </w:r>
          </w:p>
        </w:tc>
        <w:tc>
          <w:tcPr>
            <w:tcW w:w="2250" w:type="dxa"/>
            <w:gridSpan w:val="2"/>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0.22</w:t>
            </w:r>
          </w:p>
        </w:tc>
        <w:tc>
          <w:tcPr>
            <w:tcW w:w="930" w:type="dxa"/>
            <w:shd w:val="clear" w:color="auto" w:fill="FFFFFF"/>
            <w:noWrap/>
            <w:vAlign w:val="center"/>
          </w:tcPr>
          <w:p>
            <w:pPr>
              <w:jc w:val="center"/>
              <w:rPr>
                <w:rFonts w:hint="eastAsia" w:ascii="宋体" w:hAnsi="宋体" w:cs="宋体"/>
                <w:color w:val="auto"/>
                <w:sz w:val="20"/>
                <w:szCs w:val="20"/>
                <w:highlight w:val="none"/>
              </w:rPr>
            </w:pPr>
          </w:p>
        </w:tc>
        <w:tc>
          <w:tcPr>
            <w:tcW w:w="112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33224.40 </w:t>
            </w:r>
          </w:p>
        </w:tc>
        <w:tc>
          <w:tcPr>
            <w:tcW w:w="1125" w:type="dxa"/>
            <w:shd w:val="clear" w:color="auto" w:fill="FFFFFF"/>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19" w:type="dxa"/>
            <w:shd w:val="clear" w:color="auto" w:fill="FFFFFF"/>
            <w:noWrap/>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（三）</w:t>
            </w:r>
          </w:p>
        </w:tc>
        <w:tc>
          <w:tcPr>
            <w:tcW w:w="2855" w:type="dxa"/>
            <w:shd w:val="clear" w:color="auto" w:fill="FFFFFF"/>
            <w:noWrap/>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地面测量 小计</w:t>
            </w:r>
          </w:p>
        </w:tc>
        <w:tc>
          <w:tcPr>
            <w:tcW w:w="3045" w:type="dxa"/>
            <w:gridSpan w:val="3"/>
            <w:shd w:val="clear" w:color="auto" w:fill="FFFFFF"/>
            <w:noWrap/>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（1）+（2）</w:t>
            </w:r>
          </w:p>
        </w:tc>
        <w:tc>
          <w:tcPr>
            <w:tcW w:w="930" w:type="dxa"/>
            <w:shd w:val="clear" w:color="auto" w:fill="FFFFFF"/>
            <w:noWrap/>
            <w:vAlign w:val="center"/>
          </w:tcPr>
          <w:p>
            <w:pPr>
              <w:jc w:val="center"/>
              <w:rPr>
                <w:rFonts w:hint="eastAsia" w:ascii="宋体" w:hAnsi="宋体" w:cs="宋体"/>
                <w:b/>
                <w:bCs/>
                <w:color w:val="auto"/>
                <w:sz w:val="20"/>
                <w:szCs w:val="20"/>
                <w:highlight w:val="none"/>
              </w:rPr>
            </w:pPr>
          </w:p>
        </w:tc>
        <w:tc>
          <w:tcPr>
            <w:tcW w:w="1125" w:type="dxa"/>
            <w:shd w:val="clear" w:color="auto" w:fill="FFFFFF"/>
            <w:noWrap/>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49165.66 </w:t>
            </w:r>
          </w:p>
        </w:tc>
        <w:tc>
          <w:tcPr>
            <w:tcW w:w="1125" w:type="dxa"/>
            <w:shd w:val="clear" w:color="auto" w:fill="FFFFFF"/>
            <w:noWrap w:val="0"/>
            <w:vAlign w:val="bottom"/>
          </w:tcPr>
          <w:p>
            <w:pPr>
              <w:rPr>
                <w:rFonts w:hint="eastAsia" w:ascii="宋体" w:hAnsi="宋体" w:cs="宋体"/>
                <w:b/>
                <w:bCs/>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19"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855" w:type="dxa"/>
            <w:shd w:val="clear" w:color="auto" w:fill="FFFFFF"/>
            <w:noWrap/>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地面测量</w:t>
            </w:r>
          </w:p>
        </w:tc>
        <w:tc>
          <w:tcPr>
            <w:tcW w:w="3045" w:type="dxa"/>
            <w:gridSpan w:val="3"/>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（1.1~1.3）小计*（3）</w:t>
            </w:r>
          </w:p>
        </w:tc>
        <w:tc>
          <w:tcPr>
            <w:tcW w:w="930" w:type="dxa"/>
            <w:shd w:val="clear" w:color="auto" w:fill="FFFFFF"/>
            <w:noWrap/>
            <w:vAlign w:val="center"/>
          </w:tcPr>
          <w:p>
            <w:pPr>
              <w:jc w:val="center"/>
              <w:rPr>
                <w:rFonts w:hint="eastAsia" w:ascii="宋体" w:hAnsi="宋体" w:cs="宋体"/>
                <w:color w:val="auto"/>
                <w:sz w:val="20"/>
                <w:szCs w:val="20"/>
                <w:highlight w:val="none"/>
              </w:rPr>
            </w:pPr>
          </w:p>
        </w:tc>
        <w:tc>
          <w:tcPr>
            <w:tcW w:w="112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40299.72 </w:t>
            </w:r>
          </w:p>
        </w:tc>
        <w:tc>
          <w:tcPr>
            <w:tcW w:w="1125" w:type="dxa"/>
            <w:shd w:val="clear" w:color="auto" w:fill="FFFFFF"/>
            <w:noWrap w:val="0"/>
            <w:vAlign w:val="bottom"/>
          </w:tcPr>
          <w:p>
            <w:pPr>
              <w:rPr>
                <w:rFonts w:hint="eastAsia" w:ascii="宋体" w:hAnsi="宋体" w:cs="宋体"/>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9"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w:t>
            </w:r>
          </w:p>
        </w:tc>
        <w:tc>
          <w:tcPr>
            <w:tcW w:w="2855" w:type="dxa"/>
            <w:shd w:val="clear" w:color="auto" w:fill="FFFFFF"/>
            <w:noWrap/>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控制测量（E级GPS点）</w:t>
            </w:r>
          </w:p>
        </w:tc>
        <w:tc>
          <w:tcPr>
            <w:tcW w:w="79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点</w:t>
            </w:r>
          </w:p>
        </w:tc>
        <w:tc>
          <w:tcPr>
            <w:tcW w:w="1170"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1080"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3203</w:t>
            </w:r>
          </w:p>
        </w:tc>
        <w:tc>
          <w:tcPr>
            <w:tcW w:w="930" w:type="dxa"/>
            <w:shd w:val="clear" w:color="auto" w:fill="FFFFFF"/>
            <w:noWrap/>
            <w:vAlign w:val="center"/>
          </w:tcPr>
          <w:p>
            <w:pPr>
              <w:jc w:val="center"/>
              <w:rPr>
                <w:rFonts w:hint="eastAsia" w:ascii="宋体" w:hAnsi="宋体" w:cs="宋体"/>
                <w:color w:val="auto"/>
                <w:sz w:val="20"/>
                <w:szCs w:val="20"/>
                <w:highlight w:val="none"/>
              </w:rPr>
            </w:pPr>
          </w:p>
        </w:tc>
        <w:tc>
          <w:tcPr>
            <w:tcW w:w="112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25624.00 </w:t>
            </w:r>
          </w:p>
        </w:tc>
        <w:tc>
          <w:tcPr>
            <w:tcW w:w="1125" w:type="dxa"/>
            <w:vMerge w:val="restart"/>
            <w:shd w:val="clear" w:color="auto" w:fill="FFFFFF"/>
            <w:noWrap w:val="0"/>
            <w:vAlign w:val="center"/>
          </w:tcPr>
          <w:p>
            <w:pPr>
              <w:widowControl/>
              <w:jc w:val="center"/>
              <w:textAlignment w:val="center"/>
              <w:rPr>
                <w:rFonts w:hint="eastAsia" w:ascii="宋体" w:hAnsi="宋体" w:cs="宋体"/>
                <w:color w:val="auto"/>
                <w:sz w:val="18"/>
                <w:szCs w:val="18"/>
                <w:highlight w:val="none"/>
              </w:rPr>
            </w:pPr>
            <w:r>
              <w:rPr>
                <w:rFonts w:hint="eastAsia" w:ascii="宋体" w:hAnsi="宋体" w:cs="宋体"/>
                <w:color w:val="auto"/>
                <w:kern w:val="0"/>
                <w:sz w:val="18"/>
                <w:szCs w:val="18"/>
                <w:highlight w:val="none"/>
                <w:lang w:bidi="ar"/>
              </w:rPr>
              <w:t>中等，数字化测绘1.5、带状地形测量1.3，最终为1.8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9"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w:t>
            </w:r>
          </w:p>
        </w:tc>
        <w:tc>
          <w:tcPr>
            <w:tcW w:w="2855" w:type="dxa"/>
            <w:shd w:val="clear" w:color="auto" w:fill="FFFFFF"/>
            <w:noWrap/>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地形测量费（比例尺1:500）</w:t>
            </w:r>
          </w:p>
        </w:tc>
        <w:tc>
          <w:tcPr>
            <w:tcW w:w="79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km2</w:t>
            </w:r>
          </w:p>
        </w:tc>
        <w:tc>
          <w:tcPr>
            <w:tcW w:w="1170"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0.098000 </w:t>
            </w:r>
          </w:p>
        </w:tc>
        <w:tc>
          <w:tcPr>
            <w:tcW w:w="1080"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44510</w:t>
            </w:r>
          </w:p>
        </w:tc>
        <w:tc>
          <w:tcPr>
            <w:tcW w:w="930"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w:t>
            </w:r>
          </w:p>
        </w:tc>
        <w:tc>
          <w:tcPr>
            <w:tcW w:w="112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7851.56 </w:t>
            </w:r>
          </w:p>
        </w:tc>
        <w:tc>
          <w:tcPr>
            <w:tcW w:w="1125" w:type="dxa"/>
            <w:vMerge w:val="continue"/>
            <w:shd w:val="clear" w:color="auto" w:fill="FFFFFF"/>
            <w:noWrap w:val="0"/>
            <w:vAlign w:val="center"/>
          </w:tcPr>
          <w:p>
            <w:pPr>
              <w:jc w:val="center"/>
              <w:rPr>
                <w:rFonts w:hint="eastAsia" w:ascii="宋体" w:hAnsi="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19"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w:t>
            </w:r>
          </w:p>
        </w:tc>
        <w:tc>
          <w:tcPr>
            <w:tcW w:w="2855" w:type="dxa"/>
            <w:shd w:val="clear" w:color="auto" w:fill="FFFFFF"/>
            <w:noWrap/>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断面测量（比例尺1:200）</w:t>
            </w:r>
          </w:p>
        </w:tc>
        <w:tc>
          <w:tcPr>
            <w:tcW w:w="79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km</w:t>
            </w:r>
          </w:p>
        </w:tc>
        <w:tc>
          <w:tcPr>
            <w:tcW w:w="1170"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2.800 </w:t>
            </w:r>
          </w:p>
        </w:tc>
        <w:tc>
          <w:tcPr>
            <w:tcW w:w="1080"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1354</w:t>
            </w:r>
          </w:p>
        </w:tc>
        <w:tc>
          <w:tcPr>
            <w:tcW w:w="930"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1.8</w:t>
            </w:r>
          </w:p>
        </w:tc>
        <w:tc>
          <w:tcPr>
            <w:tcW w:w="112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6824.16 </w:t>
            </w:r>
          </w:p>
        </w:tc>
        <w:tc>
          <w:tcPr>
            <w:tcW w:w="1125" w:type="dxa"/>
            <w:vMerge w:val="continue"/>
            <w:shd w:val="clear" w:color="auto" w:fill="FFFFFF"/>
            <w:noWrap w:val="0"/>
            <w:vAlign w:val="center"/>
          </w:tcPr>
          <w:p>
            <w:pPr>
              <w:jc w:val="center"/>
              <w:rPr>
                <w:rFonts w:hint="eastAsia" w:ascii="宋体" w:hAnsi="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19"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855" w:type="dxa"/>
            <w:shd w:val="clear" w:color="auto" w:fill="FFFFFF"/>
            <w:noWrap/>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工程勘察技术工作收费</w:t>
            </w:r>
          </w:p>
        </w:tc>
        <w:tc>
          <w:tcPr>
            <w:tcW w:w="79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比例</w:t>
            </w:r>
          </w:p>
        </w:tc>
        <w:tc>
          <w:tcPr>
            <w:tcW w:w="2250" w:type="dxa"/>
            <w:gridSpan w:val="2"/>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0.22</w:t>
            </w:r>
          </w:p>
        </w:tc>
        <w:tc>
          <w:tcPr>
            <w:tcW w:w="930" w:type="dxa"/>
            <w:shd w:val="clear" w:color="auto" w:fill="FFFFFF"/>
            <w:noWrap/>
            <w:vAlign w:val="center"/>
          </w:tcPr>
          <w:p>
            <w:pPr>
              <w:jc w:val="center"/>
              <w:rPr>
                <w:rFonts w:hint="eastAsia" w:ascii="宋体" w:hAnsi="宋体" w:cs="宋体"/>
                <w:color w:val="auto"/>
                <w:sz w:val="20"/>
                <w:szCs w:val="20"/>
                <w:highlight w:val="none"/>
              </w:rPr>
            </w:pPr>
          </w:p>
        </w:tc>
        <w:tc>
          <w:tcPr>
            <w:tcW w:w="112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8865.94 </w:t>
            </w:r>
          </w:p>
        </w:tc>
        <w:tc>
          <w:tcPr>
            <w:tcW w:w="1125" w:type="dxa"/>
            <w:shd w:val="clear" w:color="auto" w:fill="FFFFFF"/>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19" w:type="dxa"/>
            <w:shd w:val="clear" w:color="auto" w:fill="FFFFFF"/>
            <w:noWrap/>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（四）</w:t>
            </w:r>
          </w:p>
        </w:tc>
        <w:tc>
          <w:tcPr>
            <w:tcW w:w="2855" w:type="dxa"/>
            <w:shd w:val="clear" w:color="auto" w:fill="FFFFFF"/>
            <w:noWrap/>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其他测量 小计</w:t>
            </w:r>
          </w:p>
        </w:tc>
        <w:tc>
          <w:tcPr>
            <w:tcW w:w="3045" w:type="dxa"/>
            <w:gridSpan w:val="3"/>
            <w:shd w:val="clear" w:color="auto" w:fill="FFFFFF"/>
            <w:noWrap/>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（1）+（2）</w:t>
            </w:r>
          </w:p>
        </w:tc>
        <w:tc>
          <w:tcPr>
            <w:tcW w:w="930" w:type="dxa"/>
            <w:shd w:val="clear" w:color="auto" w:fill="FFFFFF"/>
            <w:noWrap/>
            <w:vAlign w:val="center"/>
          </w:tcPr>
          <w:p>
            <w:pPr>
              <w:jc w:val="center"/>
              <w:rPr>
                <w:rFonts w:hint="eastAsia" w:ascii="宋体" w:hAnsi="宋体" w:cs="宋体"/>
                <w:b/>
                <w:bCs/>
                <w:color w:val="auto"/>
                <w:sz w:val="20"/>
                <w:szCs w:val="20"/>
                <w:highlight w:val="none"/>
              </w:rPr>
            </w:pPr>
          </w:p>
        </w:tc>
        <w:tc>
          <w:tcPr>
            <w:tcW w:w="1125" w:type="dxa"/>
            <w:shd w:val="clear" w:color="auto" w:fill="FFFFFF"/>
            <w:noWrap/>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3660.00 </w:t>
            </w:r>
          </w:p>
        </w:tc>
        <w:tc>
          <w:tcPr>
            <w:tcW w:w="1125" w:type="dxa"/>
            <w:shd w:val="clear" w:color="auto" w:fill="FFFFFF"/>
            <w:noWrap w:val="0"/>
            <w:vAlign w:val="bottom"/>
          </w:tcPr>
          <w:p>
            <w:pPr>
              <w:rPr>
                <w:rFonts w:hint="eastAsia" w:ascii="宋体" w:hAnsi="宋体" w:cs="宋体"/>
                <w:b/>
                <w:bCs/>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19"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855" w:type="dxa"/>
            <w:shd w:val="clear" w:color="auto" w:fill="FFFFFF"/>
            <w:noWrap/>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定点测量</w:t>
            </w:r>
          </w:p>
        </w:tc>
        <w:tc>
          <w:tcPr>
            <w:tcW w:w="79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组日</w:t>
            </w:r>
          </w:p>
        </w:tc>
        <w:tc>
          <w:tcPr>
            <w:tcW w:w="1170"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w:t>
            </w:r>
          </w:p>
        </w:tc>
        <w:tc>
          <w:tcPr>
            <w:tcW w:w="1080"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1000</w:t>
            </w:r>
          </w:p>
        </w:tc>
        <w:tc>
          <w:tcPr>
            <w:tcW w:w="930" w:type="dxa"/>
            <w:shd w:val="clear" w:color="auto" w:fill="FFFFFF"/>
            <w:noWrap/>
            <w:vAlign w:val="center"/>
          </w:tcPr>
          <w:p>
            <w:pPr>
              <w:jc w:val="center"/>
              <w:rPr>
                <w:rFonts w:hint="eastAsia" w:ascii="宋体" w:hAnsi="宋体" w:cs="宋体"/>
                <w:color w:val="auto"/>
                <w:sz w:val="20"/>
                <w:szCs w:val="20"/>
                <w:highlight w:val="none"/>
              </w:rPr>
            </w:pPr>
          </w:p>
        </w:tc>
        <w:tc>
          <w:tcPr>
            <w:tcW w:w="112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3000.00 </w:t>
            </w:r>
          </w:p>
        </w:tc>
        <w:tc>
          <w:tcPr>
            <w:tcW w:w="1125" w:type="dxa"/>
            <w:shd w:val="clear" w:color="auto" w:fill="FFFFFF"/>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线路定点、不足3个组日，按3组日计算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19"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855" w:type="dxa"/>
            <w:shd w:val="clear" w:color="auto" w:fill="FFFFFF"/>
            <w:noWrap/>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工程勘察技术工作收费</w:t>
            </w:r>
          </w:p>
        </w:tc>
        <w:tc>
          <w:tcPr>
            <w:tcW w:w="79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比例</w:t>
            </w:r>
          </w:p>
        </w:tc>
        <w:tc>
          <w:tcPr>
            <w:tcW w:w="2250" w:type="dxa"/>
            <w:gridSpan w:val="2"/>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0.22</w:t>
            </w:r>
          </w:p>
        </w:tc>
        <w:tc>
          <w:tcPr>
            <w:tcW w:w="930" w:type="dxa"/>
            <w:shd w:val="clear" w:color="auto" w:fill="FFFFFF"/>
            <w:noWrap/>
            <w:vAlign w:val="center"/>
          </w:tcPr>
          <w:p>
            <w:pPr>
              <w:jc w:val="center"/>
              <w:rPr>
                <w:rFonts w:hint="eastAsia" w:ascii="宋体" w:hAnsi="宋体" w:cs="宋体"/>
                <w:color w:val="auto"/>
                <w:sz w:val="20"/>
                <w:szCs w:val="20"/>
                <w:highlight w:val="none"/>
              </w:rPr>
            </w:pPr>
          </w:p>
        </w:tc>
        <w:tc>
          <w:tcPr>
            <w:tcW w:w="1125" w:type="dxa"/>
            <w:shd w:val="clear" w:color="auto" w:fill="FFFFFF"/>
            <w:noWrap/>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660.00 </w:t>
            </w:r>
          </w:p>
        </w:tc>
        <w:tc>
          <w:tcPr>
            <w:tcW w:w="1125" w:type="dxa"/>
            <w:shd w:val="clear" w:color="auto" w:fill="FFFFFF"/>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819" w:type="dxa"/>
            <w:shd w:val="clear" w:color="auto" w:fill="FFFFFF"/>
            <w:noWrap/>
            <w:vAlign w:val="center"/>
          </w:tcPr>
          <w:p>
            <w:pPr>
              <w:jc w:val="center"/>
              <w:rPr>
                <w:rFonts w:hint="eastAsia" w:ascii="宋体" w:hAnsi="宋体" w:cs="宋体"/>
                <w:b/>
                <w:bCs/>
                <w:color w:val="auto"/>
                <w:sz w:val="24"/>
                <w:szCs w:val="24"/>
                <w:highlight w:val="none"/>
              </w:rPr>
            </w:pPr>
          </w:p>
        </w:tc>
        <w:tc>
          <w:tcPr>
            <w:tcW w:w="2855" w:type="dxa"/>
            <w:shd w:val="clear" w:color="auto" w:fill="FFFFFF"/>
            <w:noWrap/>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工程勘察费合计</w:t>
            </w:r>
          </w:p>
        </w:tc>
        <w:tc>
          <w:tcPr>
            <w:tcW w:w="3045" w:type="dxa"/>
            <w:gridSpan w:val="3"/>
            <w:shd w:val="clear" w:color="auto" w:fill="FFFFFF"/>
            <w:noWrap w:val="0"/>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（一）+（二）+（三）+（四）</w:t>
            </w:r>
          </w:p>
        </w:tc>
        <w:tc>
          <w:tcPr>
            <w:tcW w:w="930" w:type="dxa"/>
            <w:shd w:val="clear" w:color="auto" w:fill="FFFFFF"/>
            <w:noWrap w:val="0"/>
            <w:vAlign w:val="center"/>
          </w:tcPr>
          <w:p>
            <w:pPr>
              <w:jc w:val="center"/>
              <w:rPr>
                <w:rFonts w:hint="eastAsia" w:ascii="宋体" w:hAnsi="宋体" w:cs="宋体"/>
                <w:b/>
                <w:bCs/>
                <w:color w:val="auto"/>
                <w:sz w:val="20"/>
                <w:szCs w:val="20"/>
                <w:highlight w:val="none"/>
              </w:rPr>
            </w:pPr>
          </w:p>
        </w:tc>
        <w:tc>
          <w:tcPr>
            <w:tcW w:w="1125" w:type="dxa"/>
            <w:shd w:val="clear" w:color="auto" w:fill="FFFFFF"/>
            <w:noWrap/>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321400.61 </w:t>
            </w:r>
          </w:p>
        </w:tc>
        <w:tc>
          <w:tcPr>
            <w:tcW w:w="1125" w:type="dxa"/>
            <w:shd w:val="clear" w:color="auto" w:fill="FFFFFF"/>
            <w:noWrap/>
            <w:vAlign w:val="center"/>
          </w:tcPr>
          <w:p>
            <w:pPr>
              <w:rPr>
                <w:rFonts w:hint="eastAsia" w:ascii="宋体" w:hAnsi="宋体" w:cs="宋体"/>
                <w:color w:val="auto"/>
                <w:sz w:val="24"/>
                <w:szCs w:val="24"/>
                <w:highlight w:val="none"/>
              </w:rPr>
            </w:pPr>
          </w:p>
        </w:tc>
      </w:tr>
    </w:tbl>
    <w:p>
      <w:pPr>
        <w:pStyle w:val="2"/>
        <w:rPr>
          <w:color w:val="auto"/>
          <w:highlight w:val="none"/>
        </w:rPr>
      </w:pPr>
    </w:p>
    <w:tbl>
      <w:tblPr>
        <w:tblStyle w:val="43"/>
        <w:tblpPr w:leftFromText="180" w:rightFromText="180" w:vertAnchor="text" w:horzAnchor="page" w:tblpX="491" w:tblpY="450"/>
        <w:tblOverlap w:val="never"/>
        <w:tblW w:w="10555" w:type="dxa"/>
        <w:tblInd w:w="0" w:type="dxa"/>
        <w:tblLayout w:type="fixed"/>
        <w:tblCellMar>
          <w:top w:w="0" w:type="dxa"/>
          <w:left w:w="108" w:type="dxa"/>
          <w:bottom w:w="0" w:type="dxa"/>
          <w:right w:w="108" w:type="dxa"/>
        </w:tblCellMar>
      </w:tblPr>
      <w:tblGrid>
        <w:gridCol w:w="820"/>
        <w:gridCol w:w="1337"/>
        <w:gridCol w:w="718"/>
        <w:gridCol w:w="1140"/>
        <w:gridCol w:w="660"/>
        <w:gridCol w:w="945"/>
        <w:gridCol w:w="1035"/>
        <w:gridCol w:w="930"/>
        <w:gridCol w:w="1260"/>
        <w:gridCol w:w="1710"/>
      </w:tblGrid>
      <w:tr>
        <w:tblPrEx>
          <w:tblCellMar>
            <w:top w:w="0" w:type="dxa"/>
            <w:left w:w="108" w:type="dxa"/>
            <w:bottom w:w="0" w:type="dxa"/>
            <w:right w:w="108" w:type="dxa"/>
          </w:tblCellMar>
        </w:tblPrEx>
        <w:trPr>
          <w:trHeight w:val="285" w:hRule="atLeast"/>
        </w:trPr>
        <w:tc>
          <w:tcPr>
            <w:tcW w:w="10555" w:type="dxa"/>
            <w:gridSpan w:val="10"/>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auto"/>
                <w:sz w:val="24"/>
                <w:szCs w:val="24"/>
                <w:highlight w:val="none"/>
              </w:rPr>
            </w:pPr>
            <w:r>
              <w:rPr>
                <w:rFonts w:hint="eastAsia" w:ascii="宋体" w:hAnsi="宋体" w:cs="宋体"/>
                <w:color w:val="auto"/>
                <w:kern w:val="0"/>
                <w:sz w:val="24"/>
                <w:szCs w:val="24"/>
                <w:highlight w:val="none"/>
                <w:lang w:bidi="ar"/>
              </w:rPr>
              <w:t>三、东莞市松山湖科学城电缆</w:t>
            </w:r>
            <w:r>
              <w:rPr>
                <w:rFonts w:hint="eastAsia" w:ascii="宋体" w:hAnsi="宋体" w:cs="宋体"/>
                <w:color w:val="auto"/>
                <w:kern w:val="0"/>
                <w:sz w:val="24"/>
                <w:szCs w:val="24"/>
                <w:highlight w:val="none"/>
                <w:lang w:val="en-US" w:eastAsia="zh-CN" w:bidi="ar"/>
              </w:rPr>
              <w:t>通</w:t>
            </w:r>
            <w:r>
              <w:rPr>
                <w:rFonts w:hint="eastAsia" w:ascii="宋体" w:hAnsi="宋体" w:cs="宋体"/>
                <w:color w:val="auto"/>
                <w:kern w:val="0"/>
                <w:sz w:val="24"/>
                <w:szCs w:val="24"/>
                <w:highlight w:val="none"/>
                <w:lang w:bidi="ar"/>
              </w:rPr>
              <w:t>道工程勘察费估算表</w:t>
            </w:r>
            <w:r>
              <w:rPr>
                <w:rFonts w:hint="eastAsia" w:ascii="宋体" w:hAnsi="宋体" w:cs="宋体"/>
                <w:b/>
                <w:bCs/>
                <w:color w:val="auto"/>
                <w:kern w:val="0"/>
                <w:sz w:val="24"/>
                <w:szCs w:val="24"/>
                <w:highlight w:val="none"/>
                <w:lang w:bidi="ar"/>
              </w:rPr>
              <w:br w:type="textWrapping"/>
            </w:r>
            <w:r>
              <w:rPr>
                <w:rFonts w:hint="eastAsia" w:ascii="宋体" w:hAnsi="宋体" w:cs="宋体"/>
                <w:color w:val="auto"/>
                <w:kern w:val="0"/>
                <w:sz w:val="24"/>
                <w:szCs w:val="24"/>
                <w:highlight w:val="none"/>
                <w:lang w:bidi="ar"/>
              </w:rPr>
              <w:t>（岩土工程勘察部分）</w:t>
            </w:r>
          </w:p>
        </w:tc>
      </w:tr>
      <w:tr>
        <w:tblPrEx>
          <w:tblCellMar>
            <w:top w:w="0" w:type="dxa"/>
            <w:left w:w="108" w:type="dxa"/>
            <w:bottom w:w="0" w:type="dxa"/>
            <w:right w:w="108" w:type="dxa"/>
          </w:tblCellMar>
        </w:tblPrEx>
        <w:trPr>
          <w:trHeight w:val="480"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序号</w:t>
            </w:r>
          </w:p>
        </w:tc>
        <w:tc>
          <w:tcPr>
            <w:tcW w:w="205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项目及内容</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技术条件</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单位</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数量</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单价（元）</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附加调整系数</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总价（元）</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备注</w:t>
            </w: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一</w:t>
            </w:r>
          </w:p>
        </w:tc>
        <w:tc>
          <w:tcPr>
            <w:tcW w:w="6765" w:type="dxa"/>
            <w:gridSpan w:val="7"/>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岩土工程勘察费</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1177668.00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b/>
                <w:bCs/>
                <w:color w:val="auto"/>
                <w:sz w:val="20"/>
                <w:szCs w:val="20"/>
                <w:highlight w:val="none"/>
              </w:rPr>
            </w:pPr>
          </w:p>
        </w:tc>
      </w:tr>
      <w:tr>
        <w:tblPrEx>
          <w:tblCellMar>
            <w:top w:w="0" w:type="dxa"/>
            <w:left w:w="108" w:type="dxa"/>
            <w:bottom w:w="0" w:type="dxa"/>
            <w:right w:w="108" w:type="dxa"/>
          </w:tblCellMar>
        </w:tblPrEx>
        <w:trPr>
          <w:trHeight w:val="480"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（一）</w:t>
            </w:r>
          </w:p>
        </w:tc>
        <w:tc>
          <w:tcPr>
            <w:tcW w:w="205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工程勘察钻孔收费 小计</w:t>
            </w:r>
          </w:p>
        </w:tc>
        <w:tc>
          <w:tcPr>
            <w:tcW w:w="4710"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（1）+（2）</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1117080.00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（1）+（2）</w:t>
            </w:r>
          </w:p>
        </w:tc>
      </w:tr>
      <w:tr>
        <w:tblPrEx>
          <w:tblCellMar>
            <w:top w:w="0" w:type="dxa"/>
            <w:left w:w="108" w:type="dxa"/>
            <w:bottom w:w="0" w:type="dxa"/>
            <w:right w:w="108" w:type="dxa"/>
          </w:tblCellMar>
        </w:tblPrEx>
        <w:trPr>
          <w:trHeight w:val="480"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w:t>
            </w:r>
          </w:p>
        </w:tc>
        <w:tc>
          <w:tcPr>
            <w:tcW w:w="205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陆地钻孔实物工作收费</w:t>
            </w:r>
          </w:p>
        </w:tc>
        <w:tc>
          <w:tcPr>
            <w:tcW w:w="4710"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（1.1~1.18）小计</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558540.00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工程勘察实物收费</w:t>
            </w: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1.1</w:t>
            </w:r>
          </w:p>
        </w:tc>
        <w:tc>
          <w:tcPr>
            <w:tcW w:w="133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深度D≤10m</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Ⅰ</w:t>
            </w:r>
          </w:p>
        </w:tc>
        <w:tc>
          <w:tcPr>
            <w:tcW w:w="114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泥浆护壁1.8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m</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200</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46</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1.8</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 xml:space="preserve">16560.00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1.2</w:t>
            </w:r>
          </w:p>
        </w:tc>
        <w:tc>
          <w:tcPr>
            <w:tcW w:w="13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Ⅱ</w:t>
            </w:r>
          </w:p>
        </w:tc>
        <w:tc>
          <w:tcPr>
            <w:tcW w:w="11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m</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250</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71</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1.8</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 xml:space="preserve">31950.00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1.3</w:t>
            </w:r>
          </w:p>
        </w:tc>
        <w:tc>
          <w:tcPr>
            <w:tcW w:w="13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Ⅲ</w:t>
            </w:r>
          </w:p>
        </w:tc>
        <w:tc>
          <w:tcPr>
            <w:tcW w:w="11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m</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300</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117</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1.8</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 xml:space="preserve">63180.00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1.4</w:t>
            </w:r>
          </w:p>
        </w:tc>
        <w:tc>
          <w:tcPr>
            <w:tcW w:w="13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Ⅳ</w:t>
            </w:r>
          </w:p>
        </w:tc>
        <w:tc>
          <w:tcPr>
            <w:tcW w:w="11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m</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100</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207</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1.8</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 xml:space="preserve">37260.00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1.5</w:t>
            </w:r>
          </w:p>
        </w:tc>
        <w:tc>
          <w:tcPr>
            <w:tcW w:w="133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深度10m＜D≤20m</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Ⅰ</w:t>
            </w:r>
          </w:p>
        </w:tc>
        <w:tc>
          <w:tcPr>
            <w:tcW w:w="114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泥浆护壁1.8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m</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150</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58</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1.8</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 xml:space="preserve">15660.00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1.6</w:t>
            </w:r>
          </w:p>
        </w:tc>
        <w:tc>
          <w:tcPr>
            <w:tcW w:w="13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Ⅱ</w:t>
            </w:r>
          </w:p>
        </w:tc>
        <w:tc>
          <w:tcPr>
            <w:tcW w:w="11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m</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100</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89</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1.8</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 xml:space="preserve">16020.00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1.7</w:t>
            </w:r>
          </w:p>
        </w:tc>
        <w:tc>
          <w:tcPr>
            <w:tcW w:w="13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Ⅲ</w:t>
            </w:r>
          </w:p>
        </w:tc>
        <w:tc>
          <w:tcPr>
            <w:tcW w:w="11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m</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300</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147</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1.8</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 xml:space="preserve">79380.00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1.8</w:t>
            </w:r>
          </w:p>
        </w:tc>
        <w:tc>
          <w:tcPr>
            <w:tcW w:w="13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Ⅳ</w:t>
            </w:r>
          </w:p>
        </w:tc>
        <w:tc>
          <w:tcPr>
            <w:tcW w:w="11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m</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300</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259</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1.8</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 xml:space="preserve">139860.00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1.9</w:t>
            </w:r>
          </w:p>
        </w:tc>
        <w:tc>
          <w:tcPr>
            <w:tcW w:w="133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深度20m＜D≤30m</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Ⅰ</w:t>
            </w:r>
          </w:p>
        </w:tc>
        <w:tc>
          <w:tcPr>
            <w:tcW w:w="114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泥浆护壁1.8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m</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69</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1.8</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 xml:space="preserve">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1.10</w:t>
            </w:r>
          </w:p>
        </w:tc>
        <w:tc>
          <w:tcPr>
            <w:tcW w:w="13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Ⅱ</w:t>
            </w:r>
          </w:p>
        </w:tc>
        <w:tc>
          <w:tcPr>
            <w:tcW w:w="11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m</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100</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107</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1.8</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 xml:space="preserve">19260.00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1.11</w:t>
            </w:r>
          </w:p>
        </w:tc>
        <w:tc>
          <w:tcPr>
            <w:tcW w:w="13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Ⅲ</w:t>
            </w:r>
          </w:p>
        </w:tc>
        <w:tc>
          <w:tcPr>
            <w:tcW w:w="11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m</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175</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176</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1.8</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 xml:space="preserve">55440.00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1.12</w:t>
            </w:r>
          </w:p>
        </w:tc>
        <w:tc>
          <w:tcPr>
            <w:tcW w:w="13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Ⅳ</w:t>
            </w:r>
          </w:p>
        </w:tc>
        <w:tc>
          <w:tcPr>
            <w:tcW w:w="11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m</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150</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311</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1.8</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 xml:space="preserve">83970.00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1.13</w:t>
            </w:r>
          </w:p>
        </w:tc>
        <w:tc>
          <w:tcPr>
            <w:tcW w:w="133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深度30m＜D≤40m</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Ⅱ</w:t>
            </w:r>
          </w:p>
        </w:tc>
        <w:tc>
          <w:tcPr>
            <w:tcW w:w="114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泥浆护壁1.8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m</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127</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1.8</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 xml:space="preserve">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1.14</w:t>
            </w:r>
          </w:p>
        </w:tc>
        <w:tc>
          <w:tcPr>
            <w:tcW w:w="13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Ⅲ</w:t>
            </w:r>
          </w:p>
        </w:tc>
        <w:tc>
          <w:tcPr>
            <w:tcW w:w="11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m</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209</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1.8</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 xml:space="preserve">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1.15</w:t>
            </w:r>
          </w:p>
        </w:tc>
        <w:tc>
          <w:tcPr>
            <w:tcW w:w="13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Ⅳ</w:t>
            </w:r>
          </w:p>
        </w:tc>
        <w:tc>
          <w:tcPr>
            <w:tcW w:w="11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m</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368</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1.8</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 xml:space="preserve">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1.16</w:t>
            </w:r>
          </w:p>
        </w:tc>
        <w:tc>
          <w:tcPr>
            <w:tcW w:w="133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深度40m＜D≤50m</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Ⅱ</w:t>
            </w:r>
          </w:p>
        </w:tc>
        <w:tc>
          <w:tcPr>
            <w:tcW w:w="114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泥浆护壁1.8</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m</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151</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1.8</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 xml:space="preserve">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1.17</w:t>
            </w:r>
          </w:p>
        </w:tc>
        <w:tc>
          <w:tcPr>
            <w:tcW w:w="13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Ⅲ</w:t>
            </w:r>
          </w:p>
        </w:tc>
        <w:tc>
          <w:tcPr>
            <w:tcW w:w="11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m</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249</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1.8</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 xml:space="preserve">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1.18</w:t>
            </w:r>
          </w:p>
        </w:tc>
        <w:tc>
          <w:tcPr>
            <w:tcW w:w="13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Ⅳ</w:t>
            </w:r>
          </w:p>
        </w:tc>
        <w:tc>
          <w:tcPr>
            <w:tcW w:w="11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m</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439</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1.8</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 xml:space="preserve">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r>
      <w:tr>
        <w:tblPrEx>
          <w:tblCellMar>
            <w:top w:w="0" w:type="dxa"/>
            <w:left w:w="108" w:type="dxa"/>
            <w:bottom w:w="0" w:type="dxa"/>
            <w:right w:w="108" w:type="dxa"/>
          </w:tblCellMar>
        </w:tblPrEx>
        <w:trPr>
          <w:trHeight w:val="480"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05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工程勘察技术工作收费</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乙级</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比例</w:t>
            </w:r>
          </w:p>
        </w:tc>
        <w:tc>
          <w:tcPr>
            <w:tcW w:w="1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0"/>
                <w:szCs w:val="20"/>
                <w:highlight w:val="non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558540.00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（1）*100%</w:t>
            </w:r>
          </w:p>
        </w:tc>
      </w:tr>
      <w:tr>
        <w:tblPrEx>
          <w:tblCellMar>
            <w:top w:w="0" w:type="dxa"/>
            <w:left w:w="108" w:type="dxa"/>
            <w:bottom w:w="0" w:type="dxa"/>
            <w:right w:w="108" w:type="dxa"/>
          </w:tblCellMar>
        </w:tblPrEx>
        <w:trPr>
          <w:trHeight w:val="480"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（二）</w:t>
            </w:r>
          </w:p>
        </w:tc>
        <w:tc>
          <w:tcPr>
            <w:tcW w:w="205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工程勘察原位测试收费 小计</w:t>
            </w:r>
          </w:p>
        </w:tc>
        <w:tc>
          <w:tcPr>
            <w:tcW w:w="4710"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（1）+（2）</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42900.00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（1）+（2）</w:t>
            </w:r>
          </w:p>
        </w:tc>
      </w:tr>
      <w:tr>
        <w:tblPrEx>
          <w:tblCellMar>
            <w:top w:w="0" w:type="dxa"/>
            <w:left w:w="108" w:type="dxa"/>
            <w:bottom w:w="0" w:type="dxa"/>
            <w:right w:w="108" w:type="dxa"/>
          </w:tblCellMar>
        </w:tblPrEx>
        <w:trPr>
          <w:trHeight w:val="480"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w:t>
            </w:r>
          </w:p>
        </w:tc>
        <w:tc>
          <w:tcPr>
            <w:tcW w:w="205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陆上钻孔标贯实物工作收费</w:t>
            </w:r>
          </w:p>
        </w:tc>
        <w:tc>
          <w:tcPr>
            <w:tcW w:w="4710"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（1.1~1.3）小计</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21450.00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工程勘察实物收费</w:t>
            </w: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1.1</w:t>
            </w:r>
          </w:p>
        </w:tc>
        <w:tc>
          <w:tcPr>
            <w:tcW w:w="133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深度D≤20m</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Ⅰ</w:t>
            </w:r>
          </w:p>
        </w:tc>
        <w:tc>
          <w:tcPr>
            <w:tcW w:w="114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线路上作业调整系数1.3</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次</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50</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80</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 xml:space="preserve">5200.00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1.2</w:t>
            </w:r>
          </w:p>
        </w:tc>
        <w:tc>
          <w:tcPr>
            <w:tcW w:w="13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Ⅱ</w:t>
            </w:r>
          </w:p>
        </w:tc>
        <w:tc>
          <w:tcPr>
            <w:tcW w:w="11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0"/>
                <w:szCs w:val="20"/>
                <w:highlight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次</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50</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106</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 xml:space="preserve">6890.00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1.3</w:t>
            </w:r>
          </w:p>
        </w:tc>
        <w:tc>
          <w:tcPr>
            <w:tcW w:w="13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20"/>
                <w:szCs w:val="20"/>
                <w:highlight w:val="none"/>
              </w:rPr>
            </w:pP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Ⅲ</w:t>
            </w:r>
          </w:p>
        </w:tc>
        <w:tc>
          <w:tcPr>
            <w:tcW w:w="11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0"/>
                <w:szCs w:val="20"/>
                <w:highlight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次</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50</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144</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 xml:space="preserve">9360.00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r>
      <w:tr>
        <w:tblPrEx>
          <w:tblCellMar>
            <w:top w:w="0" w:type="dxa"/>
            <w:left w:w="108" w:type="dxa"/>
            <w:bottom w:w="0" w:type="dxa"/>
            <w:right w:w="108" w:type="dxa"/>
          </w:tblCellMar>
        </w:tblPrEx>
        <w:trPr>
          <w:trHeight w:val="480"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05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工程勘察技术工作收费</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乙级</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比例</w:t>
            </w:r>
          </w:p>
        </w:tc>
        <w:tc>
          <w:tcPr>
            <w:tcW w:w="1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0"/>
                <w:szCs w:val="20"/>
                <w:highlight w:val="non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21450.00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（1）*100%</w:t>
            </w:r>
          </w:p>
        </w:tc>
      </w:tr>
      <w:tr>
        <w:tblPrEx>
          <w:tblCellMar>
            <w:top w:w="0" w:type="dxa"/>
            <w:left w:w="108" w:type="dxa"/>
            <w:bottom w:w="0" w:type="dxa"/>
            <w:right w:w="108" w:type="dxa"/>
          </w:tblCellMar>
        </w:tblPrEx>
        <w:trPr>
          <w:trHeight w:val="480"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（三）</w:t>
            </w:r>
          </w:p>
        </w:tc>
        <w:tc>
          <w:tcPr>
            <w:tcW w:w="205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工程勘察取样收费 小计</w:t>
            </w:r>
          </w:p>
        </w:tc>
        <w:tc>
          <w:tcPr>
            <w:tcW w:w="4710"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（1）+（2）</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5148.00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（1）+（2）</w:t>
            </w: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w:t>
            </w:r>
          </w:p>
        </w:tc>
        <w:tc>
          <w:tcPr>
            <w:tcW w:w="205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取样实物工作收费</w:t>
            </w:r>
          </w:p>
        </w:tc>
        <w:tc>
          <w:tcPr>
            <w:tcW w:w="4710"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（1.1~1.4）小计</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2574.00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cs="宋体"/>
                <w:b/>
                <w:bCs/>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1.1</w:t>
            </w:r>
          </w:p>
        </w:tc>
        <w:tc>
          <w:tcPr>
            <w:tcW w:w="133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原状土样</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锤击法</w:t>
            </w:r>
          </w:p>
        </w:tc>
        <w:tc>
          <w:tcPr>
            <w:tcW w:w="1140"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线路上作业调整系数1.3</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件</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40 </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40</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2080.00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1.2</w:t>
            </w:r>
          </w:p>
        </w:tc>
        <w:tc>
          <w:tcPr>
            <w:tcW w:w="205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取水</w:t>
            </w:r>
          </w:p>
        </w:tc>
        <w:tc>
          <w:tcPr>
            <w:tcW w:w="11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0"/>
                <w:szCs w:val="20"/>
                <w:highlight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件</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2 </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40</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104.00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1.3</w:t>
            </w:r>
          </w:p>
        </w:tc>
        <w:tc>
          <w:tcPr>
            <w:tcW w:w="205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扰动取土</w:t>
            </w:r>
          </w:p>
        </w:tc>
        <w:tc>
          <w:tcPr>
            <w:tcW w:w="11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0"/>
                <w:szCs w:val="20"/>
                <w:highlight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件</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10 </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15</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195.00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1.4</w:t>
            </w:r>
          </w:p>
        </w:tc>
        <w:tc>
          <w:tcPr>
            <w:tcW w:w="205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取岩样</w:t>
            </w:r>
          </w:p>
        </w:tc>
        <w:tc>
          <w:tcPr>
            <w:tcW w:w="114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0"/>
                <w:szCs w:val="20"/>
                <w:highlight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件</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6 </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25</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1.3</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195.00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r>
      <w:tr>
        <w:tblPrEx>
          <w:tblCellMar>
            <w:top w:w="0" w:type="dxa"/>
            <w:left w:w="108" w:type="dxa"/>
            <w:bottom w:w="0" w:type="dxa"/>
            <w:right w:w="108" w:type="dxa"/>
          </w:tblCellMar>
        </w:tblPrEx>
        <w:trPr>
          <w:trHeight w:val="480"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05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工程勘察技术工作收费</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乙级</w:t>
            </w: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比例</w:t>
            </w:r>
          </w:p>
        </w:tc>
        <w:tc>
          <w:tcPr>
            <w:tcW w:w="1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100%</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0"/>
                <w:szCs w:val="20"/>
                <w:highlight w:val="non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2574.00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（1）*100%</w:t>
            </w:r>
          </w:p>
        </w:tc>
      </w:tr>
      <w:tr>
        <w:tblPrEx>
          <w:tblCellMar>
            <w:top w:w="0" w:type="dxa"/>
            <w:left w:w="108" w:type="dxa"/>
            <w:bottom w:w="0" w:type="dxa"/>
            <w:right w:w="108" w:type="dxa"/>
          </w:tblCellMar>
        </w:tblPrEx>
        <w:trPr>
          <w:trHeight w:val="480"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（四）</w:t>
            </w:r>
          </w:p>
        </w:tc>
        <w:tc>
          <w:tcPr>
            <w:tcW w:w="205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室内试验收费 小计</w:t>
            </w:r>
          </w:p>
        </w:tc>
        <w:tc>
          <w:tcPr>
            <w:tcW w:w="4710"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（1）+（2）</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12540.00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（1）+（2）</w:t>
            </w: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w:t>
            </w:r>
          </w:p>
        </w:tc>
        <w:tc>
          <w:tcPr>
            <w:tcW w:w="205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室内试验实物工作收费</w:t>
            </w:r>
          </w:p>
        </w:tc>
        <w:tc>
          <w:tcPr>
            <w:tcW w:w="4710"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（1.1~1.14）小计</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11400.00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cs="宋体"/>
                <w:b/>
                <w:bCs/>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1.1</w:t>
            </w:r>
          </w:p>
        </w:tc>
        <w:tc>
          <w:tcPr>
            <w:tcW w:w="205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含水率</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0"/>
                <w:szCs w:val="20"/>
                <w:highlight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次</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40 </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320.00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1.2</w:t>
            </w:r>
          </w:p>
        </w:tc>
        <w:tc>
          <w:tcPr>
            <w:tcW w:w="133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密度</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环刀法</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0"/>
                <w:szCs w:val="20"/>
                <w:highlight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次</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40 </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8</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320.00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1.3</w:t>
            </w:r>
          </w:p>
        </w:tc>
        <w:tc>
          <w:tcPr>
            <w:tcW w:w="205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比重</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0"/>
                <w:szCs w:val="20"/>
                <w:highlight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次</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40 </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19</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760.00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1.4</w:t>
            </w:r>
          </w:p>
        </w:tc>
        <w:tc>
          <w:tcPr>
            <w:tcW w:w="133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颗粒分析</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筛分法</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0"/>
                <w:szCs w:val="20"/>
                <w:highlight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次</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10 </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26</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260.00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1.5</w:t>
            </w:r>
          </w:p>
        </w:tc>
        <w:tc>
          <w:tcPr>
            <w:tcW w:w="133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液限</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圆锥仪法</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0"/>
                <w:szCs w:val="20"/>
                <w:highlight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次</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40 </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15</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600.00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1.6</w:t>
            </w:r>
          </w:p>
        </w:tc>
        <w:tc>
          <w:tcPr>
            <w:tcW w:w="205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塑限</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0"/>
                <w:szCs w:val="20"/>
                <w:highlight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次</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40 </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30</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1200.00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1.7</w:t>
            </w:r>
          </w:p>
        </w:tc>
        <w:tc>
          <w:tcPr>
            <w:tcW w:w="133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渗透</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粘、粉土</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0"/>
                <w:szCs w:val="20"/>
                <w:highlight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次</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40 </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55</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2200.00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1.8</w:t>
            </w:r>
          </w:p>
        </w:tc>
        <w:tc>
          <w:tcPr>
            <w:tcW w:w="13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18"/>
                <w:szCs w:val="18"/>
                <w:highlight w:val="none"/>
              </w:rPr>
            </w:pP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砂土</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0"/>
                <w:szCs w:val="20"/>
                <w:highlight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次</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0"/>
                <w:szCs w:val="20"/>
                <w:highlight w:val="none"/>
              </w:rPr>
            </w:pP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29</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1.9</w:t>
            </w:r>
          </w:p>
        </w:tc>
        <w:tc>
          <w:tcPr>
            <w:tcW w:w="133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压缩</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快速法</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0"/>
                <w:szCs w:val="20"/>
                <w:highlight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次</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40 </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40</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1600.00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1.10</w:t>
            </w:r>
          </w:p>
        </w:tc>
        <w:tc>
          <w:tcPr>
            <w:tcW w:w="133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直剪</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固结快剪</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0"/>
                <w:szCs w:val="20"/>
                <w:highlight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次</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40 </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71</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2840.00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1.11</w:t>
            </w:r>
          </w:p>
        </w:tc>
        <w:tc>
          <w:tcPr>
            <w:tcW w:w="133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腐蚀分析</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水简分析</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0"/>
                <w:szCs w:val="20"/>
                <w:highlight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次</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2 </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220</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440.00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1.12</w:t>
            </w:r>
          </w:p>
        </w:tc>
        <w:tc>
          <w:tcPr>
            <w:tcW w:w="13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18"/>
                <w:szCs w:val="18"/>
                <w:highlight w:val="none"/>
              </w:rPr>
            </w:pP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土腐分析</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0"/>
                <w:szCs w:val="20"/>
                <w:highlight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次</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2 </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220</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440.00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1.13</w:t>
            </w:r>
          </w:p>
        </w:tc>
        <w:tc>
          <w:tcPr>
            <w:tcW w:w="1337"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单轴抗压强度</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天然</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0"/>
                <w:szCs w:val="20"/>
                <w:highlight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次</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0"/>
                <w:szCs w:val="20"/>
                <w:highlight w:val="none"/>
              </w:rPr>
            </w:pP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47</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20"/>
                <w:szCs w:val="20"/>
                <w:highlight w:val="none"/>
              </w:rPr>
            </w:pPr>
            <w:r>
              <w:rPr>
                <w:rFonts w:hint="eastAsia" w:ascii="新宋体" w:hAnsi="新宋体" w:eastAsia="新宋体" w:cs="新宋体"/>
                <w:color w:val="auto"/>
                <w:kern w:val="0"/>
                <w:sz w:val="20"/>
                <w:szCs w:val="20"/>
                <w:highlight w:val="none"/>
                <w:lang w:bidi="ar"/>
              </w:rPr>
              <w:t>1.14</w:t>
            </w:r>
          </w:p>
        </w:tc>
        <w:tc>
          <w:tcPr>
            <w:tcW w:w="133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新宋体" w:hAnsi="新宋体" w:eastAsia="新宋体" w:cs="新宋体"/>
                <w:color w:val="auto"/>
                <w:sz w:val="18"/>
                <w:szCs w:val="18"/>
                <w:highlight w:val="none"/>
              </w:rPr>
            </w:pP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新宋体" w:hAnsi="新宋体" w:eastAsia="新宋体" w:cs="新宋体"/>
                <w:color w:val="auto"/>
                <w:sz w:val="18"/>
                <w:szCs w:val="18"/>
                <w:highlight w:val="none"/>
              </w:rPr>
            </w:pPr>
            <w:r>
              <w:rPr>
                <w:rFonts w:hint="eastAsia" w:ascii="新宋体" w:hAnsi="新宋体" w:eastAsia="新宋体" w:cs="新宋体"/>
                <w:color w:val="auto"/>
                <w:kern w:val="0"/>
                <w:sz w:val="18"/>
                <w:szCs w:val="18"/>
                <w:highlight w:val="none"/>
                <w:lang w:bidi="ar"/>
              </w:rPr>
              <w:t>饱和</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0"/>
                <w:szCs w:val="20"/>
                <w:highlight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次</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6 </w:t>
            </w:r>
          </w:p>
        </w:tc>
        <w:tc>
          <w:tcPr>
            <w:tcW w:w="103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70</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420.00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auto"/>
                <w:sz w:val="20"/>
                <w:szCs w:val="20"/>
                <w:highlight w:val="none"/>
              </w:rPr>
            </w:pP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2</w:t>
            </w:r>
          </w:p>
        </w:tc>
        <w:tc>
          <w:tcPr>
            <w:tcW w:w="205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工程勘察技术工作收费</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0"/>
                <w:szCs w:val="20"/>
                <w:highlight w:val="none"/>
              </w:rPr>
            </w:pPr>
          </w:p>
        </w:tc>
        <w:tc>
          <w:tcPr>
            <w:tcW w:w="66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比例</w:t>
            </w:r>
          </w:p>
        </w:tc>
        <w:tc>
          <w:tcPr>
            <w:tcW w:w="198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10%</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宋体"/>
                <w:color w:val="auto"/>
                <w:sz w:val="20"/>
                <w:szCs w:val="20"/>
                <w:highlight w:val="none"/>
              </w:rPr>
            </w:pP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 xml:space="preserve">1140.00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auto"/>
                <w:sz w:val="20"/>
                <w:szCs w:val="20"/>
                <w:highlight w:val="none"/>
              </w:rPr>
            </w:pPr>
            <w:r>
              <w:rPr>
                <w:rFonts w:hint="eastAsia" w:ascii="宋体" w:hAnsi="宋体" w:cs="宋体"/>
                <w:color w:val="auto"/>
                <w:kern w:val="0"/>
                <w:sz w:val="20"/>
                <w:szCs w:val="20"/>
                <w:highlight w:val="none"/>
                <w:lang w:bidi="ar"/>
              </w:rPr>
              <w:t>（1）*10%</w:t>
            </w:r>
          </w:p>
        </w:tc>
      </w:tr>
      <w:tr>
        <w:tblPrEx>
          <w:tblCellMar>
            <w:top w:w="0" w:type="dxa"/>
            <w:left w:w="108" w:type="dxa"/>
            <w:bottom w:w="0" w:type="dxa"/>
            <w:right w:w="108" w:type="dxa"/>
          </w:tblCellMar>
        </w:tblPrEx>
        <w:trPr>
          <w:trHeight w:val="285" w:hRule="atLeast"/>
        </w:trPr>
        <w:tc>
          <w:tcPr>
            <w:tcW w:w="82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（五）</w:t>
            </w:r>
          </w:p>
        </w:tc>
        <w:tc>
          <w:tcPr>
            <w:tcW w:w="2055"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岩土工程勘察费造价</w:t>
            </w:r>
          </w:p>
        </w:tc>
        <w:tc>
          <w:tcPr>
            <w:tcW w:w="4710" w:type="dxa"/>
            <w:gridSpan w:val="5"/>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（一）+（二）+（三）+（四）</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widowControl/>
              <w:jc w:val="right"/>
              <w:textAlignment w:val="center"/>
              <w:rPr>
                <w:rFonts w:hint="eastAsia" w:ascii="宋体" w:hAnsi="宋体" w:cs="宋体"/>
                <w:b/>
                <w:bCs/>
                <w:color w:val="auto"/>
                <w:sz w:val="20"/>
                <w:szCs w:val="20"/>
                <w:highlight w:val="none"/>
              </w:rPr>
            </w:pPr>
            <w:r>
              <w:rPr>
                <w:rFonts w:hint="eastAsia" w:ascii="宋体" w:hAnsi="宋体" w:cs="宋体"/>
                <w:b/>
                <w:bCs/>
                <w:color w:val="auto"/>
                <w:kern w:val="0"/>
                <w:sz w:val="20"/>
                <w:szCs w:val="20"/>
                <w:highlight w:val="none"/>
                <w:lang w:bidi="ar"/>
              </w:rPr>
              <w:t xml:space="preserve">1177668.00 </w:t>
            </w:r>
          </w:p>
        </w:tc>
        <w:tc>
          <w:tcPr>
            <w:tcW w:w="171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cs="宋体"/>
                <w:b/>
                <w:bCs/>
                <w:color w:val="auto"/>
                <w:sz w:val="20"/>
                <w:szCs w:val="20"/>
                <w:highlight w:val="none"/>
              </w:rPr>
            </w:pPr>
          </w:p>
        </w:tc>
      </w:tr>
    </w:tbl>
    <w:p>
      <w:pPr>
        <w:tabs>
          <w:tab w:val="left" w:pos="540"/>
        </w:tabs>
        <w:spacing w:after="240" w:afterLines="100" w:line="400" w:lineRule="exact"/>
        <w:rPr>
          <w:rFonts w:hint="eastAsia" w:ascii="宋体" w:hAnsi="宋体"/>
          <w:color w:val="auto"/>
          <w:sz w:val="24"/>
          <w:highlight w:val="none"/>
        </w:rPr>
      </w:pPr>
      <w:r>
        <w:rPr>
          <w:rFonts w:hint="eastAsia" w:ascii="宋体" w:hAnsi="宋体" w:cs="宋体"/>
          <w:color w:val="auto"/>
          <w:sz w:val="24"/>
          <w:szCs w:val="24"/>
          <w:highlight w:val="none"/>
        </w:rPr>
        <w:t>注：</w:t>
      </w:r>
      <w:r>
        <w:rPr>
          <w:rFonts w:ascii="宋体" w:hAnsi="宋体" w:cs="宋体"/>
          <w:color w:val="auto"/>
          <w:sz w:val="24"/>
          <w:szCs w:val="24"/>
          <w:highlight w:val="none"/>
        </w:rPr>
        <w:t>最终工程勘察费根据本项目最终方案且经招标人确认的实 际勘察内容和实物工作量按实结算，并以财政部门（或发包人）审定结果为准。</w:t>
      </w:r>
    </w:p>
    <w:p>
      <w:pPr>
        <w:tabs>
          <w:tab w:val="left" w:pos="540"/>
        </w:tabs>
        <w:spacing w:after="240" w:afterLines="100" w:line="400" w:lineRule="exact"/>
        <w:rPr>
          <w:rFonts w:hint="eastAsia" w:ascii="宋体" w:hAnsi="宋体"/>
          <w:color w:val="auto"/>
          <w:sz w:val="24"/>
          <w:highlight w:val="none"/>
        </w:rPr>
      </w:pPr>
    </w:p>
    <w:p>
      <w:pPr>
        <w:tabs>
          <w:tab w:val="left" w:pos="540"/>
        </w:tabs>
        <w:spacing w:after="240" w:afterLines="100" w:line="400" w:lineRule="exact"/>
        <w:rPr>
          <w:rFonts w:eastAsia="黑体"/>
          <w:bCs/>
          <w:color w:val="auto"/>
          <w:sz w:val="28"/>
          <w:szCs w:val="28"/>
          <w:highlight w:val="none"/>
        </w:rPr>
      </w:pPr>
      <w:r>
        <w:rPr>
          <w:rFonts w:hint="eastAsia" w:ascii="宋体" w:hAnsi="宋体"/>
          <w:color w:val="auto"/>
          <w:sz w:val="24"/>
          <w:highlight w:val="none"/>
        </w:rPr>
        <w:t>附件7：   工程设计收费基准价计算列表</w:t>
      </w:r>
    </w:p>
    <w:tbl>
      <w:tblPr>
        <w:tblStyle w:val="43"/>
        <w:tblW w:w="93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0"/>
        <w:gridCol w:w="1488"/>
        <w:gridCol w:w="844"/>
        <w:gridCol w:w="1140"/>
        <w:gridCol w:w="803"/>
        <w:gridCol w:w="1189"/>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2340" w:type="dxa"/>
            <w:vMerge w:val="restart"/>
            <w:noWrap w:val="0"/>
            <w:vAlign w:val="center"/>
          </w:tcPr>
          <w:p>
            <w:pPr>
              <w:rPr>
                <w:rFonts w:hint="eastAsia"/>
                <w:color w:val="auto"/>
                <w:sz w:val="18"/>
                <w:szCs w:val="18"/>
                <w:highlight w:val="none"/>
              </w:rPr>
            </w:pPr>
            <w:r>
              <w:rPr>
                <w:rFonts w:hint="eastAsia"/>
                <w:color w:val="auto"/>
                <w:sz w:val="18"/>
                <w:szCs w:val="18"/>
                <w:highlight w:val="none"/>
              </w:rPr>
              <w:t>基础计费参数</w:t>
            </w:r>
          </w:p>
        </w:tc>
        <w:tc>
          <w:tcPr>
            <w:tcW w:w="1488" w:type="dxa"/>
            <w:vMerge w:val="restart"/>
            <w:noWrap w:val="0"/>
            <w:vAlign w:val="center"/>
          </w:tcPr>
          <w:p>
            <w:pPr>
              <w:spacing w:line="400" w:lineRule="exact"/>
              <w:rPr>
                <w:rFonts w:hint="eastAsia"/>
                <w:color w:val="auto"/>
                <w:sz w:val="18"/>
                <w:szCs w:val="18"/>
                <w:highlight w:val="none"/>
              </w:rPr>
            </w:pPr>
            <w:r>
              <w:rPr>
                <w:rFonts w:hint="eastAsia"/>
                <w:color w:val="auto"/>
                <w:sz w:val="18"/>
                <w:szCs w:val="18"/>
                <w:highlight w:val="none"/>
              </w:rPr>
              <w:t>工程设计收费计费额（万元）</w:t>
            </w:r>
          </w:p>
        </w:tc>
        <w:tc>
          <w:tcPr>
            <w:tcW w:w="5516" w:type="dxa"/>
            <w:gridSpan w:val="5"/>
            <w:noWrap w:val="0"/>
            <w:vAlign w:val="center"/>
          </w:tcPr>
          <w:p>
            <w:pPr>
              <w:rPr>
                <w:rFonts w:hint="eastAsia"/>
                <w:color w:val="auto"/>
                <w:sz w:val="18"/>
                <w:szCs w:val="18"/>
                <w:highlight w:val="none"/>
              </w:rPr>
            </w:pPr>
            <w:r>
              <w:rPr>
                <w:rFonts w:hint="eastAsia"/>
                <w:color w:val="auto"/>
                <w:sz w:val="18"/>
                <w:szCs w:val="18"/>
                <w:highlight w:val="none"/>
              </w:rPr>
              <w:t>调整系数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340" w:type="dxa"/>
            <w:vMerge w:val="continue"/>
            <w:noWrap w:val="0"/>
            <w:vAlign w:val="center"/>
          </w:tcPr>
          <w:p>
            <w:pPr>
              <w:spacing w:line="400" w:lineRule="exact"/>
              <w:rPr>
                <w:rFonts w:hint="eastAsia"/>
                <w:color w:val="auto"/>
                <w:sz w:val="18"/>
                <w:szCs w:val="18"/>
                <w:highlight w:val="none"/>
              </w:rPr>
            </w:pPr>
          </w:p>
        </w:tc>
        <w:tc>
          <w:tcPr>
            <w:tcW w:w="1488" w:type="dxa"/>
            <w:vMerge w:val="continue"/>
            <w:noWrap w:val="0"/>
            <w:vAlign w:val="top"/>
          </w:tcPr>
          <w:p>
            <w:pPr>
              <w:rPr>
                <w:rFonts w:hint="eastAsia"/>
                <w:color w:val="auto"/>
                <w:sz w:val="18"/>
                <w:szCs w:val="18"/>
                <w:highlight w:val="none"/>
              </w:rPr>
            </w:pPr>
          </w:p>
        </w:tc>
        <w:tc>
          <w:tcPr>
            <w:tcW w:w="844" w:type="dxa"/>
            <w:noWrap w:val="0"/>
            <w:vAlign w:val="center"/>
          </w:tcPr>
          <w:p>
            <w:pPr>
              <w:rPr>
                <w:rFonts w:hint="eastAsia"/>
                <w:color w:val="auto"/>
                <w:sz w:val="18"/>
                <w:szCs w:val="18"/>
                <w:highlight w:val="none"/>
              </w:rPr>
            </w:pPr>
            <w:r>
              <w:rPr>
                <w:rFonts w:hint="eastAsia"/>
                <w:color w:val="auto"/>
                <w:sz w:val="18"/>
                <w:szCs w:val="18"/>
                <w:highlight w:val="none"/>
              </w:rPr>
              <w:t>专业调整系数</w:t>
            </w:r>
          </w:p>
        </w:tc>
        <w:tc>
          <w:tcPr>
            <w:tcW w:w="1140" w:type="dxa"/>
            <w:noWrap w:val="0"/>
            <w:vAlign w:val="center"/>
          </w:tcPr>
          <w:p>
            <w:pPr>
              <w:rPr>
                <w:rFonts w:hint="eastAsia"/>
                <w:color w:val="auto"/>
                <w:sz w:val="18"/>
                <w:szCs w:val="18"/>
                <w:highlight w:val="none"/>
              </w:rPr>
            </w:pPr>
            <w:r>
              <w:rPr>
                <w:rFonts w:hint="eastAsia"/>
                <w:color w:val="auto"/>
                <w:sz w:val="18"/>
                <w:szCs w:val="18"/>
                <w:highlight w:val="none"/>
              </w:rPr>
              <w:t>工程复杂程度调整系数</w:t>
            </w:r>
          </w:p>
        </w:tc>
        <w:tc>
          <w:tcPr>
            <w:tcW w:w="803" w:type="dxa"/>
            <w:noWrap w:val="0"/>
            <w:vAlign w:val="center"/>
          </w:tcPr>
          <w:p>
            <w:pPr>
              <w:rPr>
                <w:rFonts w:hint="eastAsia"/>
                <w:color w:val="auto"/>
                <w:sz w:val="18"/>
                <w:szCs w:val="18"/>
                <w:highlight w:val="none"/>
              </w:rPr>
            </w:pPr>
            <w:r>
              <w:rPr>
                <w:rFonts w:hint="eastAsia"/>
                <w:color w:val="auto"/>
                <w:sz w:val="18"/>
                <w:szCs w:val="18"/>
                <w:highlight w:val="none"/>
              </w:rPr>
              <w:t>附加调整系数</w:t>
            </w:r>
          </w:p>
        </w:tc>
        <w:tc>
          <w:tcPr>
            <w:tcW w:w="2729" w:type="dxa"/>
            <w:gridSpan w:val="2"/>
            <w:noWrap w:val="0"/>
            <w:vAlign w:val="center"/>
          </w:tcPr>
          <w:p>
            <w:pPr>
              <w:rPr>
                <w:rFonts w:hint="eastAsia"/>
                <w:color w:val="auto"/>
                <w:sz w:val="18"/>
                <w:szCs w:val="18"/>
                <w:highlight w:val="none"/>
              </w:rPr>
            </w:pPr>
            <w:r>
              <w:rPr>
                <w:rFonts w:hint="eastAsia"/>
                <w:color w:val="auto"/>
                <w:sz w:val="18"/>
                <w:szCs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40" w:type="dxa"/>
            <w:noWrap w:val="0"/>
            <w:vAlign w:val="center"/>
          </w:tcPr>
          <w:p>
            <w:pPr>
              <w:spacing w:line="400" w:lineRule="exact"/>
              <w:rPr>
                <w:rFonts w:hint="eastAsia"/>
                <w:color w:val="auto"/>
                <w:szCs w:val="21"/>
                <w:highlight w:val="none"/>
              </w:rPr>
            </w:pPr>
            <w:r>
              <w:rPr>
                <w:rFonts w:hint="eastAsia"/>
                <w:color w:val="auto"/>
                <w:sz w:val="18"/>
                <w:szCs w:val="18"/>
                <w:highlight w:val="none"/>
              </w:rPr>
              <w:t>序号</w:t>
            </w:r>
          </w:p>
        </w:tc>
        <w:tc>
          <w:tcPr>
            <w:tcW w:w="1488" w:type="dxa"/>
            <w:noWrap w:val="0"/>
            <w:vAlign w:val="top"/>
          </w:tcPr>
          <w:p>
            <w:pPr>
              <w:spacing w:line="400" w:lineRule="exact"/>
              <w:rPr>
                <w:rFonts w:hint="eastAsia"/>
                <w:color w:val="auto"/>
                <w:szCs w:val="21"/>
                <w:highlight w:val="none"/>
              </w:rPr>
            </w:pPr>
            <w:r>
              <w:rPr>
                <w:color w:val="auto"/>
                <w:szCs w:val="21"/>
                <w:highlight w:val="none"/>
              </w:rPr>
              <w:fldChar w:fldCharType="begin"/>
            </w:r>
            <w:r>
              <w:rPr>
                <w:color w:val="auto"/>
                <w:szCs w:val="21"/>
                <w:highlight w:val="none"/>
              </w:rPr>
              <w:instrText xml:space="preserve"> </w:instrText>
            </w:r>
            <w:r>
              <w:rPr>
                <w:rFonts w:hint="eastAsia"/>
                <w:color w:val="auto"/>
                <w:szCs w:val="21"/>
                <w:highlight w:val="none"/>
              </w:rPr>
              <w:instrText xml:space="preserve">= 1 \* GB3</w:instrText>
            </w:r>
            <w:r>
              <w:rPr>
                <w:color w:val="auto"/>
                <w:szCs w:val="21"/>
                <w:highlight w:val="none"/>
              </w:rPr>
              <w:instrText xml:space="preserve"> </w:instrText>
            </w:r>
            <w:r>
              <w:rPr>
                <w:color w:val="auto"/>
                <w:szCs w:val="21"/>
                <w:highlight w:val="none"/>
              </w:rPr>
              <w:fldChar w:fldCharType="separate"/>
            </w:r>
            <w:r>
              <w:rPr>
                <w:rFonts w:hint="eastAsia"/>
                <w:color w:val="auto"/>
                <w:szCs w:val="21"/>
                <w:highlight w:val="none"/>
              </w:rPr>
              <w:t>①</w:t>
            </w:r>
            <w:r>
              <w:rPr>
                <w:color w:val="auto"/>
                <w:szCs w:val="21"/>
                <w:highlight w:val="none"/>
              </w:rPr>
              <w:fldChar w:fldCharType="end"/>
            </w:r>
          </w:p>
        </w:tc>
        <w:tc>
          <w:tcPr>
            <w:tcW w:w="844" w:type="dxa"/>
            <w:noWrap w:val="0"/>
            <w:vAlign w:val="center"/>
          </w:tcPr>
          <w:p>
            <w:pPr>
              <w:spacing w:line="400" w:lineRule="exact"/>
              <w:rPr>
                <w:rFonts w:hint="eastAsia"/>
                <w:color w:val="auto"/>
                <w:szCs w:val="21"/>
                <w:highlight w:val="none"/>
              </w:rPr>
            </w:pPr>
            <w:r>
              <w:rPr>
                <w:color w:val="auto"/>
                <w:szCs w:val="21"/>
                <w:highlight w:val="none"/>
              </w:rPr>
              <w:fldChar w:fldCharType="begin"/>
            </w:r>
            <w:r>
              <w:rPr>
                <w:color w:val="auto"/>
                <w:szCs w:val="21"/>
                <w:highlight w:val="none"/>
              </w:rPr>
              <w:instrText xml:space="preserve"> </w:instrText>
            </w:r>
            <w:r>
              <w:rPr>
                <w:rFonts w:hint="eastAsia"/>
                <w:color w:val="auto"/>
                <w:szCs w:val="21"/>
                <w:highlight w:val="none"/>
              </w:rPr>
              <w:instrText xml:space="preserve">= 2 \* GB3</w:instrText>
            </w:r>
            <w:r>
              <w:rPr>
                <w:color w:val="auto"/>
                <w:szCs w:val="21"/>
                <w:highlight w:val="none"/>
              </w:rPr>
              <w:instrText xml:space="preserve"> </w:instrText>
            </w:r>
            <w:r>
              <w:rPr>
                <w:color w:val="auto"/>
                <w:szCs w:val="21"/>
                <w:highlight w:val="none"/>
              </w:rPr>
              <w:fldChar w:fldCharType="separate"/>
            </w:r>
            <w:r>
              <w:rPr>
                <w:rFonts w:hint="eastAsia"/>
                <w:color w:val="auto"/>
                <w:szCs w:val="21"/>
                <w:highlight w:val="none"/>
              </w:rPr>
              <w:t>②</w:t>
            </w:r>
            <w:r>
              <w:rPr>
                <w:color w:val="auto"/>
                <w:szCs w:val="21"/>
                <w:highlight w:val="none"/>
              </w:rPr>
              <w:fldChar w:fldCharType="end"/>
            </w:r>
          </w:p>
        </w:tc>
        <w:tc>
          <w:tcPr>
            <w:tcW w:w="1140" w:type="dxa"/>
            <w:noWrap w:val="0"/>
            <w:vAlign w:val="center"/>
          </w:tcPr>
          <w:p>
            <w:pPr>
              <w:spacing w:line="400" w:lineRule="exact"/>
              <w:rPr>
                <w:rFonts w:hint="eastAsia"/>
                <w:color w:val="auto"/>
                <w:szCs w:val="21"/>
                <w:highlight w:val="none"/>
              </w:rPr>
            </w:pPr>
            <w:r>
              <w:rPr>
                <w:color w:val="auto"/>
                <w:szCs w:val="21"/>
                <w:highlight w:val="none"/>
              </w:rPr>
              <w:fldChar w:fldCharType="begin"/>
            </w:r>
            <w:r>
              <w:rPr>
                <w:color w:val="auto"/>
                <w:szCs w:val="21"/>
                <w:highlight w:val="none"/>
              </w:rPr>
              <w:instrText xml:space="preserve"> </w:instrText>
            </w:r>
            <w:r>
              <w:rPr>
                <w:rFonts w:hint="eastAsia"/>
                <w:color w:val="auto"/>
                <w:szCs w:val="21"/>
                <w:highlight w:val="none"/>
              </w:rPr>
              <w:instrText xml:space="preserve">= 3 \* GB3</w:instrText>
            </w:r>
            <w:r>
              <w:rPr>
                <w:color w:val="auto"/>
                <w:szCs w:val="21"/>
                <w:highlight w:val="none"/>
              </w:rPr>
              <w:instrText xml:space="preserve"> </w:instrText>
            </w:r>
            <w:r>
              <w:rPr>
                <w:color w:val="auto"/>
                <w:szCs w:val="21"/>
                <w:highlight w:val="none"/>
              </w:rPr>
              <w:fldChar w:fldCharType="separate"/>
            </w:r>
            <w:r>
              <w:rPr>
                <w:rFonts w:hint="eastAsia"/>
                <w:color w:val="auto"/>
                <w:szCs w:val="21"/>
                <w:highlight w:val="none"/>
              </w:rPr>
              <w:t>③</w:t>
            </w:r>
            <w:r>
              <w:rPr>
                <w:color w:val="auto"/>
                <w:szCs w:val="21"/>
                <w:highlight w:val="none"/>
              </w:rPr>
              <w:fldChar w:fldCharType="end"/>
            </w:r>
          </w:p>
        </w:tc>
        <w:tc>
          <w:tcPr>
            <w:tcW w:w="803" w:type="dxa"/>
            <w:noWrap w:val="0"/>
            <w:vAlign w:val="center"/>
          </w:tcPr>
          <w:p>
            <w:pPr>
              <w:spacing w:line="400" w:lineRule="exact"/>
              <w:rPr>
                <w:rFonts w:hint="eastAsia"/>
                <w:color w:val="auto"/>
                <w:szCs w:val="21"/>
                <w:highlight w:val="none"/>
              </w:rPr>
            </w:pPr>
            <w:r>
              <w:rPr>
                <w:color w:val="auto"/>
                <w:szCs w:val="21"/>
                <w:highlight w:val="none"/>
              </w:rPr>
              <w:fldChar w:fldCharType="begin"/>
            </w:r>
            <w:r>
              <w:rPr>
                <w:color w:val="auto"/>
                <w:szCs w:val="21"/>
                <w:highlight w:val="none"/>
              </w:rPr>
              <w:instrText xml:space="preserve"> </w:instrText>
            </w:r>
            <w:r>
              <w:rPr>
                <w:rFonts w:hint="eastAsia"/>
                <w:color w:val="auto"/>
                <w:szCs w:val="21"/>
                <w:highlight w:val="none"/>
              </w:rPr>
              <w:instrText xml:space="preserve">= 4 \* GB3</w:instrText>
            </w:r>
            <w:r>
              <w:rPr>
                <w:color w:val="auto"/>
                <w:szCs w:val="21"/>
                <w:highlight w:val="none"/>
              </w:rPr>
              <w:instrText xml:space="preserve"> </w:instrText>
            </w:r>
            <w:r>
              <w:rPr>
                <w:color w:val="auto"/>
                <w:szCs w:val="21"/>
                <w:highlight w:val="none"/>
              </w:rPr>
              <w:fldChar w:fldCharType="separate"/>
            </w:r>
            <w:r>
              <w:rPr>
                <w:rFonts w:hint="eastAsia"/>
                <w:color w:val="auto"/>
                <w:szCs w:val="21"/>
                <w:highlight w:val="none"/>
              </w:rPr>
              <w:t>④</w:t>
            </w:r>
            <w:r>
              <w:rPr>
                <w:color w:val="auto"/>
                <w:szCs w:val="21"/>
                <w:highlight w:val="none"/>
              </w:rPr>
              <w:fldChar w:fldCharType="end"/>
            </w:r>
          </w:p>
        </w:tc>
        <w:tc>
          <w:tcPr>
            <w:tcW w:w="2729" w:type="dxa"/>
            <w:gridSpan w:val="2"/>
            <w:vMerge w:val="restart"/>
            <w:noWrap w:val="0"/>
            <w:vAlign w:val="center"/>
          </w:tcPr>
          <w:p>
            <w:pPr>
              <w:rPr>
                <w:rFonts w:hint="eastAsia"/>
                <w:color w:val="auto"/>
                <w:sz w:val="18"/>
                <w:szCs w:val="18"/>
                <w:highlight w:val="none"/>
              </w:rPr>
            </w:pPr>
            <w:r>
              <w:rPr>
                <w:rFonts w:hint="eastAsia"/>
                <w:color w:val="auto"/>
                <w:sz w:val="18"/>
                <w:szCs w:val="18"/>
                <w:highlight w:val="none"/>
              </w:rPr>
              <w:t>按《工程勘察设计收费标准》（2002年修订本）确定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340" w:type="dxa"/>
            <w:noWrap w:val="0"/>
            <w:vAlign w:val="center"/>
          </w:tcPr>
          <w:p>
            <w:pPr>
              <w:rPr>
                <w:rFonts w:hint="eastAsia"/>
                <w:color w:val="auto"/>
                <w:sz w:val="18"/>
                <w:szCs w:val="18"/>
                <w:highlight w:val="none"/>
              </w:rPr>
            </w:pPr>
            <w:r>
              <w:rPr>
                <w:rFonts w:hint="eastAsia"/>
                <w:color w:val="auto"/>
                <w:sz w:val="18"/>
                <w:szCs w:val="18"/>
                <w:highlight w:val="none"/>
              </w:rPr>
              <w:t>数额</w:t>
            </w:r>
          </w:p>
        </w:tc>
        <w:tc>
          <w:tcPr>
            <w:tcW w:w="1488" w:type="dxa"/>
            <w:noWrap w:val="0"/>
            <w:vAlign w:val="center"/>
          </w:tcPr>
          <w:p>
            <w:pPr>
              <w:rPr>
                <w:color w:val="auto"/>
                <w:sz w:val="18"/>
                <w:szCs w:val="18"/>
                <w:highlight w:val="none"/>
              </w:rPr>
            </w:pPr>
            <w:r>
              <w:rPr>
                <w:rFonts w:hint="eastAsia"/>
                <w:color w:val="auto"/>
                <w:sz w:val="18"/>
                <w:szCs w:val="18"/>
                <w:highlight w:val="none"/>
              </w:rPr>
              <w:t>15100.00</w:t>
            </w:r>
          </w:p>
        </w:tc>
        <w:tc>
          <w:tcPr>
            <w:tcW w:w="844" w:type="dxa"/>
            <w:noWrap w:val="0"/>
            <w:vAlign w:val="center"/>
          </w:tcPr>
          <w:p>
            <w:pPr>
              <w:rPr>
                <w:color w:val="auto"/>
                <w:sz w:val="18"/>
                <w:szCs w:val="18"/>
                <w:highlight w:val="none"/>
              </w:rPr>
            </w:pPr>
            <w:r>
              <w:rPr>
                <w:rFonts w:hint="eastAsia"/>
                <w:color w:val="auto"/>
                <w:sz w:val="18"/>
                <w:szCs w:val="18"/>
                <w:highlight w:val="none"/>
              </w:rPr>
              <w:t>1</w:t>
            </w:r>
            <w:r>
              <w:rPr>
                <w:color w:val="auto"/>
                <w:sz w:val="18"/>
                <w:szCs w:val="18"/>
                <w:highlight w:val="none"/>
              </w:rPr>
              <w:t>.</w:t>
            </w:r>
            <w:r>
              <w:rPr>
                <w:rFonts w:hint="eastAsia"/>
                <w:color w:val="auto"/>
                <w:sz w:val="18"/>
                <w:szCs w:val="18"/>
                <w:highlight w:val="none"/>
              </w:rPr>
              <w:t>2</w:t>
            </w:r>
          </w:p>
        </w:tc>
        <w:tc>
          <w:tcPr>
            <w:tcW w:w="1140" w:type="dxa"/>
            <w:noWrap w:val="0"/>
            <w:vAlign w:val="center"/>
          </w:tcPr>
          <w:p>
            <w:pPr>
              <w:rPr>
                <w:color w:val="auto"/>
                <w:sz w:val="18"/>
                <w:szCs w:val="18"/>
                <w:highlight w:val="none"/>
              </w:rPr>
            </w:pPr>
            <w:r>
              <w:rPr>
                <w:color w:val="auto"/>
                <w:sz w:val="18"/>
                <w:szCs w:val="18"/>
                <w:highlight w:val="none"/>
              </w:rPr>
              <w:t>1.</w:t>
            </w:r>
            <w:r>
              <w:rPr>
                <w:rFonts w:hint="eastAsia"/>
                <w:color w:val="auto"/>
                <w:sz w:val="18"/>
                <w:szCs w:val="18"/>
                <w:highlight w:val="none"/>
              </w:rPr>
              <w:t>0</w:t>
            </w:r>
          </w:p>
        </w:tc>
        <w:tc>
          <w:tcPr>
            <w:tcW w:w="803" w:type="dxa"/>
            <w:noWrap w:val="0"/>
            <w:vAlign w:val="center"/>
          </w:tcPr>
          <w:p>
            <w:pPr>
              <w:rPr>
                <w:rFonts w:hint="eastAsia"/>
                <w:color w:val="auto"/>
                <w:sz w:val="18"/>
                <w:szCs w:val="18"/>
                <w:highlight w:val="none"/>
              </w:rPr>
            </w:pPr>
            <w:r>
              <w:rPr>
                <w:rFonts w:hint="eastAsia"/>
                <w:color w:val="auto"/>
                <w:sz w:val="18"/>
                <w:szCs w:val="18"/>
                <w:highlight w:val="none"/>
              </w:rPr>
              <w:t>1</w:t>
            </w:r>
            <w:r>
              <w:rPr>
                <w:color w:val="auto"/>
                <w:sz w:val="18"/>
                <w:szCs w:val="18"/>
                <w:highlight w:val="none"/>
              </w:rPr>
              <w:t>.0</w:t>
            </w:r>
          </w:p>
        </w:tc>
        <w:tc>
          <w:tcPr>
            <w:tcW w:w="2729" w:type="dxa"/>
            <w:gridSpan w:val="2"/>
            <w:vMerge w:val="continue"/>
            <w:noWrap w:val="0"/>
            <w:vAlign w:val="center"/>
          </w:tcPr>
          <w:p>
            <w:pPr>
              <w:rPr>
                <w:rFonts w:hint="eastAsia"/>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44" w:type="dxa"/>
            <w:gridSpan w:val="7"/>
            <w:noWrap w:val="0"/>
            <w:vAlign w:val="center"/>
          </w:tcPr>
          <w:p>
            <w:pPr>
              <w:ind w:firstLine="541" w:firstLineChars="245"/>
              <w:rPr>
                <w:rFonts w:hint="eastAsia"/>
                <w:b/>
                <w:color w:val="auto"/>
                <w:sz w:val="22"/>
                <w:highlight w:val="none"/>
              </w:rPr>
            </w:pPr>
            <w:r>
              <w:rPr>
                <w:rFonts w:hint="eastAsia"/>
                <w:b/>
                <w:color w:val="auto"/>
                <w:sz w:val="22"/>
                <w:highlight w:val="none"/>
              </w:rPr>
              <w:t>费用项目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40" w:type="dxa"/>
            <w:noWrap w:val="0"/>
            <w:vAlign w:val="center"/>
          </w:tcPr>
          <w:p>
            <w:pPr>
              <w:rPr>
                <w:rFonts w:hint="eastAsia"/>
                <w:b/>
                <w:color w:val="auto"/>
                <w:sz w:val="18"/>
                <w:szCs w:val="18"/>
                <w:highlight w:val="none"/>
              </w:rPr>
            </w:pPr>
            <w:r>
              <w:rPr>
                <w:rFonts w:hint="eastAsia"/>
                <w:b/>
                <w:color w:val="auto"/>
                <w:sz w:val="18"/>
                <w:szCs w:val="18"/>
                <w:highlight w:val="none"/>
              </w:rPr>
              <w:t>名称</w:t>
            </w:r>
          </w:p>
        </w:tc>
        <w:tc>
          <w:tcPr>
            <w:tcW w:w="4275" w:type="dxa"/>
            <w:gridSpan w:val="4"/>
            <w:noWrap w:val="0"/>
            <w:vAlign w:val="center"/>
          </w:tcPr>
          <w:p>
            <w:pPr>
              <w:rPr>
                <w:rFonts w:hint="eastAsia"/>
                <w:b/>
                <w:color w:val="auto"/>
                <w:sz w:val="18"/>
                <w:szCs w:val="18"/>
                <w:highlight w:val="none"/>
              </w:rPr>
            </w:pPr>
            <w:r>
              <w:rPr>
                <w:rFonts w:hint="eastAsia"/>
                <w:b/>
                <w:color w:val="auto"/>
                <w:sz w:val="18"/>
                <w:szCs w:val="18"/>
                <w:highlight w:val="none"/>
              </w:rPr>
              <w:t>公式及计算</w:t>
            </w:r>
          </w:p>
        </w:tc>
        <w:tc>
          <w:tcPr>
            <w:tcW w:w="1189" w:type="dxa"/>
            <w:noWrap w:val="0"/>
            <w:vAlign w:val="center"/>
          </w:tcPr>
          <w:p>
            <w:pPr>
              <w:rPr>
                <w:rFonts w:hint="eastAsia"/>
                <w:b/>
                <w:color w:val="auto"/>
                <w:sz w:val="18"/>
                <w:szCs w:val="18"/>
                <w:highlight w:val="none"/>
              </w:rPr>
            </w:pPr>
            <w:r>
              <w:rPr>
                <w:rFonts w:hint="eastAsia"/>
                <w:b/>
                <w:color w:val="auto"/>
                <w:sz w:val="18"/>
                <w:szCs w:val="18"/>
                <w:highlight w:val="none"/>
              </w:rPr>
              <w:t>金额（万元）</w:t>
            </w:r>
          </w:p>
        </w:tc>
        <w:tc>
          <w:tcPr>
            <w:tcW w:w="1540" w:type="dxa"/>
            <w:noWrap w:val="0"/>
            <w:vAlign w:val="center"/>
          </w:tcPr>
          <w:p>
            <w:pPr>
              <w:rPr>
                <w:rFonts w:hint="eastAsia"/>
                <w:b/>
                <w:color w:val="auto"/>
                <w:sz w:val="18"/>
                <w:szCs w:val="18"/>
                <w:highlight w:val="none"/>
              </w:rPr>
            </w:pPr>
            <w:r>
              <w:rPr>
                <w:rFonts w:hint="eastAsia"/>
                <w:b/>
                <w:color w:val="auto"/>
                <w:sz w:val="18"/>
                <w:szCs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40" w:type="dxa"/>
            <w:noWrap w:val="0"/>
            <w:vAlign w:val="center"/>
          </w:tcPr>
          <w:p>
            <w:pPr>
              <w:rPr>
                <w:b/>
                <w:color w:val="auto"/>
                <w:sz w:val="18"/>
                <w:szCs w:val="18"/>
                <w:highlight w:val="none"/>
              </w:rPr>
            </w:pPr>
            <w:r>
              <w:rPr>
                <w:rFonts w:hint="eastAsia"/>
                <w:b/>
                <w:color w:val="auto"/>
                <w:sz w:val="18"/>
                <w:szCs w:val="18"/>
                <w:highlight w:val="none"/>
              </w:rPr>
              <w:t>（一）工程设计收费基价</w:t>
            </w:r>
          </w:p>
        </w:tc>
        <w:tc>
          <w:tcPr>
            <w:tcW w:w="4275" w:type="dxa"/>
            <w:gridSpan w:val="4"/>
            <w:noWrap w:val="0"/>
            <w:vAlign w:val="center"/>
          </w:tcPr>
          <w:p>
            <w:pPr>
              <w:rPr>
                <w:color w:val="auto"/>
                <w:sz w:val="18"/>
                <w:szCs w:val="18"/>
                <w:highlight w:val="none"/>
              </w:rPr>
            </w:pPr>
            <w:r>
              <w:rPr>
                <w:rFonts w:hint="eastAsia"/>
                <w:color w:val="auto"/>
                <w:sz w:val="18"/>
                <w:szCs w:val="18"/>
                <w:highlight w:val="none"/>
              </w:rPr>
              <w:t>（1）</w:t>
            </w:r>
          </w:p>
        </w:tc>
        <w:tc>
          <w:tcPr>
            <w:tcW w:w="1189" w:type="dxa"/>
            <w:noWrap w:val="0"/>
            <w:vAlign w:val="center"/>
          </w:tcPr>
          <w:p>
            <w:pPr>
              <w:rPr>
                <w:color w:val="auto"/>
                <w:sz w:val="18"/>
                <w:szCs w:val="18"/>
                <w:highlight w:val="none"/>
              </w:rPr>
            </w:pPr>
          </w:p>
        </w:tc>
        <w:tc>
          <w:tcPr>
            <w:tcW w:w="1540" w:type="dxa"/>
            <w:vMerge w:val="restart"/>
            <w:noWrap w:val="0"/>
            <w:vAlign w:val="center"/>
          </w:tcPr>
          <w:p>
            <w:pPr>
              <w:rPr>
                <w:rFonts w:hint="eastAsia"/>
                <w:color w:val="auto"/>
                <w:sz w:val="18"/>
                <w:szCs w:val="18"/>
                <w:highlight w:val="none"/>
              </w:rPr>
            </w:pPr>
            <w:r>
              <w:rPr>
                <w:rFonts w:hint="eastAsia"/>
                <w:color w:val="auto"/>
                <w:sz w:val="18"/>
                <w:szCs w:val="18"/>
                <w:highlight w:val="none"/>
              </w:rPr>
              <w:t>以</w:t>
            </w:r>
            <w:r>
              <w:rPr>
                <w:color w:val="auto"/>
                <w:sz w:val="18"/>
                <w:szCs w:val="18"/>
                <w:highlight w:val="none"/>
              </w:rPr>
              <w:fldChar w:fldCharType="begin"/>
            </w:r>
            <w:r>
              <w:rPr>
                <w:color w:val="auto"/>
                <w:sz w:val="18"/>
                <w:szCs w:val="18"/>
                <w:highlight w:val="none"/>
              </w:rPr>
              <w:instrText xml:space="preserve"> </w:instrText>
            </w:r>
            <w:r>
              <w:rPr>
                <w:rFonts w:hint="eastAsia"/>
                <w:color w:val="auto"/>
                <w:sz w:val="18"/>
                <w:szCs w:val="18"/>
                <w:highlight w:val="none"/>
              </w:rPr>
              <w:instrText xml:space="preserve">= 1 \* GB3</w:instrText>
            </w:r>
            <w:r>
              <w:rPr>
                <w:color w:val="auto"/>
                <w:sz w:val="18"/>
                <w:szCs w:val="18"/>
                <w:highlight w:val="none"/>
              </w:rPr>
              <w:instrText xml:space="preserve"> </w:instrText>
            </w:r>
            <w:r>
              <w:rPr>
                <w:color w:val="auto"/>
                <w:sz w:val="18"/>
                <w:szCs w:val="18"/>
                <w:highlight w:val="none"/>
              </w:rPr>
              <w:fldChar w:fldCharType="separate"/>
            </w:r>
            <w:r>
              <w:rPr>
                <w:rFonts w:hint="eastAsia"/>
                <w:color w:val="auto"/>
                <w:sz w:val="18"/>
                <w:szCs w:val="18"/>
                <w:highlight w:val="none"/>
              </w:rPr>
              <w:t>①</w:t>
            </w:r>
            <w:r>
              <w:rPr>
                <w:color w:val="auto"/>
                <w:sz w:val="18"/>
                <w:szCs w:val="18"/>
                <w:highlight w:val="none"/>
              </w:rPr>
              <w:fldChar w:fldCharType="end"/>
            </w:r>
            <w:r>
              <w:rPr>
                <w:rFonts w:hint="eastAsia"/>
                <w:color w:val="auto"/>
                <w:sz w:val="18"/>
                <w:szCs w:val="18"/>
                <w:highlight w:val="none"/>
              </w:rPr>
              <w:t>为基数，按《工程勘察设计收费标准》（2002年修订本）计取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2340" w:type="dxa"/>
            <w:noWrap w:val="0"/>
            <w:vAlign w:val="center"/>
          </w:tcPr>
          <w:p>
            <w:pPr>
              <w:rPr>
                <w:color w:val="auto"/>
                <w:sz w:val="18"/>
                <w:szCs w:val="18"/>
                <w:highlight w:val="none"/>
              </w:rPr>
            </w:pPr>
            <w:r>
              <w:rPr>
                <w:rFonts w:hint="eastAsia"/>
                <w:color w:val="auto"/>
                <w:sz w:val="18"/>
                <w:szCs w:val="18"/>
                <w:highlight w:val="none"/>
              </w:rPr>
              <w:t>（1）工程设计收费基价1</w:t>
            </w:r>
          </w:p>
        </w:tc>
        <w:tc>
          <w:tcPr>
            <w:tcW w:w="4275" w:type="dxa"/>
            <w:gridSpan w:val="4"/>
            <w:noWrap w:val="0"/>
            <w:vAlign w:val="center"/>
          </w:tcPr>
          <w:p>
            <w:pPr>
              <w:rPr>
                <w:color w:val="auto"/>
                <w:sz w:val="18"/>
                <w:szCs w:val="18"/>
                <w:highlight w:val="none"/>
              </w:rPr>
            </w:pPr>
            <w:r>
              <w:rPr>
                <w:rFonts w:hint="eastAsia" w:ascii="宋体" w:hAnsi="宋体"/>
                <w:color w:val="auto"/>
                <w:sz w:val="18"/>
                <w:szCs w:val="18"/>
                <w:highlight w:val="none"/>
              </w:rPr>
              <w:t>304.8</w:t>
            </w:r>
            <w:r>
              <w:rPr>
                <w:rFonts w:ascii="宋体" w:hAnsi="宋体"/>
                <w:color w:val="auto"/>
                <w:sz w:val="18"/>
                <w:szCs w:val="18"/>
                <w:highlight w:val="none"/>
              </w:rPr>
              <w:t>+(</w:t>
            </w:r>
            <w:r>
              <w:rPr>
                <w:rFonts w:hint="eastAsia" w:ascii="宋体" w:hAnsi="宋体"/>
                <w:color w:val="auto"/>
                <w:sz w:val="18"/>
                <w:szCs w:val="18"/>
                <w:highlight w:val="none"/>
              </w:rPr>
              <w:t>15100</w:t>
            </w:r>
            <w:r>
              <w:rPr>
                <w:rFonts w:ascii="宋体" w:hAnsi="宋体"/>
                <w:color w:val="auto"/>
                <w:sz w:val="18"/>
                <w:szCs w:val="18"/>
                <w:highlight w:val="none"/>
              </w:rPr>
              <w:t>-</w:t>
            </w:r>
            <w:r>
              <w:rPr>
                <w:rFonts w:hint="eastAsia" w:ascii="宋体" w:hAnsi="宋体"/>
                <w:color w:val="auto"/>
                <w:sz w:val="18"/>
                <w:szCs w:val="18"/>
                <w:highlight w:val="none"/>
              </w:rPr>
              <w:t>10000</w:t>
            </w:r>
            <w:r>
              <w:rPr>
                <w:rFonts w:ascii="宋体" w:hAnsi="宋体"/>
                <w:color w:val="auto"/>
                <w:sz w:val="18"/>
                <w:szCs w:val="18"/>
                <w:highlight w:val="none"/>
              </w:rPr>
              <w:t>)*</w:t>
            </w:r>
            <w:r>
              <w:rPr>
                <w:rFonts w:hint="eastAsia" w:ascii="宋体" w:hAnsi="宋体"/>
                <w:color w:val="auto"/>
                <w:sz w:val="18"/>
                <w:szCs w:val="18"/>
                <w:highlight w:val="none"/>
              </w:rPr>
              <w:t>(566.8-304.8</w:t>
            </w:r>
            <w:r>
              <w:rPr>
                <w:rFonts w:ascii="宋体" w:hAnsi="宋体"/>
                <w:color w:val="auto"/>
                <w:sz w:val="18"/>
                <w:szCs w:val="18"/>
                <w:highlight w:val="none"/>
              </w:rPr>
              <w:t>)/(</w:t>
            </w:r>
            <w:r>
              <w:rPr>
                <w:rFonts w:hint="eastAsia" w:ascii="宋体" w:hAnsi="宋体"/>
                <w:color w:val="auto"/>
                <w:sz w:val="18"/>
                <w:szCs w:val="18"/>
                <w:highlight w:val="none"/>
              </w:rPr>
              <w:t>20000</w:t>
            </w:r>
            <w:r>
              <w:rPr>
                <w:rFonts w:ascii="宋体" w:hAnsi="宋体"/>
                <w:color w:val="auto"/>
                <w:sz w:val="18"/>
                <w:szCs w:val="18"/>
                <w:highlight w:val="none"/>
              </w:rPr>
              <w:t>-</w:t>
            </w:r>
            <w:r>
              <w:rPr>
                <w:rFonts w:hint="eastAsia" w:ascii="宋体" w:hAnsi="宋体"/>
                <w:color w:val="auto"/>
                <w:sz w:val="18"/>
                <w:szCs w:val="18"/>
                <w:highlight w:val="none"/>
              </w:rPr>
              <w:t>10000</w:t>
            </w:r>
            <w:r>
              <w:rPr>
                <w:rFonts w:ascii="宋体" w:hAnsi="宋体"/>
                <w:color w:val="auto"/>
                <w:sz w:val="18"/>
                <w:szCs w:val="18"/>
                <w:highlight w:val="none"/>
              </w:rPr>
              <w:t>)</w:t>
            </w:r>
          </w:p>
        </w:tc>
        <w:tc>
          <w:tcPr>
            <w:tcW w:w="1189" w:type="dxa"/>
            <w:noWrap w:val="0"/>
            <w:vAlign w:val="center"/>
          </w:tcPr>
          <w:p>
            <w:pPr>
              <w:rPr>
                <w:color w:val="auto"/>
                <w:sz w:val="18"/>
                <w:szCs w:val="18"/>
                <w:highlight w:val="none"/>
              </w:rPr>
            </w:pPr>
            <w:r>
              <w:rPr>
                <w:rFonts w:hint="eastAsia"/>
                <w:color w:val="auto"/>
                <w:sz w:val="18"/>
                <w:szCs w:val="18"/>
                <w:highlight w:val="none"/>
              </w:rPr>
              <w:t>438.42</w:t>
            </w:r>
          </w:p>
        </w:tc>
        <w:tc>
          <w:tcPr>
            <w:tcW w:w="1540" w:type="dxa"/>
            <w:vMerge w:val="continue"/>
            <w:noWrap w:val="0"/>
            <w:vAlign w:val="center"/>
          </w:tcPr>
          <w:p>
            <w:pPr>
              <w:rPr>
                <w:rFonts w:hint="eastAsia"/>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40" w:type="dxa"/>
            <w:noWrap w:val="0"/>
            <w:vAlign w:val="center"/>
          </w:tcPr>
          <w:p>
            <w:pPr>
              <w:rPr>
                <w:color w:val="auto"/>
                <w:sz w:val="18"/>
                <w:szCs w:val="18"/>
                <w:highlight w:val="none"/>
              </w:rPr>
            </w:pPr>
            <w:r>
              <w:rPr>
                <w:rFonts w:hint="eastAsia"/>
                <w:color w:val="auto"/>
                <w:sz w:val="18"/>
                <w:szCs w:val="18"/>
                <w:highlight w:val="none"/>
              </w:rPr>
              <w:t>（2）工程设计收费基价2</w:t>
            </w:r>
          </w:p>
        </w:tc>
        <w:tc>
          <w:tcPr>
            <w:tcW w:w="4275" w:type="dxa"/>
            <w:gridSpan w:val="4"/>
            <w:noWrap w:val="0"/>
            <w:vAlign w:val="center"/>
          </w:tcPr>
          <w:p>
            <w:pPr>
              <w:rPr>
                <w:color w:val="auto"/>
                <w:sz w:val="18"/>
                <w:szCs w:val="18"/>
                <w:highlight w:val="none"/>
              </w:rPr>
            </w:pPr>
          </w:p>
        </w:tc>
        <w:tc>
          <w:tcPr>
            <w:tcW w:w="1189" w:type="dxa"/>
            <w:noWrap w:val="0"/>
            <w:vAlign w:val="center"/>
          </w:tcPr>
          <w:p>
            <w:pPr>
              <w:rPr>
                <w:color w:val="auto"/>
                <w:sz w:val="18"/>
                <w:szCs w:val="18"/>
                <w:highlight w:val="none"/>
              </w:rPr>
            </w:pPr>
          </w:p>
        </w:tc>
        <w:tc>
          <w:tcPr>
            <w:tcW w:w="1540" w:type="dxa"/>
            <w:vMerge w:val="continue"/>
            <w:noWrap w:val="0"/>
            <w:vAlign w:val="center"/>
          </w:tcPr>
          <w:p>
            <w:pPr>
              <w:rPr>
                <w:rFonts w:hint="eastAsia"/>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40" w:type="dxa"/>
            <w:noWrap w:val="0"/>
            <w:vAlign w:val="center"/>
          </w:tcPr>
          <w:p>
            <w:pPr>
              <w:rPr>
                <w:b/>
                <w:color w:val="auto"/>
                <w:sz w:val="18"/>
                <w:szCs w:val="18"/>
                <w:highlight w:val="none"/>
              </w:rPr>
            </w:pPr>
            <w:r>
              <w:rPr>
                <w:rFonts w:hint="eastAsia"/>
                <w:b/>
                <w:color w:val="auto"/>
                <w:sz w:val="18"/>
                <w:szCs w:val="18"/>
                <w:highlight w:val="none"/>
              </w:rPr>
              <w:t>（二）基本设计收费</w:t>
            </w:r>
          </w:p>
        </w:tc>
        <w:tc>
          <w:tcPr>
            <w:tcW w:w="4275" w:type="dxa"/>
            <w:gridSpan w:val="4"/>
            <w:noWrap w:val="0"/>
            <w:vAlign w:val="center"/>
          </w:tcPr>
          <w:p>
            <w:pPr>
              <w:rPr>
                <w:color w:val="auto"/>
                <w:sz w:val="18"/>
                <w:szCs w:val="18"/>
                <w:highlight w:val="none"/>
              </w:rPr>
            </w:pPr>
            <w:r>
              <w:rPr>
                <w:rFonts w:hint="eastAsia"/>
                <w:color w:val="auto"/>
                <w:sz w:val="18"/>
                <w:szCs w:val="18"/>
                <w:highlight w:val="none"/>
              </w:rPr>
              <w:t>（一）</w:t>
            </w:r>
            <w:r>
              <w:rPr>
                <w:rFonts w:hint="eastAsia" w:ascii="宋体" w:hAnsi="宋体"/>
                <w:color w:val="auto"/>
                <w:sz w:val="18"/>
                <w:szCs w:val="18"/>
                <w:highlight w:val="none"/>
              </w:rPr>
              <w:t>Ⅹ</w:t>
            </w:r>
            <w:r>
              <w:rPr>
                <w:color w:val="auto"/>
                <w:szCs w:val="21"/>
                <w:highlight w:val="none"/>
              </w:rPr>
              <w:fldChar w:fldCharType="begin"/>
            </w:r>
            <w:r>
              <w:rPr>
                <w:color w:val="auto"/>
                <w:szCs w:val="21"/>
                <w:highlight w:val="none"/>
              </w:rPr>
              <w:instrText xml:space="preserve"> </w:instrText>
            </w:r>
            <w:r>
              <w:rPr>
                <w:rFonts w:hint="eastAsia"/>
                <w:color w:val="auto"/>
                <w:szCs w:val="21"/>
                <w:highlight w:val="none"/>
              </w:rPr>
              <w:instrText xml:space="preserve">= 2 \* GB3</w:instrText>
            </w:r>
            <w:r>
              <w:rPr>
                <w:color w:val="auto"/>
                <w:szCs w:val="21"/>
                <w:highlight w:val="none"/>
              </w:rPr>
              <w:instrText xml:space="preserve"> </w:instrText>
            </w:r>
            <w:r>
              <w:rPr>
                <w:color w:val="auto"/>
                <w:szCs w:val="21"/>
                <w:highlight w:val="none"/>
              </w:rPr>
              <w:fldChar w:fldCharType="separate"/>
            </w:r>
            <w:r>
              <w:rPr>
                <w:rFonts w:hint="eastAsia"/>
                <w:color w:val="auto"/>
                <w:szCs w:val="21"/>
                <w:highlight w:val="none"/>
              </w:rPr>
              <w:t>②</w:t>
            </w:r>
            <w:r>
              <w:rPr>
                <w:color w:val="auto"/>
                <w:szCs w:val="21"/>
                <w:highlight w:val="none"/>
              </w:rPr>
              <w:fldChar w:fldCharType="end"/>
            </w:r>
            <w:r>
              <w:rPr>
                <w:rFonts w:hint="eastAsia" w:ascii="宋体" w:hAnsi="宋体"/>
                <w:color w:val="auto"/>
                <w:sz w:val="18"/>
                <w:szCs w:val="18"/>
                <w:highlight w:val="none"/>
              </w:rPr>
              <w:t>Ⅹ</w:t>
            </w:r>
            <w:r>
              <w:rPr>
                <w:color w:val="auto"/>
                <w:szCs w:val="21"/>
                <w:highlight w:val="none"/>
              </w:rPr>
              <w:fldChar w:fldCharType="begin"/>
            </w:r>
            <w:r>
              <w:rPr>
                <w:color w:val="auto"/>
                <w:szCs w:val="21"/>
                <w:highlight w:val="none"/>
              </w:rPr>
              <w:instrText xml:space="preserve"> </w:instrText>
            </w:r>
            <w:r>
              <w:rPr>
                <w:rFonts w:hint="eastAsia"/>
                <w:color w:val="auto"/>
                <w:szCs w:val="21"/>
                <w:highlight w:val="none"/>
              </w:rPr>
              <w:instrText xml:space="preserve">= 3 \* GB3</w:instrText>
            </w:r>
            <w:r>
              <w:rPr>
                <w:color w:val="auto"/>
                <w:szCs w:val="21"/>
                <w:highlight w:val="none"/>
              </w:rPr>
              <w:instrText xml:space="preserve"> </w:instrText>
            </w:r>
            <w:r>
              <w:rPr>
                <w:color w:val="auto"/>
                <w:szCs w:val="21"/>
                <w:highlight w:val="none"/>
              </w:rPr>
              <w:fldChar w:fldCharType="separate"/>
            </w:r>
            <w:r>
              <w:rPr>
                <w:rFonts w:hint="eastAsia"/>
                <w:color w:val="auto"/>
                <w:szCs w:val="21"/>
                <w:highlight w:val="none"/>
              </w:rPr>
              <w:t>③</w:t>
            </w:r>
            <w:r>
              <w:rPr>
                <w:color w:val="auto"/>
                <w:szCs w:val="21"/>
                <w:highlight w:val="none"/>
              </w:rPr>
              <w:fldChar w:fldCharType="end"/>
            </w:r>
            <w:r>
              <w:rPr>
                <w:rFonts w:hint="eastAsia" w:ascii="宋体" w:hAnsi="宋体"/>
                <w:color w:val="auto"/>
                <w:sz w:val="18"/>
                <w:szCs w:val="18"/>
                <w:highlight w:val="none"/>
              </w:rPr>
              <w:t>Ⅹ</w:t>
            </w:r>
            <w:r>
              <w:rPr>
                <w:color w:val="auto"/>
                <w:szCs w:val="21"/>
                <w:highlight w:val="none"/>
              </w:rPr>
              <w:fldChar w:fldCharType="begin"/>
            </w:r>
            <w:r>
              <w:rPr>
                <w:color w:val="auto"/>
                <w:szCs w:val="21"/>
                <w:highlight w:val="none"/>
              </w:rPr>
              <w:instrText xml:space="preserve"> </w:instrText>
            </w:r>
            <w:r>
              <w:rPr>
                <w:rFonts w:hint="eastAsia"/>
                <w:color w:val="auto"/>
                <w:szCs w:val="21"/>
                <w:highlight w:val="none"/>
              </w:rPr>
              <w:instrText xml:space="preserve">= 4 \* GB3</w:instrText>
            </w:r>
            <w:r>
              <w:rPr>
                <w:color w:val="auto"/>
                <w:szCs w:val="21"/>
                <w:highlight w:val="none"/>
              </w:rPr>
              <w:instrText xml:space="preserve"> </w:instrText>
            </w:r>
            <w:r>
              <w:rPr>
                <w:color w:val="auto"/>
                <w:szCs w:val="21"/>
                <w:highlight w:val="none"/>
              </w:rPr>
              <w:fldChar w:fldCharType="separate"/>
            </w:r>
            <w:r>
              <w:rPr>
                <w:rFonts w:hint="eastAsia"/>
                <w:color w:val="auto"/>
                <w:szCs w:val="21"/>
                <w:highlight w:val="none"/>
              </w:rPr>
              <w:t>④</w:t>
            </w:r>
            <w:r>
              <w:rPr>
                <w:color w:val="auto"/>
                <w:szCs w:val="21"/>
                <w:highlight w:val="none"/>
              </w:rPr>
              <w:fldChar w:fldCharType="end"/>
            </w:r>
          </w:p>
        </w:tc>
        <w:tc>
          <w:tcPr>
            <w:tcW w:w="1189" w:type="dxa"/>
            <w:noWrap w:val="0"/>
            <w:vAlign w:val="center"/>
          </w:tcPr>
          <w:p>
            <w:pPr>
              <w:rPr>
                <w:color w:val="auto"/>
                <w:sz w:val="18"/>
                <w:szCs w:val="18"/>
                <w:highlight w:val="none"/>
              </w:rPr>
            </w:pPr>
            <w:r>
              <w:rPr>
                <w:rFonts w:hint="eastAsia"/>
                <w:color w:val="auto"/>
                <w:sz w:val="18"/>
                <w:szCs w:val="18"/>
                <w:highlight w:val="none"/>
              </w:rPr>
              <w:t>526.1040</w:t>
            </w:r>
          </w:p>
        </w:tc>
        <w:tc>
          <w:tcPr>
            <w:tcW w:w="1540" w:type="dxa"/>
            <w:noWrap w:val="0"/>
            <w:vAlign w:val="center"/>
          </w:tcPr>
          <w:p>
            <w:pPr>
              <w:rPr>
                <w:rFonts w:hint="eastAsia"/>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40" w:type="dxa"/>
            <w:noWrap w:val="0"/>
            <w:vAlign w:val="center"/>
          </w:tcPr>
          <w:p>
            <w:pPr>
              <w:rPr>
                <w:b/>
                <w:color w:val="auto"/>
                <w:sz w:val="18"/>
                <w:szCs w:val="18"/>
                <w:highlight w:val="none"/>
              </w:rPr>
            </w:pPr>
            <w:r>
              <w:rPr>
                <w:rFonts w:hint="eastAsia"/>
                <w:b/>
                <w:color w:val="auto"/>
                <w:sz w:val="18"/>
                <w:szCs w:val="18"/>
                <w:highlight w:val="none"/>
              </w:rPr>
              <w:t>（三）其他设计收费</w:t>
            </w:r>
          </w:p>
        </w:tc>
        <w:tc>
          <w:tcPr>
            <w:tcW w:w="4275" w:type="dxa"/>
            <w:gridSpan w:val="4"/>
            <w:noWrap w:val="0"/>
            <w:vAlign w:val="center"/>
          </w:tcPr>
          <w:p>
            <w:pPr>
              <w:rPr>
                <w:color w:val="auto"/>
                <w:sz w:val="18"/>
                <w:szCs w:val="18"/>
                <w:highlight w:val="none"/>
              </w:rPr>
            </w:pPr>
          </w:p>
        </w:tc>
        <w:tc>
          <w:tcPr>
            <w:tcW w:w="1189" w:type="dxa"/>
            <w:noWrap w:val="0"/>
            <w:vAlign w:val="center"/>
          </w:tcPr>
          <w:p>
            <w:pPr>
              <w:rPr>
                <w:color w:val="auto"/>
                <w:sz w:val="18"/>
                <w:szCs w:val="18"/>
                <w:highlight w:val="none"/>
              </w:rPr>
            </w:pPr>
            <w:r>
              <w:rPr>
                <w:rFonts w:hint="eastAsia"/>
                <w:color w:val="auto"/>
                <w:sz w:val="18"/>
                <w:szCs w:val="18"/>
                <w:highlight w:val="none"/>
              </w:rPr>
              <w:t>0</w:t>
            </w:r>
            <w:r>
              <w:rPr>
                <w:color w:val="auto"/>
                <w:sz w:val="18"/>
                <w:szCs w:val="18"/>
                <w:highlight w:val="none"/>
              </w:rPr>
              <w:t>.00</w:t>
            </w:r>
          </w:p>
        </w:tc>
        <w:tc>
          <w:tcPr>
            <w:tcW w:w="1540" w:type="dxa"/>
            <w:vMerge w:val="restart"/>
            <w:noWrap w:val="0"/>
            <w:vAlign w:val="center"/>
          </w:tcPr>
          <w:p>
            <w:pPr>
              <w:rPr>
                <w:rFonts w:hint="eastAsia"/>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40" w:type="dxa"/>
            <w:noWrap w:val="0"/>
            <w:vAlign w:val="center"/>
          </w:tcPr>
          <w:p>
            <w:pPr>
              <w:rPr>
                <w:color w:val="auto"/>
                <w:sz w:val="18"/>
                <w:szCs w:val="18"/>
                <w:highlight w:val="none"/>
              </w:rPr>
            </w:pPr>
            <w:r>
              <w:rPr>
                <w:rFonts w:hint="eastAsia"/>
                <w:color w:val="auto"/>
                <w:sz w:val="18"/>
                <w:szCs w:val="18"/>
                <w:highlight w:val="none"/>
              </w:rPr>
              <w:t>（1）绿建设计费</w:t>
            </w:r>
          </w:p>
        </w:tc>
        <w:tc>
          <w:tcPr>
            <w:tcW w:w="4275" w:type="dxa"/>
            <w:gridSpan w:val="4"/>
            <w:noWrap w:val="0"/>
            <w:vAlign w:val="center"/>
          </w:tcPr>
          <w:p>
            <w:pPr>
              <w:rPr>
                <w:color w:val="auto"/>
                <w:sz w:val="18"/>
                <w:szCs w:val="18"/>
                <w:highlight w:val="none"/>
              </w:rPr>
            </w:pPr>
          </w:p>
        </w:tc>
        <w:tc>
          <w:tcPr>
            <w:tcW w:w="1189" w:type="dxa"/>
            <w:noWrap w:val="0"/>
            <w:vAlign w:val="center"/>
          </w:tcPr>
          <w:p>
            <w:pPr>
              <w:rPr>
                <w:color w:val="auto"/>
                <w:sz w:val="18"/>
                <w:szCs w:val="18"/>
                <w:highlight w:val="none"/>
              </w:rPr>
            </w:pPr>
          </w:p>
        </w:tc>
        <w:tc>
          <w:tcPr>
            <w:tcW w:w="1540" w:type="dxa"/>
            <w:vMerge w:val="continue"/>
            <w:noWrap w:val="0"/>
            <w:vAlign w:val="center"/>
          </w:tcPr>
          <w:p>
            <w:pPr>
              <w:rPr>
                <w:rFonts w:hint="eastAsia"/>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40" w:type="dxa"/>
            <w:noWrap w:val="0"/>
            <w:vAlign w:val="center"/>
          </w:tcPr>
          <w:p>
            <w:pPr>
              <w:rPr>
                <w:b/>
                <w:color w:val="auto"/>
                <w:sz w:val="18"/>
                <w:szCs w:val="18"/>
                <w:highlight w:val="none"/>
              </w:rPr>
            </w:pPr>
            <w:r>
              <w:rPr>
                <w:rFonts w:hint="eastAsia"/>
                <w:b/>
                <w:color w:val="auto"/>
                <w:sz w:val="18"/>
                <w:szCs w:val="18"/>
                <w:highlight w:val="none"/>
              </w:rPr>
              <w:t>（四）工程设计收费基准价</w:t>
            </w:r>
          </w:p>
        </w:tc>
        <w:tc>
          <w:tcPr>
            <w:tcW w:w="4275" w:type="dxa"/>
            <w:gridSpan w:val="4"/>
            <w:noWrap w:val="0"/>
            <w:vAlign w:val="center"/>
          </w:tcPr>
          <w:p>
            <w:pPr>
              <w:rPr>
                <w:color w:val="auto"/>
                <w:sz w:val="18"/>
                <w:szCs w:val="18"/>
                <w:highlight w:val="none"/>
              </w:rPr>
            </w:pPr>
            <w:r>
              <w:rPr>
                <w:rFonts w:hint="eastAsia"/>
                <w:color w:val="auto"/>
                <w:sz w:val="18"/>
                <w:szCs w:val="18"/>
                <w:highlight w:val="none"/>
              </w:rPr>
              <w:t>（二）+（三）</w:t>
            </w:r>
          </w:p>
        </w:tc>
        <w:tc>
          <w:tcPr>
            <w:tcW w:w="1189" w:type="dxa"/>
            <w:noWrap w:val="0"/>
            <w:vAlign w:val="center"/>
          </w:tcPr>
          <w:p>
            <w:pPr>
              <w:rPr>
                <w:color w:val="auto"/>
                <w:sz w:val="18"/>
                <w:szCs w:val="18"/>
                <w:highlight w:val="none"/>
              </w:rPr>
            </w:pPr>
            <w:r>
              <w:rPr>
                <w:rFonts w:hint="eastAsia"/>
                <w:color w:val="auto"/>
                <w:sz w:val="18"/>
                <w:szCs w:val="18"/>
                <w:highlight w:val="none"/>
              </w:rPr>
              <w:t>526.1040</w:t>
            </w:r>
          </w:p>
        </w:tc>
        <w:tc>
          <w:tcPr>
            <w:tcW w:w="1540" w:type="dxa"/>
            <w:vMerge w:val="restart"/>
            <w:noWrap w:val="0"/>
            <w:vAlign w:val="center"/>
          </w:tcPr>
          <w:p>
            <w:pPr>
              <w:rPr>
                <w:rFonts w:hint="eastAsia"/>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40" w:type="dxa"/>
            <w:noWrap w:val="0"/>
            <w:vAlign w:val="center"/>
          </w:tcPr>
          <w:p>
            <w:pPr>
              <w:rPr>
                <w:color w:val="auto"/>
                <w:sz w:val="18"/>
                <w:szCs w:val="18"/>
                <w:highlight w:val="none"/>
              </w:rPr>
            </w:pPr>
            <w:r>
              <w:rPr>
                <w:b/>
                <w:color w:val="auto"/>
                <w:sz w:val="18"/>
                <w:szCs w:val="18"/>
                <w:highlight w:val="none"/>
              </w:rPr>
              <w:t>（五）</w:t>
            </w:r>
            <w:r>
              <w:rPr>
                <w:rFonts w:hint="eastAsia"/>
                <w:b/>
                <w:color w:val="auto"/>
                <w:sz w:val="18"/>
                <w:szCs w:val="18"/>
                <w:highlight w:val="none"/>
              </w:rPr>
              <w:t>最高限价（下浮20%）</w:t>
            </w:r>
          </w:p>
        </w:tc>
        <w:tc>
          <w:tcPr>
            <w:tcW w:w="4275" w:type="dxa"/>
            <w:gridSpan w:val="4"/>
            <w:noWrap w:val="0"/>
            <w:vAlign w:val="center"/>
          </w:tcPr>
          <w:p>
            <w:pPr>
              <w:rPr>
                <w:rFonts w:hint="eastAsia" w:eastAsia="宋体"/>
                <w:color w:val="auto"/>
                <w:sz w:val="18"/>
                <w:szCs w:val="18"/>
                <w:highlight w:val="none"/>
                <w:lang w:val="en-US" w:eastAsia="zh-CN"/>
              </w:rPr>
            </w:pPr>
            <w:r>
              <w:rPr>
                <w:rFonts w:ascii="宋体" w:hAnsi="宋体"/>
                <w:color w:val="auto"/>
                <w:sz w:val="18"/>
                <w:szCs w:val="18"/>
                <w:highlight w:val="none"/>
              </w:rPr>
              <w:t>（四）×（</w:t>
            </w:r>
            <w:r>
              <w:rPr>
                <w:rFonts w:hint="eastAsia" w:ascii="宋体" w:hAnsi="宋体"/>
                <w:color w:val="auto"/>
                <w:szCs w:val="21"/>
                <w:highlight w:val="none"/>
                <w:lang w:val="en-US" w:eastAsia="zh-CN"/>
              </w:rPr>
              <w:t>1-</w:t>
            </w:r>
            <w:r>
              <w:rPr>
                <w:rFonts w:ascii="宋体" w:hAnsi="宋体"/>
                <w:color w:val="auto"/>
                <w:szCs w:val="21"/>
                <w:highlight w:val="none"/>
                <w:lang w:eastAsia="zh-Hans"/>
              </w:rPr>
              <w:t>20%</w:t>
            </w:r>
            <w:r>
              <w:rPr>
                <w:rFonts w:hint="eastAsia" w:ascii="宋体" w:hAnsi="宋体"/>
                <w:color w:val="auto"/>
                <w:szCs w:val="21"/>
                <w:highlight w:val="none"/>
                <w:lang w:eastAsia="zh-CN"/>
              </w:rPr>
              <w:t>）</w:t>
            </w:r>
          </w:p>
        </w:tc>
        <w:tc>
          <w:tcPr>
            <w:tcW w:w="1189" w:type="dxa"/>
            <w:noWrap w:val="0"/>
            <w:vAlign w:val="center"/>
          </w:tcPr>
          <w:p>
            <w:pPr>
              <w:rPr>
                <w:color w:val="auto"/>
                <w:sz w:val="18"/>
                <w:szCs w:val="18"/>
                <w:highlight w:val="none"/>
              </w:rPr>
            </w:pPr>
            <w:r>
              <w:rPr>
                <w:rFonts w:hint="eastAsia"/>
                <w:color w:val="auto"/>
                <w:sz w:val="18"/>
                <w:szCs w:val="18"/>
                <w:highlight w:val="none"/>
              </w:rPr>
              <w:t>420.8832</w:t>
            </w:r>
          </w:p>
        </w:tc>
        <w:tc>
          <w:tcPr>
            <w:tcW w:w="1540" w:type="dxa"/>
            <w:vMerge w:val="continue"/>
            <w:noWrap w:val="0"/>
            <w:vAlign w:val="center"/>
          </w:tcPr>
          <w:p>
            <w:pPr>
              <w:rPr>
                <w:rFonts w:hint="eastAsia"/>
                <w:color w:val="auto"/>
                <w:sz w:val="18"/>
                <w:szCs w:val="18"/>
                <w:highlight w:val="none"/>
              </w:rPr>
            </w:pPr>
          </w:p>
        </w:tc>
      </w:tr>
    </w:tbl>
    <w:p>
      <w:pPr>
        <w:spacing w:line="400" w:lineRule="exact"/>
        <w:rPr>
          <w:color w:val="auto"/>
          <w:highlight w:val="none"/>
        </w:rPr>
      </w:pPr>
      <w:r>
        <w:rPr>
          <w:color w:val="auto"/>
          <w:highlight w:val="none"/>
        </w:rPr>
        <w:t>注：</w:t>
      </w:r>
    </w:p>
    <w:p>
      <w:pPr>
        <w:numPr>
          <w:ilvl w:val="1"/>
          <w:numId w:val="7"/>
        </w:numPr>
        <w:tabs>
          <w:tab w:val="left" w:pos="0"/>
          <w:tab w:val="clear" w:pos="780"/>
        </w:tabs>
        <w:spacing w:line="400" w:lineRule="exact"/>
        <w:rPr>
          <w:rFonts w:hint="eastAsia"/>
          <w:color w:val="auto"/>
          <w:highlight w:val="none"/>
        </w:rPr>
      </w:pPr>
      <w:r>
        <w:rPr>
          <w:rFonts w:hint="eastAsia"/>
          <w:color w:val="auto"/>
          <w:highlight w:val="none"/>
        </w:rPr>
        <w:t>本表可按需要进行调整，可列表计算，也可用文字形式描述。</w:t>
      </w:r>
    </w:p>
    <w:p>
      <w:pPr>
        <w:numPr>
          <w:ilvl w:val="1"/>
          <w:numId w:val="7"/>
        </w:numPr>
        <w:tabs>
          <w:tab w:val="left" w:pos="0"/>
          <w:tab w:val="clear" w:pos="780"/>
        </w:tabs>
        <w:spacing w:line="400" w:lineRule="exact"/>
        <w:rPr>
          <w:color w:val="auto"/>
          <w:highlight w:val="none"/>
        </w:rPr>
      </w:pPr>
      <w:r>
        <w:rPr>
          <w:rFonts w:hint="eastAsia"/>
          <w:color w:val="auto"/>
          <w:highlight w:val="none"/>
        </w:rPr>
        <w:t>最终设计收费以经招标人确认或财审审定的工程施工图总预算价（即工程招标控制价，各标段工程招标控制价合计）为计费基数（计费额）计算。</w:t>
      </w:r>
    </w:p>
    <w:p>
      <w:pPr>
        <w:numPr>
          <w:ilvl w:val="1"/>
          <w:numId w:val="7"/>
        </w:numPr>
        <w:tabs>
          <w:tab w:val="left" w:pos="0"/>
          <w:tab w:val="clear" w:pos="780"/>
        </w:tabs>
        <w:spacing w:line="400" w:lineRule="exact"/>
        <w:rPr>
          <w:color w:val="auto"/>
          <w:highlight w:val="none"/>
        </w:rPr>
      </w:pPr>
      <w:r>
        <w:rPr>
          <w:rFonts w:hint="eastAsia"/>
          <w:color w:val="auto"/>
          <w:highlight w:val="none"/>
        </w:rPr>
        <w:t>调整系数为暂定系数，最终以财政部门审定为准。</w:t>
      </w:r>
    </w:p>
    <w:p>
      <w:pPr>
        <w:pStyle w:val="3"/>
        <w:spacing w:line="240" w:lineRule="atLeast"/>
        <w:jc w:val="center"/>
        <w:rPr>
          <w:color w:val="auto"/>
          <w:highlight w:val="none"/>
        </w:rPr>
      </w:pPr>
      <w:r>
        <w:rPr>
          <w:color w:val="auto"/>
          <w:highlight w:val="none"/>
        </w:rPr>
        <w:br w:type="page"/>
      </w:r>
      <w:bookmarkStart w:id="427" w:name="_Toc5592"/>
      <w:r>
        <w:rPr>
          <w:rFonts w:hint="eastAsia"/>
          <w:color w:val="auto"/>
          <w:highlight w:val="none"/>
        </w:rPr>
        <w:t>第三章 评标办法（综合评估法）</w:t>
      </w:r>
      <w:bookmarkEnd w:id="427"/>
    </w:p>
    <w:p>
      <w:pPr>
        <w:pStyle w:val="4"/>
        <w:spacing w:line="240" w:lineRule="atLeast"/>
        <w:rPr>
          <w:rFonts w:ascii="Times New Roman" w:hAnsi="Times New Roman"/>
          <w:color w:val="auto"/>
          <w:highlight w:val="none"/>
        </w:rPr>
      </w:pPr>
      <w:bookmarkStart w:id="428" w:name="_Toc8592"/>
      <w:r>
        <w:rPr>
          <w:rFonts w:hint="eastAsia" w:ascii="Times New Roman" w:hAnsi="Times New Roman"/>
          <w:color w:val="auto"/>
          <w:highlight w:val="none"/>
        </w:rPr>
        <w:t>评标办法前附表</w:t>
      </w:r>
      <w:bookmarkEnd w:id="428"/>
    </w:p>
    <w:tbl>
      <w:tblPr>
        <w:tblStyle w:val="43"/>
        <w:tblW w:w="901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112"/>
        <w:gridCol w:w="1012"/>
        <w:gridCol w:w="2176"/>
        <w:gridCol w:w="382"/>
        <w:gridCol w:w="44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024" w:type="dxa"/>
            <w:gridSpan w:val="3"/>
            <w:tcBorders>
              <w:top w:val="single" w:color="auto" w:sz="4" w:space="0"/>
              <w:bottom w:val="single" w:color="auto" w:sz="4" w:space="0"/>
              <w:right w:val="single" w:color="auto" w:sz="4" w:space="0"/>
            </w:tcBorders>
            <w:noWrap w:val="0"/>
            <w:vAlign w:val="center"/>
          </w:tcPr>
          <w:p>
            <w:pPr>
              <w:spacing w:line="440" w:lineRule="exact"/>
              <w:jc w:val="center"/>
              <w:rPr>
                <w:b/>
                <w:color w:val="auto"/>
                <w:highlight w:val="none"/>
              </w:rPr>
            </w:pPr>
            <w:r>
              <w:rPr>
                <w:b/>
                <w:color w:val="auto"/>
                <w:highlight w:val="none"/>
              </w:rPr>
              <w:t>条款号</w:t>
            </w:r>
          </w:p>
        </w:tc>
        <w:tc>
          <w:tcPr>
            <w:tcW w:w="2558" w:type="dxa"/>
            <w:gridSpan w:val="2"/>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b/>
                <w:color w:val="auto"/>
                <w:highlight w:val="none"/>
              </w:rPr>
            </w:pPr>
            <w:r>
              <w:rPr>
                <w:b/>
                <w:color w:val="auto"/>
                <w:highlight w:val="none"/>
              </w:rPr>
              <w:t>评审因素</w:t>
            </w:r>
          </w:p>
        </w:tc>
        <w:tc>
          <w:tcPr>
            <w:tcW w:w="4434"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b/>
                <w:color w:val="auto"/>
                <w:highlight w:val="none"/>
              </w:rPr>
            </w:pPr>
            <w:r>
              <w:rPr>
                <w:b/>
                <w:color w:val="auto"/>
                <w:highlight w:val="none"/>
              </w:rPr>
              <w:t>评审标准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highlight w:val="none"/>
              </w:rPr>
            </w:pPr>
            <w:r>
              <w:rPr>
                <w:color w:val="auto"/>
                <w:highlight w:val="none"/>
              </w:rPr>
              <w:t>1</w:t>
            </w:r>
          </w:p>
        </w:tc>
        <w:tc>
          <w:tcPr>
            <w:tcW w:w="1124" w:type="dxa"/>
            <w:gridSpan w:val="2"/>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highlight w:val="none"/>
              </w:rPr>
            </w:pPr>
            <w:r>
              <w:rPr>
                <w:color w:val="auto"/>
                <w:highlight w:val="none"/>
              </w:rPr>
              <w:t>评标方法</w:t>
            </w:r>
          </w:p>
        </w:tc>
        <w:tc>
          <w:tcPr>
            <w:tcW w:w="2558" w:type="dxa"/>
            <w:gridSpan w:val="2"/>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highlight w:val="none"/>
              </w:rPr>
            </w:pPr>
            <w:r>
              <w:rPr>
                <w:color w:val="auto"/>
                <w:highlight w:val="none"/>
              </w:rPr>
              <w:t>中标候选人排序方法</w:t>
            </w:r>
          </w:p>
        </w:tc>
        <w:tc>
          <w:tcPr>
            <w:tcW w:w="4434" w:type="dxa"/>
            <w:tcBorders>
              <w:top w:val="single" w:color="auto" w:sz="4" w:space="0"/>
              <w:left w:val="single" w:color="auto" w:sz="4" w:space="0"/>
              <w:bottom w:val="single" w:color="auto" w:sz="4" w:space="0"/>
              <w:right w:val="single" w:color="auto" w:sz="4" w:space="0"/>
            </w:tcBorders>
            <w:noWrap w:val="0"/>
            <w:vAlign w:val="top"/>
          </w:tcPr>
          <w:p>
            <w:pPr>
              <w:numPr>
                <w:ilvl w:val="0"/>
                <w:numId w:val="8"/>
              </w:numPr>
              <w:spacing w:line="440" w:lineRule="exact"/>
              <w:jc w:val="left"/>
              <w:rPr>
                <w:rFonts w:hAnsi="宋体"/>
                <w:color w:val="auto"/>
                <w:highlight w:val="none"/>
              </w:rPr>
            </w:pPr>
            <w:r>
              <w:rPr>
                <w:rFonts w:hint="eastAsia"/>
                <w:color w:val="auto"/>
                <w:highlight w:val="none"/>
              </w:rPr>
              <w:t>评标委员会提交评标报告，按综合评分由高到低进行排序，</w:t>
            </w:r>
            <w:r>
              <w:rPr>
                <w:rFonts w:hint="eastAsia" w:hAnsi="宋体"/>
                <w:color w:val="auto"/>
                <w:highlight w:val="none"/>
              </w:rPr>
              <w:t>向招标人推荐</w:t>
            </w:r>
            <w:r>
              <w:rPr>
                <w:rFonts w:hint="eastAsia" w:hAnsi="宋体"/>
                <w:color w:val="auto"/>
                <w:highlight w:val="none"/>
                <w:u w:val="single"/>
              </w:rPr>
              <w:t>3</w:t>
            </w:r>
            <w:r>
              <w:rPr>
                <w:rFonts w:hint="eastAsia" w:hAnsi="宋体"/>
                <w:color w:val="auto"/>
                <w:highlight w:val="none"/>
              </w:rPr>
              <w:t>名中标候选人，</w:t>
            </w:r>
            <w:r>
              <w:rPr>
                <w:rFonts w:hint="eastAsia" w:hAnsi="宋体"/>
                <w:color w:val="auto"/>
                <w:highlight w:val="none"/>
                <w:u w:val="single"/>
              </w:rPr>
              <w:t>其中得分最高者为第一中标候选人，次高者为第二中标候选人，第三高者为第三中标候选人。原则上推荐第一候选人中标，第二、三候选人备选，</w:t>
            </w:r>
            <w:r>
              <w:rPr>
                <w:rFonts w:hint="eastAsia" w:hAnsi="宋体"/>
                <w:color w:val="auto"/>
                <w:szCs w:val="20"/>
                <w:highlight w:val="none"/>
                <w:lang w:bidi="ar"/>
              </w:rPr>
              <w:t>在最后综合得分相等时，以投标报价低的优先；投标报价也相等的，以勘察设计方案得分高的优先；如果勘察设计方案得分也相等，按照评标办法前附表的规定确定中标候选人顺序。</w:t>
            </w:r>
          </w:p>
          <w:p>
            <w:pPr>
              <w:numPr>
                <w:ilvl w:val="0"/>
                <w:numId w:val="8"/>
              </w:numPr>
              <w:spacing w:line="440" w:lineRule="exact"/>
              <w:jc w:val="left"/>
              <w:rPr>
                <w:rFonts w:hAnsi="宋体"/>
                <w:color w:val="auto"/>
                <w:szCs w:val="21"/>
                <w:highlight w:val="none"/>
              </w:rPr>
            </w:pPr>
            <w:r>
              <w:rPr>
                <w:rFonts w:hint="eastAsia" w:hAnsi="宋体"/>
                <w:color w:val="auto"/>
                <w:szCs w:val="21"/>
                <w:highlight w:val="none"/>
              </w:rPr>
              <w:t>多标段可兼中的项目，按上述第（1）项规定方法进行中标候选人推荐。</w:t>
            </w:r>
          </w:p>
          <w:p>
            <w:pPr>
              <w:numPr>
                <w:ilvl w:val="0"/>
                <w:numId w:val="8"/>
              </w:numPr>
              <w:spacing w:line="440" w:lineRule="exact"/>
              <w:jc w:val="left"/>
              <w:rPr>
                <w:rFonts w:hAnsi="宋体"/>
                <w:color w:val="auto"/>
                <w:szCs w:val="21"/>
                <w:highlight w:val="none"/>
              </w:rPr>
            </w:pPr>
            <w:r>
              <w:rPr>
                <w:rFonts w:hint="eastAsia" w:hAnsi="宋体"/>
                <w:color w:val="auto"/>
                <w:szCs w:val="21"/>
                <w:highlight w:val="none"/>
              </w:rPr>
              <w:t>多标段不可兼中的项目，按以下规定方法进行中标候选人推荐：</w:t>
            </w:r>
          </w:p>
          <w:p>
            <w:pPr>
              <w:spacing w:line="440" w:lineRule="exact"/>
              <w:jc w:val="left"/>
              <w:rPr>
                <w:rFonts w:cs="Calibri"/>
                <w:color w:val="auto"/>
                <w:szCs w:val="21"/>
                <w:highlight w:val="none"/>
              </w:rPr>
            </w:pPr>
            <w:r>
              <w:rPr>
                <w:rFonts w:cs="Calibri"/>
                <w:color w:val="auto"/>
                <w:szCs w:val="21"/>
                <w:highlight w:val="none"/>
              </w:rPr>
              <w:t>①每个</w:t>
            </w:r>
            <w:r>
              <w:rPr>
                <w:rFonts w:hint="eastAsia" w:cs="Calibri"/>
                <w:color w:val="auto"/>
                <w:szCs w:val="21"/>
                <w:highlight w:val="none"/>
              </w:rPr>
              <w:t>投标人</w:t>
            </w:r>
            <w:r>
              <w:rPr>
                <w:rFonts w:cs="Calibri"/>
                <w:color w:val="auto"/>
                <w:szCs w:val="21"/>
                <w:highlight w:val="none"/>
              </w:rPr>
              <w:t>原则上最多只能中</w:t>
            </w:r>
            <w:r>
              <w:rPr>
                <w:rFonts w:cs="Calibri"/>
                <w:color w:val="auto"/>
                <w:szCs w:val="21"/>
                <w:highlight w:val="none"/>
                <w:u w:val="single"/>
              </w:rPr>
              <w:t xml:space="preserve"> </w:t>
            </w:r>
            <w:r>
              <w:rPr>
                <w:rFonts w:hint="eastAsia" w:cs="Calibri"/>
                <w:color w:val="auto"/>
                <w:szCs w:val="21"/>
                <w:highlight w:val="none"/>
                <w:u w:val="single"/>
              </w:rPr>
              <w:t>1</w:t>
            </w:r>
            <w:r>
              <w:rPr>
                <w:rFonts w:cs="Calibri"/>
                <w:color w:val="auto"/>
                <w:szCs w:val="21"/>
                <w:highlight w:val="none"/>
                <w:u w:val="single"/>
              </w:rPr>
              <w:t xml:space="preserve"> </w:t>
            </w:r>
            <w:r>
              <w:rPr>
                <w:rFonts w:cs="Calibri"/>
                <w:color w:val="auto"/>
                <w:szCs w:val="21"/>
                <w:highlight w:val="none"/>
              </w:rPr>
              <w:t>个标段，已推荐为其中</w:t>
            </w:r>
            <w:r>
              <w:rPr>
                <w:rFonts w:cs="Calibri"/>
                <w:color w:val="auto"/>
                <w:szCs w:val="21"/>
                <w:highlight w:val="none"/>
                <w:u w:val="single"/>
              </w:rPr>
              <w:t xml:space="preserve"> </w:t>
            </w:r>
            <w:r>
              <w:rPr>
                <w:rFonts w:hint="eastAsia" w:cs="Calibri"/>
                <w:color w:val="auto"/>
                <w:szCs w:val="21"/>
                <w:highlight w:val="none"/>
                <w:u w:val="single"/>
              </w:rPr>
              <w:t>1</w:t>
            </w:r>
            <w:r>
              <w:rPr>
                <w:rFonts w:cs="Calibri"/>
                <w:color w:val="auto"/>
                <w:szCs w:val="21"/>
                <w:highlight w:val="none"/>
                <w:u w:val="single"/>
              </w:rPr>
              <w:t xml:space="preserve">  </w:t>
            </w:r>
            <w:r>
              <w:rPr>
                <w:rFonts w:cs="Calibri"/>
                <w:color w:val="auto"/>
                <w:szCs w:val="21"/>
                <w:highlight w:val="none"/>
              </w:rPr>
              <w:t>个标段为第一中标候选人的单位不再列入其余标段中推荐为中标候选人（相应标段的候选人排名依序递补）。</w:t>
            </w:r>
          </w:p>
          <w:p>
            <w:pPr>
              <w:spacing w:line="440" w:lineRule="exact"/>
              <w:jc w:val="left"/>
              <w:rPr>
                <w:rFonts w:cs="Calibri"/>
                <w:color w:val="auto"/>
                <w:szCs w:val="21"/>
                <w:highlight w:val="none"/>
                <w:u w:val="single"/>
              </w:rPr>
            </w:pPr>
            <w:r>
              <w:rPr>
                <w:rFonts w:cs="Calibri"/>
                <w:color w:val="auto"/>
                <w:szCs w:val="21"/>
                <w:highlight w:val="none"/>
              </w:rPr>
              <w:t>②推荐方案采用</w:t>
            </w:r>
            <w:r>
              <w:rPr>
                <w:rFonts w:cs="Calibri"/>
                <w:color w:val="auto"/>
                <w:szCs w:val="21"/>
                <w:highlight w:val="none"/>
                <w:u w:val="single"/>
              </w:rPr>
              <w:t xml:space="preserve">  </w:t>
            </w:r>
            <w:r>
              <w:rPr>
                <w:rFonts w:hint="eastAsia" w:cs="Calibri"/>
                <w:color w:val="auto"/>
                <w:szCs w:val="21"/>
                <w:highlight w:val="none"/>
                <w:u w:val="single"/>
              </w:rPr>
              <w:t>/</w:t>
            </w:r>
            <w:r>
              <w:rPr>
                <w:rFonts w:cs="Calibri"/>
                <w:color w:val="auto"/>
                <w:szCs w:val="21"/>
                <w:highlight w:val="none"/>
                <w:u w:val="single"/>
              </w:rPr>
              <w:t>.</w:t>
            </w:r>
          </w:p>
          <w:p>
            <w:pPr>
              <w:spacing w:line="440" w:lineRule="exact"/>
              <w:jc w:val="left"/>
              <w:rPr>
                <w:rFonts w:cs="Calibri"/>
                <w:color w:val="auto"/>
                <w:szCs w:val="21"/>
                <w:highlight w:val="none"/>
              </w:rPr>
            </w:pPr>
            <w:r>
              <w:rPr>
                <w:rFonts w:cs="Calibri"/>
                <w:color w:val="auto"/>
                <w:szCs w:val="21"/>
                <w:highlight w:val="none"/>
              </w:rPr>
              <w:t>方案一：各</w:t>
            </w:r>
            <w:r>
              <w:rPr>
                <w:rFonts w:hint="eastAsia" w:cs="Calibri"/>
                <w:color w:val="auto"/>
                <w:szCs w:val="21"/>
                <w:highlight w:val="none"/>
              </w:rPr>
              <w:t>投标人</w:t>
            </w:r>
            <w:r>
              <w:rPr>
                <w:rFonts w:cs="Calibri"/>
                <w:color w:val="auto"/>
                <w:szCs w:val="21"/>
                <w:highlight w:val="none"/>
              </w:rPr>
              <w:t xml:space="preserve"> 需在投标函中注明中标的标段优</w:t>
            </w:r>
            <w:r>
              <w:rPr>
                <w:rFonts w:hint="eastAsia" w:cs="Calibri"/>
                <w:color w:val="auto"/>
                <w:szCs w:val="21"/>
                <w:highlight w:val="none"/>
              </w:rPr>
              <w:t>选</w:t>
            </w:r>
            <w:r>
              <w:rPr>
                <w:rFonts w:cs="Calibri"/>
                <w:color w:val="auto"/>
                <w:szCs w:val="21"/>
                <w:highlight w:val="none"/>
              </w:rPr>
              <w:t>顺序。若多个标段的综合评分第一名为同一个</w:t>
            </w:r>
            <w:r>
              <w:rPr>
                <w:rFonts w:hint="eastAsia" w:cs="Calibri"/>
                <w:color w:val="auto"/>
                <w:szCs w:val="21"/>
                <w:highlight w:val="none"/>
              </w:rPr>
              <w:t>投标人</w:t>
            </w:r>
            <w:r>
              <w:rPr>
                <w:rFonts w:cs="Calibri"/>
                <w:color w:val="auto"/>
                <w:szCs w:val="21"/>
                <w:highlight w:val="none"/>
              </w:rPr>
              <w:t>，则依据该</w:t>
            </w:r>
            <w:r>
              <w:rPr>
                <w:rFonts w:hint="eastAsia" w:cs="Calibri"/>
                <w:color w:val="auto"/>
                <w:szCs w:val="21"/>
                <w:highlight w:val="none"/>
              </w:rPr>
              <w:t>投标人</w:t>
            </w:r>
            <w:r>
              <w:rPr>
                <w:rFonts w:cs="Calibri"/>
                <w:color w:val="auto"/>
                <w:szCs w:val="21"/>
                <w:highlight w:val="none"/>
              </w:rPr>
              <w:t>的标段优</w:t>
            </w:r>
            <w:r>
              <w:rPr>
                <w:rFonts w:hint="eastAsia" w:cs="Calibri"/>
                <w:color w:val="auto"/>
                <w:szCs w:val="21"/>
                <w:highlight w:val="none"/>
              </w:rPr>
              <w:t>选</w:t>
            </w:r>
            <w:r>
              <w:rPr>
                <w:rFonts w:cs="Calibri"/>
                <w:color w:val="auto"/>
                <w:szCs w:val="21"/>
                <w:highlight w:val="none"/>
              </w:rPr>
              <w:t>顺序，在许可的最大中标数范围内，推荐其为优</w:t>
            </w:r>
            <w:r>
              <w:rPr>
                <w:rFonts w:hint="eastAsia" w:cs="Calibri"/>
                <w:color w:val="auto"/>
                <w:szCs w:val="21"/>
                <w:highlight w:val="none"/>
              </w:rPr>
              <w:t>选</w:t>
            </w:r>
            <w:r>
              <w:rPr>
                <w:rFonts w:cs="Calibri"/>
                <w:color w:val="auto"/>
                <w:szCs w:val="21"/>
                <w:highlight w:val="none"/>
              </w:rPr>
              <w:t>标段的第一中标候选人。</w:t>
            </w:r>
          </w:p>
          <w:p>
            <w:pPr>
              <w:spacing w:line="440" w:lineRule="exact"/>
              <w:jc w:val="left"/>
              <w:rPr>
                <w:rFonts w:cs="Calibri"/>
                <w:color w:val="auto"/>
                <w:szCs w:val="21"/>
                <w:highlight w:val="none"/>
              </w:rPr>
            </w:pPr>
            <w:r>
              <w:rPr>
                <w:rFonts w:cs="Calibri"/>
                <w:color w:val="auto"/>
                <w:szCs w:val="21"/>
                <w:highlight w:val="none"/>
              </w:rPr>
              <w:t>注：</w:t>
            </w:r>
            <w:r>
              <w:rPr>
                <w:rFonts w:hint="eastAsia" w:ascii="宋体" w:hAnsi="宋体"/>
                <w:color w:val="auto"/>
                <w:szCs w:val="21"/>
                <w:highlight w:val="none"/>
              </w:rPr>
              <w:t>优选的前提是多个标段综合评分为第一名，先推荐存在优选顺序的单位为中标候选人，其余标段再从本批次标段序号小的依次推荐候选人，先推荐综合得分排名第一的中标候选人，再推荐递补的中标候选人，递补的单位不存在优选。同一批次开评标的每个标段的投标函中注明中标的标段优选顺序须一致，若不一致按序号较小的标段的优选顺序为准。首个标段若无标明优选顺序，则直接按照标段顺序推荐。</w:t>
            </w:r>
          </w:p>
          <w:p>
            <w:pPr>
              <w:spacing w:line="440" w:lineRule="exact"/>
              <w:jc w:val="left"/>
              <w:rPr>
                <w:rFonts w:cs="Calibri"/>
                <w:color w:val="auto"/>
                <w:szCs w:val="21"/>
                <w:highlight w:val="none"/>
              </w:rPr>
            </w:pPr>
            <w:r>
              <w:rPr>
                <w:rFonts w:cs="Calibri"/>
                <w:color w:val="auto"/>
                <w:szCs w:val="21"/>
                <w:highlight w:val="none"/>
              </w:rPr>
              <w:t>方案二：如出现某单位获得多个标段评分第一时，则按总中标价最低原则推荐该单位中标标段，推荐其他标段评分第二名单位中标。</w:t>
            </w:r>
          </w:p>
          <w:p>
            <w:pPr>
              <w:pStyle w:val="23"/>
              <w:rPr>
                <w:rFonts w:hAnsi="宋体"/>
                <w:color w:val="auto"/>
                <w:szCs w:val="21"/>
                <w:highlight w:val="none"/>
              </w:rPr>
            </w:pPr>
            <w:r>
              <w:rPr>
                <w:rFonts w:hint="eastAsia" w:hAnsi="宋体"/>
                <w:color w:val="auto"/>
                <w:szCs w:val="21"/>
                <w:highlight w:val="none"/>
              </w:rPr>
              <w:t>如：评标结果</w:t>
            </w:r>
          </w:p>
          <w:tbl>
            <w:tblPr>
              <w:tblStyle w:val="43"/>
              <w:tblpPr w:leftFromText="180" w:rightFromText="180" w:vertAnchor="text" w:horzAnchor="page" w:tblpXSpec="center" w:tblpY="334"/>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7"/>
              <w:gridCol w:w="1419"/>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1747" w:type="dxa"/>
                  <w:tcBorders>
                    <w:top w:val="single" w:color="auto" w:sz="4" w:space="0"/>
                    <w:left w:val="single" w:color="auto" w:sz="4" w:space="0"/>
                    <w:bottom w:val="single" w:color="auto" w:sz="4" w:space="0"/>
                    <w:right w:val="single" w:color="auto" w:sz="4" w:space="0"/>
                    <w:tl2br w:val="single" w:color="auto" w:sz="4" w:space="0"/>
                  </w:tcBorders>
                  <w:noWrap w:val="0"/>
                  <w:vAlign w:val="center"/>
                </w:tcPr>
                <w:p>
                  <w:pPr>
                    <w:pStyle w:val="23"/>
                    <w:jc w:val="center"/>
                    <w:rPr>
                      <w:rFonts w:hAnsi="宋体"/>
                      <w:color w:val="auto"/>
                      <w:szCs w:val="21"/>
                      <w:highlight w:val="none"/>
                    </w:rPr>
                  </w:pPr>
                  <w:r>
                    <w:rPr>
                      <w:rFonts w:hint="eastAsia" w:hAnsi="宋体"/>
                      <w:color w:val="auto"/>
                      <w:szCs w:val="21"/>
                      <w:highlight w:val="none"/>
                    </w:rPr>
                    <w:t xml:space="preserve">      标段</w:t>
                  </w:r>
                </w:p>
                <w:p>
                  <w:pPr>
                    <w:rPr>
                      <w:rFonts w:ascii="宋体" w:hAnsi="宋体"/>
                      <w:color w:val="auto"/>
                      <w:szCs w:val="21"/>
                      <w:highlight w:val="none"/>
                    </w:rPr>
                  </w:pPr>
                  <w:r>
                    <w:rPr>
                      <w:rFonts w:hint="eastAsia" w:ascii="宋体" w:hAnsi="宋体"/>
                      <w:color w:val="auto"/>
                      <w:szCs w:val="21"/>
                      <w:highlight w:val="none"/>
                    </w:rPr>
                    <w:t>排名</w:t>
                  </w:r>
                </w:p>
              </w:tc>
              <w:tc>
                <w:tcPr>
                  <w:tcW w:w="1419" w:type="dxa"/>
                  <w:tcBorders>
                    <w:top w:val="single" w:color="auto" w:sz="4" w:space="0"/>
                    <w:left w:val="single" w:color="auto" w:sz="4" w:space="0"/>
                    <w:bottom w:val="single" w:color="auto" w:sz="4" w:space="0"/>
                    <w:right w:val="single" w:color="auto" w:sz="4" w:space="0"/>
                  </w:tcBorders>
                  <w:noWrap w:val="0"/>
                  <w:vAlign w:val="center"/>
                </w:tcPr>
                <w:p>
                  <w:pPr>
                    <w:pStyle w:val="23"/>
                    <w:jc w:val="center"/>
                    <w:rPr>
                      <w:rFonts w:hAnsi="宋体"/>
                      <w:color w:val="auto"/>
                      <w:szCs w:val="21"/>
                      <w:highlight w:val="none"/>
                    </w:rPr>
                  </w:pPr>
                  <w:r>
                    <w:rPr>
                      <w:rFonts w:hint="eastAsia" w:hAnsi="宋体"/>
                      <w:color w:val="auto"/>
                      <w:szCs w:val="21"/>
                      <w:highlight w:val="none"/>
                    </w:rPr>
                    <w:t>第一标段</w:t>
                  </w:r>
                </w:p>
              </w:tc>
              <w:tc>
                <w:tcPr>
                  <w:tcW w:w="1317" w:type="dxa"/>
                  <w:tcBorders>
                    <w:top w:val="single" w:color="auto" w:sz="4" w:space="0"/>
                    <w:left w:val="single" w:color="auto" w:sz="4" w:space="0"/>
                    <w:bottom w:val="single" w:color="auto" w:sz="4" w:space="0"/>
                    <w:right w:val="single" w:color="auto" w:sz="4" w:space="0"/>
                  </w:tcBorders>
                  <w:noWrap w:val="0"/>
                  <w:vAlign w:val="center"/>
                </w:tcPr>
                <w:p>
                  <w:pPr>
                    <w:pStyle w:val="23"/>
                    <w:jc w:val="center"/>
                    <w:rPr>
                      <w:rFonts w:hAnsi="宋体"/>
                      <w:color w:val="auto"/>
                      <w:szCs w:val="21"/>
                      <w:highlight w:val="none"/>
                    </w:rPr>
                  </w:pPr>
                  <w:r>
                    <w:rPr>
                      <w:rFonts w:hint="eastAsia" w:hAnsi="宋体"/>
                      <w:color w:val="auto"/>
                      <w:szCs w:val="21"/>
                      <w:highlight w:val="none"/>
                    </w:rPr>
                    <w:t>第二标段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747" w:type="dxa"/>
                  <w:tcBorders>
                    <w:top w:val="single" w:color="auto" w:sz="4" w:space="0"/>
                    <w:left w:val="single" w:color="auto" w:sz="4" w:space="0"/>
                    <w:bottom w:val="single" w:color="auto" w:sz="4" w:space="0"/>
                    <w:right w:val="single" w:color="auto" w:sz="4" w:space="0"/>
                  </w:tcBorders>
                  <w:noWrap w:val="0"/>
                  <w:vAlign w:val="center"/>
                </w:tcPr>
                <w:p>
                  <w:pPr>
                    <w:pStyle w:val="23"/>
                    <w:jc w:val="center"/>
                    <w:rPr>
                      <w:rFonts w:hAnsi="宋体"/>
                      <w:color w:val="auto"/>
                      <w:szCs w:val="21"/>
                      <w:highlight w:val="none"/>
                    </w:rPr>
                  </w:pPr>
                  <w:r>
                    <w:rPr>
                      <w:rFonts w:hint="eastAsia" w:hAnsi="宋体"/>
                      <w:color w:val="auto"/>
                      <w:szCs w:val="21"/>
                      <w:highlight w:val="none"/>
                    </w:rPr>
                    <w:t>1</w:t>
                  </w:r>
                </w:p>
              </w:tc>
              <w:tc>
                <w:tcPr>
                  <w:tcW w:w="1419" w:type="dxa"/>
                  <w:tcBorders>
                    <w:top w:val="single" w:color="auto" w:sz="4" w:space="0"/>
                    <w:left w:val="single" w:color="auto" w:sz="4" w:space="0"/>
                    <w:bottom w:val="single" w:color="auto" w:sz="4" w:space="0"/>
                    <w:right w:val="single" w:color="auto" w:sz="4" w:space="0"/>
                  </w:tcBorders>
                  <w:noWrap w:val="0"/>
                  <w:vAlign w:val="center"/>
                </w:tcPr>
                <w:p>
                  <w:pPr>
                    <w:pStyle w:val="23"/>
                    <w:jc w:val="center"/>
                    <w:rPr>
                      <w:rFonts w:hAnsi="宋体"/>
                      <w:color w:val="auto"/>
                      <w:szCs w:val="21"/>
                      <w:highlight w:val="none"/>
                    </w:rPr>
                  </w:pPr>
                  <w:r>
                    <w:rPr>
                      <w:rFonts w:hint="eastAsia" w:hAnsi="宋体"/>
                      <w:color w:val="auto"/>
                      <w:szCs w:val="21"/>
                      <w:highlight w:val="none"/>
                    </w:rPr>
                    <w:t>A</w:t>
                  </w:r>
                </w:p>
              </w:tc>
              <w:tc>
                <w:tcPr>
                  <w:tcW w:w="1317" w:type="dxa"/>
                  <w:tcBorders>
                    <w:top w:val="single" w:color="auto" w:sz="4" w:space="0"/>
                    <w:left w:val="single" w:color="auto" w:sz="4" w:space="0"/>
                    <w:bottom w:val="single" w:color="auto" w:sz="4" w:space="0"/>
                    <w:right w:val="single" w:color="auto" w:sz="4" w:space="0"/>
                  </w:tcBorders>
                  <w:noWrap w:val="0"/>
                  <w:vAlign w:val="center"/>
                </w:tcPr>
                <w:p>
                  <w:pPr>
                    <w:pStyle w:val="23"/>
                    <w:jc w:val="center"/>
                    <w:rPr>
                      <w:rFonts w:hAnsi="宋体"/>
                      <w:color w:val="auto"/>
                      <w:szCs w:val="21"/>
                      <w:highlight w:val="none"/>
                    </w:rPr>
                  </w:pPr>
                  <w:r>
                    <w:rPr>
                      <w:rFonts w:hint="eastAsia" w:hAnsi="宋体"/>
                      <w:color w:val="auto"/>
                      <w:szCs w:val="21"/>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747" w:type="dxa"/>
                  <w:tcBorders>
                    <w:top w:val="single" w:color="auto" w:sz="4" w:space="0"/>
                    <w:left w:val="single" w:color="auto" w:sz="4" w:space="0"/>
                    <w:bottom w:val="single" w:color="auto" w:sz="4" w:space="0"/>
                    <w:right w:val="single" w:color="auto" w:sz="4" w:space="0"/>
                  </w:tcBorders>
                  <w:noWrap w:val="0"/>
                  <w:vAlign w:val="center"/>
                </w:tcPr>
                <w:p>
                  <w:pPr>
                    <w:pStyle w:val="23"/>
                    <w:jc w:val="center"/>
                    <w:rPr>
                      <w:rFonts w:hAnsi="宋体"/>
                      <w:color w:val="auto"/>
                      <w:szCs w:val="21"/>
                      <w:highlight w:val="none"/>
                    </w:rPr>
                  </w:pPr>
                  <w:r>
                    <w:rPr>
                      <w:rFonts w:hint="eastAsia" w:hAnsi="宋体"/>
                      <w:color w:val="auto"/>
                      <w:szCs w:val="21"/>
                      <w:highlight w:val="none"/>
                    </w:rPr>
                    <w:t>2</w:t>
                  </w:r>
                </w:p>
              </w:tc>
              <w:tc>
                <w:tcPr>
                  <w:tcW w:w="1419" w:type="dxa"/>
                  <w:tcBorders>
                    <w:top w:val="single" w:color="auto" w:sz="4" w:space="0"/>
                    <w:left w:val="single" w:color="auto" w:sz="4" w:space="0"/>
                    <w:bottom w:val="single" w:color="auto" w:sz="4" w:space="0"/>
                    <w:right w:val="single" w:color="auto" w:sz="4" w:space="0"/>
                  </w:tcBorders>
                  <w:noWrap w:val="0"/>
                  <w:vAlign w:val="center"/>
                </w:tcPr>
                <w:p>
                  <w:pPr>
                    <w:pStyle w:val="23"/>
                    <w:jc w:val="center"/>
                    <w:rPr>
                      <w:rFonts w:hAnsi="宋体"/>
                      <w:color w:val="auto"/>
                      <w:szCs w:val="21"/>
                      <w:highlight w:val="none"/>
                    </w:rPr>
                  </w:pPr>
                  <w:r>
                    <w:rPr>
                      <w:rFonts w:hint="eastAsia" w:hAnsi="宋体"/>
                      <w:color w:val="auto"/>
                      <w:szCs w:val="21"/>
                      <w:highlight w:val="none"/>
                    </w:rPr>
                    <w:t>B</w:t>
                  </w:r>
                </w:p>
              </w:tc>
              <w:tc>
                <w:tcPr>
                  <w:tcW w:w="1317" w:type="dxa"/>
                  <w:tcBorders>
                    <w:top w:val="single" w:color="auto" w:sz="4" w:space="0"/>
                    <w:left w:val="single" w:color="auto" w:sz="4" w:space="0"/>
                    <w:bottom w:val="single" w:color="auto" w:sz="4" w:space="0"/>
                    <w:right w:val="single" w:color="auto" w:sz="4" w:space="0"/>
                  </w:tcBorders>
                  <w:noWrap w:val="0"/>
                  <w:vAlign w:val="center"/>
                </w:tcPr>
                <w:p>
                  <w:pPr>
                    <w:pStyle w:val="23"/>
                    <w:jc w:val="center"/>
                    <w:rPr>
                      <w:rFonts w:hAnsi="宋体"/>
                      <w:color w:val="auto"/>
                      <w:szCs w:val="21"/>
                      <w:highlight w:val="none"/>
                    </w:rPr>
                  </w:pPr>
                  <w:r>
                    <w:rPr>
                      <w:rFonts w:hint="eastAsia" w:hAnsi="宋体"/>
                      <w:color w:val="auto"/>
                      <w:szCs w:val="21"/>
                      <w:highlight w:val="none"/>
                    </w:rPr>
                    <w:t>C</w:t>
                  </w:r>
                </w:p>
              </w:tc>
            </w:tr>
          </w:tbl>
          <w:p>
            <w:pPr>
              <w:pStyle w:val="23"/>
              <w:ind w:firstLine="840" w:firstLineChars="400"/>
              <w:jc w:val="left"/>
              <w:rPr>
                <w:rFonts w:hAnsi="宋体"/>
                <w:color w:val="auto"/>
                <w:kern w:val="0"/>
                <w:szCs w:val="21"/>
                <w:highlight w:val="none"/>
              </w:rPr>
            </w:pPr>
          </w:p>
          <w:p>
            <w:pPr>
              <w:pStyle w:val="23"/>
              <w:jc w:val="left"/>
              <w:rPr>
                <w:rFonts w:hAnsi="宋体"/>
                <w:color w:val="auto"/>
                <w:szCs w:val="21"/>
                <w:highlight w:val="none"/>
              </w:rPr>
            </w:pPr>
            <w:r>
              <w:rPr>
                <w:rFonts w:hint="eastAsia" w:hAnsi="宋体"/>
                <w:color w:val="auto"/>
                <w:szCs w:val="21"/>
                <w:highlight w:val="none"/>
              </w:rPr>
              <w:t>组合一：推荐A单位为第一标段中标单位，C单位为第二标段中标单位；</w:t>
            </w:r>
          </w:p>
          <w:p>
            <w:pPr>
              <w:pStyle w:val="23"/>
              <w:rPr>
                <w:rFonts w:hAnsi="宋体"/>
                <w:color w:val="auto"/>
                <w:szCs w:val="21"/>
                <w:highlight w:val="none"/>
              </w:rPr>
            </w:pPr>
            <w:r>
              <w:rPr>
                <w:rFonts w:hint="eastAsia" w:hAnsi="宋体"/>
                <w:color w:val="auto"/>
                <w:szCs w:val="21"/>
                <w:highlight w:val="none"/>
              </w:rPr>
              <w:t>组合二：推荐B单位为第一标段中标单位，A单位为第二标段中标单位；</w:t>
            </w:r>
          </w:p>
          <w:p>
            <w:pPr>
              <w:pStyle w:val="23"/>
              <w:rPr>
                <w:rFonts w:hAnsi="宋体"/>
                <w:color w:val="auto"/>
                <w:szCs w:val="21"/>
                <w:highlight w:val="none"/>
              </w:rPr>
            </w:pPr>
            <w:r>
              <w:rPr>
                <w:rFonts w:hint="eastAsia" w:hAnsi="宋体"/>
                <w:color w:val="auto"/>
                <w:szCs w:val="21"/>
                <w:highlight w:val="none"/>
              </w:rPr>
              <w:t>若A+C的总中标价小于B+A的总中标价，则采用组合一；</w:t>
            </w:r>
          </w:p>
          <w:p>
            <w:pPr>
              <w:pStyle w:val="23"/>
              <w:rPr>
                <w:rFonts w:hAnsi="宋体"/>
                <w:color w:val="auto"/>
                <w:szCs w:val="21"/>
                <w:highlight w:val="none"/>
              </w:rPr>
            </w:pPr>
            <w:r>
              <w:rPr>
                <w:rFonts w:hint="eastAsia" w:hAnsi="宋体"/>
                <w:color w:val="auto"/>
                <w:szCs w:val="21"/>
                <w:highlight w:val="none"/>
              </w:rPr>
              <w:t>若A+C的总中标价大于B+A的总中标价，则采用组合二。</w:t>
            </w:r>
          </w:p>
          <w:p>
            <w:pPr>
              <w:pStyle w:val="23"/>
              <w:rPr>
                <w:rFonts w:hAnsi="宋体"/>
                <w:color w:val="auto"/>
                <w:szCs w:val="21"/>
                <w:highlight w:val="none"/>
              </w:rPr>
            </w:pPr>
            <w:r>
              <w:rPr>
                <w:rFonts w:hint="eastAsia" w:hAnsi="宋体"/>
                <w:color w:val="auto"/>
                <w:szCs w:val="21"/>
                <w:highlight w:val="none"/>
              </w:rPr>
              <w:t>若A+C的总中标价等于B+A的总中标价，以第一候选中标单位投标价高的为推荐中标组合。</w:t>
            </w:r>
          </w:p>
          <w:p>
            <w:pPr>
              <w:pStyle w:val="23"/>
              <w:rPr>
                <w:rFonts w:hAnsi="宋体"/>
                <w:color w:val="auto"/>
                <w:szCs w:val="21"/>
                <w:highlight w:val="none"/>
              </w:rPr>
            </w:pPr>
            <w:r>
              <w:rPr>
                <w:rFonts w:hint="eastAsia" w:hAnsi="宋体"/>
                <w:color w:val="auto"/>
                <w:szCs w:val="21"/>
                <w:highlight w:val="none"/>
              </w:rPr>
              <w:t>方案三：</w:t>
            </w:r>
            <w:r>
              <w:rPr>
                <w:rFonts w:hint="eastAsia" w:hAnsi="宋体"/>
                <w:color w:val="auto"/>
                <w:szCs w:val="21"/>
                <w:highlight w:val="none"/>
                <w:u w:val="single"/>
              </w:rPr>
              <w:t xml:space="preserve">         /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restart"/>
            <w:tcBorders>
              <w:top w:val="single" w:color="auto" w:sz="4" w:space="0"/>
              <w:bottom w:val="single" w:color="auto" w:sz="4" w:space="0"/>
              <w:right w:val="single" w:color="auto" w:sz="4" w:space="0"/>
            </w:tcBorders>
            <w:noWrap w:val="0"/>
            <w:vAlign w:val="center"/>
          </w:tcPr>
          <w:p>
            <w:pPr>
              <w:spacing w:line="440" w:lineRule="exact"/>
              <w:jc w:val="center"/>
              <w:rPr>
                <w:color w:val="auto"/>
                <w:highlight w:val="none"/>
              </w:rPr>
            </w:pPr>
            <w:r>
              <w:rPr>
                <w:color w:val="auto"/>
                <w:highlight w:val="none"/>
              </w:rPr>
              <w:t>2.1.1</w:t>
            </w:r>
          </w:p>
        </w:tc>
        <w:tc>
          <w:tcPr>
            <w:tcW w:w="1124" w:type="dxa"/>
            <w:gridSpan w:val="2"/>
            <w:vMerge w:val="restart"/>
            <w:tcBorders>
              <w:top w:val="single" w:color="auto" w:sz="4" w:space="0"/>
              <w:right w:val="single" w:color="auto" w:sz="4" w:space="0"/>
            </w:tcBorders>
            <w:noWrap w:val="0"/>
            <w:vAlign w:val="center"/>
          </w:tcPr>
          <w:p>
            <w:pPr>
              <w:spacing w:line="440" w:lineRule="exact"/>
              <w:jc w:val="center"/>
              <w:rPr>
                <w:color w:val="auto"/>
                <w:highlight w:val="none"/>
              </w:rPr>
            </w:pPr>
            <w:r>
              <w:rPr>
                <w:color w:val="auto"/>
                <w:highlight w:val="none"/>
              </w:rPr>
              <w:t>形式评审标准</w:t>
            </w:r>
          </w:p>
        </w:tc>
        <w:tc>
          <w:tcPr>
            <w:tcW w:w="2558" w:type="dxa"/>
            <w:gridSpan w:val="2"/>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highlight w:val="none"/>
              </w:rPr>
            </w:pPr>
            <w:r>
              <w:rPr>
                <w:color w:val="auto"/>
                <w:highlight w:val="none"/>
              </w:rPr>
              <w:t>投标人名称</w:t>
            </w:r>
          </w:p>
        </w:tc>
        <w:tc>
          <w:tcPr>
            <w:tcW w:w="4434"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color w:val="auto"/>
                <w:highlight w:val="none"/>
              </w:rPr>
            </w:pPr>
            <w:r>
              <w:rPr>
                <w:color w:val="auto"/>
                <w:highlight w:val="none"/>
              </w:rPr>
              <w:t>与营业执照、资质证书一致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top w:val="nil"/>
              <w:bottom w:val="single" w:color="auto" w:sz="4" w:space="0"/>
              <w:right w:val="single" w:color="auto" w:sz="4" w:space="0"/>
            </w:tcBorders>
            <w:noWrap w:val="0"/>
            <w:vAlign w:val="center"/>
          </w:tcPr>
          <w:p>
            <w:pPr>
              <w:rPr>
                <w:color w:val="auto"/>
                <w:highlight w:val="none"/>
              </w:rPr>
            </w:pPr>
          </w:p>
        </w:tc>
        <w:tc>
          <w:tcPr>
            <w:tcW w:w="1124" w:type="dxa"/>
            <w:gridSpan w:val="2"/>
            <w:vMerge w:val="continue"/>
            <w:tcBorders>
              <w:right w:val="single" w:color="auto" w:sz="4" w:space="0"/>
            </w:tcBorders>
            <w:noWrap w:val="0"/>
            <w:vAlign w:val="center"/>
          </w:tcPr>
          <w:p>
            <w:pPr>
              <w:rPr>
                <w:color w:val="auto"/>
                <w:highlight w:val="none"/>
              </w:rPr>
            </w:pPr>
          </w:p>
        </w:tc>
        <w:tc>
          <w:tcPr>
            <w:tcW w:w="2558" w:type="dxa"/>
            <w:gridSpan w:val="2"/>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highlight w:val="none"/>
              </w:rPr>
            </w:pPr>
            <w:r>
              <w:rPr>
                <w:rFonts w:hint="eastAsia" w:ascii="宋体" w:hAnsi="宋体" w:cs="宋体"/>
                <w:color w:val="auto"/>
                <w:kern w:val="0"/>
                <w:szCs w:val="21"/>
                <w:highlight w:val="none"/>
              </w:rPr>
              <w:t>投标文件签字盖章</w:t>
            </w:r>
          </w:p>
        </w:tc>
        <w:tc>
          <w:tcPr>
            <w:tcW w:w="4434"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hint="eastAsia" w:ascii="Times New Roman" w:hAnsi="宋体" w:eastAsia="宋体" w:cs="Times New Roman"/>
                <w:color w:val="auto"/>
                <w:highlight w:val="none"/>
              </w:rPr>
            </w:pPr>
            <w:r>
              <w:rPr>
                <w:rFonts w:hint="eastAsia" w:ascii="Times New Roman" w:hAnsi="宋体" w:eastAsia="宋体" w:cs="Times New Roman"/>
                <w:color w:val="auto"/>
                <w:highlight w:val="none"/>
              </w:rPr>
              <w:t>1、投标文件正本应用不褪色的材料书写或打印。按其格式要求由投标人的法定代表人或其委托代理人签字并盖单位章。委托代理人签字的，投标文件应附法定代表人签署的授权委托书。投标文件应尽量避免涂改、行间插字或删除。如果出现上述情况，改动之处应加盖单位章或由投标人的法定代表人或其授权的代理人签字确认。</w:t>
            </w:r>
          </w:p>
          <w:p>
            <w:pPr>
              <w:spacing w:line="440" w:lineRule="exact"/>
              <w:rPr>
                <w:color w:val="auto"/>
                <w:highlight w:val="none"/>
              </w:rPr>
            </w:pPr>
            <w:r>
              <w:rPr>
                <w:rFonts w:hint="eastAsia" w:hAnsi="宋体"/>
                <w:color w:val="auto"/>
                <w:highlight w:val="none"/>
              </w:rPr>
              <w:t>2、投标文件的正本应由投标人的法定代表人或者其委托的代理人签署并加盖投标人法人公章（签署并盖章的内容至少应包括：①封面页（或内封面）；②投标函和投标文件格式内容有要求的）。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top w:val="nil"/>
              <w:bottom w:val="single" w:color="auto" w:sz="4" w:space="0"/>
              <w:right w:val="single" w:color="auto" w:sz="4" w:space="0"/>
            </w:tcBorders>
            <w:noWrap w:val="0"/>
            <w:vAlign w:val="center"/>
          </w:tcPr>
          <w:p>
            <w:pPr>
              <w:rPr>
                <w:color w:val="auto"/>
                <w:highlight w:val="none"/>
              </w:rPr>
            </w:pPr>
          </w:p>
        </w:tc>
        <w:tc>
          <w:tcPr>
            <w:tcW w:w="1124" w:type="dxa"/>
            <w:gridSpan w:val="2"/>
            <w:vMerge w:val="continue"/>
            <w:tcBorders>
              <w:right w:val="single" w:color="auto" w:sz="4" w:space="0"/>
            </w:tcBorders>
            <w:noWrap w:val="0"/>
            <w:vAlign w:val="center"/>
          </w:tcPr>
          <w:p>
            <w:pPr>
              <w:rPr>
                <w:color w:val="auto"/>
                <w:highlight w:val="none"/>
              </w:rPr>
            </w:pPr>
          </w:p>
        </w:tc>
        <w:tc>
          <w:tcPr>
            <w:tcW w:w="2558" w:type="dxa"/>
            <w:gridSpan w:val="2"/>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highlight w:val="none"/>
              </w:rPr>
            </w:pPr>
            <w:r>
              <w:rPr>
                <w:color w:val="auto"/>
                <w:highlight w:val="none"/>
              </w:rPr>
              <w:t>投标文件格式</w:t>
            </w:r>
          </w:p>
        </w:tc>
        <w:tc>
          <w:tcPr>
            <w:tcW w:w="4434"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hint="eastAsia"/>
                <w:color w:val="auto"/>
                <w:highlight w:val="none"/>
              </w:rPr>
            </w:pPr>
            <w:r>
              <w:rPr>
                <w:rFonts w:hint="eastAsia"/>
                <w:color w:val="auto"/>
                <w:highlight w:val="none"/>
              </w:rPr>
              <w:t>符合不存在下列任何一种情形：</w:t>
            </w:r>
          </w:p>
          <w:p>
            <w:pPr>
              <w:spacing w:line="440" w:lineRule="exact"/>
              <w:rPr>
                <w:rFonts w:hint="eastAsia"/>
                <w:color w:val="auto"/>
                <w:highlight w:val="none"/>
              </w:rPr>
            </w:pPr>
            <w:r>
              <w:rPr>
                <w:rFonts w:hint="eastAsia"/>
                <w:color w:val="auto"/>
                <w:highlight w:val="none"/>
              </w:rPr>
              <w:t>1、投标函未按招标文件规定的格式。</w:t>
            </w:r>
          </w:p>
          <w:p>
            <w:pPr>
              <w:spacing w:line="440" w:lineRule="exact"/>
              <w:rPr>
                <w:rFonts w:hint="eastAsia" w:hAnsi="宋体"/>
                <w:color w:val="auto"/>
                <w:szCs w:val="21"/>
                <w:highlight w:val="none"/>
              </w:rPr>
            </w:pPr>
            <w:r>
              <w:rPr>
                <w:rFonts w:hint="eastAsia"/>
                <w:color w:val="auto"/>
                <w:highlight w:val="none"/>
              </w:rPr>
              <w:t>2、</w:t>
            </w:r>
            <w:r>
              <w:rPr>
                <w:rFonts w:hint="eastAsia" w:hAnsi="宋体"/>
                <w:color w:val="auto"/>
                <w:szCs w:val="21"/>
                <w:highlight w:val="none"/>
              </w:rPr>
              <w:t>未按招标文件要求的格式提供企业诚信承诺书、严格执行“管理规范和技术（规范）标准”的承诺函、近三年的无行贿犯罪记录承诺书等相关文件。</w:t>
            </w:r>
          </w:p>
          <w:p>
            <w:pPr>
              <w:spacing w:line="440" w:lineRule="exact"/>
              <w:rPr>
                <w:rFonts w:hint="eastAsia"/>
                <w:color w:val="auto"/>
                <w:highlight w:val="none"/>
              </w:rPr>
            </w:pPr>
            <w:r>
              <w:rPr>
                <w:rFonts w:hint="eastAsia"/>
                <w:color w:val="auto"/>
                <w:highlight w:val="none"/>
              </w:rPr>
              <w:t>3、投标文件封面及投标函的工程名称与招标文件规定的工程名称实质性不响应。</w:t>
            </w:r>
          </w:p>
          <w:p>
            <w:pPr>
              <w:spacing w:line="440" w:lineRule="exact"/>
              <w:rPr>
                <w:color w:val="auto"/>
                <w:highlight w:val="none"/>
              </w:rPr>
            </w:pPr>
            <w:r>
              <w:rPr>
                <w:rFonts w:hint="eastAsia"/>
                <w:color w:val="auto"/>
                <w:highlight w:val="none"/>
              </w:rPr>
              <w:t>4、投标文件内容的招标人名称与招标文件规定的招标人名称实质性不响应。</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top w:val="nil"/>
              <w:bottom w:val="single" w:color="auto" w:sz="4" w:space="0"/>
              <w:right w:val="single" w:color="auto" w:sz="4" w:space="0"/>
            </w:tcBorders>
            <w:noWrap w:val="0"/>
            <w:vAlign w:val="center"/>
          </w:tcPr>
          <w:p>
            <w:pPr>
              <w:rPr>
                <w:color w:val="auto"/>
                <w:highlight w:val="none"/>
              </w:rPr>
            </w:pPr>
          </w:p>
        </w:tc>
        <w:tc>
          <w:tcPr>
            <w:tcW w:w="1124" w:type="dxa"/>
            <w:gridSpan w:val="2"/>
            <w:vMerge w:val="continue"/>
            <w:tcBorders>
              <w:right w:val="single" w:color="auto" w:sz="4" w:space="0"/>
            </w:tcBorders>
            <w:noWrap w:val="0"/>
            <w:vAlign w:val="center"/>
          </w:tcPr>
          <w:p>
            <w:pPr>
              <w:rPr>
                <w:color w:val="auto"/>
                <w:highlight w:val="none"/>
              </w:rPr>
            </w:pPr>
          </w:p>
        </w:tc>
        <w:tc>
          <w:tcPr>
            <w:tcW w:w="2558" w:type="dxa"/>
            <w:gridSpan w:val="2"/>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highlight w:val="none"/>
              </w:rPr>
            </w:pPr>
            <w:r>
              <w:rPr>
                <w:color w:val="auto"/>
                <w:highlight w:val="none"/>
              </w:rPr>
              <w:t>联合体投标人</w:t>
            </w:r>
          </w:p>
        </w:tc>
        <w:tc>
          <w:tcPr>
            <w:tcW w:w="4434"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color w:val="auto"/>
                <w:highlight w:val="none"/>
              </w:rPr>
            </w:pPr>
            <w:r>
              <w:rPr>
                <w:rFonts w:hint="eastAsia"/>
                <w:color w:val="auto"/>
                <w:highlight w:val="none"/>
              </w:rPr>
              <w:t>提交符合招标文件要求的联合体协议书，明确各方承担连带责任，并明确联合体牵头人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top w:val="nil"/>
              <w:bottom w:val="single" w:color="auto" w:sz="4" w:space="0"/>
              <w:right w:val="single" w:color="auto" w:sz="4" w:space="0"/>
            </w:tcBorders>
            <w:noWrap w:val="0"/>
            <w:vAlign w:val="center"/>
          </w:tcPr>
          <w:p>
            <w:pPr>
              <w:rPr>
                <w:color w:val="auto"/>
                <w:highlight w:val="none"/>
              </w:rPr>
            </w:pPr>
          </w:p>
        </w:tc>
        <w:tc>
          <w:tcPr>
            <w:tcW w:w="1124" w:type="dxa"/>
            <w:gridSpan w:val="2"/>
            <w:vMerge w:val="continue"/>
            <w:tcBorders>
              <w:right w:val="single" w:color="auto" w:sz="4" w:space="0"/>
            </w:tcBorders>
            <w:noWrap w:val="0"/>
            <w:vAlign w:val="center"/>
          </w:tcPr>
          <w:p>
            <w:pPr>
              <w:rPr>
                <w:color w:val="auto"/>
                <w:highlight w:val="none"/>
              </w:rPr>
            </w:pPr>
          </w:p>
        </w:tc>
        <w:tc>
          <w:tcPr>
            <w:tcW w:w="2558" w:type="dxa"/>
            <w:gridSpan w:val="2"/>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highlight w:val="none"/>
              </w:rPr>
            </w:pPr>
            <w:r>
              <w:rPr>
                <w:color w:val="auto"/>
                <w:highlight w:val="none"/>
              </w:rPr>
              <w:t>备选投标方案</w:t>
            </w:r>
          </w:p>
        </w:tc>
        <w:tc>
          <w:tcPr>
            <w:tcW w:w="4434"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color w:val="auto"/>
                <w:highlight w:val="none"/>
              </w:rPr>
            </w:pPr>
            <w:r>
              <w:rPr>
                <w:color w:val="auto"/>
                <w:highlight w:val="none"/>
              </w:rPr>
              <w:t>除招标文件明确允许提交备选投标方案外，投标人不得提交备选投标方案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restart"/>
            <w:tcBorders>
              <w:top w:val="single" w:color="auto" w:sz="4" w:space="0"/>
              <w:bottom w:val="single" w:color="auto" w:sz="4" w:space="0"/>
              <w:right w:val="single" w:color="auto" w:sz="4" w:space="0"/>
            </w:tcBorders>
            <w:noWrap w:val="0"/>
            <w:vAlign w:val="center"/>
          </w:tcPr>
          <w:p>
            <w:pPr>
              <w:spacing w:line="440" w:lineRule="exact"/>
              <w:jc w:val="center"/>
              <w:rPr>
                <w:color w:val="auto"/>
                <w:highlight w:val="none"/>
              </w:rPr>
            </w:pPr>
            <w:r>
              <w:rPr>
                <w:color w:val="auto"/>
                <w:highlight w:val="none"/>
              </w:rPr>
              <w:t>2.1.2</w:t>
            </w:r>
          </w:p>
        </w:tc>
        <w:tc>
          <w:tcPr>
            <w:tcW w:w="1124"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highlight w:val="none"/>
              </w:rPr>
            </w:pPr>
            <w:r>
              <w:rPr>
                <w:color w:val="auto"/>
                <w:highlight w:val="none"/>
              </w:rPr>
              <w:t>资格评审标准</w:t>
            </w:r>
          </w:p>
        </w:tc>
        <w:tc>
          <w:tcPr>
            <w:tcW w:w="2558" w:type="dxa"/>
            <w:gridSpan w:val="2"/>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highlight w:val="none"/>
              </w:rPr>
            </w:pPr>
            <w:r>
              <w:rPr>
                <w:color w:val="auto"/>
                <w:highlight w:val="none"/>
              </w:rPr>
              <w:t>营业执照</w:t>
            </w:r>
          </w:p>
        </w:tc>
        <w:tc>
          <w:tcPr>
            <w:tcW w:w="4434"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color w:val="auto"/>
                <w:highlight w:val="none"/>
              </w:rPr>
            </w:pPr>
            <w:r>
              <w:rPr>
                <w:rFonts w:hint="eastAsia"/>
                <w:color w:val="auto"/>
                <w:szCs w:val="21"/>
                <w:highlight w:val="none"/>
                <w:u w:val="single"/>
              </w:rPr>
              <w:t>具有独立法人资格，持有合法有效的企业法人营业执照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top w:val="single" w:color="auto" w:sz="4" w:space="0"/>
              <w:bottom w:val="single" w:color="auto" w:sz="4" w:space="0"/>
              <w:right w:val="single" w:color="auto" w:sz="4" w:space="0"/>
            </w:tcBorders>
            <w:noWrap w:val="0"/>
            <w:vAlign w:val="center"/>
          </w:tcPr>
          <w:p>
            <w:pPr>
              <w:rPr>
                <w:color w:val="auto"/>
                <w:highlight w:val="none"/>
              </w:rPr>
            </w:pPr>
          </w:p>
        </w:tc>
        <w:tc>
          <w:tcPr>
            <w:tcW w:w="1124"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2558" w:type="dxa"/>
            <w:gridSpan w:val="2"/>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highlight w:val="none"/>
              </w:rPr>
            </w:pPr>
            <w:r>
              <w:rPr>
                <w:color w:val="auto"/>
                <w:highlight w:val="none"/>
              </w:rPr>
              <w:t>资质要求</w:t>
            </w:r>
          </w:p>
        </w:tc>
        <w:tc>
          <w:tcPr>
            <w:tcW w:w="4434"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hint="eastAsia" w:ascii="宋体" w:hAnsi="宋体"/>
                <w:color w:val="auto"/>
                <w:szCs w:val="21"/>
                <w:highlight w:val="none"/>
                <w:u w:val="single"/>
              </w:rPr>
            </w:pPr>
            <w:r>
              <w:rPr>
                <w:rFonts w:hint="eastAsia" w:ascii="宋体" w:hAnsi="宋体"/>
                <w:color w:val="auto"/>
                <w:szCs w:val="21"/>
                <w:highlight w:val="none"/>
                <w:u w:val="single"/>
              </w:rPr>
              <w:t xml:space="preserve"> （1）勘察 ：具备工程勘察综合资质甲级或同时具备工程测量乙级（或以上）与岩土工程乙级资质；或同时具备工程测量乙级（或以上）与岩土工程（岩土工程勘察）乙级与岩土工程（工程物探测试检测监测）乙级（或以上）资质。</w:t>
            </w:r>
          </w:p>
          <w:p>
            <w:pPr>
              <w:spacing w:line="440" w:lineRule="exact"/>
              <w:rPr>
                <w:color w:val="auto"/>
                <w:highlight w:val="none"/>
              </w:rPr>
            </w:pPr>
            <w:r>
              <w:rPr>
                <w:rFonts w:hint="eastAsia" w:ascii="宋体" w:hAnsi="宋体"/>
                <w:color w:val="auto"/>
                <w:szCs w:val="21"/>
                <w:highlight w:val="none"/>
                <w:u w:val="single"/>
              </w:rPr>
              <w:t>（2）设计</w:t>
            </w:r>
            <w:r>
              <w:rPr>
                <w:rFonts w:hint="eastAsia" w:ascii="宋体" w:hAnsi="宋体"/>
                <w:color w:val="auto"/>
                <w:szCs w:val="21"/>
                <w:highlight w:val="none"/>
                <w:u w:val="single"/>
                <w:lang w:eastAsia="zh-CN"/>
              </w:rPr>
              <w:t>：</w:t>
            </w:r>
            <w:r>
              <w:rPr>
                <w:rFonts w:hint="eastAsia" w:ascii="宋体" w:hAnsi="宋体"/>
                <w:color w:val="auto"/>
                <w:szCs w:val="21"/>
                <w:highlight w:val="none"/>
                <w:u w:val="single"/>
              </w:rPr>
              <w:t xml:space="preserve">具备工程设计综合甲级资质或电力行业乙级及以上资质或电力专业（送电、变电）乙级及以上资质。（要求同时具备勘察、设计资质，如无勘察资质须联合体投标）。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top w:val="single" w:color="auto" w:sz="4" w:space="0"/>
              <w:bottom w:val="single" w:color="auto" w:sz="4" w:space="0"/>
              <w:right w:val="single" w:color="auto" w:sz="4" w:space="0"/>
            </w:tcBorders>
            <w:noWrap w:val="0"/>
            <w:vAlign w:val="center"/>
          </w:tcPr>
          <w:p>
            <w:pPr>
              <w:rPr>
                <w:color w:val="auto"/>
                <w:highlight w:val="none"/>
              </w:rPr>
            </w:pPr>
          </w:p>
        </w:tc>
        <w:tc>
          <w:tcPr>
            <w:tcW w:w="1124"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2558" w:type="dxa"/>
            <w:gridSpan w:val="2"/>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highlight w:val="none"/>
              </w:rPr>
            </w:pPr>
            <w:r>
              <w:rPr>
                <w:color w:val="auto"/>
                <w:highlight w:val="none"/>
              </w:rPr>
              <w:t>财务要求</w:t>
            </w:r>
          </w:p>
        </w:tc>
        <w:tc>
          <w:tcPr>
            <w:tcW w:w="4434"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color w:val="auto"/>
                <w:highlight w:val="none"/>
              </w:rPr>
            </w:pP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u w:val="single"/>
              </w:rPr>
              <w:t xml:space="preserve">无要求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top w:val="single" w:color="auto" w:sz="4" w:space="0"/>
              <w:bottom w:val="single" w:color="auto" w:sz="4" w:space="0"/>
              <w:right w:val="single" w:color="auto" w:sz="4" w:space="0"/>
            </w:tcBorders>
            <w:noWrap w:val="0"/>
            <w:vAlign w:val="center"/>
          </w:tcPr>
          <w:p>
            <w:pPr>
              <w:rPr>
                <w:color w:val="auto"/>
                <w:highlight w:val="none"/>
              </w:rPr>
            </w:pPr>
          </w:p>
        </w:tc>
        <w:tc>
          <w:tcPr>
            <w:tcW w:w="1124"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2558" w:type="dxa"/>
            <w:gridSpan w:val="2"/>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highlight w:val="none"/>
              </w:rPr>
            </w:pPr>
            <w:r>
              <w:rPr>
                <w:color w:val="auto"/>
                <w:highlight w:val="none"/>
              </w:rPr>
              <w:t>业绩要求</w:t>
            </w:r>
          </w:p>
        </w:tc>
        <w:tc>
          <w:tcPr>
            <w:tcW w:w="4434"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color w:val="auto"/>
                <w:highlight w:val="none"/>
              </w:rPr>
            </w:pPr>
            <w:r>
              <w:rPr>
                <w:rFonts w:hint="eastAsia" w:ascii="宋体" w:hAnsi="宋体"/>
                <w:color w:val="auto"/>
                <w:szCs w:val="21"/>
                <w:highlight w:val="none"/>
                <w:u w:val="single"/>
              </w:rPr>
              <w:t xml:space="preserve">   无要求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top w:val="single" w:color="auto" w:sz="4" w:space="0"/>
              <w:bottom w:val="single" w:color="auto" w:sz="4" w:space="0"/>
              <w:right w:val="single" w:color="auto" w:sz="4" w:space="0"/>
            </w:tcBorders>
            <w:noWrap w:val="0"/>
            <w:vAlign w:val="center"/>
          </w:tcPr>
          <w:p>
            <w:pPr>
              <w:rPr>
                <w:color w:val="auto"/>
                <w:highlight w:val="none"/>
              </w:rPr>
            </w:pPr>
          </w:p>
        </w:tc>
        <w:tc>
          <w:tcPr>
            <w:tcW w:w="1124"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2558" w:type="dxa"/>
            <w:gridSpan w:val="2"/>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highlight w:val="none"/>
              </w:rPr>
            </w:pPr>
            <w:r>
              <w:rPr>
                <w:color w:val="auto"/>
                <w:highlight w:val="none"/>
              </w:rPr>
              <w:t>信誉要求</w:t>
            </w:r>
          </w:p>
        </w:tc>
        <w:tc>
          <w:tcPr>
            <w:tcW w:w="4434"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color w:val="auto"/>
                <w:highlight w:val="none"/>
              </w:rPr>
            </w:pPr>
            <w:r>
              <w:rPr>
                <w:rFonts w:hint="eastAsia" w:ascii="宋体" w:hAnsi="宋体"/>
                <w:color w:val="auto"/>
                <w:szCs w:val="21"/>
                <w:highlight w:val="none"/>
                <w:u w:val="single"/>
              </w:rPr>
              <w:t xml:space="preserve">   无要求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top w:val="single" w:color="auto" w:sz="4" w:space="0"/>
              <w:bottom w:val="single" w:color="auto" w:sz="4" w:space="0"/>
              <w:right w:val="single" w:color="auto" w:sz="4" w:space="0"/>
            </w:tcBorders>
            <w:noWrap w:val="0"/>
            <w:vAlign w:val="center"/>
          </w:tcPr>
          <w:p>
            <w:pPr>
              <w:rPr>
                <w:color w:val="auto"/>
                <w:highlight w:val="none"/>
              </w:rPr>
            </w:pPr>
          </w:p>
        </w:tc>
        <w:tc>
          <w:tcPr>
            <w:tcW w:w="1124"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2558" w:type="dxa"/>
            <w:gridSpan w:val="2"/>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highlight w:val="none"/>
              </w:rPr>
            </w:pPr>
            <w:r>
              <w:rPr>
                <w:color w:val="auto"/>
                <w:highlight w:val="none"/>
              </w:rPr>
              <w:t>项目负责人</w:t>
            </w:r>
          </w:p>
        </w:tc>
        <w:tc>
          <w:tcPr>
            <w:tcW w:w="4434"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ascii="宋体" w:hAnsi="宋体"/>
                <w:color w:val="auto"/>
                <w:szCs w:val="21"/>
                <w:highlight w:val="none"/>
              </w:rPr>
            </w:pPr>
            <w:r>
              <w:rPr>
                <w:rFonts w:hint="eastAsia" w:ascii="宋体" w:hAnsi="宋体"/>
                <w:color w:val="auto"/>
                <w:szCs w:val="21"/>
                <w:highlight w:val="none"/>
                <w:u w:val="single"/>
              </w:rPr>
              <w:t>具备电力专业高级工程师职称或注册电气工程师资格，注册于牵头方，须提供在本单位投标截止日期前（不含投标当月）半年内连续3个月的社保证明。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top w:val="single" w:color="auto" w:sz="4" w:space="0"/>
              <w:bottom w:val="single" w:color="auto" w:sz="4" w:space="0"/>
              <w:right w:val="single" w:color="auto" w:sz="4" w:space="0"/>
            </w:tcBorders>
            <w:noWrap w:val="0"/>
            <w:vAlign w:val="center"/>
          </w:tcPr>
          <w:p>
            <w:pPr>
              <w:rPr>
                <w:color w:val="auto"/>
                <w:highlight w:val="none"/>
              </w:rPr>
            </w:pPr>
          </w:p>
        </w:tc>
        <w:tc>
          <w:tcPr>
            <w:tcW w:w="1124"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2558" w:type="dxa"/>
            <w:gridSpan w:val="2"/>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highlight w:val="none"/>
              </w:rPr>
            </w:pPr>
            <w:r>
              <w:rPr>
                <w:rFonts w:hint="eastAsia"/>
                <w:color w:val="auto"/>
                <w:highlight w:val="none"/>
              </w:rPr>
              <w:t>其他主要人员</w:t>
            </w:r>
          </w:p>
        </w:tc>
        <w:tc>
          <w:tcPr>
            <w:tcW w:w="4434"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color w:val="auto"/>
                <w:highlight w:val="none"/>
              </w:rPr>
            </w:pPr>
            <w:r>
              <w:rPr>
                <w:rFonts w:hint="eastAsia" w:ascii="宋体" w:hAnsi="宋体"/>
                <w:color w:val="auto"/>
                <w:szCs w:val="21"/>
                <w:highlight w:val="none"/>
                <w:u w:val="single"/>
              </w:rPr>
              <w:t xml:space="preserve">   详见第二章投标人须知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top w:val="single" w:color="auto" w:sz="4" w:space="0"/>
              <w:bottom w:val="single" w:color="auto" w:sz="4" w:space="0"/>
              <w:right w:val="single" w:color="auto" w:sz="4" w:space="0"/>
            </w:tcBorders>
            <w:noWrap w:val="0"/>
            <w:vAlign w:val="center"/>
          </w:tcPr>
          <w:p>
            <w:pPr>
              <w:rPr>
                <w:color w:val="auto"/>
                <w:highlight w:val="none"/>
              </w:rPr>
            </w:pPr>
          </w:p>
        </w:tc>
        <w:tc>
          <w:tcPr>
            <w:tcW w:w="1124"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2558" w:type="dxa"/>
            <w:gridSpan w:val="2"/>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highlight w:val="none"/>
              </w:rPr>
            </w:pPr>
            <w:r>
              <w:rPr>
                <w:rFonts w:hint="eastAsia"/>
                <w:color w:val="auto"/>
                <w:highlight w:val="none"/>
              </w:rPr>
              <w:t>勘察设备要求</w:t>
            </w:r>
          </w:p>
        </w:tc>
        <w:tc>
          <w:tcPr>
            <w:tcW w:w="4434"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color w:val="auto"/>
                <w:highlight w:val="none"/>
              </w:rPr>
            </w:pPr>
            <w:r>
              <w:rPr>
                <w:rFonts w:hint="eastAsia" w:ascii="宋体" w:hAnsi="宋体"/>
                <w:color w:val="auto"/>
                <w:szCs w:val="21"/>
                <w:highlight w:val="none"/>
                <w:u w:val="single"/>
              </w:rPr>
              <w:t xml:space="preserve">   无要求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top w:val="single" w:color="auto" w:sz="4" w:space="0"/>
              <w:bottom w:val="single" w:color="auto" w:sz="4" w:space="0"/>
              <w:right w:val="single" w:color="auto" w:sz="4" w:space="0"/>
            </w:tcBorders>
            <w:noWrap w:val="0"/>
            <w:vAlign w:val="center"/>
          </w:tcPr>
          <w:p>
            <w:pPr>
              <w:rPr>
                <w:color w:val="auto"/>
                <w:highlight w:val="none"/>
              </w:rPr>
            </w:pPr>
          </w:p>
        </w:tc>
        <w:tc>
          <w:tcPr>
            <w:tcW w:w="1124"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2558" w:type="dxa"/>
            <w:gridSpan w:val="2"/>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highlight w:val="none"/>
              </w:rPr>
            </w:pPr>
            <w:r>
              <w:rPr>
                <w:color w:val="auto"/>
                <w:highlight w:val="none"/>
              </w:rPr>
              <w:t>其他要求</w:t>
            </w:r>
          </w:p>
        </w:tc>
        <w:tc>
          <w:tcPr>
            <w:tcW w:w="4434" w:type="dxa"/>
            <w:tcBorders>
              <w:top w:val="single" w:color="auto" w:sz="4" w:space="0"/>
              <w:left w:val="single" w:color="auto" w:sz="4" w:space="0"/>
              <w:bottom w:val="single" w:color="auto" w:sz="4" w:space="0"/>
              <w:right w:val="single" w:color="auto" w:sz="4" w:space="0"/>
            </w:tcBorders>
            <w:noWrap w:val="0"/>
            <w:vAlign w:val="center"/>
          </w:tcPr>
          <w:p>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（1）在工程所在地政府及中国南方电网有限责任公司</w:t>
            </w:r>
            <w:r>
              <w:rPr>
                <w:rFonts w:hint="eastAsia"/>
                <w:color w:val="auto"/>
                <w:szCs w:val="21"/>
                <w:highlight w:val="none"/>
              </w:rPr>
              <w:t>、</w:t>
            </w:r>
            <w:r>
              <w:rPr>
                <w:rFonts w:hint="eastAsia" w:ascii="宋体" w:hAnsi="宋体"/>
                <w:color w:val="auto"/>
                <w:szCs w:val="21"/>
                <w:highlight w:val="none"/>
              </w:rPr>
              <w:t>广东电网有限责任公司</w:t>
            </w:r>
            <w:r>
              <w:rPr>
                <w:rFonts w:hint="eastAsia" w:ascii="宋体" w:hAnsi="宋体" w:cs="宋体"/>
                <w:color w:val="auto"/>
                <w:szCs w:val="21"/>
                <w:highlight w:val="none"/>
              </w:rPr>
              <w:t>没有处于限制投标资格的处罚。</w:t>
            </w:r>
          </w:p>
          <w:p>
            <w:pPr>
              <w:spacing w:line="400" w:lineRule="exact"/>
              <w:rPr>
                <w:rFonts w:hint="eastAsia"/>
                <w:color w:val="auto"/>
                <w:szCs w:val="21"/>
                <w:highlight w:val="none"/>
                <w:u w:val="single"/>
              </w:rPr>
            </w:pPr>
            <w:r>
              <w:rPr>
                <w:rFonts w:hint="eastAsia" w:ascii="宋体" w:hAnsi="宋体" w:cs="宋体"/>
                <w:color w:val="auto"/>
                <w:szCs w:val="21"/>
                <w:highlight w:val="none"/>
              </w:rPr>
              <w:t>（2）</w:t>
            </w:r>
            <w:r>
              <w:rPr>
                <w:rFonts w:hint="eastAsia"/>
                <w:color w:val="auto"/>
                <w:szCs w:val="21"/>
                <w:highlight w:val="none"/>
                <w:u w:val="single"/>
              </w:rPr>
              <w:t>若投标人（包括投标人的委托人、代理人或与投标人有销售、劳务或服务等关系的其他主体）在参加南方电网公司系统的招投标活动或经济往来等过程中曾经存在违法事件的，自南方电网公司发文公布违法事件之日起，在规定时间内不接受该投标人参与公司的招投标活动，具体时间按《中国南方电网有限责任公司供应商行贿行为信息记录及处置办法》的相关规定执行。</w:t>
            </w:r>
          </w:p>
          <w:p>
            <w:pPr>
              <w:spacing w:line="440" w:lineRule="exact"/>
              <w:rPr>
                <w:color w:val="auto"/>
                <w:highlight w:val="none"/>
              </w:rPr>
            </w:pPr>
            <w:r>
              <w:rPr>
                <w:rFonts w:hint="eastAsia"/>
                <w:color w:val="auto"/>
                <w:szCs w:val="21"/>
                <w:highlight w:val="none"/>
                <w:u w:val="single"/>
              </w:rPr>
              <w:t>（3）</w:t>
            </w:r>
            <w:r>
              <w:rPr>
                <w:rFonts w:hint="eastAsia" w:ascii="宋体" w:hAnsi="宋体" w:cs="宋体"/>
                <w:color w:val="auto"/>
                <w:szCs w:val="21"/>
                <w:highlight w:val="none"/>
                <w:u w:val="single"/>
              </w:rPr>
              <w:t xml:space="preserve">                /              </w:t>
            </w:r>
            <w:r>
              <w:rPr>
                <w:rFonts w:hint="eastAsia" w:ascii="宋体" w:hAnsi="宋体"/>
                <w:color w:val="auto"/>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top w:val="single" w:color="auto" w:sz="4" w:space="0"/>
              <w:bottom w:val="single" w:color="auto" w:sz="4" w:space="0"/>
              <w:right w:val="single" w:color="auto" w:sz="4" w:space="0"/>
            </w:tcBorders>
            <w:noWrap w:val="0"/>
            <w:vAlign w:val="center"/>
          </w:tcPr>
          <w:p>
            <w:pPr>
              <w:rPr>
                <w:color w:val="auto"/>
                <w:highlight w:val="none"/>
              </w:rPr>
            </w:pPr>
          </w:p>
        </w:tc>
        <w:tc>
          <w:tcPr>
            <w:tcW w:w="1124"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2558" w:type="dxa"/>
            <w:gridSpan w:val="2"/>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highlight w:val="none"/>
              </w:rPr>
            </w:pPr>
            <w:r>
              <w:rPr>
                <w:color w:val="auto"/>
                <w:highlight w:val="none"/>
              </w:rPr>
              <w:t>联合体投标人</w:t>
            </w:r>
          </w:p>
        </w:tc>
        <w:tc>
          <w:tcPr>
            <w:tcW w:w="4434"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color w:val="auto"/>
                <w:szCs w:val="21"/>
                <w:highlight w:val="none"/>
                <w:u w:val="single"/>
              </w:rPr>
            </w:pPr>
            <w:r>
              <w:rPr>
                <w:rFonts w:hint="eastAsia" w:ascii="宋体" w:hAnsi="宋体"/>
                <w:color w:val="auto"/>
                <w:szCs w:val="21"/>
                <w:highlight w:val="none"/>
                <w:u w:val="single"/>
              </w:rPr>
              <w:t>符合：</w:t>
            </w:r>
            <w:r>
              <w:rPr>
                <w:rFonts w:hint="eastAsia"/>
                <w:color w:val="auto"/>
                <w:szCs w:val="21"/>
                <w:highlight w:val="none"/>
                <w:u w:val="single"/>
              </w:rPr>
              <w:t>如联合体投标，（</w:t>
            </w:r>
            <w:r>
              <w:rPr>
                <w:color w:val="auto"/>
                <w:szCs w:val="21"/>
                <w:highlight w:val="none"/>
                <w:u w:val="single"/>
              </w:rPr>
              <w:t>1</w:t>
            </w:r>
            <w:r>
              <w:rPr>
                <w:rFonts w:hint="eastAsia"/>
                <w:color w:val="auto"/>
                <w:szCs w:val="21"/>
                <w:highlight w:val="none"/>
                <w:u w:val="single"/>
              </w:rPr>
              <w:t>）联合体各方应按招标文件提供的格式签订联合体协议书，明确联合体牵头人和各方权利义务；</w:t>
            </w:r>
          </w:p>
          <w:p>
            <w:pPr>
              <w:spacing w:line="440" w:lineRule="exact"/>
              <w:rPr>
                <w:color w:val="auto"/>
                <w:szCs w:val="21"/>
                <w:highlight w:val="none"/>
                <w:u w:val="single"/>
              </w:rPr>
            </w:pPr>
            <w:r>
              <w:rPr>
                <w:rFonts w:hint="eastAsia"/>
                <w:color w:val="auto"/>
                <w:szCs w:val="21"/>
                <w:highlight w:val="none"/>
                <w:u w:val="single"/>
              </w:rPr>
              <w:t>（</w:t>
            </w:r>
            <w:r>
              <w:rPr>
                <w:color w:val="auto"/>
                <w:szCs w:val="21"/>
                <w:highlight w:val="none"/>
                <w:u w:val="single"/>
              </w:rPr>
              <w:t>2</w:t>
            </w:r>
            <w:r>
              <w:rPr>
                <w:rFonts w:hint="eastAsia"/>
                <w:color w:val="auto"/>
                <w:szCs w:val="21"/>
                <w:highlight w:val="none"/>
                <w:u w:val="single"/>
              </w:rPr>
              <w:t>）联合体成员均须具备分工专业需要的资质证书；由同一专业的单位组成的联合体，按照资质等级较低的单位确定资质等级；</w:t>
            </w:r>
          </w:p>
          <w:p>
            <w:pPr>
              <w:spacing w:line="440" w:lineRule="exact"/>
              <w:rPr>
                <w:rFonts w:hint="eastAsia" w:hAnsi="宋体"/>
                <w:color w:val="auto"/>
                <w:szCs w:val="21"/>
                <w:highlight w:val="none"/>
                <w:u w:val="single"/>
              </w:rPr>
            </w:pPr>
            <w:r>
              <w:rPr>
                <w:rFonts w:hint="eastAsia" w:hAnsi="宋体"/>
                <w:color w:val="auto"/>
                <w:szCs w:val="21"/>
                <w:highlight w:val="none"/>
                <w:u w:val="single"/>
              </w:rPr>
              <w:t>（</w:t>
            </w:r>
            <w:r>
              <w:rPr>
                <w:rFonts w:hAnsi="宋体"/>
                <w:color w:val="auto"/>
                <w:szCs w:val="21"/>
                <w:highlight w:val="none"/>
                <w:u w:val="single"/>
              </w:rPr>
              <w:t>3</w:t>
            </w:r>
            <w:r>
              <w:rPr>
                <w:rFonts w:hint="eastAsia" w:hAnsi="宋体"/>
                <w:color w:val="auto"/>
                <w:szCs w:val="21"/>
                <w:highlight w:val="none"/>
                <w:u w:val="single"/>
              </w:rPr>
              <w:t>）联合体各方不得再以自己名义单独或参加其他联合体在同一标段中投标。</w:t>
            </w:r>
          </w:p>
          <w:p>
            <w:pPr>
              <w:spacing w:line="440" w:lineRule="exact"/>
              <w:rPr>
                <w:color w:val="auto"/>
                <w:highlight w:val="none"/>
              </w:rPr>
            </w:pPr>
            <w:r>
              <w:rPr>
                <w:rFonts w:hint="eastAsia"/>
                <w:color w:val="auto"/>
                <w:szCs w:val="21"/>
                <w:highlight w:val="none"/>
                <w:u w:val="single"/>
              </w:rPr>
              <w:t>（4）联合体中牵头人应具备设计资质且在联合体职责分工中从事设计工作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top w:val="single" w:color="auto" w:sz="4" w:space="0"/>
              <w:bottom w:val="single" w:color="auto" w:sz="4" w:space="0"/>
              <w:right w:val="single" w:color="auto" w:sz="4" w:space="0"/>
            </w:tcBorders>
            <w:noWrap w:val="0"/>
            <w:vAlign w:val="center"/>
          </w:tcPr>
          <w:p>
            <w:pPr>
              <w:rPr>
                <w:color w:val="auto"/>
                <w:highlight w:val="none"/>
              </w:rPr>
            </w:pPr>
          </w:p>
        </w:tc>
        <w:tc>
          <w:tcPr>
            <w:tcW w:w="1124"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2558" w:type="dxa"/>
            <w:gridSpan w:val="2"/>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highlight w:val="none"/>
              </w:rPr>
            </w:pPr>
            <w:r>
              <w:rPr>
                <w:color w:val="auto"/>
                <w:highlight w:val="none"/>
              </w:rPr>
              <w:t>不存在禁止投标的情形</w:t>
            </w:r>
          </w:p>
        </w:tc>
        <w:tc>
          <w:tcPr>
            <w:tcW w:w="4434"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hint="eastAsia"/>
                <w:color w:val="auto"/>
                <w:highlight w:val="none"/>
              </w:rPr>
            </w:pPr>
            <w:r>
              <w:rPr>
                <w:rFonts w:hint="eastAsia"/>
                <w:color w:val="auto"/>
                <w:highlight w:val="none"/>
              </w:rPr>
              <w:t>符合不存在下列任何一种情形：</w:t>
            </w:r>
          </w:p>
          <w:p>
            <w:pPr>
              <w:spacing w:line="440" w:lineRule="exact"/>
              <w:rPr>
                <w:rFonts w:hint="eastAsia"/>
                <w:color w:val="auto"/>
                <w:highlight w:val="none"/>
              </w:rPr>
            </w:pPr>
            <w:r>
              <w:rPr>
                <w:rFonts w:hint="eastAsia"/>
                <w:color w:val="auto"/>
                <w:highlight w:val="none"/>
              </w:rPr>
              <w:t>（1）为招标人不具有独立法人资格的附属机构（单位）；</w:t>
            </w:r>
          </w:p>
          <w:p>
            <w:pPr>
              <w:spacing w:line="440" w:lineRule="exact"/>
              <w:rPr>
                <w:rFonts w:hint="eastAsia"/>
                <w:color w:val="auto"/>
                <w:highlight w:val="none"/>
              </w:rPr>
            </w:pPr>
            <w:r>
              <w:rPr>
                <w:rFonts w:hint="eastAsia"/>
                <w:color w:val="auto"/>
                <w:highlight w:val="none"/>
              </w:rPr>
              <w:t>（2）与招标人存在利害关系且可能影响招标公正性；</w:t>
            </w:r>
          </w:p>
          <w:p>
            <w:pPr>
              <w:spacing w:line="440" w:lineRule="exact"/>
              <w:rPr>
                <w:rFonts w:hint="eastAsia"/>
                <w:color w:val="auto"/>
                <w:highlight w:val="none"/>
              </w:rPr>
            </w:pPr>
            <w:r>
              <w:rPr>
                <w:rFonts w:hint="eastAsia"/>
                <w:color w:val="auto"/>
                <w:highlight w:val="none"/>
              </w:rPr>
              <w:t>（3）与本招标项目的其他投标人为同一个单位负责人；</w:t>
            </w:r>
          </w:p>
          <w:p>
            <w:pPr>
              <w:spacing w:line="440" w:lineRule="exact"/>
              <w:rPr>
                <w:rFonts w:hint="eastAsia"/>
                <w:color w:val="auto"/>
                <w:highlight w:val="none"/>
              </w:rPr>
            </w:pPr>
            <w:r>
              <w:rPr>
                <w:rFonts w:hint="eastAsia"/>
                <w:color w:val="auto"/>
                <w:highlight w:val="none"/>
              </w:rPr>
              <w:t>（4）与本招标项目的其他投标人存在控股、管理关系；</w:t>
            </w:r>
          </w:p>
          <w:p>
            <w:pPr>
              <w:spacing w:line="440" w:lineRule="exact"/>
              <w:rPr>
                <w:rFonts w:hint="eastAsia"/>
                <w:color w:val="auto"/>
                <w:highlight w:val="none"/>
              </w:rPr>
            </w:pPr>
            <w:r>
              <w:rPr>
                <w:rFonts w:hint="eastAsia"/>
                <w:color w:val="auto"/>
                <w:highlight w:val="none"/>
              </w:rPr>
              <w:t>（5）为本招标项目的代建人；</w:t>
            </w:r>
          </w:p>
          <w:p>
            <w:pPr>
              <w:spacing w:line="440" w:lineRule="exact"/>
              <w:rPr>
                <w:rFonts w:hint="eastAsia"/>
                <w:color w:val="auto"/>
                <w:highlight w:val="none"/>
              </w:rPr>
            </w:pPr>
            <w:r>
              <w:rPr>
                <w:rFonts w:hint="eastAsia"/>
                <w:color w:val="auto"/>
                <w:highlight w:val="none"/>
              </w:rPr>
              <w:t>（6）为本招标项目的招标代理机构；</w:t>
            </w:r>
          </w:p>
          <w:p>
            <w:pPr>
              <w:spacing w:line="440" w:lineRule="exact"/>
              <w:rPr>
                <w:rFonts w:hint="eastAsia"/>
                <w:color w:val="auto"/>
                <w:highlight w:val="none"/>
              </w:rPr>
            </w:pPr>
            <w:r>
              <w:rPr>
                <w:rFonts w:hint="eastAsia"/>
                <w:color w:val="auto"/>
                <w:highlight w:val="none"/>
              </w:rPr>
              <w:t>（7）与本招标项目的代建人或招标代理机构同为一个法定代表人；</w:t>
            </w:r>
          </w:p>
          <w:p>
            <w:pPr>
              <w:spacing w:line="440" w:lineRule="exact"/>
              <w:rPr>
                <w:rFonts w:hint="eastAsia"/>
                <w:color w:val="auto"/>
                <w:highlight w:val="none"/>
              </w:rPr>
            </w:pPr>
            <w:r>
              <w:rPr>
                <w:rFonts w:hint="eastAsia"/>
                <w:color w:val="auto"/>
                <w:highlight w:val="none"/>
              </w:rPr>
              <w:t>（8）与本招标项目的代建人或招标代理机构存在控股或参股关系；</w:t>
            </w:r>
          </w:p>
          <w:p>
            <w:pPr>
              <w:spacing w:line="440" w:lineRule="exact"/>
              <w:rPr>
                <w:rFonts w:hint="eastAsia"/>
                <w:color w:val="auto"/>
                <w:highlight w:val="none"/>
              </w:rPr>
            </w:pPr>
            <w:r>
              <w:rPr>
                <w:rFonts w:hint="eastAsia"/>
                <w:color w:val="auto"/>
                <w:highlight w:val="none"/>
              </w:rPr>
              <w:t>（9）被依法暂停或者取消投标资格；</w:t>
            </w:r>
          </w:p>
          <w:p>
            <w:pPr>
              <w:spacing w:line="440" w:lineRule="exact"/>
              <w:rPr>
                <w:rFonts w:hint="eastAsia"/>
                <w:color w:val="auto"/>
                <w:highlight w:val="none"/>
              </w:rPr>
            </w:pPr>
            <w:r>
              <w:rPr>
                <w:rFonts w:hint="eastAsia"/>
                <w:color w:val="auto"/>
                <w:highlight w:val="none"/>
              </w:rPr>
              <w:t>（10）被责令停产停业、暂扣或者吊销许可证、暂扣或者吊销执照；</w:t>
            </w:r>
          </w:p>
          <w:p>
            <w:pPr>
              <w:spacing w:line="440" w:lineRule="exact"/>
              <w:rPr>
                <w:rFonts w:hint="eastAsia"/>
                <w:color w:val="auto"/>
                <w:highlight w:val="none"/>
              </w:rPr>
            </w:pPr>
            <w:r>
              <w:rPr>
                <w:rFonts w:hint="eastAsia"/>
                <w:color w:val="auto"/>
                <w:highlight w:val="none"/>
              </w:rPr>
              <w:t>（11）进入清算程序，或被宣告破产，或其他丧失履约能力的情形；</w:t>
            </w:r>
          </w:p>
          <w:p>
            <w:pPr>
              <w:spacing w:line="440" w:lineRule="exact"/>
              <w:rPr>
                <w:rFonts w:hint="eastAsia"/>
                <w:color w:val="auto"/>
                <w:highlight w:val="none"/>
              </w:rPr>
            </w:pPr>
            <w:r>
              <w:rPr>
                <w:rFonts w:hint="eastAsia"/>
                <w:color w:val="auto"/>
                <w:highlight w:val="none"/>
              </w:rPr>
              <w:t>（12）在最近三年内发生重大勘察或设计质量问题（以相关行业主管部门的行政处罚决定或司法机关出具的有关法律文书为准）；</w:t>
            </w:r>
          </w:p>
          <w:p>
            <w:pPr>
              <w:spacing w:line="440" w:lineRule="exact"/>
              <w:rPr>
                <w:rFonts w:hint="eastAsia"/>
                <w:color w:val="auto"/>
                <w:highlight w:val="none"/>
              </w:rPr>
            </w:pPr>
            <w:r>
              <w:rPr>
                <w:rFonts w:hint="eastAsia"/>
                <w:color w:val="auto"/>
                <w:highlight w:val="none"/>
              </w:rPr>
              <w:t>（13）被工商行政管理机关在全国企业信用信息公示系统中列入严重违法失信企业名单；</w:t>
            </w:r>
          </w:p>
          <w:p>
            <w:pPr>
              <w:spacing w:line="440" w:lineRule="exact"/>
              <w:rPr>
                <w:rFonts w:hint="eastAsia"/>
                <w:color w:val="auto"/>
                <w:highlight w:val="none"/>
              </w:rPr>
            </w:pPr>
            <w:r>
              <w:rPr>
                <w:rFonts w:hint="eastAsia"/>
                <w:color w:val="auto"/>
                <w:highlight w:val="none"/>
              </w:rPr>
              <w:t>（14）被最高人民法院在“信用中国”网站（www.creditchina.gov.cn）或各级信用信息共享平台中列入失信被执行人名单；</w:t>
            </w:r>
          </w:p>
          <w:p>
            <w:pPr>
              <w:spacing w:line="440" w:lineRule="exact"/>
              <w:rPr>
                <w:rFonts w:hint="eastAsia"/>
                <w:color w:val="auto"/>
                <w:highlight w:val="none"/>
              </w:rPr>
            </w:pPr>
            <w:r>
              <w:rPr>
                <w:rFonts w:hint="eastAsia"/>
                <w:color w:val="auto"/>
                <w:highlight w:val="none"/>
              </w:rPr>
              <w:t>（15）在近三年内投标人或其法定代表人、拟委任的项目负责人有行贿犯罪行为的；</w:t>
            </w:r>
          </w:p>
          <w:p>
            <w:pPr>
              <w:spacing w:line="440" w:lineRule="exact"/>
              <w:rPr>
                <w:rFonts w:hint="eastAsia"/>
                <w:color w:val="auto"/>
                <w:highlight w:val="none"/>
              </w:rPr>
            </w:pPr>
            <w:r>
              <w:rPr>
                <w:rFonts w:hint="eastAsia"/>
                <w:color w:val="auto"/>
                <w:highlight w:val="none"/>
              </w:rPr>
              <w:t>（16）已放弃中标的单位重新参与此标段重新招标的投标；</w:t>
            </w:r>
          </w:p>
          <w:p>
            <w:pPr>
              <w:spacing w:line="440" w:lineRule="exact"/>
              <w:rPr>
                <w:color w:val="auto"/>
                <w:highlight w:val="none"/>
              </w:rPr>
            </w:pPr>
            <w:r>
              <w:rPr>
                <w:rFonts w:hint="eastAsia"/>
                <w:color w:val="auto"/>
                <w:highlight w:val="none"/>
              </w:rPr>
              <w:t>（17）法律法规或投标人须知前附表规定的其他情形。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restart"/>
            <w:tcBorders>
              <w:top w:val="single" w:color="auto" w:sz="4" w:space="0"/>
              <w:bottom w:val="single" w:color="auto" w:sz="4" w:space="0"/>
              <w:right w:val="single" w:color="auto" w:sz="4" w:space="0"/>
            </w:tcBorders>
            <w:noWrap w:val="0"/>
            <w:vAlign w:val="center"/>
          </w:tcPr>
          <w:p>
            <w:pPr>
              <w:spacing w:line="440" w:lineRule="exact"/>
              <w:jc w:val="center"/>
              <w:rPr>
                <w:color w:val="auto"/>
                <w:highlight w:val="none"/>
              </w:rPr>
            </w:pPr>
            <w:r>
              <w:rPr>
                <w:color w:val="auto"/>
                <w:highlight w:val="none"/>
              </w:rPr>
              <w:t>2.1.3</w:t>
            </w:r>
          </w:p>
        </w:tc>
        <w:tc>
          <w:tcPr>
            <w:tcW w:w="1124"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highlight w:val="none"/>
              </w:rPr>
            </w:pPr>
            <w:r>
              <w:rPr>
                <w:color w:val="auto"/>
                <w:highlight w:val="none"/>
              </w:rPr>
              <w:t>响应性评审标准</w:t>
            </w:r>
          </w:p>
        </w:tc>
        <w:tc>
          <w:tcPr>
            <w:tcW w:w="2558" w:type="dxa"/>
            <w:gridSpan w:val="2"/>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highlight w:val="none"/>
              </w:rPr>
            </w:pPr>
            <w:r>
              <w:rPr>
                <w:color w:val="auto"/>
                <w:highlight w:val="none"/>
              </w:rPr>
              <w:t>投标报价</w:t>
            </w:r>
          </w:p>
        </w:tc>
        <w:tc>
          <w:tcPr>
            <w:tcW w:w="4434" w:type="dxa"/>
            <w:tcBorders>
              <w:top w:val="single" w:color="auto" w:sz="4" w:space="0"/>
              <w:left w:val="single" w:color="auto" w:sz="4" w:space="0"/>
              <w:bottom w:val="single" w:color="auto" w:sz="4" w:space="0"/>
            </w:tcBorders>
            <w:noWrap w:val="0"/>
            <w:vAlign w:val="center"/>
          </w:tcPr>
          <w:p>
            <w:pPr>
              <w:spacing w:line="360" w:lineRule="auto"/>
              <w:rPr>
                <w:rFonts w:hint="eastAsia"/>
              </w:rPr>
            </w:pPr>
            <w:r>
              <w:rPr>
                <w:rFonts w:hint="eastAsia"/>
              </w:rPr>
              <w:t>投标函只能有一个投标报价，且</w:t>
            </w:r>
            <w:r>
              <w:t>符合</w:t>
            </w:r>
            <w:r>
              <w:rPr>
                <w:rFonts w:hint="eastAsia"/>
              </w:rPr>
              <w:t>：</w:t>
            </w:r>
          </w:p>
          <w:p>
            <w:pPr>
              <w:numPr>
                <w:ilvl w:val="0"/>
                <w:numId w:val="9"/>
              </w:numPr>
              <w:spacing w:line="360" w:lineRule="auto"/>
              <w:rPr>
                <w:rFonts w:hint="eastAsia"/>
              </w:rPr>
            </w:pPr>
            <w:r>
              <w:rPr>
                <w:rFonts w:hint="eastAsia"/>
              </w:rPr>
              <w:t>有效投标报价：投标下浮率≥</w:t>
            </w:r>
            <w:r>
              <w:t>20</w:t>
            </w:r>
            <w:r>
              <w:rPr>
                <w:rFonts w:hint="eastAsia"/>
              </w:rPr>
              <w:t>%，且不低于其成本。非竞争性费用报价项（如有）按照招标人公布的金额进行报列，不得自行变更，否则视为原则性不响应招标文件要求，作否决投标处理。</w:t>
            </w:r>
          </w:p>
          <w:p>
            <w:pPr>
              <w:pStyle w:val="2"/>
              <w:numPr>
                <w:ilvl w:val="0"/>
                <w:numId w:val="9"/>
              </w:numPr>
            </w:pPr>
            <w:r>
              <w:rPr>
                <w:rFonts w:hint="eastAsia"/>
                <w:szCs w:val="21"/>
              </w:rPr>
              <w:t>成本警示价：</w:t>
            </w:r>
            <w:r>
              <w:rPr>
                <w:rFonts w:hint="eastAsia" w:hAnsi="宋体"/>
                <w:szCs w:val="21"/>
              </w:rPr>
              <w:t>投标下浮率＞</w:t>
            </w:r>
            <w:r>
              <w:rPr>
                <w:rFonts w:hint="eastAsia" w:hAnsi="宋体"/>
                <w:szCs w:val="21"/>
                <w:lang w:val="en-US" w:eastAsia="zh-CN"/>
              </w:rPr>
              <w:t>3</w:t>
            </w:r>
            <w:r>
              <w:rPr>
                <w:rFonts w:hint="eastAsia" w:hAnsi="宋体"/>
                <w:szCs w:val="21"/>
              </w:rPr>
              <w:t>0%时，应在投标文件中附成本分析报告，充分说明单价和费用的组成、降低成本的合理措施及在其他工程中应用过的经验等，否则视为原则性不响应招标文件要求，作否决投标处理</w:t>
            </w:r>
            <w:r>
              <w:rPr>
                <w:rFonts w:hint="eastAsia"/>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top w:val="single" w:color="auto" w:sz="4" w:space="0"/>
              <w:bottom w:val="single" w:color="auto" w:sz="4" w:space="0"/>
              <w:right w:val="single" w:color="auto" w:sz="4" w:space="0"/>
            </w:tcBorders>
            <w:noWrap w:val="0"/>
            <w:vAlign w:val="center"/>
          </w:tcPr>
          <w:p>
            <w:pPr>
              <w:spacing w:line="440" w:lineRule="exact"/>
              <w:jc w:val="center"/>
              <w:rPr>
                <w:color w:val="auto"/>
                <w:highlight w:val="none"/>
              </w:rPr>
            </w:pPr>
          </w:p>
        </w:tc>
        <w:tc>
          <w:tcPr>
            <w:tcW w:w="1124"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highlight w:val="none"/>
              </w:rPr>
            </w:pPr>
          </w:p>
        </w:tc>
        <w:tc>
          <w:tcPr>
            <w:tcW w:w="2558" w:type="dxa"/>
            <w:gridSpan w:val="2"/>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highlight w:val="none"/>
              </w:rPr>
            </w:pPr>
            <w:r>
              <w:rPr>
                <w:rFonts w:hint="eastAsia"/>
                <w:color w:val="auto"/>
                <w:highlight w:val="none"/>
              </w:rPr>
              <w:t>勘察</w:t>
            </w:r>
            <w:r>
              <w:rPr>
                <w:color w:val="auto"/>
                <w:highlight w:val="none"/>
              </w:rPr>
              <w:t>设计服务期限</w:t>
            </w:r>
          </w:p>
        </w:tc>
        <w:tc>
          <w:tcPr>
            <w:tcW w:w="4434" w:type="dxa"/>
            <w:tcBorders>
              <w:top w:val="single" w:color="auto" w:sz="4" w:space="0"/>
              <w:left w:val="single" w:color="auto" w:sz="4" w:space="0"/>
              <w:bottom w:val="single" w:color="auto" w:sz="4" w:space="0"/>
            </w:tcBorders>
            <w:noWrap w:val="0"/>
            <w:vAlign w:val="center"/>
          </w:tcPr>
          <w:p>
            <w:pPr>
              <w:spacing w:line="360" w:lineRule="auto"/>
              <w:rPr>
                <w:rFonts w:hint="eastAsia"/>
                <w:color w:val="auto"/>
                <w:highlight w:val="none"/>
              </w:rPr>
            </w:pPr>
            <w:r>
              <w:rPr>
                <w:color w:val="auto"/>
                <w:highlight w:val="none"/>
              </w:rPr>
              <w:t>1</w:t>
            </w:r>
            <w:r>
              <w:rPr>
                <w:rFonts w:hint="eastAsia"/>
                <w:color w:val="auto"/>
                <w:highlight w:val="none"/>
                <w:lang w:eastAsia="zh-Hans"/>
              </w:rPr>
              <w:t>、</w:t>
            </w:r>
            <w:r>
              <w:rPr>
                <w:rFonts w:hint="eastAsia"/>
                <w:color w:val="auto"/>
                <w:highlight w:val="none"/>
              </w:rPr>
              <w:t>勘察工期:勘察成果的进度由中标人根据设计成果的进度要求自行控制，但勘察成果需满足初步设计送审、评审和报批，满足施工图设计送审、报批和备案的时间及深度要求:</w:t>
            </w:r>
          </w:p>
          <w:p>
            <w:pPr>
              <w:spacing w:line="360" w:lineRule="auto"/>
              <w:jc w:val="left"/>
              <w:rPr>
                <w:color w:val="auto"/>
                <w:highlight w:val="none"/>
              </w:rPr>
            </w:pPr>
            <w:r>
              <w:rPr>
                <w:color w:val="auto"/>
                <w:highlight w:val="none"/>
                <w:lang w:eastAsia="zh-Hans"/>
              </w:rPr>
              <w:t>2</w:t>
            </w:r>
            <w:r>
              <w:rPr>
                <w:rFonts w:hint="eastAsia"/>
                <w:color w:val="auto"/>
                <w:highlight w:val="none"/>
                <w:lang w:eastAsia="zh-Hans"/>
              </w:rPr>
              <w:t>、设计工程：</w:t>
            </w:r>
            <w:r>
              <w:rPr>
                <w:rFonts w:hint="eastAsia"/>
                <w:color w:val="auto"/>
                <w:highlight w:val="none"/>
              </w:rPr>
              <w:t>总设计工期</w:t>
            </w:r>
            <w:r>
              <w:rPr>
                <w:rFonts w:hint="default"/>
                <w:color w:val="auto"/>
                <w:highlight w:val="none"/>
              </w:rPr>
              <w:t>90</w:t>
            </w:r>
            <w:r>
              <w:rPr>
                <w:color w:val="auto"/>
                <w:highlight w:val="none"/>
              </w:rPr>
              <w:t>天（不包含招标人对图纸审核的时间）</w:t>
            </w:r>
          </w:p>
          <w:p>
            <w:pPr>
              <w:spacing w:line="440" w:lineRule="exact"/>
              <w:jc w:val="left"/>
              <w:rPr>
                <w:color w:val="auto"/>
                <w:highlight w:val="none"/>
              </w:rPr>
            </w:pPr>
            <w:r>
              <w:rPr>
                <w:color w:val="auto"/>
                <w:highlight w:val="none"/>
              </w:rPr>
              <w:t>（</w:t>
            </w:r>
            <w:r>
              <w:rPr>
                <w:rFonts w:hint="eastAsia"/>
                <w:color w:val="auto"/>
                <w:highlight w:val="none"/>
              </w:rPr>
              <w:t>1</w:t>
            </w:r>
            <w:r>
              <w:rPr>
                <w:color w:val="auto"/>
                <w:highlight w:val="none"/>
              </w:rPr>
              <w:t>）方案设计及调整：自中标通知书发出</w:t>
            </w:r>
            <w:r>
              <w:rPr>
                <w:rFonts w:hint="eastAsia"/>
                <w:color w:val="auto"/>
                <w:highlight w:val="none"/>
                <w:u w:val="none"/>
                <w:lang w:val="en-US" w:eastAsia="zh-CN"/>
              </w:rPr>
              <w:t>并取得路径盖章和相关部门复函</w:t>
            </w:r>
            <w:r>
              <w:rPr>
                <w:rFonts w:hint="eastAsia"/>
                <w:color w:val="auto"/>
                <w:highlight w:val="none"/>
              </w:rPr>
              <w:t xml:space="preserve">后 10个日历天内向招标人提交设计方案送审稿，送审稿评审通过后 </w:t>
            </w:r>
            <w:r>
              <w:rPr>
                <w:color w:val="auto"/>
                <w:highlight w:val="none"/>
              </w:rPr>
              <w:t>5</w:t>
            </w:r>
            <w:r>
              <w:rPr>
                <w:rFonts w:hint="eastAsia"/>
                <w:color w:val="auto"/>
                <w:highlight w:val="none"/>
              </w:rPr>
              <w:t xml:space="preserve"> 个日历天内向招标人提交修改后的正式方案</w:t>
            </w:r>
            <w:r>
              <w:rPr>
                <w:color w:val="auto"/>
                <w:highlight w:val="none"/>
              </w:rPr>
              <w:t>；</w:t>
            </w:r>
          </w:p>
          <w:p>
            <w:pPr>
              <w:spacing w:line="440" w:lineRule="exact"/>
              <w:jc w:val="left"/>
              <w:rPr>
                <w:color w:val="auto"/>
                <w:highlight w:val="none"/>
              </w:rPr>
            </w:pPr>
            <w:r>
              <w:rPr>
                <w:color w:val="auto"/>
                <w:highlight w:val="none"/>
              </w:rPr>
              <w:t>（</w:t>
            </w:r>
            <w:r>
              <w:rPr>
                <w:rFonts w:hint="eastAsia"/>
                <w:color w:val="auto"/>
                <w:highlight w:val="none"/>
              </w:rPr>
              <w:t>2</w:t>
            </w:r>
            <w:r>
              <w:rPr>
                <w:color w:val="auto"/>
                <w:highlight w:val="none"/>
              </w:rPr>
              <w:t>）初步设计：</w:t>
            </w:r>
            <w:r>
              <w:rPr>
                <w:rFonts w:hint="eastAsia"/>
                <w:color w:val="auto"/>
                <w:highlight w:val="none"/>
              </w:rPr>
              <w:t xml:space="preserve">方案设计文件正式评审通过后 20个日历天内向招标人提交正式初步设计文件（含概算书），并按要求配合招标人办理有关初步设计审查手续； </w:t>
            </w:r>
          </w:p>
          <w:p>
            <w:pPr>
              <w:spacing w:line="440" w:lineRule="exact"/>
              <w:jc w:val="left"/>
              <w:rPr>
                <w:rFonts w:hint="eastAsia"/>
                <w:color w:val="auto"/>
                <w:highlight w:val="none"/>
              </w:rPr>
            </w:pPr>
            <w:r>
              <w:rPr>
                <w:color w:val="auto"/>
                <w:highlight w:val="none"/>
              </w:rPr>
              <w:t>（</w:t>
            </w:r>
            <w:r>
              <w:rPr>
                <w:rFonts w:hint="eastAsia"/>
                <w:color w:val="auto"/>
                <w:highlight w:val="none"/>
              </w:rPr>
              <w:t>3</w:t>
            </w:r>
            <w:r>
              <w:rPr>
                <w:color w:val="auto"/>
                <w:highlight w:val="none"/>
              </w:rPr>
              <w:t>）</w:t>
            </w:r>
            <w:r>
              <w:rPr>
                <w:rFonts w:hint="eastAsia"/>
                <w:color w:val="auto"/>
                <w:highlight w:val="none"/>
              </w:rPr>
              <w:t xml:space="preserve">施工图设计阶段：初步设计文件正式评审通过后 50个日历天内向招标人提交施工图设计文件送审稿和相关资料，送审稿审查通过后 5 个日历天内向招标人提交修改后的正式施工图设计文件和相关资料。 </w:t>
            </w:r>
          </w:p>
          <w:p>
            <w:pPr>
              <w:spacing w:line="440" w:lineRule="exact"/>
              <w:jc w:val="left"/>
              <w:rPr>
                <w:color w:val="auto"/>
                <w:highlight w:val="none"/>
              </w:rPr>
            </w:pPr>
            <w:r>
              <w:rPr>
                <w:rFonts w:hint="eastAsia"/>
                <w:color w:val="auto"/>
                <w:highlight w:val="none"/>
              </w:rPr>
              <w:t>（4）</w:t>
            </w:r>
            <w:r>
              <w:rPr>
                <w:color w:val="auto"/>
                <w:highlight w:val="none"/>
              </w:rPr>
              <w:t>施工现场配合服务：自取得施工图审查备案凭证之日起，至项目范围内所有工程竣工验收合格之日止</w:t>
            </w: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top w:val="single" w:color="auto" w:sz="4" w:space="0"/>
              <w:bottom w:val="single" w:color="auto" w:sz="4" w:space="0"/>
              <w:right w:val="single" w:color="auto" w:sz="4" w:space="0"/>
            </w:tcBorders>
            <w:noWrap w:val="0"/>
            <w:vAlign w:val="center"/>
          </w:tcPr>
          <w:p>
            <w:pPr>
              <w:spacing w:line="440" w:lineRule="exact"/>
              <w:jc w:val="center"/>
              <w:rPr>
                <w:color w:val="auto"/>
                <w:highlight w:val="none"/>
              </w:rPr>
            </w:pPr>
          </w:p>
        </w:tc>
        <w:tc>
          <w:tcPr>
            <w:tcW w:w="1124"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highlight w:val="none"/>
              </w:rPr>
            </w:pPr>
          </w:p>
        </w:tc>
        <w:tc>
          <w:tcPr>
            <w:tcW w:w="2558" w:type="dxa"/>
            <w:gridSpan w:val="2"/>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highlight w:val="none"/>
              </w:rPr>
            </w:pPr>
            <w:r>
              <w:rPr>
                <w:rFonts w:hint="eastAsia"/>
                <w:color w:val="auto"/>
                <w:highlight w:val="none"/>
              </w:rPr>
              <w:t>质量标准</w:t>
            </w:r>
          </w:p>
        </w:tc>
        <w:tc>
          <w:tcPr>
            <w:tcW w:w="4434" w:type="dxa"/>
            <w:tcBorders>
              <w:top w:val="single" w:color="auto" w:sz="4" w:space="0"/>
              <w:left w:val="single" w:color="auto" w:sz="4" w:space="0"/>
              <w:bottom w:val="single" w:color="auto" w:sz="4" w:space="0"/>
            </w:tcBorders>
            <w:noWrap w:val="0"/>
            <w:vAlign w:val="center"/>
          </w:tcPr>
          <w:p>
            <w:pPr>
              <w:spacing w:line="440" w:lineRule="exact"/>
              <w:jc w:val="left"/>
              <w:rPr>
                <w:rFonts w:ascii="宋体" w:hAnsi="宋体"/>
                <w:color w:val="auto"/>
                <w:szCs w:val="21"/>
                <w:highlight w:val="none"/>
                <w:u w:val="single"/>
              </w:rPr>
            </w:pPr>
            <w:r>
              <w:rPr>
                <w:rFonts w:hint="eastAsia" w:ascii="宋体" w:hAnsi="宋体"/>
                <w:color w:val="auto"/>
                <w:szCs w:val="21"/>
                <w:highlight w:val="none"/>
                <w:u w:val="single"/>
              </w:rPr>
              <w:t>满足国家勘察设计规范，符合南网标准设计、绿色电网建设行动指南</w:t>
            </w:r>
            <w:r>
              <w:rPr>
                <w:rFonts w:hint="eastAsia" w:hAnsi="宋体"/>
                <w:color w:val="auto"/>
                <w:szCs w:val="21"/>
                <w:highlight w:val="none"/>
                <w:u w:val="single"/>
              </w:rPr>
              <w:t>（勘察</w:t>
            </w:r>
            <w:r>
              <w:rPr>
                <w:rFonts w:hint="eastAsia"/>
                <w:color w:val="auto"/>
                <w:szCs w:val="21"/>
                <w:highlight w:val="none"/>
                <w:u w:val="single"/>
              </w:rPr>
              <w:t>设计评审质量控制文件</w:t>
            </w:r>
            <w:r>
              <w:rPr>
                <w:rFonts w:hint="eastAsia" w:hAnsi="宋体"/>
                <w:color w:val="auto"/>
                <w:szCs w:val="21"/>
                <w:highlight w:val="none"/>
                <w:u w:val="single"/>
              </w:rPr>
              <w:t>要求详见合同条款）。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top w:val="single" w:color="auto" w:sz="4" w:space="0"/>
              <w:bottom w:val="single" w:color="auto" w:sz="4" w:space="0"/>
              <w:right w:val="single" w:color="auto" w:sz="4" w:space="0"/>
            </w:tcBorders>
            <w:noWrap w:val="0"/>
            <w:vAlign w:val="center"/>
          </w:tcPr>
          <w:p>
            <w:pPr>
              <w:rPr>
                <w:color w:val="auto"/>
                <w:highlight w:val="none"/>
              </w:rPr>
            </w:pPr>
          </w:p>
        </w:tc>
        <w:tc>
          <w:tcPr>
            <w:tcW w:w="1124"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2558" w:type="dxa"/>
            <w:gridSpan w:val="2"/>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color w:val="auto"/>
                <w:highlight w:val="none"/>
              </w:rPr>
            </w:pPr>
            <w:r>
              <w:rPr>
                <w:color w:val="auto"/>
                <w:highlight w:val="none"/>
              </w:rPr>
              <w:t>投标有效期</w:t>
            </w:r>
          </w:p>
        </w:tc>
        <w:tc>
          <w:tcPr>
            <w:tcW w:w="4434" w:type="dxa"/>
            <w:tcBorders>
              <w:top w:val="single" w:color="auto" w:sz="4" w:space="0"/>
              <w:left w:val="single" w:color="auto" w:sz="4" w:space="0"/>
              <w:bottom w:val="single" w:color="auto" w:sz="4" w:space="0"/>
            </w:tcBorders>
            <w:noWrap w:val="0"/>
            <w:vAlign w:val="top"/>
          </w:tcPr>
          <w:p>
            <w:pPr>
              <w:spacing w:line="440" w:lineRule="exact"/>
              <w:rPr>
                <w:color w:val="auto"/>
                <w:highlight w:val="none"/>
                <w:u w:val="single"/>
              </w:rPr>
            </w:pPr>
            <w:r>
              <w:rPr>
                <w:rFonts w:hint="eastAsia"/>
                <w:color w:val="auto"/>
                <w:highlight w:val="none"/>
                <w:u w:val="single"/>
              </w:rPr>
              <w:t>投标截止日起120天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top w:val="single" w:color="auto" w:sz="4" w:space="0"/>
              <w:bottom w:val="single" w:color="auto" w:sz="4" w:space="0"/>
              <w:right w:val="single" w:color="auto" w:sz="4" w:space="0"/>
            </w:tcBorders>
            <w:noWrap w:val="0"/>
            <w:vAlign w:val="center"/>
          </w:tcPr>
          <w:p>
            <w:pPr>
              <w:rPr>
                <w:color w:val="auto"/>
                <w:highlight w:val="none"/>
              </w:rPr>
            </w:pPr>
          </w:p>
        </w:tc>
        <w:tc>
          <w:tcPr>
            <w:tcW w:w="1124"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2558" w:type="dxa"/>
            <w:gridSpan w:val="2"/>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color w:val="auto"/>
                <w:highlight w:val="none"/>
              </w:rPr>
            </w:pPr>
            <w:r>
              <w:rPr>
                <w:color w:val="auto"/>
                <w:highlight w:val="none"/>
              </w:rPr>
              <w:t>投标保证金</w:t>
            </w:r>
          </w:p>
        </w:tc>
        <w:tc>
          <w:tcPr>
            <w:tcW w:w="4434" w:type="dxa"/>
            <w:tcBorders>
              <w:top w:val="single" w:color="auto" w:sz="4" w:space="0"/>
              <w:left w:val="single" w:color="auto" w:sz="4" w:space="0"/>
              <w:bottom w:val="single" w:color="auto" w:sz="4" w:space="0"/>
            </w:tcBorders>
            <w:noWrap w:val="0"/>
            <w:vAlign w:val="top"/>
          </w:tcPr>
          <w:p>
            <w:pPr>
              <w:spacing w:line="440" w:lineRule="exact"/>
              <w:rPr>
                <w:rFonts w:hint="eastAsia"/>
                <w:color w:val="auto"/>
                <w:highlight w:val="none"/>
              </w:rPr>
            </w:pPr>
            <w:r>
              <w:rPr>
                <w:rFonts w:hint="eastAsia"/>
                <w:color w:val="auto"/>
                <w:highlight w:val="none"/>
              </w:rPr>
              <w:t>符合：投标保证金的形式和要求：仅限于电汇(转账)或者是具有法律效力的保函、保险等方式。</w:t>
            </w:r>
            <w:r>
              <w:rPr>
                <w:rFonts w:hint="eastAsia" w:hAnsi="宋体"/>
                <w:color w:val="auto"/>
                <w:szCs w:val="21"/>
                <w:highlight w:val="none"/>
                <w:u w:val="single"/>
              </w:rPr>
              <w:t>采用保函、保险方式递交的，保函有效期应与投标有效期一致。采用电汇（转账）方式递交的，投标保证金应当从其基本账户转出，必须按规定的投标截止时间提前到达招标文件指定账户。</w:t>
            </w:r>
          </w:p>
          <w:p>
            <w:pPr>
              <w:spacing w:line="440" w:lineRule="exact"/>
              <w:rPr>
                <w:color w:val="auto"/>
                <w:highlight w:val="none"/>
              </w:rPr>
            </w:pPr>
            <w:r>
              <w:rPr>
                <w:rFonts w:hint="eastAsia"/>
                <w:color w:val="auto"/>
                <w:highlight w:val="none"/>
              </w:rPr>
              <w:t>投标保证金的金额：各标段保证金金额见招标公告。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60" w:hRule="atLeast"/>
        </w:trPr>
        <w:tc>
          <w:tcPr>
            <w:tcW w:w="900" w:type="dxa"/>
            <w:vMerge w:val="continue"/>
            <w:tcBorders>
              <w:top w:val="single" w:color="auto" w:sz="4" w:space="0"/>
              <w:bottom w:val="single" w:color="auto" w:sz="4" w:space="0"/>
              <w:right w:val="single" w:color="auto" w:sz="4" w:space="0"/>
            </w:tcBorders>
            <w:noWrap w:val="0"/>
            <w:vAlign w:val="center"/>
          </w:tcPr>
          <w:p>
            <w:pPr>
              <w:rPr>
                <w:color w:val="auto"/>
                <w:highlight w:val="none"/>
              </w:rPr>
            </w:pPr>
          </w:p>
        </w:tc>
        <w:tc>
          <w:tcPr>
            <w:tcW w:w="1124"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rPr>
                <w:color w:val="auto"/>
                <w:highlight w:val="none"/>
              </w:rPr>
            </w:pPr>
          </w:p>
        </w:tc>
        <w:tc>
          <w:tcPr>
            <w:tcW w:w="2558" w:type="dxa"/>
            <w:gridSpan w:val="2"/>
            <w:tcBorders>
              <w:top w:val="single" w:color="auto" w:sz="4" w:space="0"/>
              <w:left w:val="single" w:color="auto" w:sz="4" w:space="0"/>
              <w:right w:val="single" w:color="auto" w:sz="4" w:space="0"/>
            </w:tcBorders>
            <w:noWrap w:val="0"/>
            <w:vAlign w:val="center"/>
          </w:tcPr>
          <w:p>
            <w:pPr>
              <w:spacing w:line="440" w:lineRule="exact"/>
              <w:jc w:val="center"/>
              <w:rPr>
                <w:color w:val="auto"/>
                <w:highlight w:val="none"/>
              </w:rPr>
            </w:pPr>
            <w:r>
              <w:rPr>
                <w:rFonts w:hint="eastAsia" w:ascii="宋体" w:hAnsi="宋体" w:cs="宋体"/>
                <w:color w:val="auto"/>
                <w:kern w:val="0"/>
                <w:szCs w:val="21"/>
                <w:highlight w:val="none"/>
              </w:rPr>
              <w:t>不存在其他否决投标的情形</w:t>
            </w:r>
          </w:p>
        </w:tc>
        <w:tc>
          <w:tcPr>
            <w:tcW w:w="4434" w:type="dxa"/>
            <w:tcBorders>
              <w:top w:val="single" w:color="auto" w:sz="4" w:space="0"/>
              <w:left w:val="single" w:color="auto" w:sz="4" w:space="0"/>
            </w:tcBorders>
            <w:noWrap w:val="0"/>
            <w:vAlign w:val="top"/>
          </w:tcPr>
          <w:p>
            <w:pPr>
              <w:spacing w:line="400" w:lineRule="exact"/>
              <w:rPr>
                <w:rFonts w:hint="eastAsia"/>
                <w:color w:val="auto"/>
                <w:highlight w:val="none"/>
              </w:rPr>
            </w:pPr>
            <w:r>
              <w:rPr>
                <w:rFonts w:hint="eastAsia"/>
                <w:color w:val="auto"/>
                <w:highlight w:val="none"/>
              </w:rPr>
              <w:t>符合不存在下列任何一种情况：</w:t>
            </w:r>
          </w:p>
          <w:p>
            <w:pPr>
              <w:spacing w:line="400" w:lineRule="exact"/>
              <w:rPr>
                <w:color w:val="auto"/>
                <w:highlight w:val="none"/>
              </w:rPr>
            </w:pPr>
            <w:r>
              <w:rPr>
                <w:color w:val="auto"/>
                <w:highlight w:val="none"/>
              </w:rPr>
              <w:t>（1）投标文件没有对招标文件的实质性要求和条件作出响应，或者对招标文件的偏差超出招标文件规定的偏差范围或最高项数；</w:t>
            </w:r>
          </w:p>
          <w:p>
            <w:pPr>
              <w:spacing w:line="400" w:lineRule="exact"/>
              <w:rPr>
                <w:color w:val="auto"/>
                <w:highlight w:val="none"/>
              </w:rPr>
            </w:pPr>
            <w:r>
              <w:rPr>
                <w:color w:val="auto"/>
                <w:highlight w:val="none"/>
              </w:rPr>
              <w:t>（2）有串通投标、弄虚作假、行贿等违法行为。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024" w:type="dxa"/>
            <w:gridSpan w:val="3"/>
            <w:tcBorders>
              <w:top w:val="single" w:color="auto" w:sz="4" w:space="0"/>
              <w:bottom w:val="single" w:color="auto" w:sz="4" w:space="0"/>
              <w:right w:val="single" w:color="auto" w:sz="4" w:space="0"/>
            </w:tcBorders>
            <w:noWrap w:val="0"/>
            <w:vAlign w:val="center"/>
          </w:tcPr>
          <w:p>
            <w:pPr>
              <w:spacing w:line="440" w:lineRule="exact"/>
              <w:jc w:val="center"/>
              <w:rPr>
                <w:b/>
                <w:color w:val="auto"/>
                <w:highlight w:val="none"/>
              </w:rPr>
            </w:pPr>
            <w:r>
              <w:rPr>
                <w:b/>
                <w:color w:val="auto"/>
                <w:highlight w:val="none"/>
              </w:rPr>
              <w:t>条款号</w:t>
            </w:r>
          </w:p>
        </w:tc>
        <w:tc>
          <w:tcPr>
            <w:tcW w:w="2558" w:type="dxa"/>
            <w:gridSpan w:val="2"/>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b/>
                <w:color w:val="auto"/>
                <w:highlight w:val="none"/>
              </w:rPr>
            </w:pPr>
            <w:r>
              <w:rPr>
                <w:b/>
                <w:color w:val="auto"/>
                <w:highlight w:val="none"/>
              </w:rPr>
              <w:t>条款内容</w:t>
            </w:r>
          </w:p>
        </w:tc>
        <w:tc>
          <w:tcPr>
            <w:tcW w:w="4434" w:type="dxa"/>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b/>
                <w:color w:val="auto"/>
                <w:highlight w:val="none"/>
              </w:rPr>
            </w:pPr>
            <w:r>
              <w:rPr>
                <w:b/>
                <w:color w:val="auto"/>
                <w:highlight w:val="none"/>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024" w:type="dxa"/>
            <w:gridSpan w:val="3"/>
            <w:tcBorders>
              <w:bottom w:val="single" w:color="auto" w:sz="4" w:space="0"/>
              <w:right w:val="single" w:color="auto" w:sz="4" w:space="0"/>
            </w:tcBorders>
            <w:noWrap w:val="0"/>
            <w:vAlign w:val="center"/>
          </w:tcPr>
          <w:p>
            <w:pPr>
              <w:spacing w:line="440" w:lineRule="exact"/>
              <w:jc w:val="center"/>
              <w:rPr>
                <w:color w:val="auto"/>
                <w:highlight w:val="none"/>
              </w:rPr>
            </w:pPr>
            <w:r>
              <w:rPr>
                <w:color w:val="auto"/>
                <w:highlight w:val="none"/>
              </w:rPr>
              <w:t>2.2.1</w:t>
            </w:r>
          </w:p>
        </w:tc>
        <w:tc>
          <w:tcPr>
            <w:tcW w:w="2558" w:type="dxa"/>
            <w:gridSpan w:val="2"/>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highlight w:val="none"/>
              </w:rPr>
            </w:pPr>
            <w:r>
              <w:rPr>
                <w:color w:val="auto"/>
                <w:highlight w:val="none"/>
              </w:rPr>
              <w:t>分值构成</w:t>
            </w:r>
          </w:p>
          <w:p>
            <w:pPr>
              <w:spacing w:line="440" w:lineRule="exact"/>
              <w:jc w:val="center"/>
              <w:rPr>
                <w:color w:val="auto"/>
                <w:highlight w:val="none"/>
              </w:rPr>
            </w:pPr>
            <w:r>
              <w:rPr>
                <w:color w:val="auto"/>
                <w:highlight w:val="none"/>
              </w:rPr>
              <w:t>(总分100分)</w:t>
            </w:r>
          </w:p>
        </w:tc>
        <w:tc>
          <w:tcPr>
            <w:tcW w:w="4434"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color w:val="auto"/>
                <w:highlight w:val="none"/>
              </w:rPr>
            </w:pPr>
            <w:r>
              <w:rPr>
                <w:color w:val="auto"/>
                <w:highlight w:val="none"/>
              </w:rPr>
              <w:t>资信业绩部分：</w:t>
            </w:r>
            <w:r>
              <w:rPr>
                <w:rFonts w:hint="eastAsia"/>
                <w:color w:val="auto"/>
                <w:highlight w:val="none"/>
                <w:u w:val="single"/>
              </w:rPr>
              <w:t xml:space="preserve"> 20</w:t>
            </w:r>
            <w:r>
              <w:rPr>
                <w:color w:val="auto"/>
                <w:highlight w:val="none"/>
              </w:rPr>
              <w:t>分</w:t>
            </w:r>
            <w:r>
              <w:rPr>
                <w:rFonts w:hint="eastAsia"/>
                <w:color w:val="auto"/>
                <w:highlight w:val="none"/>
              </w:rPr>
              <w:t>（如为联合体投标，评分以联合体中牵头人为准）</w:t>
            </w:r>
          </w:p>
          <w:p>
            <w:pPr>
              <w:spacing w:line="440" w:lineRule="exact"/>
              <w:rPr>
                <w:color w:val="auto"/>
                <w:highlight w:val="none"/>
              </w:rPr>
            </w:pPr>
            <w:r>
              <w:rPr>
                <w:rFonts w:hint="eastAsia"/>
                <w:color w:val="auto"/>
                <w:highlight w:val="none"/>
              </w:rPr>
              <w:t>勘察</w:t>
            </w:r>
            <w:r>
              <w:rPr>
                <w:color w:val="auto"/>
                <w:highlight w:val="none"/>
              </w:rPr>
              <w:t>设计方案部分：</w:t>
            </w:r>
            <w:r>
              <w:rPr>
                <w:rFonts w:hint="eastAsia"/>
                <w:color w:val="auto"/>
                <w:highlight w:val="none"/>
                <w:u w:val="single"/>
              </w:rPr>
              <w:t xml:space="preserve"> 50</w:t>
            </w:r>
            <w:r>
              <w:rPr>
                <w:color w:val="auto"/>
                <w:highlight w:val="none"/>
              </w:rPr>
              <w:t>分</w:t>
            </w:r>
            <w:r>
              <w:rPr>
                <w:rFonts w:hint="eastAsia"/>
                <w:color w:val="auto"/>
                <w:highlight w:val="none"/>
              </w:rPr>
              <w:t>【变电占</w:t>
            </w:r>
            <w:r>
              <w:rPr>
                <w:rFonts w:hint="eastAsia"/>
                <w:color w:val="auto"/>
                <w:highlight w:val="none"/>
                <w:u w:val="single"/>
              </w:rPr>
              <w:t>0</w:t>
            </w:r>
            <w:r>
              <w:rPr>
                <w:rFonts w:hint="eastAsia"/>
                <w:color w:val="auto"/>
                <w:highlight w:val="none"/>
              </w:rPr>
              <w:t>%，架空线路占0%，电缆线路占</w:t>
            </w:r>
            <w:r>
              <w:rPr>
                <w:rFonts w:hint="eastAsia"/>
                <w:color w:val="auto"/>
                <w:highlight w:val="none"/>
                <w:u w:val="single"/>
              </w:rPr>
              <w:t>100</w:t>
            </w:r>
            <w:r>
              <w:rPr>
                <w:rFonts w:hint="eastAsia"/>
                <w:color w:val="auto"/>
                <w:highlight w:val="none"/>
              </w:rPr>
              <w:t>%，按权重汇总】</w:t>
            </w:r>
          </w:p>
          <w:p>
            <w:pPr>
              <w:spacing w:line="440" w:lineRule="exact"/>
              <w:rPr>
                <w:color w:val="auto"/>
                <w:highlight w:val="none"/>
              </w:rPr>
            </w:pPr>
            <w:r>
              <w:rPr>
                <w:color w:val="auto"/>
                <w:highlight w:val="none"/>
              </w:rPr>
              <w:t>投标报价：</w:t>
            </w:r>
            <w:r>
              <w:rPr>
                <w:rFonts w:hint="eastAsia"/>
                <w:color w:val="auto"/>
                <w:highlight w:val="none"/>
                <w:u w:val="single"/>
              </w:rPr>
              <w:t>30</w:t>
            </w:r>
            <w:r>
              <w:rPr>
                <w:color w:val="auto"/>
                <w:highlight w:val="none"/>
              </w:rPr>
              <w:t>分</w:t>
            </w:r>
          </w:p>
          <w:p>
            <w:pPr>
              <w:spacing w:line="440" w:lineRule="exact"/>
              <w:rPr>
                <w:color w:val="auto"/>
                <w:highlight w:val="none"/>
              </w:rPr>
            </w:pPr>
            <w:r>
              <w:rPr>
                <w:color w:val="auto"/>
                <w:highlight w:val="none"/>
              </w:rPr>
              <w:t>其他评分因素：</w:t>
            </w:r>
            <w:r>
              <w:rPr>
                <w:rFonts w:hint="eastAsia"/>
                <w:color w:val="auto"/>
                <w:highlight w:val="none"/>
                <w:u w:val="single"/>
              </w:rPr>
              <w:t>/</w:t>
            </w:r>
            <w:r>
              <w:rPr>
                <w:color w:val="auto"/>
                <w:highlight w:val="none"/>
              </w:rPr>
              <w:t>分（如有）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024" w:type="dxa"/>
            <w:gridSpan w:val="3"/>
            <w:tcBorders>
              <w:top w:val="single" w:color="auto" w:sz="4" w:space="0"/>
              <w:bottom w:val="single" w:color="auto" w:sz="4" w:space="0"/>
              <w:right w:val="single" w:color="auto" w:sz="4" w:space="0"/>
            </w:tcBorders>
            <w:noWrap w:val="0"/>
            <w:vAlign w:val="center"/>
          </w:tcPr>
          <w:p>
            <w:pPr>
              <w:spacing w:line="440" w:lineRule="exact"/>
              <w:jc w:val="center"/>
              <w:rPr>
                <w:color w:val="auto"/>
                <w:highlight w:val="none"/>
              </w:rPr>
            </w:pPr>
            <w:r>
              <w:rPr>
                <w:color w:val="auto"/>
                <w:highlight w:val="none"/>
              </w:rPr>
              <w:t>2.2.2</w:t>
            </w:r>
          </w:p>
        </w:tc>
        <w:tc>
          <w:tcPr>
            <w:tcW w:w="2558" w:type="dxa"/>
            <w:gridSpan w:val="2"/>
            <w:tcBorders>
              <w:top w:val="single" w:color="auto" w:sz="4" w:space="0"/>
              <w:left w:val="single" w:color="auto" w:sz="4" w:space="0"/>
              <w:bottom w:val="single" w:color="auto" w:sz="4" w:space="0"/>
              <w:right w:val="single" w:color="auto" w:sz="4" w:space="0"/>
            </w:tcBorders>
            <w:noWrap w:val="0"/>
            <w:vAlign w:val="center"/>
          </w:tcPr>
          <w:p>
            <w:pPr>
              <w:spacing w:line="440" w:lineRule="exact"/>
              <w:jc w:val="center"/>
              <w:rPr>
                <w:color w:val="auto"/>
                <w:highlight w:val="none"/>
              </w:rPr>
            </w:pPr>
            <w:r>
              <w:rPr>
                <w:color w:val="auto"/>
                <w:highlight w:val="none"/>
              </w:rPr>
              <w:t>评标基准价计算方法</w:t>
            </w:r>
          </w:p>
        </w:tc>
        <w:tc>
          <w:tcPr>
            <w:tcW w:w="4434" w:type="dxa"/>
            <w:tcBorders>
              <w:top w:val="single" w:color="auto" w:sz="4" w:space="0"/>
              <w:left w:val="single" w:color="auto" w:sz="4" w:space="0"/>
              <w:bottom w:val="single" w:color="auto" w:sz="4" w:space="0"/>
              <w:right w:val="single" w:color="auto" w:sz="4" w:space="0"/>
            </w:tcBorders>
            <w:noWrap w:val="0"/>
            <w:vAlign w:val="center"/>
          </w:tcPr>
          <w:p>
            <w:pPr>
              <w:spacing w:line="440" w:lineRule="exact"/>
              <w:rPr>
                <w:rFonts w:hAnsi="宋体"/>
                <w:color w:val="auto"/>
                <w:szCs w:val="21"/>
                <w:highlight w:val="none"/>
              </w:rPr>
            </w:pPr>
            <w:r>
              <w:rPr>
                <w:color w:val="auto"/>
                <w:highlight w:val="none"/>
              </w:rPr>
              <w:t>评标</w:t>
            </w:r>
            <w:r>
              <w:rPr>
                <w:rFonts w:hint="eastAsia" w:hAnsi="宋体"/>
                <w:color w:val="auto"/>
                <w:szCs w:val="21"/>
                <w:highlight w:val="none"/>
              </w:rPr>
              <w:t>基准价=合格投标人的评标价的算术平均值。</w:t>
            </w:r>
          </w:p>
          <w:p>
            <w:pPr>
              <w:spacing w:line="440" w:lineRule="exact"/>
              <w:rPr>
                <w:rFonts w:hint="eastAsia" w:ascii="宋体" w:hAnsi="宋体"/>
                <w:color w:val="auto"/>
                <w:szCs w:val="21"/>
                <w:highlight w:val="none"/>
              </w:rPr>
            </w:pPr>
            <w:r>
              <w:rPr>
                <w:rFonts w:hint="eastAsia" w:ascii="宋体" w:hAnsi="宋体"/>
                <w:color w:val="auto"/>
                <w:szCs w:val="21"/>
                <w:highlight w:val="none"/>
                <w:u w:val="single"/>
              </w:rPr>
              <w:t>以“%”为单位，</w:t>
            </w:r>
            <w:r>
              <w:rPr>
                <w:rFonts w:hint="eastAsia" w:ascii="宋体" w:hAnsi="宋体"/>
                <w:color w:val="auto"/>
                <w:szCs w:val="21"/>
                <w:highlight w:val="none"/>
              </w:rPr>
              <w:t>计算结果</w:t>
            </w:r>
            <w:r>
              <w:rPr>
                <w:color w:val="auto"/>
                <w:highlight w:val="none"/>
              </w:rPr>
              <w:t>保留小数点后两位，小数点后第三位</w:t>
            </w:r>
            <w:r>
              <w:rPr>
                <w:rFonts w:hint="eastAsia"/>
                <w:color w:val="auto"/>
                <w:highlight w:val="none"/>
              </w:rPr>
              <w:t>“</w:t>
            </w:r>
            <w:r>
              <w:rPr>
                <w:color w:val="auto"/>
                <w:highlight w:val="none"/>
              </w:rPr>
              <w:t>四舍五入</w:t>
            </w:r>
            <w:r>
              <w:rPr>
                <w:rFonts w:hint="eastAsia"/>
                <w:color w:val="auto"/>
                <w:highlight w:val="none"/>
              </w:rPr>
              <w:t>”。</w:t>
            </w:r>
          </w:p>
          <w:p>
            <w:pPr>
              <w:spacing w:line="440" w:lineRule="exact"/>
              <w:rPr>
                <w:rFonts w:ascii="宋体" w:hAnsi="宋体"/>
                <w:color w:val="auto"/>
                <w:szCs w:val="21"/>
                <w:highlight w:val="none"/>
              </w:rPr>
            </w:pPr>
            <w:r>
              <w:rPr>
                <w:rFonts w:hint="eastAsia" w:ascii="宋体" w:hAnsi="宋体"/>
                <w:color w:val="auto"/>
                <w:szCs w:val="21"/>
                <w:highlight w:val="none"/>
              </w:rPr>
              <w:t>注：评标价=1-投标下浮率。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024" w:type="dxa"/>
            <w:gridSpan w:val="3"/>
            <w:tcBorders>
              <w:top w:val="single" w:color="auto" w:sz="4" w:space="0"/>
              <w:bottom w:val="single" w:color="auto" w:sz="4" w:space="0"/>
              <w:right w:val="single" w:color="auto" w:sz="4" w:space="0"/>
            </w:tcBorders>
            <w:noWrap w:val="0"/>
            <w:vAlign w:val="center"/>
          </w:tcPr>
          <w:p>
            <w:pPr>
              <w:spacing w:line="440" w:lineRule="exact"/>
              <w:jc w:val="center"/>
              <w:rPr>
                <w:color w:val="auto"/>
                <w:highlight w:val="none"/>
              </w:rPr>
            </w:pPr>
            <w:r>
              <w:rPr>
                <w:color w:val="auto"/>
                <w:highlight w:val="none"/>
              </w:rPr>
              <w:t>2.2.3</w:t>
            </w:r>
          </w:p>
        </w:tc>
        <w:tc>
          <w:tcPr>
            <w:tcW w:w="2558" w:type="dxa"/>
            <w:gridSpan w:val="2"/>
            <w:tcBorders>
              <w:top w:val="single" w:color="auto" w:sz="4" w:space="0"/>
              <w:left w:val="single" w:color="auto" w:sz="4" w:space="0"/>
              <w:right w:val="single" w:color="auto" w:sz="4" w:space="0"/>
            </w:tcBorders>
            <w:noWrap w:val="0"/>
            <w:vAlign w:val="center"/>
          </w:tcPr>
          <w:p>
            <w:pPr>
              <w:spacing w:line="440" w:lineRule="exact"/>
              <w:jc w:val="center"/>
              <w:rPr>
                <w:color w:val="auto"/>
                <w:highlight w:val="none"/>
              </w:rPr>
            </w:pPr>
            <w:r>
              <w:rPr>
                <w:color w:val="auto"/>
                <w:highlight w:val="none"/>
              </w:rPr>
              <w:t>投标报价的偏差率</w:t>
            </w:r>
          </w:p>
          <w:p>
            <w:pPr>
              <w:spacing w:line="440" w:lineRule="exact"/>
              <w:jc w:val="center"/>
              <w:rPr>
                <w:color w:val="auto"/>
                <w:highlight w:val="none"/>
              </w:rPr>
            </w:pPr>
            <w:r>
              <w:rPr>
                <w:color w:val="auto"/>
                <w:highlight w:val="none"/>
              </w:rPr>
              <w:t>计算公式</w:t>
            </w:r>
          </w:p>
        </w:tc>
        <w:tc>
          <w:tcPr>
            <w:tcW w:w="4434" w:type="dxa"/>
            <w:tcBorders>
              <w:top w:val="single" w:color="auto" w:sz="4" w:space="0"/>
              <w:left w:val="single" w:color="auto" w:sz="4" w:space="0"/>
              <w:right w:val="single" w:color="auto" w:sz="4" w:space="0"/>
            </w:tcBorders>
            <w:noWrap w:val="0"/>
            <w:vAlign w:val="center"/>
          </w:tcPr>
          <w:p>
            <w:pPr>
              <w:spacing w:line="440" w:lineRule="exact"/>
              <w:rPr>
                <w:rFonts w:hAnsi="宋体"/>
                <w:color w:val="auto"/>
                <w:highlight w:val="none"/>
              </w:rPr>
            </w:pPr>
            <w:r>
              <w:rPr>
                <w:rFonts w:hint="eastAsia"/>
                <w:color w:val="auto"/>
                <w:highlight w:val="none"/>
              </w:rPr>
              <w:t>偏离率=</w:t>
            </w:r>
            <w:r>
              <w:rPr>
                <w:rFonts w:hAnsi="宋体"/>
                <w:color w:val="auto"/>
                <w:highlight w:val="none"/>
              </w:rPr>
              <w:t>|</w:t>
            </w:r>
            <w:r>
              <w:rPr>
                <w:rFonts w:hint="eastAsia" w:hAnsi="宋体"/>
                <w:color w:val="auto"/>
                <w:highlight w:val="none"/>
              </w:rPr>
              <w:t>合格</w:t>
            </w:r>
            <w:r>
              <w:rPr>
                <w:rFonts w:hint="eastAsia" w:hAnsi="宋体"/>
                <w:color w:val="auto"/>
                <w:szCs w:val="21"/>
                <w:highlight w:val="none"/>
              </w:rPr>
              <w:t>投标人的有效报价（或评标价）</w:t>
            </w:r>
            <w:r>
              <w:rPr>
                <w:rFonts w:hAnsi="宋体"/>
                <w:color w:val="auto"/>
                <w:highlight w:val="none"/>
              </w:rPr>
              <w:t>-</w:t>
            </w:r>
            <w:r>
              <w:rPr>
                <w:rFonts w:hint="eastAsia" w:hAnsi="宋体"/>
                <w:color w:val="auto"/>
                <w:highlight w:val="none"/>
              </w:rPr>
              <w:t>评标基准价</w:t>
            </w:r>
            <w:r>
              <w:rPr>
                <w:rFonts w:hAnsi="宋体"/>
                <w:color w:val="auto"/>
                <w:highlight w:val="none"/>
              </w:rPr>
              <w:t>|/</w:t>
            </w:r>
            <w:r>
              <w:rPr>
                <w:rFonts w:hint="eastAsia" w:hAnsi="宋体"/>
                <w:color w:val="auto"/>
                <w:highlight w:val="none"/>
              </w:rPr>
              <w:t>评标基准价</w:t>
            </w:r>
          </w:p>
          <w:p>
            <w:pPr>
              <w:spacing w:line="440" w:lineRule="exact"/>
              <w:rPr>
                <w:rFonts w:ascii="宋体" w:hAnsi="宋体"/>
                <w:color w:val="auto"/>
                <w:szCs w:val="21"/>
                <w:highlight w:val="none"/>
              </w:rPr>
            </w:pPr>
            <w:r>
              <w:rPr>
                <w:rFonts w:hint="eastAsia" w:hAnsi="宋体"/>
                <w:color w:val="auto"/>
                <w:highlight w:val="none"/>
              </w:rPr>
              <w:t>注：1、评标基准价计算公式见本章前附表第2.2.2项。</w:t>
            </w:r>
          </w:p>
          <w:p>
            <w:pPr>
              <w:spacing w:line="440" w:lineRule="exact"/>
              <w:rPr>
                <w:rFonts w:hAnsi="宋体"/>
                <w:color w:val="auto"/>
                <w:highlight w:val="none"/>
              </w:rPr>
            </w:pPr>
            <w:r>
              <w:rPr>
                <w:rFonts w:hint="eastAsia" w:hAnsi="宋体"/>
                <w:color w:val="auto"/>
                <w:highlight w:val="none"/>
              </w:rPr>
              <w:t>2、</w:t>
            </w:r>
            <w:r>
              <w:rPr>
                <w:rFonts w:hint="eastAsia" w:ascii="宋体" w:hAnsi="宋体"/>
                <w:color w:val="auto"/>
                <w:szCs w:val="21"/>
                <w:highlight w:val="none"/>
              </w:rPr>
              <w:t>评标价=1-投标下浮率。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2024" w:type="dxa"/>
            <w:gridSpan w:val="3"/>
            <w:tcBorders>
              <w:top w:val="single" w:color="auto" w:sz="4" w:space="0"/>
              <w:bottom w:val="single" w:color="auto" w:sz="4" w:space="0"/>
              <w:right w:val="single" w:color="auto" w:sz="4" w:space="0"/>
            </w:tcBorders>
            <w:noWrap w:val="0"/>
            <w:vAlign w:val="center"/>
          </w:tcPr>
          <w:p>
            <w:pPr>
              <w:jc w:val="center"/>
              <w:rPr>
                <w:color w:val="auto"/>
                <w:highlight w:val="none"/>
              </w:rPr>
            </w:pPr>
            <w:r>
              <w:rPr>
                <w:b/>
                <w:color w:val="auto"/>
                <w:highlight w:val="none"/>
              </w:rPr>
              <w:t>条款号</w:t>
            </w:r>
          </w:p>
        </w:tc>
        <w:tc>
          <w:tcPr>
            <w:tcW w:w="2558" w:type="dxa"/>
            <w:gridSpan w:val="2"/>
            <w:tcBorders>
              <w:top w:val="single" w:color="auto" w:sz="4" w:space="0"/>
              <w:left w:val="single" w:color="auto" w:sz="4" w:space="0"/>
              <w:right w:val="single" w:color="auto" w:sz="4" w:space="0"/>
            </w:tcBorders>
            <w:noWrap w:val="0"/>
            <w:vAlign w:val="center"/>
          </w:tcPr>
          <w:p>
            <w:pPr>
              <w:spacing w:line="440" w:lineRule="exact"/>
              <w:jc w:val="center"/>
              <w:rPr>
                <w:color w:val="auto"/>
                <w:highlight w:val="none"/>
              </w:rPr>
            </w:pPr>
            <w:r>
              <w:rPr>
                <w:b/>
                <w:color w:val="auto"/>
                <w:highlight w:val="none"/>
              </w:rPr>
              <w:t>评分因素</w:t>
            </w:r>
            <w:r>
              <w:rPr>
                <w:rFonts w:hint="eastAsia"/>
                <w:b/>
                <w:color w:val="auto"/>
                <w:highlight w:val="none"/>
              </w:rPr>
              <w:t>（偏差率）</w:t>
            </w:r>
          </w:p>
        </w:tc>
        <w:tc>
          <w:tcPr>
            <w:tcW w:w="4434" w:type="dxa"/>
            <w:tcBorders>
              <w:top w:val="single" w:color="auto" w:sz="4" w:space="0"/>
              <w:left w:val="single" w:color="auto" w:sz="4" w:space="0"/>
              <w:right w:val="single" w:color="auto" w:sz="4" w:space="0"/>
            </w:tcBorders>
            <w:noWrap w:val="0"/>
            <w:vAlign w:val="center"/>
          </w:tcPr>
          <w:p>
            <w:pPr>
              <w:spacing w:line="440" w:lineRule="exact"/>
              <w:jc w:val="center"/>
              <w:rPr>
                <w:rFonts w:hint="eastAsia" w:hAnsi="宋体"/>
                <w:color w:val="auto"/>
                <w:highlight w:val="none"/>
              </w:rPr>
            </w:pPr>
            <w:r>
              <w:rPr>
                <w:rFonts w:ascii="宋体" w:hAnsi="宋体"/>
                <w:b/>
                <w:color w:val="auto"/>
                <w:szCs w:val="21"/>
                <w:highlight w:val="none"/>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12" w:type="dxa"/>
            <w:gridSpan w:val="2"/>
            <w:vMerge w:val="restart"/>
            <w:tcBorders>
              <w:top w:val="single" w:color="auto" w:sz="4" w:space="0"/>
              <w:right w:val="single" w:color="auto" w:sz="4" w:space="0"/>
            </w:tcBorders>
            <w:noWrap w:val="0"/>
            <w:vAlign w:val="center"/>
          </w:tcPr>
          <w:p>
            <w:pPr>
              <w:spacing w:line="440" w:lineRule="exact"/>
              <w:jc w:val="center"/>
              <w:rPr>
                <w:b/>
                <w:color w:val="auto"/>
                <w:highlight w:val="none"/>
              </w:rPr>
            </w:pPr>
            <w:r>
              <w:rPr>
                <w:color w:val="auto"/>
                <w:highlight w:val="none"/>
              </w:rPr>
              <w:t>2.2.4（1）</w:t>
            </w:r>
          </w:p>
        </w:tc>
        <w:tc>
          <w:tcPr>
            <w:tcW w:w="1012" w:type="dxa"/>
            <w:vMerge w:val="restart"/>
            <w:tcBorders>
              <w:top w:val="single" w:color="auto" w:sz="4" w:space="0"/>
              <w:right w:val="single" w:color="auto" w:sz="4" w:space="0"/>
            </w:tcBorders>
            <w:noWrap w:val="0"/>
            <w:vAlign w:val="center"/>
          </w:tcPr>
          <w:p>
            <w:pPr>
              <w:spacing w:line="440" w:lineRule="exact"/>
              <w:jc w:val="center"/>
              <w:rPr>
                <w:b/>
                <w:color w:val="auto"/>
                <w:highlight w:val="none"/>
              </w:rPr>
            </w:pPr>
            <w:r>
              <w:rPr>
                <w:color w:val="auto"/>
                <w:highlight w:val="none"/>
              </w:rPr>
              <w:t>资信业绩评分标准</w:t>
            </w:r>
          </w:p>
        </w:tc>
        <w:tc>
          <w:tcPr>
            <w:tcW w:w="2558" w:type="dxa"/>
            <w:gridSpan w:val="2"/>
            <w:tcBorders>
              <w:top w:val="single" w:color="auto" w:sz="4" w:space="0"/>
              <w:left w:val="single" w:color="auto" w:sz="4" w:space="0"/>
              <w:right w:val="single" w:color="auto" w:sz="4" w:space="0"/>
            </w:tcBorders>
            <w:noWrap w:val="0"/>
            <w:vAlign w:val="center"/>
          </w:tcPr>
          <w:p>
            <w:pPr>
              <w:widowControl/>
              <w:spacing w:before="100" w:beforeAutospacing="1" w:after="100" w:afterAutospacing="1"/>
              <w:jc w:val="center"/>
              <w:rPr>
                <w:b/>
                <w:color w:val="auto"/>
                <w:highlight w:val="none"/>
              </w:rPr>
            </w:pPr>
            <w:r>
              <w:rPr>
                <w:rFonts w:hint="eastAsia" w:ascii="宋体" w:hAnsi="宋体"/>
                <w:color w:val="auto"/>
                <w:szCs w:val="21"/>
                <w:highlight w:val="none"/>
              </w:rPr>
              <w:t>业绩（</w:t>
            </w:r>
            <w:r>
              <w:rPr>
                <w:rFonts w:hint="eastAsia" w:ascii="宋体" w:hAnsi="宋体"/>
                <w:color w:val="auto"/>
                <w:szCs w:val="21"/>
                <w:highlight w:val="none"/>
                <w:u w:val="single"/>
              </w:rPr>
              <w:t>3</w:t>
            </w:r>
            <w:r>
              <w:rPr>
                <w:rFonts w:hint="eastAsia" w:ascii="宋体" w:hAnsi="宋体"/>
                <w:color w:val="auto"/>
                <w:szCs w:val="21"/>
                <w:highlight w:val="none"/>
              </w:rPr>
              <w:t>分）</w:t>
            </w:r>
          </w:p>
        </w:tc>
        <w:tc>
          <w:tcPr>
            <w:tcW w:w="4434" w:type="dxa"/>
            <w:tcBorders>
              <w:top w:val="single" w:color="auto" w:sz="4" w:space="0"/>
              <w:left w:val="single" w:color="auto" w:sz="4" w:space="0"/>
              <w:right w:val="single" w:color="auto" w:sz="4" w:space="0"/>
            </w:tcBorders>
            <w:noWrap w:val="0"/>
            <w:vAlign w:val="center"/>
          </w:tcPr>
          <w:p>
            <w:pPr>
              <w:spacing w:line="360" w:lineRule="auto"/>
              <w:jc w:val="left"/>
              <w:rPr>
                <w:rFonts w:ascii="宋体" w:hAnsi="宋体"/>
                <w:b/>
                <w:color w:val="auto"/>
                <w:szCs w:val="21"/>
                <w:highlight w:val="none"/>
              </w:rPr>
            </w:pPr>
            <w:r>
              <w:rPr>
                <w:rFonts w:hint="eastAsia" w:ascii="宋体" w:hAnsi="宋体" w:cs="宋体"/>
                <w:color w:val="auto"/>
                <w:kern w:val="0"/>
                <w:szCs w:val="21"/>
                <w:highlight w:val="none"/>
              </w:rPr>
              <w:t>近年有相同或以上电压等级的输（变）电工程投产的业绩证明（提供中标通知书（或合同）和竣工验收报告等证明文件），每一个得0.6分，最高得3分；无得0分。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12" w:type="dxa"/>
            <w:gridSpan w:val="2"/>
            <w:vMerge w:val="continue"/>
            <w:tcBorders>
              <w:right w:val="single" w:color="auto" w:sz="4" w:space="0"/>
            </w:tcBorders>
            <w:noWrap w:val="0"/>
            <w:vAlign w:val="center"/>
          </w:tcPr>
          <w:p>
            <w:pPr>
              <w:jc w:val="center"/>
              <w:rPr>
                <w:b/>
                <w:color w:val="auto"/>
                <w:highlight w:val="none"/>
              </w:rPr>
            </w:pPr>
          </w:p>
        </w:tc>
        <w:tc>
          <w:tcPr>
            <w:tcW w:w="1012" w:type="dxa"/>
            <w:vMerge w:val="continue"/>
            <w:tcBorders>
              <w:right w:val="single" w:color="auto" w:sz="4" w:space="0"/>
            </w:tcBorders>
            <w:noWrap w:val="0"/>
            <w:vAlign w:val="center"/>
          </w:tcPr>
          <w:p>
            <w:pPr>
              <w:jc w:val="center"/>
              <w:rPr>
                <w:b/>
                <w:color w:val="auto"/>
                <w:highlight w:val="none"/>
              </w:rPr>
            </w:pPr>
          </w:p>
        </w:tc>
        <w:tc>
          <w:tcPr>
            <w:tcW w:w="2558" w:type="dxa"/>
            <w:gridSpan w:val="2"/>
            <w:tcBorders>
              <w:top w:val="single" w:color="auto" w:sz="4" w:space="0"/>
              <w:left w:val="single" w:color="auto" w:sz="4" w:space="0"/>
              <w:right w:val="single" w:color="auto" w:sz="4" w:space="0"/>
            </w:tcBorders>
            <w:noWrap w:val="0"/>
            <w:vAlign w:val="center"/>
          </w:tcPr>
          <w:p>
            <w:pPr>
              <w:widowControl/>
              <w:spacing w:before="100" w:beforeAutospacing="1" w:after="100" w:afterAutospacing="1"/>
              <w:jc w:val="center"/>
              <w:rPr>
                <w:b/>
                <w:color w:val="auto"/>
                <w:highlight w:val="none"/>
              </w:rPr>
            </w:pPr>
            <w:r>
              <w:rPr>
                <w:rFonts w:hint="eastAsia" w:ascii="宋体" w:hAnsi="宋体"/>
                <w:color w:val="auto"/>
                <w:szCs w:val="21"/>
                <w:highlight w:val="none"/>
              </w:rPr>
              <w:t>人员配备（</w:t>
            </w:r>
            <w:r>
              <w:rPr>
                <w:rFonts w:hint="eastAsia" w:ascii="宋体" w:hAnsi="宋体"/>
                <w:color w:val="auto"/>
                <w:szCs w:val="21"/>
                <w:highlight w:val="none"/>
                <w:u w:val="single"/>
              </w:rPr>
              <w:t>2</w:t>
            </w:r>
            <w:r>
              <w:rPr>
                <w:rFonts w:hint="eastAsia" w:ascii="宋体" w:hAnsi="宋体"/>
                <w:color w:val="auto"/>
                <w:szCs w:val="21"/>
                <w:highlight w:val="none"/>
              </w:rPr>
              <w:t>分）</w:t>
            </w:r>
          </w:p>
        </w:tc>
        <w:tc>
          <w:tcPr>
            <w:tcW w:w="4434" w:type="dxa"/>
            <w:tcBorders>
              <w:top w:val="single" w:color="auto" w:sz="4" w:space="0"/>
              <w:left w:val="single" w:color="auto" w:sz="4" w:space="0"/>
              <w:right w:val="single" w:color="auto" w:sz="4" w:space="0"/>
            </w:tcBorders>
            <w:noWrap w:val="0"/>
            <w:vAlign w:val="center"/>
          </w:tcPr>
          <w:p>
            <w:pPr>
              <w:pStyle w:val="230"/>
              <w:spacing w:line="360" w:lineRule="auto"/>
              <w:rPr>
                <w:rFonts w:hint="eastAsia" w:ascii="宋体" w:hAnsi="宋体"/>
                <w:color w:val="auto"/>
                <w:highlight w:val="none"/>
              </w:rPr>
            </w:pPr>
            <w:r>
              <w:rPr>
                <w:rFonts w:hint="eastAsia" w:ascii="宋体" w:hAnsi="宋体"/>
                <w:color w:val="auto"/>
                <w:highlight w:val="none"/>
              </w:rPr>
              <w:t>设总（项目负责人）（2分）：近年担任过相同或以上电压等级的</w:t>
            </w:r>
            <w:r>
              <w:rPr>
                <w:rFonts w:hint="eastAsia" w:ascii="宋体" w:hAnsi="宋体" w:cs="宋体"/>
                <w:color w:val="auto"/>
                <w:highlight w:val="none"/>
              </w:rPr>
              <w:t>输（变）电</w:t>
            </w:r>
            <w:r>
              <w:rPr>
                <w:rFonts w:hint="eastAsia" w:ascii="宋体" w:hAnsi="宋体"/>
                <w:color w:val="auto"/>
                <w:highlight w:val="none"/>
              </w:rPr>
              <w:t>工程项目设总的主要经历证明，每项得0.5分、无不得分。（无本单位社保证明的不得分）</w:t>
            </w:r>
          </w:p>
          <w:p>
            <w:pPr>
              <w:pStyle w:val="230"/>
              <w:spacing w:line="360" w:lineRule="auto"/>
              <w:rPr>
                <w:rFonts w:hint="eastAsia" w:ascii="宋体" w:hAnsi="宋体" w:eastAsia="宋体"/>
                <w:b/>
                <w:color w:val="auto"/>
                <w:highlight w:val="none"/>
                <w:lang w:eastAsia="zh-CN"/>
              </w:rPr>
            </w:pPr>
            <w:r>
              <w:rPr>
                <w:rFonts w:hint="eastAsia"/>
                <w:color w:val="auto"/>
                <w:highlight w:val="none"/>
              </w:rPr>
              <w:t>注：主要经历证明需</w:t>
            </w:r>
            <w:r>
              <w:rPr>
                <w:rFonts w:hint="eastAsia" w:ascii="宋体" w:hAnsi="宋体" w:cs="宋体"/>
                <w:color w:val="auto"/>
                <w:highlight w:val="none"/>
              </w:rPr>
              <w:t>提供中标通知书（或合同）和竣工验收报告等证明文件</w:t>
            </w:r>
            <w:r>
              <w:rPr>
                <w:rFonts w:hint="eastAsia" w:ascii="宋体" w:hAnsi="宋体" w:cs="宋体"/>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12" w:type="dxa"/>
            <w:gridSpan w:val="2"/>
            <w:vMerge w:val="continue"/>
            <w:tcBorders>
              <w:right w:val="single" w:color="auto" w:sz="4" w:space="0"/>
            </w:tcBorders>
            <w:noWrap w:val="0"/>
            <w:vAlign w:val="center"/>
          </w:tcPr>
          <w:p>
            <w:pPr>
              <w:jc w:val="center"/>
              <w:rPr>
                <w:b/>
                <w:color w:val="auto"/>
                <w:highlight w:val="none"/>
              </w:rPr>
            </w:pPr>
          </w:p>
        </w:tc>
        <w:tc>
          <w:tcPr>
            <w:tcW w:w="1012" w:type="dxa"/>
            <w:vMerge w:val="continue"/>
            <w:tcBorders>
              <w:right w:val="single" w:color="auto" w:sz="4" w:space="0"/>
            </w:tcBorders>
            <w:noWrap w:val="0"/>
            <w:vAlign w:val="center"/>
          </w:tcPr>
          <w:p>
            <w:pPr>
              <w:jc w:val="center"/>
              <w:rPr>
                <w:b/>
                <w:color w:val="auto"/>
                <w:highlight w:val="none"/>
              </w:rPr>
            </w:pPr>
          </w:p>
        </w:tc>
        <w:tc>
          <w:tcPr>
            <w:tcW w:w="2558" w:type="dxa"/>
            <w:gridSpan w:val="2"/>
            <w:tcBorders>
              <w:top w:val="single" w:color="auto" w:sz="4" w:space="0"/>
              <w:left w:val="single" w:color="auto" w:sz="4" w:space="0"/>
              <w:right w:val="single" w:color="auto" w:sz="4" w:space="0"/>
            </w:tcBorders>
            <w:noWrap w:val="0"/>
            <w:vAlign w:val="center"/>
          </w:tcPr>
          <w:p>
            <w:pPr>
              <w:widowControl/>
              <w:spacing w:before="100" w:beforeAutospacing="1" w:after="100" w:afterAutospacing="1"/>
              <w:jc w:val="center"/>
              <w:rPr>
                <w:b/>
                <w:color w:val="auto"/>
                <w:highlight w:val="none"/>
              </w:rPr>
            </w:pPr>
            <w:r>
              <w:rPr>
                <w:rFonts w:hint="eastAsia" w:ascii="宋体" w:hAnsi="宋体"/>
                <w:color w:val="auto"/>
                <w:szCs w:val="21"/>
                <w:highlight w:val="none"/>
              </w:rPr>
              <w:t>企业管理体系认证（</w:t>
            </w:r>
            <w:r>
              <w:rPr>
                <w:rFonts w:hint="eastAsia" w:ascii="宋体" w:hAnsi="宋体"/>
                <w:color w:val="auto"/>
                <w:szCs w:val="21"/>
                <w:highlight w:val="none"/>
                <w:u w:val="single"/>
              </w:rPr>
              <w:t>1</w:t>
            </w:r>
            <w:r>
              <w:rPr>
                <w:rFonts w:hint="eastAsia" w:ascii="宋体" w:hAnsi="宋体"/>
                <w:color w:val="auto"/>
                <w:szCs w:val="21"/>
                <w:highlight w:val="none"/>
              </w:rPr>
              <w:t>分）</w:t>
            </w:r>
          </w:p>
        </w:tc>
        <w:tc>
          <w:tcPr>
            <w:tcW w:w="4434" w:type="dxa"/>
            <w:tcBorders>
              <w:top w:val="single" w:color="auto" w:sz="4" w:space="0"/>
              <w:left w:val="single" w:color="auto" w:sz="4" w:space="0"/>
              <w:right w:val="single" w:color="auto" w:sz="4" w:space="0"/>
            </w:tcBorders>
            <w:noWrap w:val="0"/>
            <w:vAlign w:val="center"/>
          </w:tcPr>
          <w:p>
            <w:pPr>
              <w:pStyle w:val="230"/>
              <w:spacing w:line="360" w:lineRule="auto"/>
              <w:rPr>
                <w:rFonts w:ascii="宋体" w:hAnsi="宋体"/>
                <w:color w:val="auto"/>
                <w:highlight w:val="none"/>
              </w:rPr>
            </w:pPr>
            <w:r>
              <w:rPr>
                <w:rFonts w:hint="eastAsia" w:ascii="宋体" w:hAnsi="宋体"/>
                <w:color w:val="auto"/>
                <w:highlight w:val="none"/>
              </w:rPr>
              <w:t>无质量管理体系认证证书，本项不得分。</w:t>
            </w:r>
          </w:p>
          <w:p>
            <w:pPr>
              <w:pStyle w:val="230"/>
              <w:spacing w:line="360" w:lineRule="auto"/>
              <w:rPr>
                <w:rFonts w:ascii="宋体" w:hAnsi="宋体"/>
                <w:b/>
                <w:color w:val="auto"/>
                <w:highlight w:val="none"/>
              </w:rPr>
            </w:pPr>
            <w:r>
              <w:rPr>
                <w:rFonts w:hint="eastAsia" w:ascii="宋体" w:hAnsi="宋体"/>
                <w:color w:val="auto"/>
                <w:highlight w:val="none"/>
              </w:rPr>
              <w:t>有质量管理体系认证证书的基础上，有环境管理体系认证证书和职业健康安全管理体系认证证书各得0.5分。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12" w:type="dxa"/>
            <w:gridSpan w:val="2"/>
            <w:vMerge w:val="continue"/>
            <w:tcBorders>
              <w:right w:val="single" w:color="auto" w:sz="4" w:space="0"/>
            </w:tcBorders>
            <w:noWrap w:val="0"/>
            <w:vAlign w:val="center"/>
          </w:tcPr>
          <w:p>
            <w:pPr>
              <w:jc w:val="center"/>
              <w:rPr>
                <w:b/>
                <w:color w:val="auto"/>
                <w:highlight w:val="none"/>
              </w:rPr>
            </w:pPr>
          </w:p>
        </w:tc>
        <w:tc>
          <w:tcPr>
            <w:tcW w:w="1012" w:type="dxa"/>
            <w:vMerge w:val="continue"/>
            <w:tcBorders>
              <w:right w:val="single" w:color="auto" w:sz="4" w:space="0"/>
            </w:tcBorders>
            <w:noWrap w:val="0"/>
            <w:vAlign w:val="center"/>
          </w:tcPr>
          <w:p>
            <w:pPr>
              <w:jc w:val="center"/>
              <w:rPr>
                <w:b/>
                <w:color w:val="auto"/>
                <w:highlight w:val="none"/>
              </w:rPr>
            </w:pPr>
          </w:p>
        </w:tc>
        <w:tc>
          <w:tcPr>
            <w:tcW w:w="2558" w:type="dxa"/>
            <w:gridSpan w:val="2"/>
            <w:tcBorders>
              <w:top w:val="single" w:color="auto" w:sz="4" w:space="0"/>
              <w:left w:val="single" w:color="auto" w:sz="4" w:space="0"/>
              <w:right w:val="single" w:color="auto" w:sz="4" w:space="0"/>
            </w:tcBorders>
            <w:noWrap w:val="0"/>
            <w:vAlign w:val="center"/>
          </w:tcPr>
          <w:p>
            <w:pPr>
              <w:widowControl/>
              <w:spacing w:before="100" w:beforeAutospacing="1" w:after="100" w:afterAutospacing="1"/>
              <w:jc w:val="center"/>
              <w:rPr>
                <w:b/>
                <w:color w:val="auto"/>
                <w:highlight w:val="none"/>
              </w:rPr>
            </w:pPr>
            <w:r>
              <w:rPr>
                <w:rFonts w:hint="eastAsia"/>
                <w:color w:val="auto"/>
                <w:highlight w:val="none"/>
              </w:rPr>
              <w:t>承包商评价（</w:t>
            </w:r>
            <w:r>
              <w:rPr>
                <w:rFonts w:hint="eastAsia"/>
                <w:color w:val="auto"/>
                <w:highlight w:val="none"/>
                <w:u w:val="single"/>
              </w:rPr>
              <w:t>8</w:t>
            </w:r>
            <w:r>
              <w:rPr>
                <w:rFonts w:hint="eastAsia"/>
                <w:color w:val="auto"/>
                <w:highlight w:val="none"/>
              </w:rPr>
              <w:t>分）</w:t>
            </w:r>
          </w:p>
        </w:tc>
        <w:tc>
          <w:tcPr>
            <w:tcW w:w="4434" w:type="dxa"/>
            <w:tcBorders>
              <w:top w:val="single" w:color="auto" w:sz="4" w:space="0"/>
              <w:left w:val="single" w:color="auto" w:sz="4" w:space="0"/>
              <w:right w:val="single" w:color="auto" w:sz="4" w:space="0"/>
            </w:tcBorders>
            <w:noWrap w:val="0"/>
            <w:vAlign w:val="center"/>
          </w:tcPr>
          <w:p>
            <w:pPr>
              <w:widowControl/>
              <w:spacing w:line="360" w:lineRule="auto"/>
              <w:rPr>
                <w:color w:val="auto"/>
                <w:highlight w:val="none"/>
              </w:rPr>
            </w:pPr>
            <w:r>
              <w:rPr>
                <w:rFonts w:hint="eastAsia"/>
                <w:color w:val="auto"/>
                <w:highlight w:val="none"/>
              </w:rPr>
              <w:t>1、依据</w:t>
            </w:r>
            <w:r>
              <w:rPr>
                <w:color w:val="auto"/>
                <w:highlight w:val="none"/>
              </w:rPr>
              <w:t xml:space="preserve">  </w:t>
            </w:r>
            <w:r>
              <w:rPr>
                <w:rFonts w:hint="eastAsia"/>
                <w:color w:val="auto"/>
                <w:highlight w:val="none"/>
              </w:rPr>
              <w:t>2021 年承包商评价结果（工程最高电压等级220kV的使用南方电网公司，110kV及以下广东电网有限责任公司）、是否参加过南方电网公司组织的承包商评价情况计算，按附表选取承包商评价分数；</w:t>
            </w:r>
          </w:p>
          <w:p>
            <w:pPr>
              <w:widowControl/>
              <w:spacing w:line="360" w:lineRule="auto"/>
              <w:rPr>
                <w:color w:val="auto"/>
                <w:highlight w:val="none"/>
              </w:rPr>
            </w:pPr>
            <w:r>
              <w:rPr>
                <w:rFonts w:hint="eastAsia"/>
                <w:color w:val="auto"/>
                <w:highlight w:val="none"/>
              </w:rPr>
              <w:t>2、资信评价</w:t>
            </w:r>
          </w:p>
          <w:p>
            <w:pPr>
              <w:widowControl/>
              <w:spacing w:line="360" w:lineRule="auto"/>
              <w:rPr>
                <w:rFonts w:hint="eastAsia"/>
                <w:color w:val="auto"/>
                <w:highlight w:val="none"/>
              </w:rPr>
            </w:pPr>
            <w:r>
              <w:rPr>
                <w:rFonts w:hint="eastAsia"/>
                <w:color w:val="auto"/>
                <w:highlight w:val="none"/>
              </w:rPr>
              <w:t>①评价分≥90分的，资信评价评分=[（8-7.2）/(100-90)] ×(评价分-90)+ 7.2；</w:t>
            </w:r>
          </w:p>
          <w:p>
            <w:pPr>
              <w:widowControl/>
              <w:spacing w:line="360" w:lineRule="auto"/>
              <w:rPr>
                <w:rFonts w:hint="eastAsia"/>
                <w:color w:val="auto"/>
                <w:highlight w:val="none"/>
              </w:rPr>
            </w:pPr>
            <w:r>
              <w:rPr>
                <w:rFonts w:hint="eastAsia"/>
                <w:color w:val="auto"/>
                <w:highlight w:val="none"/>
              </w:rPr>
              <w:t>②70分≤评价分＜90的，资信评价评分=[（7.2-2.4）/(90-70)] ×(评价分-70)+ 2.4；</w:t>
            </w:r>
          </w:p>
          <w:p>
            <w:pPr>
              <w:widowControl/>
              <w:spacing w:line="360" w:lineRule="auto"/>
              <w:rPr>
                <w:rFonts w:hint="eastAsia"/>
                <w:color w:val="auto"/>
                <w:highlight w:val="none"/>
              </w:rPr>
            </w:pPr>
            <w:r>
              <w:rPr>
                <w:rFonts w:hint="eastAsia"/>
                <w:color w:val="auto"/>
                <w:highlight w:val="none"/>
              </w:rPr>
              <w:t>③60分≤评价分＜70的，资信评价评分=[（2.4-0.8）/(70-60)] ×(评价分-60)+ 0.8；</w:t>
            </w:r>
          </w:p>
          <w:p>
            <w:pPr>
              <w:widowControl/>
              <w:spacing w:line="360" w:lineRule="auto"/>
              <w:rPr>
                <w:color w:val="auto"/>
                <w:highlight w:val="none"/>
              </w:rPr>
            </w:pPr>
            <w:r>
              <w:rPr>
                <w:rFonts w:hint="eastAsia"/>
                <w:color w:val="auto"/>
                <w:highlight w:val="none"/>
              </w:rPr>
              <w:t>④评价分＜60的，资信评价评分=0分；</w:t>
            </w:r>
          </w:p>
          <w:p>
            <w:pPr>
              <w:widowControl/>
              <w:rPr>
                <w:rFonts w:hint="eastAsia"/>
                <w:color w:val="auto"/>
                <w:highlight w:val="none"/>
              </w:rPr>
            </w:pPr>
            <w:r>
              <w:rPr>
                <w:rFonts w:hint="eastAsia"/>
                <w:color w:val="auto"/>
                <w:highlight w:val="none"/>
              </w:rPr>
              <w:t>⑤无承包商评价结果的计算规则： a  。</w:t>
            </w:r>
          </w:p>
          <w:p>
            <w:pPr>
              <w:widowControl/>
              <w:rPr>
                <w:rFonts w:hint="eastAsia"/>
                <w:color w:val="auto"/>
                <w:highlight w:val="none"/>
              </w:rPr>
            </w:pPr>
            <w:r>
              <w:rPr>
                <w:rFonts w:hint="eastAsia"/>
                <w:color w:val="auto"/>
                <w:highlight w:val="none"/>
              </w:rPr>
              <w:t>a.按承包商评价结果60分折算资信评价分；</w:t>
            </w:r>
          </w:p>
          <w:p>
            <w:pPr>
              <w:widowControl/>
              <w:rPr>
                <w:rFonts w:hint="eastAsia"/>
                <w:color w:val="auto"/>
                <w:highlight w:val="none"/>
              </w:rPr>
            </w:pPr>
            <w:r>
              <w:rPr>
                <w:rFonts w:hint="eastAsia"/>
                <w:color w:val="auto"/>
                <w:highlight w:val="none"/>
              </w:rPr>
              <w:t>b.按参与本标段初审合格的投标人承包商评价结果算术平均值的80%折算资信评价分。</w:t>
            </w:r>
          </w:p>
          <w:p>
            <w:pPr>
              <w:pStyle w:val="2"/>
              <w:rPr>
                <w:color w:val="auto"/>
                <w:highlight w:val="none"/>
              </w:rPr>
            </w:pPr>
            <w:r>
              <w:rPr>
                <w:rFonts w:hint="eastAsia"/>
                <w:color w:val="auto"/>
                <w:highlight w:val="none"/>
              </w:rPr>
              <w:t>备注：投标人在编制投标文件时必须自行将相关发文复印件作为证明材 料附在投标文件商务文件企业资信文件资料当中， 并标识投标人单位所 在位置，否则不予评分。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12" w:type="dxa"/>
            <w:gridSpan w:val="2"/>
            <w:vMerge w:val="continue"/>
            <w:tcBorders>
              <w:right w:val="single" w:color="auto" w:sz="4" w:space="0"/>
            </w:tcBorders>
            <w:noWrap w:val="0"/>
            <w:vAlign w:val="center"/>
          </w:tcPr>
          <w:p>
            <w:pPr>
              <w:jc w:val="center"/>
              <w:rPr>
                <w:b/>
                <w:color w:val="auto"/>
                <w:highlight w:val="none"/>
              </w:rPr>
            </w:pPr>
          </w:p>
        </w:tc>
        <w:tc>
          <w:tcPr>
            <w:tcW w:w="1012" w:type="dxa"/>
            <w:vMerge w:val="continue"/>
            <w:tcBorders>
              <w:right w:val="single" w:color="auto" w:sz="4" w:space="0"/>
            </w:tcBorders>
            <w:noWrap w:val="0"/>
            <w:vAlign w:val="center"/>
          </w:tcPr>
          <w:p>
            <w:pPr>
              <w:jc w:val="center"/>
              <w:rPr>
                <w:b/>
                <w:color w:val="auto"/>
                <w:highlight w:val="none"/>
              </w:rPr>
            </w:pPr>
          </w:p>
        </w:tc>
        <w:tc>
          <w:tcPr>
            <w:tcW w:w="2558" w:type="dxa"/>
            <w:gridSpan w:val="2"/>
            <w:tcBorders>
              <w:top w:val="single" w:color="auto" w:sz="4" w:space="0"/>
              <w:left w:val="single" w:color="auto" w:sz="4" w:space="0"/>
              <w:right w:val="single" w:color="auto" w:sz="4" w:space="0"/>
            </w:tcBorders>
            <w:noWrap w:val="0"/>
            <w:vAlign w:val="center"/>
          </w:tcPr>
          <w:p>
            <w:pPr>
              <w:widowControl/>
              <w:spacing w:before="100" w:beforeAutospacing="1" w:after="100" w:afterAutospacing="1"/>
              <w:jc w:val="center"/>
              <w:rPr>
                <w:b/>
                <w:color w:val="auto"/>
                <w:highlight w:val="none"/>
              </w:rPr>
            </w:pPr>
            <w:r>
              <w:rPr>
                <w:rFonts w:hint="eastAsia"/>
                <w:color w:val="auto"/>
                <w:highlight w:val="none"/>
              </w:rPr>
              <w:t>承包商奖项（4分）</w:t>
            </w:r>
          </w:p>
        </w:tc>
        <w:tc>
          <w:tcPr>
            <w:tcW w:w="4434" w:type="dxa"/>
            <w:tcBorders>
              <w:top w:val="single" w:color="auto" w:sz="4" w:space="0"/>
              <w:left w:val="single" w:color="auto" w:sz="4" w:space="0"/>
              <w:right w:val="single" w:color="auto" w:sz="4" w:space="0"/>
            </w:tcBorders>
            <w:noWrap w:val="0"/>
            <w:vAlign w:val="center"/>
          </w:tcPr>
          <w:p>
            <w:pPr>
              <w:pStyle w:val="230"/>
              <w:spacing w:line="360" w:lineRule="auto"/>
              <w:rPr>
                <w:rFonts w:hint="eastAsia"/>
                <w:color w:val="auto"/>
                <w:highlight w:val="none"/>
              </w:rPr>
            </w:pPr>
            <w:r>
              <w:rPr>
                <w:rFonts w:hint="eastAsia"/>
                <w:color w:val="auto"/>
                <w:highlight w:val="none"/>
              </w:rPr>
              <w:t>1、近年相同或以上电压等级的输</w:t>
            </w:r>
            <w:r>
              <w:rPr>
                <w:rFonts w:hint="eastAsia" w:ascii="宋体" w:hAnsi="宋体" w:cs="宋体"/>
                <w:color w:val="auto"/>
                <w:highlight w:val="none"/>
              </w:rPr>
              <w:t>（变）</w:t>
            </w:r>
            <w:r>
              <w:rPr>
                <w:rFonts w:hint="eastAsia"/>
                <w:color w:val="auto"/>
                <w:highlight w:val="none"/>
              </w:rPr>
              <w:t>电工程每获国家级奖1项得1分；获省部级奖按奖项计分：一等奖及以上0.8分，二等奖0.5分，三等奖0.3分，未区分等级的奖项按0.5分计；获得省级行业协会的奖项，一项得0.2分。同一工程按最高奖项计分。</w:t>
            </w:r>
          </w:p>
          <w:p>
            <w:pPr>
              <w:pStyle w:val="230"/>
              <w:spacing w:line="360" w:lineRule="auto"/>
              <w:rPr>
                <w:rFonts w:hint="eastAsia"/>
                <w:color w:val="auto"/>
                <w:highlight w:val="none"/>
              </w:rPr>
            </w:pPr>
            <w:r>
              <w:rPr>
                <w:rFonts w:hint="eastAsia"/>
                <w:color w:val="auto"/>
                <w:highlight w:val="none"/>
              </w:rPr>
              <w:t>2、按中国南方电网有限责任公司承包商管理办法和相关奖惩文件进行加分。</w:t>
            </w:r>
          </w:p>
          <w:p>
            <w:pPr>
              <w:pStyle w:val="230"/>
              <w:spacing w:line="360" w:lineRule="auto"/>
              <w:rPr>
                <w:rFonts w:hint="eastAsia"/>
                <w:color w:val="auto"/>
                <w:highlight w:val="none"/>
              </w:rPr>
            </w:pPr>
            <w:r>
              <w:rPr>
                <w:rFonts w:hint="eastAsia"/>
                <w:color w:val="auto"/>
                <w:highlight w:val="none"/>
              </w:rPr>
              <w:t>注：（1）近年相同及以上电压等级的输（变）电工程获奖级别标准见注释2。</w:t>
            </w:r>
          </w:p>
          <w:p>
            <w:pPr>
              <w:pStyle w:val="230"/>
              <w:spacing w:line="360" w:lineRule="auto"/>
              <w:rPr>
                <w:rFonts w:hint="eastAsia"/>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承包商奖项以南方电网公司发文为准，加分：根据</w:t>
            </w:r>
            <w:r>
              <w:rPr>
                <w:rFonts w:hint="eastAsia"/>
                <w:color w:val="auto"/>
                <w:highlight w:val="none"/>
                <w:u w:val="single"/>
              </w:rPr>
              <w:t xml:space="preserve">  《关于表彰南方电网公司2021-2022年度基建工程优秀设计、优质工程和优秀 QC 成果的通报》（南方电网基建〔2022〕33号） </w:t>
            </w:r>
            <w:r>
              <w:rPr>
                <w:rFonts w:hint="eastAsia"/>
                <w:color w:val="auto"/>
                <w:highlight w:val="none"/>
              </w:rPr>
              <w:t>文进行加分。</w:t>
            </w:r>
          </w:p>
          <w:p>
            <w:pPr>
              <w:pStyle w:val="230"/>
              <w:numPr>
                <w:ilvl w:val="0"/>
                <w:numId w:val="0"/>
              </w:numPr>
              <w:spacing w:line="360" w:lineRule="auto"/>
              <w:rPr>
                <w:rFonts w:ascii="宋体" w:hAnsi="宋体"/>
                <w:b/>
                <w:color w:val="auto"/>
                <w:highlight w:val="none"/>
              </w:rPr>
            </w:pPr>
            <w:r>
              <w:rPr>
                <w:rFonts w:hint="eastAsia"/>
                <w:color w:val="auto"/>
                <w:highlight w:val="none"/>
              </w:rPr>
              <w:t>（3）</w:t>
            </w:r>
            <w:r>
              <w:rPr>
                <w:rFonts w:hint="eastAsia" w:ascii="宋体" w:hAnsi="宋体" w:cs="宋体"/>
                <w:color w:val="auto"/>
                <w:highlight w:val="none"/>
              </w:rPr>
              <w:t>得分（含加分）最高不超过4分，其中第1、2项加分小计均不超过2分。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75" w:hRule="atLeast"/>
        </w:trPr>
        <w:tc>
          <w:tcPr>
            <w:tcW w:w="1012" w:type="dxa"/>
            <w:gridSpan w:val="2"/>
            <w:vMerge w:val="continue"/>
            <w:tcBorders>
              <w:bottom w:val="single" w:color="auto" w:sz="4" w:space="0"/>
              <w:right w:val="single" w:color="auto" w:sz="4" w:space="0"/>
            </w:tcBorders>
            <w:noWrap w:val="0"/>
            <w:vAlign w:val="center"/>
          </w:tcPr>
          <w:p>
            <w:pPr>
              <w:jc w:val="center"/>
              <w:rPr>
                <w:b/>
                <w:color w:val="auto"/>
                <w:highlight w:val="none"/>
              </w:rPr>
            </w:pPr>
          </w:p>
        </w:tc>
        <w:tc>
          <w:tcPr>
            <w:tcW w:w="1012" w:type="dxa"/>
            <w:vMerge w:val="continue"/>
            <w:tcBorders>
              <w:bottom w:val="single" w:color="auto" w:sz="4" w:space="0"/>
              <w:right w:val="single" w:color="auto" w:sz="4" w:space="0"/>
            </w:tcBorders>
            <w:noWrap w:val="0"/>
            <w:vAlign w:val="center"/>
          </w:tcPr>
          <w:p>
            <w:pPr>
              <w:jc w:val="center"/>
              <w:rPr>
                <w:b/>
                <w:color w:val="auto"/>
                <w:highlight w:val="none"/>
              </w:rPr>
            </w:pPr>
          </w:p>
        </w:tc>
        <w:tc>
          <w:tcPr>
            <w:tcW w:w="2558" w:type="dxa"/>
            <w:gridSpan w:val="2"/>
            <w:tcBorders>
              <w:top w:val="single" w:color="auto" w:sz="4" w:space="0"/>
              <w:left w:val="single" w:color="auto" w:sz="4" w:space="0"/>
              <w:right w:val="single" w:color="auto" w:sz="4" w:space="0"/>
            </w:tcBorders>
            <w:noWrap w:val="0"/>
            <w:vAlign w:val="center"/>
          </w:tcPr>
          <w:p>
            <w:pPr>
              <w:widowControl/>
              <w:spacing w:before="100" w:beforeAutospacing="1" w:after="100" w:afterAutospacing="1"/>
              <w:jc w:val="center"/>
              <w:rPr>
                <w:b/>
                <w:color w:val="auto"/>
                <w:highlight w:val="none"/>
              </w:rPr>
            </w:pPr>
            <w:r>
              <w:rPr>
                <w:rFonts w:hint="eastAsia"/>
                <w:color w:val="auto"/>
                <w:highlight w:val="none"/>
              </w:rPr>
              <w:t>参与标准设计编制工作情况（2分）</w:t>
            </w:r>
          </w:p>
        </w:tc>
        <w:tc>
          <w:tcPr>
            <w:tcW w:w="4434" w:type="dxa"/>
            <w:tcBorders>
              <w:top w:val="single" w:color="auto" w:sz="4" w:space="0"/>
              <w:left w:val="single" w:color="auto" w:sz="4" w:space="0"/>
              <w:right w:val="single" w:color="auto" w:sz="4" w:space="0"/>
            </w:tcBorders>
            <w:noWrap w:val="0"/>
            <w:vAlign w:val="center"/>
          </w:tcPr>
          <w:p>
            <w:pPr>
              <w:pStyle w:val="230"/>
              <w:spacing w:line="360" w:lineRule="auto"/>
              <w:rPr>
                <w:color w:val="auto"/>
                <w:highlight w:val="none"/>
              </w:rPr>
            </w:pPr>
            <w:r>
              <w:rPr>
                <w:rFonts w:hint="eastAsia"/>
                <w:color w:val="auto"/>
                <w:highlight w:val="none"/>
              </w:rPr>
              <w:t>根据参与标准设计编制工作深度进行评分：</w:t>
            </w:r>
          </w:p>
          <w:p>
            <w:pPr>
              <w:pStyle w:val="230"/>
              <w:spacing w:line="360" w:lineRule="auto"/>
              <w:rPr>
                <w:color w:val="auto"/>
                <w:highlight w:val="none"/>
              </w:rPr>
            </w:pPr>
            <w:r>
              <w:rPr>
                <w:rFonts w:hint="eastAsia"/>
                <w:color w:val="auto"/>
                <w:highlight w:val="none"/>
              </w:rPr>
              <w:t>1. 参与标准设计得2分；</w:t>
            </w:r>
          </w:p>
          <w:p>
            <w:pPr>
              <w:pStyle w:val="230"/>
              <w:spacing w:line="360" w:lineRule="auto"/>
              <w:rPr>
                <w:rFonts w:ascii="宋体" w:hAnsi="宋体"/>
                <w:b/>
                <w:color w:val="auto"/>
                <w:highlight w:val="none"/>
              </w:rPr>
            </w:pPr>
            <w:r>
              <w:rPr>
                <w:color w:val="auto"/>
                <w:highlight w:val="none"/>
              </w:rPr>
              <w:t>2</w:t>
            </w:r>
            <w:r>
              <w:rPr>
                <w:rFonts w:hint="eastAsia"/>
                <w:color w:val="auto"/>
                <w:highlight w:val="none"/>
              </w:rPr>
              <w:t>. 未参与标准设计模块编制工作，得0分。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29" w:hRule="atLeast"/>
        </w:trPr>
        <w:tc>
          <w:tcPr>
            <w:tcW w:w="2024" w:type="dxa"/>
            <w:gridSpan w:val="3"/>
            <w:tcBorders>
              <w:bottom w:val="single" w:color="auto" w:sz="4" w:space="0"/>
              <w:right w:val="single" w:color="auto" w:sz="4" w:space="0"/>
            </w:tcBorders>
            <w:noWrap w:val="0"/>
            <w:vAlign w:val="center"/>
          </w:tcPr>
          <w:p>
            <w:pPr>
              <w:rPr>
                <w:b/>
                <w:color w:val="auto"/>
                <w:highlight w:val="none"/>
              </w:rPr>
            </w:pPr>
          </w:p>
        </w:tc>
        <w:tc>
          <w:tcPr>
            <w:tcW w:w="6992" w:type="dxa"/>
            <w:gridSpan w:val="3"/>
            <w:tcBorders>
              <w:top w:val="single" w:color="auto" w:sz="4" w:space="0"/>
              <w:left w:val="single" w:color="auto" w:sz="4" w:space="0"/>
              <w:right w:val="single" w:color="auto" w:sz="4" w:space="0"/>
            </w:tcBorders>
            <w:noWrap w:val="0"/>
            <w:vAlign w:val="center"/>
          </w:tcPr>
          <w:p>
            <w:pPr>
              <w:spacing w:line="440" w:lineRule="exact"/>
              <w:rPr>
                <w:color w:val="auto"/>
                <w:highlight w:val="none"/>
              </w:rPr>
            </w:pPr>
            <w:r>
              <w:rPr>
                <w:rFonts w:hint="eastAsia"/>
                <w:color w:val="auto"/>
                <w:highlight w:val="none"/>
              </w:rPr>
              <w:t>注：</w:t>
            </w:r>
          </w:p>
          <w:p>
            <w:pPr>
              <w:spacing w:line="360" w:lineRule="exact"/>
              <w:ind w:firstLine="420" w:firstLineChars="200"/>
              <w:rPr>
                <w:color w:val="auto"/>
                <w:highlight w:val="none"/>
              </w:rPr>
            </w:pPr>
            <w:r>
              <w:rPr>
                <w:color w:val="auto"/>
                <w:highlight w:val="none"/>
              </w:rPr>
              <w:t>(</w:t>
            </w:r>
            <w:r>
              <w:rPr>
                <w:rFonts w:hint="eastAsia"/>
                <w:color w:val="auto"/>
                <w:highlight w:val="none"/>
              </w:rPr>
              <w:t>1</w:t>
            </w:r>
            <w:r>
              <w:rPr>
                <w:color w:val="auto"/>
                <w:highlight w:val="none"/>
              </w:rPr>
              <w:t>)</w:t>
            </w:r>
            <w:r>
              <w:rPr>
                <w:rFonts w:hint="eastAsia"/>
                <w:color w:val="auto"/>
                <w:highlight w:val="none"/>
              </w:rPr>
              <w:t>咨询、可研等单项奖不计入获奖。</w:t>
            </w:r>
          </w:p>
          <w:p>
            <w:pPr>
              <w:spacing w:line="360" w:lineRule="exact"/>
              <w:ind w:firstLine="420" w:firstLineChars="200"/>
              <w:rPr>
                <w:color w:val="auto"/>
                <w:highlight w:val="none"/>
              </w:rPr>
            </w:pPr>
            <w:r>
              <w:rPr>
                <w:color w:val="auto"/>
                <w:highlight w:val="none"/>
              </w:rPr>
              <w:t>(</w:t>
            </w:r>
            <w:r>
              <w:rPr>
                <w:rFonts w:hint="eastAsia"/>
                <w:color w:val="auto"/>
                <w:highlight w:val="none"/>
              </w:rPr>
              <w:t>2</w:t>
            </w:r>
            <w:r>
              <w:rPr>
                <w:color w:val="auto"/>
                <w:highlight w:val="none"/>
              </w:rPr>
              <w:t>)</w:t>
            </w:r>
            <w:r>
              <w:rPr>
                <w:rFonts w:hint="eastAsia"/>
                <w:color w:val="auto"/>
                <w:highlight w:val="none"/>
              </w:rPr>
              <w:t>国家级的奖项指鲁班奖（由建设部和中国建筑业协会颁发）、国家优质工程金奖和</w:t>
            </w:r>
            <w:r>
              <w:rPr>
                <w:color w:val="auto"/>
                <w:highlight w:val="none"/>
              </w:rPr>
              <w:t>国家优质工程奖</w:t>
            </w:r>
            <w:r>
              <w:rPr>
                <w:rFonts w:hint="eastAsia"/>
                <w:color w:val="auto"/>
                <w:highlight w:val="none"/>
              </w:rPr>
              <w:t>（由国家工程建设质量奖审定委员会或中国施工企业管理协会颁发）、安装之星；省部级的奖项指由省部级单位或部门（如中电联、省部级协会或单位、南方电网公司、国家电网公司等）颁发的优质工程奖项（如中国电力优质工程奖）；省级行业协会的奖项指各省、自治区或直辖市的电力行业协会颁发的优质工程奖</w:t>
            </w:r>
            <w:r>
              <w:rPr>
                <w:color w:val="auto"/>
                <w:highlight w:val="none"/>
              </w:rPr>
              <w:t>。</w:t>
            </w:r>
          </w:p>
          <w:p>
            <w:pPr>
              <w:spacing w:line="360" w:lineRule="exact"/>
              <w:ind w:firstLine="420" w:firstLineChars="200"/>
              <w:rPr>
                <w:color w:val="auto"/>
                <w:highlight w:val="none"/>
              </w:rPr>
            </w:pPr>
            <w:r>
              <w:rPr>
                <w:color w:val="auto"/>
                <w:highlight w:val="none"/>
              </w:rPr>
              <w:t>(</w:t>
            </w:r>
            <w:r>
              <w:rPr>
                <w:rFonts w:hint="eastAsia"/>
                <w:color w:val="auto"/>
                <w:highlight w:val="none"/>
              </w:rPr>
              <w:t>3</w:t>
            </w:r>
            <w:r>
              <w:rPr>
                <w:color w:val="auto"/>
                <w:highlight w:val="none"/>
              </w:rPr>
              <w:t xml:space="preserve">) </w:t>
            </w:r>
            <w:r>
              <w:rPr>
                <w:rFonts w:hint="eastAsia"/>
                <w:color w:val="auto"/>
                <w:highlight w:val="none"/>
              </w:rPr>
              <w:t>承包商奖项：在同一文件中同一承包商多个项目获得奖项的，按承包商进行加分。不同的文件不同的项目进行加分累计。同一项目按最高分计算。（举例：如南方电网基建***号文，某单位获得了3个220千伏项目（与招标项目相同及以上电压等级），按文件要求以承包商进行加分，加1分；因此该单位加1分。如果是不同发文，不同的项目即累计加分，同一项目按最高分的文件加分。）</w:t>
            </w:r>
          </w:p>
          <w:p>
            <w:pPr>
              <w:spacing w:line="360" w:lineRule="exact"/>
              <w:ind w:firstLine="420" w:firstLineChars="200"/>
              <w:rPr>
                <w:color w:val="auto"/>
                <w:highlight w:val="none"/>
              </w:rPr>
            </w:pPr>
            <w:r>
              <w:rPr>
                <w:color w:val="auto"/>
                <w:highlight w:val="none"/>
              </w:rPr>
              <w:t>(</w:t>
            </w:r>
            <w:r>
              <w:rPr>
                <w:rFonts w:hint="eastAsia"/>
                <w:color w:val="auto"/>
                <w:highlight w:val="none"/>
              </w:rPr>
              <w:t>4</w:t>
            </w:r>
            <w:r>
              <w:rPr>
                <w:color w:val="auto"/>
                <w:highlight w:val="none"/>
              </w:rPr>
              <w:t>)</w:t>
            </w:r>
            <w:r>
              <w:rPr>
                <w:rFonts w:hint="eastAsia"/>
                <w:color w:val="auto"/>
                <w:highlight w:val="none"/>
              </w:rPr>
              <w:t xml:space="preserve"> 近年所指的具体时间为2</w:t>
            </w:r>
            <w:r>
              <w:rPr>
                <w:color w:val="auto"/>
                <w:highlight w:val="none"/>
              </w:rPr>
              <w:t>018</w:t>
            </w:r>
            <w:r>
              <w:rPr>
                <w:rFonts w:hint="eastAsia"/>
                <w:color w:val="auto"/>
                <w:highlight w:val="none"/>
              </w:rPr>
              <w:t>年至今（开标当月）。</w:t>
            </w:r>
          </w:p>
          <w:p>
            <w:pPr>
              <w:spacing w:line="360" w:lineRule="exact"/>
              <w:ind w:firstLine="420" w:firstLineChars="200"/>
              <w:rPr>
                <w:color w:val="auto"/>
                <w:highlight w:val="none"/>
              </w:rPr>
            </w:pPr>
            <w:r>
              <w:rPr>
                <w:color w:val="auto"/>
                <w:highlight w:val="none"/>
              </w:rPr>
              <w:t>(</w:t>
            </w:r>
            <w:r>
              <w:rPr>
                <w:rFonts w:hint="eastAsia"/>
                <w:color w:val="auto"/>
                <w:highlight w:val="none"/>
              </w:rPr>
              <w:t>5</w:t>
            </w:r>
            <w:r>
              <w:rPr>
                <w:color w:val="auto"/>
                <w:highlight w:val="none"/>
              </w:rPr>
              <w:t>) 承包商评价分数折算标准</w:t>
            </w:r>
            <w:r>
              <w:rPr>
                <w:rFonts w:hint="eastAsia"/>
                <w:color w:val="auto"/>
                <w:highlight w:val="none"/>
              </w:rPr>
              <w:t>按照</w:t>
            </w:r>
            <w:r>
              <w:rPr>
                <w:color w:val="auto"/>
                <w:highlight w:val="none"/>
              </w:rPr>
              <w:t>下表执行。</w:t>
            </w:r>
          </w:p>
          <w:tbl>
            <w:tblPr>
              <w:tblStyle w:val="43"/>
              <w:tblW w:w="69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1"/>
              <w:gridCol w:w="2865"/>
              <w:gridCol w:w="1920"/>
            </w:tblGrid>
            <w:tr>
              <w:tblPrEx>
                <w:tblCellMar>
                  <w:top w:w="0" w:type="dxa"/>
                  <w:left w:w="108" w:type="dxa"/>
                  <w:bottom w:w="0" w:type="dxa"/>
                  <w:right w:w="108" w:type="dxa"/>
                </w:tblCellMar>
              </w:tblPrEx>
              <w:tc>
                <w:tcPr>
                  <w:tcW w:w="2181" w:type="dxa"/>
                  <w:noWrap w:val="0"/>
                  <w:vAlign w:val="center"/>
                </w:tcPr>
                <w:p>
                  <w:pPr>
                    <w:jc w:val="center"/>
                    <w:rPr>
                      <w:color w:val="auto"/>
                      <w:highlight w:val="none"/>
                    </w:rPr>
                  </w:pPr>
                  <w:r>
                    <w:rPr>
                      <w:rFonts w:hint="eastAsia"/>
                      <w:color w:val="auto"/>
                      <w:highlight w:val="none"/>
                    </w:rPr>
                    <w:t>分类</w:t>
                  </w:r>
                </w:p>
              </w:tc>
              <w:tc>
                <w:tcPr>
                  <w:tcW w:w="2865" w:type="dxa"/>
                  <w:noWrap w:val="0"/>
                  <w:vAlign w:val="center"/>
                </w:tcPr>
                <w:p>
                  <w:pPr>
                    <w:jc w:val="center"/>
                    <w:rPr>
                      <w:color w:val="auto"/>
                      <w:highlight w:val="none"/>
                    </w:rPr>
                  </w:pPr>
                  <w:r>
                    <w:rPr>
                      <w:rFonts w:hint="eastAsia"/>
                      <w:color w:val="auto"/>
                      <w:highlight w:val="none"/>
                    </w:rPr>
                    <w:t>设计、施工招标</w:t>
                  </w:r>
                </w:p>
              </w:tc>
              <w:tc>
                <w:tcPr>
                  <w:tcW w:w="1920" w:type="dxa"/>
                  <w:noWrap w:val="0"/>
                  <w:vAlign w:val="center"/>
                </w:tcPr>
                <w:p>
                  <w:pPr>
                    <w:jc w:val="center"/>
                    <w:rPr>
                      <w:color w:val="auto"/>
                      <w:highlight w:val="none"/>
                    </w:rPr>
                  </w:pPr>
                  <w:r>
                    <w:rPr>
                      <w:rFonts w:hint="eastAsia"/>
                      <w:color w:val="auto"/>
                      <w:highlight w:val="none"/>
                    </w:rPr>
                    <w:t>监理招标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dxa"/>
                  <w:noWrap w:val="0"/>
                  <w:vAlign w:val="center"/>
                </w:tcPr>
                <w:p>
                  <w:pPr>
                    <w:jc w:val="center"/>
                    <w:rPr>
                      <w:color w:val="auto"/>
                      <w:highlight w:val="none"/>
                    </w:rPr>
                  </w:pPr>
                  <w:r>
                    <w:rPr>
                      <w:rFonts w:hint="eastAsia"/>
                      <w:color w:val="auto"/>
                      <w:highlight w:val="none"/>
                    </w:rPr>
                    <w:t>电源工程</w:t>
                  </w:r>
                </w:p>
              </w:tc>
              <w:tc>
                <w:tcPr>
                  <w:tcW w:w="2865" w:type="dxa"/>
                  <w:noWrap w:val="0"/>
                  <w:vAlign w:val="center"/>
                </w:tcPr>
                <w:p>
                  <w:pPr>
                    <w:jc w:val="left"/>
                    <w:rPr>
                      <w:color w:val="auto"/>
                      <w:highlight w:val="none"/>
                    </w:rPr>
                  </w:pPr>
                  <w:r>
                    <w:rPr>
                      <w:rFonts w:hint="eastAsia"/>
                      <w:color w:val="auto"/>
                      <w:highlight w:val="none"/>
                    </w:rPr>
                    <w:t>按南方电网公司发布结果</w:t>
                  </w:r>
                </w:p>
              </w:tc>
              <w:tc>
                <w:tcPr>
                  <w:tcW w:w="1920" w:type="dxa"/>
                  <w:vMerge w:val="restart"/>
                  <w:noWrap w:val="0"/>
                  <w:vAlign w:val="center"/>
                </w:tcPr>
                <w:p>
                  <w:pPr>
                    <w:jc w:val="left"/>
                    <w:rPr>
                      <w:color w:val="auto"/>
                      <w:highlight w:val="none"/>
                    </w:rPr>
                  </w:pPr>
                  <w:r>
                    <w:rPr>
                      <w:rFonts w:hint="eastAsia"/>
                      <w:color w:val="auto"/>
                      <w:highlight w:val="none"/>
                    </w:rPr>
                    <w:t>按南方电网公司发布结果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dxa"/>
                  <w:noWrap w:val="0"/>
                  <w:vAlign w:val="center"/>
                </w:tcPr>
                <w:p>
                  <w:pPr>
                    <w:jc w:val="center"/>
                    <w:rPr>
                      <w:color w:val="auto"/>
                      <w:highlight w:val="none"/>
                    </w:rPr>
                  </w:pPr>
                  <w:r>
                    <w:rPr>
                      <w:rFonts w:hint="eastAsia"/>
                      <w:color w:val="auto"/>
                      <w:highlight w:val="none"/>
                    </w:rPr>
                    <w:t>500kV及以上项目</w:t>
                  </w:r>
                </w:p>
              </w:tc>
              <w:tc>
                <w:tcPr>
                  <w:tcW w:w="2865" w:type="dxa"/>
                  <w:noWrap w:val="0"/>
                  <w:vAlign w:val="center"/>
                </w:tcPr>
                <w:p>
                  <w:pPr>
                    <w:jc w:val="left"/>
                    <w:rPr>
                      <w:color w:val="auto"/>
                      <w:highlight w:val="none"/>
                    </w:rPr>
                  </w:pPr>
                  <w:r>
                    <w:rPr>
                      <w:rFonts w:hint="eastAsia"/>
                      <w:color w:val="auto"/>
                      <w:highlight w:val="none"/>
                    </w:rPr>
                    <w:t>按南方电网公司发布结果</w:t>
                  </w:r>
                </w:p>
              </w:tc>
              <w:tc>
                <w:tcPr>
                  <w:tcW w:w="1920" w:type="dxa"/>
                  <w:vMerge w:val="continue"/>
                  <w:noWrap w:val="0"/>
                  <w:vAlign w:val="center"/>
                </w:tcPr>
                <w:p>
                  <w:pPr>
                    <w:jc w:val="lef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dxa"/>
                  <w:noWrap w:val="0"/>
                  <w:vAlign w:val="center"/>
                </w:tcPr>
                <w:p>
                  <w:pPr>
                    <w:jc w:val="center"/>
                    <w:rPr>
                      <w:color w:val="auto"/>
                      <w:highlight w:val="none"/>
                    </w:rPr>
                  </w:pPr>
                  <w:r>
                    <w:rPr>
                      <w:rFonts w:hint="eastAsia"/>
                      <w:color w:val="auto"/>
                      <w:highlight w:val="none"/>
                    </w:rPr>
                    <w:t>220kV项目</w:t>
                  </w:r>
                </w:p>
              </w:tc>
              <w:tc>
                <w:tcPr>
                  <w:tcW w:w="2865" w:type="dxa"/>
                  <w:noWrap w:val="0"/>
                  <w:vAlign w:val="center"/>
                </w:tcPr>
                <w:p>
                  <w:pPr>
                    <w:widowControl/>
                    <w:jc w:val="left"/>
                    <w:rPr>
                      <w:color w:val="auto"/>
                      <w:highlight w:val="none"/>
                    </w:rPr>
                  </w:pPr>
                  <w:r>
                    <w:rPr>
                      <w:rFonts w:hint="eastAsia"/>
                      <w:color w:val="auto"/>
                      <w:highlight w:val="none"/>
                    </w:rPr>
                    <w:t>按以下优先顺序依次选取：</w:t>
                  </w:r>
                  <w:r>
                    <w:rPr>
                      <w:rFonts w:hint="eastAsia"/>
                      <w:color w:val="auto"/>
                      <w:highlight w:val="none"/>
                    </w:rPr>
                    <w:br w:type="textWrapping"/>
                  </w:r>
                  <w:r>
                    <w:rPr>
                      <w:rFonts w:hint="eastAsia"/>
                      <w:color w:val="auto"/>
                      <w:highlight w:val="none"/>
                    </w:rPr>
                    <w:t>1、南方电网公司发布220kV评价结果；</w:t>
                  </w:r>
                  <w:r>
                    <w:rPr>
                      <w:rFonts w:hint="eastAsia"/>
                      <w:color w:val="auto"/>
                      <w:highlight w:val="none"/>
                    </w:rPr>
                    <w:br w:type="textWrapping"/>
                  </w:r>
                  <w:r>
                    <w:rPr>
                      <w:rFonts w:hint="eastAsia"/>
                      <w:color w:val="auto"/>
                      <w:highlight w:val="none"/>
                    </w:rPr>
                    <w:t>2、南方电网公司500kV及以上评价结果*0.95</w:t>
                  </w:r>
                </w:p>
              </w:tc>
              <w:tc>
                <w:tcPr>
                  <w:tcW w:w="1920" w:type="dxa"/>
                  <w:vMerge w:val="continue"/>
                  <w:noWrap w:val="0"/>
                  <w:vAlign w:val="center"/>
                </w:tcPr>
                <w:p>
                  <w:pPr>
                    <w:jc w:val="lef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dxa"/>
                  <w:noWrap w:val="0"/>
                  <w:vAlign w:val="center"/>
                </w:tcPr>
                <w:p>
                  <w:pPr>
                    <w:jc w:val="center"/>
                    <w:rPr>
                      <w:color w:val="auto"/>
                      <w:highlight w:val="none"/>
                    </w:rPr>
                  </w:pPr>
                  <w:r>
                    <w:rPr>
                      <w:rFonts w:hint="eastAsia"/>
                      <w:color w:val="auto"/>
                      <w:highlight w:val="none"/>
                    </w:rPr>
                    <w:t>分类</w:t>
                  </w:r>
                </w:p>
              </w:tc>
              <w:tc>
                <w:tcPr>
                  <w:tcW w:w="2865" w:type="dxa"/>
                  <w:noWrap w:val="0"/>
                  <w:vAlign w:val="center"/>
                </w:tcPr>
                <w:p>
                  <w:pPr>
                    <w:jc w:val="center"/>
                    <w:rPr>
                      <w:color w:val="auto"/>
                      <w:highlight w:val="none"/>
                    </w:rPr>
                  </w:pPr>
                  <w:r>
                    <w:rPr>
                      <w:rFonts w:hint="eastAsia"/>
                      <w:color w:val="auto"/>
                      <w:highlight w:val="none"/>
                    </w:rPr>
                    <w:t>设计、施工招标</w:t>
                  </w:r>
                </w:p>
              </w:tc>
              <w:tc>
                <w:tcPr>
                  <w:tcW w:w="1920" w:type="dxa"/>
                  <w:noWrap w:val="0"/>
                  <w:vAlign w:val="center"/>
                </w:tcPr>
                <w:p>
                  <w:pPr>
                    <w:jc w:val="center"/>
                    <w:rPr>
                      <w:color w:val="auto"/>
                      <w:highlight w:val="none"/>
                    </w:rPr>
                  </w:pPr>
                  <w:r>
                    <w:rPr>
                      <w:rFonts w:hint="eastAsia"/>
                      <w:color w:val="auto"/>
                      <w:highlight w:val="none"/>
                    </w:rPr>
                    <w:t>监理招标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dxa"/>
                  <w:noWrap w:val="0"/>
                  <w:vAlign w:val="center"/>
                </w:tcPr>
                <w:p>
                  <w:pPr>
                    <w:jc w:val="center"/>
                    <w:rPr>
                      <w:color w:val="auto"/>
                      <w:highlight w:val="none"/>
                    </w:rPr>
                  </w:pPr>
                  <w:r>
                    <w:rPr>
                      <w:rFonts w:hint="eastAsia"/>
                      <w:color w:val="auto"/>
                      <w:highlight w:val="none"/>
                    </w:rPr>
                    <w:t>110-35kV项目</w:t>
                  </w:r>
                </w:p>
              </w:tc>
              <w:tc>
                <w:tcPr>
                  <w:tcW w:w="2865" w:type="dxa"/>
                  <w:noWrap w:val="0"/>
                  <w:vAlign w:val="center"/>
                </w:tcPr>
                <w:p>
                  <w:pPr>
                    <w:widowControl/>
                    <w:jc w:val="left"/>
                    <w:rPr>
                      <w:color w:val="auto"/>
                      <w:highlight w:val="none"/>
                    </w:rPr>
                  </w:pPr>
                  <w:r>
                    <w:rPr>
                      <w:rFonts w:hint="eastAsia"/>
                      <w:color w:val="auto"/>
                      <w:highlight w:val="none"/>
                    </w:rPr>
                    <w:t>按以下优先顺序依次选取：</w:t>
                  </w:r>
                  <w:r>
                    <w:rPr>
                      <w:rFonts w:hint="eastAsia"/>
                      <w:color w:val="auto"/>
                      <w:highlight w:val="none"/>
                    </w:rPr>
                    <w:br w:type="textWrapping"/>
                  </w:r>
                  <w:r>
                    <w:rPr>
                      <w:rFonts w:hint="eastAsia"/>
                      <w:color w:val="auto"/>
                      <w:highlight w:val="none"/>
                    </w:rPr>
                    <w:t>1、本分子公司110-35kV评价结果；</w:t>
                  </w:r>
                  <w:r>
                    <w:rPr>
                      <w:rFonts w:hint="eastAsia"/>
                      <w:color w:val="auto"/>
                      <w:highlight w:val="none"/>
                    </w:rPr>
                    <w:br w:type="textWrapping"/>
                  </w:r>
                  <w:r>
                    <w:rPr>
                      <w:rFonts w:hint="eastAsia"/>
                      <w:color w:val="auto"/>
                      <w:highlight w:val="none"/>
                    </w:rPr>
                    <w:t>2、南方电网公司220kV评价结果*0.95；</w:t>
                  </w:r>
                  <w:r>
                    <w:rPr>
                      <w:rFonts w:hint="eastAsia"/>
                      <w:color w:val="auto"/>
                      <w:highlight w:val="none"/>
                    </w:rPr>
                    <w:br w:type="textWrapping"/>
                  </w:r>
                  <w:r>
                    <w:rPr>
                      <w:rFonts w:hint="eastAsia"/>
                      <w:color w:val="auto"/>
                      <w:highlight w:val="none"/>
                    </w:rPr>
                    <w:t>3、其他分子公司110-35kV评价结果的算术平均*0.9</w:t>
                  </w:r>
                </w:p>
              </w:tc>
              <w:tc>
                <w:tcPr>
                  <w:tcW w:w="1920" w:type="dxa"/>
                  <w:vMerge w:val="restart"/>
                  <w:noWrap w:val="0"/>
                  <w:vAlign w:val="center"/>
                </w:tcPr>
                <w:p>
                  <w:pPr>
                    <w:jc w:val="left"/>
                    <w:rPr>
                      <w:color w:val="auto"/>
                      <w:highlight w:val="none"/>
                    </w:rPr>
                  </w:pPr>
                  <w:r>
                    <w:rPr>
                      <w:rFonts w:hint="eastAsia"/>
                      <w:color w:val="auto"/>
                      <w:highlight w:val="none"/>
                    </w:rPr>
                    <w:t>按以下优先顺序依次选取：</w:t>
                  </w:r>
                  <w:r>
                    <w:rPr>
                      <w:rFonts w:hint="eastAsia"/>
                      <w:color w:val="auto"/>
                      <w:highlight w:val="none"/>
                    </w:rPr>
                    <w:br w:type="textWrapping"/>
                  </w:r>
                  <w:r>
                    <w:rPr>
                      <w:rFonts w:hint="eastAsia"/>
                      <w:color w:val="auto"/>
                      <w:highlight w:val="none"/>
                    </w:rPr>
                    <w:t>1、本分子公司评价结果；</w:t>
                  </w:r>
                  <w:r>
                    <w:rPr>
                      <w:rFonts w:hint="eastAsia"/>
                      <w:color w:val="auto"/>
                      <w:highlight w:val="none"/>
                    </w:rPr>
                    <w:br w:type="textWrapping"/>
                  </w:r>
                  <w:r>
                    <w:rPr>
                      <w:rFonts w:hint="eastAsia"/>
                      <w:color w:val="auto"/>
                      <w:highlight w:val="none"/>
                    </w:rPr>
                    <w:t>2、南方电网公司评价结果*0.95；</w:t>
                  </w:r>
                  <w:r>
                    <w:rPr>
                      <w:rFonts w:hint="eastAsia"/>
                      <w:color w:val="auto"/>
                      <w:highlight w:val="none"/>
                    </w:rPr>
                    <w:br w:type="textWrapping"/>
                  </w:r>
                  <w:r>
                    <w:rPr>
                      <w:rFonts w:hint="eastAsia"/>
                      <w:color w:val="auto"/>
                      <w:highlight w:val="none"/>
                    </w:rPr>
                    <w:t>3、其他分子公司评价结果的算术平均*0.9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1" w:type="dxa"/>
                  <w:noWrap w:val="0"/>
                  <w:vAlign w:val="center"/>
                </w:tcPr>
                <w:p>
                  <w:pPr>
                    <w:jc w:val="center"/>
                    <w:rPr>
                      <w:rFonts w:hint="eastAsia"/>
                      <w:color w:val="auto"/>
                      <w:highlight w:val="none"/>
                    </w:rPr>
                  </w:pPr>
                  <w:r>
                    <w:rPr>
                      <w:rFonts w:hint="eastAsia"/>
                      <w:color w:val="auto"/>
                      <w:highlight w:val="none"/>
                    </w:rPr>
                    <w:t>20kV及以下项目</w:t>
                  </w:r>
                </w:p>
              </w:tc>
              <w:tc>
                <w:tcPr>
                  <w:tcW w:w="2865" w:type="dxa"/>
                  <w:noWrap w:val="0"/>
                  <w:vAlign w:val="center"/>
                </w:tcPr>
                <w:p>
                  <w:pPr>
                    <w:widowControl/>
                    <w:jc w:val="left"/>
                    <w:rPr>
                      <w:rFonts w:hint="eastAsia"/>
                      <w:color w:val="auto"/>
                      <w:highlight w:val="none"/>
                    </w:rPr>
                  </w:pPr>
                  <w:r>
                    <w:rPr>
                      <w:rFonts w:hint="eastAsia"/>
                      <w:color w:val="auto"/>
                      <w:highlight w:val="none"/>
                    </w:rPr>
                    <w:t>按以下优先顺序依次选取：</w:t>
                  </w:r>
                  <w:r>
                    <w:rPr>
                      <w:rFonts w:hint="eastAsia"/>
                      <w:color w:val="auto"/>
                      <w:highlight w:val="none"/>
                    </w:rPr>
                    <w:br w:type="textWrapping"/>
                  </w:r>
                  <w:r>
                    <w:rPr>
                      <w:rFonts w:hint="eastAsia"/>
                      <w:color w:val="auto"/>
                      <w:highlight w:val="none"/>
                    </w:rPr>
                    <w:t>1、本分子公司20kV及以下评价结果；</w:t>
                  </w:r>
                  <w:r>
                    <w:rPr>
                      <w:rFonts w:hint="eastAsia"/>
                      <w:color w:val="auto"/>
                      <w:highlight w:val="none"/>
                    </w:rPr>
                    <w:br w:type="textWrapping"/>
                  </w:r>
                  <w:r>
                    <w:rPr>
                      <w:rFonts w:hint="eastAsia"/>
                      <w:color w:val="auto"/>
                      <w:highlight w:val="none"/>
                    </w:rPr>
                    <w:t>2、本分子公司110-35kV评价结果*0.95</w:t>
                  </w:r>
                  <w:r>
                    <w:rPr>
                      <w:rFonts w:hint="eastAsia"/>
                      <w:color w:val="auto"/>
                      <w:highlight w:val="none"/>
                    </w:rPr>
                    <w:br w:type="textWrapping"/>
                  </w:r>
                  <w:r>
                    <w:rPr>
                      <w:rFonts w:hint="eastAsia"/>
                      <w:color w:val="auto"/>
                      <w:highlight w:val="none"/>
                    </w:rPr>
                    <w:t>3、其他分子公司20kV及以下评价结果的算术平均*0.9</w:t>
                  </w:r>
                  <w:r>
                    <w:rPr>
                      <w:rFonts w:hint="eastAsia"/>
                      <w:color w:val="auto"/>
                      <w:highlight w:val="none"/>
                    </w:rPr>
                    <w:br w:type="textWrapping"/>
                  </w:r>
                  <w:r>
                    <w:rPr>
                      <w:rFonts w:hint="eastAsia"/>
                      <w:color w:val="auto"/>
                      <w:highlight w:val="none"/>
                    </w:rPr>
                    <w:t>4、其他分子公司110-35kV评价结果的算术平均*0.9</w:t>
                  </w:r>
                </w:p>
              </w:tc>
              <w:tc>
                <w:tcPr>
                  <w:tcW w:w="1920" w:type="dxa"/>
                  <w:vMerge w:val="continue"/>
                  <w:noWrap w:val="0"/>
                  <w:vAlign w:val="center"/>
                </w:tcPr>
                <w:p>
                  <w:pPr>
                    <w:jc w:val="left"/>
                    <w:rPr>
                      <w:rFonts w:hint="eastAsia"/>
                      <w:color w:val="auto"/>
                      <w:highlight w:val="none"/>
                    </w:rPr>
                  </w:pPr>
                </w:p>
              </w:tc>
            </w:tr>
          </w:tbl>
          <w:p>
            <w:pPr>
              <w:numPr>
                <w:ilvl w:val="0"/>
                <w:numId w:val="10"/>
              </w:numPr>
              <w:spacing w:line="440" w:lineRule="exact"/>
              <w:ind w:firstLine="420" w:firstLineChars="200"/>
              <w:rPr>
                <w:rFonts w:hint="eastAsia"/>
                <w:color w:val="auto"/>
                <w:highlight w:val="none"/>
              </w:rPr>
            </w:pPr>
            <w:r>
              <w:rPr>
                <w:rFonts w:hint="eastAsia"/>
                <w:color w:val="auto"/>
                <w:highlight w:val="none"/>
              </w:rPr>
              <w:t>承包商评价打分以招标单位提供的资信评价资料为依据，评标专家必须严格按照资信评价分值进行评审。</w:t>
            </w:r>
          </w:p>
          <w:p>
            <w:pPr>
              <w:numPr>
                <w:ilvl w:val="0"/>
                <w:numId w:val="11"/>
              </w:numPr>
              <w:spacing w:line="440" w:lineRule="exact"/>
              <w:ind w:firstLine="420" w:firstLineChars="200"/>
              <w:rPr>
                <w:rFonts w:hint="eastAsia"/>
                <w:color w:val="auto"/>
                <w:highlight w:val="none"/>
              </w:rPr>
            </w:pPr>
            <w:r>
              <w:rPr>
                <w:rFonts w:hint="eastAsia"/>
                <w:color w:val="auto"/>
                <w:highlight w:val="none"/>
              </w:rPr>
              <w:t>当同一个项目中含有多个电压等级工程时，业绩、承包商评价、承包商奖项等以 220kv  电压等级为准。</w:t>
            </w:r>
          </w:p>
          <w:p>
            <w:pPr>
              <w:pStyle w:val="2"/>
              <w:ind w:firstLine="420" w:firstLineChars="200"/>
              <w:rPr>
                <w:color w:val="auto"/>
                <w:highlight w:val="none"/>
              </w:rPr>
            </w:pPr>
            <w:r>
              <w:rPr>
                <w:rFonts w:hint="eastAsia" w:ascii="宋体" w:hAnsi="宋体" w:cs="宋体"/>
                <w:color w:val="auto"/>
                <w:szCs w:val="21"/>
                <w:highlight w:val="none"/>
              </w:rPr>
              <w:t>（8）相同或以上电压等级的输（变）电工程指220kv及以上项目。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restart"/>
            <w:tcBorders>
              <w:top w:val="single" w:color="auto" w:sz="4" w:space="0"/>
              <w:right w:val="single" w:color="auto" w:sz="4" w:space="0"/>
            </w:tcBorders>
            <w:noWrap w:val="0"/>
            <w:vAlign w:val="center"/>
          </w:tcPr>
          <w:p>
            <w:pPr>
              <w:spacing w:line="440" w:lineRule="exact"/>
              <w:jc w:val="center"/>
              <w:rPr>
                <w:color w:val="auto"/>
                <w:highlight w:val="none"/>
              </w:rPr>
            </w:pPr>
            <w:r>
              <w:rPr>
                <w:color w:val="auto"/>
                <w:highlight w:val="none"/>
              </w:rPr>
              <w:t>2.2.4（2）</w:t>
            </w:r>
          </w:p>
        </w:tc>
        <w:tc>
          <w:tcPr>
            <w:tcW w:w="1124" w:type="dxa"/>
            <w:gridSpan w:val="2"/>
            <w:vMerge w:val="restart"/>
            <w:tcBorders>
              <w:top w:val="single" w:color="auto" w:sz="4" w:space="0"/>
              <w:right w:val="single" w:color="auto" w:sz="4" w:space="0"/>
            </w:tcBorders>
            <w:noWrap w:val="0"/>
            <w:vAlign w:val="center"/>
          </w:tcPr>
          <w:p>
            <w:pPr>
              <w:spacing w:line="440" w:lineRule="exact"/>
              <w:jc w:val="center"/>
              <w:rPr>
                <w:color w:val="auto"/>
                <w:highlight w:val="none"/>
              </w:rPr>
            </w:pPr>
            <w:r>
              <w:rPr>
                <w:rFonts w:hint="eastAsia"/>
                <w:color w:val="auto"/>
                <w:highlight w:val="none"/>
              </w:rPr>
              <w:t>勘察</w:t>
            </w:r>
            <w:r>
              <w:rPr>
                <w:color w:val="auto"/>
                <w:highlight w:val="none"/>
              </w:rPr>
              <w:t>设计方案评分标准</w:t>
            </w:r>
          </w:p>
        </w:tc>
        <w:tc>
          <w:tcPr>
            <w:tcW w:w="6992" w:type="dxa"/>
            <w:gridSpan w:val="3"/>
            <w:tcBorders>
              <w:top w:val="single" w:color="auto" w:sz="4" w:space="0"/>
              <w:left w:val="single" w:color="auto" w:sz="4" w:space="0"/>
              <w:bottom w:val="single" w:color="auto" w:sz="4" w:space="0"/>
              <w:right w:val="single" w:color="auto" w:sz="4" w:space="0"/>
            </w:tcBorders>
            <w:noWrap w:val="0"/>
            <w:vAlign w:val="center"/>
          </w:tcPr>
          <w:p>
            <w:pPr>
              <w:spacing w:line="440" w:lineRule="exact"/>
              <w:rPr>
                <w:b/>
                <w:bCs/>
                <w:color w:val="auto"/>
                <w:highlight w:val="none"/>
              </w:rPr>
            </w:pPr>
            <w:r>
              <w:rPr>
                <w:rFonts w:hint="eastAsia"/>
                <w:b/>
                <w:bCs/>
                <w:color w:val="auto"/>
                <w:highlight w:val="none"/>
              </w:rPr>
              <w:t>勘察</w:t>
            </w:r>
            <w:r>
              <w:rPr>
                <w:b/>
                <w:bCs/>
                <w:color w:val="auto"/>
                <w:highlight w:val="none"/>
              </w:rPr>
              <w:t>设计方案评分标准</w:t>
            </w:r>
            <w:r>
              <w:rPr>
                <w:rFonts w:hint="eastAsia"/>
                <w:b/>
                <w:bCs/>
                <w:color w:val="auto"/>
                <w:highlight w:val="none"/>
              </w:rPr>
              <w:t>执行：</w:t>
            </w:r>
          </w:p>
          <w:p>
            <w:pPr>
              <w:spacing w:line="440" w:lineRule="exact"/>
              <w:rPr>
                <w:rFonts w:hAnsi="宋体"/>
                <w:color w:val="auto"/>
                <w:szCs w:val="21"/>
                <w:highlight w:val="none"/>
              </w:rPr>
            </w:pPr>
            <w:r>
              <w:rPr>
                <w:rFonts w:hint="eastAsia" w:hAnsi="宋体"/>
                <w:color w:val="auto"/>
                <w:szCs w:val="21"/>
                <w:highlight w:val="none"/>
              </w:rPr>
              <w:t>□（1）变电站工程勘察设计方案评分标准</w:t>
            </w:r>
          </w:p>
          <w:p>
            <w:pPr>
              <w:spacing w:line="440" w:lineRule="exact"/>
              <w:rPr>
                <w:rFonts w:hAnsi="宋体"/>
                <w:color w:val="auto"/>
                <w:szCs w:val="21"/>
                <w:highlight w:val="none"/>
              </w:rPr>
            </w:pPr>
            <w:r>
              <w:rPr>
                <w:rFonts w:hint="eastAsia" w:hAnsi="宋体"/>
                <w:color w:val="auto"/>
                <w:szCs w:val="21"/>
                <w:highlight w:val="none"/>
              </w:rPr>
              <w:sym w:font="Wingdings 2" w:char="00A3"/>
            </w:r>
            <w:r>
              <w:rPr>
                <w:rFonts w:hint="eastAsia" w:hAnsi="宋体"/>
                <w:color w:val="auto"/>
                <w:szCs w:val="21"/>
                <w:highlight w:val="none"/>
              </w:rPr>
              <w:t>（</w:t>
            </w:r>
            <w:r>
              <w:rPr>
                <w:rFonts w:hAnsi="宋体"/>
                <w:color w:val="auto"/>
                <w:szCs w:val="21"/>
                <w:highlight w:val="none"/>
              </w:rPr>
              <w:t>2</w:t>
            </w:r>
            <w:r>
              <w:rPr>
                <w:rFonts w:hint="eastAsia" w:hAnsi="宋体"/>
                <w:color w:val="auto"/>
                <w:szCs w:val="21"/>
                <w:highlight w:val="none"/>
              </w:rPr>
              <w:t>）架空线路工程勘察设计方案评分标准</w:t>
            </w:r>
          </w:p>
          <w:p>
            <w:pPr>
              <w:spacing w:line="440" w:lineRule="exact"/>
              <w:rPr>
                <w:color w:val="auto"/>
                <w:highlight w:val="none"/>
              </w:rPr>
            </w:pPr>
            <w:r>
              <w:rPr>
                <w:rFonts w:hint="eastAsia" w:hAnsi="宋体"/>
                <w:color w:val="auto"/>
                <w:szCs w:val="21"/>
                <w:highlight w:val="none"/>
              </w:rPr>
              <w:sym w:font="Wingdings 2" w:char="0052"/>
            </w:r>
            <w:r>
              <w:rPr>
                <w:rFonts w:hint="eastAsia" w:hAnsi="宋体"/>
                <w:color w:val="auto"/>
                <w:szCs w:val="21"/>
                <w:highlight w:val="none"/>
              </w:rPr>
              <w:t>（</w:t>
            </w:r>
            <w:r>
              <w:rPr>
                <w:rFonts w:hAnsi="宋体"/>
                <w:color w:val="auto"/>
                <w:szCs w:val="21"/>
                <w:highlight w:val="none"/>
              </w:rPr>
              <w:t>3</w:t>
            </w:r>
            <w:r>
              <w:rPr>
                <w:rFonts w:hint="eastAsia" w:hAnsi="宋体"/>
                <w:color w:val="auto"/>
                <w:szCs w:val="21"/>
                <w:highlight w:val="none"/>
              </w:rPr>
              <w:t>）电缆线路工程勘察设计方案评分标准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right w:val="single" w:color="auto" w:sz="4" w:space="0"/>
            </w:tcBorders>
            <w:noWrap w:val="0"/>
            <w:vAlign w:val="top"/>
          </w:tcPr>
          <w:p>
            <w:pPr>
              <w:rPr>
                <w:color w:val="auto"/>
                <w:highlight w:val="none"/>
              </w:rPr>
            </w:pPr>
          </w:p>
        </w:tc>
        <w:tc>
          <w:tcPr>
            <w:tcW w:w="1124" w:type="dxa"/>
            <w:gridSpan w:val="2"/>
            <w:vMerge w:val="continue"/>
            <w:tcBorders>
              <w:right w:val="single" w:color="auto" w:sz="4" w:space="0"/>
            </w:tcBorders>
            <w:noWrap w:val="0"/>
            <w:vAlign w:val="top"/>
          </w:tcPr>
          <w:p>
            <w:pPr>
              <w:rPr>
                <w:color w:val="auto"/>
                <w:highlight w:val="none"/>
              </w:rPr>
            </w:pPr>
          </w:p>
        </w:tc>
        <w:tc>
          <w:tcPr>
            <w:tcW w:w="6992" w:type="dxa"/>
            <w:gridSpan w:val="3"/>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spacing w:line="440" w:lineRule="exact"/>
              <w:jc w:val="center"/>
              <w:rPr>
                <w:color w:val="auto"/>
                <w:highlight w:val="none"/>
              </w:rPr>
            </w:pPr>
            <w:r>
              <w:rPr>
                <w:rFonts w:hint="eastAsia" w:hAnsi="宋体"/>
                <w:b/>
                <w:bCs/>
                <w:color w:val="auto"/>
                <w:szCs w:val="21"/>
                <w:highlight w:val="none"/>
              </w:rPr>
              <w:t>（</w:t>
            </w:r>
            <w:r>
              <w:rPr>
                <w:rFonts w:hAnsi="宋体"/>
                <w:b/>
                <w:bCs/>
                <w:color w:val="auto"/>
                <w:szCs w:val="21"/>
                <w:highlight w:val="none"/>
              </w:rPr>
              <w:t>3</w:t>
            </w:r>
            <w:r>
              <w:rPr>
                <w:rFonts w:hint="eastAsia" w:hAnsi="宋体"/>
                <w:b/>
                <w:bCs/>
                <w:color w:val="auto"/>
                <w:szCs w:val="21"/>
                <w:highlight w:val="none"/>
              </w:rPr>
              <w:t>）电缆线路工程勘察设计方案评分标准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right w:val="single" w:color="auto" w:sz="4" w:space="0"/>
            </w:tcBorders>
            <w:noWrap w:val="0"/>
            <w:vAlign w:val="top"/>
          </w:tcPr>
          <w:p>
            <w:pPr>
              <w:rPr>
                <w:color w:val="auto"/>
                <w:highlight w:val="none"/>
              </w:rPr>
            </w:pPr>
          </w:p>
        </w:tc>
        <w:tc>
          <w:tcPr>
            <w:tcW w:w="1124" w:type="dxa"/>
            <w:gridSpan w:val="2"/>
            <w:vMerge w:val="continue"/>
            <w:tcBorders>
              <w:right w:val="single" w:color="auto" w:sz="4" w:space="0"/>
            </w:tcBorders>
            <w:noWrap w:val="0"/>
            <w:vAlign w:val="top"/>
          </w:tcPr>
          <w:p>
            <w:pPr>
              <w:rPr>
                <w:color w:val="auto"/>
                <w:highlight w:val="none"/>
              </w:rPr>
            </w:pPr>
          </w:p>
        </w:tc>
        <w:tc>
          <w:tcPr>
            <w:tcW w:w="2176"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spacing w:before="100" w:beforeAutospacing="1" w:after="100" w:afterAutospacing="1"/>
              <w:jc w:val="center"/>
              <w:rPr>
                <w:color w:val="auto"/>
                <w:highlight w:val="none"/>
              </w:rPr>
            </w:pPr>
            <w:r>
              <w:rPr>
                <w:rFonts w:hint="eastAsia" w:ascii="宋体" w:hAnsi="宋体"/>
                <w:color w:val="auto"/>
                <w:szCs w:val="21"/>
                <w:highlight w:val="none"/>
              </w:rPr>
              <w:t>1、路径方案（</w:t>
            </w:r>
            <w:r>
              <w:rPr>
                <w:rFonts w:hint="eastAsia" w:ascii="宋体" w:hAnsi="宋体"/>
                <w:color w:val="auto"/>
                <w:szCs w:val="21"/>
                <w:highlight w:val="none"/>
                <w:u w:val="single"/>
              </w:rPr>
              <w:t>4</w:t>
            </w:r>
            <w:r>
              <w:rPr>
                <w:rFonts w:hint="eastAsia" w:ascii="宋体" w:hAnsi="宋体"/>
                <w:color w:val="auto"/>
                <w:szCs w:val="21"/>
                <w:highlight w:val="none"/>
              </w:rPr>
              <w:t>分）</w:t>
            </w:r>
          </w:p>
        </w:tc>
        <w:tc>
          <w:tcPr>
            <w:tcW w:w="4816" w:type="dxa"/>
            <w:gridSpan w:val="2"/>
            <w:tcBorders>
              <w:top w:val="single" w:color="auto" w:sz="4" w:space="0"/>
              <w:left w:val="single" w:color="auto" w:sz="4" w:space="0"/>
              <w:bottom w:val="single" w:color="auto" w:sz="4" w:space="0"/>
              <w:right w:val="single" w:color="auto" w:sz="4" w:space="0"/>
            </w:tcBorders>
            <w:noWrap w:val="0"/>
            <w:tcMar>
              <w:left w:w="57" w:type="dxa"/>
              <w:right w:w="57" w:type="dxa"/>
            </w:tcMar>
            <w:vAlign w:val="top"/>
          </w:tcPr>
          <w:p>
            <w:pPr>
              <w:spacing w:line="440" w:lineRule="exact"/>
              <w:jc w:val="left"/>
              <w:rPr>
                <w:color w:val="auto"/>
                <w:highlight w:val="none"/>
              </w:rPr>
            </w:pPr>
            <w:r>
              <w:rPr>
                <w:rFonts w:hint="eastAsia"/>
                <w:color w:val="auto"/>
                <w:highlight w:val="none"/>
              </w:rPr>
              <w:t>响应预选线路径有其给定条件（</w:t>
            </w:r>
            <w:r>
              <w:rPr>
                <w:rFonts w:hint="eastAsia"/>
                <w:color w:val="auto"/>
                <w:highlight w:val="none"/>
                <w:u w:val="single"/>
              </w:rPr>
              <w:t>2</w:t>
            </w:r>
            <w:r>
              <w:rPr>
                <w:rFonts w:hint="eastAsia"/>
                <w:color w:val="auto"/>
                <w:highlight w:val="none"/>
              </w:rPr>
              <w:t>分）（不响应0分）</w:t>
            </w:r>
          </w:p>
          <w:p>
            <w:pPr>
              <w:spacing w:line="440" w:lineRule="exact"/>
              <w:jc w:val="left"/>
              <w:rPr>
                <w:color w:val="auto"/>
                <w:highlight w:val="none"/>
              </w:rPr>
            </w:pPr>
            <w:r>
              <w:rPr>
                <w:rFonts w:hint="eastAsia"/>
                <w:color w:val="auto"/>
                <w:highlight w:val="none"/>
              </w:rPr>
              <w:t>现场勘察及沿线情况掌握、分析（</w:t>
            </w:r>
            <w:r>
              <w:rPr>
                <w:rFonts w:hint="eastAsia"/>
                <w:color w:val="auto"/>
                <w:highlight w:val="none"/>
                <w:u w:val="single"/>
              </w:rPr>
              <w:t>2</w:t>
            </w:r>
            <w:r>
              <w:rPr>
                <w:rFonts w:hint="eastAsia"/>
                <w:color w:val="auto"/>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right w:val="single" w:color="auto" w:sz="4" w:space="0"/>
            </w:tcBorders>
            <w:noWrap w:val="0"/>
            <w:vAlign w:val="top"/>
          </w:tcPr>
          <w:p>
            <w:pPr>
              <w:rPr>
                <w:color w:val="auto"/>
                <w:highlight w:val="none"/>
              </w:rPr>
            </w:pPr>
          </w:p>
        </w:tc>
        <w:tc>
          <w:tcPr>
            <w:tcW w:w="1124" w:type="dxa"/>
            <w:gridSpan w:val="2"/>
            <w:vMerge w:val="continue"/>
            <w:tcBorders>
              <w:right w:val="single" w:color="auto" w:sz="4" w:space="0"/>
            </w:tcBorders>
            <w:noWrap w:val="0"/>
            <w:vAlign w:val="top"/>
          </w:tcPr>
          <w:p>
            <w:pPr>
              <w:rPr>
                <w:color w:val="auto"/>
                <w:highlight w:val="none"/>
              </w:rPr>
            </w:pPr>
          </w:p>
        </w:tc>
        <w:tc>
          <w:tcPr>
            <w:tcW w:w="2176"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spacing w:before="100" w:beforeAutospacing="1" w:after="100" w:afterAutospacing="1"/>
              <w:jc w:val="center"/>
              <w:rPr>
                <w:color w:val="auto"/>
                <w:highlight w:val="none"/>
              </w:rPr>
            </w:pPr>
            <w:r>
              <w:rPr>
                <w:rFonts w:hint="eastAsia" w:ascii="宋体" w:hAnsi="宋体"/>
                <w:color w:val="auto"/>
                <w:szCs w:val="21"/>
                <w:highlight w:val="none"/>
              </w:rPr>
              <w:t>2、气象条件（1分）</w:t>
            </w:r>
          </w:p>
        </w:tc>
        <w:tc>
          <w:tcPr>
            <w:tcW w:w="4816" w:type="dxa"/>
            <w:gridSpan w:val="2"/>
            <w:tcBorders>
              <w:top w:val="single" w:color="auto" w:sz="4" w:space="0"/>
              <w:left w:val="single" w:color="auto" w:sz="4" w:space="0"/>
              <w:bottom w:val="single" w:color="auto" w:sz="4" w:space="0"/>
              <w:right w:val="single" w:color="auto" w:sz="4" w:space="0"/>
            </w:tcBorders>
            <w:noWrap w:val="0"/>
            <w:tcMar>
              <w:left w:w="57" w:type="dxa"/>
              <w:right w:w="57" w:type="dxa"/>
            </w:tcMar>
            <w:vAlign w:val="top"/>
          </w:tcPr>
          <w:p>
            <w:pPr>
              <w:spacing w:line="440" w:lineRule="exact"/>
              <w:jc w:val="left"/>
              <w:rPr>
                <w:color w:val="auto"/>
                <w:highlight w:val="none"/>
              </w:rPr>
            </w:pPr>
            <w:r>
              <w:rPr>
                <w:rFonts w:hint="eastAsia"/>
                <w:color w:val="auto"/>
                <w:highlight w:val="none"/>
              </w:rPr>
              <w:t>响应招标文件及其给定条件（1分）（否则0分）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right w:val="single" w:color="auto" w:sz="4" w:space="0"/>
            </w:tcBorders>
            <w:noWrap w:val="0"/>
            <w:vAlign w:val="top"/>
          </w:tcPr>
          <w:p>
            <w:pPr>
              <w:rPr>
                <w:color w:val="auto"/>
                <w:highlight w:val="none"/>
              </w:rPr>
            </w:pPr>
          </w:p>
        </w:tc>
        <w:tc>
          <w:tcPr>
            <w:tcW w:w="1124" w:type="dxa"/>
            <w:gridSpan w:val="2"/>
            <w:vMerge w:val="continue"/>
            <w:tcBorders>
              <w:right w:val="single" w:color="auto" w:sz="4" w:space="0"/>
            </w:tcBorders>
            <w:noWrap w:val="0"/>
            <w:vAlign w:val="top"/>
          </w:tcPr>
          <w:p>
            <w:pPr>
              <w:rPr>
                <w:color w:val="auto"/>
                <w:highlight w:val="none"/>
              </w:rPr>
            </w:pPr>
          </w:p>
        </w:tc>
        <w:tc>
          <w:tcPr>
            <w:tcW w:w="2176"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spacing w:before="100" w:beforeAutospacing="1" w:after="100" w:afterAutospacing="1"/>
              <w:jc w:val="center"/>
              <w:rPr>
                <w:color w:val="auto"/>
                <w:highlight w:val="none"/>
              </w:rPr>
            </w:pPr>
            <w:r>
              <w:rPr>
                <w:rFonts w:hint="eastAsia" w:ascii="宋体" w:hAnsi="宋体"/>
                <w:color w:val="auto"/>
                <w:szCs w:val="21"/>
                <w:highlight w:val="none"/>
              </w:rPr>
              <w:t>3、</w:t>
            </w:r>
            <w:r>
              <w:rPr>
                <w:rFonts w:ascii="宋体" w:hAnsi="宋体"/>
                <w:color w:val="auto"/>
                <w:szCs w:val="21"/>
                <w:highlight w:val="none"/>
              </w:rPr>
              <w:t>电缆、</w:t>
            </w:r>
            <w:r>
              <w:rPr>
                <w:rFonts w:hint="eastAsia" w:ascii="宋体" w:hAnsi="宋体"/>
                <w:color w:val="auto"/>
                <w:szCs w:val="21"/>
                <w:highlight w:val="none"/>
              </w:rPr>
              <w:t>防火、避雷及接地</w:t>
            </w:r>
            <w:r>
              <w:rPr>
                <w:rFonts w:ascii="宋体" w:hAnsi="宋体"/>
                <w:color w:val="auto"/>
                <w:szCs w:val="21"/>
                <w:highlight w:val="none"/>
              </w:rPr>
              <w:t>方案</w:t>
            </w:r>
            <w:r>
              <w:rPr>
                <w:rFonts w:hint="eastAsia" w:ascii="宋体" w:hAnsi="宋体"/>
                <w:color w:val="auto"/>
                <w:szCs w:val="21"/>
                <w:highlight w:val="none"/>
              </w:rPr>
              <w:t>（得出基本结论、分析、论证充分）（</w:t>
            </w:r>
            <w:r>
              <w:rPr>
                <w:rFonts w:hint="eastAsia" w:ascii="宋体" w:hAnsi="宋体"/>
                <w:color w:val="auto"/>
                <w:szCs w:val="21"/>
                <w:highlight w:val="none"/>
                <w:u w:val="single"/>
              </w:rPr>
              <w:t>4</w:t>
            </w:r>
            <w:r>
              <w:rPr>
                <w:rFonts w:hint="eastAsia" w:ascii="宋体" w:hAnsi="宋体"/>
                <w:color w:val="auto"/>
                <w:szCs w:val="21"/>
                <w:highlight w:val="none"/>
              </w:rPr>
              <w:t>分）</w:t>
            </w:r>
          </w:p>
        </w:tc>
        <w:tc>
          <w:tcPr>
            <w:tcW w:w="4816" w:type="dxa"/>
            <w:gridSpan w:val="2"/>
            <w:tcBorders>
              <w:top w:val="single" w:color="auto" w:sz="4" w:space="0"/>
              <w:left w:val="single" w:color="auto" w:sz="4" w:space="0"/>
              <w:bottom w:val="single" w:color="auto" w:sz="4" w:space="0"/>
              <w:right w:val="single" w:color="auto" w:sz="4" w:space="0"/>
            </w:tcBorders>
            <w:noWrap w:val="0"/>
            <w:tcMar>
              <w:left w:w="57" w:type="dxa"/>
              <w:right w:w="57" w:type="dxa"/>
            </w:tcMar>
            <w:vAlign w:val="top"/>
          </w:tcPr>
          <w:p>
            <w:pPr>
              <w:spacing w:line="440" w:lineRule="exact"/>
              <w:jc w:val="left"/>
              <w:rPr>
                <w:color w:val="auto"/>
                <w:highlight w:val="none"/>
              </w:rPr>
            </w:pPr>
            <w:r>
              <w:rPr>
                <w:rFonts w:hint="eastAsia"/>
                <w:color w:val="auto"/>
                <w:highlight w:val="none"/>
              </w:rPr>
              <w:t>电缆（光缆）规格选型及换位（</w:t>
            </w:r>
            <w:r>
              <w:rPr>
                <w:rFonts w:hint="eastAsia"/>
                <w:color w:val="auto"/>
                <w:highlight w:val="none"/>
                <w:u w:val="single"/>
              </w:rPr>
              <w:t>2</w:t>
            </w:r>
            <w:r>
              <w:rPr>
                <w:rFonts w:hint="eastAsia"/>
                <w:color w:val="auto"/>
                <w:highlight w:val="none"/>
              </w:rPr>
              <w:t>分）</w:t>
            </w:r>
          </w:p>
          <w:p>
            <w:pPr>
              <w:spacing w:line="440" w:lineRule="exact"/>
              <w:jc w:val="left"/>
              <w:rPr>
                <w:color w:val="auto"/>
                <w:highlight w:val="none"/>
              </w:rPr>
            </w:pPr>
            <w:r>
              <w:rPr>
                <w:rFonts w:hint="eastAsia"/>
                <w:color w:val="auto"/>
                <w:highlight w:val="none"/>
              </w:rPr>
              <w:t>电缆防火、接地装置、避雷器方案选择及与工程条件、环境的适应性（2分）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right w:val="single" w:color="auto" w:sz="4" w:space="0"/>
            </w:tcBorders>
            <w:noWrap w:val="0"/>
            <w:vAlign w:val="top"/>
          </w:tcPr>
          <w:p>
            <w:pPr>
              <w:rPr>
                <w:color w:val="auto"/>
                <w:highlight w:val="none"/>
              </w:rPr>
            </w:pPr>
          </w:p>
        </w:tc>
        <w:tc>
          <w:tcPr>
            <w:tcW w:w="1124" w:type="dxa"/>
            <w:gridSpan w:val="2"/>
            <w:vMerge w:val="continue"/>
            <w:tcBorders>
              <w:right w:val="single" w:color="auto" w:sz="4" w:space="0"/>
            </w:tcBorders>
            <w:noWrap w:val="0"/>
            <w:vAlign w:val="top"/>
          </w:tcPr>
          <w:p>
            <w:pPr>
              <w:rPr>
                <w:color w:val="auto"/>
                <w:highlight w:val="none"/>
              </w:rPr>
            </w:pPr>
          </w:p>
        </w:tc>
        <w:tc>
          <w:tcPr>
            <w:tcW w:w="2176"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spacing w:before="100" w:beforeAutospacing="1" w:after="100" w:afterAutospacing="1"/>
              <w:jc w:val="center"/>
              <w:rPr>
                <w:color w:val="auto"/>
                <w:highlight w:val="none"/>
              </w:rPr>
            </w:pPr>
            <w:r>
              <w:rPr>
                <w:rFonts w:hint="eastAsia" w:ascii="宋体" w:hAnsi="宋体"/>
                <w:color w:val="auto"/>
                <w:szCs w:val="21"/>
                <w:highlight w:val="none"/>
              </w:rPr>
              <w:t>4、</w:t>
            </w:r>
            <w:r>
              <w:rPr>
                <w:rFonts w:ascii="宋体" w:hAnsi="宋体"/>
                <w:color w:val="auto"/>
                <w:szCs w:val="21"/>
                <w:highlight w:val="none"/>
              </w:rPr>
              <w:t>电缆沟、</w:t>
            </w:r>
            <w:r>
              <w:rPr>
                <w:rFonts w:hint="eastAsia" w:ascii="宋体" w:hAnsi="宋体"/>
                <w:color w:val="auto"/>
                <w:szCs w:val="21"/>
                <w:highlight w:val="none"/>
              </w:rPr>
              <w:t>井、隧道、小间及保护管方案（</w:t>
            </w:r>
            <w:r>
              <w:rPr>
                <w:rFonts w:hint="eastAsia" w:ascii="宋体" w:hAnsi="宋体"/>
                <w:color w:val="auto"/>
                <w:szCs w:val="21"/>
                <w:highlight w:val="none"/>
                <w:u w:val="single"/>
              </w:rPr>
              <w:t>4</w:t>
            </w:r>
            <w:r>
              <w:rPr>
                <w:rFonts w:hint="eastAsia" w:ascii="宋体" w:hAnsi="宋体"/>
                <w:color w:val="auto"/>
                <w:szCs w:val="21"/>
                <w:highlight w:val="none"/>
              </w:rPr>
              <w:t>分）</w:t>
            </w:r>
          </w:p>
        </w:tc>
        <w:tc>
          <w:tcPr>
            <w:tcW w:w="4816" w:type="dxa"/>
            <w:gridSpan w:val="2"/>
            <w:tcBorders>
              <w:top w:val="single" w:color="auto" w:sz="4" w:space="0"/>
              <w:left w:val="single" w:color="auto" w:sz="4" w:space="0"/>
              <w:bottom w:val="single" w:color="auto" w:sz="4" w:space="0"/>
              <w:right w:val="single" w:color="auto" w:sz="4" w:space="0"/>
            </w:tcBorders>
            <w:noWrap w:val="0"/>
            <w:tcMar>
              <w:left w:w="57" w:type="dxa"/>
              <w:right w:w="57" w:type="dxa"/>
            </w:tcMar>
            <w:vAlign w:val="top"/>
          </w:tcPr>
          <w:p>
            <w:pPr>
              <w:spacing w:line="440" w:lineRule="exact"/>
              <w:jc w:val="left"/>
              <w:rPr>
                <w:color w:val="auto"/>
                <w:highlight w:val="none"/>
              </w:rPr>
            </w:pPr>
            <w:r>
              <w:rPr>
                <w:rFonts w:hint="eastAsia"/>
                <w:color w:val="auto"/>
                <w:highlight w:val="none"/>
              </w:rPr>
              <w:t>电缆沟（盒）、井、隧道、小间及保护管方案选型（</w:t>
            </w:r>
            <w:r>
              <w:rPr>
                <w:rFonts w:hint="eastAsia"/>
                <w:color w:val="auto"/>
                <w:highlight w:val="none"/>
                <w:u w:val="single"/>
              </w:rPr>
              <w:t>2</w:t>
            </w:r>
            <w:r>
              <w:rPr>
                <w:rFonts w:hint="eastAsia"/>
                <w:color w:val="auto"/>
                <w:highlight w:val="none"/>
              </w:rPr>
              <w:t>分）</w:t>
            </w:r>
          </w:p>
          <w:p>
            <w:pPr>
              <w:spacing w:line="440" w:lineRule="exact"/>
              <w:jc w:val="left"/>
              <w:rPr>
                <w:color w:val="auto"/>
                <w:highlight w:val="none"/>
              </w:rPr>
            </w:pPr>
            <w:r>
              <w:rPr>
                <w:rFonts w:hint="eastAsia"/>
                <w:color w:val="auto"/>
                <w:highlight w:val="none"/>
              </w:rPr>
              <w:t>方案选型、基础处理及与工程条件、环境的适应性（1分）</w:t>
            </w:r>
          </w:p>
          <w:p>
            <w:pPr>
              <w:spacing w:line="440" w:lineRule="exact"/>
              <w:jc w:val="left"/>
              <w:rPr>
                <w:color w:val="auto"/>
                <w:highlight w:val="none"/>
              </w:rPr>
            </w:pPr>
            <w:r>
              <w:rPr>
                <w:rFonts w:hint="eastAsia"/>
                <w:color w:val="auto"/>
                <w:highlight w:val="none"/>
              </w:rPr>
              <w:t>单公里指标及与使用条件的一致性（1分）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right w:val="single" w:color="auto" w:sz="4" w:space="0"/>
            </w:tcBorders>
            <w:noWrap w:val="0"/>
            <w:vAlign w:val="top"/>
          </w:tcPr>
          <w:p>
            <w:pPr>
              <w:rPr>
                <w:color w:val="auto"/>
                <w:highlight w:val="none"/>
              </w:rPr>
            </w:pPr>
          </w:p>
        </w:tc>
        <w:tc>
          <w:tcPr>
            <w:tcW w:w="1124" w:type="dxa"/>
            <w:gridSpan w:val="2"/>
            <w:vMerge w:val="continue"/>
            <w:tcBorders>
              <w:right w:val="single" w:color="auto" w:sz="4" w:space="0"/>
            </w:tcBorders>
            <w:noWrap w:val="0"/>
            <w:vAlign w:val="top"/>
          </w:tcPr>
          <w:p>
            <w:pPr>
              <w:rPr>
                <w:color w:val="auto"/>
                <w:highlight w:val="none"/>
              </w:rPr>
            </w:pPr>
          </w:p>
        </w:tc>
        <w:tc>
          <w:tcPr>
            <w:tcW w:w="2176"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spacing w:before="100" w:beforeAutospacing="1" w:after="100" w:afterAutospacing="1"/>
              <w:jc w:val="center"/>
              <w:rPr>
                <w:color w:val="auto"/>
                <w:highlight w:val="none"/>
              </w:rPr>
            </w:pPr>
            <w:r>
              <w:rPr>
                <w:rFonts w:hint="eastAsia" w:ascii="宋体" w:hAnsi="宋体"/>
                <w:color w:val="auto"/>
                <w:szCs w:val="21"/>
                <w:highlight w:val="none"/>
              </w:rPr>
              <w:t>5、电缆两端工程方案（</w:t>
            </w:r>
            <w:r>
              <w:rPr>
                <w:rFonts w:hint="eastAsia" w:ascii="宋体" w:hAnsi="宋体"/>
                <w:color w:val="auto"/>
                <w:szCs w:val="21"/>
                <w:highlight w:val="none"/>
                <w:u w:val="single"/>
              </w:rPr>
              <w:t>4</w:t>
            </w:r>
            <w:r>
              <w:rPr>
                <w:rFonts w:hint="eastAsia" w:ascii="宋体" w:hAnsi="宋体"/>
                <w:color w:val="auto"/>
                <w:szCs w:val="21"/>
                <w:highlight w:val="none"/>
              </w:rPr>
              <w:t>分）</w:t>
            </w:r>
          </w:p>
        </w:tc>
        <w:tc>
          <w:tcPr>
            <w:tcW w:w="4816" w:type="dxa"/>
            <w:gridSpan w:val="2"/>
            <w:tcBorders>
              <w:top w:val="single" w:color="auto" w:sz="4" w:space="0"/>
              <w:left w:val="single" w:color="auto" w:sz="4" w:space="0"/>
              <w:bottom w:val="single" w:color="auto" w:sz="4" w:space="0"/>
              <w:right w:val="single" w:color="auto" w:sz="4" w:space="0"/>
            </w:tcBorders>
            <w:noWrap w:val="0"/>
            <w:tcMar>
              <w:left w:w="57" w:type="dxa"/>
              <w:right w:w="57" w:type="dxa"/>
            </w:tcMar>
            <w:vAlign w:val="top"/>
          </w:tcPr>
          <w:p>
            <w:pPr>
              <w:spacing w:line="440" w:lineRule="exact"/>
              <w:jc w:val="left"/>
              <w:rPr>
                <w:color w:val="auto"/>
                <w:highlight w:val="none"/>
              </w:rPr>
            </w:pPr>
            <w:r>
              <w:rPr>
                <w:rFonts w:hint="eastAsia"/>
                <w:color w:val="auto"/>
                <w:highlight w:val="none"/>
              </w:rPr>
              <w:t>送端和受端的设备选型，基本结论、分析、论证充分（4分）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right w:val="single" w:color="auto" w:sz="4" w:space="0"/>
            </w:tcBorders>
            <w:noWrap w:val="0"/>
            <w:vAlign w:val="top"/>
          </w:tcPr>
          <w:p>
            <w:pPr>
              <w:rPr>
                <w:color w:val="auto"/>
                <w:highlight w:val="none"/>
              </w:rPr>
            </w:pPr>
          </w:p>
        </w:tc>
        <w:tc>
          <w:tcPr>
            <w:tcW w:w="1124" w:type="dxa"/>
            <w:gridSpan w:val="2"/>
            <w:vMerge w:val="continue"/>
            <w:tcBorders>
              <w:right w:val="single" w:color="auto" w:sz="4" w:space="0"/>
            </w:tcBorders>
            <w:noWrap w:val="0"/>
            <w:vAlign w:val="top"/>
          </w:tcPr>
          <w:p>
            <w:pPr>
              <w:rPr>
                <w:color w:val="auto"/>
                <w:highlight w:val="none"/>
              </w:rPr>
            </w:pPr>
          </w:p>
        </w:tc>
        <w:tc>
          <w:tcPr>
            <w:tcW w:w="2176"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spacing w:before="100" w:beforeAutospacing="1" w:after="100" w:afterAutospacing="1"/>
              <w:jc w:val="center"/>
              <w:rPr>
                <w:color w:val="auto"/>
                <w:highlight w:val="none"/>
              </w:rPr>
            </w:pPr>
            <w:r>
              <w:rPr>
                <w:rFonts w:hint="eastAsia" w:ascii="宋体" w:hAnsi="宋体"/>
                <w:color w:val="auto"/>
                <w:szCs w:val="21"/>
                <w:highlight w:val="none"/>
              </w:rPr>
              <w:t>6、专题研究及技术建议（2分）</w:t>
            </w:r>
          </w:p>
        </w:tc>
        <w:tc>
          <w:tcPr>
            <w:tcW w:w="4816" w:type="dxa"/>
            <w:gridSpan w:val="2"/>
            <w:tcBorders>
              <w:top w:val="single" w:color="auto" w:sz="4" w:space="0"/>
              <w:left w:val="single" w:color="auto" w:sz="4" w:space="0"/>
              <w:bottom w:val="single" w:color="auto" w:sz="4" w:space="0"/>
              <w:right w:val="single" w:color="auto" w:sz="4" w:space="0"/>
            </w:tcBorders>
            <w:noWrap w:val="0"/>
            <w:tcMar>
              <w:left w:w="57" w:type="dxa"/>
              <w:right w:w="57" w:type="dxa"/>
            </w:tcMar>
            <w:vAlign w:val="top"/>
          </w:tcPr>
          <w:p>
            <w:pPr>
              <w:spacing w:line="440" w:lineRule="exact"/>
              <w:jc w:val="left"/>
              <w:rPr>
                <w:color w:val="auto"/>
                <w:highlight w:val="none"/>
              </w:rPr>
            </w:pPr>
            <w:r>
              <w:rPr>
                <w:rFonts w:hint="eastAsia"/>
                <w:color w:val="auto"/>
                <w:highlight w:val="none"/>
              </w:rPr>
              <w:t>专题研究及设计阶段对工程全寿命管理的建议（1分）</w:t>
            </w:r>
          </w:p>
          <w:p>
            <w:pPr>
              <w:spacing w:line="440" w:lineRule="exact"/>
              <w:jc w:val="left"/>
              <w:rPr>
                <w:color w:val="auto"/>
                <w:highlight w:val="none"/>
              </w:rPr>
            </w:pPr>
            <w:r>
              <w:rPr>
                <w:rFonts w:hint="eastAsia"/>
                <w:color w:val="auto"/>
                <w:highlight w:val="none"/>
              </w:rPr>
              <w:t>新技术、新工艺、新材料的应用及路径优化建议（1分）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right w:val="single" w:color="auto" w:sz="4" w:space="0"/>
            </w:tcBorders>
            <w:noWrap w:val="0"/>
            <w:vAlign w:val="top"/>
          </w:tcPr>
          <w:p>
            <w:pPr>
              <w:rPr>
                <w:color w:val="auto"/>
                <w:highlight w:val="none"/>
              </w:rPr>
            </w:pPr>
          </w:p>
        </w:tc>
        <w:tc>
          <w:tcPr>
            <w:tcW w:w="1124" w:type="dxa"/>
            <w:gridSpan w:val="2"/>
            <w:vMerge w:val="continue"/>
            <w:tcBorders>
              <w:right w:val="single" w:color="auto" w:sz="4" w:space="0"/>
            </w:tcBorders>
            <w:noWrap w:val="0"/>
            <w:vAlign w:val="top"/>
          </w:tcPr>
          <w:p>
            <w:pPr>
              <w:rPr>
                <w:color w:val="auto"/>
                <w:highlight w:val="none"/>
              </w:rPr>
            </w:pPr>
          </w:p>
        </w:tc>
        <w:tc>
          <w:tcPr>
            <w:tcW w:w="2176"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spacing w:before="100" w:beforeAutospacing="1" w:after="100" w:afterAutospacing="1"/>
              <w:jc w:val="center"/>
              <w:rPr>
                <w:color w:val="auto"/>
                <w:highlight w:val="none"/>
              </w:rPr>
            </w:pPr>
            <w:r>
              <w:rPr>
                <w:rFonts w:hint="eastAsia" w:ascii="宋体" w:hAnsi="宋体"/>
                <w:color w:val="auto"/>
                <w:szCs w:val="21"/>
                <w:highlight w:val="none"/>
              </w:rPr>
              <w:t>7、主要技术经济指标（各项指标及与工程条件、论述的一致、合理、可行）（5分）</w:t>
            </w:r>
          </w:p>
        </w:tc>
        <w:tc>
          <w:tcPr>
            <w:tcW w:w="4816" w:type="dxa"/>
            <w:gridSpan w:val="2"/>
            <w:tcBorders>
              <w:top w:val="single" w:color="auto" w:sz="4" w:space="0"/>
              <w:left w:val="single" w:color="auto" w:sz="4" w:space="0"/>
              <w:bottom w:val="single" w:color="auto" w:sz="4" w:space="0"/>
              <w:right w:val="single" w:color="auto" w:sz="4" w:space="0"/>
            </w:tcBorders>
            <w:noWrap w:val="0"/>
            <w:tcMar>
              <w:left w:w="57" w:type="dxa"/>
              <w:right w:w="57" w:type="dxa"/>
            </w:tcMar>
            <w:vAlign w:val="top"/>
          </w:tcPr>
          <w:p>
            <w:pPr>
              <w:spacing w:line="440" w:lineRule="exact"/>
              <w:jc w:val="left"/>
              <w:rPr>
                <w:color w:val="auto"/>
                <w:highlight w:val="none"/>
              </w:rPr>
            </w:pPr>
            <w:r>
              <w:rPr>
                <w:rFonts w:hint="eastAsia"/>
                <w:color w:val="auto"/>
                <w:highlight w:val="none"/>
              </w:rPr>
              <w:t>每公里钢材量（2分）</w:t>
            </w:r>
          </w:p>
          <w:p>
            <w:pPr>
              <w:spacing w:line="440" w:lineRule="exact"/>
              <w:jc w:val="left"/>
              <w:rPr>
                <w:color w:val="auto"/>
                <w:highlight w:val="none"/>
              </w:rPr>
            </w:pPr>
            <w:r>
              <w:rPr>
                <w:rFonts w:hint="eastAsia"/>
                <w:color w:val="auto"/>
                <w:highlight w:val="none"/>
              </w:rPr>
              <w:t>每公里混凝土量（2分）</w:t>
            </w:r>
          </w:p>
          <w:p>
            <w:pPr>
              <w:spacing w:line="440" w:lineRule="exact"/>
              <w:jc w:val="left"/>
              <w:rPr>
                <w:color w:val="auto"/>
                <w:highlight w:val="none"/>
              </w:rPr>
            </w:pPr>
            <w:r>
              <w:rPr>
                <w:rFonts w:hint="eastAsia"/>
                <w:color w:val="auto"/>
                <w:highlight w:val="none"/>
              </w:rPr>
              <w:t>每公里基础土石方量（1分）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right w:val="single" w:color="auto" w:sz="4" w:space="0"/>
            </w:tcBorders>
            <w:noWrap w:val="0"/>
            <w:vAlign w:val="top"/>
          </w:tcPr>
          <w:p>
            <w:pPr>
              <w:rPr>
                <w:color w:val="auto"/>
                <w:highlight w:val="none"/>
              </w:rPr>
            </w:pPr>
          </w:p>
        </w:tc>
        <w:tc>
          <w:tcPr>
            <w:tcW w:w="1124" w:type="dxa"/>
            <w:gridSpan w:val="2"/>
            <w:vMerge w:val="continue"/>
            <w:tcBorders>
              <w:right w:val="single" w:color="auto" w:sz="4" w:space="0"/>
            </w:tcBorders>
            <w:noWrap w:val="0"/>
            <w:vAlign w:val="top"/>
          </w:tcPr>
          <w:p>
            <w:pPr>
              <w:rPr>
                <w:color w:val="auto"/>
                <w:highlight w:val="none"/>
              </w:rPr>
            </w:pPr>
          </w:p>
        </w:tc>
        <w:tc>
          <w:tcPr>
            <w:tcW w:w="2176"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spacing w:before="100" w:beforeAutospacing="1" w:after="100" w:afterAutospacing="1"/>
              <w:jc w:val="center"/>
              <w:rPr>
                <w:color w:val="auto"/>
                <w:highlight w:val="none"/>
              </w:rPr>
            </w:pPr>
            <w:r>
              <w:rPr>
                <w:rFonts w:hint="eastAsia" w:ascii="宋体" w:hAnsi="宋体"/>
                <w:color w:val="auto"/>
                <w:szCs w:val="21"/>
                <w:highlight w:val="none"/>
              </w:rPr>
              <w:t>8、环保、水保措施（</w:t>
            </w:r>
            <w:r>
              <w:rPr>
                <w:rFonts w:hint="eastAsia" w:ascii="宋体" w:hAnsi="宋体"/>
                <w:color w:val="auto"/>
                <w:szCs w:val="21"/>
                <w:highlight w:val="none"/>
                <w:u w:val="single"/>
              </w:rPr>
              <w:t>2</w:t>
            </w:r>
            <w:r>
              <w:rPr>
                <w:rFonts w:hint="eastAsia" w:ascii="宋体" w:hAnsi="宋体"/>
                <w:color w:val="auto"/>
                <w:szCs w:val="21"/>
                <w:highlight w:val="none"/>
              </w:rPr>
              <w:t>分）</w:t>
            </w:r>
          </w:p>
        </w:tc>
        <w:tc>
          <w:tcPr>
            <w:tcW w:w="4816" w:type="dxa"/>
            <w:gridSpan w:val="2"/>
            <w:tcBorders>
              <w:top w:val="single" w:color="auto" w:sz="4" w:space="0"/>
              <w:left w:val="single" w:color="auto" w:sz="4" w:space="0"/>
              <w:bottom w:val="single" w:color="auto" w:sz="4" w:space="0"/>
              <w:right w:val="single" w:color="auto" w:sz="4" w:space="0"/>
            </w:tcBorders>
            <w:noWrap w:val="0"/>
            <w:tcMar>
              <w:left w:w="57" w:type="dxa"/>
              <w:right w:w="57" w:type="dxa"/>
            </w:tcMar>
            <w:vAlign w:val="top"/>
          </w:tcPr>
          <w:p>
            <w:pPr>
              <w:spacing w:line="440" w:lineRule="exact"/>
              <w:jc w:val="left"/>
              <w:rPr>
                <w:color w:val="auto"/>
                <w:highlight w:val="none"/>
              </w:rPr>
            </w:pPr>
            <w:r>
              <w:rPr>
                <w:rFonts w:hint="eastAsia"/>
                <w:color w:val="auto"/>
                <w:highlight w:val="none"/>
              </w:rPr>
              <w:t>环境保护及水土保持措施（</w:t>
            </w:r>
            <w:r>
              <w:rPr>
                <w:rFonts w:hint="eastAsia"/>
                <w:color w:val="auto"/>
                <w:highlight w:val="none"/>
                <w:u w:val="single"/>
              </w:rPr>
              <w:t>2</w:t>
            </w:r>
            <w:r>
              <w:rPr>
                <w:rFonts w:hint="eastAsia"/>
                <w:color w:val="auto"/>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right w:val="single" w:color="auto" w:sz="4" w:space="0"/>
            </w:tcBorders>
            <w:noWrap w:val="0"/>
            <w:vAlign w:val="top"/>
          </w:tcPr>
          <w:p>
            <w:pPr>
              <w:rPr>
                <w:color w:val="auto"/>
                <w:highlight w:val="none"/>
              </w:rPr>
            </w:pPr>
          </w:p>
        </w:tc>
        <w:tc>
          <w:tcPr>
            <w:tcW w:w="1124" w:type="dxa"/>
            <w:gridSpan w:val="2"/>
            <w:vMerge w:val="continue"/>
            <w:tcBorders>
              <w:right w:val="single" w:color="auto" w:sz="4" w:space="0"/>
            </w:tcBorders>
            <w:noWrap w:val="0"/>
            <w:vAlign w:val="top"/>
          </w:tcPr>
          <w:p>
            <w:pPr>
              <w:rPr>
                <w:color w:val="auto"/>
                <w:highlight w:val="none"/>
              </w:rPr>
            </w:pPr>
          </w:p>
        </w:tc>
        <w:tc>
          <w:tcPr>
            <w:tcW w:w="2176"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spacing w:before="100" w:beforeAutospacing="1" w:after="100" w:afterAutospacing="1"/>
              <w:jc w:val="center"/>
              <w:rPr>
                <w:color w:val="auto"/>
                <w:highlight w:val="none"/>
              </w:rPr>
            </w:pPr>
            <w:r>
              <w:rPr>
                <w:rFonts w:hint="eastAsia" w:ascii="宋体" w:hAnsi="宋体"/>
                <w:color w:val="auto"/>
                <w:szCs w:val="21"/>
                <w:highlight w:val="none"/>
              </w:rPr>
              <w:t>9、工程现场协调经验和能力（</w:t>
            </w:r>
            <w:r>
              <w:rPr>
                <w:rFonts w:hint="eastAsia" w:ascii="宋体" w:hAnsi="宋体"/>
                <w:color w:val="auto"/>
                <w:szCs w:val="21"/>
                <w:highlight w:val="none"/>
                <w:u w:val="single"/>
              </w:rPr>
              <w:t>5</w:t>
            </w:r>
            <w:r>
              <w:rPr>
                <w:rFonts w:hint="eastAsia" w:ascii="宋体" w:hAnsi="宋体"/>
                <w:color w:val="auto"/>
                <w:szCs w:val="21"/>
                <w:highlight w:val="none"/>
              </w:rPr>
              <w:t>分）</w:t>
            </w:r>
          </w:p>
        </w:tc>
        <w:tc>
          <w:tcPr>
            <w:tcW w:w="4816" w:type="dxa"/>
            <w:gridSpan w:val="2"/>
            <w:tcBorders>
              <w:top w:val="single" w:color="auto" w:sz="4" w:space="0"/>
              <w:left w:val="single" w:color="auto" w:sz="4" w:space="0"/>
              <w:bottom w:val="single" w:color="auto" w:sz="4" w:space="0"/>
              <w:right w:val="single" w:color="auto" w:sz="4" w:space="0"/>
            </w:tcBorders>
            <w:noWrap w:val="0"/>
            <w:tcMar>
              <w:left w:w="57" w:type="dxa"/>
              <w:right w:w="57" w:type="dxa"/>
            </w:tcMar>
            <w:vAlign w:val="top"/>
          </w:tcPr>
          <w:p>
            <w:pPr>
              <w:spacing w:line="440" w:lineRule="exact"/>
              <w:jc w:val="left"/>
              <w:rPr>
                <w:color w:val="auto"/>
                <w:highlight w:val="none"/>
              </w:rPr>
            </w:pPr>
            <w:r>
              <w:rPr>
                <w:rFonts w:hint="eastAsia"/>
                <w:color w:val="auto"/>
                <w:highlight w:val="none"/>
              </w:rPr>
              <w:t>工程项目所在地各方面的综合协调能力（</w:t>
            </w:r>
            <w:r>
              <w:rPr>
                <w:rFonts w:hint="eastAsia"/>
                <w:color w:val="auto"/>
                <w:highlight w:val="none"/>
                <w:u w:val="single"/>
              </w:rPr>
              <w:t>3</w:t>
            </w:r>
            <w:r>
              <w:rPr>
                <w:rFonts w:hint="eastAsia"/>
                <w:color w:val="auto"/>
                <w:highlight w:val="none"/>
              </w:rPr>
              <w:t>分）</w:t>
            </w:r>
          </w:p>
          <w:p>
            <w:pPr>
              <w:spacing w:line="440" w:lineRule="exact"/>
              <w:jc w:val="left"/>
              <w:rPr>
                <w:color w:val="auto"/>
                <w:highlight w:val="none"/>
              </w:rPr>
            </w:pPr>
            <w:r>
              <w:rPr>
                <w:rFonts w:hint="eastAsia"/>
                <w:color w:val="auto"/>
                <w:highlight w:val="none"/>
              </w:rPr>
              <w:t>工程项目所在地协调经验（</w:t>
            </w:r>
            <w:r>
              <w:rPr>
                <w:rFonts w:hint="eastAsia"/>
                <w:color w:val="auto"/>
                <w:highlight w:val="none"/>
                <w:u w:val="single"/>
              </w:rPr>
              <w:t>2</w:t>
            </w:r>
            <w:r>
              <w:rPr>
                <w:rFonts w:hint="eastAsia"/>
                <w:color w:val="auto"/>
                <w:highlight w:val="none"/>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right w:val="single" w:color="auto" w:sz="4" w:space="0"/>
            </w:tcBorders>
            <w:noWrap w:val="0"/>
            <w:vAlign w:val="top"/>
          </w:tcPr>
          <w:p>
            <w:pPr>
              <w:rPr>
                <w:color w:val="auto"/>
                <w:highlight w:val="none"/>
              </w:rPr>
            </w:pPr>
          </w:p>
        </w:tc>
        <w:tc>
          <w:tcPr>
            <w:tcW w:w="1124" w:type="dxa"/>
            <w:gridSpan w:val="2"/>
            <w:vMerge w:val="continue"/>
            <w:tcBorders>
              <w:right w:val="single" w:color="auto" w:sz="4" w:space="0"/>
            </w:tcBorders>
            <w:noWrap w:val="0"/>
            <w:vAlign w:val="top"/>
          </w:tcPr>
          <w:p>
            <w:pPr>
              <w:rPr>
                <w:color w:val="auto"/>
                <w:highlight w:val="none"/>
              </w:rPr>
            </w:pPr>
          </w:p>
        </w:tc>
        <w:tc>
          <w:tcPr>
            <w:tcW w:w="2176"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spacing w:before="100" w:beforeAutospacing="1" w:after="100" w:afterAutospacing="1"/>
              <w:jc w:val="center"/>
              <w:rPr>
                <w:color w:val="auto"/>
                <w:highlight w:val="none"/>
              </w:rPr>
            </w:pPr>
            <w:r>
              <w:rPr>
                <w:rFonts w:hint="eastAsia" w:ascii="宋体" w:hAnsi="宋体"/>
                <w:color w:val="auto"/>
                <w:szCs w:val="21"/>
                <w:highlight w:val="none"/>
              </w:rPr>
              <w:t>10、标准设计和典型造价（3分）</w:t>
            </w:r>
          </w:p>
        </w:tc>
        <w:tc>
          <w:tcPr>
            <w:tcW w:w="4816" w:type="dxa"/>
            <w:gridSpan w:val="2"/>
            <w:tcBorders>
              <w:top w:val="single" w:color="auto" w:sz="4" w:space="0"/>
              <w:left w:val="single" w:color="auto" w:sz="4" w:space="0"/>
              <w:bottom w:val="single" w:color="auto" w:sz="4" w:space="0"/>
              <w:right w:val="single" w:color="auto" w:sz="4" w:space="0"/>
            </w:tcBorders>
            <w:noWrap w:val="0"/>
            <w:tcMar>
              <w:left w:w="57" w:type="dxa"/>
              <w:right w:w="57" w:type="dxa"/>
            </w:tcMar>
            <w:vAlign w:val="top"/>
          </w:tcPr>
          <w:p>
            <w:pPr>
              <w:spacing w:line="440" w:lineRule="exact"/>
              <w:jc w:val="left"/>
              <w:rPr>
                <w:color w:val="auto"/>
                <w:highlight w:val="none"/>
              </w:rPr>
            </w:pPr>
            <w:r>
              <w:rPr>
                <w:rFonts w:hint="eastAsia"/>
                <w:color w:val="auto"/>
                <w:highlight w:val="none"/>
              </w:rPr>
              <w:t>采用方案及各层级模块得3分，部分采用1-2分，没采用0分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right w:val="single" w:color="auto" w:sz="4" w:space="0"/>
            </w:tcBorders>
            <w:noWrap w:val="0"/>
            <w:vAlign w:val="top"/>
          </w:tcPr>
          <w:p>
            <w:pPr>
              <w:rPr>
                <w:color w:val="auto"/>
                <w:highlight w:val="none"/>
              </w:rPr>
            </w:pPr>
          </w:p>
        </w:tc>
        <w:tc>
          <w:tcPr>
            <w:tcW w:w="1124" w:type="dxa"/>
            <w:gridSpan w:val="2"/>
            <w:vMerge w:val="continue"/>
            <w:tcBorders>
              <w:right w:val="single" w:color="auto" w:sz="4" w:space="0"/>
            </w:tcBorders>
            <w:noWrap w:val="0"/>
            <w:vAlign w:val="top"/>
          </w:tcPr>
          <w:p>
            <w:pPr>
              <w:rPr>
                <w:color w:val="auto"/>
                <w:highlight w:val="none"/>
              </w:rPr>
            </w:pPr>
          </w:p>
        </w:tc>
        <w:tc>
          <w:tcPr>
            <w:tcW w:w="2176"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spacing w:before="100" w:beforeAutospacing="1" w:after="100" w:afterAutospacing="1"/>
              <w:jc w:val="center"/>
              <w:rPr>
                <w:color w:val="auto"/>
                <w:highlight w:val="none"/>
              </w:rPr>
            </w:pPr>
            <w:r>
              <w:rPr>
                <w:rFonts w:hint="eastAsia" w:ascii="宋体" w:hAnsi="宋体"/>
                <w:color w:val="auto"/>
                <w:szCs w:val="21"/>
                <w:highlight w:val="none"/>
              </w:rPr>
              <w:t>11、设计创优及强制性条文（2分）</w:t>
            </w:r>
          </w:p>
        </w:tc>
        <w:tc>
          <w:tcPr>
            <w:tcW w:w="4816" w:type="dxa"/>
            <w:gridSpan w:val="2"/>
            <w:tcBorders>
              <w:top w:val="single" w:color="auto" w:sz="4" w:space="0"/>
              <w:left w:val="single" w:color="auto" w:sz="4" w:space="0"/>
              <w:bottom w:val="single" w:color="auto" w:sz="4" w:space="0"/>
              <w:right w:val="single" w:color="auto" w:sz="4" w:space="0"/>
            </w:tcBorders>
            <w:noWrap w:val="0"/>
            <w:tcMar>
              <w:left w:w="57" w:type="dxa"/>
              <w:right w:w="57" w:type="dxa"/>
            </w:tcMar>
            <w:vAlign w:val="top"/>
          </w:tcPr>
          <w:p>
            <w:pPr>
              <w:spacing w:line="440" w:lineRule="exact"/>
              <w:jc w:val="left"/>
              <w:rPr>
                <w:color w:val="auto"/>
                <w:highlight w:val="none"/>
              </w:rPr>
            </w:pPr>
            <w:r>
              <w:rPr>
                <w:rFonts w:hint="eastAsia"/>
                <w:color w:val="auto"/>
                <w:highlight w:val="none"/>
              </w:rPr>
              <w:t>设计创优情况，强制性条文执行方案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right w:val="single" w:color="auto" w:sz="4" w:space="0"/>
            </w:tcBorders>
            <w:noWrap w:val="0"/>
            <w:vAlign w:val="top"/>
          </w:tcPr>
          <w:p>
            <w:pPr>
              <w:rPr>
                <w:color w:val="auto"/>
                <w:highlight w:val="none"/>
              </w:rPr>
            </w:pPr>
          </w:p>
        </w:tc>
        <w:tc>
          <w:tcPr>
            <w:tcW w:w="1124" w:type="dxa"/>
            <w:gridSpan w:val="2"/>
            <w:vMerge w:val="continue"/>
            <w:tcBorders>
              <w:right w:val="single" w:color="auto" w:sz="4" w:space="0"/>
            </w:tcBorders>
            <w:noWrap w:val="0"/>
            <w:vAlign w:val="top"/>
          </w:tcPr>
          <w:p>
            <w:pPr>
              <w:rPr>
                <w:color w:val="auto"/>
                <w:highlight w:val="none"/>
              </w:rPr>
            </w:pPr>
          </w:p>
        </w:tc>
        <w:tc>
          <w:tcPr>
            <w:tcW w:w="2176"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spacing w:before="100" w:beforeAutospacing="1" w:after="100" w:afterAutospacing="1"/>
              <w:jc w:val="center"/>
              <w:rPr>
                <w:color w:val="auto"/>
                <w:highlight w:val="none"/>
              </w:rPr>
            </w:pPr>
            <w:r>
              <w:rPr>
                <w:rFonts w:hint="eastAsia" w:ascii="宋体" w:hAnsi="宋体"/>
                <w:color w:val="auto"/>
                <w:szCs w:val="21"/>
                <w:highlight w:val="none"/>
              </w:rPr>
              <w:t>12、设计进度安排及技术服务措施（</w:t>
            </w:r>
            <w:r>
              <w:rPr>
                <w:rFonts w:hint="eastAsia" w:ascii="宋体" w:hAnsi="宋体"/>
                <w:color w:val="auto"/>
                <w:szCs w:val="21"/>
                <w:highlight w:val="none"/>
                <w:u w:val="single"/>
              </w:rPr>
              <w:t>4</w:t>
            </w:r>
            <w:r>
              <w:rPr>
                <w:rFonts w:hint="eastAsia" w:ascii="宋体" w:hAnsi="宋体"/>
                <w:color w:val="auto"/>
                <w:szCs w:val="21"/>
                <w:highlight w:val="none"/>
              </w:rPr>
              <w:t>分）</w:t>
            </w:r>
          </w:p>
        </w:tc>
        <w:tc>
          <w:tcPr>
            <w:tcW w:w="4816" w:type="dxa"/>
            <w:gridSpan w:val="2"/>
            <w:tcBorders>
              <w:top w:val="single" w:color="auto" w:sz="4" w:space="0"/>
              <w:left w:val="single" w:color="auto" w:sz="4" w:space="0"/>
              <w:bottom w:val="single" w:color="auto" w:sz="4" w:space="0"/>
              <w:right w:val="single" w:color="auto" w:sz="4" w:space="0"/>
            </w:tcBorders>
            <w:noWrap w:val="0"/>
            <w:tcMar>
              <w:left w:w="57" w:type="dxa"/>
              <w:right w:w="57" w:type="dxa"/>
            </w:tcMar>
            <w:vAlign w:val="top"/>
          </w:tcPr>
          <w:p>
            <w:pPr>
              <w:spacing w:line="440" w:lineRule="exact"/>
              <w:jc w:val="left"/>
              <w:rPr>
                <w:color w:val="auto"/>
                <w:highlight w:val="none"/>
              </w:rPr>
            </w:pPr>
            <w:r>
              <w:rPr>
                <w:rFonts w:hint="eastAsia"/>
                <w:color w:val="auto"/>
                <w:highlight w:val="none"/>
              </w:rPr>
              <w:t>设计进度安排满足工期要求（2分）</w:t>
            </w:r>
          </w:p>
          <w:p>
            <w:pPr>
              <w:spacing w:line="440" w:lineRule="exact"/>
              <w:jc w:val="left"/>
              <w:rPr>
                <w:color w:val="auto"/>
                <w:highlight w:val="none"/>
              </w:rPr>
            </w:pPr>
            <w:r>
              <w:rPr>
                <w:rFonts w:hint="eastAsia"/>
                <w:color w:val="auto"/>
                <w:highlight w:val="none"/>
              </w:rPr>
              <w:t>技术服务保障措施得力，有针对性（2分）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right w:val="single" w:color="auto" w:sz="4" w:space="0"/>
            </w:tcBorders>
            <w:noWrap w:val="0"/>
            <w:vAlign w:val="top"/>
          </w:tcPr>
          <w:p>
            <w:pPr>
              <w:rPr>
                <w:color w:val="auto"/>
                <w:highlight w:val="none"/>
              </w:rPr>
            </w:pPr>
          </w:p>
        </w:tc>
        <w:tc>
          <w:tcPr>
            <w:tcW w:w="1124" w:type="dxa"/>
            <w:gridSpan w:val="2"/>
            <w:vMerge w:val="continue"/>
            <w:tcBorders>
              <w:right w:val="single" w:color="auto" w:sz="4" w:space="0"/>
            </w:tcBorders>
            <w:noWrap w:val="0"/>
            <w:vAlign w:val="top"/>
          </w:tcPr>
          <w:p>
            <w:pPr>
              <w:rPr>
                <w:color w:val="auto"/>
                <w:highlight w:val="none"/>
              </w:rPr>
            </w:pPr>
          </w:p>
        </w:tc>
        <w:tc>
          <w:tcPr>
            <w:tcW w:w="2176"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spacing w:before="100" w:beforeAutospacing="1" w:after="100" w:afterAutospacing="1"/>
              <w:jc w:val="center"/>
              <w:rPr>
                <w:color w:val="auto"/>
                <w:highlight w:val="none"/>
              </w:rPr>
            </w:pPr>
            <w:r>
              <w:rPr>
                <w:rFonts w:hint="eastAsia" w:ascii="宋体" w:hAnsi="宋体"/>
                <w:color w:val="auto"/>
                <w:szCs w:val="21"/>
                <w:highlight w:val="none"/>
              </w:rPr>
              <w:t>13、造价水平及控制造价措施（造价水平合理性分析）（5分）</w:t>
            </w:r>
          </w:p>
        </w:tc>
        <w:tc>
          <w:tcPr>
            <w:tcW w:w="4816" w:type="dxa"/>
            <w:gridSpan w:val="2"/>
            <w:tcBorders>
              <w:top w:val="single" w:color="auto" w:sz="4" w:space="0"/>
              <w:left w:val="single" w:color="auto" w:sz="4" w:space="0"/>
              <w:bottom w:val="single" w:color="auto" w:sz="4" w:space="0"/>
              <w:right w:val="single" w:color="auto" w:sz="4" w:space="0"/>
            </w:tcBorders>
            <w:noWrap w:val="0"/>
            <w:tcMar>
              <w:left w:w="57" w:type="dxa"/>
              <w:right w:w="57" w:type="dxa"/>
            </w:tcMar>
            <w:vAlign w:val="top"/>
          </w:tcPr>
          <w:p>
            <w:pPr>
              <w:spacing w:line="440" w:lineRule="exact"/>
              <w:jc w:val="left"/>
              <w:rPr>
                <w:color w:val="auto"/>
                <w:highlight w:val="none"/>
              </w:rPr>
            </w:pPr>
            <w:r>
              <w:rPr>
                <w:rFonts w:hint="eastAsia"/>
                <w:color w:val="auto"/>
                <w:highlight w:val="none"/>
              </w:rPr>
              <w:t>对比典型造价或类似工程造价水平差异及合理性分析（3分）</w:t>
            </w:r>
          </w:p>
          <w:p>
            <w:pPr>
              <w:spacing w:line="440" w:lineRule="exact"/>
              <w:jc w:val="left"/>
              <w:rPr>
                <w:color w:val="auto"/>
                <w:highlight w:val="none"/>
              </w:rPr>
            </w:pPr>
            <w:r>
              <w:rPr>
                <w:rFonts w:hint="eastAsia"/>
                <w:color w:val="auto"/>
                <w:highlight w:val="none"/>
              </w:rPr>
              <w:t>造价水平总体评价及分析（1分）</w:t>
            </w:r>
          </w:p>
          <w:p>
            <w:pPr>
              <w:spacing w:line="440" w:lineRule="exact"/>
              <w:jc w:val="left"/>
              <w:rPr>
                <w:color w:val="auto"/>
                <w:highlight w:val="none"/>
              </w:rPr>
            </w:pPr>
            <w:r>
              <w:rPr>
                <w:rFonts w:hint="eastAsia"/>
                <w:color w:val="auto"/>
                <w:highlight w:val="none"/>
              </w:rPr>
              <w:t>投标概算编制质量（1分）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right w:val="single" w:color="auto" w:sz="4" w:space="0"/>
            </w:tcBorders>
            <w:noWrap w:val="0"/>
            <w:vAlign w:val="top"/>
          </w:tcPr>
          <w:p>
            <w:pPr>
              <w:rPr>
                <w:color w:val="auto"/>
                <w:highlight w:val="none"/>
              </w:rPr>
            </w:pPr>
          </w:p>
        </w:tc>
        <w:tc>
          <w:tcPr>
            <w:tcW w:w="1124" w:type="dxa"/>
            <w:gridSpan w:val="2"/>
            <w:vMerge w:val="continue"/>
            <w:tcBorders>
              <w:right w:val="single" w:color="auto" w:sz="4" w:space="0"/>
            </w:tcBorders>
            <w:noWrap w:val="0"/>
            <w:vAlign w:val="top"/>
          </w:tcPr>
          <w:p>
            <w:pPr>
              <w:rPr>
                <w:color w:val="auto"/>
                <w:highlight w:val="none"/>
              </w:rPr>
            </w:pPr>
          </w:p>
        </w:tc>
        <w:tc>
          <w:tcPr>
            <w:tcW w:w="2176"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spacing w:before="100" w:beforeAutospacing="1" w:after="100" w:afterAutospacing="1"/>
              <w:jc w:val="center"/>
              <w:rPr>
                <w:color w:val="auto"/>
                <w:highlight w:val="none"/>
              </w:rPr>
            </w:pPr>
            <w:r>
              <w:rPr>
                <w:rFonts w:hint="eastAsia" w:ascii="宋体" w:hAnsi="宋体"/>
                <w:color w:val="auto"/>
                <w:szCs w:val="21"/>
                <w:highlight w:val="none"/>
              </w:rPr>
              <w:t>14、造价水平及控制造价措施（工程控制造价措施）（2分）</w:t>
            </w:r>
          </w:p>
        </w:tc>
        <w:tc>
          <w:tcPr>
            <w:tcW w:w="4816" w:type="dxa"/>
            <w:gridSpan w:val="2"/>
            <w:tcBorders>
              <w:top w:val="single" w:color="auto" w:sz="4" w:space="0"/>
              <w:left w:val="single" w:color="auto" w:sz="4" w:space="0"/>
              <w:bottom w:val="single" w:color="auto" w:sz="4" w:space="0"/>
              <w:right w:val="single" w:color="auto" w:sz="4" w:space="0"/>
            </w:tcBorders>
            <w:noWrap w:val="0"/>
            <w:tcMar>
              <w:left w:w="57" w:type="dxa"/>
              <w:right w:w="57" w:type="dxa"/>
            </w:tcMar>
            <w:vAlign w:val="top"/>
          </w:tcPr>
          <w:p>
            <w:pPr>
              <w:spacing w:line="440" w:lineRule="exact"/>
              <w:jc w:val="left"/>
              <w:rPr>
                <w:color w:val="auto"/>
                <w:highlight w:val="none"/>
              </w:rPr>
            </w:pPr>
            <w:r>
              <w:rPr>
                <w:rFonts w:hint="eastAsia"/>
                <w:color w:val="auto"/>
                <w:highlight w:val="none"/>
              </w:rPr>
              <w:t>控制造价技术措施，包括本工程造价控制的风险点及应对措施、设计变更管理措施、现场工代服务保证措施等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right w:val="single" w:color="auto" w:sz="4" w:space="0"/>
            </w:tcBorders>
            <w:noWrap w:val="0"/>
            <w:vAlign w:val="top"/>
          </w:tcPr>
          <w:p>
            <w:pPr>
              <w:rPr>
                <w:color w:val="auto"/>
                <w:highlight w:val="none"/>
              </w:rPr>
            </w:pPr>
          </w:p>
        </w:tc>
        <w:tc>
          <w:tcPr>
            <w:tcW w:w="1124" w:type="dxa"/>
            <w:gridSpan w:val="2"/>
            <w:vMerge w:val="continue"/>
            <w:tcBorders>
              <w:right w:val="single" w:color="auto" w:sz="4" w:space="0"/>
            </w:tcBorders>
            <w:noWrap w:val="0"/>
            <w:vAlign w:val="top"/>
          </w:tcPr>
          <w:p>
            <w:pPr>
              <w:rPr>
                <w:color w:val="auto"/>
                <w:highlight w:val="none"/>
              </w:rPr>
            </w:pPr>
          </w:p>
        </w:tc>
        <w:tc>
          <w:tcPr>
            <w:tcW w:w="2176"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spacing w:before="100" w:beforeAutospacing="1" w:after="100" w:afterAutospacing="1"/>
              <w:jc w:val="center"/>
              <w:rPr>
                <w:color w:val="auto"/>
                <w:highlight w:val="none"/>
              </w:rPr>
            </w:pPr>
            <w:r>
              <w:rPr>
                <w:rFonts w:hint="eastAsia" w:ascii="宋体" w:hAnsi="宋体"/>
                <w:color w:val="auto"/>
                <w:szCs w:val="21"/>
                <w:highlight w:val="none"/>
              </w:rPr>
              <w:t>15、绿色电网建设（3分）</w:t>
            </w:r>
          </w:p>
        </w:tc>
        <w:tc>
          <w:tcPr>
            <w:tcW w:w="4816" w:type="dxa"/>
            <w:gridSpan w:val="2"/>
            <w:tcBorders>
              <w:top w:val="single" w:color="auto" w:sz="4" w:space="0"/>
              <w:left w:val="single" w:color="auto" w:sz="4" w:space="0"/>
              <w:bottom w:val="single" w:color="auto" w:sz="4" w:space="0"/>
              <w:right w:val="single" w:color="auto" w:sz="4" w:space="0"/>
            </w:tcBorders>
            <w:noWrap w:val="0"/>
            <w:tcMar>
              <w:left w:w="57" w:type="dxa"/>
              <w:right w:w="57" w:type="dxa"/>
            </w:tcMar>
            <w:vAlign w:val="top"/>
          </w:tcPr>
          <w:p>
            <w:pPr>
              <w:spacing w:line="440" w:lineRule="exact"/>
              <w:jc w:val="left"/>
              <w:rPr>
                <w:color w:val="auto"/>
                <w:highlight w:val="none"/>
              </w:rPr>
            </w:pPr>
            <w:r>
              <w:rPr>
                <w:rFonts w:hint="eastAsia"/>
                <w:color w:val="auto"/>
                <w:highlight w:val="none"/>
              </w:rPr>
              <w:t>绿色电网建设行动指南的执行情况（3分）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vMerge w:val="continue"/>
            <w:tcBorders>
              <w:right w:val="single" w:color="auto" w:sz="4" w:space="0"/>
            </w:tcBorders>
            <w:noWrap w:val="0"/>
            <w:vAlign w:val="top"/>
          </w:tcPr>
          <w:p>
            <w:pPr>
              <w:rPr>
                <w:color w:val="auto"/>
                <w:highlight w:val="none"/>
              </w:rPr>
            </w:pPr>
          </w:p>
        </w:tc>
        <w:tc>
          <w:tcPr>
            <w:tcW w:w="1124" w:type="dxa"/>
            <w:gridSpan w:val="2"/>
            <w:vMerge w:val="continue"/>
            <w:tcBorders>
              <w:right w:val="single" w:color="auto" w:sz="4" w:space="0"/>
            </w:tcBorders>
            <w:noWrap w:val="0"/>
            <w:vAlign w:val="top"/>
          </w:tcPr>
          <w:p>
            <w:pPr>
              <w:rPr>
                <w:color w:val="auto"/>
                <w:highlight w:val="none"/>
              </w:rPr>
            </w:pPr>
          </w:p>
        </w:tc>
        <w:tc>
          <w:tcPr>
            <w:tcW w:w="6992" w:type="dxa"/>
            <w:gridSpan w:val="3"/>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pPr>
              <w:spacing w:line="440" w:lineRule="exact"/>
              <w:jc w:val="left"/>
              <w:rPr>
                <w:color w:val="auto"/>
                <w:highlight w:val="none"/>
              </w:rPr>
            </w:pPr>
            <w:r>
              <w:rPr>
                <w:rFonts w:hint="eastAsia"/>
                <w:color w:val="auto"/>
                <w:highlight w:val="none"/>
              </w:rPr>
              <w:t>注：</w:t>
            </w:r>
          </w:p>
          <w:p>
            <w:pPr>
              <w:numPr>
                <w:ilvl w:val="0"/>
                <w:numId w:val="12"/>
              </w:numPr>
              <w:spacing w:line="440" w:lineRule="exact"/>
              <w:ind w:firstLine="420" w:firstLineChars="200"/>
              <w:jc w:val="left"/>
              <w:rPr>
                <w:rFonts w:ascii="宋体" w:hAnsi="宋体"/>
                <w:color w:val="auto"/>
                <w:szCs w:val="21"/>
                <w:highlight w:val="none"/>
              </w:rPr>
            </w:pPr>
            <w:r>
              <w:rPr>
                <w:rFonts w:hint="eastAsia" w:ascii="宋体" w:hAnsi="宋体"/>
                <w:color w:val="auto"/>
                <w:szCs w:val="21"/>
                <w:highlight w:val="none"/>
              </w:rPr>
              <w:t>各项按优秀、良好、一般、较差的档次同比打分，分值精确到</w:t>
            </w:r>
            <w:r>
              <w:rPr>
                <w:rFonts w:ascii="宋体" w:hAnsi="宋体"/>
                <w:color w:val="auto"/>
                <w:szCs w:val="21"/>
                <w:highlight w:val="none"/>
              </w:rPr>
              <w:t>0.1分。</w:t>
            </w:r>
          </w:p>
          <w:p>
            <w:pPr>
              <w:spacing w:line="440" w:lineRule="exact"/>
              <w:ind w:firstLine="420"/>
              <w:rPr>
                <w:rFonts w:ascii="宋体" w:hAnsi="宋体"/>
                <w:color w:val="auto"/>
                <w:highlight w:val="none"/>
              </w:rPr>
            </w:pPr>
            <w:r>
              <w:rPr>
                <w:rFonts w:hint="eastAsia" w:ascii="宋体" w:hAnsi="宋体"/>
                <w:color w:val="auto"/>
                <w:szCs w:val="21"/>
                <w:highlight w:val="none"/>
              </w:rPr>
              <w:t>（2）</w:t>
            </w:r>
            <w:r>
              <w:rPr>
                <w:rFonts w:hint="eastAsia" w:hAnsi="宋体"/>
                <w:color w:val="auto"/>
                <w:szCs w:val="21"/>
                <w:highlight w:val="none"/>
              </w:rPr>
              <w:t>变电站工程勘察设计方案评分得分、架空线路工程勘察设计方案评分得分、电缆线路工程勘察设计方案评分得分</w:t>
            </w:r>
            <w:r>
              <w:rPr>
                <w:rFonts w:hint="eastAsia" w:ascii="宋体" w:hAnsi="宋体"/>
                <w:bCs/>
                <w:color w:val="auto"/>
                <w:szCs w:val="21"/>
                <w:highlight w:val="none"/>
              </w:rPr>
              <w:t>为</w:t>
            </w:r>
            <w:r>
              <w:rPr>
                <w:rFonts w:hint="eastAsia" w:ascii="宋体" w:hAnsi="宋体"/>
                <w:color w:val="auto"/>
                <w:highlight w:val="none"/>
              </w:rPr>
              <w:t>所有评委打分的算术平均值。</w:t>
            </w:r>
          </w:p>
          <w:p>
            <w:pPr>
              <w:spacing w:line="440" w:lineRule="exact"/>
              <w:ind w:firstLine="420"/>
              <w:rPr>
                <w:rFonts w:hAnsi="宋体"/>
                <w:color w:val="auto"/>
                <w:szCs w:val="21"/>
                <w:highlight w:val="none"/>
              </w:rPr>
            </w:pPr>
            <w:r>
              <w:rPr>
                <w:rFonts w:hint="eastAsia" w:ascii="宋体" w:hAnsi="宋体"/>
                <w:color w:val="auto"/>
                <w:highlight w:val="none"/>
              </w:rPr>
              <w:t>（3）</w:t>
            </w:r>
            <w:r>
              <w:rPr>
                <w:rFonts w:hint="eastAsia"/>
                <w:color w:val="auto"/>
                <w:highlight w:val="none"/>
              </w:rPr>
              <w:t>勘察</w:t>
            </w:r>
            <w:r>
              <w:rPr>
                <w:color w:val="auto"/>
                <w:highlight w:val="none"/>
              </w:rPr>
              <w:t>设计方案</w:t>
            </w:r>
            <w:r>
              <w:rPr>
                <w:rFonts w:hint="eastAsia"/>
                <w:color w:val="auto"/>
                <w:highlight w:val="none"/>
              </w:rPr>
              <w:t>最终得分=</w:t>
            </w:r>
            <w:r>
              <w:rPr>
                <w:rFonts w:hint="eastAsia" w:hAnsi="宋体"/>
                <w:color w:val="auto"/>
                <w:szCs w:val="21"/>
                <w:highlight w:val="none"/>
              </w:rPr>
              <w:t>变电站工程勘察设计方案评分得分×权重+架空线路工程勘察设计方案评分得分×权重+电缆线路工程勘察设计方案评分得分×权重。</w:t>
            </w:r>
          </w:p>
          <w:p>
            <w:pPr>
              <w:spacing w:line="440" w:lineRule="exact"/>
              <w:ind w:firstLine="420"/>
              <w:rPr>
                <w:rFonts w:hAnsi="宋体"/>
                <w:color w:val="auto"/>
                <w:szCs w:val="21"/>
                <w:highlight w:val="none"/>
              </w:rPr>
            </w:pPr>
            <w:r>
              <w:rPr>
                <w:rFonts w:hint="eastAsia" w:hAnsi="宋体"/>
                <w:color w:val="auto"/>
                <w:szCs w:val="21"/>
                <w:highlight w:val="none"/>
              </w:rPr>
              <w:t>（4）以上各阶段</w:t>
            </w:r>
            <w:r>
              <w:rPr>
                <w:color w:val="auto"/>
                <w:highlight w:val="none"/>
              </w:rPr>
              <w:t>评分分值计算保留小数点后两位，小数点后第三位</w:t>
            </w:r>
            <w:r>
              <w:rPr>
                <w:rFonts w:hint="eastAsia"/>
                <w:color w:val="auto"/>
                <w:highlight w:val="none"/>
              </w:rPr>
              <w:t>“</w:t>
            </w:r>
            <w:r>
              <w:rPr>
                <w:color w:val="auto"/>
                <w:highlight w:val="none"/>
              </w:rPr>
              <w:t>四舍五入</w:t>
            </w:r>
            <w:r>
              <w:rPr>
                <w:rFonts w:hint="eastAsia"/>
                <w:color w:val="auto"/>
                <w:highlight w:val="none"/>
              </w:rPr>
              <w:t>”</w:t>
            </w:r>
            <w:r>
              <w:rPr>
                <w:rFonts w:hint="eastAsia" w:ascii="宋体" w:hAnsi="宋体"/>
                <w:color w:val="auto"/>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tcBorders>
              <w:top w:val="single" w:color="auto" w:sz="4" w:space="0"/>
              <w:left w:val="single" w:color="auto" w:sz="4" w:space="0"/>
              <w:right w:val="single" w:color="auto" w:sz="4" w:space="0"/>
            </w:tcBorders>
            <w:noWrap w:val="0"/>
            <w:vAlign w:val="center"/>
          </w:tcPr>
          <w:p>
            <w:pPr>
              <w:spacing w:line="440" w:lineRule="exact"/>
              <w:jc w:val="center"/>
              <w:rPr>
                <w:color w:val="auto"/>
                <w:highlight w:val="none"/>
              </w:rPr>
            </w:pPr>
            <w:r>
              <w:rPr>
                <w:color w:val="auto"/>
                <w:highlight w:val="none"/>
              </w:rPr>
              <w:t>2.2.4（3）</w:t>
            </w:r>
          </w:p>
        </w:tc>
        <w:tc>
          <w:tcPr>
            <w:tcW w:w="1124" w:type="dxa"/>
            <w:gridSpan w:val="2"/>
            <w:tcBorders>
              <w:top w:val="single" w:color="auto" w:sz="4" w:space="0"/>
              <w:left w:val="single" w:color="auto" w:sz="4" w:space="0"/>
              <w:right w:val="single" w:color="auto" w:sz="4" w:space="0"/>
            </w:tcBorders>
            <w:noWrap w:val="0"/>
            <w:vAlign w:val="center"/>
          </w:tcPr>
          <w:p>
            <w:pPr>
              <w:spacing w:line="440" w:lineRule="exact"/>
              <w:jc w:val="center"/>
              <w:rPr>
                <w:color w:val="auto"/>
                <w:highlight w:val="none"/>
              </w:rPr>
            </w:pPr>
            <w:r>
              <w:rPr>
                <w:color w:val="auto"/>
                <w:highlight w:val="none"/>
              </w:rPr>
              <w:t>投标报价评分标准</w:t>
            </w:r>
          </w:p>
        </w:tc>
        <w:tc>
          <w:tcPr>
            <w:tcW w:w="2176" w:type="dxa"/>
            <w:tcBorders>
              <w:top w:val="single" w:color="auto" w:sz="4" w:space="0"/>
              <w:left w:val="single" w:color="auto" w:sz="4" w:space="0"/>
              <w:bottom w:val="single" w:color="auto" w:sz="4" w:space="0"/>
              <w:right w:val="single" w:color="auto" w:sz="4" w:space="0"/>
            </w:tcBorders>
            <w:noWrap w:val="0"/>
            <w:vAlign w:val="center"/>
          </w:tcPr>
          <w:p>
            <w:pPr>
              <w:spacing w:line="420" w:lineRule="atLeast"/>
              <w:jc w:val="center"/>
              <w:rPr>
                <w:color w:val="auto"/>
                <w:highlight w:val="none"/>
              </w:rPr>
            </w:pPr>
            <w:r>
              <w:rPr>
                <w:rFonts w:hint="eastAsia" w:ascii="宋体" w:hAnsi="宋体"/>
                <w:color w:val="auto"/>
                <w:szCs w:val="21"/>
                <w:highlight w:val="none"/>
              </w:rPr>
              <w:t>勘察设计投标报价得分（30分）</w:t>
            </w:r>
          </w:p>
        </w:tc>
        <w:tc>
          <w:tcPr>
            <w:tcW w:w="4816" w:type="dxa"/>
            <w:gridSpan w:val="2"/>
            <w:tcBorders>
              <w:top w:val="single" w:color="auto" w:sz="4" w:space="0"/>
              <w:left w:val="single" w:color="auto" w:sz="4" w:space="0"/>
              <w:bottom w:val="single" w:color="auto" w:sz="4" w:space="0"/>
              <w:right w:val="single" w:color="auto" w:sz="4" w:space="0"/>
            </w:tcBorders>
            <w:noWrap w:val="0"/>
            <w:vAlign w:val="top"/>
          </w:tcPr>
          <w:p>
            <w:pPr>
              <w:spacing w:line="440" w:lineRule="exact"/>
              <w:jc w:val="left"/>
              <w:rPr>
                <w:rFonts w:hint="eastAsia"/>
                <w:color w:val="auto"/>
                <w:highlight w:val="none"/>
              </w:rPr>
            </w:pPr>
            <w:r>
              <w:rPr>
                <w:rFonts w:hint="eastAsia"/>
                <w:color w:val="auto"/>
                <w:highlight w:val="none"/>
              </w:rPr>
              <w:t>基准价=合格投标人的评标价的算术平均值。</w:t>
            </w:r>
          </w:p>
          <w:p>
            <w:pPr>
              <w:spacing w:line="440" w:lineRule="exact"/>
              <w:jc w:val="left"/>
              <w:rPr>
                <w:rFonts w:hint="eastAsia"/>
                <w:color w:val="auto"/>
                <w:highlight w:val="none"/>
              </w:rPr>
            </w:pPr>
            <w:r>
              <w:rPr>
                <w:rFonts w:hint="eastAsia"/>
                <w:color w:val="auto"/>
                <w:highlight w:val="none"/>
              </w:rPr>
              <w:t>报价得分=满分-满分×n×|投标人的评标价-基准价|/基准价，当投标人的评标价≤基准价时，n=1，当投标人的评标价＞基准价时，n= 2。</w:t>
            </w:r>
          </w:p>
          <w:p>
            <w:pPr>
              <w:spacing w:line="440" w:lineRule="exact"/>
              <w:jc w:val="left"/>
              <w:rPr>
                <w:color w:val="auto"/>
                <w:highlight w:val="none"/>
              </w:rPr>
            </w:pPr>
            <w:r>
              <w:rPr>
                <w:rFonts w:hint="eastAsia"/>
                <w:color w:val="auto"/>
                <w:highlight w:val="none"/>
              </w:rPr>
              <w:t>注：1、投标报价</w:t>
            </w:r>
            <w:r>
              <w:rPr>
                <w:color w:val="auto"/>
                <w:highlight w:val="none"/>
              </w:rPr>
              <w:t>评分分值计算保留小数点后两位，小数点后第三位</w:t>
            </w:r>
            <w:r>
              <w:rPr>
                <w:rFonts w:hint="eastAsia"/>
                <w:color w:val="auto"/>
                <w:highlight w:val="none"/>
              </w:rPr>
              <w:t>“</w:t>
            </w:r>
            <w:r>
              <w:rPr>
                <w:color w:val="auto"/>
                <w:highlight w:val="none"/>
              </w:rPr>
              <w:t>四舍五入</w:t>
            </w:r>
            <w:r>
              <w:rPr>
                <w:rFonts w:hint="eastAsia"/>
                <w:color w:val="auto"/>
                <w:highlight w:val="none"/>
              </w:rPr>
              <w:t>”。若投标报价得分为负分时，则按0分计算。</w:t>
            </w:r>
          </w:p>
          <w:p>
            <w:pPr>
              <w:spacing w:line="440" w:lineRule="exact"/>
              <w:jc w:val="left"/>
              <w:rPr>
                <w:rFonts w:hint="eastAsia"/>
                <w:color w:val="auto"/>
                <w:highlight w:val="none"/>
              </w:rPr>
            </w:pPr>
            <w:r>
              <w:rPr>
                <w:rFonts w:hint="eastAsia"/>
                <w:color w:val="auto"/>
                <w:highlight w:val="none"/>
              </w:rPr>
              <w:t>2、评标价=1-投标下浮率。</w:t>
            </w:r>
          </w:p>
          <w:p>
            <w:pPr>
              <w:spacing w:line="440" w:lineRule="exact"/>
              <w:rPr>
                <w:color w:val="auto"/>
                <w:highlight w:val="none"/>
                <w:lang w:eastAsia="zh-Hans"/>
              </w:rPr>
            </w:pPr>
            <w:r>
              <w:rPr>
                <w:color w:val="auto"/>
                <w:highlight w:val="none"/>
              </w:rPr>
              <w:t>3</w:t>
            </w:r>
            <w:r>
              <w:rPr>
                <w:rFonts w:hint="eastAsia"/>
                <w:color w:val="auto"/>
                <w:highlight w:val="none"/>
                <w:lang w:eastAsia="zh-Hans"/>
              </w:rPr>
              <w:t>、</w:t>
            </w:r>
            <w:r>
              <w:rPr>
                <w:rFonts w:hint="eastAsia" w:hAnsi="宋体"/>
                <w:color w:val="auto"/>
                <w:szCs w:val="21"/>
                <w:highlight w:val="none"/>
              </w:rPr>
              <w:t>基准价=合格投标人的评标价的算术平均值。</w:t>
            </w:r>
            <w:r>
              <w:rPr>
                <w:rFonts w:hint="eastAsia" w:ascii="宋体" w:hAnsi="宋体"/>
                <w:color w:val="auto"/>
                <w:szCs w:val="21"/>
                <w:highlight w:val="none"/>
                <w:u w:val="single"/>
              </w:rPr>
              <w:t>以“%”为单位，</w:t>
            </w:r>
            <w:r>
              <w:rPr>
                <w:rFonts w:hint="eastAsia" w:ascii="宋体" w:hAnsi="宋体"/>
                <w:color w:val="auto"/>
                <w:szCs w:val="21"/>
                <w:highlight w:val="none"/>
              </w:rPr>
              <w:t>计算结果</w:t>
            </w:r>
            <w:r>
              <w:rPr>
                <w:color w:val="auto"/>
                <w:highlight w:val="none"/>
              </w:rPr>
              <w:t>保留小数点后两位，小数点后第三位</w:t>
            </w:r>
            <w:r>
              <w:rPr>
                <w:rFonts w:hint="eastAsia"/>
                <w:color w:val="auto"/>
                <w:highlight w:val="none"/>
              </w:rPr>
              <w:t>“</w:t>
            </w:r>
            <w:r>
              <w:rPr>
                <w:color w:val="auto"/>
                <w:highlight w:val="none"/>
              </w:rPr>
              <w:t>四舍五入</w:t>
            </w: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00"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color w:val="auto"/>
                <w:highlight w:val="none"/>
              </w:rPr>
            </w:pPr>
            <w:r>
              <w:rPr>
                <w:color w:val="auto"/>
                <w:highlight w:val="none"/>
              </w:rPr>
              <w:t>2.2.4（4）</w:t>
            </w:r>
          </w:p>
        </w:tc>
        <w:tc>
          <w:tcPr>
            <w:tcW w:w="1124" w:type="dxa"/>
            <w:gridSpan w:val="2"/>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color w:val="auto"/>
                <w:highlight w:val="none"/>
              </w:rPr>
            </w:pPr>
            <w:r>
              <w:rPr>
                <w:color w:val="auto"/>
                <w:highlight w:val="none"/>
              </w:rPr>
              <w:t>其他因素评分标准</w:t>
            </w:r>
          </w:p>
        </w:tc>
        <w:tc>
          <w:tcPr>
            <w:tcW w:w="2176" w:type="dxa"/>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color w:val="auto"/>
                <w:highlight w:val="none"/>
              </w:rPr>
            </w:pPr>
            <w:r>
              <w:rPr>
                <w:rFonts w:hint="eastAsia"/>
                <w:color w:val="auto"/>
                <w:highlight w:val="none"/>
              </w:rPr>
              <w:t>/</w:t>
            </w:r>
          </w:p>
        </w:tc>
        <w:tc>
          <w:tcPr>
            <w:tcW w:w="4816" w:type="dxa"/>
            <w:gridSpan w:val="2"/>
            <w:tcBorders>
              <w:top w:val="single" w:color="auto" w:sz="4" w:space="0"/>
              <w:left w:val="single" w:color="auto" w:sz="4" w:space="0"/>
              <w:bottom w:val="single" w:color="auto" w:sz="4" w:space="0"/>
              <w:right w:val="single" w:color="auto" w:sz="4" w:space="0"/>
            </w:tcBorders>
            <w:noWrap w:val="0"/>
            <w:vAlign w:val="top"/>
          </w:tcPr>
          <w:p>
            <w:pPr>
              <w:spacing w:line="440" w:lineRule="exact"/>
              <w:jc w:val="center"/>
              <w:rPr>
                <w:color w:val="auto"/>
                <w:highlight w:val="none"/>
              </w:rPr>
            </w:pPr>
            <w:r>
              <w:rPr>
                <w:rFonts w:hint="eastAsia"/>
                <w:color w:val="auto"/>
                <w:highlight w:val="none"/>
              </w:rPr>
              <w:t>/</w:t>
            </w:r>
          </w:p>
        </w:tc>
      </w:tr>
    </w:tbl>
    <w:p>
      <w:pPr>
        <w:rPr>
          <w:color w:val="auto"/>
          <w:highlight w:val="none"/>
        </w:rPr>
      </w:pPr>
    </w:p>
    <w:p>
      <w:pPr>
        <w:pStyle w:val="4"/>
        <w:rPr>
          <w:rFonts w:hint="eastAsia"/>
          <w:color w:val="auto"/>
          <w:highlight w:val="none"/>
        </w:rPr>
      </w:pPr>
      <w:bookmarkStart w:id="429" w:name="_Toc1409"/>
      <w:r>
        <w:rPr>
          <w:rFonts w:hint="eastAsia"/>
          <w:color w:val="auto"/>
          <w:highlight w:val="none"/>
        </w:rPr>
        <w:t>1. 评标方法</w:t>
      </w:r>
      <w:bookmarkEnd w:id="429"/>
    </w:p>
    <w:p>
      <w:pPr>
        <w:spacing w:line="360" w:lineRule="auto"/>
        <w:ind w:firstLine="420" w:firstLineChars="200"/>
        <w:rPr>
          <w:color w:val="auto"/>
          <w:highlight w:val="none"/>
        </w:rPr>
      </w:pPr>
      <w:r>
        <w:rPr>
          <w:color w:val="auto"/>
          <w:highlight w:val="none"/>
        </w:rPr>
        <w:t>本次评标采用综合评估法。评标委员会对满足招标文件实质性要求的投标文件，按照本章第2.2</w:t>
      </w:r>
      <w:bookmarkStart w:id="430" w:name="_Toc4497"/>
      <w:bookmarkStart w:id="431" w:name="_Toc384308272"/>
      <w:bookmarkStart w:id="432" w:name="_Toc144974565"/>
      <w:bookmarkStart w:id="433" w:name="_Toc300835008"/>
      <w:bookmarkStart w:id="434" w:name="_Toc352691533"/>
      <w:bookmarkStart w:id="435" w:name="_Toc247527623"/>
      <w:bookmarkStart w:id="436" w:name="_Toc247514022"/>
      <w:bookmarkStart w:id="437" w:name="_Toc152045598"/>
      <w:bookmarkStart w:id="438" w:name="_Toc152042375"/>
      <w:bookmarkStart w:id="439" w:name="_Toc369531577"/>
      <w:bookmarkStart w:id="440" w:name="_Toc361508646"/>
      <w:r>
        <w:rPr>
          <w:color w:val="auto"/>
          <w:highlight w:val="none"/>
        </w:rPr>
        <w:t>款规定的评分标准进行打分，并按得分由高到低顺序推荐中标候选人。</w:t>
      </w:r>
      <w:bookmarkEnd w:id="430"/>
      <w:bookmarkEnd w:id="431"/>
      <w:bookmarkEnd w:id="432"/>
      <w:bookmarkEnd w:id="433"/>
      <w:bookmarkEnd w:id="434"/>
      <w:bookmarkEnd w:id="435"/>
      <w:bookmarkEnd w:id="436"/>
      <w:bookmarkEnd w:id="437"/>
      <w:bookmarkEnd w:id="438"/>
      <w:bookmarkEnd w:id="439"/>
      <w:bookmarkEnd w:id="440"/>
      <w:r>
        <w:rPr>
          <w:rFonts w:hint="eastAsia" w:hAnsi="宋体"/>
          <w:color w:val="auto"/>
          <w:highlight w:val="none"/>
        </w:rPr>
        <w:t>综合得分相等时，以投标报价低的优先；投标报价也相等的，以</w:t>
      </w:r>
      <w:r>
        <w:rPr>
          <w:rFonts w:hint="eastAsia"/>
          <w:color w:val="auto"/>
          <w:highlight w:val="none"/>
        </w:rPr>
        <w:t>勘察设计方案</w:t>
      </w:r>
      <w:r>
        <w:rPr>
          <w:rFonts w:hint="eastAsia" w:hAnsi="宋体"/>
          <w:color w:val="auto"/>
          <w:highlight w:val="none"/>
        </w:rPr>
        <w:t>得分高的优先；如果</w:t>
      </w:r>
      <w:r>
        <w:rPr>
          <w:rFonts w:hint="eastAsia"/>
          <w:color w:val="auto"/>
          <w:highlight w:val="none"/>
        </w:rPr>
        <w:t>勘察设计方案</w:t>
      </w:r>
      <w:r>
        <w:rPr>
          <w:rFonts w:hint="eastAsia" w:hAnsi="宋体"/>
          <w:color w:val="auto"/>
          <w:highlight w:val="none"/>
        </w:rPr>
        <w:t>得分也相等</w:t>
      </w:r>
      <w:r>
        <w:rPr>
          <w:color w:val="auto"/>
          <w:highlight w:val="none"/>
        </w:rPr>
        <w:t>，按照评标办法前附表的规定确定中标候选人顺序。</w:t>
      </w:r>
    </w:p>
    <w:p>
      <w:pPr>
        <w:pStyle w:val="4"/>
        <w:rPr>
          <w:rFonts w:ascii="Times New Roman" w:hAnsi="Times New Roman"/>
          <w:color w:val="auto"/>
          <w:highlight w:val="none"/>
        </w:rPr>
      </w:pPr>
      <w:bookmarkStart w:id="441" w:name="_Toc7373"/>
      <w:r>
        <w:rPr>
          <w:rFonts w:ascii="Times New Roman" w:hAnsi="Times New Roman"/>
          <w:color w:val="auto"/>
          <w:highlight w:val="none"/>
        </w:rPr>
        <w:t xml:space="preserve">2. </w:t>
      </w:r>
      <w:r>
        <w:rPr>
          <w:rFonts w:hint="eastAsia" w:ascii="Times New Roman" w:hAnsi="Times New Roman"/>
          <w:color w:val="auto"/>
          <w:highlight w:val="none"/>
        </w:rPr>
        <w:t>评审标准</w:t>
      </w:r>
      <w:bookmarkEnd w:id="441"/>
    </w:p>
    <w:p>
      <w:pPr>
        <w:pStyle w:val="5"/>
        <w:spacing w:line="240" w:lineRule="auto"/>
        <w:ind w:firstLine="137"/>
        <w:rPr>
          <w:rFonts w:ascii="Times New Roman"/>
          <w:color w:val="auto"/>
          <w:highlight w:val="none"/>
        </w:rPr>
      </w:pPr>
      <w:bookmarkStart w:id="442" w:name="_Toc8017"/>
      <w:r>
        <w:rPr>
          <w:rFonts w:ascii="Times New Roman"/>
          <w:color w:val="auto"/>
          <w:highlight w:val="none"/>
        </w:rPr>
        <w:t xml:space="preserve">2.1 </w:t>
      </w:r>
      <w:r>
        <w:rPr>
          <w:rFonts w:hint="eastAsia" w:ascii="Times New Roman"/>
          <w:color w:val="auto"/>
          <w:highlight w:val="none"/>
        </w:rPr>
        <w:t>初步评审标准</w:t>
      </w:r>
      <w:bookmarkEnd w:id="442"/>
    </w:p>
    <w:p>
      <w:pPr>
        <w:spacing w:line="400" w:lineRule="exact"/>
        <w:ind w:firstLine="420" w:firstLineChars="200"/>
        <w:rPr>
          <w:color w:val="auto"/>
          <w:highlight w:val="none"/>
        </w:rPr>
      </w:pPr>
      <w:r>
        <w:rPr>
          <w:color w:val="auto"/>
          <w:highlight w:val="none"/>
        </w:rPr>
        <w:t>2.1.1 形式评审标准：见评标办法前附表。</w:t>
      </w:r>
    </w:p>
    <w:p>
      <w:pPr>
        <w:spacing w:line="400" w:lineRule="exact"/>
        <w:ind w:firstLine="420" w:firstLineChars="200"/>
        <w:rPr>
          <w:color w:val="auto"/>
          <w:highlight w:val="none"/>
        </w:rPr>
      </w:pPr>
      <w:r>
        <w:rPr>
          <w:color w:val="auto"/>
          <w:highlight w:val="none"/>
        </w:rPr>
        <w:t>2.1.2 资格评审标准：见评标办法前附表。</w:t>
      </w:r>
    </w:p>
    <w:p>
      <w:pPr>
        <w:spacing w:line="400" w:lineRule="exact"/>
        <w:ind w:firstLine="420" w:firstLineChars="200"/>
        <w:rPr>
          <w:color w:val="auto"/>
          <w:highlight w:val="none"/>
        </w:rPr>
      </w:pPr>
      <w:r>
        <w:rPr>
          <w:color w:val="auto"/>
          <w:highlight w:val="none"/>
        </w:rPr>
        <w:t>2.1.3 响应性评审标准：见评标办法前附表。</w:t>
      </w:r>
    </w:p>
    <w:p>
      <w:pPr>
        <w:pStyle w:val="5"/>
        <w:spacing w:line="240" w:lineRule="auto"/>
        <w:ind w:firstLine="137"/>
        <w:rPr>
          <w:rFonts w:ascii="Times New Roman"/>
          <w:color w:val="auto"/>
          <w:highlight w:val="none"/>
        </w:rPr>
      </w:pPr>
      <w:bookmarkStart w:id="443" w:name="_Toc17424"/>
      <w:r>
        <w:rPr>
          <w:rFonts w:ascii="Times New Roman"/>
          <w:color w:val="auto"/>
          <w:highlight w:val="none"/>
        </w:rPr>
        <w:t xml:space="preserve">2.2 </w:t>
      </w:r>
      <w:r>
        <w:rPr>
          <w:rFonts w:hint="eastAsia" w:ascii="Times New Roman"/>
          <w:color w:val="auto"/>
          <w:highlight w:val="none"/>
        </w:rPr>
        <w:t>分值构成与评分标准</w:t>
      </w:r>
      <w:bookmarkEnd w:id="443"/>
    </w:p>
    <w:p>
      <w:pPr>
        <w:spacing w:line="400" w:lineRule="exact"/>
        <w:ind w:firstLine="420" w:firstLineChars="200"/>
        <w:rPr>
          <w:color w:val="auto"/>
          <w:highlight w:val="none"/>
        </w:rPr>
      </w:pPr>
      <w:r>
        <w:rPr>
          <w:color w:val="auto"/>
          <w:highlight w:val="none"/>
        </w:rPr>
        <w:t>2.2.1 分值构成</w:t>
      </w:r>
    </w:p>
    <w:p>
      <w:pPr>
        <w:spacing w:line="400" w:lineRule="exact"/>
        <w:ind w:firstLine="420" w:firstLineChars="200"/>
        <w:rPr>
          <w:color w:val="auto"/>
          <w:highlight w:val="none"/>
        </w:rPr>
      </w:pPr>
      <w:r>
        <w:rPr>
          <w:color w:val="auto"/>
          <w:highlight w:val="none"/>
        </w:rPr>
        <w:t>（1）资信业绩部分：见评标办法前附表；</w:t>
      </w:r>
    </w:p>
    <w:p>
      <w:pPr>
        <w:spacing w:line="400" w:lineRule="exact"/>
        <w:ind w:firstLine="420" w:firstLineChars="200"/>
        <w:rPr>
          <w:color w:val="auto"/>
          <w:highlight w:val="none"/>
        </w:rPr>
      </w:pPr>
      <w:r>
        <w:rPr>
          <w:color w:val="auto"/>
          <w:highlight w:val="none"/>
        </w:rPr>
        <w:t>（2）</w:t>
      </w:r>
      <w:r>
        <w:rPr>
          <w:rFonts w:hint="eastAsia"/>
          <w:color w:val="auto"/>
          <w:highlight w:val="none"/>
        </w:rPr>
        <w:t>勘察</w:t>
      </w:r>
      <w:r>
        <w:rPr>
          <w:color w:val="auto"/>
          <w:highlight w:val="none"/>
        </w:rPr>
        <w:t>设计方案部分：见评标办法前附表；</w:t>
      </w:r>
    </w:p>
    <w:p>
      <w:pPr>
        <w:spacing w:line="400" w:lineRule="exact"/>
        <w:ind w:firstLine="420" w:firstLineChars="200"/>
        <w:rPr>
          <w:color w:val="auto"/>
          <w:highlight w:val="none"/>
        </w:rPr>
      </w:pPr>
      <w:r>
        <w:rPr>
          <w:color w:val="auto"/>
          <w:highlight w:val="none"/>
        </w:rPr>
        <w:t>（3）投标报价：见评标办法前附表；</w:t>
      </w:r>
    </w:p>
    <w:p>
      <w:pPr>
        <w:spacing w:line="400" w:lineRule="exact"/>
        <w:ind w:firstLine="420" w:firstLineChars="200"/>
        <w:rPr>
          <w:color w:val="auto"/>
          <w:highlight w:val="none"/>
        </w:rPr>
      </w:pPr>
      <w:r>
        <w:rPr>
          <w:color w:val="auto"/>
          <w:highlight w:val="none"/>
        </w:rPr>
        <w:t>（4）其他评分因素：见评标办法前附表。</w:t>
      </w:r>
    </w:p>
    <w:p>
      <w:pPr>
        <w:spacing w:line="400" w:lineRule="exact"/>
        <w:ind w:firstLine="420" w:firstLineChars="200"/>
        <w:rPr>
          <w:color w:val="auto"/>
          <w:highlight w:val="none"/>
        </w:rPr>
      </w:pPr>
      <w:r>
        <w:rPr>
          <w:color w:val="auto"/>
          <w:highlight w:val="none"/>
        </w:rPr>
        <w:t>2.2.2 评标基准价计算</w:t>
      </w:r>
    </w:p>
    <w:p>
      <w:pPr>
        <w:spacing w:line="400" w:lineRule="exact"/>
        <w:ind w:firstLine="420" w:firstLineChars="200"/>
        <w:rPr>
          <w:color w:val="auto"/>
          <w:highlight w:val="none"/>
        </w:rPr>
      </w:pPr>
      <w:r>
        <w:rPr>
          <w:color w:val="auto"/>
          <w:highlight w:val="none"/>
        </w:rPr>
        <w:t>评标基准价计算方法：见评标办法前附表。</w:t>
      </w:r>
    </w:p>
    <w:p>
      <w:pPr>
        <w:spacing w:line="400" w:lineRule="exact"/>
        <w:ind w:firstLine="420" w:firstLineChars="200"/>
        <w:rPr>
          <w:color w:val="auto"/>
          <w:highlight w:val="none"/>
        </w:rPr>
      </w:pPr>
      <w:r>
        <w:rPr>
          <w:color w:val="auto"/>
          <w:highlight w:val="none"/>
        </w:rPr>
        <w:t>2.2.3 投标报价的偏差率计算</w:t>
      </w:r>
    </w:p>
    <w:p>
      <w:pPr>
        <w:spacing w:line="400" w:lineRule="exact"/>
        <w:ind w:firstLine="420" w:firstLineChars="200"/>
        <w:rPr>
          <w:color w:val="auto"/>
          <w:highlight w:val="none"/>
        </w:rPr>
      </w:pPr>
      <w:r>
        <w:rPr>
          <w:color w:val="auto"/>
          <w:highlight w:val="none"/>
        </w:rPr>
        <w:t>投标报价的偏差率计算公式：见评标办法前附表。</w:t>
      </w:r>
    </w:p>
    <w:p>
      <w:pPr>
        <w:spacing w:line="400" w:lineRule="exact"/>
        <w:ind w:firstLine="420" w:firstLineChars="200"/>
        <w:rPr>
          <w:color w:val="auto"/>
          <w:highlight w:val="none"/>
        </w:rPr>
      </w:pPr>
      <w:r>
        <w:rPr>
          <w:color w:val="auto"/>
          <w:highlight w:val="none"/>
        </w:rPr>
        <w:t>2.2.4 评分标准</w:t>
      </w:r>
    </w:p>
    <w:p>
      <w:pPr>
        <w:spacing w:line="400" w:lineRule="exact"/>
        <w:ind w:firstLine="420" w:firstLineChars="200"/>
        <w:rPr>
          <w:color w:val="auto"/>
          <w:highlight w:val="none"/>
        </w:rPr>
      </w:pPr>
      <w:r>
        <w:rPr>
          <w:color w:val="auto"/>
          <w:highlight w:val="none"/>
        </w:rPr>
        <w:t>（1）资信业绩评分标准：见评标办法前附表；</w:t>
      </w:r>
    </w:p>
    <w:p>
      <w:pPr>
        <w:spacing w:line="400" w:lineRule="exact"/>
        <w:ind w:firstLine="420" w:firstLineChars="200"/>
        <w:rPr>
          <w:color w:val="auto"/>
          <w:highlight w:val="none"/>
        </w:rPr>
      </w:pPr>
      <w:r>
        <w:rPr>
          <w:color w:val="auto"/>
          <w:highlight w:val="none"/>
        </w:rPr>
        <w:t>（2）</w:t>
      </w:r>
      <w:r>
        <w:rPr>
          <w:rFonts w:hint="eastAsia"/>
          <w:color w:val="auto"/>
          <w:highlight w:val="none"/>
        </w:rPr>
        <w:t>勘察</w:t>
      </w:r>
      <w:r>
        <w:rPr>
          <w:color w:val="auto"/>
          <w:highlight w:val="none"/>
        </w:rPr>
        <w:t>设计方案评分标准：见评标办法前附表；</w:t>
      </w:r>
    </w:p>
    <w:p>
      <w:pPr>
        <w:spacing w:line="400" w:lineRule="exact"/>
        <w:ind w:firstLine="420" w:firstLineChars="200"/>
        <w:rPr>
          <w:color w:val="auto"/>
          <w:highlight w:val="none"/>
        </w:rPr>
      </w:pPr>
      <w:r>
        <w:rPr>
          <w:color w:val="auto"/>
          <w:highlight w:val="none"/>
        </w:rPr>
        <w:t>（3）投标报价评分标准：见评标办法前附表；</w:t>
      </w:r>
    </w:p>
    <w:p>
      <w:pPr>
        <w:spacing w:line="400" w:lineRule="exact"/>
        <w:ind w:firstLine="420" w:firstLineChars="200"/>
        <w:rPr>
          <w:color w:val="auto"/>
          <w:highlight w:val="none"/>
        </w:rPr>
      </w:pPr>
      <w:r>
        <w:rPr>
          <w:color w:val="auto"/>
          <w:highlight w:val="none"/>
        </w:rPr>
        <w:t>（4）其他因素评分标准：见评标办法前附表。</w:t>
      </w:r>
    </w:p>
    <w:p>
      <w:pPr>
        <w:pStyle w:val="4"/>
        <w:rPr>
          <w:rFonts w:ascii="Times New Roman" w:hAnsi="Times New Roman"/>
          <w:color w:val="auto"/>
          <w:highlight w:val="none"/>
        </w:rPr>
      </w:pPr>
      <w:bookmarkStart w:id="444" w:name="_Toc17470"/>
      <w:r>
        <w:rPr>
          <w:rFonts w:ascii="Times New Roman" w:hAnsi="Times New Roman"/>
          <w:color w:val="auto"/>
          <w:highlight w:val="none"/>
        </w:rPr>
        <w:t xml:space="preserve">3. </w:t>
      </w:r>
      <w:r>
        <w:rPr>
          <w:rFonts w:hint="eastAsia" w:ascii="Times New Roman" w:hAnsi="Times New Roman"/>
          <w:color w:val="auto"/>
          <w:highlight w:val="none"/>
        </w:rPr>
        <w:t>评标程序</w:t>
      </w:r>
      <w:bookmarkEnd w:id="444"/>
    </w:p>
    <w:p>
      <w:pPr>
        <w:pStyle w:val="5"/>
        <w:spacing w:line="240" w:lineRule="auto"/>
        <w:ind w:firstLine="137"/>
        <w:rPr>
          <w:rFonts w:ascii="Times New Roman"/>
          <w:color w:val="auto"/>
          <w:highlight w:val="none"/>
        </w:rPr>
      </w:pPr>
      <w:bookmarkStart w:id="445" w:name="_Toc13830"/>
      <w:r>
        <w:rPr>
          <w:rFonts w:ascii="Times New Roman"/>
          <w:color w:val="auto"/>
          <w:highlight w:val="none"/>
        </w:rPr>
        <w:t xml:space="preserve">3.1 </w:t>
      </w:r>
      <w:r>
        <w:rPr>
          <w:rFonts w:hint="eastAsia" w:ascii="Times New Roman"/>
          <w:color w:val="auto"/>
          <w:highlight w:val="none"/>
        </w:rPr>
        <w:t>初步评审</w:t>
      </w:r>
      <w:bookmarkEnd w:id="445"/>
    </w:p>
    <w:p>
      <w:pPr>
        <w:spacing w:line="400" w:lineRule="exact"/>
        <w:ind w:firstLine="420" w:firstLineChars="200"/>
        <w:rPr>
          <w:color w:val="auto"/>
          <w:highlight w:val="none"/>
        </w:rPr>
      </w:pPr>
      <w:r>
        <w:rPr>
          <w:color w:val="auto"/>
          <w:highlight w:val="none"/>
        </w:rPr>
        <w:t>3.1.1 评标委员会可以要求投标人提交第二章</w:t>
      </w:r>
      <w:r>
        <w:rPr>
          <w:rFonts w:hint="eastAsia"/>
          <w:color w:val="auto"/>
          <w:highlight w:val="none"/>
        </w:rPr>
        <w:t>“</w:t>
      </w:r>
      <w:r>
        <w:rPr>
          <w:color w:val="auto"/>
          <w:highlight w:val="none"/>
        </w:rPr>
        <w:t>投标人须知</w:t>
      </w:r>
      <w:r>
        <w:rPr>
          <w:rFonts w:hint="eastAsia"/>
          <w:color w:val="auto"/>
          <w:highlight w:val="none"/>
        </w:rPr>
        <w:t>”</w:t>
      </w:r>
      <w:r>
        <w:rPr>
          <w:color w:val="auto"/>
          <w:highlight w:val="none"/>
        </w:rPr>
        <w:t>规定的有关证明和证件的原件，以便核验。评标委员会依据本章第2.1款规定的标准对投标文件进行初步评审。有一项不符合评审标准的，评标委员会应当否决其投标。</w:t>
      </w:r>
    </w:p>
    <w:p>
      <w:pPr>
        <w:spacing w:line="400" w:lineRule="exact"/>
        <w:ind w:firstLine="420" w:firstLineChars="200"/>
        <w:rPr>
          <w:color w:val="auto"/>
          <w:highlight w:val="none"/>
        </w:rPr>
      </w:pPr>
      <w:r>
        <w:rPr>
          <w:color w:val="auto"/>
          <w:highlight w:val="none"/>
        </w:rPr>
        <w:t>3.1.2 投标人有以下情形之一的，评标委员会应当否决其投标：</w:t>
      </w:r>
    </w:p>
    <w:p>
      <w:pPr>
        <w:spacing w:line="400" w:lineRule="exact"/>
        <w:ind w:firstLine="420" w:firstLineChars="200"/>
        <w:rPr>
          <w:color w:val="auto"/>
          <w:highlight w:val="none"/>
        </w:rPr>
      </w:pPr>
      <w:r>
        <w:rPr>
          <w:color w:val="auto"/>
          <w:highlight w:val="none"/>
        </w:rPr>
        <w:t>（1）投标文件没有对招标文件的实质性要求和条件作出响应，或者对招标文件的偏差超出招标文件规定的偏差范围或最高项数；</w:t>
      </w:r>
    </w:p>
    <w:p>
      <w:pPr>
        <w:spacing w:line="400" w:lineRule="exact"/>
        <w:ind w:firstLine="420" w:firstLineChars="200"/>
        <w:rPr>
          <w:rFonts w:hint="eastAsia"/>
          <w:color w:val="auto"/>
          <w:highlight w:val="none"/>
        </w:rPr>
      </w:pPr>
      <w:r>
        <w:rPr>
          <w:rFonts w:hint="eastAsia"/>
          <w:color w:val="auto"/>
          <w:highlight w:val="none"/>
        </w:rPr>
        <w:t>（2）第二章“投标人须知”第1.4.3项规定的任何一种情形的；</w:t>
      </w:r>
    </w:p>
    <w:p>
      <w:pPr>
        <w:spacing w:line="400" w:lineRule="exact"/>
        <w:ind w:firstLine="420" w:firstLineChars="200"/>
        <w:rPr>
          <w:color w:val="auto"/>
          <w:highlight w:val="none"/>
        </w:rPr>
      </w:pPr>
      <w:r>
        <w:rPr>
          <w:color w:val="auto"/>
          <w:highlight w:val="none"/>
        </w:rPr>
        <w:t>（</w:t>
      </w:r>
      <w:r>
        <w:rPr>
          <w:rFonts w:hint="eastAsia"/>
          <w:color w:val="auto"/>
          <w:highlight w:val="none"/>
        </w:rPr>
        <w:t>3</w:t>
      </w:r>
      <w:r>
        <w:rPr>
          <w:color w:val="auto"/>
          <w:highlight w:val="none"/>
        </w:rPr>
        <w:t>）有串通投标、弄虚作假、行贿等违法行为。</w:t>
      </w:r>
    </w:p>
    <w:p>
      <w:pPr>
        <w:spacing w:line="400" w:lineRule="exact"/>
        <w:ind w:firstLine="420" w:firstLineChars="200"/>
        <w:rPr>
          <w:color w:val="auto"/>
          <w:highlight w:val="none"/>
        </w:rPr>
      </w:pPr>
      <w:r>
        <w:rPr>
          <w:color w:val="auto"/>
          <w:highlight w:val="none"/>
        </w:rPr>
        <w:t>（</w:t>
      </w:r>
      <w:r>
        <w:rPr>
          <w:rFonts w:hint="eastAsia"/>
          <w:color w:val="auto"/>
          <w:highlight w:val="none"/>
        </w:rPr>
        <w:t>4</w:t>
      </w:r>
      <w:r>
        <w:rPr>
          <w:color w:val="auto"/>
          <w:highlight w:val="none"/>
        </w:rPr>
        <w:t>）</w:t>
      </w:r>
      <w:r>
        <w:rPr>
          <w:rFonts w:hint="eastAsia" w:hAnsi="宋体"/>
          <w:color w:val="auto"/>
          <w:highlight w:val="none"/>
        </w:rPr>
        <w:t>不按评标委员会要求澄清、说明或补正的</w:t>
      </w:r>
      <w:r>
        <w:rPr>
          <w:color w:val="auto"/>
          <w:highlight w:val="none"/>
        </w:rPr>
        <w:t>。</w:t>
      </w:r>
    </w:p>
    <w:p>
      <w:pPr>
        <w:spacing w:line="400" w:lineRule="exact"/>
        <w:ind w:firstLine="420" w:firstLineChars="200"/>
        <w:rPr>
          <w:color w:val="auto"/>
          <w:highlight w:val="none"/>
        </w:rPr>
      </w:pPr>
      <w:r>
        <w:rPr>
          <w:color w:val="auto"/>
          <w:highlight w:val="none"/>
        </w:rPr>
        <w:t>3.1.3 投标报价有算术错误及其他错误的，评标委员会按以下原则对投标报价进</w:t>
      </w:r>
      <w:bookmarkStart w:id="446" w:name="_Toc384308277"/>
      <w:bookmarkStart w:id="447" w:name="_Toc361508651"/>
      <w:bookmarkStart w:id="448" w:name="_Toc247514027"/>
      <w:bookmarkStart w:id="449" w:name="_Toc352691538"/>
      <w:bookmarkStart w:id="450" w:name="_Toc369531582"/>
      <w:bookmarkStart w:id="451" w:name="_Toc300835013"/>
      <w:bookmarkStart w:id="452" w:name="_Toc152042380"/>
      <w:bookmarkStart w:id="453" w:name="_Toc247527628"/>
      <w:bookmarkStart w:id="454" w:name="_Toc144974570"/>
      <w:bookmarkStart w:id="455" w:name="_Toc2907"/>
      <w:bookmarkStart w:id="456" w:name="_Toc152045603"/>
      <w:r>
        <w:rPr>
          <w:color w:val="auto"/>
          <w:highlight w:val="none"/>
        </w:rPr>
        <w:t>行修正</w:t>
      </w:r>
      <w:bookmarkEnd w:id="446"/>
      <w:bookmarkEnd w:id="447"/>
      <w:bookmarkEnd w:id="448"/>
      <w:bookmarkEnd w:id="449"/>
      <w:bookmarkEnd w:id="450"/>
      <w:bookmarkEnd w:id="451"/>
      <w:bookmarkEnd w:id="452"/>
      <w:bookmarkEnd w:id="453"/>
      <w:bookmarkEnd w:id="454"/>
      <w:bookmarkEnd w:id="455"/>
      <w:bookmarkEnd w:id="456"/>
      <w:r>
        <w:rPr>
          <w:color w:val="auto"/>
          <w:highlight w:val="none"/>
        </w:rPr>
        <w:t>：</w:t>
      </w:r>
    </w:p>
    <w:p>
      <w:pPr>
        <w:spacing w:line="400" w:lineRule="exact"/>
        <w:ind w:firstLine="420" w:firstLineChars="200"/>
        <w:rPr>
          <w:color w:val="auto"/>
          <w:highlight w:val="none"/>
        </w:rPr>
      </w:pPr>
      <w:r>
        <w:rPr>
          <w:rFonts w:hint="eastAsia"/>
          <w:color w:val="auto"/>
          <w:highlight w:val="none"/>
        </w:rPr>
        <w:t>（1）如投标函与报价书总价不一致时，以投标函为准；</w:t>
      </w:r>
    </w:p>
    <w:p>
      <w:pPr>
        <w:spacing w:line="400" w:lineRule="exact"/>
        <w:ind w:firstLine="420" w:firstLineChars="200"/>
        <w:rPr>
          <w:color w:val="auto"/>
          <w:highlight w:val="none"/>
        </w:rPr>
      </w:pPr>
      <w:r>
        <w:rPr>
          <w:color w:val="auto"/>
          <w:highlight w:val="none"/>
        </w:rPr>
        <w:t>（</w:t>
      </w:r>
      <w:r>
        <w:rPr>
          <w:rFonts w:hint="eastAsia"/>
          <w:color w:val="auto"/>
          <w:highlight w:val="none"/>
        </w:rPr>
        <w:t>2</w:t>
      </w:r>
      <w:r>
        <w:rPr>
          <w:color w:val="auto"/>
          <w:highlight w:val="none"/>
        </w:rPr>
        <w:t>）投标文件中的大写金额与小写金额不一致的，以大写金额为准；</w:t>
      </w:r>
    </w:p>
    <w:p>
      <w:pPr>
        <w:spacing w:line="400" w:lineRule="exact"/>
        <w:ind w:firstLine="420" w:firstLineChars="200"/>
        <w:rPr>
          <w:rFonts w:hint="eastAsia"/>
          <w:color w:val="auto"/>
          <w:highlight w:val="none"/>
        </w:rPr>
      </w:pPr>
      <w:r>
        <w:rPr>
          <w:color w:val="auto"/>
          <w:highlight w:val="none"/>
        </w:rPr>
        <w:t>（</w:t>
      </w:r>
      <w:r>
        <w:rPr>
          <w:rFonts w:hint="eastAsia"/>
          <w:color w:val="auto"/>
          <w:highlight w:val="none"/>
        </w:rPr>
        <w:t>3</w:t>
      </w:r>
      <w:r>
        <w:rPr>
          <w:color w:val="auto"/>
          <w:highlight w:val="none"/>
        </w:rPr>
        <w:t>）总价金额与单价金额不一致的，以</w:t>
      </w:r>
      <w:r>
        <w:rPr>
          <w:rFonts w:hint="eastAsia"/>
          <w:color w:val="auto"/>
          <w:highlight w:val="none"/>
        </w:rPr>
        <w:t>总价</w:t>
      </w:r>
      <w:r>
        <w:rPr>
          <w:color w:val="auto"/>
          <w:highlight w:val="none"/>
        </w:rPr>
        <w:t>金额为准，</w:t>
      </w:r>
      <w:r>
        <w:rPr>
          <w:rFonts w:hint="eastAsia" w:hAnsi="宋体"/>
          <w:color w:val="auto"/>
          <w:highlight w:val="none"/>
        </w:rPr>
        <w:t>但在签订合同时由中标单位修正分项的价格使之等于总价。</w:t>
      </w:r>
    </w:p>
    <w:p>
      <w:pPr>
        <w:spacing w:line="400" w:lineRule="exact"/>
        <w:ind w:firstLine="420" w:firstLineChars="200"/>
        <w:rPr>
          <w:rFonts w:hint="eastAsia"/>
          <w:color w:val="auto"/>
          <w:highlight w:val="none"/>
        </w:rPr>
      </w:pPr>
      <w:r>
        <w:rPr>
          <w:color w:val="auto"/>
          <w:highlight w:val="none"/>
        </w:rPr>
        <w:t>（</w:t>
      </w:r>
      <w:r>
        <w:rPr>
          <w:rFonts w:hint="eastAsia"/>
          <w:color w:val="auto"/>
          <w:highlight w:val="none"/>
        </w:rPr>
        <w:t>4</w:t>
      </w:r>
      <w:r>
        <w:rPr>
          <w:color w:val="auto"/>
          <w:highlight w:val="none"/>
        </w:rPr>
        <w:t>）</w:t>
      </w:r>
      <w:r>
        <w:rPr>
          <w:rFonts w:hint="eastAsia"/>
          <w:color w:val="auto"/>
          <w:highlight w:val="none"/>
        </w:rPr>
        <w:t>当投标下浮率与</w:t>
      </w:r>
      <w:r>
        <w:rPr>
          <w:rFonts w:hint="eastAsia" w:ascii="宋体" w:hAnsi="宋体"/>
          <w:color w:val="auto"/>
          <w:highlight w:val="none"/>
        </w:rPr>
        <w:t>“</w:t>
      </w:r>
      <w:r>
        <w:rPr>
          <w:rFonts w:hint="eastAsia" w:ascii="宋体" w:hAnsi="宋体"/>
          <w:color w:val="auto"/>
          <w:szCs w:val="21"/>
          <w:highlight w:val="none"/>
          <w:u w:val="single"/>
        </w:rPr>
        <w:t>[1-投标报价/</w:t>
      </w:r>
      <w:r>
        <w:rPr>
          <w:rFonts w:hint="eastAsia" w:ascii="宋体" w:hAnsi="宋体"/>
          <w:color w:val="auto"/>
          <w:szCs w:val="21"/>
          <w:highlight w:val="none"/>
          <w:u w:val="single"/>
          <w:lang w:val="en-US" w:eastAsia="zh-CN"/>
        </w:rPr>
        <w:t>预计采购金额</w:t>
      </w:r>
      <w:r>
        <w:rPr>
          <w:rFonts w:hint="eastAsia" w:ascii="宋体" w:hAnsi="宋体"/>
          <w:color w:val="auto"/>
          <w:szCs w:val="21"/>
          <w:highlight w:val="none"/>
          <w:u w:val="single"/>
        </w:rPr>
        <w:t>]×100%”</w:t>
      </w:r>
      <w:r>
        <w:rPr>
          <w:rFonts w:hint="eastAsia"/>
          <w:color w:val="auto"/>
          <w:highlight w:val="none"/>
        </w:rPr>
        <w:t>的计算结果不一致时，以投标下浮率为准，调整投标报价。</w:t>
      </w:r>
    </w:p>
    <w:p>
      <w:pPr>
        <w:spacing w:line="400" w:lineRule="exact"/>
        <w:ind w:firstLine="420" w:firstLineChars="200"/>
        <w:rPr>
          <w:rFonts w:hint="eastAsia"/>
          <w:color w:val="auto"/>
          <w:highlight w:val="none"/>
        </w:rPr>
      </w:pPr>
      <w:r>
        <w:rPr>
          <w:color w:val="auto"/>
          <w:highlight w:val="none"/>
        </w:rPr>
        <w:t>3.1.</w:t>
      </w:r>
      <w:r>
        <w:rPr>
          <w:rFonts w:hint="eastAsia"/>
          <w:color w:val="auto"/>
          <w:highlight w:val="none"/>
        </w:rPr>
        <w:t>4</w:t>
      </w:r>
      <w:r>
        <w:rPr>
          <w:color w:val="auto"/>
          <w:highlight w:val="none"/>
        </w:rPr>
        <w:t xml:space="preserve"> </w:t>
      </w:r>
      <w:r>
        <w:rPr>
          <w:rFonts w:hint="eastAsia" w:ascii="宋体" w:hAnsi="宋体"/>
          <w:color w:val="auto"/>
          <w:highlight w:val="none"/>
        </w:rPr>
        <w:t>经评议通过初步评审有效投标的投标人数量不足3个的，不再进行下一步评审。</w:t>
      </w:r>
    </w:p>
    <w:p>
      <w:pPr>
        <w:pStyle w:val="5"/>
        <w:spacing w:line="240" w:lineRule="auto"/>
        <w:ind w:firstLine="137"/>
        <w:rPr>
          <w:rFonts w:ascii="Times New Roman"/>
          <w:color w:val="auto"/>
          <w:highlight w:val="none"/>
        </w:rPr>
      </w:pPr>
      <w:bookmarkStart w:id="457" w:name="_Toc29484"/>
      <w:r>
        <w:rPr>
          <w:rFonts w:ascii="Times New Roman"/>
          <w:color w:val="auto"/>
          <w:highlight w:val="none"/>
        </w:rPr>
        <w:t xml:space="preserve">3.2 </w:t>
      </w:r>
      <w:r>
        <w:rPr>
          <w:rFonts w:hint="eastAsia" w:ascii="Times New Roman"/>
          <w:color w:val="auto"/>
          <w:highlight w:val="none"/>
        </w:rPr>
        <w:t>详细评审</w:t>
      </w:r>
      <w:bookmarkEnd w:id="457"/>
    </w:p>
    <w:p>
      <w:pPr>
        <w:spacing w:line="400" w:lineRule="exact"/>
        <w:ind w:firstLine="420" w:firstLineChars="200"/>
        <w:rPr>
          <w:color w:val="auto"/>
          <w:highlight w:val="none"/>
        </w:rPr>
      </w:pPr>
      <w:r>
        <w:rPr>
          <w:color w:val="auto"/>
          <w:highlight w:val="none"/>
        </w:rPr>
        <w:t>3.2.1 评标委员会按本章第2.2款规定的量化因素和分值进行打分，并计算出综合评估得分。</w:t>
      </w:r>
    </w:p>
    <w:p>
      <w:pPr>
        <w:spacing w:line="400" w:lineRule="exact"/>
        <w:ind w:firstLine="420" w:firstLineChars="200"/>
        <w:rPr>
          <w:color w:val="auto"/>
          <w:highlight w:val="none"/>
        </w:rPr>
      </w:pPr>
      <w:r>
        <w:rPr>
          <w:color w:val="auto"/>
          <w:highlight w:val="none"/>
        </w:rPr>
        <w:t>（1）按本章第2.2.4（1）目规定的评审因素和分值对资信业绩部分计算出得分A；</w:t>
      </w:r>
    </w:p>
    <w:p>
      <w:pPr>
        <w:spacing w:line="400" w:lineRule="exact"/>
        <w:ind w:firstLine="420" w:firstLineChars="200"/>
        <w:rPr>
          <w:color w:val="auto"/>
          <w:highlight w:val="none"/>
        </w:rPr>
      </w:pPr>
      <w:r>
        <w:rPr>
          <w:color w:val="auto"/>
          <w:highlight w:val="none"/>
        </w:rPr>
        <w:t>（2）按本章第2.2.4（2）目规定的评审因素和分值对</w:t>
      </w:r>
      <w:r>
        <w:rPr>
          <w:rFonts w:hint="eastAsia"/>
          <w:color w:val="auto"/>
          <w:highlight w:val="none"/>
        </w:rPr>
        <w:t>勘察</w:t>
      </w:r>
      <w:r>
        <w:rPr>
          <w:color w:val="auto"/>
          <w:highlight w:val="none"/>
        </w:rPr>
        <w:t>设计方案部分计算出得分B；</w:t>
      </w:r>
    </w:p>
    <w:p>
      <w:pPr>
        <w:spacing w:line="400" w:lineRule="exact"/>
        <w:ind w:firstLine="420" w:firstLineChars="200"/>
        <w:rPr>
          <w:color w:val="auto"/>
          <w:highlight w:val="none"/>
        </w:rPr>
      </w:pPr>
      <w:r>
        <w:rPr>
          <w:color w:val="auto"/>
          <w:highlight w:val="none"/>
        </w:rPr>
        <w:t>（3）按本章第2.2.4（3）目规定的评审因素和</w:t>
      </w:r>
      <w:bookmarkStart w:id="458" w:name="_Toc152042381"/>
      <w:bookmarkStart w:id="459" w:name="_Toc384308278"/>
      <w:bookmarkStart w:id="460" w:name="_Toc361508652"/>
      <w:bookmarkStart w:id="461" w:name="_Toc247527629"/>
      <w:bookmarkStart w:id="462" w:name="_Toc144974571"/>
      <w:bookmarkStart w:id="463" w:name="_Toc369531583"/>
      <w:bookmarkStart w:id="464" w:name="_Toc247514028"/>
      <w:bookmarkStart w:id="465" w:name="_Toc300835014"/>
      <w:bookmarkStart w:id="466" w:name="_Toc352691539"/>
      <w:bookmarkStart w:id="467" w:name="_Toc152045604"/>
      <w:bookmarkStart w:id="468" w:name="_Toc24330"/>
      <w:r>
        <w:rPr>
          <w:color w:val="auto"/>
          <w:highlight w:val="none"/>
        </w:rPr>
        <w:t>分值对投标报价</w:t>
      </w:r>
      <w:bookmarkEnd w:id="458"/>
      <w:bookmarkEnd w:id="459"/>
      <w:bookmarkEnd w:id="460"/>
      <w:bookmarkEnd w:id="461"/>
      <w:bookmarkEnd w:id="462"/>
      <w:bookmarkEnd w:id="463"/>
      <w:bookmarkEnd w:id="464"/>
      <w:bookmarkEnd w:id="465"/>
      <w:bookmarkEnd w:id="466"/>
      <w:bookmarkEnd w:id="467"/>
      <w:bookmarkEnd w:id="468"/>
      <w:r>
        <w:rPr>
          <w:color w:val="auto"/>
          <w:highlight w:val="none"/>
        </w:rPr>
        <w:t>计</w:t>
      </w:r>
      <w:bookmarkStart w:id="469" w:name="_Toc144974572"/>
      <w:bookmarkStart w:id="470" w:name="_Toc300835015"/>
      <w:bookmarkStart w:id="471" w:name="_Toc352691540"/>
      <w:bookmarkStart w:id="472" w:name="_Toc18141"/>
      <w:bookmarkStart w:id="473" w:name="_Toc152042382"/>
      <w:bookmarkStart w:id="474" w:name="_Toc361508653"/>
      <w:bookmarkStart w:id="475" w:name="_Toc247514029"/>
      <w:bookmarkStart w:id="476" w:name="_Toc152045605"/>
      <w:bookmarkStart w:id="477" w:name="_Toc247527630"/>
      <w:bookmarkStart w:id="478" w:name="_Toc369531584"/>
      <w:bookmarkStart w:id="479" w:name="_Toc384308279"/>
      <w:r>
        <w:rPr>
          <w:color w:val="auto"/>
          <w:highlight w:val="none"/>
        </w:rPr>
        <w:t>算出得分C；</w:t>
      </w:r>
    </w:p>
    <w:p>
      <w:pPr>
        <w:spacing w:line="400" w:lineRule="exact"/>
        <w:ind w:firstLine="420" w:firstLineChars="200"/>
        <w:rPr>
          <w:color w:val="auto"/>
          <w:highlight w:val="none"/>
        </w:rPr>
      </w:pPr>
      <w:r>
        <w:rPr>
          <w:color w:val="auto"/>
          <w:highlight w:val="none"/>
        </w:rPr>
        <w:t>（</w:t>
      </w:r>
      <w:bookmarkEnd w:id="469"/>
      <w:bookmarkEnd w:id="470"/>
      <w:bookmarkEnd w:id="471"/>
      <w:bookmarkEnd w:id="472"/>
      <w:bookmarkEnd w:id="473"/>
      <w:bookmarkEnd w:id="474"/>
      <w:bookmarkEnd w:id="475"/>
      <w:bookmarkEnd w:id="476"/>
      <w:bookmarkEnd w:id="477"/>
      <w:bookmarkEnd w:id="478"/>
      <w:bookmarkEnd w:id="479"/>
      <w:r>
        <w:rPr>
          <w:color w:val="auto"/>
          <w:highlight w:val="none"/>
        </w:rPr>
        <w:t>4）按本章第2.2.4（4）目规定的评审因素和分值对其他部分计算出得分D。</w:t>
      </w:r>
    </w:p>
    <w:p>
      <w:pPr>
        <w:spacing w:line="400" w:lineRule="exact"/>
        <w:ind w:firstLine="420" w:firstLineChars="200"/>
        <w:rPr>
          <w:color w:val="auto"/>
          <w:highlight w:val="none"/>
        </w:rPr>
      </w:pPr>
      <w:r>
        <w:rPr>
          <w:color w:val="auto"/>
          <w:highlight w:val="none"/>
        </w:rPr>
        <w:t>3.2.2 评分分值计算保留小数点后两位，小数点后第三位</w:t>
      </w:r>
      <w:r>
        <w:rPr>
          <w:rFonts w:hint="eastAsia"/>
          <w:color w:val="auto"/>
          <w:highlight w:val="none"/>
        </w:rPr>
        <w:t>“</w:t>
      </w:r>
      <w:r>
        <w:rPr>
          <w:color w:val="auto"/>
          <w:highlight w:val="none"/>
        </w:rPr>
        <w:t>四舍五入</w:t>
      </w:r>
      <w:r>
        <w:rPr>
          <w:rFonts w:hint="eastAsia"/>
          <w:color w:val="auto"/>
          <w:highlight w:val="none"/>
        </w:rPr>
        <w:t>”</w:t>
      </w:r>
      <w:r>
        <w:rPr>
          <w:color w:val="auto"/>
          <w:highlight w:val="none"/>
        </w:rPr>
        <w:t>。</w:t>
      </w:r>
    </w:p>
    <w:p>
      <w:pPr>
        <w:spacing w:line="400" w:lineRule="exact"/>
        <w:ind w:firstLine="420" w:firstLineChars="200"/>
        <w:rPr>
          <w:color w:val="auto"/>
          <w:highlight w:val="none"/>
        </w:rPr>
      </w:pPr>
      <w:r>
        <w:rPr>
          <w:color w:val="auto"/>
          <w:highlight w:val="none"/>
        </w:rPr>
        <w:t>3.2.3 投标人得分=A+B+C+D。</w:t>
      </w:r>
    </w:p>
    <w:p>
      <w:pPr>
        <w:spacing w:line="400" w:lineRule="exact"/>
        <w:ind w:firstLine="420" w:firstLineChars="200"/>
        <w:rPr>
          <w:color w:val="auto"/>
          <w:highlight w:val="none"/>
        </w:rPr>
      </w:pPr>
      <w:r>
        <w:rPr>
          <w:color w:val="auto"/>
          <w:highlight w:val="none"/>
        </w:rPr>
        <w:t>3.2.4 评标委员会发现投标人的报价明显低于其他投标报价，使得其投标报价可能低于其个别成本的，应当要求该投标人作出书面说明并提供相应的证明材料。投标人不能合理说明或者不能提供相应证明材料的，评标委员会应当认定该投标人以低于成本报价竞标，并否决其投标。</w:t>
      </w:r>
    </w:p>
    <w:p>
      <w:pPr>
        <w:spacing w:line="400" w:lineRule="exact"/>
        <w:ind w:firstLine="420" w:firstLineChars="200"/>
        <w:rPr>
          <w:rFonts w:hint="eastAsia"/>
          <w:color w:val="auto"/>
          <w:highlight w:val="none"/>
        </w:rPr>
      </w:pPr>
      <w:r>
        <w:rPr>
          <w:rFonts w:hint="eastAsia"/>
          <w:color w:val="auto"/>
          <w:highlight w:val="none"/>
        </w:rPr>
        <w:t>3.2.5对有效投标，根据评审指标和评分标准及实施办法进行评分，不得使用“评审标准 ”没有规定的评审因素和标准进行评标。</w:t>
      </w:r>
    </w:p>
    <w:p>
      <w:pPr>
        <w:spacing w:line="400" w:lineRule="exact"/>
        <w:ind w:firstLine="420" w:firstLineChars="200"/>
        <w:rPr>
          <w:rFonts w:hint="eastAsia"/>
          <w:color w:val="auto"/>
          <w:highlight w:val="none"/>
        </w:rPr>
      </w:pPr>
      <w:r>
        <w:rPr>
          <w:rFonts w:hint="eastAsia"/>
          <w:color w:val="auto"/>
          <w:highlight w:val="none"/>
        </w:rPr>
        <w:t>3.2.6资信业绩评分标准内容采用评委集中评审方式。由评委主任组织专家集体讨论评议。若评委意见不一致时，则按少数服从多数的原则确定分值。</w:t>
      </w:r>
    </w:p>
    <w:p>
      <w:pPr>
        <w:pStyle w:val="5"/>
        <w:spacing w:line="240" w:lineRule="auto"/>
        <w:ind w:firstLine="137"/>
        <w:rPr>
          <w:rFonts w:ascii="Times New Roman"/>
          <w:color w:val="auto"/>
          <w:highlight w:val="none"/>
        </w:rPr>
      </w:pPr>
      <w:bookmarkStart w:id="480" w:name="_Toc2008"/>
      <w:r>
        <w:rPr>
          <w:rFonts w:ascii="Times New Roman"/>
          <w:color w:val="auto"/>
          <w:highlight w:val="none"/>
        </w:rPr>
        <w:t xml:space="preserve">3.3 </w:t>
      </w:r>
      <w:r>
        <w:rPr>
          <w:rFonts w:hint="eastAsia" w:ascii="Times New Roman"/>
          <w:color w:val="auto"/>
          <w:highlight w:val="none"/>
        </w:rPr>
        <w:t>投标文件的澄清</w:t>
      </w:r>
      <w:bookmarkEnd w:id="480"/>
    </w:p>
    <w:p>
      <w:pPr>
        <w:spacing w:line="400" w:lineRule="exact"/>
        <w:ind w:firstLine="420" w:firstLineChars="200"/>
        <w:rPr>
          <w:color w:val="auto"/>
          <w:highlight w:val="none"/>
        </w:rPr>
      </w:pPr>
      <w:r>
        <w:rPr>
          <w:color w:val="auto"/>
          <w:highlight w:val="none"/>
        </w:rPr>
        <w:t>3.3.1 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pPr>
        <w:spacing w:line="400" w:lineRule="exact"/>
        <w:ind w:firstLine="420" w:firstLineChars="200"/>
        <w:rPr>
          <w:color w:val="auto"/>
          <w:highlight w:val="none"/>
        </w:rPr>
      </w:pPr>
      <w:r>
        <w:rPr>
          <w:color w:val="auto"/>
          <w:highlight w:val="none"/>
        </w:rPr>
        <w:t>3.3.2 澄清、说明或补正不得超出投标文件的范围且不得改变投标文件的实质性内容，并构成投标文件的组成部分。</w:t>
      </w:r>
    </w:p>
    <w:p>
      <w:pPr>
        <w:spacing w:line="400" w:lineRule="exact"/>
        <w:ind w:firstLine="420" w:firstLineChars="200"/>
        <w:rPr>
          <w:color w:val="auto"/>
          <w:highlight w:val="none"/>
        </w:rPr>
      </w:pPr>
      <w:r>
        <w:rPr>
          <w:color w:val="auto"/>
          <w:highlight w:val="none"/>
        </w:rPr>
        <w:t>3.3.3 评标委员会对投标人提交的澄清、说明或补正有疑问的，可以要求投标人进一步澄清、说明或补正，直至满足评标委员会的要求。</w:t>
      </w:r>
    </w:p>
    <w:p>
      <w:pPr>
        <w:pStyle w:val="5"/>
        <w:spacing w:line="240" w:lineRule="auto"/>
        <w:ind w:firstLine="137"/>
        <w:rPr>
          <w:rFonts w:ascii="Times New Roman"/>
          <w:color w:val="auto"/>
          <w:highlight w:val="none"/>
        </w:rPr>
      </w:pPr>
      <w:bookmarkStart w:id="481" w:name="_Toc1894"/>
      <w:r>
        <w:rPr>
          <w:rFonts w:ascii="Times New Roman"/>
          <w:color w:val="auto"/>
          <w:highlight w:val="none"/>
        </w:rPr>
        <w:t xml:space="preserve">3.4 </w:t>
      </w:r>
      <w:r>
        <w:rPr>
          <w:rFonts w:hint="eastAsia" w:ascii="Times New Roman"/>
          <w:color w:val="auto"/>
          <w:highlight w:val="none"/>
        </w:rPr>
        <w:t>评标结果</w:t>
      </w:r>
      <w:bookmarkEnd w:id="481"/>
    </w:p>
    <w:p>
      <w:pPr>
        <w:spacing w:line="400" w:lineRule="exact"/>
        <w:ind w:firstLine="420" w:firstLineChars="200"/>
        <w:rPr>
          <w:rFonts w:hint="eastAsia"/>
          <w:color w:val="auto"/>
          <w:highlight w:val="none"/>
        </w:rPr>
      </w:pPr>
      <w:r>
        <w:rPr>
          <w:color w:val="auto"/>
          <w:highlight w:val="none"/>
        </w:rPr>
        <w:t>3.4.1评标委员会按照按本章</w:t>
      </w:r>
      <w:r>
        <w:rPr>
          <w:rFonts w:hint="eastAsia"/>
          <w:color w:val="auto"/>
          <w:highlight w:val="none"/>
        </w:rPr>
        <w:t>评标办法前附表</w:t>
      </w:r>
      <w:r>
        <w:rPr>
          <w:color w:val="auto"/>
          <w:highlight w:val="none"/>
        </w:rPr>
        <w:t>第1</w:t>
      </w:r>
      <w:r>
        <w:rPr>
          <w:rFonts w:hint="eastAsia"/>
          <w:color w:val="auto"/>
          <w:highlight w:val="none"/>
        </w:rPr>
        <w:t>目评标办法中中标候选人排序方法</w:t>
      </w:r>
      <w:r>
        <w:rPr>
          <w:color w:val="auto"/>
          <w:highlight w:val="none"/>
        </w:rPr>
        <w:t>推荐中标候选人，并标明排序。</w:t>
      </w:r>
    </w:p>
    <w:p>
      <w:pPr>
        <w:spacing w:line="400" w:lineRule="exact"/>
        <w:ind w:firstLine="420" w:firstLineChars="200"/>
        <w:rPr>
          <w:color w:val="auto"/>
          <w:highlight w:val="none"/>
        </w:rPr>
      </w:pPr>
      <w:r>
        <w:rPr>
          <w:color w:val="auto"/>
          <w:highlight w:val="none"/>
        </w:rPr>
        <w:t>3.4.2 评标委员会完成评标后，应当向招标人提交书面评标报告和中标候选人名单。</w:t>
      </w:r>
    </w:p>
    <w:p>
      <w:pPr>
        <w:rPr>
          <w:color w:val="auto"/>
          <w:highlight w:val="none"/>
        </w:rPr>
      </w:pPr>
      <w:r>
        <w:rPr>
          <w:color w:val="auto"/>
          <w:highlight w:val="none"/>
        </w:rPr>
        <w:br w:type="page"/>
      </w:r>
    </w:p>
    <w:p>
      <w:pPr>
        <w:pStyle w:val="3"/>
        <w:jc w:val="center"/>
        <w:rPr>
          <w:rFonts w:hint="eastAsia" w:eastAsia="宋体"/>
          <w:color w:val="auto"/>
          <w:highlight w:val="none"/>
          <w:lang w:eastAsia="zh-CN"/>
        </w:rPr>
      </w:pPr>
      <w:bookmarkStart w:id="482" w:name="_Toc8665"/>
      <w:r>
        <w:rPr>
          <w:rFonts w:hint="eastAsia"/>
          <w:color w:val="auto"/>
          <w:highlight w:val="none"/>
        </w:rPr>
        <w:t>第四章 合同条款及格式</w:t>
      </w:r>
      <w:bookmarkEnd w:id="482"/>
      <w:r>
        <w:rPr>
          <w:rFonts w:hint="eastAsia"/>
          <w:color w:val="auto"/>
          <w:highlight w:val="none"/>
          <w:lang w:eastAsia="zh-CN"/>
        </w:rPr>
        <w:t>（</w:t>
      </w:r>
      <w:r>
        <w:rPr>
          <w:rFonts w:hint="eastAsia"/>
          <w:color w:val="auto"/>
          <w:highlight w:val="none"/>
          <w:lang w:val="en-US" w:eastAsia="zh-CN"/>
        </w:rPr>
        <w:t>另册</w:t>
      </w:r>
      <w:r>
        <w:rPr>
          <w:rFonts w:hint="eastAsia"/>
          <w:color w:val="auto"/>
          <w:highlight w:val="none"/>
          <w:lang w:eastAsia="zh-CN"/>
        </w:rPr>
        <w:t>）</w:t>
      </w:r>
    </w:p>
    <w:p>
      <w:pPr>
        <w:rPr>
          <w:color w:val="auto"/>
          <w:highlight w:val="none"/>
        </w:rPr>
      </w:pPr>
    </w:p>
    <w:p>
      <w:pPr>
        <w:spacing w:before="100" w:beforeAutospacing="1" w:after="100" w:afterAutospacing="1" w:line="280" w:lineRule="atLeast"/>
        <w:jc w:val="left"/>
        <w:rPr>
          <w:color w:val="auto"/>
          <w:kern w:val="0"/>
          <w:sz w:val="32"/>
          <w:szCs w:val="28"/>
          <w:highlight w:val="none"/>
        </w:rPr>
      </w:pPr>
    </w:p>
    <w:p>
      <w:pPr>
        <w:spacing w:before="100" w:beforeAutospacing="1" w:after="100" w:afterAutospacing="1" w:line="280" w:lineRule="atLeast"/>
        <w:jc w:val="left"/>
        <w:rPr>
          <w:color w:val="auto"/>
          <w:kern w:val="0"/>
          <w:sz w:val="32"/>
          <w:szCs w:val="28"/>
          <w:highlight w:val="none"/>
        </w:rPr>
      </w:pPr>
    </w:p>
    <w:p>
      <w:pPr>
        <w:spacing w:before="100" w:beforeAutospacing="1" w:after="100" w:afterAutospacing="1" w:line="280" w:lineRule="atLeast"/>
        <w:jc w:val="left"/>
        <w:rPr>
          <w:color w:val="auto"/>
          <w:kern w:val="0"/>
          <w:sz w:val="32"/>
          <w:szCs w:val="28"/>
          <w:highlight w:val="none"/>
        </w:rPr>
      </w:pPr>
    </w:p>
    <w:p>
      <w:pPr>
        <w:spacing w:before="100" w:beforeAutospacing="1" w:after="100" w:afterAutospacing="1" w:line="280" w:lineRule="atLeast"/>
        <w:jc w:val="left"/>
        <w:rPr>
          <w:color w:val="auto"/>
          <w:kern w:val="0"/>
          <w:sz w:val="32"/>
          <w:szCs w:val="28"/>
          <w:highlight w:val="none"/>
        </w:rPr>
      </w:pPr>
    </w:p>
    <w:p>
      <w:pPr>
        <w:spacing w:before="100" w:beforeAutospacing="1" w:after="100" w:afterAutospacing="1" w:line="280" w:lineRule="atLeast"/>
        <w:jc w:val="left"/>
        <w:rPr>
          <w:color w:val="auto"/>
          <w:kern w:val="0"/>
          <w:sz w:val="32"/>
          <w:szCs w:val="28"/>
          <w:highlight w:val="none"/>
        </w:rPr>
      </w:pPr>
    </w:p>
    <w:p>
      <w:pPr>
        <w:spacing w:before="100" w:beforeAutospacing="1" w:after="100" w:afterAutospacing="1" w:line="280" w:lineRule="atLeast"/>
        <w:jc w:val="left"/>
        <w:rPr>
          <w:color w:val="auto"/>
          <w:kern w:val="0"/>
          <w:sz w:val="32"/>
          <w:szCs w:val="28"/>
          <w:highlight w:val="none"/>
        </w:rPr>
      </w:pPr>
    </w:p>
    <w:p>
      <w:pPr>
        <w:spacing w:before="100" w:beforeAutospacing="1" w:after="100" w:afterAutospacing="1" w:line="280" w:lineRule="atLeast"/>
        <w:jc w:val="left"/>
        <w:rPr>
          <w:color w:val="auto"/>
          <w:kern w:val="0"/>
          <w:sz w:val="32"/>
          <w:szCs w:val="28"/>
          <w:highlight w:val="none"/>
        </w:rPr>
      </w:pPr>
    </w:p>
    <w:p>
      <w:pPr>
        <w:spacing w:before="100" w:beforeAutospacing="1" w:after="100" w:afterAutospacing="1" w:line="280" w:lineRule="atLeast"/>
        <w:jc w:val="left"/>
        <w:rPr>
          <w:color w:val="auto"/>
          <w:kern w:val="0"/>
          <w:sz w:val="32"/>
          <w:szCs w:val="28"/>
          <w:highlight w:val="none"/>
        </w:rPr>
      </w:pPr>
    </w:p>
    <w:p>
      <w:pPr>
        <w:spacing w:before="100" w:beforeAutospacing="1" w:after="100" w:afterAutospacing="1" w:line="280" w:lineRule="atLeast"/>
        <w:jc w:val="left"/>
        <w:rPr>
          <w:color w:val="auto"/>
          <w:kern w:val="0"/>
          <w:sz w:val="32"/>
          <w:szCs w:val="28"/>
          <w:highlight w:val="none"/>
        </w:rPr>
      </w:pPr>
    </w:p>
    <w:p>
      <w:pPr>
        <w:spacing w:before="100" w:beforeAutospacing="1" w:after="100" w:afterAutospacing="1" w:line="280" w:lineRule="atLeast"/>
        <w:jc w:val="left"/>
        <w:rPr>
          <w:color w:val="auto"/>
          <w:kern w:val="0"/>
          <w:sz w:val="32"/>
          <w:szCs w:val="28"/>
          <w:highlight w:val="none"/>
        </w:rPr>
      </w:pPr>
    </w:p>
    <w:p>
      <w:pPr>
        <w:spacing w:before="100" w:beforeAutospacing="1" w:after="100" w:afterAutospacing="1" w:line="280" w:lineRule="atLeast"/>
        <w:jc w:val="left"/>
        <w:rPr>
          <w:color w:val="auto"/>
          <w:kern w:val="0"/>
          <w:sz w:val="32"/>
          <w:szCs w:val="28"/>
          <w:highlight w:val="none"/>
        </w:rPr>
      </w:pPr>
    </w:p>
    <w:p>
      <w:pPr>
        <w:spacing w:before="100" w:beforeAutospacing="1" w:after="100" w:afterAutospacing="1" w:line="280" w:lineRule="atLeast"/>
        <w:jc w:val="left"/>
        <w:rPr>
          <w:color w:val="auto"/>
          <w:kern w:val="0"/>
          <w:sz w:val="32"/>
          <w:szCs w:val="28"/>
          <w:highlight w:val="none"/>
        </w:rPr>
      </w:pPr>
    </w:p>
    <w:p>
      <w:pPr>
        <w:spacing w:before="100" w:beforeAutospacing="1" w:after="100" w:afterAutospacing="1" w:line="280" w:lineRule="atLeast"/>
        <w:jc w:val="left"/>
        <w:rPr>
          <w:color w:val="auto"/>
          <w:kern w:val="0"/>
          <w:sz w:val="32"/>
          <w:szCs w:val="28"/>
          <w:highlight w:val="none"/>
        </w:rPr>
      </w:pPr>
    </w:p>
    <w:p>
      <w:pPr>
        <w:spacing w:before="100" w:beforeAutospacing="1" w:after="100" w:afterAutospacing="1" w:line="280" w:lineRule="atLeast"/>
        <w:jc w:val="left"/>
        <w:rPr>
          <w:color w:val="auto"/>
          <w:kern w:val="0"/>
          <w:sz w:val="32"/>
          <w:szCs w:val="28"/>
          <w:highlight w:val="none"/>
        </w:rPr>
      </w:pPr>
    </w:p>
    <w:p>
      <w:pPr>
        <w:pStyle w:val="3"/>
        <w:jc w:val="center"/>
        <w:rPr>
          <w:rFonts w:hint="eastAsia" w:ascii="宋体" w:hAnsi="宋体" w:eastAsia="宋体" w:cs="Times New Roman"/>
          <w:b w:val="0"/>
          <w:color w:val="auto"/>
          <w:kern w:val="2"/>
          <w:sz w:val="48"/>
          <w:szCs w:val="48"/>
          <w:highlight w:val="none"/>
          <w:lang w:val="en-US" w:eastAsia="zh-CN" w:bidi="ar-SA"/>
        </w:rPr>
      </w:pPr>
      <w:bookmarkStart w:id="483" w:name="_Toc144974831"/>
      <w:bookmarkEnd w:id="483"/>
      <w:bookmarkStart w:id="484" w:name="_Toc31087"/>
      <w:bookmarkStart w:id="485" w:name="_Toc179632787"/>
      <w:bookmarkStart w:id="486" w:name="_Toc246997081"/>
      <w:bookmarkStart w:id="487" w:name="_Toc247085853"/>
      <w:bookmarkStart w:id="488" w:name="_Toc246996338"/>
      <w:bookmarkStart w:id="489" w:name="_Toc300835199"/>
      <w:bookmarkStart w:id="490" w:name="_Toc152042549"/>
      <w:bookmarkStart w:id="491" w:name="_Toc144974578"/>
      <w:bookmarkStart w:id="492" w:name="_Toc247527798"/>
      <w:bookmarkStart w:id="493" w:name="_Toc152042388"/>
      <w:bookmarkStart w:id="494" w:name="_Toc184635122"/>
      <w:bookmarkStart w:id="495" w:name="_Toc247514197"/>
      <w:bookmarkStart w:id="496" w:name="_Toc144974829"/>
      <w:bookmarkStart w:id="497" w:name="_Toc152045610"/>
      <w:r>
        <w:rPr>
          <w:rFonts w:hint="eastAsia" w:ascii="宋体" w:hAnsi="宋体" w:eastAsia="宋体" w:cs="Times New Roman"/>
          <w:b w:val="0"/>
          <w:color w:val="auto"/>
          <w:kern w:val="2"/>
          <w:sz w:val="48"/>
          <w:szCs w:val="48"/>
          <w:highlight w:val="none"/>
          <w:lang w:val="en-US" w:eastAsia="zh-CN" w:bidi="ar-SA"/>
        </w:rPr>
        <w:t>第五章 发包人要求</w:t>
      </w:r>
      <w:bookmarkEnd w:id="484"/>
    </w:p>
    <w:bookmarkEnd w:id="485"/>
    <w:bookmarkEnd w:id="486"/>
    <w:bookmarkEnd w:id="487"/>
    <w:bookmarkEnd w:id="488"/>
    <w:p>
      <w:pPr>
        <w:rPr>
          <w:rFonts w:hint="eastAsia" w:ascii="宋体" w:hAnsi="宋体" w:eastAsia="宋体" w:cs="Times New Roman"/>
          <w:b w:val="0"/>
          <w:color w:val="auto"/>
          <w:kern w:val="2"/>
          <w:sz w:val="24"/>
          <w:szCs w:val="24"/>
          <w:highlight w:val="none"/>
          <w:lang w:val="en-US" w:eastAsia="zh-CN" w:bidi="ar-SA"/>
        </w:rPr>
      </w:pPr>
      <w:bookmarkStart w:id="498" w:name="_Toc354480984"/>
      <w:bookmarkStart w:id="499" w:name="_Toc430950315"/>
      <w:bookmarkStart w:id="500" w:name="_Toc372241590"/>
      <w:bookmarkStart w:id="501" w:name="_Toc468802906"/>
      <w:r>
        <w:rPr>
          <w:rFonts w:hint="eastAsia" w:ascii="宋体" w:hAnsi="宋体" w:eastAsia="宋体" w:cs="Times New Roman"/>
          <w:b w:val="0"/>
          <w:color w:val="auto"/>
          <w:kern w:val="2"/>
          <w:sz w:val="24"/>
          <w:szCs w:val="24"/>
          <w:highlight w:val="none"/>
          <w:lang w:val="en-US" w:eastAsia="zh-CN" w:bidi="ar-SA"/>
        </w:rPr>
        <w:t>一、项目概况</w:t>
      </w:r>
      <w:bookmarkEnd w:id="498"/>
      <w:bookmarkEnd w:id="499"/>
      <w:bookmarkEnd w:id="500"/>
      <w:bookmarkEnd w:id="501"/>
    </w:p>
    <w:p>
      <w:pPr>
        <w:spacing w:line="360" w:lineRule="auto"/>
        <w:ind w:firstLine="422" w:firstLineChars="176"/>
        <w:jc w:val="left"/>
        <w:rPr>
          <w:rFonts w:hint="eastAsia" w:ascii="宋体" w:hAnsi="宋体" w:eastAsia="宋体" w:cs="Times New Roman"/>
          <w:color w:val="auto"/>
          <w:sz w:val="24"/>
          <w:szCs w:val="24"/>
          <w:highlight w:val="none"/>
        </w:rPr>
      </w:pPr>
      <w:bookmarkStart w:id="502" w:name="_Toc238270223"/>
      <w:r>
        <w:rPr>
          <w:rFonts w:hint="eastAsia" w:ascii="宋体" w:hAnsi="宋体" w:eastAsia="宋体" w:cs="Times New Roman"/>
          <w:color w:val="auto"/>
          <w:sz w:val="24"/>
          <w:szCs w:val="24"/>
          <w:highlight w:val="none"/>
        </w:rPr>
        <w:t>1、项目名称：松山湖科学城电缆通道项目（二期）</w:t>
      </w:r>
    </w:p>
    <w:p>
      <w:pPr>
        <w:spacing w:line="360" w:lineRule="auto"/>
        <w:ind w:firstLine="422" w:firstLineChars="176"/>
        <w:jc w:val="left"/>
        <w:rPr>
          <w:color w:val="auto"/>
          <w:highlight w:val="none"/>
        </w:rPr>
      </w:pPr>
      <w:r>
        <w:rPr>
          <w:rFonts w:hint="eastAsia" w:ascii="宋体" w:hAnsi="宋体" w:eastAsia="宋体" w:cs="Times New Roman"/>
          <w:color w:val="auto"/>
          <w:sz w:val="24"/>
          <w:szCs w:val="24"/>
          <w:highlight w:val="none"/>
        </w:rPr>
        <w:t>2、项目位置： 东莞</w:t>
      </w:r>
      <w:r>
        <w:rPr>
          <w:rFonts w:hint="eastAsia"/>
          <w:color w:val="auto"/>
          <w:highlight w:val="none"/>
        </w:rPr>
        <w:t>松山湖</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3、项目规模</w:t>
      </w:r>
    </w:p>
    <w:bookmarkEnd w:id="502"/>
    <w:p>
      <w:pPr>
        <w:spacing w:line="360" w:lineRule="auto"/>
        <w:ind w:firstLine="422" w:firstLineChars="176"/>
        <w:jc w:val="left"/>
        <w:rPr>
          <w:rFonts w:ascii="宋体" w:hAnsi="宋体"/>
          <w:color w:val="auto"/>
          <w:sz w:val="24"/>
          <w:szCs w:val="24"/>
          <w:highlight w:val="none"/>
        </w:rPr>
      </w:pPr>
      <w:r>
        <w:rPr>
          <w:rFonts w:hint="eastAsia" w:ascii="宋体" w:hAnsi="宋体" w:eastAsia="宋体" w:cs="Times New Roman"/>
          <w:color w:val="auto"/>
          <w:sz w:val="24"/>
          <w:szCs w:val="24"/>
          <w:highlight w:val="none"/>
        </w:rPr>
        <w:t>为满足松山湖科学</w:t>
      </w:r>
      <w:r>
        <w:rPr>
          <w:rFonts w:hint="eastAsia" w:ascii="宋体" w:hAnsi="宋体"/>
          <w:color w:val="auto"/>
          <w:sz w:val="24"/>
          <w:szCs w:val="24"/>
          <w:highlight w:val="none"/>
        </w:rPr>
        <w:t>城南部用地发展及景观需求，需将220kV纵沛甲乙线共8回架空线路落地迁改，本工程拟沿规划清龙路、荔华东路新建一条10回</w:t>
      </w:r>
      <w:r>
        <w:rPr>
          <w:rFonts w:hint="eastAsia" w:ascii="宋体" w:hAnsi="宋体"/>
          <w:color w:val="auto"/>
          <w:sz w:val="24"/>
          <w:szCs w:val="24"/>
          <w:highlight w:val="none"/>
          <w:lang w:val="en-US" w:eastAsia="zh-CN"/>
        </w:rPr>
        <w:t>路</w:t>
      </w:r>
      <w:r>
        <w:rPr>
          <w:rFonts w:hint="eastAsia" w:ascii="宋体" w:hAnsi="宋体"/>
          <w:color w:val="auto"/>
          <w:sz w:val="24"/>
          <w:szCs w:val="24"/>
          <w:highlight w:val="none"/>
        </w:rPr>
        <w:t>电缆隧道，主要规模为：</w:t>
      </w:r>
    </w:p>
    <w:p>
      <w:pPr>
        <w:spacing w:line="360" w:lineRule="auto"/>
        <w:ind w:firstLine="422" w:firstLineChars="176"/>
        <w:jc w:val="left"/>
        <w:rPr>
          <w:rFonts w:hint="eastAsia" w:ascii="宋体" w:hAnsi="宋体"/>
          <w:color w:val="auto"/>
          <w:sz w:val="24"/>
          <w:szCs w:val="24"/>
          <w:highlight w:val="none"/>
        </w:rPr>
      </w:pPr>
      <w:r>
        <w:rPr>
          <w:rFonts w:hint="eastAsia" w:ascii="宋体" w:hAnsi="宋体"/>
          <w:color w:val="auto"/>
          <w:sz w:val="24"/>
          <w:szCs w:val="24"/>
          <w:highlight w:val="none"/>
        </w:rPr>
        <w:t>（1）沿规划清龙路及荔华东路新建10回路电缆隧道，长约1.9km。</w:t>
      </w:r>
    </w:p>
    <w:p>
      <w:pPr>
        <w:spacing w:line="360" w:lineRule="auto"/>
        <w:ind w:firstLine="422" w:firstLineChars="176"/>
        <w:jc w:val="left"/>
        <w:rPr>
          <w:rFonts w:hint="eastAsia" w:ascii="宋体" w:hAnsi="宋体"/>
          <w:color w:val="auto"/>
          <w:sz w:val="24"/>
          <w:szCs w:val="24"/>
          <w:highlight w:val="none"/>
        </w:rPr>
      </w:pPr>
      <w:r>
        <w:rPr>
          <w:rFonts w:hint="eastAsia" w:ascii="宋体" w:hAnsi="宋体"/>
          <w:color w:val="auto"/>
          <w:sz w:val="24"/>
          <w:szCs w:val="24"/>
          <w:highlight w:val="none"/>
        </w:rPr>
        <w:t>（2）沿象和路新建3条电缆沟至沛然站，长约3*0.4km.</w:t>
      </w:r>
    </w:p>
    <w:p>
      <w:pPr>
        <w:rPr>
          <w:color w:val="auto"/>
          <w:highlight w:val="none"/>
        </w:rPr>
      </w:pPr>
      <w:r>
        <w:rPr>
          <w:rFonts w:hint="eastAsia"/>
          <w:color w:val="auto"/>
          <w:highlight w:val="none"/>
        </w:rPr>
        <w:t>（3）总投资1.51亿元。</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二、</w:t>
      </w:r>
      <w:bookmarkStart w:id="503" w:name="_Toc430950317"/>
      <w:bookmarkStart w:id="504" w:name="_Toc372241592"/>
      <w:bookmarkStart w:id="505" w:name="_Toc354480986"/>
      <w:r>
        <w:rPr>
          <w:rFonts w:hint="eastAsia" w:ascii="宋体" w:hAnsi="宋体" w:eastAsia="宋体" w:cs="Times New Roman"/>
          <w:color w:val="auto"/>
          <w:sz w:val="24"/>
          <w:szCs w:val="24"/>
          <w:highlight w:val="none"/>
        </w:rPr>
        <w:t>设计依据和标准</w:t>
      </w:r>
      <w:bookmarkEnd w:id="503"/>
      <w:bookmarkEnd w:id="504"/>
      <w:bookmarkEnd w:id="505"/>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本项设计项目各阶段的设计文件必须符合现行中华人民共和国以及行业的一切法规、规范要求，包括但不限于：</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1、本工程设计依据</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1）本工程的立项批复文件；</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2）本工程的设计任务书；</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3）规划及国土提供的用地红线图；</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2、本工程的设计标准及主要设计规范：</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本工程设计的各阶段设计文件必须符合现行中华人民共和国以及行业的相关法规、规范要求，包括但不限于：</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1）《东莞市城市规划管理技术规定》；</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2）《建筑结构荷载规定》（GB50009-2012）；</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3）《混凝土结构设计规范》（GB50010-2010）；</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4）《城市道路路基设计规范》（CJJ194-2013）；</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5）《城市道路设计规范》（CJJ37-2012）（2016年版）；</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6）《供配电系统设计规范》（GB50052-2009）；</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7）《通用用电设备配电设计规范》（GB50055-2011）；</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8）《电力电缆隧道设计规程》（DLT5484-2013）；</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9）《电力工程电缆设计标准》（GB 50217-2018）；</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10）《城市电力电缆线路设计技术规定》DL/T 5221-2016</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11）《建筑抗震设计规范》（GB 50011-2010）；</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12）《电力设施抗震设计规范》（GB50260－2013）；</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13）《钢结构设计标准》（GB 50017－2017）；</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14）《混凝土结构设计规范》（GB 50010—2010）；</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15）《建筑地基基础设计规范》（GB 50007—2011）；</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16）《建筑桩基技术规范》（JGJ 94-2008）；</w:t>
      </w:r>
    </w:p>
    <w:p>
      <w:pPr>
        <w:spacing w:line="360" w:lineRule="auto"/>
        <w:ind w:firstLine="422" w:firstLineChars="176"/>
        <w:jc w:val="left"/>
        <w:rPr>
          <w:rFonts w:hint="eastAsia" w:ascii="宋体" w:hAnsi="宋体" w:eastAsia="宋体" w:cs="Times New Roman"/>
          <w:strike w:val="0"/>
          <w:dstrike w:val="0"/>
          <w:color w:val="auto"/>
          <w:sz w:val="24"/>
          <w:szCs w:val="24"/>
          <w:highlight w:val="none"/>
        </w:rPr>
      </w:pPr>
      <w:r>
        <w:rPr>
          <w:rFonts w:hint="eastAsia" w:ascii="宋体" w:hAnsi="宋体" w:eastAsia="宋体" w:cs="Times New Roman"/>
          <w:strike w:val="0"/>
          <w:dstrike w:val="0"/>
          <w:color w:val="auto"/>
          <w:sz w:val="24"/>
          <w:szCs w:val="24"/>
          <w:highlight w:val="none"/>
        </w:rPr>
        <w:t>17）《市政公用工程设计文件编制深度的规定》；</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18）其他符合国家、建设部及广东省现行有关设计标准的规定；</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19）设计中的</w:t>
      </w:r>
      <w:r>
        <w:rPr>
          <w:rFonts w:hint="eastAsia" w:ascii="宋体" w:hAnsi="宋体" w:eastAsia="宋体" w:cs="Times New Roman"/>
          <w:strike w:val="0"/>
          <w:dstrike w:val="0"/>
          <w:color w:val="auto"/>
          <w:sz w:val="24"/>
          <w:szCs w:val="24"/>
          <w:highlight w:val="none"/>
        </w:rPr>
        <w:t>市政、</w:t>
      </w:r>
      <w:r>
        <w:rPr>
          <w:rFonts w:hint="eastAsia" w:ascii="宋体" w:hAnsi="宋体" w:eastAsia="宋体" w:cs="Times New Roman"/>
          <w:color w:val="auto"/>
          <w:sz w:val="24"/>
          <w:szCs w:val="24"/>
          <w:highlight w:val="none"/>
        </w:rPr>
        <w:t>水、电等用量及标准就符合国家、建设部及广东省有关设计标准及规定。设计深度需符合建设部《建筑工程设计文件编制深度的规定》中有关的要求及甲方的其他要求。</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20）施工图设计符合建设部建质[2003号]《建筑工程施工图设计审查要点》（实行）以及各种国家现行设计规范的技术要求。</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备注：若有相关主管部门颁发的新规范则执行新规范。</w:t>
      </w:r>
    </w:p>
    <w:p>
      <w:pPr>
        <w:spacing w:line="360" w:lineRule="auto"/>
        <w:ind w:firstLine="422" w:firstLineChars="176"/>
        <w:jc w:val="left"/>
        <w:rPr>
          <w:rFonts w:hint="eastAsia" w:ascii="宋体" w:hAnsi="宋体" w:eastAsia="宋体" w:cs="Times New Roman"/>
          <w:color w:val="auto"/>
          <w:sz w:val="24"/>
          <w:szCs w:val="24"/>
          <w:highlight w:val="none"/>
        </w:rPr>
      </w:pPr>
      <w:bookmarkStart w:id="506" w:name="_Toc354480987"/>
      <w:bookmarkStart w:id="507" w:name="_Toc430950318"/>
      <w:bookmarkStart w:id="508" w:name="_Toc309898035"/>
      <w:bookmarkStart w:id="509" w:name="_Toc468802908"/>
      <w:bookmarkStart w:id="510" w:name="_Toc310950801"/>
      <w:bookmarkStart w:id="511" w:name="_Toc372241593"/>
      <w:bookmarkStart w:id="512" w:name="_Toc317452086"/>
      <w:bookmarkStart w:id="513" w:name="_Toc309897959"/>
      <w:bookmarkStart w:id="514" w:name="_Toc351107060"/>
      <w:bookmarkStart w:id="515" w:name="_Toc238270225"/>
      <w:r>
        <w:rPr>
          <w:rFonts w:hint="eastAsia" w:ascii="宋体" w:hAnsi="宋体" w:eastAsia="宋体" w:cs="Times New Roman"/>
          <w:color w:val="auto"/>
          <w:sz w:val="24"/>
          <w:szCs w:val="24"/>
          <w:highlight w:val="none"/>
        </w:rPr>
        <w:t>三、技术经济指标</w:t>
      </w:r>
      <w:bookmarkEnd w:id="506"/>
      <w:bookmarkEnd w:id="507"/>
      <w:bookmarkEnd w:id="508"/>
      <w:bookmarkEnd w:id="509"/>
      <w:bookmarkEnd w:id="510"/>
      <w:bookmarkEnd w:id="511"/>
      <w:bookmarkEnd w:id="512"/>
      <w:bookmarkEnd w:id="513"/>
      <w:bookmarkEnd w:id="514"/>
      <w:bookmarkEnd w:id="515"/>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设计标准：主线10回路电缆通道；</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电压等级：110kV、220kV；</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设计总长度：2.3km</w:t>
      </w:r>
    </w:p>
    <w:p>
      <w:pPr>
        <w:spacing w:line="360" w:lineRule="auto"/>
        <w:ind w:firstLine="422" w:firstLineChars="176"/>
        <w:jc w:val="left"/>
        <w:rPr>
          <w:rFonts w:hint="eastAsia" w:ascii="宋体" w:hAnsi="宋体" w:eastAsia="宋体" w:cs="Times New Roman"/>
          <w:color w:val="auto"/>
          <w:sz w:val="24"/>
          <w:szCs w:val="24"/>
          <w:highlight w:val="none"/>
        </w:rPr>
      </w:pPr>
      <w:bookmarkStart w:id="516" w:name="_Toc430950319"/>
      <w:bookmarkStart w:id="517" w:name="_Toc292657944"/>
      <w:bookmarkStart w:id="518" w:name="_Toc217785378"/>
      <w:bookmarkStart w:id="519" w:name="_Toc320103450"/>
      <w:bookmarkStart w:id="520" w:name="_Toc215629685"/>
      <w:bookmarkStart w:id="521" w:name="_Toc468802909"/>
      <w:bookmarkStart w:id="522" w:name="_Toc310950802"/>
      <w:bookmarkStart w:id="523" w:name="_Toc317452087"/>
      <w:r>
        <w:rPr>
          <w:rFonts w:hint="eastAsia" w:ascii="宋体" w:hAnsi="宋体" w:eastAsia="宋体" w:cs="Times New Roman"/>
          <w:color w:val="auto"/>
          <w:sz w:val="24"/>
          <w:szCs w:val="24"/>
          <w:highlight w:val="none"/>
        </w:rPr>
        <w:t>四、设计内容及要求</w:t>
      </w:r>
      <w:bookmarkEnd w:id="516"/>
      <w:bookmarkEnd w:id="517"/>
      <w:bookmarkEnd w:id="518"/>
      <w:bookmarkEnd w:id="519"/>
      <w:bookmarkEnd w:id="520"/>
      <w:bookmarkEnd w:id="521"/>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本合同设计内容包括：</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本项目设计的内容包括：</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将220kV纵沛甲乙线共8回架空线路落地迁改，本工程拟沿规划清龙路、荔华东路新建一条10回电缆隧道；其中沿规划清龙路及荔华东路新建10回路电缆隧道，长约1.9km；以及沿象和路新建3条电缆沟至沛然站，长约3*0.4km.</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（2）电缆通道及其附属设施、</w:t>
      </w:r>
      <w:r>
        <w:rPr>
          <w:rFonts w:hint="eastAsia" w:ascii="宋体" w:hAnsi="宋体" w:cs="Times New Roman"/>
          <w:strike w:val="0"/>
          <w:dstrike w:val="0"/>
          <w:color w:val="auto"/>
          <w:sz w:val="24"/>
          <w:szCs w:val="24"/>
          <w:highlight w:val="none"/>
          <w:lang w:val="en-US" w:eastAsia="zh-CN"/>
        </w:rPr>
        <w:t>路面</w:t>
      </w:r>
      <w:r>
        <w:rPr>
          <w:rFonts w:hint="eastAsia" w:ascii="宋体" w:hAnsi="宋体" w:eastAsia="宋体" w:cs="Times New Roman"/>
          <w:strike w:val="0"/>
          <w:dstrike w:val="0"/>
          <w:color w:val="auto"/>
          <w:sz w:val="24"/>
          <w:szCs w:val="24"/>
          <w:highlight w:val="none"/>
        </w:rPr>
        <w:t>破除修复</w:t>
      </w:r>
      <w:r>
        <w:rPr>
          <w:rFonts w:hint="eastAsia" w:ascii="宋体" w:hAnsi="宋体" w:eastAsia="宋体" w:cs="Times New Roman"/>
          <w:color w:val="auto"/>
          <w:sz w:val="24"/>
          <w:szCs w:val="24"/>
          <w:highlight w:val="none"/>
        </w:rPr>
        <w:t>等设计及后续服务等工作，包括方案设计及调整、初步设计、施工图设计、后续服务等工作。</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  （3）施工图设计：根据批准后的工程概算，完成全套施工图设计，并配合造价咨询单位编制施工图预算。</w:t>
      </w:r>
    </w:p>
    <w:p>
      <w:pPr>
        <w:spacing w:line="360" w:lineRule="auto"/>
        <w:ind w:firstLine="422" w:firstLineChars="176"/>
        <w:jc w:val="left"/>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rPr>
        <w:t>施工图设计文件完成后，送甲方及施工图审查机构审查认可，取得政府主管部门同意批文</w:t>
      </w:r>
      <w:r>
        <w:rPr>
          <w:rFonts w:hint="eastAsia" w:ascii="宋体" w:hAnsi="宋体" w:eastAsia="宋体" w:cs="Times New Roman"/>
          <w:color w:val="auto"/>
          <w:sz w:val="24"/>
          <w:szCs w:val="24"/>
          <w:highlight w:val="none"/>
          <w:lang w:eastAsia="zh-CN"/>
        </w:rPr>
        <w:t>。</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（4）施工配合：配合甲方完成工程报批工作，按甲方要求提交有关技术性文件，并在施工中配合以下的工作：</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A工程开工后，设计人员应指定专人负责本工程从开工到竣工验收全过程的施工技术配合工作；</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B协调施工过程中有关设计的问题；</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C协助甲方审查材料样板，提供招标所需的技术标准；</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D负责施工现场指导，并从设计角度进行监督；</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E负责处理现场设计变更，并免费提供设计变更图纸；</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F协助施工单位完成竣工图及其他竣工验收资料；</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G参加分部工程验收和竣工验收；</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H工程全部验收合格视为本阶段工作结束；</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I在工程招标阶段，设计人按照甲方的要求，积极配合参加相关专业的招标文件讨论和审查工作。</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以上所有图纸设计深度应满足发包人招标及施工的要求。</w:t>
      </w:r>
    </w:p>
    <w:p>
      <w:pPr>
        <w:spacing w:line="360" w:lineRule="auto"/>
        <w:ind w:firstLine="422" w:firstLineChars="176"/>
        <w:jc w:val="left"/>
        <w:rPr>
          <w:rFonts w:hint="eastAsia" w:ascii="宋体" w:hAnsi="宋体" w:eastAsia="宋体" w:cs="Times New Roman"/>
          <w:color w:val="auto"/>
          <w:sz w:val="24"/>
          <w:szCs w:val="24"/>
          <w:highlight w:val="none"/>
        </w:rPr>
      </w:pPr>
      <w:bookmarkStart w:id="524" w:name="_Toc430950320"/>
      <w:bookmarkStart w:id="525" w:name="_Toc468802910"/>
      <w:r>
        <w:rPr>
          <w:rFonts w:hint="eastAsia" w:ascii="宋体" w:hAnsi="宋体" w:eastAsia="宋体" w:cs="Times New Roman"/>
          <w:color w:val="auto"/>
          <w:sz w:val="24"/>
          <w:szCs w:val="24"/>
          <w:highlight w:val="none"/>
        </w:rPr>
        <w:t>五、设计工期要求</w:t>
      </w:r>
      <w:bookmarkEnd w:id="524"/>
      <w:bookmarkEnd w:id="525"/>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设计工期要求：</w:t>
      </w:r>
      <w:bookmarkStart w:id="526" w:name="_Toc154397505"/>
      <w:bookmarkStart w:id="527" w:name="_Toc351107061"/>
      <w:bookmarkStart w:id="528" w:name="_Toc354480988"/>
      <w:bookmarkStart w:id="529" w:name="_Toc372241594"/>
      <w:r>
        <w:rPr>
          <w:rFonts w:hint="eastAsia" w:ascii="宋体" w:hAnsi="宋体" w:eastAsia="宋体" w:cs="Times New Roman"/>
          <w:color w:val="auto"/>
          <w:sz w:val="24"/>
          <w:szCs w:val="24"/>
          <w:highlight w:val="none"/>
        </w:rPr>
        <w:t>总设计工期</w:t>
      </w:r>
      <w:r>
        <w:rPr>
          <w:rFonts w:hint="eastAsia" w:ascii="宋体" w:hAnsi="宋体" w:eastAsia="宋体" w:cs="Times New Roman"/>
          <w:color w:val="auto"/>
          <w:sz w:val="24"/>
          <w:szCs w:val="24"/>
          <w:highlight w:val="none"/>
          <w:lang w:val="en-US" w:eastAsia="zh-CN"/>
        </w:rPr>
        <w:t>90</w:t>
      </w:r>
      <w:r>
        <w:rPr>
          <w:rFonts w:hint="eastAsia" w:ascii="宋体" w:hAnsi="宋体" w:eastAsia="宋体" w:cs="Times New Roman"/>
          <w:color w:val="auto"/>
          <w:sz w:val="24"/>
          <w:szCs w:val="24"/>
          <w:highlight w:val="none"/>
        </w:rPr>
        <w:t>天（不包含招标人对图纸审核的时间）</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（1）方案设计及调整：自中标通知书发出</w:t>
      </w:r>
      <w:r>
        <w:rPr>
          <w:rFonts w:hint="eastAsia" w:ascii="宋体" w:hAnsi="宋体" w:eastAsia="宋体" w:cs="Times New Roman"/>
          <w:color w:val="auto"/>
          <w:sz w:val="24"/>
          <w:szCs w:val="24"/>
          <w:highlight w:val="none"/>
          <w:lang w:val="en-US" w:eastAsia="zh-CN"/>
        </w:rPr>
        <w:t>并取得路径盖章和相关部门复函</w:t>
      </w:r>
      <w:r>
        <w:rPr>
          <w:rFonts w:hint="eastAsia" w:ascii="宋体" w:hAnsi="宋体" w:eastAsia="宋体" w:cs="Times New Roman"/>
          <w:color w:val="auto"/>
          <w:sz w:val="24"/>
          <w:szCs w:val="24"/>
          <w:highlight w:val="none"/>
        </w:rPr>
        <w:t>后 10个日历天内向招标人提交设计方案送审稿，送审稿评审通过后 5 个日历天内向招标人提交修改后的正式方案；</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（2）初步设计：方案设计文件正式评审通过后 20个日历天内向招标人提交正式初步设计文件（含概算书），并按要求配合招标人办理有关初步设计审查手续； </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 xml:space="preserve">（3）施工图设计阶段：初步设计文件正式评审通过后 50个日历天内向招标人提交施工图设计文件送审稿和相关资料，送审稿审查通过后 5 个日历天内向招标人提交修改后的正式施工图设计文件和相关资料。 </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（4）施工现场配合服务：自取得施工图审查备案凭证之日起，至项目范围内所有工程竣工验收合格之日止。</w:t>
      </w:r>
    </w:p>
    <w:p>
      <w:pPr>
        <w:spacing w:line="360" w:lineRule="auto"/>
        <w:ind w:firstLine="422" w:firstLineChars="176"/>
        <w:jc w:val="left"/>
        <w:rPr>
          <w:rFonts w:hint="eastAsia" w:ascii="宋体" w:hAnsi="宋体" w:eastAsia="宋体" w:cs="Times New Roman"/>
          <w:color w:val="auto"/>
          <w:sz w:val="24"/>
          <w:szCs w:val="24"/>
          <w:highlight w:val="none"/>
        </w:rPr>
      </w:pPr>
      <w:bookmarkStart w:id="530" w:name="_Toc430950321"/>
      <w:bookmarkStart w:id="531" w:name="_Toc468802911"/>
      <w:r>
        <w:rPr>
          <w:rFonts w:hint="eastAsia" w:ascii="宋体" w:hAnsi="宋体" w:eastAsia="宋体" w:cs="Times New Roman"/>
          <w:color w:val="auto"/>
          <w:sz w:val="24"/>
          <w:szCs w:val="24"/>
          <w:highlight w:val="none"/>
        </w:rPr>
        <w:t>六、对设计成果的要求</w:t>
      </w:r>
      <w:bookmarkEnd w:id="526"/>
      <w:bookmarkEnd w:id="530"/>
      <w:bookmarkEnd w:id="531"/>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1、设计文件的要求</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各阶段设计图纸必须满足现行国家、行业及工程所在地的地方规范、规程、标准，当上述规范、规程、标准存在不一致时，约定采用的规范、规程、标准应按较高标准执行，除非当地相关部门另有规定。若超出国内规范、规程、标准。应进行技术论证。</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（2）按园区统一道路设计做法及《松山湖（生态园）市政工程设计指引》等进行设计。</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（3）所有图纸设计深度应满足国家有关设计图纸深度要求及编制设计概算、施工图预算和投标最高限价的要求。</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2、设计文件的要求</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（1）方案设计8套，电子版2套；</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（2）初步设计图纸8套，电子版2套；</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（3）通过审查的施工图设计文件（蓝图）10套；</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（4）CAD及PDF格式电子版各2套。</w:t>
      </w:r>
      <w:bookmarkEnd w:id="522"/>
      <w:bookmarkEnd w:id="523"/>
      <w:bookmarkEnd w:id="527"/>
      <w:bookmarkEnd w:id="528"/>
      <w:bookmarkEnd w:id="529"/>
    </w:p>
    <w:p>
      <w:pPr>
        <w:spacing w:line="360" w:lineRule="auto"/>
        <w:ind w:firstLine="422" w:firstLineChars="176"/>
        <w:jc w:val="left"/>
        <w:rPr>
          <w:rFonts w:hint="eastAsia" w:ascii="宋体" w:hAnsi="宋体" w:eastAsia="宋体" w:cs="Times New Roman"/>
          <w:color w:val="auto"/>
          <w:sz w:val="24"/>
          <w:szCs w:val="24"/>
          <w:highlight w:val="none"/>
        </w:rPr>
      </w:pPr>
      <w:bookmarkStart w:id="532" w:name="_Toc468802912"/>
      <w:bookmarkStart w:id="533" w:name="_Toc430950322"/>
      <w:r>
        <w:rPr>
          <w:rFonts w:hint="eastAsia" w:ascii="宋体" w:hAnsi="宋体" w:eastAsia="宋体" w:cs="Times New Roman"/>
          <w:color w:val="auto"/>
          <w:sz w:val="24"/>
          <w:szCs w:val="24"/>
          <w:highlight w:val="none"/>
        </w:rPr>
        <w:t>七、附件</w:t>
      </w:r>
      <w:bookmarkEnd w:id="532"/>
      <w:bookmarkEnd w:id="533"/>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附件一: 红线图电子文档一份（内容详见随招标文件一同发出的电子光盘）。</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附件二：技术标封面（封面以PDF格式数据光盘形式随招标文件一同发出）。</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八、勘察要求：</w:t>
      </w:r>
    </w:p>
    <w:p>
      <w:pPr>
        <w:spacing w:line="360" w:lineRule="auto"/>
        <w:ind w:firstLine="422" w:firstLineChars="200"/>
        <w:rPr>
          <w:rFonts w:ascii="宋体" w:hAnsi="宋体" w:cs="宋体"/>
          <w:b/>
          <w:iCs/>
          <w:color w:val="auto"/>
          <w:szCs w:val="21"/>
          <w:highlight w:val="none"/>
        </w:rPr>
      </w:pPr>
      <w:r>
        <w:rPr>
          <w:rFonts w:hint="eastAsia" w:ascii="宋体" w:hAnsi="宋体" w:cs="宋体"/>
          <w:b/>
          <w:iCs/>
          <w:color w:val="auto"/>
          <w:szCs w:val="21"/>
          <w:highlight w:val="none"/>
        </w:rPr>
        <w:t>（一）勘察依据和标准</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本工程勘察、测量及成果必须符合现行中华人民共和国以及行业的相关法规、规范要求，包括但不限于：</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1、《工程勘察通用规范》（GB55017-2021）；</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2、《建筑与市政地基基础通用规范》（GB55003-2021）；</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3、《建筑与市政工程抗震通用规范》（GB55002-2021）；</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4、《工程测量通用规范》（GB 55018-2021）；</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5、《岩土工程勘察规范》（GB50021-2001）2009年版；</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6、《市政工程勘察规范》（CJJ56-2012）；</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7、《35-220kV架空送电线路测量技术规程》（DL/T5146-2001）</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8、，工程物探满足《城市测量规范》（CJJ8-1999）、</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9、《城市地下管线探测技术规程》（CJJ61-2003）</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10、用地红线图及参考图纸；</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11、国家、有关专业部门和地方的有关工程建设和工程勘察的规范、规程和标准。</w:t>
      </w:r>
    </w:p>
    <w:p>
      <w:pPr>
        <w:spacing w:line="360" w:lineRule="auto"/>
        <w:ind w:firstLine="422" w:firstLineChars="200"/>
        <w:rPr>
          <w:rFonts w:ascii="宋体" w:hAnsi="宋体" w:cs="宋体"/>
          <w:b/>
          <w:iCs/>
          <w:color w:val="auto"/>
          <w:szCs w:val="21"/>
          <w:highlight w:val="none"/>
        </w:rPr>
      </w:pPr>
      <w:r>
        <w:rPr>
          <w:rFonts w:hint="eastAsia" w:ascii="宋体" w:hAnsi="宋体" w:cs="宋体"/>
          <w:b/>
          <w:iCs/>
          <w:color w:val="auto"/>
          <w:szCs w:val="21"/>
          <w:highlight w:val="none"/>
        </w:rPr>
        <w:t>（二）勘察主要内容（用地红线范围内地质勘察、地形测量、工程物探）：</w:t>
      </w:r>
      <w:r>
        <w:rPr>
          <w:rFonts w:hint="eastAsia" w:ascii="宋体" w:hAnsi="宋体"/>
          <w:color w:val="auto"/>
          <w:sz w:val="24"/>
          <w:szCs w:val="24"/>
          <w:highlight w:val="none"/>
        </w:rPr>
        <w:t>(含电缆线路沿线地形地物测量，沿线所有市政管线物探, 测量及物探路径长度各约2.3</w:t>
      </w:r>
      <w:r>
        <w:rPr>
          <w:rFonts w:ascii="宋体" w:hAnsi="宋体"/>
          <w:color w:val="auto"/>
          <w:sz w:val="24"/>
          <w:szCs w:val="24"/>
          <w:highlight w:val="none"/>
        </w:rPr>
        <w:t>km</w:t>
      </w:r>
      <w:r>
        <w:rPr>
          <w:rFonts w:hint="eastAsia" w:ascii="宋体" w:hAnsi="宋体"/>
          <w:color w:val="auto"/>
          <w:sz w:val="24"/>
          <w:szCs w:val="24"/>
          <w:highlight w:val="none"/>
        </w:rPr>
        <w:t>（测量面积约25.0万平方米（比例1:500，测量线路平断面、河渠平断面约2</w:t>
      </w:r>
      <w:r>
        <w:rPr>
          <w:rFonts w:ascii="宋体" w:hAnsi="宋体"/>
          <w:color w:val="auto"/>
          <w:sz w:val="24"/>
          <w:szCs w:val="24"/>
          <w:highlight w:val="none"/>
        </w:rPr>
        <w:t>.</w:t>
      </w:r>
      <w:r>
        <w:rPr>
          <w:rFonts w:hint="eastAsia" w:ascii="宋体" w:hAnsi="宋体"/>
          <w:color w:val="auto"/>
          <w:sz w:val="24"/>
          <w:szCs w:val="24"/>
          <w:highlight w:val="none"/>
        </w:rPr>
        <w:t>5</w:t>
      </w:r>
      <w:r>
        <w:rPr>
          <w:rFonts w:ascii="宋体" w:hAnsi="宋体"/>
          <w:color w:val="auto"/>
          <w:sz w:val="24"/>
          <w:szCs w:val="24"/>
          <w:highlight w:val="none"/>
        </w:rPr>
        <w:t>km</w:t>
      </w:r>
      <w:r>
        <w:rPr>
          <w:rFonts w:hint="eastAsia" w:ascii="宋体" w:hAnsi="宋体"/>
          <w:color w:val="auto"/>
          <w:sz w:val="24"/>
          <w:szCs w:val="24"/>
          <w:highlight w:val="none"/>
        </w:rPr>
        <w:t>），盲探管线按中等困难类别）；钻探布孔约62个，钻探深度合计约1550米</w:t>
      </w:r>
    </w:p>
    <w:p>
      <w:pPr>
        <w:spacing w:line="360" w:lineRule="auto"/>
        <w:ind w:firstLine="422" w:firstLineChars="200"/>
        <w:rPr>
          <w:rFonts w:ascii="宋体" w:hAnsi="宋体" w:cs="宋体"/>
          <w:b/>
          <w:iCs/>
          <w:color w:val="auto"/>
          <w:szCs w:val="21"/>
          <w:highlight w:val="none"/>
        </w:rPr>
      </w:pPr>
      <w:r>
        <w:rPr>
          <w:rFonts w:hint="eastAsia" w:ascii="宋体" w:hAnsi="宋体" w:cs="宋体"/>
          <w:b/>
          <w:iCs/>
          <w:color w:val="auto"/>
          <w:szCs w:val="21"/>
          <w:highlight w:val="none"/>
        </w:rPr>
        <w:t>1、地质勘察</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（1）搜集附有坐标和地形的建筑总平面图，场区的地面标高，建筑物的性质、规模、荷载、结构特点，基础形式、埋深，地基允许变形等资料；</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（2）查明不良地质作用的类型、成因，分布范围、发展趋势和危害程度，提出整治方案的建议；</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（3）查明建筑范围内岩土层的类型、深度、分布工程特性，分析和评价地基稳定性、均匀性和承载力；</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（4）对需进行沉降计算的建筑物，提供地基变形计算参数，预测拟建筑物的变形特征；</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（5）查明埋藏的河道、沟浜、墓穴、防空洞、孤石等对工程不利的埋藏物；</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（6）查明地下水的埋藏条件，提供地下水位及其变化幅度；判定水和土对建筑材料的腐蚀性；</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（7）提供地震基本烈度、地震动参数、场地土类型及场地的类别，判别有无地震液化现象；</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（8）建筑物周邻与之可能有相互影响的工程设施及工程活动情况，提供基坑支护及施工相关设计参数；</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（9）对基础设计选型方案进行论证分析，提出适用、合理的方案建议，并提出设计和施工中应注意的问题。</w:t>
      </w:r>
    </w:p>
    <w:p>
      <w:pPr>
        <w:spacing w:line="360" w:lineRule="auto"/>
        <w:ind w:firstLine="422" w:firstLineChars="200"/>
        <w:rPr>
          <w:rFonts w:ascii="宋体" w:hAnsi="宋体" w:cs="宋体"/>
          <w:b/>
          <w:iCs/>
          <w:color w:val="auto"/>
          <w:szCs w:val="21"/>
          <w:highlight w:val="none"/>
        </w:rPr>
      </w:pPr>
      <w:r>
        <w:rPr>
          <w:rFonts w:hint="eastAsia" w:ascii="宋体" w:hAnsi="宋体" w:cs="宋体"/>
          <w:b/>
          <w:iCs/>
          <w:color w:val="auto"/>
          <w:szCs w:val="21"/>
          <w:highlight w:val="none"/>
        </w:rPr>
        <w:t>2、测量要求</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（1）测量范围：</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（2）园建水电要求：</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①要求机动车道和人行道边界清晰，井盖、灯柱、监控、管道，电箱等一切设施的点位，特别注意高速快速高架桥在范围内的柱位也需要测量。</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②测量范围内硬质铺装的边界，测量图描述清楚面层是哪种材质，是沥青还是花岗岩还是透水砖。</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③测量范围内高架桥的梁板底标高，柱子的轮廓。</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④现状保留景石的长宽高规格和材质。</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⑤现状路灯、标识牌、路牌、垃圾桶、围栏铁丝网的长宽高和材质描述。</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⑥箱变电箱的长宽高。</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⑦地下综合官网的走向、埋深，总之是物探要求的内容。</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⑧各类井盖的轮廓和材质描述。</w:t>
      </w:r>
    </w:p>
    <w:p>
      <w:pPr>
        <w:spacing w:line="360" w:lineRule="auto"/>
        <w:ind w:firstLine="422" w:firstLineChars="200"/>
        <w:rPr>
          <w:rFonts w:ascii="宋体" w:hAnsi="宋体" w:cs="宋体"/>
          <w:b/>
          <w:iCs/>
          <w:color w:val="auto"/>
          <w:szCs w:val="21"/>
          <w:highlight w:val="none"/>
        </w:rPr>
      </w:pPr>
      <w:r>
        <w:rPr>
          <w:rFonts w:hint="eastAsia" w:ascii="宋体" w:hAnsi="宋体" w:cs="宋体"/>
          <w:b/>
          <w:iCs/>
          <w:color w:val="auto"/>
          <w:szCs w:val="21"/>
          <w:highlight w:val="none"/>
        </w:rPr>
        <w:t>3、绿化要求：</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（1）范围内中分带所有乔木和行道树需要显示点位，10公分以上的乔木要在测量图中反馈乔木规格：冠幅、胸径和高度。</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（2）路侧绿化乔木胸径10cm以上和高度3m以上的乔灌木都需要反应位置。灌木球提供数量和高度。</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（3）片植灌木和地被要测量边界面积和高度。</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（4）草皮要测量面积。</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（5）原绿化地地形地貌，硬质铺装的高程。</w:t>
      </w:r>
    </w:p>
    <w:p>
      <w:pPr>
        <w:spacing w:line="360" w:lineRule="auto"/>
        <w:ind w:firstLine="422" w:firstLineChars="176"/>
        <w:jc w:val="left"/>
        <w:rPr>
          <w:rFonts w:ascii="宋体" w:hAnsi="宋体" w:cs="宋体"/>
          <w:iCs/>
          <w:color w:val="auto"/>
          <w:szCs w:val="21"/>
          <w:highlight w:val="none"/>
        </w:rPr>
      </w:pPr>
      <w:r>
        <w:rPr>
          <w:rFonts w:hint="eastAsia" w:ascii="宋体" w:hAnsi="宋体" w:eastAsia="宋体" w:cs="Times New Roman"/>
          <w:color w:val="auto"/>
          <w:sz w:val="24"/>
          <w:szCs w:val="24"/>
          <w:highlight w:val="none"/>
        </w:rPr>
        <w:t>提交成果：文字说明及图纸四份，电子数据一份（图形文件为dwg格式）。</w:t>
      </w:r>
    </w:p>
    <w:p>
      <w:pPr>
        <w:spacing w:line="360" w:lineRule="auto"/>
        <w:ind w:firstLine="422" w:firstLineChars="200"/>
        <w:rPr>
          <w:rFonts w:ascii="宋体" w:hAnsi="宋体" w:cs="宋体"/>
          <w:b/>
          <w:iCs/>
          <w:color w:val="auto"/>
          <w:szCs w:val="21"/>
          <w:highlight w:val="none"/>
        </w:rPr>
      </w:pPr>
      <w:r>
        <w:rPr>
          <w:rFonts w:hint="eastAsia" w:ascii="宋体" w:hAnsi="宋体" w:cs="宋体"/>
          <w:b/>
          <w:iCs/>
          <w:color w:val="auto"/>
          <w:szCs w:val="21"/>
          <w:highlight w:val="none"/>
        </w:rPr>
        <w:t>（三）勘察成果要求</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工程勘察报告应根据国家有关勘察成果报告的编制规范和标准编制，资料应完整、真实准确、数据无误、图表清晰、结论有据、建议合理、便于使用和适宜长期保存，并应因地制宜，重点突出，有明确的工程针对性。</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工程勘察报告应根据任务要求、工程特点和地质条件等具体情况编写，并应包括但不仅限于以下内容：</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1、勘察的目的、任务要求和依据的技术标准。</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2、拟建工程概况。</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3、勘察方法和勘察工作布置。</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4、场地地形、地貌、地层、地质构造、岩土性质及其均匀性；地下水、不良地质现象的描述与评价。</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5、各项岩土性质指标，岩土的强度参数、变形参数、地基承载力的建议值。</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6、地下水埋藏情况、类型、水位及其变化。</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7、土和水对建筑材料的影响。</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8、可能影响工程稳定的不良地质作用的描述和对工程危害程度的评价。</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9、场地稳定性和适宜性的评价。</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10、提供可选的桩基类型和桩端持力层；提出桩长、桩径方案的建议。</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11、当有软弱下卧层时，验算软弱下卧层强度。</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12、分析成桩的可能性，成桩的挤土效应的影响，并提出保护措施的建议。</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13、持力层为倾斜地层，基岩面不平或岩土中有洞穴时，应评价桩的稳定性，并提出处理的建议。</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14、根据设计的要求进行沉降计算。</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15、地震检测波测试报告。</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16、其他根据该工程和有关规范要求需要编写的内容。</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17、工程勘察报告应对工程施工和使用期间可能发生的岩土工程问题进行预测，提出监控和预防措施的建议。</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18、成果报告应附下列图件：</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①勘察点平面布置图；</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②工程地质柱状图；</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③工程地质剖面图；</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④原位测试成果图表；</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⑤室内试验成果图表；</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⑥每个钻孔岩样的相片；</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⑦以及根据设计要求和国家标准规范规定需要的其他图表。</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19、勘察报告的文字、术语、代号、符号、数字、计量单位、标点均应符合国家有关标准的规定。</w:t>
      </w:r>
    </w:p>
    <w:p>
      <w:pPr>
        <w:spacing w:line="360" w:lineRule="auto"/>
        <w:ind w:firstLine="422" w:firstLineChars="176"/>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20、勘察人负责向发包人提交勘察成果资料四份，AutoCAD、word、excel、pdf电子文件一套。</w:t>
      </w:r>
    </w:p>
    <w:p>
      <w:pPr>
        <w:spacing w:line="360" w:lineRule="auto"/>
        <w:ind w:firstLine="420" w:firstLineChars="200"/>
        <w:rPr>
          <w:color w:val="auto"/>
          <w:highlight w:val="none"/>
        </w:rPr>
      </w:pPr>
    </w:p>
    <w:p>
      <w:pPr>
        <w:spacing w:line="400" w:lineRule="exact"/>
        <w:rPr>
          <w:color w:val="auto"/>
          <w:highlight w:val="none"/>
        </w:rPr>
      </w:pPr>
      <w:r>
        <w:rPr>
          <w:color w:val="auto"/>
          <w:highlight w:val="none"/>
        </w:rPr>
        <w:br w:type="page"/>
      </w:r>
    </w:p>
    <w:p>
      <w:pPr>
        <w:pStyle w:val="3"/>
        <w:jc w:val="center"/>
        <w:rPr>
          <w:color w:val="auto"/>
          <w:highlight w:val="none"/>
        </w:rPr>
      </w:pPr>
      <w:bookmarkStart w:id="534" w:name="_Toc7397"/>
      <w:r>
        <w:rPr>
          <w:rFonts w:hint="eastAsia"/>
          <w:color w:val="auto"/>
          <w:highlight w:val="none"/>
        </w:rPr>
        <w:t>第六章 投标文件格式</w:t>
      </w:r>
      <w:bookmarkEnd w:id="534"/>
    </w:p>
    <w:p>
      <w:pPr>
        <w:spacing w:line="400" w:lineRule="exact"/>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spacing w:line="400" w:lineRule="exact"/>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spacing w:line="400" w:lineRule="exact"/>
        <w:rPr>
          <w:color w:val="auto"/>
          <w:highlight w:val="none"/>
        </w:rPr>
      </w:pPr>
    </w:p>
    <w:bookmarkEnd w:id="489"/>
    <w:bookmarkEnd w:id="490"/>
    <w:bookmarkEnd w:id="491"/>
    <w:bookmarkEnd w:id="492"/>
    <w:bookmarkEnd w:id="493"/>
    <w:bookmarkEnd w:id="494"/>
    <w:bookmarkEnd w:id="495"/>
    <w:bookmarkEnd w:id="496"/>
    <w:bookmarkEnd w:id="497"/>
    <w:p>
      <w:pPr>
        <w:autoSpaceDE w:val="0"/>
        <w:autoSpaceDN w:val="0"/>
        <w:adjustRightInd w:val="0"/>
        <w:spacing w:line="360" w:lineRule="auto"/>
        <w:rPr>
          <w:rFonts w:hint="eastAsia" w:ascii="宋体" w:hAnsi="宋体"/>
          <w:color w:val="auto"/>
          <w:sz w:val="24"/>
          <w:szCs w:val="24"/>
          <w:highlight w:val="none"/>
        </w:rPr>
      </w:pPr>
    </w:p>
    <w:p>
      <w:pPr>
        <w:autoSpaceDE w:val="0"/>
        <w:autoSpaceDN w:val="0"/>
        <w:adjustRightInd w:val="0"/>
        <w:spacing w:line="360" w:lineRule="auto"/>
        <w:rPr>
          <w:rFonts w:ascii="宋体" w:hAnsi="宋体" w:cs="黑体"/>
          <w:color w:val="auto"/>
          <w:kern w:val="0"/>
          <w:sz w:val="28"/>
          <w:szCs w:val="28"/>
          <w:highlight w:val="none"/>
        </w:rPr>
      </w:pPr>
      <w:r>
        <w:rPr>
          <w:rFonts w:hint="eastAsia" w:ascii="宋体" w:hAnsi="宋体"/>
          <w:color w:val="auto"/>
          <w:sz w:val="24"/>
          <w:szCs w:val="24"/>
          <w:highlight w:val="none"/>
        </w:rPr>
        <w:t>招标编号：</w:t>
      </w:r>
      <w:r>
        <w:rPr>
          <w:rFonts w:hint="eastAsia" w:ascii="宋体" w:hAnsi="宋体" w:cs="黑体"/>
          <w:color w:val="auto"/>
          <w:kern w:val="0"/>
          <w:sz w:val="28"/>
          <w:szCs w:val="28"/>
          <w:highlight w:val="none"/>
          <w:u w:val="single"/>
        </w:rPr>
        <w:t xml:space="preserve">                       </w:t>
      </w:r>
    </w:p>
    <w:p>
      <w:pPr>
        <w:spacing w:line="400" w:lineRule="exact"/>
        <w:rPr>
          <w:color w:val="auto"/>
          <w:highlight w:val="none"/>
        </w:rPr>
      </w:pPr>
    </w:p>
    <w:p>
      <w:pPr>
        <w:spacing w:line="440" w:lineRule="exact"/>
        <w:rPr>
          <w:rFonts w:eastAsia="黑体"/>
          <w:color w:val="auto"/>
          <w:sz w:val="20"/>
          <w:highlight w:val="none"/>
        </w:rPr>
      </w:pPr>
    </w:p>
    <w:p>
      <w:pPr>
        <w:jc w:val="center"/>
        <w:rPr>
          <w:rFonts w:eastAsia="黑体"/>
          <w:color w:val="auto"/>
          <w:sz w:val="28"/>
          <w:szCs w:val="28"/>
          <w:highlight w:val="none"/>
          <w:u w:val="single"/>
        </w:rPr>
      </w:pPr>
      <w:r>
        <w:rPr>
          <w:rFonts w:eastAsia="黑体"/>
          <w:color w:val="auto"/>
          <w:sz w:val="28"/>
          <w:szCs w:val="28"/>
          <w:highlight w:val="none"/>
          <w:u w:val="single"/>
        </w:rPr>
        <w:t>（项目名称</w:t>
      </w:r>
      <w:r>
        <w:rPr>
          <w:rFonts w:hint="eastAsia" w:eastAsia="黑体"/>
          <w:color w:val="auto"/>
          <w:sz w:val="28"/>
          <w:szCs w:val="28"/>
          <w:highlight w:val="none"/>
          <w:u w:val="single"/>
        </w:rPr>
        <w:t>/标段名称</w:t>
      </w:r>
      <w:r>
        <w:rPr>
          <w:rFonts w:eastAsia="黑体"/>
          <w:color w:val="auto"/>
          <w:sz w:val="28"/>
          <w:szCs w:val="28"/>
          <w:highlight w:val="none"/>
          <w:u w:val="single"/>
        </w:rPr>
        <w:t>）</w:t>
      </w:r>
    </w:p>
    <w:p>
      <w:pPr>
        <w:rPr>
          <w:rFonts w:eastAsia="黑体"/>
          <w:color w:val="auto"/>
          <w:sz w:val="20"/>
          <w:highlight w:val="none"/>
        </w:rPr>
      </w:pPr>
    </w:p>
    <w:p>
      <w:pPr>
        <w:rPr>
          <w:rFonts w:eastAsia="黑体"/>
          <w:color w:val="auto"/>
          <w:sz w:val="20"/>
          <w:highlight w:val="none"/>
        </w:rPr>
      </w:pPr>
    </w:p>
    <w:p>
      <w:pPr>
        <w:jc w:val="center"/>
        <w:rPr>
          <w:rFonts w:hint="eastAsia" w:eastAsia="黑体"/>
          <w:color w:val="auto"/>
          <w:sz w:val="44"/>
          <w:highlight w:val="none"/>
        </w:rPr>
      </w:pPr>
    </w:p>
    <w:p>
      <w:pPr>
        <w:jc w:val="center"/>
        <w:rPr>
          <w:rFonts w:eastAsia="黑体"/>
          <w:color w:val="auto"/>
          <w:sz w:val="44"/>
          <w:highlight w:val="none"/>
        </w:rPr>
      </w:pPr>
      <w:r>
        <w:rPr>
          <w:rFonts w:eastAsia="黑体"/>
          <w:color w:val="auto"/>
          <w:sz w:val="44"/>
          <w:highlight w:val="none"/>
        </w:rPr>
        <w:t>投 标 文 件</w:t>
      </w:r>
    </w:p>
    <w:p>
      <w:pPr>
        <w:jc w:val="center"/>
        <w:rPr>
          <w:rFonts w:hint="eastAsia" w:eastAsia="黑体"/>
          <w:color w:val="auto"/>
          <w:sz w:val="44"/>
          <w:highlight w:val="none"/>
        </w:rPr>
      </w:pPr>
    </w:p>
    <w:p>
      <w:pPr>
        <w:jc w:val="center"/>
        <w:rPr>
          <w:rFonts w:hint="eastAsia" w:eastAsia="黑体"/>
          <w:color w:val="auto"/>
          <w:sz w:val="44"/>
          <w:highlight w:val="none"/>
        </w:rPr>
      </w:pPr>
    </w:p>
    <w:p>
      <w:pPr>
        <w:jc w:val="center"/>
        <w:rPr>
          <w:rFonts w:eastAsia="黑体"/>
          <w:color w:val="auto"/>
          <w:sz w:val="44"/>
          <w:highlight w:val="none"/>
        </w:rPr>
      </w:pPr>
    </w:p>
    <w:p>
      <w:pPr>
        <w:pStyle w:val="4"/>
        <w:spacing w:before="0" w:after="0" w:line="240" w:lineRule="auto"/>
        <w:jc w:val="center"/>
        <w:rPr>
          <w:rFonts w:ascii="黑体" w:hAnsi="黑体" w:cs="黑体"/>
          <w:color w:val="auto"/>
          <w:sz w:val="28"/>
          <w:highlight w:val="none"/>
        </w:rPr>
      </w:pPr>
      <w:bookmarkStart w:id="535" w:name="_Toc397"/>
      <w:bookmarkStart w:id="536" w:name="_Toc23624"/>
      <w:r>
        <w:rPr>
          <w:rFonts w:hint="eastAsia" w:ascii="黑体" w:hAnsi="黑体" w:cs="黑体"/>
          <w:color w:val="auto"/>
          <w:sz w:val="28"/>
          <w:szCs w:val="28"/>
          <w:highlight w:val="none"/>
        </w:rPr>
        <w:t>1. 商务文件</w:t>
      </w:r>
      <w:bookmarkEnd w:id="535"/>
      <w:bookmarkEnd w:id="536"/>
    </w:p>
    <w:p>
      <w:pPr>
        <w:rPr>
          <w:rFonts w:eastAsia="黑体"/>
          <w:color w:val="auto"/>
          <w:sz w:val="28"/>
          <w:highlight w:val="none"/>
        </w:rPr>
      </w:pPr>
    </w:p>
    <w:p>
      <w:pPr>
        <w:rPr>
          <w:rFonts w:eastAsia="黑体"/>
          <w:color w:val="auto"/>
          <w:sz w:val="28"/>
          <w:highlight w:val="none"/>
        </w:rPr>
      </w:pPr>
    </w:p>
    <w:p>
      <w:pPr>
        <w:rPr>
          <w:rFonts w:eastAsia="黑体"/>
          <w:color w:val="auto"/>
          <w:sz w:val="28"/>
          <w:highlight w:val="none"/>
        </w:rPr>
      </w:pPr>
    </w:p>
    <w:p>
      <w:pPr>
        <w:rPr>
          <w:rFonts w:eastAsia="黑体"/>
          <w:color w:val="auto"/>
          <w:sz w:val="28"/>
          <w:highlight w:val="none"/>
        </w:rPr>
      </w:pPr>
    </w:p>
    <w:p>
      <w:pPr>
        <w:rPr>
          <w:rFonts w:eastAsia="黑体"/>
          <w:color w:val="auto"/>
          <w:sz w:val="28"/>
          <w:highlight w:val="none"/>
        </w:rPr>
      </w:pPr>
    </w:p>
    <w:p>
      <w:pPr>
        <w:rPr>
          <w:rFonts w:eastAsia="黑体"/>
          <w:color w:val="auto"/>
          <w:sz w:val="28"/>
          <w:highlight w:val="none"/>
        </w:rPr>
      </w:pPr>
    </w:p>
    <w:p>
      <w:pPr>
        <w:rPr>
          <w:rFonts w:eastAsia="黑体"/>
          <w:color w:val="auto"/>
          <w:sz w:val="28"/>
          <w:highlight w:val="none"/>
        </w:rPr>
      </w:pPr>
    </w:p>
    <w:p>
      <w:pPr>
        <w:rPr>
          <w:rFonts w:eastAsia="黑体"/>
          <w:color w:val="auto"/>
          <w:sz w:val="28"/>
          <w:highlight w:val="none"/>
        </w:rPr>
      </w:pPr>
    </w:p>
    <w:p>
      <w:pPr>
        <w:rPr>
          <w:rFonts w:eastAsia="黑体"/>
          <w:color w:val="auto"/>
          <w:sz w:val="28"/>
          <w:highlight w:val="none"/>
        </w:rPr>
      </w:pPr>
    </w:p>
    <w:p>
      <w:pPr>
        <w:spacing w:line="360" w:lineRule="auto"/>
        <w:ind w:firstLine="1120" w:firstLineChars="400"/>
        <w:rPr>
          <w:rFonts w:eastAsia="黑体"/>
          <w:color w:val="auto"/>
          <w:sz w:val="28"/>
          <w:highlight w:val="none"/>
          <w:u w:val="single"/>
        </w:rPr>
      </w:pPr>
      <w:r>
        <w:rPr>
          <w:rFonts w:eastAsia="黑体"/>
          <w:color w:val="auto"/>
          <w:sz w:val="28"/>
          <w:highlight w:val="none"/>
        </w:rPr>
        <w:t>投标人：</w:t>
      </w:r>
      <w:r>
        <w:rPr>
          <w:color w:val="auto"/>
          <w:highlight w:val="none"/>
          <w:u w:val="single"/>
        </w:rPr>
        <w:t xml:space="preserve">                                       </w:t>
      </w:r>
      <w:r>
        <w:rPr>
          <w:rFonts w:eastAsia="黑体"/>
          <w:color w:val="auto"/>
          <w:sz w:val="28"/>
          <w:highlight w:val="none"/>
        </w:rPr>
        <w:t>（盖</w:t>
      </w:r>
      <w:r>
        <w:rPr>
          <w:rFonts w:hint="eastAsia" w:eastAsia="黑体"/>
          <w:color w:val="auto"/>
          <w:sz w:val="28"/>
          <w:highlight w:val="none"/>
        </w:rPr>
        <w:t>公</w:t>
      </w:r>
      <w:r>
        <w:rPr>
          <w:rFonts w:eastAsia="黑体"/>
          <w:color w:val="auto"/>
          <w:sz w:val="28"/>
          <w:highlight w:val="none"/>
        </w:rPr>
        <w:t>章</w:t>
      </w:r>
      <w:r>
        <w:rPr>
          <w:rFonts w:hint="eastAsia" w:eastAsia="黑体"/>
          <w:color w:val="auto"/>
          <w:sz w:val="28"/>
          <w:highlight w:val="none"/>
        </w:rPr>
        <w:t>或电子章</w:t>
      </w:r>
      <w:r>
        <w:rPr>
          <w:rFonts w:eastAsia="黑体"/>
          <w:color w:val="auto"/>
          <w:sz w:val="28"/>
          <w:highlight w:val="none"/>
        </w:rPr>
        <w:t>）</w:t>
      </w:r>
    </w:p>
    <w:p>
      <w:pPr>
        <w:jc w:val="center"/>
        <w:rPr>
          <w:rFonts w:eastAsia="黑体"/>
          <w:color w:val="auto"/>
          <w:sz w:val="28"/>
          <w:highlight w:val="none"/>
        </w:rPr>
      </w:pPr>
    </w:p>
    <w:p>
      <w:pPr>
        <w:spacing w:line="360" w:lineRule="auto"/>
        <w:jc w:val="center"/>
        <w:rPr>
          <w:rFonts w:ascii="宋体" w:hAnsi="宋体"/>
          <w:b/>
          <w:color w:val="auto"/>
          <w:sz w:val="28"/>
          <w:szCs w:val="28"/>
          <w:highlight w:val="none"/>
        </w:rPr>
      </w:pPr>
      <w:r>
        <w:rPr>
          <w:color w:val="auto"/>
          <w:highlight w:val="none"/>
          <w:u w:val="single"/>
        </w:rPr>
        <w:t xml:space="preserve">       </w:t>
      </w:r>
      <w:r>
        <w:rPr>
          <w:rFonts w:eastAsia="黑体"/>
          <w:color w:val="auto"/>
          <w:sz w:val="28"/>
          <w:highlight w:val="none"/>
        </w:rPr>
        <w:t>年</w:t>
      </w:r>
      <w:r>
        <w:rPr>
          <w:color w:val="auto"/>
          <w:highlight w:val="none"/>
          <w:u w:val="single"/>
        </w:rPr>
        <w:t xml:space="preserve">       </w:t>
      </w:r>
      <w:r>
        <w:rPr>
          <w:rFonts w:eastAsia="黑体"/>
          <w:color w:val="auto"/>
          <w:sz w:val="28"/>
          <w:highlight w:val="none"/>
        </w:rPr>
        <w:t>月</w:t>
      </w:r>
      <w:r>
        <w:rPr>
          <w:color w:val="auto"/>
          <w:highlight w:val="none"/>
          <w:u w:val="single"/>
        </w:rPr>
        <w:t xml:space="preserve">       </w:t>
      </w:r>
      <w:r>
        <w:rPr>
          <w:rFonts w:eastAsia="黑体"/>
          <w:color w:val="auto"/>
          <w:sz w:val="28"/>
          <w:highlight w:val="none"/>
        </w:rPr>
        <w:t>日</w:t>
      </w:r>
      <w:r>
        <w:rPr>
          <w:color w:val="auto"/>
          <w:highlight w:val="none"/>
        </w:rPr>
        <w:br w:type="page"/>
      </w:r>
      <w:r>
        <w:rPr>
          <w:rFonts w:ascii="宋体" w:hAnsi="宋体"/>
          <w:b/>
          <w:color w:val="auto"/>
          <w:sz w:val="28"/>
          <w:szCs w:val="28"/>
          <w:highlight w:val="none"/>
        </w:rPr>
        <w:t>商务评分自查表</w:t>
      </w:r>
    </w:p>
    <w:tbl>
      <w:tblPr>
        <w:tblStyle w:val="43"/>
        <w:tblW w:w="9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3580"/>
        <w:gridCol w:w="1260"/>
        <w:gridCol w:w="1537"/>
        <w:gridCol w:w="2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714" w:type="dxa"/>
            <w:noWrap w:val="0"/>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序号</w:t>
            </w:r>
          </w:p>
        </w:tc>
        <w:tc>
          <w:tcPr>
            <w:tcW w:w="3580" w:type="dxa"/>
            <w:noWrap w:val="0"/>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xml:space="preserve"> 评分项目</w:t>
            </w:r>
          </w:p>
        </w:tc>
        <w:tc>
          <w:tcPr>
            <w:tcW w:w="1260" w:type="dxa"/>
            <w:noWrap w:val="0"/>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满分值</w:t>
            </w:r>
          </w:p>
        </w:tc>
        <w:tc>
          <w:tcPr>
            <w:tcW w:w="1537" w:type="dxa"/>
            <w:noWrap w:val="0"/>
            <w:vAlign w:val="center"/>
          </w:tcPr>
          <w:p>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对应页码</w:t>
            </w:r>
          </w:p>
        </w:tc>
        <w:tc>
          <w:tcPr>
            <w:tcW w:w="2432" w:type="dxa"/>
            <w:noWrap w:val="0"/>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14" w:type="dxa"/>
            <w:noWrap w:val="0"/>
            <w:vAlign w:val="center"/>
          </w:tcPr>
          <w:p>
            <w:pPr>
              <w:ind w:firstLine="210" w:firstLineChars="100"/>
              <w:rPr>
                <w:rFonts w:ascii="宋体" w:hAnsi="宋体"/>
                <w:color w:val="auto"/>
                <w:szCs w:val="21"/>
                <w:highlight w:val="none"/>
              </w:rPr>
            </w:pPr>
            <w:r>
              <w:rPr>
                <w:rFonts w:ascii="宋体" w:hAnsi="宋体"/>
                <w:color w:val="auto"/>
                <w:szCs w:val="21"/>
                <w:highlight w:val="none"/>
              </w:rPr>
              <w:t>1</w:t>
            </w:r>
          </w:p>
        </w:tc>
        <w:tc>
          <w:tcPr>
            <w:tcW w:w="358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业绩</w:t>
            </w:r>
          </w:p>
        </w:tc>
        <w:tc>
          <w:tcPr>
            <w:tcW w:w="1260"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3</w:t>
            </w:r>
          </w:p>
        </w:tc>
        <w:tc>
          <w:tcPr>
            <w:tcW w:w="1537" w:type="dxa"/>
            <w:noWrap w:val="0"/>
            <w:vAlign w:val="center"/>
          </w:tcPr>
          <w:p>
            <w:pPr>
              <w:widowControl/>
              <w:jc w:val="center"/>
              <w:rPr>
                <w:rFonts w:ascii="宋体" w:hAnsi="宋体" w:cs="宋体"/>
                <w:color w:val="auto"/>
                <w:kern w:val="0"/>
                <w:szCs w:val="21"/>
                <w:highlight w:val="none"/>
              </w:rPr>
            </w:pPr>
          </w:p>
        </w:tc>
        <w:tc>
          <w:tcPr>
            <w:tcW w:w="2432" w:type="dxa"/>
            <w:noWrap w:val="0"/>
            <w:vAlign w:val="center"/>
          </w:tcPr>
          <w:p>
            <w:pPr>
              <w:widowControl/>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14" w:type="dxa"/>
            <w:noWrap w:val="0"/>
            <w:vAlign w:val="center"/>
          </w:tcPr>
          <w:p>
            <w:pPr>
              <w:ind w:firstLine="210" w:firstLineChars="100"/>
              <w:rPr>
                <w:rFonts w:ascii="宋体" w:hAnsi="宋体"/>
                <w:color w:val="auto"/>
                <w:szCs w:val="21"/>
                <w:highlight w:val="none"/>
              </w:rPr>
            </w:pPr>
            <w:r>
              <w:rPr>
                <w:rFonts w:ascii="宋体" w:hAnsi="宋体"/>
                <w:color w:val="auto"/>
                <w:szCs w:val="21"/>
                <w:highlight w:val="none"/>
              </w:rPr>
              <w:t>2</w:t>
            </w:r>
          </w:p>
        </w:tc>
        <w:tc>
          <w:tcPr>
            <w:tcW w:w="358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人员配备</w:t>
            </w:r>
          </w:p>
        </w:tc>
        <w:tc>
          <w:tcPr>
            <w:tcW w:w="1260" w:type="dxa"/>
            <w:noWrap w:val="0"/>
            <w:vAlign w:val="center"/>
          </w:tcPr>
          <w:p>
            <w:pPr>
              <w:jc w:val="center"/>
              <w:rPr>
                <w:rFonts w:hint="eastAsia" w:ascii="宋体" w:hAnsi="宋体"/>
                <w:color w:val="auto"/>
                <w:szCs w:val="21"/>
                <w:highlight w:val="none"/>
              </w:rPr>
            </w:pPr>
            <w:r>
              <w:rPr>
                <w:rFonts w:hint="eastAsia" w:ascii="宋体" w:hAnsi="宋体"/>
                <w:color w:val="auto"/>
                <w:szCs w:val="21"/>
                <w:highlight w:val="none"/>
              </w:rPr>
              <w:t>2</w:t>
            </w:r>
          </w:p>
        </w:tc>
        <w:tc>
          <w:tcPr>
            <w:tcW w:w="1537" w:type="dxa"/>
            <w:noWrap w:val="0"/>
            <w:vAlign w:val="center"/>
          </w:tcPr>
          <w:p>
            <w:pPr>
              <w:pStyle w:val="199"/>
              <w:ind w:left="559" w:right="53" w:hanging="506"/>
              <w:jc w:val="center"/>
              <w:rPr>
                <w:rFonts w:hint="eastAsia"/>
                <w:color w:val="auto"/>
                <w:highlight w:val="none"/>
              </w:rPr>
            </w:pPr>
          </w:p>
        </w:tc>
        <w:tc>
          <w:tcPr>
            <w:tcW w:w="2432" w:type="dxa"/>
            <w:noWrap w:val="0"/>
            <w:vAlign w:val="center"/>
          </w:tcPr>
          <w:p>
            <w:pPr>
              <w:pStyle w:val="199"/>
              <w:ind w:left="559" w:right="53" w:hanging="506"/>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14" w:type="dxa"/>
            <w:noWrap w:val="0"/>
            <w:vAlign w:val="center"/>
          </w:tcPr>
          <w:p>
            <w:pPr>
              <w:jc w:val="center"/>
              <w:rPr>
                <w:rFonts w:ascii="宋体" w:hAnsi="宋体"/>
                <w:color w:val="auto"/>
                <w:szCs w:val="21"/>
                <w:highlight w:val="none"/>
              </w:rPr>
            </w:pPr>
            <w:r>
              <w:rPr>
                <w:rFonts w:ascii="宋体" w:hAnsi="宋体"/>
                <w:color w:val="auto"/>
                <w:szCs w:val="21"/>
                <w:highlight w:val="none"/>
              </w:rPr>
              <w:t>3</w:t>
            </w:r>
          </w:p>
        </w:tc>
        <w:tc>
          <w:tcPr>
            <w:tcW w:w="358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企业管理体系认证</w:t>
            </w:r>
          </w:p>
        </w:tc>
        <w:tc>
          <w:tcPr>
            <w:tcW w:w="1260" w:type="dxa"/>
            <w:noWrap w:val="0"/>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1537" w:type="dxa"/>
            <w:noWrap w:val="0"/>
            <w:vAlign w:val="center"/>
          </w:tcPr>
          <w:p>
            <w:pPr>
              <w:pStyle w:val="230"/>
              <w:jc w:val="center"/>
              <w:rPr>
                <w:rFonts w:hint="eastAsia" w:ascii="宋体" w:hAnsi="宋体"/>
                <w:color w:val="auto"/>
                <w:highlight w:val="none"/>
              </w:rPr>
            </w:pPr>
          </w:p>
        </w:tc>
        <w:tc>
          <w:tcPr>
            <w:tcW w:w="2432" w:type="dxa"/>
            <w:noWrap w:val="0"/>
            <w:vAlign w:val="center"/>
          </w:tcPr>
          <w:p>
            <w:pPr>
              <w:pStyle w:val="230"/>
              <w:rPr>
                <w:rFonts w:hint="eastAsia"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14" w:type="dxa"/>
            <w:noWrap w:val="0"/>
            <w:vAlign w:val="center"/>
          </w:tcPr>
          <w:p>
            <w:pPr>
              <w:jc w:val="center"/>
              <w:rPr>
                <w:rFonts w:ascii="宋体" w:hAnsi="宋体"/>
                <w:color w:val="auto"/>
                <w:szCs w:val="21"/>
                <w:highlight w:val="none"/>
              </w:rPr>
            </w:pPr>
            <w:r>
              <w:rPr>
                <w:rFonts w:ascii="宋体" w:hAnsi="宋体"/>
                <w:color w:val="auto"/>
                <w:szCs w:val="21"/>
                <w:highlight w:val="none"/>
              </w:rPr>
              <w:t>4</w:t>
            </w:r>
          </w:p>
        </w:tc>
        <w:tc>
          <w:tcPr>
            <w:tcW w:w="3580" w:type="dxa"/>
            <w:noWrap w:val="0"/>
            <w:vAlign w:val="center"/>
          </w:tcPr>
          <w:p>
            <w:pPr>
              <w:snapToGrid w:val="0"/>
              <w:jc w:val="center"/>
              <w:rPr>
                <w:rFonts w:ascii="宋体" w:hAnsi="宋体"/>
                <w:bCs/>
                <w:color w:val="auto"/>
                <w:highlight w:val="none"/>
              </w:rPr>
            </w:pPr>
            <w:r>
              <w:rPr>
                <w:rFonts w:hint="eastAsia"/>
                <w:color w:val="auto"/>
                <w:highlight w:val="none"/>
              </w:rPr>
              <w:t>承包商评价</w:t>
            </w:r>
          </w:p>
        </w:tc>
        <w:tc>
          <w:tcPr>
            <w:tcW w:w="1260" w:type="dxa"/>
            <w:noWrap w:val="0"/>
            <w:vAlign w:val="center"/>
          </w:tcPr>
          <w:p>
            <w:pPr>
              <w:snapToGrid w:val="0"/>
              <w:jc w:val="center"/>
              <w:rPr>
                <w:rFonts w:hint="eastAsia" w:ascii="宋体" w:hAnsi="宋体"/>
                <w:bCs/>
                <w:color w:val="auto"/>
                <w:szCs w:val="21"/>
                <w:highlight w:val="none"/>
              </w:rPr>
            </w:pPr>
            <w:r>
              <w:rPr>
                <w:rFonts w:hint="eastAsia" w:ascii="宋体" w:hAnsi="宋体"/>
                <w:bCs/>
                <w:color w:val="auto"/>
                <w:szCs w:val="21"/>
                <w:highlight w:val="none"/>
              </w:rPr>
              <w:t>8</w:t>
            </w:r>
          </w:p>
        </w:tc>
        <w:tc>
          <w:tcPr>
            <w:tcW w:w="1537" w:type="dxa"/>
            <w:noWrap w:val="0"/>
            <w:vAlign w:val="center"/>
          </w:tcPr>
          <w:p>
            <w:pPr>
              <w:widowControl/>
              <w:jc w:val="center"/>
              <w:rPr>
                <w:rFonts w:hint="eastAsia" w:ascii="宋体" w:hAnsi="宋体" w:cs="宋体"/>
                <w:color w:val="auto"/>
                <w:kern w:val="0"/>
                <w:szCs w:val="21"/>
                <w:highlight w:val="none"/>
              </w:rPr>
            </w:pPr>
          </w:p>
        </w:tc>
        <w:tc>
          <w:tcPr>
            <w:tcW w:w="2432" w:type="dxa"/>
            <w:noWrap w:val="0"/>
            <w:vAlign w:val="center"/>
          </w:tcPr>
          <w:p>
            <w:pPr>
              <w:widowControl/>
              <w:rPr>
                <w:rFonts w:ascii="宋体" w:hAnsi="宋体" w:cs="宋体"/>
                <w:color w:val="auto"/>
                <w:kern w:val="0"/>
                <w:szCs w:val="21"/>
                <w:highlight w:val="none"/>
              </w:rPr>
            </w:pPr>
            <w:r>
              <w:rPr>
                <w:rFonts w:ascii="宋体" w:hAnsi="宋体" w:cs="宋体"/>
                <w:color w:val="auto"/>
                <w:kern w:val="0"/>
                <w:szCs w:val="21"/>
                <w:highlight w:val="none"/>
              </w:rPr>
              <w:t>具体评价分数</w:t>
            </w:r>
            <w:r>
              <w:rPr>
                <w:rFonts w:hint="eastAsia" w:ascii="宋体" w:hAnsi="宋体" w:cs="宋体"/>
                <w:color w:val="auto"/>
                <w:kern w:val="0"/>
                <w:szCs w:val="21"/>
                <w:highlight w:val="none"/>
              </w:rPr>
              <w:t>以</w:t>
            </w:r>
            <w:r>
              <w:rPr>
                <w:rFonts w:ascii="宋体" w:hAnsi="宋体" w:cs="宋体"/>
                <w:color w:val="auto"/>
                <w:kern w:val="0"/>
                <w:szCs w:val="21"/>
                <w:highlight w:val="none"/>
              </w:rPr>
              <w:t>招标人提供的相关文件为准</w:t>
            </w:r>
            <w:r>
              <w:rPr>
                <w:rFonts w:hint="eastAsia" w:ascii="宋体" w:hAnsi="宋体" w:cs="宋体"/>
                <w:color w:val="auto"/>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14" w:type="dxa"/>
            <w:noWrap w:val="0"/>
            <w:vAlign w:val="center"/>
          </w:tcPr>
          <w:p>
            <w:pPr>
              <w:jc w:val="center"/>
              <w:rPr>
                <w:rFonts w:ascii="宋体" w:hAnsi="宋体"/>
                <w:color w:val="auto"/>
                <w:szCs w:val="21"/>
                <w:highlight w:val="none"/>
              </w:rPr>
            </w:pPr>
            <w:r>
              <w:rPr>
                <w:rFonts w:ascii="宋体" w:hAnsi="宋体"/>
                <w:color w:val="auto"/>
                <w:szCs w:val="21"/>
                <w:highlight w:val="none"/>
              </w:rPr>
              <w:t>5</w:t>
            </w:r>
          </w:p>
        </w:tc>
        <w:tc>
          <w:tcPr>
            <w:tcW w:w="3580" w:type="dxa"/>
            <w:noWrap w:val="0"/>
            <w:vAlign w:val="center"/>
          </w:tcPr>
          <w:p>
            <w:pPr>
              <w:snapToGrid w:val="0"/>
              <w:jc w:val="center"/>
              <w:rPr>
                <w:rFonts w:ascii="宋体" w:hAnsi="宋体"/>
                <w:bCs/>
                <w:color w:val="auto"/>
                <w:highlight w:val="none"/>
              </w:rPr>
            </w:pPr>
            <w:r>
              <w:rPr>
                <w:rFonts w:hint="eastAsia"/>
                <w:color w:val="auto"/>
                <w:highlight w:val="none"/>
              </w:rPr>
              <w:t>承包商奖项</w:t>
            </w:r>
          </w:p>
        </w:tc>
        <w:tc>
          <w:tcPr>
            <w:tcW w:w="1260" w:type="dxa"/>
            <w:noWrap w:val="0"/>
            <w:vAlign w:val="center"/>
          </w:tcPr>
          <w:p>
            <w:pPr>
              <w:snapToGrid w:val="0"/>
              <w:jc w:val="center"/>
              <w:rPr>
                <w:rFonts w:hint="eastAsia" w:ascii="宋体" w:hAnsi="宋体"/>
                <w:color w:val="auto"/>
                <w:szCs w:val="21"/>
                <w:highlight w:val="none"/>
              </w:rPr>
            </w:pPr>
            <w:r>
              <w:rPr>
                <w:rFonts w:hint="eastAsia" w:ascii="宋体" w:hAnsi="宋体"/>
                <w:color w:val="auto"/>
                <w:szCs w:val="21"/>
                <w:highlight w:val="none"/>
              </w:rPr>
              <w:t>4</w:t>
            </w:r>
          </w:p>
        </w:tc>
        <w:tc>
          <w:tcPr>
            <w:tcW w:w="1537" w:type="dxa"/>
            <w:noWrap w:val="0"/>
            <w:vAlign w:val="center"/>
          </w:tcPr>
          <w:p>
            <w:pPr>
              <w:widowControl/>
              <w:jc w:val="center"/>
              <w:rPr>
                <w:rFonts w:hint="eastAsia" w:ascii="宋体" w:hAnsi="宋体" w:cs="宋体"/>
                <w:color w:val="auto"/>
                <w:kern w:val="0"/>
                <w:szCs w:val="21"/>
                <w:highlight w:val="none"/>
              </w:rPr>
            </w:pPr>
          </w:p>
        </w:tc>
        <w:tc>
          <w:tcPr>
            <w:tcW w:w="2432" w:type="dxa"/>
            <w:noWrap w:val="0"/>
            <w:vAlign w:val="center"/>
          </w:tcPr>
          <w:p>
            <w:pPr>
              <w:pStyle w:val="230"/>
              <w:jc w:val="left"/>
              <w:rPr>
                <w:rFonts w:hint="eastAsia" w:ascii="宋体" w:hAnsi="宋体" w:cs="宋体"/>
                <w:color w:val="auto"/>
                <w:highlight w:val="none"/>
              </w:rPr>
            </w:pPr>
            <w:r>
              <w:rPr>
                <w:rFonts w:ascii="宋体" w:hAnsi="宋体" w:cs="宋体"/>
                <w:color w:val="auto"/>
                <w:highlight w:val="none"/>
              </w:rPr>
              <w:t>具体</w:t>
            </w:r>
            <w:r>
              <w:rPr>
                <w:rFonts w:hint="eastAsia" w:ascii="宋体" w:hAnsi="宋体" w:cs="宋体"/>
                <w:color w:val="auto"/>
                <w:highlight w:val="none"/>
              </w:rPr>
              <w:t>奖项</w:t>
            </w:r>
            <w:r>
              <w:rPr>
                <w:rFonts w:ascii="宋体" w:hAnsi="宋体" w:cs="宋体"/>
                <w:color w:val="auto"/>
                <w:highlight w:val="none"/>
              </w:rPr>
              <w:t>以招标人</w:t>
            </w:r>
            <w:r>
              <w:rPr>
                <w:rFonts w:hint="eastAsia" w:ascii="宋体" w:hAnsi="宋体" w:cs="宋体"/>
                <w:color w:val="auto"/>
                <w:highlight w:val="none"/>
              </w:rPr>
              <w:t>提供</w:t>
            </w:r>
            <w:r>
              <w:rPr>
                <w:rFonts w:ascii="宋体" w:hAnsi="宋体" w:cs="宋体"/>
                <w:color w:val="auto"/>
                <w:highlight w:val="none"/>
              </w:rPr>
              <w:t>的相关文件为准</w:t>
            </w:r>
            <w:r>
              <w:rPr>
                <w:rFonts w:hint="eastAsia" w:ascii="宋体" w:hAnsi="宋体" w:cs="宋体"/>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14" w:type="dxa"/>
            <w:noWrap w:val="0"/>
            <w:vAlign w:val="center"/>
          </w:tcPr>
          <w:p>
            <w:pPr>
              <w:jc w:val="center"/>
              <w:rPr>
                <w:rFonts w:ascii="宋体" w:hAnsi="宋体" w:cs="宋体"/>
                <w:color w:val="auto"/>
                <w:kern w:val="0"/>
                <w:szCs w:val="21"/>
                <w:highlight w:val="none"/>
              </w:rPr>
            </w:pPr>
            <w:r>
              <w:rPr>
                <w:rFonts w:ascii="宋体" w:hAnsi="宋体"/>
                <w:color w:val="auto"/>
                <w:szCs w:val="21"/>
                <w:highlight w:val="none"/>
              </w:rPr>
              <w:t>6</w:t>
            </w:r>
          </w:p>
        </w:tc>
        <w:tc>
          <w:tcPr>
            <w:tcW w:w="3580" w:type="dxa"/>
            <w:noWrap w:val="0"/>
            <w:vAlign w:val="center"/>
          </w:tcPr>
          <w:p>
            <w:pPr>
              <w:jc w:val="center"/>
              <w:rPr>
                <w:rFonts w:ascii="宋体" w:hAnsi="宋体" w:cs="宋体"/>
                <w:color w:val="auto"/>
                <w:kern w:val="0"/>
                <w:szCs w:val="21"/>
                <w:highlight w:val="none"/>
              </w:rPr>
            </w:pPr>
            <w:r>
              <w:rPr>
                <w:rFonts w:hint="eastAsia"/>
                <w:color w:val="auto"/>
                <w:highlight w:val="none"/>
              </w:rPr>
              <w:t>参与标准设计编制工作情况</w:t>
            </w:r>
          </w:p>
        </w:tc>
        <w:tc>
          <w:tcPr>
            <w:tcW w:w="1260" w:type="dxa"/>
            <w:noWrap w:val="0"/>
            <w:vAlign w:val="center"/>
          </w:tcPr>
          <w:p>
            <w:pPr>
              <w:jc w:val="center"/>
              <w:rPr>
                <w:rFonts w:ascii="宋体" w:hAnsi="宋体" w:cs="宋体"/>
                <w:color w:val="auto"/>
                <w:kern w:val="0"/>
                <w:szCs w:val="21"/>
                <w:highlight w:val="none"/>
              </w:rPr>
            </w:pPr>
            <w:r>
              <w:rPr>
                <w:rFonts w:hint="eastAsia" w:ascii="宋体" w:hAnsi="宋体"/>
                <w:color w:val="auto"/>
                <w:szCs w:val="21"/>
                <w:highlight w:val="none"/>
              </w:rPr>
              <w:t>2</w:t>
            </w:r>
          </w:p>
        </w:tc>
        <w:tc>
          <w:tcPr>
            <w:tcW w:w="1537" w:type="dxa"/>
            <w:noWrap w:val="0"/>
            <w:vAlign w:val="center"/>
          </w:tcPr>
          <w:p>
            <w:pPr>
              <w:widowControl/>
              <w:jc w:val="center"/>
              <w:rPr>
                <w:rFonts w:ascii="宋体" w:hAnsi="宋体" w:cs="宋体"/>
                <w:color w:val="auto"/>
                <w:kern w:val="0"/>
                <w:szCs w:val="21"/>
                <w:highlight w:val="none"/>
              </w:rPr>
            </w:pPr>
          </w:p>
        </w:tc>
        <w:tc>
          <w:tcPr>
            <w:tcW w:w="2432" w:type="dxa"/>
            <w:noWrap w:val="0"/>
            <w:vAlign w:val="center"/>
          </w:tcPr>
          <w:p>
            <w:pPr>
              <w:widowControl/>
              <w:rPr>
                <w:rFonts w:ascii="宋体" w:hAnsi="宋体" w:cs="宋体"/>
                <w:color w:val="auto"/>
                <w:kern w:val="0"/>
                <w:szCs w:val="21"/>
                <w:highlight w:val="none"/>
              </w:rPr>
            </w:pPr>
          </w:p>
        </w:tc>
      </w:tr>
    </w:tbl>
    <w:p>
      <w:pPr>
        <w:jc w:val="center"/>
        <w:rPr>
          <w:rFonts w:ascii="宋体" w:hAnsi="宋体"/>
          <w:color w:val="auto"/>
          <w:highlight w:val="none"/>
        </w:rPr>
      </w:pPr>
      <w:r>
        <w:rPr>
          <w:rFonts w:ascii="宋体" w:hAnsi="宋体"/>
          <w:b/>
          <w:color w:val="auto"/>
          <w:szCs w:val="21"/>
          <w:highlight w:val="none"/>
        </w:rPr>
        <w:t>注</w:t>
      </w:r>
      <w:r>
        <w:rPr>
          <w:rFonts w:hint="eastAsia" w:ascii="宋体" w:hAnsi="宋体"/>
          <w:b/>
          <w:color w:val="auto"/>
          <w:szCs w:val="21"/>
          <w:highlight w:val="none"/>
        </w:rPr>
        <w:t>：</w:t>
      </w:r>
      <w:r>
        <w:rPr>
          <w:rFonts w:ascii="宋体" w:hAnsi="宋体"/>
          <w:b/>
          <w:color w:val="auto"/>
          <w:szCs w:val="21"/>
          <w:highlight w:val="none"/>
        </w:rPr>
        <w:t>投标单位须如实</w:t>
      </w:r>
      <w:r>
        <w:rPr>
          <w:rFonts w:hint="eastAsia" w:ascii="宋体" w:hAnsi="宋体"/>
          <w:b/>
          <w:color w:val="auto"/>
          <w:szCs w:val="21"/>
          <w:highlight w:val="none"/>
        </w:rPr>
        <w:t>，</w:t>
      </w:r>
      <w:r>
        <w:rPr>
          <w:rFonts w:ascii="宋体" w:hAnsi="宋体"/>
          <w:b/>
          <w:color w:val="auto"/>
          <w:szCs w:val="21"/>
          <w:highlight w:val="none"/>
        </w:rPr>
        <w:t>并按要求填写以上表格</w:t>
      </w:r>
      <w:r>
        <w:rPr>
          <w:rFonts w:hint="eastAsia" w:ascii="宋体" w:hAnsi="宋体"/>
          <w:b/>
          <w:color w:val="auto"/>
          <w:szCs w:val="21"/>
          <w:highlight w:val="none"/>
        </w:rPr>
        <w:t>，</w:t>
      </w:r>
      <w:r>
        <w:rPr>
          <w:rFonts w:ascii="宋体" w:hAnsi="宋体"/>
          <w:b/>
          <w:color w:val="auto"/>
          <w:szCs w:val="21"/>
          <w:highlight w:val="none"/>
        </w:rPr>
        <w:t>如无对应该项资料</w:t>
      </w:r>
      <w:r>
        <w:rPr>
          <w:rFonts w:hint="eastAsia" w:ascii="宋体" w:hAnsi="宋体"/>
          <w:b/>
          <w:color w:val="auto"/>
          <w:szCs w:val="21"/>
          <w:highlight w:val="none"/>
        </w:rPr>
        <w:t>，</w:t>
      </w:r>
      <w:r>
        <w:rPr>
          <w:rFonts w:ascii="宋体" w:hAnsi="宋体"/>
          <w:b/>
          <w:color w:val="auto"/>
          <w:szCs w:val="21"/>
          <w:highlight w:val="none"/>
        </w:rPr>
        <w:t>请在备注中注明</w:t>
      </w:r>
      <w:r>
        <w:rPr>
          <w:rFonts w:hint="eastAsia" w:ascii="宋体" w:hAnsi="宋体"/>
          <w:b/>
          <w:color w:val="auto"/>
          <w:szCs w:val="21"/>
          <w:highlight w:val="none"/>
        </w:rPr>
        <w:t>。</w:t>
      </w:r>
    </w:p>
    <w:p>
      <w:pPr>
        <w:spacing w:line="400" w:lineRule="exact"/>
        <w:jc w:val="center"/>
        <w:rPr>
          <w:color w:val="auto"/>
          <w:highlight w:val="none"/>
        </w:rPr>
      </w:pPr>
      <w:r>
        <w:rPr>
          <w:color w:val="auto"/>
          <w:highlight w:val="none"/>
        </w:rPr>
        <w:br w:type="page"/>
      </w:r>
    </w:p>
    <w:p>
      <w:pPr>
        <w:pStyle w:val="5"/>
        <w:ind w:firstLine="138"/>
        <w:jc w:val="center"/>
        <w:rPr>
          <w:b/>
          <w:bCs/>
          <w:color w:val="auto"/>
          <w:highlight w:val="none"/>
        </w:rPr>
      </w:pPr>
      <w:bookmarkStart w:id="537" w:name="_Toc9469"/>
      <w:r>
        <w:rPr>
          <w:rFonts w:hint="eastAsia"/>
          <w:b/>
          <w:bCs/>
          <w:color w:val="auto"/>
          <w:highlight w:val="none"/>
        </w:rPr>
        <w:t>目录</w:t>
      </w:r>
      <w:bookmarkEnd w:id="537"/>
    </w:p>
    <w:p>
      <w:pPr>
        <w:spacing w:line="540" w:lineRule="exact"/>
        <w:rPr>
          <w:color w:val="auto"/>
          <w:highlight w:val="none"/>
        </w:rPr>
      </w:pPr>
    </w:p>
    <w:p>
      <w:pPr>
        <w:spacing w:line="540" w:lineRule="exact"/>
        <w:rPr>
          <w:color w:val="auto"/>
          <w:highlight w:val="none"/>
        </w:rPr>
      </w:pPr>
      <w:r>
        <w:rPr>
          <w:rFonts w:hint="eastAsia"/>
          <w:color w:val="auto"/>
          <w:highlight w:val="none"/>
        </w:rPr>
        <w:t>一</w:t>
      </w:r>
      <w:r>
        <w:rPr>
          <w:color w:val="auto"/>
          <w:highlight w:val="none"/>
        </w:rPr>
        <w:t>、法定代表人身份证明（适用于</w:t>
      </w:r>
      <w:r>
        <w:rPr>
          <w:rFonts w:hint="eastAsia"/>
          <w:color w:val="auto"/>
          <w:highlight w:val="none"/>
        </w:rPr>
        <w:t>无</w:t>
      </w:r>
      <w:r>
        <w:rPr>
          <w:color w:val="auto"/>
          <w:highlight w:val="none"/>
        </w:rPr>
        <w:t>委托代理人的情况）</w:t>
      </w:r>
    </w:p>
    <w:p>
      <w:pPr>
        <w:spacing w:line="540" w:lineRule="exact"/>
        <w:rPr>
          <w:color w:val="auto"/>
          <w:highlight w:val="none"/>
        </w:rPr>
      </w:pPr>
      <w:r>
        <w:rPr>
          <w:rFonts w:hint="eastAsia"/>
          <w:color w:val="auto"/>
          <w:highlight w:val="none"/>
        </w:rPr>
        <w:t>一</w:t>
      </w:r>
      <w:r>
        <w:rPr>
          <w:color w:val="auto"/>
          <w:highlight w:val="none"/>
        </w:rPr>
        <w:t>、授权委托书（适用于有委托代理人的情况）</w:t>
      </w:r>
    </w:p>
    <w:p>
      <w:pPr>
        <w:spacing w:line="540" w:lineRule="exact"/>
        <w:rPr>
          <w:color w:val="auto"/>
          <w:highlight w:val="none"/>
        </w:rPr>
      </w:pPr>
      <w:r>
        <w:rPr>
          <w:rFonts w:hint="eastAsia"/>
          <w:color w:val="auto"/>
          <w:highlight w:val="none"/>
        </w:rPr>
        <w:t>二</w:t>
      </w:r>
      <w:r>
        <w:rPr>
          <w:color w:val="auto"/>
          <w:highlight w:val="none"/>
        </w:rPr>
        <w:t>、联合体协议书</w:t>
      </w:r>
      <w:r>
        <w:rPr>
          <w:rFonts w:hint="eastAsia"/>
          <w:color w:val="auto"/>
          <w:highlight w:val="none"/>
        </w:rPr>
        <w:t>（如有）</w:t>
      </w:r>
    </w:p>
    <w:p>
      <w:pPr>
        <w:spacing w:line="540" w:lineRule="exact"/>
        <w:rPr>
          <w:rFonts w:hint="eastAsia"/>
          <w:color w:val="auto"/>
          <w:highlight w:val="none"/>
        </w:rPr>
      </w:pPr>
      <w:r>
        <w:rPr>
          <w:rFonts w:hint="eastAsia"/>
          <w:color w:val="auto"/>
          <w:highlight w:val="none"/>
        </w:rPr>
        <w:t>三</w:t>
      </w:r>
      <w:r>
        <w:rPr>
          <w:color w:val="auto"/>
          <w:highlight w:val="none"/>
        </w:rPr>
        <w:t>、投标保证金</w:t>
      </w:r>
      <w:r>
        <w:rPr>
          <w:rFonts w:hint="eastAsia"/>
          <w:color w:val="auto"/>
          <w:highlight w:val="none"/>
        </w:rPr>
        <w:t>证明</w:t>
      </w:r>
    </w:p>
    <w:p>
      <w:pPr>
        <w:spacing w:line="540" w:lineRule="exact"/>
        <w:rPr>
          <w:rFonts w:hint="eastAsia"/>
          <w:color w:val="auto"/>
          <w:highlight w:val="none"/>
        </w:rPr>
      </w:pPr>
      <w:r>
        <w:rPr>
          <w:rFonts w:hint="eastAsia"/>
          <w:color w:val="auto"/>
          <w:highlight w:val="none"/>
        </w:rPr>
        <w:t>四、</w:t>
      </w:r>
      <w:r>
        <w:rPr>
          <w:rFonts w:hint="eastAsia" w:hAnsi="宋体"/>
          <w:color w:val="auto"/>
          <w:highlight w:val="none"/>
        </w:rPr>
        <w:t>无行贿犯罪记录承诺书</w:t>
      </w:r>
    </w:p>
    <w:p>
      <w:pPr>
        <w:spacing w:line="540" w:lineRule="exact"/>
        <w:rPr>
          <w:color w:val="auto"/>
          <w:highlight w:val="none"/>
        </w:rPr>
      </w:pPr>
      <w:r>
        <w:rPr>
          <w:rFonts w:hint="eastAsia"/>
          <w:color w:val="auto"/>
          <w:highlight w:val="none"/>
        </w:rPr>
        <w:t>五、投标人廉洁承诺书</w:t>
      </w:r>
    </w:p>
    <w:p>
      <w:pPr>
        <w:spacing w:line="540" w:lineRule="exact"/>
        <w:rPr>
          <w:rFonts w:hint="eastAsia"/>
          <w:color w:val="auto"/>
          <w:highlight w:val="none"/>
        </w:rPr>
      </w:pPr>
      <w:r>
        <w:rPr>
          <w:rFonts w:hint="eastAsia"/>
          <w:color w:val="auto"/>
          <w:highlight w:val="none"/>
        </w:rPr>
        <w:t>六、严格执行“管理规范和技术（规范）标准”的承诺函</w:t>
      </w:r>
    </w:p>
    <w:p>
      <w:pPr>
        <w:spacing w:line="540" w:lineRule="exact"/>
        <w:rPr>
          <w:rFonts w:hint="eastAsia"/>
          <w:color w:val="auto"/>
          <w:highlight w:val="none"/>
        </w:rPr>
      </w:pPr>
      <w:r>
        <w:rPr>
          <w:rFonts w:hint="eastAsia"/>
          <w:color w:val="auto"/>
          <w:highlight w:val="none"/>
        </w:rPr>
        <w:t>七、企业诚信承诺书</w:t>
      </w:r>
    </w:p>
    <w:p>
      <w:pPr>
        <w:spacing w:line="540" w:lineRule="exact"/>
        <w:rPr>
          <w:color w:val="auto"/>
          <w:highlight w:val="none"/>
        </w:rPr>
      </w:pPr>
      <w:r>
        <w:rPr>
          <w:rFonts w:hint="eastAsia"/>
          <w:color w:val="auto"/>
          <w:highlight w:val="none"/>
        </w:rPr>
        <w:t>八</w:t>
      </w:r>
      <w:r>
        <w:rPr>
          <w:color w:val="auto"/>
          <w:highlight w:val="none"/>
        </w:rPr>
        <w:t>、资格审查</w:t>
      </w:r>
      <w:r>
        <w:rPr>
          <w:rFonts w:hint="eastAsia"/>
          <w:color w:val="auto"/>
          <w:highlight w:val="none"/>
        </w:rPr>
        <w:t>、商务评审</w:t>
      </w:r>
      <w:r>
        <w:rPr>
          <w:color w:val="auto"/>
          <w:highlight w:val="none"/>
        </w:rPr>
        <w:t>资料</w:t>
      </w:r>
    </w:p>
    <w:p>
      <w:pPr>
        <w:spacing w:line="540" w:lineRule="exact"/>
        <w:rPr>
          <w:color w:val="auto"/>
          <w:highlight w:val="none"/>
        </w:rPr>
      </w:pPr>
      <w:r>
        <w:rPr>
          <w:rFonts w:hint="eastAsia"/>
          <w:color w:val="auto"/>
          <w:highlight w:val="none"/>
        </w:rPr>
        <w:t>九</w:t>
      </w:r>
      <w:r>
        <w:rPr>
          <w:color w:val="auto"/>
          <w:highlight w:val="none"/>
        </w:rPr>
        <w:t>、其他资料</w:t>
      </w:r>
    </w:p>
    <w:p>
      <w:pPr>
        <w:spacing w:line="540" w:lineRule="exact"/>
        <w:rPr>
          <w:color w:val="auto"/>
          <w:highlight w:val="none"/>
        </w:rPr>
      </w:pPr>
    </w:p>
    <w:p>
      <w:pPr>
        <w:spacing w:line="540" w:lineRule="exact"/>
        <w:rPr>
          <w:rFonts w:eastAsia="黑体"/>
          <w:color w:val="auto"/>
          <w:sz w:val="20"/>
          <w:highlight w:val="none"/>
        </w:rPr>
      </w:pPr>
      <w:r>
        <w:rPr>
          <w:color w:val="auto"/>
          <w:highlight w:val="none"/>
        </w:rPr>
        <w:br w:type="page"/>
      </w:r>
    </w:p>
    <w:p>
      <w:pPr>
        <w:pStyle w:val="5"/>
        <w:ind w:firstLine="138"/>
        <w:jc w:val="center"/>
        <w:rPr>
          <w:b/>
          <w:bCs/>
          <w:color w:val="auto"/>
          <w:highlight w:val="none"/>
        </w:rPr>
      </w:pPr>
      <w:bookmarkStart w:id="538" w:name="_Toc18717"/>
      <w:r>
        <w:rPr>
          <w:rFonts w:hint="eastAsia"/>
          <w:b/>
          <w:bCs/>
          <w:color w:val="auto"/>
          <w:highlight w:val="none"/>
        </w:rPr>
        <w:t>一、法定代表人身份证明</w:t>
      </w:r>
      <w:bookmarkEnd w:id="538"/>
    </w:p>
    <w:p>
      <w:pPr>
        <w:spacing w:line="440" w:lineRule="exact"/>
        <w:rPr>
          <w:color w:val="auto"/>
          <w:highlight w:val="none"/>
        </w:rPr>
      </w:pPr>
    </w:p>
    <w:p>
      <w:pPr>
        <w:spacing w:line="440" w:lineRule="exact"/>
        <w:rPr>
          <w:color w:val="auto"/>
          <w:highlight w:val="none"/>
        </w:rPr>
      </w:pPr>
      <w:r>
        <w:rPr>
          <w:color w:val="auto"/>
          <w:highlight w:val="none"/>
        </w:rPr>
        <w:t>投标人名称：</w:t>
      </w:r>
      <w:r>
        <w:rPr>
          <w:color w:val="auto"/>
          <w:highlight w:val="none"/>
          <w:u w:val="single"/>
        </w:rPr>
        <w:t xml:space="preserve">                        </w:t>
      </w:r>
    </w:p>
    <w:p>
      <w:pPr>
        <w:spacing w:line="440" w:lineRule="exact"/>
        <w:rPr>
          <w:color w:val="auto"/>
          <w:highlight w:val="none"/>
        </w:rPr>
      </w:pPr>
      <w:r>
        <w:rPr>
          <w:color w:val="auto"/>
          <w:highlight w:val="none"/>
        </w:rPr>
        <w:t>姓名：</w:t>
      </w:r>
      <w:r>
        <w:rPr>
          <w:color w:val="auto"/>
          <w:highlight w:val="none"/>
          <w:u w:val="single"/>
        </w:rPr>
        <w:t xml:space="preserve">                </w:t>
      </w:r>
      <w:r>
        <w:rPr>
          <w:color w:val="auto"/>
          <w:highlight w:val="none"/>
        </w:rPr>
        <w:t>性别：</w:t>
      </w:r>
      <w:r>
        <w:rPr>
          <w:color w:val="auto"/>
          <w:highlight w:val="none"/>
          <w:u w:val="single"/>
        </w:rPr>
        <w:t xml:space="preserve">        </w:t>
      </w:r>
      <w:r>
        <w:rPr>
          <w:color w:val="auto"/>
          <w:highlight w:val="none"/>
        </w:rPr>
        <w:t>年龄：</w:t>
      </w:r>
      <w:r>
        <w:rPr>
          <w:color w:val="auto"/>
          <w:highlight w:val="none"/>
          <w:u w:val="single"/>
        </w:rPr>
        <w:t xml:space="preserve">        </w:t>
      </w:r>
      <w:r>
        <w:rPr>
          <w:color w:val="auto"/>
          <w:highlight w:val="none"/>
        </w:rPr>
        <w:t>职务：</w:t>
      </w:r>
      <w:r>
        <w:rPr>
          <w:color w:val="auto"/>
          <w:highlight w:val="none"/>
          <w:u w:val="single"/>
        </w:rPr>
        <w:t xml:space="preserve">        </w:t>
      </w:r>
    </w:p>
    <w:p>
      <w:pPr>
        <w:spacing w:line="440" w:lineRule="exact"/>
        <w:rPr>
          <w:color w:val="auto"/>
          <w:highlight w:val="none"/>
        </w:rPr>
      </w:pPr>
      <w:r>
        <w:rPr>
          <w:color w:val="auto"/>
          <w:highlight w:val="none"/>
        </w:rPr>
        <w:t>系</w:t>
      </w:r>
      <w:r>
        <w:rPr>
          <w:color w:val="auto"/>
          <w:highlight w:val="none"/>
          <w:u w:val="single"/>
        </w:rPr>
        <w:t xml:space="preserve">                        </w:t>
      </w:r>
      <w:r>
        <w:rPr>
          <w:color w:val="auto"/>
          <w:highlight w:val="none"/>
        </w:rPr>
        <w:t>（投标人名称）的法定代表人。</w:t>
      </w:r>
    </w:p>
    <w:p>
      <w:pPr>
        <w:spacing w:line="440" w:lineRule="exact"/>
        <w:ind w:firstLine="420" w:firstLineChars="200"/>
        <w:rPr>
          <w:color w:val="auto"/>
          <w:highlight w:val="none"/>
        </w:rPr>
      </w:pPr>
      <w:r>
        <w:rPr>
          <w:color w:val="auto"/>
          <w:highlight w:val="none"/>
        </w:rPr>
        <w:t>特此证明。</w:t>
      </w:r>
    </w:p>
    <w:p>
      <w:pPr>
        <w:spacing w:line="440" w:lineRule="exact"/>
        <w:rPr>
          <w:color w:val="auto"/>
          <w:highlight w:val="none"/>
        </w:rPr>
      </w:pPr>
    </w:p>
    <w:p>
      <w:pPr>
        <w:spacing w:line="440" w:lineRule="exact"/>
        <w:rPr>
          <w:color w:val="auto"/>
          <w:highlight w:val="none"/>
        </w:rPr>
      </w:pPr>
      <w:r>
        <w:rPr>
          <w:color w:val="auto"/>
          <w:highlight w:val="none"/>
        </w:rPr>
        <w:t>附：法定代表人身份证复印件。</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1" w:hRule="atLeast"/>
          <w:jc w:val="center"/>
        </w:trPr>
        <w:tc>
          <w:tcPr>
            <w:tcW w:w="4264" w:type="dxa"/>
            <w:noWrap w:val="0"/>
            <w:vAlign w:val="center"/>
          </w:tcPr>
          <w:p>
            <w:pPr>
              <w:widowControl/>
              <w:spacing w:before="120" w:line="360" w:lineRule="auto"/>
              <w:jc w:val="center"/>
              <w:rPr>
                <w:rFonts w:ascii="宋体" w:hAnsi="宋体"/>
                <w:color w:val="auto"/>
                <w:sz w:val="24"/>
                <w:szCs w:val="28"/>
                <w:highlight w:val="none"/>
              </w:rPr>
            </w:pPr>
            <w:r>
              <w:rPr>
                <w:rFonts w:hint="eastAsia" w:ascii="宋体" w:hAnsi="宋体"/>
                <w:color w:val="auto"/>
                <w:kern w:val="0"/>
                <w:sz w:val="24"/>
                <w:szCs w:val="28"/>
                <w:highlight w:val="none"/>
              </w:rPr>
              <w:t>法定代表人身份证复印件正面</w:t>
            </w:r>
          </w:p>
        </w:tc>
        <w:tc>
          <w:tcPr>
            <w:tcW w:w="4264" w:type="dxa"/>
            <w:noWrap w:val="0"/>
            <w:vAlign w:val="center"/>
          </w:tcPr>
          <w:p>
            <w:pPr>
              <w:widowControl/>
              <w:spacing w:before="120" w:line="360" w:lineRule="auto"/>
              <w:ind w:right="480"/>
              <w:jc w:val="center"/>
              <w:rPr>
                <w:rFonts w:ascii="宋体" w:hAnsi="宋体"/>
                <w:color w:val="auto"/>
                <w:sz w:val="24"/>
                <w:szCs w:val="28"/>
                <w:highlight w:val="none"/>
              </w:rPr>
            </w:pPr>
            <w:r>
              <w:rPr>
                <w:rFonts w:hint="eastAsia" w:ascii="宋体" w:hAnsi="宋体"/>
                <w:color w:val="auto"/>
                <w:kern w:val="0"/>
                <w:sz w:val="24"/>
                <w:szCs w:val="28"/>
                <w:highlight w:val="none"/>
              </w:rPr>
              <w:t>法定代表人身份证复印件背面</w:t>
            </w:r>
          </w:p>
        </w:tc>
      </w:tr>
    </w:tbl>
    <w:p>
      <w:pPr>
        <w:spacing w:line="440" w:lineRule="exact"/>
        <w:rPr>
          <w:color w:val="auto"/>
          <w:highlight w:val="none"/>
        </w:rPr>
      </w:pPr>
    </w:p>
    <w:p>
      <w:pPr>
        <w:spacing w:line="440" w:lineRule="exact"/>
        <w:rPr>
          <w:color w:val="auto"/>
          <w:highlight w:val="none"/>
        </w:rPr>
      </w:pPr>
      <w:r>
        <w:rPr>
          <w:color w:val="auto"/>
          <w:highlight w:val="none"/>
        </w:rPr>
        <w:t>注：本身份证明需由投标人加盖单位公章。</w:t>
      </w:r>
    </w:p>
    <w:p>
      <w:pPr>
        <w:spacing w:line="440" w:lineRule="exact"/>
        <w:rPr>
          <w:color w:val="auto"/>
          <w:highlight w:val="none"/>
        </w:rPr>
      </w:pPr>
    </w:p>
    <w:p>
      <w:pPr>
        <w:spacing w:line="440" w:lineRule="exact"/>
        <w:rPr>
          <w:color w:val="auto"/>
          <w:highlight w:val="none"/>
        </w:rPr>
      </w:pPr>
    </w:p>
    <w:p>
      <w:pPr>
        <w:spacing w:line="440" w:lineRule="exact"/>
        <w:jc w:val="center"/>
        <w:rPr>
          <w:color w:val="auto"/>
          <w:highlight w:val="none"/>
        </w:rPr>
      </w:pPr>
      <w:r>
        <w:rPr>
          <w:color w:val="auto"/>
          <w:highlight w:val="none"/>
        </w:rPr>
        <w:t xml:space="preserve">                              投标人：</w:t>
      </w:r>
      <w:r>
        <w:rPr>
          <w:color w:val="auto"/>
          <w:szCs w:val="21"/>
          <w:highlight w:val="none"/>
          <w:u w:val="single"/>
        </w:rPr>
        <w:t xml:space="preserve">          </w:t>
      </w:r>
      <w:r>
        <w:rPr>
          <w:color w:val="auto"/>
          <w:szCs w:val="21"/>
          <w:highlight w:val="none"/>
          <w:u w:val="single"/>
        </w:rPr>
        <w:tab/>
      </w:r>
      <w:r>
        <w:rPr>
          <w:color w:val="auto"/>
          <w:highlight w:val="none"/>
        </w:rPr>
        <w:t>（</w:t>
      </w:r>
      <w:r>
        <w:rPr>
          <w:rFonts w:hint="eastAsia"/>
          <w:color w:val="auto"/>
          <w:highlight w:val="none"/>
        </w:rPr>
        <w:t>盖单位公章</w:t>
      </w:r>
      <w:r>
        <w:rPr>
          <w:color w:val="auto"/>
          <w:highlight w:val="none"/>
        </w:rPr>
        <w:t>）</w:t>
      </w:r>
    </w:p>
    <w:p>
      <w:pPr>
        <w:spacing w:line="440" w:lineRule="exact"/>
        <w:rPr>
          <w:color w:val="auto"/>
          <w:highlight w:val="none"/>
        </w:rPr>
      </w:pPr>
    </w:p>
    <w:p>
      <w:pPr>
        <w:spacing w:line="440" w:lineRule="exact"/>
        <w:ind w:firstLine="4620" w:firstLineChars="2200"/>
        <w:rPr>
          <w:rFonts w:eastAsia="黑体"/>
          <w:color w:val="auto"/>
          <w:sz w:val="20"/>
          <w:highlight w:val="none"/>
        </w:rPr>
      </w:pPr>
      <w:r>
        <w:rPr>
          <w:color w:val="auto"/>
          <w:highlight w:val="none"/>
          <w:u w:val="single"/>
        </w:rPr>
        <w:t xml:space="preserve">      </w:t>
      </w:r>
      <w:r>
        <w:rPr>
          <w:color w:val="auto"/>
          <w:highlight w:val="none"/>
        </w:rPr>
        <w:t>年</w:t>
      </w:r>
      <w:r>
        <w:rPr>
          <w:color w:val="auto"/>
          <w:highlight w:val="none"/>
          <w:u w:val="single"/>
        </w:rPr>
        <w:t xml:space="preserve">      </w:t>
      </w:r>
      <w:r>
        <w:rPr>
          <w:color w:val="auto"/>
          <w:highlight w:val="none"/>
        </w:rPr>
        <w:t>月</w:t>
      </w:r>
      <w:r>
        <w:rPr>
          <w:color w:val="auto"/>
          <w:highlight w:val="none"/>
          <w:u w:val="single"/>
        </w:rPr>
        <w:t xml:space="preserve">      </w:t>
      </w:r>
      <w:r>
        <w:rPr>
          <w:color w:val="auto"/>
          <w:highlight w:val="none"/>
        </w:rPr>
        <w:t>日</w:t>
      </w:r>
    </w:p>
    <w:p>
      <w:pPr>
        <w:spacing w:line="440" w:lineRule="exact"/>
        <w:jc w:val="center"/>
        <w:rPr>
          <w:rFonts w:eastAsia="黑体"/>
          <w:color w:val="auto"/>
          <w:sz w:val="20"/>
          <w:highlight w:val="none"/>
        </w:rPr>
      </w:pPr>
      <w:r>
        <w:rPr>
          <w:rFonts w:eastAsia="黑体"/>
          <w:color w:val="auto"/>
          <w:sz w:val="20"/>
          <w:highlight w:val="none"/>
        </w:rPr>
        <w:br w:type="page"/>
      </w:r>
    </w:p>
    <w:p>
      <w:pPr>
        <w:pStyle w:val="5"/>
        <w:ind w:firstLine="138"/>
        <w:jc w:val="center"/>
        <w:rPr>
          <w:b/>
          <w:bCs/>
          <w:color w:val="auto"/>
          <w:highlight w:val="none"/>
        </w:rPr>
      </w:pPr>
      <w:bookmarkStart w:id="539" w:name="_Toc22055"/>
      <w:r>
        <w:rPr>
          <w:rFonts w:hint="eastAsia"/>
          <w:b/>
          <w:bCs/>
          <w:color w:val="auto"/>
          <w:highlight w:val="none"/>
        </w:rPr>
        <w:t>一、授权委托书</w:t>
      </w:r>
      <w:bookmarkEnd w:id="539"/>
    </w:p>
    <w:p>
      <w:pPr>
        <w:spacing w:line="440" w:lineRule="exact"/>
        <w:jc w:val="center"/>
        <w:rPr>
          <w:color w:val="auto"/>
          <w:szCs w:val="21"/>
          <w:highlight w:val="none"/>
        </w:rPr>
      </w:pPr>
    </w:p>
    <w:p>
      <w:pPr>
        <w:topLinePunct/>
        <w:spacing w:line="440" w:lineRule="exact"/>
        <w:ind w:firstLine="420" w:firstLineChars="200"/>
        <w:rPr>
          <w:color w:val="auto"/>
          <w:highlight w:val="none"/>
        </w:rPr>
      </w:pPr>
      <w:r>
        <w:rPr>
          <w:color w:val="auto"/>
          <w:highlight w:val="none"/>
        </w:rPr>
        <w:t>本人</w:t>
      </w:r>
      <w:r>
        <w:rPr>
          <w:color w:val="auto"/>
          <w:highlight w:val="none"/>
          <w:u w:val="single"/>
        </w:rPr>
        <w:t xml:space="preserve">              </w:t>
      </w:r>
      <w:r>
        <w:rPr>
          <w:color w:val="auto"/>
          <w:highlight w:val="none"/>
        </w:rPr>
        <w:t>（姓名）系</w:t>
      </w:r>
      <w:r>
        <w:rPr>
          <w:color w:val="auto"/>
          <w:highlight w:val="none"/>
          <w:u w:val="single"/>
        </w:rPr>
        <w:t xml:space="preserve">                    </w:t>
      </w:r>
      <w:r>
        <w:rPr>
          <w:color w:val="auto"/>
          <w:highlight w:val="none"/>
        </w:rPr>
        <w:t>（投标人名称）的法定代表人，现委托</w:t>
      </w:r>
      <w:r>
        <w:rPr>
          <w:color w:val="auto"/>
          <w:highlight w:val="none"/>
          <w:u w:val="single"/>
        </w:rPr>
        <w:t xml:space="preserve">            </w:t>
      </w:r>
      <w:r>
        <w:rPr>
          <w:color w:val="auto"/>
          <w:highlight w:val="none"/>
        </w:rPr>
        <w:t>（姓名）为我方代理人。代理人根据授权，以我方名义签署、澄清确认、递交、撤回、修改</w:t>
      </w:r>
      <w:r>
        <w:rPr>
          <w:color w:val="auto"/>
          <w:highlight w:val="none"/>
          <w:u w:val="single"/>
        </w:rPr>
        <w:t xml:space="preserve">                 </w:t>
      </w:r>
      <w:r>
        <w:rPr>
          <w:color w:val="auto"/>
          <w:highlight w:val="none"/>
        </w:rPr>
        <w:t>（项目名称</w:t>
      </w:r>
      <w:r>
        <w:rPr>
          <w:rFonts w:hint="eastAsia"/>
          <w:color w:val="auto"/>
          <w:highlight w:val="none"/>
        </w:rPr>
        <w:t>/标段名称</w:t>
      </w:r>
      <w:r>
        <w:rPr>
          <w:color w:val="auto"/>
          <w:highlight w:val="none"/>
        </w:rPr>
        <w:t>）</w:t>
      </w:r>
      <w:r>
        <w:rPr>
          <w:rFonts w:hint="eastAsia"/>
          <w:color w:val="auto"/>
          <w:highlight w:val="none"/>
        </w:rPr>
        <w:t>勘察</w:t>
      </w:r>
      <w:r>
        <w:rPr>
          <w:color w:val="auto"/>
          <w:highlight w:val="none"/>
        </w:rPr>
        <w:t>设计招标项目投标文件、签订合同和处理有关事宜，其法律后果由我方承担。</w:t>
      </w:r>
    </w:p>
    <w:p>
      <w:pPr>
        <w:spacing w:line="440" w:lineRule="exact"/>
        <w:rPr>
          <w:color w:val="auto"/>
          <w:highlight w:val="none"/>
        </w:rPr>
      </w:pPr>
      <w:r>
        <w:rPr>
          <w:color w:val="auto"/>
          <w:highlight w:val="none"/>
        </w:rPr>
        <w:t>委托期限：</w:t>
      </w:r>
      <w:r>
        <w:rPr>
          <w:color w:val="auto"/>
          <w:highlight w:val="none"/>
          <w:u w:val="single"/>
        </w:rPr>
        <w:t xml:space="preserve">                       </w:t>
      </w:r>
      <w:r>
        <w:rPr>
          <w:color w:val="auto"/>
          <w:highlight w:val="none"/>
        </w:rPr>
        <w:t>。</w:t>
      </w:r>
    </w:p>
    <w:p>
      <w:pPr>
        <w:spacing w:line="440" w:lineRule="exact"/>
        <w:ind w:firstLine="420" w:firstLineChars="200"/>
        <w:rPr>
          <w:color w:val="auto"/>
          <w:highlight w:val="none"/>
        </w:rPr>
      </w:pPr>
      <w:r>
        <w:rPr>
          <w:color w:val="auto"/>
          <w:highlight w:val="none"/>
        </w:rPr>
        <w:t>代理人无转委托权。</w:t>
      </w:r>
    </w:p>
    <w:p>
      <w:pPr>
        <w:spacing w:line="440" w:lineRule="exact"/>
        <w:rPr>
          <w:color w:val="auto"/>
          <w:highlight w:val="none"/>
        </w:rPr>
      </w:pPr>
      <w:r>
        <w:rPr>
          <w:color w:val="auto"/>
          <w:highlight w:val="none"/>
        </w:rPr>
        <w:t>附：法定代表人身份证复印件及委托代理人身份证复印件</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1"/>
        <w:gridCol w:w="4223"/>
        <w:gridCol w:w="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2" w:type="dxa"/>
          <w:trHeight w:val="3901" w:hRule="atLeast"/>
          <w:jc w:val="center"/>
        </w:trPr>
        <w:tc>
          <w:tcPr>
            <w:tcW w:w="4264" w:type="dxa"/>
            <w:noWrap w:val="0"/>
            <w:vAlign w:val="center"/>
          </w:tcPr>
          <w:p>
            <w:pPr>
              <w:widowControl/>
              <w:spacing w:before="120" w:line="360" w:lineRule="auto"/>
              <w:jc w:val="center"/>
              <w:rPr>
                <w:rFonts w:ascii="宋体" w:hAnsi="宋体"/>
                <w:color w:val="auto"/>
                <w:sz w:val="24"/>
                <w:szCs w:val="28"/>
                <w:highlight w:val="none"/>
              </w:rPr>
            </w:pPr>
            <w:r>
              <w:rPr>
                <w:rFonts w:hint="eastAsia" w:ascii="宋体" w:hAnsi="宋体"/>
                <w:color w:val="auto"/>
                <w:kern w:val="0"/>
                <w:sz w:val="24"/>
                <w:szCs w:val="28"/>
                <w:highlight w:val="none"/>
              </w:rPr>
              <w:t>法定代表人身份证复印件正面</w:t>
            </w:r>
          </w:p>
        </w:tc>
        <w:tc>
          <w:tcPr>
            <w:tcW w:w="4264" w:type="dxa"/>
            <w:gridSpan w:val="2"/>
            <w:noWrap w:val="0"/>
            <w:vAlign w:val="center"/>
          </w:tcPr>
          <w:p>
            <w:pPr>
              <w:widowControl/>
              <w:spacing w:before="120" w:line="360" w:lineRule="auto"/>
              <w:ind w:right="480"/>
              <w:jc w:val="center"/>
              <w:rPr>
                <w:rFonts w:ascii="宋体" w:hAnsi="宋体"/>
                <w:color w:val="auto"/>
                <w:sz w:val="24"/>
                <w:szCs w:val="28"/>
                <w:highlight w:val="none"/>
              </w:rPr>
            </w:pPr>
            <w:r>
              <w:rPr>
                <w:rFonts w:hint="eastAsia" w:ascii="宋体" w:hAnsi="宋体"/>
                <w:color w:val="auto"/>
                <w:kern w:val="0"/>
                <w:sz w:val="24"/>
                <w:szCs w:val="28"/>
                <w:highlight w:val="none"/>
              </w:rPr>
              <w:t>法定代表人身份证复印件背面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6" w:hRule="atLeast"/>
          <w:jc w:val="center"/>
        </w:trPr>
        <w:tc>
          <w:tcPr>
            <w:tcW w:w="4305" w:type="dxa"/>
            <w:gridSpan w:val="2"/>
            <w:noWrap w:val="0"/>
            <w:vAlign w:val="center"/>
          </w:tcPr>
          <w:p>
            <w:pPr>
              <w:jc w:val="center"/>
              <w:rPr>
                <w:rFonts w:ascii="宋体" w:hAnsi="宋体"/>
                <w:color w:val="auto"/>
                <w:sz w:val="24"/>
                <w:szCs w:val="24"/>
                <w:highlight w:val="none"/>
              </w:rPr>
            </w:pPr>
            <w:r>
              <w:rPr>
                <w:rFonts w:hint="eastAsia" w:ascii="宋体" w:hAnsi="宋体"/>
                <w:color w:val="auto"/>
                <w:sz w:val="24"/>
                <w:highlight w:val="none"/>
              </w:rPr>
              <w:t>被授权人身份证复印件正面（被授权人有多个的可另附页）</w:t>
            </w:r>
          </w:p>
        </w:tc>
        <w:tc>
          <w:tcPr>
            <w:tcW w:w="4305" w:type="dxa"/>
            <w:gridSpan w:val="2"/>
            <w:noWrap w:val="0"/>
            <w:vAlign w:val="center"/>
          </w:tcPr>
          <w:p>
            <w:pPr>
              <w:jc w:val="center"/>
              <w:rPr>
                <w:rFonts w:ascii="宋体" w:hAnsi="宋体"/>
                <w:color w:val="auto"/>
                <w:sz w:val="24"/>
                <w:szCs w:val="24"/>
                <w:highlight w:val="none"/>
              </w:rPr>
            </w:pPr>
            <w:r>
              <w:rPr>
                <w:rFonts w:hint="eastAsia" w:ascii="宋体" w:hAnsi="宋体"/>
                <w:color w:val="auto"/>
                <w:sz w:val="24"/>
                <w:highlight w:val="none"/>
              </w:rPr>
              <w:t>被授权人身份证复印件背面</w:t>
            </w:r>
          </w:p>
        </w:tc>
      </w:tr>
    </w:tbl>
    <w:p>
      <w:pPr>
        <w:spacing w:line="440" w:lineRule="exact"/>
        <w:rPr>
          <w:color w:val="auto"/>
          <w:highlight w:val="none"/>
        </w:rPr>
      </w:pPr>
      <w:r>
        <w:rPr>
          <w:color w:val="auto"/>
          <w:highlight w:val="none"/>
        </w:rPr>
        <w:t>注：本授权委托书需由投标人加盖单位公章并由其法定代表人和委托代理人签字。</w:t>
      </w:r>
    </w:p>
    <w:p>
      <w:pPr>
        <w:spacing w:line="440" w:lineRule="exact"/>
        <w:ind w:firstLine="2692" w:firstLineChars="1282"/>
        <w:rPr>
          <w:color w:val="auto"/>
          <w:highlight w:val="none"/>
        </w:rPr>
      </w:pPr>
    </w:p>
    <w:p>
      <w:pPr>
        <w:spacing w:line="440" w:lineRule="exact"/>
        <w:ind w:firstLine="2692" w:firstLineChars="1282"/>
        <w:rPr>
          <w:color w:val="auto"/>
          <w:highlight w:val="none"/>
        </w:rPr>
      </w:pPr>
      <w:r>
        <w:rPr>
          <w:color w:val="auto"/>
          <w:highlight w:val="none"/>
        </w:rPr>
        <w:t>投  标  人：</w:t>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 xml:space="preserve">                   </w:t>
      </w:r>
      <w:r>
        <w:rPr>
          <w:color w:val="auto"/>
          <w:szCs w:val="21"/>
          <w:highlight w:val="none"/>
          <w:u w:val="single"/>
        </w:rPr>
        <w:tab/>
      </w:r>
      <w:r>
        <w:rPr>
          <w:color w:val="auto"/>
          <w:highlight w:val="none"/>
        </w:rPr>
        <w:t>（</w:t>
      </w:r>
      <w:r>
        <w:rPr>
          <w:rFonts w:hint="eastAsia"/>
          <w:color w:val="auto"/>
          <w:highlight w:val="none"/>
        </w:rPr>
        <w:t>盖</w:t>
      </w:r>
      <w:r>
        <w:rPr>
          <w:color w:val="auto"/>
          <w:highlight w:val="none"/>
        </w:rPr>
        <w:t>单位</w:t>
      </w:r>
      <w:r>
        <w:rPr>
          <w:rFonts w:hint="eastAsia"/>
          <w:color w:val="auto"/>
          <w:highlight w:val="none"/>
        </w:rPr>
        <w:t>公章</w:t>
      </w:r>
      <w:r>
        <w:rPr>
          <w:color w:val="auto"/>
          <w:highlight w:val="none"/>
        </w:rPr>
        <w:t>）</w:t>
      </w:r>
    </w:p>
    <w:p>
      <w:pPr>
        <w:spacing w:line="440" w:lineRule="exact"/>
        <w:ind w:firstLine="2690" w:firstLineChars="1281"/>
        <w:jc w:val="left"/>
        <w:rPr>
          <w:color w:val="auto"/>
          <w:highlight w:val="none"/>
        </w:rPr>
      </w:pPr>
      <w:r>
        <w:rPr>
          <w:color w:val="auto"/>
          <w:highlight w:val="none"/>
        </w:rPr>
        <w:t>法定代表人：</w:t>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 xml:space="preserve">        </w:t>
      </w:r>
      <w:r>
        <w:rPr>
          <w:color w:val="auto"/>
          <w:szCs w:val="21"/>
          <w:highlight w:val="none"/>
          <w:u w:val="single"/>
        </w:rPr>
        <w:tab/>
      </w:r>
      <w:r>
        <w:rPr>
          <w:color w:val="auto"/>
          <w:highlight w:val="none"/>
        </w:rPr>
        <w:t>（</w:t>
      </w:r>
      <w:r>
        <w:rPr>
          <w:rFonts w:hint="eastAsia" w:ascii="宋体" w:hAnsi="宋体"/>
          <w:color w:val="auto"/>
          <w:szCs w:val="21"/>
          <w:highlight w:val="none"/>
        </w:rPr>
        <w:t>签名或签章</w:t>
      </w:r>
      <w:r>
        <w:rPr>
          <w:color w:val="auto"/>
          <w:highlight w:val="none"/>
        </w:rPr>
        <w:t>）</w:t>
      </w:r>
    </w:p>
    <w:p>
      <w:pPr>
        <w:spacing w:line="440" w:lineRule="exact"/>
        <w:ind w:firstLine="2692" w:firstLineChars="1282"/>
        <w:rPr>
          <w:color w:val="auto"/>
          <w:highlight w:val="none"/>
        </w:rPr>
      </w:pPr>
      <w:r>
        <w:rPr>
          <w:color w:val="auto"/>
          <w:highlight w:val="none"/>
        </w:rPr>
        <w:t>身份证号码：</w:t>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 xml:space="preserve">                            </w:t>
      </w:r>
      <w:r>
        <w:rPr>
          <w:color w:val="auto"/>
          <w:szCs w:val="21"/>
          <w:highlight w:val="none"/>
          <w:u w:val="single"/>
        </w:rPr>
        <w:tab/>
      </w:r>
    </w:p>
    <w:p>
      <w:pPr>
        <w:spacing w:line="440" w:lineRule="exact"/>
        <w:ind w:firstLine="2692" w:firstLineChars="1282"/>
        <w:rPr>
          <w:color w:val="auto"/>
          <w:highlight w:val="none"/>
        </w:rPr>
      </w:pPr>
      <w:r>
        <w:rPr>
          <w:color w:val="auto"/>
          <w:highlight w:val="none"/>
        </w:rPr>
        <w:t>委托代理人：</w:t>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 xml:space="preserve">                  </w:t>
      </w:r>
      <w:r>
        <w:rPr>
          <w:color w:val="auto"/>
          <w:szCs w:val="21"/>
          <w:highlight w:val="none"/>
          <w:u w:val="single"/>
        </w:rPr>
        <w:tab/>
      </w:r>
      <w:r>
        <w:rPr>
          <w:color w:val="auto"/>
          <w:highlight w:val="none"/>
        </w:rPr>
        <w:t>（</w:t>
      </w:r>
      <w:r>
        <w:rPr>
          <w:rFonts w:hint="eastAsia" w:ascii="宋体" w:hAnsi="宋体"/>
          <w:color w:val="auto"/>
          <w:szCs w:val="21"/>
          <w:highlight w:val="none"/>
        </w:rPr>
        <w:t>签名或签章</w:t>
      </w:r>
      <w:r>
        <w:rPr>
          <w:color w:val="auto"/>
          <w:highlight w:val="none"/>
        </w:rPr>
        <w:t>）</w:t>
      </w:r>
    </w:p>
    <w:p>
      <w:pPr>
        <w:spacing w:line="440" w:lineRule="exact"/>
        <w:ind w:firstLine="2692" w:firstLineChars="1282"/>
        <w:rPr>
          <w:color w:val="auto"/>
          <w:highlight w:val="none"/>
        </w:rPr>
      </w:pPr>
      <w:r>
        <w:rPr>
          <w:color w:val="auto"/>
          <w:highlight w:val="none"/>
        </w:rPr>
        <w:t>身份证号码：</w:t>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 xml:space="preserve">                            </w:t>
      </w:r>
      <w:r>
        <w:rPr>
          <w:color w:val="auto"/>
          <w:szCs w:val="21"/>
          <w:highlight w:val="none"/>
          <w:u w:val="single"/>
        </w:rPr>
        <w:tab/>
      </w:r>
    </w:p>
    <w:p>
      <w:pPr>
        <w:spacing w:line="440" w:lineRule="exact"/>
        <w:ind w:firstLine="4057" w:firstLineChars="1932"/>
        <w:jc w:val="right"/>
        <w:rPr>
          <w:color w:val="auto"/>
          <w:highlight w:val="none"/>
        </w:rPr>
      </w:pPr>
      <w:r>
        <w:rPr>
          <w:color w:val="auto"/>
          <w:highlight w:val="none"/>
          <w:u w:val="single"/>
        </w:rPr>
        <w:t xml:space="preserve">       </w:t>
      </w:r>
      <w:r>
        <w:rPr>
          <w:color w:val="auto"/>
          <w:highlight w:val="none"/>
        </w:rPr>
        <w:t>年</w:t>
      </w:r>
      <w:r>
        <w:rPr>
          <w:color w:val="auto"/>
          <w:highlight w:val="none"/>
          <w:u w:val="single"/>
        </w:rPr>
        <w:t xml:space="preserve">       </w:t>
      </w:r>
      <w:r>
        <w:rPr>
          <w:color w:val="auto"/>
          <w:highlight w:val="none"/>
        </w:rPr>
        <w:t>月</w:t>
      </w:r>
      <w:r>
        <w:rPr>
          <w:color w:val="auto"/>
          <w:highlight w:val="none"/>
          <w:u w:val="single"/>
        </w:rPr>
        <w:t xml:space="preserve">       </w:t>
      </w:r>
      <w:r>
        <w:rPr>
          <w:color w:val="auto"/>
          <w:highlight w:val="none"/>
        </w:rPr>
        <w:t>日</w:t>
      </w:r>
    </w:p>
    <w:p>
      <w:pPr>
        <w:spacing w:line="440" w:lineRule="exact"/>
        <w:ind w:firstLine="4057" w:firstLineChars="1932"/>
        <w:jc w:val="right"/>
        <w:rPr>
          <w:color w:val="auto"/>
          <w:highlight w:val="none"/>
        </w:rPr>
      </w:pPr>
      <w:r>
        <w:rPr>
          <w:color w:val="auto"/>
          <w:highlight w:val="none"/>
        </w:rPr>
        <w:br w:type="page"/>
      </w:r>
    </w:p>
    <w:p>
      <w:pPr>
        <w:pStyle w:val="5"/>
        <w:spacing w:before="0" w:after="0" w:line="413" w:lineRule="auto"/>
        <w:ind w:firstLine="138"/>
        <w:jc w:val="center"/>
        <w:rPr>
          <w:b/>
          <w:bCs/>
          <w:color w:val="auto"/>
          <w:highlight w:val="none"/>
        </w:rPr>
      </w:pPr>
      <w:bookmarkStart w:id="540" w:name="_Toc573"/>
      <w:r>
        <w:rPr>
          <w:rFonts w:hint="eastAsia"/>
          <w:b/>
          <w:bCs/>
          <w:color w:val="auto"/>
          <w:highlight w:val="none"/>
        </w:rPr>
        <w:t>二、联合体协议书</w:t>
      </w:r>
      <w:bookmarkEnd w:id="540"/>
    </w:p>
    <w:p>
      <w:pPr>
        <w:spacing w:line="440" w:lineRule="exact"/>
        <w:jc w:val="center"/>
        <w:rPr>
          <w:color w:val="auto"/>
          <w:szCs w:val="21"/>
          <w:highlight w:val="none"/>
        </w:rPr>
      </w:pPr>
    </w:p>
    <w:p>
      <w:pPr>
        <w:topLinePunct/>
        <w:spacing w:line="440" w:lineRule="exact"/>
        <w:ind w:firstLine="420" w:firstLineChars="200"/>
        <w:rPr>
          <w:color w:val="auto"/>
          <w:highlight w:val="none"/>
        </w:rPr>
      </w:pPr>
      <w:r>
        <w:rPr>
          <w:color w:val="auto"/>
          <w:highlight w:val="none"/>
          <w:u w:val="single"/>
        </w:rPr>
        <w:t xml:space="preserve">                </w:t>
      </w:r>
      <w:r>
        <w:rPr>
          <w:color w:val="auto"/>
          <w:highlight w:val="none"/>
        </w:rPr>
        <w:t>（所有成员单位名称）自愿组成</w:t>
      </w:r>
      <w:r>
        <w:rPr>
          <w:color w:val="auto"/>
          <w:highlight w:val="none"/>
          <w:u w:val="single"/>
        </w:rPr>
        <w:t xml:space="preserve">        </w:t>
      </w:r>
      <w:r>
        <w:rPr>
          <w:color w:val="auto"/>
          <w:highlight w:val="none"/>
        </w:rPr>
        <w:t>（联合体名称）联合体，共同参加</w:t>
      </w:r>
      <w:r>
        <w:rPr>
          <w:color w:val="auto"/>
          <w:highlight w:val="none"/>
          <w:u w:val="single"/>
        </w:rPr>
        <w:t xml:space="preserve">                 </w:t>
      </w:r>
      <w:r>
        <w:rPr>
          <w:color w:val="auto"/>
          <w:highlight w:val="none"/>
        </w:rPr>
        <w:t>（项目名称</w:t>
      </w:r>
      <w:r>
        <w:rPr>
          <w:rFonts w:hint="eastAsia"/>
          <w:color w:val="auto"/>
          <w:highlight w:val="none"/>
        </w:rPr>
        <w:t>/标段名称</w:t>
      </w:r>
      <w:r>
        <w:rPr>
          <w:color w:val="auto"/>
          <w:highlight w:val="none"/>
        </w:rPr>
        <w:t>）</w:t>
      </w:r>
      <w:r>
        <w:rPr>
          <w:rFonts w:hint="eastAsia"/>
          <w:color w:val="auto"/>
          <w:highlight w:val="none"/>
        </w:rPr>
        <w:t>勘察</w:t>
      </w:r>
      <w:r>
        <w:rPr>
          <w:color w:val="auto"/>
          <w:highlight w:val="none"/>
        </w:rPr>
        <w:t>设计招标项目</w:t>
      </w:r>
      <w:r>
        <w:rPr>
          <w:color w:val="auto"/>
          <w:szCs w:val="21"/>
          <w:highlight w:val="none"/>
        </w:rPr>
        <w:t>投标。现就联</w:t>
      </w:r>
      <w:r>
        <w:rPr>
          <w:color w:val="auto"/>
          <w:highlight w:val="none"/>
        </w:rPr>
        <w:t>合体投标事宜订立如下协议。</w:t>
      </w:r>
    </w:p>
    <w:p>
      <w:pPr>
        <w:topLinePunct/>
        <w:spacing w:line="440" w:lineRule="exact"/>
        <w:ind w:firstLine="420" w:firstLineChars="200"/>
        <w:rPr>
          <w:color w:val="auto"/>
          <w:highlight w:val="none"/>
        </w:rPr>
      </w:pPr>
      <w:r>
        <w:rPr>
          <w:color w:val="auto"/>
          <w:highlight w:val="none"/>
        </w:rPr>
        <w:t xml:space="preserve">1. </w:t>
      </w:r>
      <w:r>
        <w:rPr>
          <w:color w:val="auto"/>
          <w:highlight w:val="none"/>
          <w:u w:val="single"/>
        </w:rPr>
        <w:t xml:space="preserve">                  </w:t>
      </w:r>
      <w:r>
        <w:rPr>
          <w:color w:val="auto"/>
          <w:highlight w:val="none"/>
        </w:rPr>
        <w:t>（某成员单位名称）为</w:t>
      </w:r>
      <w:r>
        <w:rPr>
          <w:color w:val="auto"/>
          <w:highlight w:val="none"/>
          <w:u w:val="single"/>
        </w:rPr>
        <w:t xml:space="preserve">        </w:t>
      </w:r>
      <w:r>
        <w:rPr>
          <w:color w:val="auto"/>
          <w:highlight w:val="none"/>
        </w:rPr>
        <w:t>（联合体名称）牵头人。</w:t>
      </w:r>
    </w:p>
    <w:p>
      <w:pPr>
        <w:topLinePunct/>
        <w:spacing w:line="440" w:lineRule="exact"/>
        <w:ind w:firstLine="420" w:firstLineChars="200"/>
        <w:rPr>
          <w:color w:val="auto"/>
          <w:highlight w:val="none"/>
        </w:rPr>
      </w:pPr>
      <w:r>
        <w:rPr>
          <w:color w:val="auto"/>
          <w:highlight w:val="none"/>
        </w:rPr>
        <w:t>2. 联合体各成员授权牵头人代表联合体参加投标活动，签署文件，提交和接收相关的资料、信息及指示，进行合同谈判活动，负责合同实施阶段的组织和协调工作，以及处理与本招标项目有关的一切事宜。</w:t>
      </w:r>
    </w:p>
    <w:p>
      <w:pPr>
        <w:topLinePunct/>
        <w:spacing w:line="440" w:lineRule="exact"/>
        <w:ind w:firstLine="420" w:firstLineChars="200"/>
        <w:rPr>
          <w:color w:val="auto"/>
          <w:highlight w:val="none"/>
        </w:rPr>
      </w:pPr>
      <w:r>
        <w:rPr>
          <w:color w:val="auto"/>
          <w:highlight w:val="none"/>
        </w:rPr>
        <w:t>3. 联合体牵头人在本项目中签署的一切文件和处理的一切事宜，联合体各成员均予以承认。联合体各成员将严格按照招标文件、投标文件和合同的要求全面履行义务，并向招标人承担连带责任。</w:t>
      </w:r>
    </w:p>
    <w:p>
      <w:pPr>
        <w:topLinePunct/>
        <w:spacing w:line="440" w:lineRule="exact"/>
        <w:ind w:firstLine="420" w:firstLineChars="200"/>
        <w:rPr>
          <w:color w:val="auto"/>
          <w:highlight w:val="none"/>
        </w:rPr>
      </w:pPr>
      <w:r>
        <w:rPr>
          <w:color w:val="auto"/>
          <w:highlight w:val="none"/>
        </w:rPr>
        <w:t>4. 联合体各成员单位内部的职责分工如下：</w:t>
      </w:r>
      <w:r>
        <w:rPr>
          <w:color w:val="auto"/>
          <w:highlight w:val="none"/>
          <w:u w:val="single"/>
        </w:rPr>
        <w:t xml:space="preserve">                   </w:t>
      </w:r>
      <w:r>
        <w:rPr>
          <w:rFonts w:hint="eastAsia"/>
          <w:color w:val="auto"/>
          <w:highlight w:val="none"/>
          <w:u w:val="single"/>
        </w:rPr>
        <w:t xml:space="preserve">                   </w:t>
      </w:r>
      <w:r>
        <w:rPr>
          <w:color w:val="auto"/>
          <w:highlight w:val="none"/>
          <w:u w:val="single"/>
        </w:rPr>
        <w:t xml:space="preserve"> </w:t>
      </w:r>
      <w:r>
        <w:rPr>
          <w:color w:val="auto"/>
          <w:highlight w:val="none"/>
        </w:rPr>
        <w:t>。</w:t>
      </w:r>
    </w:p>
    <w:p>
      <w:pPr>
        <w:topLinePunct/>
        <w:spacing w:line="440" w:lineRule="exact"/>
        <w:ind w:firstLine="420" w:firstLineChars="200"/>
        <w:rPr>
          <w:color w:val="auto"/>
          <w:highlight w:val="none"/>
        </w:rPr>
      </w:pPr>
      <w:r>
        <w:rPr>
          <w:color w:val="auto"/>
          <w:highlight w:val="none"/>
        </w:rPr>
        <w:t>5. 本协议书自所有成员单位法定代表人或其委托代理人签字或盖单位章之日起生效，</w:t>
      </w:r>
      <w:r>
        <w:rPr>
          <w:color w:val="auto"/>
          <w:szCs w:val="21"/>
          <w:highlight w:val="none"/>
        </w:rPr>
        <w:t>合同履行完毕后自动失效</w:t>
      </w:r>
      <w:r>
        <w:rPr>
          <w:color w:val="auto"/>
          <w:highlight w:val="none"/>
        </w:rPr>
        <w:t>。</w:t>
      </w:r>
    </w:p>
    <w:p>
      <w:pPr>
        <w:topLinePunct/>
        <w:spacing w:line="440" w:lineRule="exact"/>
        <w:ind w:firstLine="420" w:firstLineChars="200"/>
        <w:rPr>
          <w:color w:val="auto"/>
          <w:highlight w:val="none"/>
        </w:rPr>
      </w:pPr>
      <w:r>
        <w:rPr>
          <w:color w:val="auto"/>
          <w:highlight w:val="none"/>
        </w:rPr>
        <w:t>6. 本协议书一式</w:t>
      </w:r>
      <w:r>
        <w:rPr>
          <w:color w:val="auto"/>
          <w:highlight w:val="none"/>
          <w:u w:val="single"/>
        </w:rPr>
        <w:t xml:space="preserve">    </w:t>
      </w:r>
      <w:r>
        <w:rPr>
          <w:color w:val="auto"/>
          <w:highlight w:val="none"/>
        </w:rPr>
        <w:t>份，联合体成员和招标人各执一份。</w:t>
      </w:r>
    </w:p>
    <w:p>
      <w:pPr>
        <w:topLinePunct/>
        <w:spacing w:line="440" w:lineRule="exact"/>
        <w:ind w:firstLine="420" w:firstLineChars="200"/>
        <w:rPr>
          <w:color w:val="auto"/>
          <w:highlight w:val="none"/>
        </w:rPr>
      </w:pPr>
      <w:r>
        <w:rPr>
          <w:color w:val="auto"/>
          <w:highlight w:val="none"/>
        </w:rPr>
        <w:t>注：本协议书由法定代表人签字的，应附法定代表人身份证明；由委托代理人签字的，应附授权委托书。</w:t>
      </w:r>
    </w:p>
    <w:p>
      <w:pPr>
        <w:topLinePunct/>
        <w:spacing w:line="440" w:lineRule="exact"/>
        <w:ind w:firstLine="2408" w:firstLineChars="1147"/>
        <w:rPr>
          <w:color w:val="auto"/>
          <w:highlight w:val="none"/>
        </w:rPr>
      </w:pPr>
      <w:r>
        <w:rPr>
          <w:color w:val="auto"/>
          <w:highlight w:val="none"/>
        </w:rPr>
        <w:t>联合体牵头人名称：</w:t>
      </w:r>
      <w:r>
        <w:rPr>
          <w:color w:val="auto"/>
          <w:szCs w:val="21"/>
          <w:highlight w:val="none"/>
          <w:u w:val="single"/>
        </w:rPr>
        <w:tab/>
      </w:r>
      <w:r>
        <w:rPr>
          <w:color w:val="auto"/>
          <w:szCs w:val="21"/>
          <w:highlight w:val="none"/>
          <w:u w:val="single"/>
        </w:rPr>
        <w:t xml:space="preserve">  </w:t>
      </w:r>
      <w:r>
        <w:rPr>
          <w:color w:val="auto"/>
          <w:szCs w:val="21"/>
          <w:highlight w:val="none"/>
          <w:u w:val="single"/>
        </w:rPr>
        <w:tab/>
      </w:r>
      <w:r>
        <w:rPr>
          <w:color w:val="auto"/>
          <w:szCs w:val="21"/>
          <w:highlight w:val="none"/>
          <w:u w:val="single"/>
        </w:rPr>
        <w:tab/>
      </w:r>
      <w:r>
        <w:rPr>
          <w:color w:val="auto"/>
          <w:szCs w:val="21"/>
          <w:highlight w:val="none"/>
          <w:u w:val="single"/>
        </w:rPr>
        <w:t xml:space="preserve">            </w:t>
      </w:r>
      <w:r>
        <w:rPr>
          <w:color w:val="auto"/>
          <w:szCs w:val="21"/>
          <w:highlight w:val="none"/>
          <w:u w:val="single"/>
        </w:rPr>
        <w:tab/>
      </w:r>
      <w:r>
        <w:rPr>
          <w:color w:val="auto"/>
          <w:highlight w:val="none"/>
        </w:rPr>
        <w:t>（盖单位</w:t>
      </w:r>
      <w:r>
        <w:rPr>
          <w:rFonts w:hint="eastAsia"/>
          <w:color w:val="auto"/>
          <w:highlight w:val="none"/>
        </w:rPr>
        <w:t>公</w:t>
      </w:r>
      <w:r>
        <w:rPr>
          <w:color w:val="auto"/>
          <w:highlight w:val="none"/>
        </w:rPr>
        <w:t>章）</w:t>
      </w:r>
    </w:p>
    <w:p>
      <w:pPr>
        <w:topLinePunct/>
        <w:spacing w:line="440" w:lineRule="exact"/>
        <w:ind w:firstLine="2408" w:firstLineChars="1147"/>
        <w:jc w:val="left"/>
        <w:rPr>
          <w:color w:val="auto"/>
          <w:highlight w:val="none"/>
        </w:rPr>
      </w:pPr>
      <w:r>
        <w:rPr>
          <w:color w:val="auto"/>
          <w:highlight w:val="none"/>
        </w:rPr>
        <w:t>法定代表人或其委托代理人：</w:t>
      </w:r>
      <w:r>
        <w:rPr>
          <w:color w:val="auto"/>
          <w:szCs w:val="21"/>
          <w:highlight w:val="none"/>
          <w:u w:val="single"/>
        </w:rPr>
        <w:t xml:space="preserve">         </w:t>
      </w:r>
      <w:r>
        <w:rPr>
          <w:color w:val="auto"/>
          <w:szCs w:val="21"/>
          <w:highlight w:val="none"/>
          <w:u w:val="single"/>
        </w:rPr>
        <w:tab/>
      </w:r>
      <w:r>
        <w:rPr>
          <w:color w:val="auto"/>
          <w:highlight w:val="none"/>
        </w:rPr>
        <w:t>（</w:t>
      </w:r>
      <w:r>
        <w:rPr>
          <w:rFonts w:hint="eastAsia" w:ascii="宋体" w:hAnsi="宋体"/>
          <w:color w:val="auto"/>
          <w:szCs w:val="21"/>
          <w:highlight w:val="none"/>
        </w:rPr>
        <w:t>签名或签章</w:t>
      </w:r>
      <w:r>
        <w:rPr>
          <w:color w:val="auto"/>
          <w:highlight w:val="none"/>
        </w:rPr>
        <w:t>）</w:t>
      </w:r>
    </w:p>
    <w:p>
      <w:pPr>
        <w:topLinePunct/>
        <w:spacing w:line="440" w:lineRule="exact"/>
        <w:ind w:firstLine="2408" w:firstLineChars="1147"/>
        <w:jc w:val="left"/>
        <w:rPr>
          <w:color w:val="auto"/>
          <w:highlight w:val="none"/>
        </w:rPr>
      </w:pPr>
    </w:p>
    <w:p>
      <w:pPr>
        <w:topLinePunct/>
        <w:spacing w:line="440" w:lineRule="exact"/>
        <w:ind w:firstLine="2408" w:firstLineChars="1147"/>
        <w:jc w:val="left"/>
        <w:rPr>
          <w:color w:val="auto"/>
          <w:highlight w:val="none"/>
        </w:rPr>
      </w:pPr>
      <w:r>
        <w:rPr>
          <w:color w:val="auto"/>
          <w:highlight w:val="none"/>
        </w:rPr>
        <w:t>联合体成员名称：</w:t>
      </w:r>
      <w:r>
        <w:rPr>
          <w:color w:val="auto"/>
          <w:szCs w:val="21"/>
          <w:highlight w:val="none"/>
          <w:u w:val="single"/>
        </w:rPr>
        <w:t xml:space="preserve">                          </w:t>
      </w:r>
      <w:r>
        <w:rPr>
          <w:color w:val="auto"/>
          <w:szCs w:val="21"/>
          <w:highlight w:val="none"/>
          <w:u w:val="single"/>
        </w:rPr>
        <w:tab/>
      </w:r>
      <w:r>
        <w:rPr>
          <w:color w:val="auto"/>
          <w:highlight w:val="none"/>
        </w:rPr>
        <w:t>（盖单位</w:t>
      </w:r>
      <w:r>
        <w:rPr>
          <w:rFonts w:hint="eastAsia"/>
          <w:color w:val="auto"/>
          <w:highlight w:val="none"/>
        </w:rPr>
        <w:t>公</w:t>
      </w:r>
      <w:r>
        <w:rPr>
          <w:color w:val="auto"/>
          <w:highlight w:val="none"/>
        </w:rPr>
        <w:t>章）</w:t>
      </w:r>
    </w:p>
    <w:p>
      <w:pPr>
        <w:topLinePunct/>
        <w:spacing w:line="440" w:lineRule="exact"/>
        <w:ind w:firstLine="2408" w:firstLineChars="1147"/>
        <w:jc w:val="left"/>
        <w:rPr>
          <w:color w:val="auto"/>
          <w:highlight w:val="none"/>
        </w:rPr>
      </w:pPr>
      <w:r>
        <w:rPr>
          <w:color w:val="auto"/>
          <w:highlight w:val="none"/>
        </w:rPr>
        <w:t>法定代表人或其委托代理人：</w:t>
      </w:r>
      <w:r>
        <w:rPr>
          <w:color w:val="auto"/>
          <w:szCs w:val="21"/>
          <w:highlight w:val="none"/>
          <w:u w:val="single"/>
        </w:rPr>
        <w:t xml:space="preserve">         </w:t>
      </w:r>
      <w:r>
        <w:rPr>
          <w:color w:val="auto"/>
          <w:highlight w:val="none"/>
        </w:rPr>
        <w:t>（</w:t>
      </w:r>
      <w:r>
        <w:rPr>
          <w:rFonts w:hint="eastAsia" w:ascii="宋体" w:hAnsi="宋体"/>
          <w:color w:val="auto"/>
          <w:szCs w:val="21"/>
          <w:highlight w:val="none"/>
        </w:rPr>
        <w:t>签名或签章</w:t>
      </w:r>
      <w:r>
        <w:rPr>
          <w:color w:val="auto"/>
          <w:highlight w:val="none"/>
        </w:rPr>
        <w:t>）</w:t>
      </w:r>
    </w:p>
    <w:p>
      <w:pPr>
        <w:topLinePunct/>
        <w:spacing w:line="440" w:lineRule="exact"/>
        <w:ind w:firstLine="2408" w:firstLineChars="1147"/>
        <w:jc w:val="left"/>
        <w:rPr>
          <w:color w:val="auto"/>
          <w:highlight w:val="none"/>
        </w:rPr>
      </w:pPr>
    </w:p>
    <w:p>
      <w:pPr>
        <w:topLinePunct/>
        <w:spacing w:line="440" w:lineRule="exact"/>
        <w:ind w:firstLine="2408" w:firstLineChars="1147"/>
        <w:rPr>
          <w:color w:val="auto"/>
          <w:highlight w:val="none"/>
        </w:rPr>
      </w:pPr>
      <w:r>
        <w:rPr>
          <w:color w:val="auto"/>
          <w:highlight w:val="none"/>
        </w:rPr>
        <w:t xml:space="preserve">…… </w:t>
      </w:r>
    </w:p>
    <w:p>
      <w:pPr>
        <w:topLinePunct/>
        <w:spacing w:line="440" w:lineRule="exact"/>
        <w:ind w:firstLine="3700" w:firstLineChars="1762"/>
        <w:rPr>
          <w:color w:val="auto"/>
          <w:highlight w:val="none"/>
        </w:rPr>
      </w:pPr>
      <w:r>
        <w:rPr>
          <w:color w:val="auto"/>
          <w:highlight w:val="none"/>
          <w:u w:val="single"/>
        </w:rPr>
        <w:t xml:space="preserve">       </w:t>
      </w:r>
      <w:r>
        <w:rPr>
          <w:color w:val="auto"/>
          <w:highlight w:val="none"/>
        </w:rPr>
        <w:t>年</w:t>
      </w:r>
      <w:r>
        <w:rPr>
          <w:color w:val="auto"/>
          <w:highlight w:val="none"/>
          <w:u w:val="single"/>
        </w:rPr>
        <w:t xml:space="preserve">       </w:t>
      </w:r>
      <w:r>
        <w:rPr>
          <w:color w:val="auto"/>
          <w:highlight w:val="none"/>
        </w:rPr>
        <w:t>月</w:t>
      </w:r>
      <w:r>
        <w:rPr>
          <w:color w:val="auto"/>
          <w:highlight w:val="none"/>
          <w:u w:val="single"/>
        </w:rPr>
        <w:t xml:space="preserve">       </w:t>
      </w:r>
      <w:r>
        <w:rPr>
          <w:color w:val="auto"/>
          <w:highlight w:val="none"/>
        </w:rPr>
        <w:t>日</w:t>
      </w:r>
      <w:r>
        <w:rPr>
          <w:color w:val="auto"/>
          <w:highlight w:val="none"/>
        </w:rPr>
        <w:br w:type="page"/>
      </w:r>
    </w:p>
    <w:p>
      <w:pPr>
        <w:pStyle w:val="5"/>
        <w:ind w:firstLine="138"/>
        <w:jc w:val="center"/>
        <w:rPr>
          <w:b/>
          <w:bCs/>
          <w:color w:val="auto"/>
          <w:highlight w:val="none"/>
        </w:rPr>
      </w:pPr>
      <w:bookmarkStart w:id="541" w:name="_Toc1548"/>
      <w:r>
        <w:rPr>
          <w:rFonts w:hint="eastAsia"/>
          <w:b/>
          <w:bCs/>
          <w:color w:val="auto"/>
          <w:highlight w:val="none"/>
        </w:rPr>
        <w:t>三、投标保证金</w:t>
      </w:r>
      <w:bookmarkEnd w:id="541"/>
    </w:p>
    <w:p>
      <w:pPr>
        <w:spacing w:line="440" w:lineRule="exact"/>
        <w:ind w:firstLine="420" w:firstLineChars="200"/>
        <w:rPr>
          <w:color w:val="auto"/>
          <w:szCs w:val="21"/>
          <w:highlight w:val="none"/>
          <w:u w:val="single"/>
        </w:rPr>
      </w:pPr>
      <w:r>
        <w:rPr>
          <w:color w:val="auto"/>
          <w:szCs w:val="21"/>
          <w:highlight w:val="none"/>
          <w:u w:val="single"/>
        </w:rPr>
        <w:t>若采用</w:t>
      </w:r>
      <w:r>
        <w:rPr>
          <w:rFonts w:hint="eastAsia"/>
          <w:color w:val="auto"/>
          <w:szCs w:val="21"/>
          <w:highlight w:val="none"/>
          <w:u w:val="single"/>
        </w:rPr>
        <w:t>电汇（转账）</w:t>
      </w:r>
      <w:r>
        <w:rPr>
          <w:color w:val="auto"/>
          <w:szCs w:val="21"/>
          <w:highlight w:val="none"/>
          <w:u w:val="single"/>
        </w:rPr>
        <w:t>，投标人应在此提供汇款凭证的复印件</w:t>
      </w:r>
      <w:r>
        <w:rPr>
          <w:rFonts w:hint="eastAsia"/>
          <w:color w:val="auto"/>
          <w:szCs w:val="21"/>
          <w:highlight w:val="none"/>
          <w:u w:val="single"/>
        </w:rPr>
        <w:t>及</w:t>
      </w:r>
      <w:r>
        <w:rPr>
          <w:rFonts w:hint="eastAsia"/>
          <w:color w:val="auto"/>
          <w:highlight w:val="none"/>
          <w:u w:val="single"/>
        </w:rPr>
        <w:t>基本账户开户许可证复印件。</w:t>
      </w:r>
    </w:p>
    <w:p>
      <w:pPr>
        <w:spacing w:line="440" w:lineRule="exact"/>
        <w:ind w:firstLine="420" w:firstLineChars="200"/>
        <w:rPr>
          <w:rFonts w:hint="eastAsia"/>
          <w:color w:val="auto"/>
          <w:szCs w:val="21"/>
          <w:highlight w:val="none"/>
          <w:u w:val="single"/>
        </w:rPr>
      </w:pPr>
      <w:r>
        <w:rPr>
          <w:color w:val="auto"/>
          <w:szCs w:val="21"/>
          <w:highlight w:val="none"/>
          <w:u w:val="single"/>
        </w:rPr>
        <w:t>如采用保函</w:t>
      </w:r>
      <w:r>
        <w:rPr>
          <w:rFonts w:hint="eastAsia"/>
          <w:color w:val="auto"/>
          <w:szCs w:val="21"/>
          <w:highlight w:val="none"/>
          <w:u w:val="single"/>
        </w:rPr>
        <w:t>、保险</w:t>
      </w:r>
      <w:r>
        <w:rPr>
          <w:color w:val="auto"/>
          <w:szCs w:val="21"/>
          <w:highlight w:val="none"/>
          <w:u w:val="single"/>
        </w:rPr>
        <w:t>，</w:t>
      </w:r>
      <w:r>
        <w:rPr>
          <w:rFonts w:hint="eastAsia"/>
          <w:color w:val="auto"/>
          <w:szCs w:val="21"/>
          <w:highlight w:val="none"/>
          <w:u w:val="single"/>
        </w:rPr>
        <w:t>投标人应在此提供保函的复印件，保函原件应在投标截止时间前递交至投标人须知前附表中规定的保函递交地点处。（形式包括具有法律效力的保函、保险等，格式自定）。</w:t>
      </w:r>
    </w:p>
    <w:p>
      <w:pPr>
        <w:spacing w:line="440" w:lineRule="exact"/>
        <w:rPr>
          <w:color w:val="auto"/>
          <w:szCs w:val="21"/>
          <w:highlight w:val="none"/>
        </w:rPr>
      </w:pPr>
    </w:p>
    <w:p>
      <w:pPr>
        <w:spacing w:line="440" w:lineRule="exact"/>
        <w:rPr>
          <w:color w:val="auto"/>
          <w:highlight w:val="none"/>
        </w:rPr>
      </w:pPr>
      <w:r>
        <w:rPr>
          <w:color w:val="auto"/>
          <w:szCs w:val="21"/>
          <w:highlight w:val="none"/>
          <w:u w:val="single"/>
        </w:rPr>
        <w:tab/>
      </w:r>
      <w:r>
        <w:rPr>
          <w:color w:val="auto"/>
          <w:szCs w:val="21"/>
          <w:highlight w:val="none"/>
          <w:u w:val="single"/>
        </w:rPr>
        <w:t xml:space="preserve">          </w:t>
      </w:r>
      <w:r>
        <w:rPr>
          <w:color w:val="auto"/>
          <w:szCs w:val="21"/>
          <w:highlight w:val="none"/>
          <w:u w:val="single"/>
        </w:rPr>
        <w:tab/>
      </w:r>
      <w:r>
        <w:rPr>
          <w:color w:val="auto"/>
          <w:highlight w:val="none"/>
        </w:rPr>
        <w:t>（招标人名称）</w:t>
      </w:r>
      <w:r>
        <w:rPr>
          <w:color w:val="auto"/>
          <w:szCs w:val="21"/>
          <w:highlight w:val="none"/>
        </w:rPr>
        <w:t>：</w:t>
      </w:r>
    </w:p>
    <w:p>
      <w:pPr>
        <w:spacing w:line="440" w:lineRule="exact"/>
        <w:rPr>
          <w:color w:val="auto"/>
          <w:szCs w:val="21"/>
          <w:highlight w:val="none"/>
        </w:rPr>
      </w:pPr>
    </w:p>
    <w:p>
      <w:pPr>
        <w:spacing w:line="400" w:lineRule="exact"/>
        <w:ind w:firstLine="315" w:firstLineChars="150"/>
        <w:rPr>
          <w:color w:val="auto"/>
          <w:szCs w:val="21"/>
          <w:highlight w:val="none"/>
        </w:rPr>
      </w:pPr>
      <w:r>
        <w:rPr>
          <w:color w:val="auto"/>
          <w:highlight w:val="none"/>
        </w:rPr>
        <w:t>鉴于</w:t>
      </w:r>
      <w:r>
        <w:rPr>
          <w:color w:val="auto"/>
          <w:highlight w:val="none"/>
          <w:u w:val="single"/>
        </w:rPr>
        <w:t xml:space="preserve">               </w:t>
      </w:r>
      <w:r>
        <w:rPr>
          <w:color w:val="auto"/>
          <w:szCs w:val="21"/>
          <w:highlight w:val="none"/>
        </w:rPr>
        <w:t>（投标人名称）（以下</w:t>
      </w:r>
      <w:r>
        <w:rPr>
          <w:color w:val="auto"/>
          <w:highlight w:val="none"/>
        </w:rPr>
        <w:t>称</w:t>
      </w:r>
      <w:r>
        <w:rPr>
          <w:rFonts w:hint="eastAsia"/>
          <w:color w:val="auto"/>
          <w:highlight w:val="none"/>
        </w:rPr>
        <w:t>“</w:t>
      </w:r>
      <w:r>
        <w:rPr>
          <w:color w:val="auto"/>
          <w:highlight w:val="none"/>
        </w:rPr>
        <w:t>投标人</w:t>
      </w:r>
      <w:r>
        <w:rPr>
          <w:rFonts w:hint="eastAsia"/>
          <w:color w:val="auto"/>
          <w:highlight w:val="none"/>
        </w:rPr>
        <w:t>”</w:t>
      </w:r>
      <w:r>
        <w:rPr>
          <w:color w:val="auto"/>
          <w:highlight w:val="none"/>
        </w:rPr>
        <w:t>）于</w:t>
      </w:r>
      <w:r>
        <w:rPr>
          <w:color w:val="auto"/>
          <w:highlight w:val="none"/>
          <w:u w:val="single"/>
        </w:rPr>
        <w:t xml:space="preserve">       </w:t>
      </w:r>
      <w:r>
        <w:rPr>
          <w:color w:val="auto"/>
          <w:szCs w:val="21"/>
          <w:highlight w:val="none"/>
        </w:rPr>
        <w:t>年</w:t>
      </w:r>
      <w:r>
        <w:rPr>
          <w:color w:val="auto"/>
          <w:highlight w:val="none"/>
          <w:u w:val="single"/>
        </w:rPr>
        <w:t xml:space="preserve">       </w:t>
      </w:r>
      <w:r>
        <w:rPr>
          <w:color w:val="auto"/>
          <w:szCs w:val="21"/>
          <w:highlight w:val="none"/>
        </w:rPr>
        <w:t>月</w:t>
      </w:r>
      <w:r>
        <w:rPr>
          <w:color w:val="auto"/>
          <w:highlight w:val="none"/>
          <w:u w:val="single"/>
        </w:rPr>
        <w:t xml:space="preserve">        </w:t>
      </w:r>
      <w:r>
        <w:rPr>
          <w:color w:val="auto"/>
          <w:szCs w:val="21"/>
          <w:highlight w:val="none"/>
        </w:rPr>
        <w:t>日参加</w:t>
      </w:r>
      <w:r>
        <w:rPr>
          <w:color w:val="auto"/>
          <w:highlight w:val="none"/>
          <w:u w:val="single"/>
        </w:rPr>
        <w:t xml:space="preserve">                 </w:t>
      </w:r>
      <w:r>
        <w:rPr>
          <w:color w:val="auto"/>
          <w:highlight w:val="none"/>
        </w:rPr>
        <w:t>（项目名称</w:t>
      </w:r>
      <w:r>
        <w:rPr>
          <w:rFonts w:hint="eastAsia"/>
          <w:color w:val="auto"/>
          <w:highlight w:val="none"/>
        </w:rPr>
        <w:t>/标段名称</w:t>
      </w:r>
      <w:r>
        <w:rPr>
          <w:color w:val="auto"/>
          <w:highlight w:val="none"/>
        </w:rPr>
        <w:t>）</w:t>
      </w:r>
      <w:r>
        <w:rPr>
          <w:rFonts w:hint="eastAsia"/>
          <w:color w:val="auto"/>
          <w:highlight w:val="none"/>
        </w:rPr>
        <w:t>勘察</w:t>
      </w:r>
      <w:r>
        <w:rPr>
          <w:color w:val="auto"/>
          <w:highlight w:val="none"/>
        </w:rPr>
        <w:t>设计招标的</w:t>
      </w:r>
      <w:r>
        <w:rPr>
          <w:color w:val="auto"/>
          <w:szCs w:val="21"/>
          <w:highlight w:val="none"/>
        </w:rPr>
        <w:t>投标，</w:t>
      </w:r>
      <w:r>
        <w:rPr>
          <w:color w:val="auto"/>
          <w:highlight w:val="none"/>
          <w:u w:val="single"/>
        </w:rPr>
        <w:t xml:space="preserve">          </w:t>
      </w:r>
      <w:r>
        <w:rPr>
          <w:color w:val="auto"/>
          <w:szCs w:val="21"/>
          <w:highlight w:val="none"/>
        </w:rPr>
        <w:t>（担保人名称，以下简称</w:t>
      </w:r>
      <w:r>
        <w:rPr>
          <w:rFonts w:hint="eastAsia"/>
          <w:color w:val="auto"/>
          <w:szCs w:val="21"/>
          <w:highlight w:val="none"/>
        </w:rPr>
        <w:t>“</w:t>
      </w:r>
      <w:r>
        <w:rPr>
          <w:color w:val="auto"/>
          <w:szCs w:val="21"/>
          <w:highlight w:val="none"/>
        </w:rPr>
        <w:t>我方</w:t>
      </w:r>
      <w:r>
        <w:rPr>
          <w:rFonts w:hint="eastAsia"/>
          <w:color w:val="auto"/>
          <w:szCs w:val="21"/>
          <w:highlight w:val="none"/>
        </w:rPr>
        <w:t>”</w:t>
      </w:r>
      <w:r>
        <w:rPr>
          <w:color w:val="auto"/>
          <w:szCs w:val="21"/>
          <w:highlight w:val="none"/>
        </w:rPr>
        <w:t>）无条件地、不可撤销地保证：若</w:t>
      </w:r>
      <w:r>
        <w:rPr>
          <w:color w:val="auto"/>
          <w:highlight w:val="none"/>
        </w:rPr>
        <w:t>投标人在投标有效期内</w:t>
      </w:r>
      <w:r>
        <w:rPr>
          <w:color w:val="auto"/>
          <w:szCs w:val="21"/>
          <w:highlight w:val="none"/>
        </w:rPr>
        <w:t>撤销投标文件，中标后无正当理由不与招标人订立合同，在签订合同时向招标人提出附加条件，不按照招标文件要求提交履约保证金，或者</w:t>
      </w:r>
      <w:r>
        <w:rPr>
          <w:color w:val="auto"/>
          <w:highlight w:val="none"/>
        </w:rPr>
        <w:t>发生招标文件明确规定可以</w:t>
      </w:r>
      <w:r>
        <w:rPr>
          <w:color w:val="auto"/>
          <w:szCs w:val="21"/>
          <w:highlight w:val="none"/>
        </w:rPr>
        <w:t>不予退还</w:t>
      </w:r>
      <w:r>
        <w:rPr>
          <w:color w:val="auto"/>
          <w:highlight w:val="none"/>
        </w:rPr>
        <w:t>投标保证金的其他情形</w:t>
      </w:r>
      <w:r>
        <w:rPr>
          <w:color w:val="auto"/>
          <w:szCs w:val="21"/>
          <w:highlight w:val="none"/>
        </w:rPr>
        <w:t>，我方承担保证责任。收到你方书面通知后，我方在7日内向你方无条件支付人民币（大写）</w:t>
      </w:r>
      <w:r>
        <w:rPr>
          <w:color w:val="auto"/>
          <w:highlight w:val="none"/>
          <w:u w:val="single"/>
        </w:rPr>
        <w:t xml:space="preserve">            </w:t>
      </w:r>
      <w:r>
        <w:rPr>
          <w:color w:val="auto"/>
          <w:szCs w:val="21"/>
          <w:highlight w:val="none"/>
        </w:rPr>
        <w:t>。</w:t>
      </w:r>
    </w:p>
    <w:p>
      <w:pPr>
        <w:spacing w:line="440" w:lineRule="exact"/>
        <w:ind w:firstLine="420" w:firstLineChars="200"/>
        <w:rPr>
          <w:color w:val="auto"/>
          <w:szCs w:val="21"/>
          <w:highlight w:val="none"/>
        </w:rPr>
      </w:pPr>
      <w:r>
        <w:rPr>
          <w:color w:val="auto"/>
          <w:szCs w:val="21"/>
          <w:highlight w:val="none"/>
        </w:rPr>
        <w:t>本保函在投标有效期内保持有效。要求我方承担保证责任的通知应在投标有效期内送达我方。</w:t>
      </w:r>
    </w:p>
    <w:p>
      <w:pPr>
        <w:spacing w:line="440" w:lineRule="exact"/>
        <w:rPr>
          <w:color w:val="auto"/>
          <w:szCs w:val="21"/>
          <w:highlight w:val="none"/>
        </w:rPr>
      </w:pPr>
    </w:p>
    <w:p>
      <w:pPr>
        <w:spacing w:line="440" w:lineRule="exact"/>
        <w:rPr>
          <w:color w:val="auto"/>
          <w:szCs w:val="21"/>
          <w:highlight w:val="none"/>
        </w:rPr>
      </w:pPr>
    </w:p>
    <w:p>
      <w:pPr>
        <w:spacing w:line="440" w:lineRule="exact"/>
        <w:ind w:firstLine="3208" w:firstLineChars="1528"/>
        <w:jc w:val="right"/>
        <w:rPr>
          <w:color w:val="auto"/>
          <w:szCs w:val="21"/>
          <w:highlight w:val="none"/>
        </w:rPr>
      </w:pPr>
      <w:r>
        <w:rPr>
          <w:color w:val="auto"/>
          <w:szCs w:val="21"/>
          <w:highlight w:val="none"/>
        </w:rPr>
        <w:t>担保人名称：</w:t>
      </w:r>
      <w:r>
        <w:rPr>
          <w:color w:val="auto"/>
          <w:szCs w:val="21"/>
          <w:highlight w:val="none"/>
          <w:u w:val="single"/>
        </w:rPr>
        <w:t xml:space="preserve">             </w:t>
      </w:r>
      <w:r>
        <w:rPr>
          <w:color w:val="auto"/>
          <w:szCs w:val="21"/>
          <w:highlight w:val="none"/>
          <w:u w:val="single"/>
        </w:rPr>
        <w:tab/>
      </w:r>
      <w:r>
        <w:rPr>
          <w:color w:val="auto"/>
          <w:szCs w:val="21"/>
          <w:highlight w:val="none"/>
          <w:u w:val="single"/>
        </w:rPr>
        <w:t xml:space="preserve">           </w:t>
      </w:r>
      <w:r>
        <w:rPr>
          <w:color w:val="auto"/>
          <w:szCs w:val="21"/>
          <w:highlight w:val="none"/>
          <w:u w:val="single"/>
        </w:rPr>
        <w:tab/>
      </w:r>
      <w:r>
        <w:rPr>
          <w:color w:val="auto"/>
          <w:szCs w:val="21"/>
          <w:highlight w:val="none"/>
        </w:rPr>
        <w:t>（盖单位章）</w:t>
      </w:r>
    </w:p>
    <w:p>
      <w:pPr>
        <w:spacing w:line="440" w:lineRule="exact"/>
        <w:ind w:firstLine="3208" w:firstLineChars="1528"/>
        <w:jc w:val="right"/>
        <w:rPr>
          <w:color w:val="auto"/>
          <w:szCs w:val="21"/>
          <w:highlight w:val="none"/>
        </w:rPr>
      </w:pPr>
      <w:r>
        <w:rPr>
          <w:color w:val="auto"/>
          <w:szCs w:val="21"/>
          <w:highlight w:val="none"/>
        </w:rPr>
        <w:t>法定代表人或委托代理人：</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rPr>
        <w:t>（</w:t>
      </w:r>
      <w:r>
        <w:rPr>
          <w:rFonts w:hint="eastAsia" w:ascii="宋体" w:hAnsi="宋体"/>
          <w:color w:val="auto"/>
          <w:szCs w:val="21"/>
          <w:highlight w:val="none"/>
        </w:rPr>
        <w:t>签名或签章</w:t>
      </w:r>
      <w:r>
        <w:rPr>
          <w:color w:val="auto"/>
          <w:szCs w:val="21"/>
          <w:highlight w:val="none"/>
        </w:rPr>
        <w:t>）</w:t>
      </w:r>
    </w:p>
    <w:p>
      <w:pPr>
        <w:spacing w:line="440" w:lineRule="exact"/>
        <w:ind w:firstLine="3208" w:firstLineChars="1528"/>
        <w:jc w:val="right"/>
        <w:rPr>
          <w:color w:val="auto"/>
          <w:szCs w:val="21"/>
          <w:highlight w:val="none"/>
        </w:rPr>
      </w:pPr>
      <w:r>
        <w:rPr>
          <w:color w:val="auto"/>
          <w:szCs w:val="21"/>
          <w:highlight w:val="none"/>
        </w:rPr>
        <w:t>地     址：</w:t>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 xml:space="preserve">                     </w:t>
      </w:r>
      <w:r>
        <w:rPr>
          <w:color w:val="auto"/>
          <w:szCs w:val="21"/>
          <w:highlight w:val="none"/>
          <w:u w:val="single"/>
        </w:rPr>
        <w:tab/>
      </w:r>
    </w:p>
    <w:p>
      <w:pPr>
        <w:spacing w:line="440" w:lineRule="exact"/>
        <w:ind w:firstLine="3208" w:firstLineChars="1528"/>
        <w:jc w:val="right"/>
        <w:rPr>
          <w:color w:val="auto"/>
          <w:szCs w:val="21"/>
          <w:highlight w:val="none"/>
          <w:u w:val="single"/>
        </w:rPr>
      </w:pPr>
      <w:r>
        <w:rPr>
          <w:color w:val="auto"/>
          <w:szCs w:val="21"/>
          <w:highlight w:val="none"/>
        </w:rPr>
        <w:t>邮政编码：</w:t>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 xml:space="preserve">            </w:t>
      </w:r>
      <w:r>
        <w:rPr>
          <w:color w:val="auto"/>
          <w:szCs w:val="21"/>
          <w:highlight w:val="none"/>
          <w:u w:val="single"/>
        </w:rPr>
        <w:tab/>
      </w:r>
      <w:r>
        <w:rPr>
          <w:color w:val="auto"/>
          <w:szCs w:val="21"/>
          <w:highlight w:val="none"/>
          <w:u w:val="single"/>
        </w:rPr>
        <w:tab/>
      </w:r>
    </w:p>
    <w:p>
      <w:pPr>
        <w:spacing w:line="440" w:lineRule="exact"/>
        <w:ind w:firstLine="3208" w:firstLineChars="1528"/>
        <w:jc w:val="right"/>
        <w:rPr>
          <w:color w:val="auto"/>
          <w:szCs w:val="21"/>
          <w:highlight w:val="none"/>
        </w:rPr>
      </w:pPr>
      <w:r>
        <w:rPr>
          <w:color w:val="auto"/>
          <w:szCs w:val="21"/>
          <w:highlight w:val="none"/>
        </w:rPr>
        <w:t>电     话：</w:t>
      </w:r>
      <w:r>
        <w:rPr>
          <w:color w:val="auto"/>
          <w:szCs w:val="21"/>
          <w:highlight w:val="none"/>
          <w:u w:val="single"/>
        </w:rPr>
        <w:t xml:space="preserve">          </w:t>
      </w:r>
      <w:r>
        <w:rPr>
          <w:color w:val="auto"/>
          <w:szCs w:val="21"/>
          <w:highlight w:val="none"/>
          <w:u w:val="single"/>
        </w:rPr>
        <w:tab/>
      </w:r>
      <w:r>
        <w:rPr>
          <w:color w:val="auto"/>
          <w:szCs w:val="21"/>
          <w:highlight w:val="none"/>
          <w:u w:val="single"/>
        </w:rPr>
        <w:t xml:space="preserve">                         </w:t>
      </w:r>
      <w:r>
        <w:rPr>
          <w:color w:val="auto"/>
          <w:szCs w:val="21"/>
          <w:highlight w:val="none"/>
          <w:u w:val="single"/>
        </w:rPr>
        <w:tab/>
      </w:r>
    </w:p>
    <w:p>
      <w:pPr>
        <w:spacing w:line="440" w:lineRule="exact"/>
        <w:ind w:firstLine="3523" w:firstLineChars="1678"/>
        <w:jc w:val="right"/>
        <w:rPr>
          <w:color w:val="auto"/>
          <w:highlight w:val="none"/>
          <w:u w:val="single"/>
        </w:rPr>
      </w:pPr>
    </w:p>
    <w:p>
      <w:pPr>
        <w:topLinePunct/>
        <w:spacing w:line="440" w:lineRule="exact"/>
        <w:ind w:firstLine="4435" w:firstLineChars="2112"/>
        <w:jc w:val="right"/>
        <w:rPr>
          <w:color w:val="auto"/>
          <w:highlight w:val="none"/>
        </w:rPr>
      </w:pPr>
      <w:r>
        <w:rPr>
          <w:color w:val="auto"/>
          <w:highlight w:val="none"/>
          <w:u w:val="single"/>
        </w:rPr>
        <w:t xml:space="preserve">        </w:t>
      </w:r>
      <w:r>
        <w:rPr>
          <w:color w:val="auto"/>
          <w:highlight w:val="none"/>
        </w:rPr>
        <w:t>年</w:t>
      </w:r>
      <w:r>
        <w:rPr>
          <w:color w:val="auto"/>
          <w:highlight w:val="none"/>
          <w:u w:val="single"/>
        </w:rPr>
        <w:t xml:space="preserve">        </w:t>
      </w:r>
      <w:r>
        <w:rPr>
          <w:color w:val="auto"/>
          <w:highlight w:val="none"/>
        </w:rPr>
        <w:t>月</w:t>
      </w:r>
      <w:r>
        <w:rPr>
          <w:color w:val="auto"/>
          <w:highlight w:val="none"/>
          <w:u w:val="single"/>
        </w:rPr>
        <w:t xml:space="preserve">        </w:t>
      </w:r>
      <w:r>
        <w:rPr>
          <w:color w:val="auto"/>
          <w:highlight w:val="none"/>
        </w:rPr>
        <w:t>日</w:t>
      </w:r>
    </w:p>
    <w:p>
      <w:pPr>
        <w:pStyle w:val="5"/>
        <w:ind w:firstLine="137"/>
        <w:jc w:val="center"/>
        <w:rPr>
          <w:rFonts w:hint="eastAsia"/>
          <w:b/>
          <w:bCs/>
          <w:color w:val="auto"/>
          <w:highlight w:val="none"/>
        </w:rPr>
      </w:pPr>
      <w:r>
        <w:rPr>
          <w:rFonts w:hint="eastAsia"/>
          <w:color w:val="auto"/>
          <w:highlight w:val="none"/>
        </w:rPr>
        <w:br w:type="page"/>
      </w:r>
      <w:r>
        <w:rPr>
          <w:rFonts w:hint="eastAsia"/>
          <w:b/>
          <w:bCs/>
          <w:color w:val="auto"/>
          <w:highlight w:val="none"/>
        </w:rPr>
        <w:t>四、无行贿犯罪记录承诺书</w:t>
      </w:r>
    </w:p>
    <w:p>
      <w:pPr>
        <w:jc w:val="center"/>
        <w:rPr>
          <w:rFonts w:ascii="宋体" w:hAnsi="宋体"/>
          <w:b/>
          <w:bCs/>
          <w:color w:val="auto"/>
          <w:kern w:val="44"/>
          <w:sz w:val="30"/>
          <w:szCs w:val="30"/>
          <w:highlight w:val="none"/>
        </w:rPr>
      </w:pPr>
    </w:p>
    <w:p>
      <w:pPr>
        <w:jc w:val="center"/>
        <w:rPr>
          <w:rFonts w:hint="eastAsia" w:ascii="宋体" w:hAnsi="宋体"/>
          <w:b/>
          <w:color w:val="auto"/>
          <w:sz w:val="24"/>
          <w:szCs w:val="24"/>
          <w:highlight w:val="none"/>
        </w:rPr>
      </w:pPr>
      <w:r>
        <w:rPr>
          <w:rFonts w:hint="eastAsia" w:hAnsi="宋体"/>
          <w:b/>
          <w:color w:val="auto"/>
          <w:sz w:val="24"/>
          <w:szCs w:val="24"/>
          <w:highlight w:val="none"/>
        </w:rPr>
        <w:t>无</w:t>
      </w:r>
      <w:r>
        <w:rPr>
          <w:rFonts w:hint="eastAsia" w:ascii="宋体" w:hAnsi="宋体"/>
          <w:b/>
          <w:color w:val="auto"/>
          <w:sz w:val="24"/>
          <w:szCs w:val="24"/>
          <w:highlight w:val="none"/>
        </w:rPr>
        <w:t>行贿犯罪记录承诺书</w:t>
      </w:r>
    </w:p>
    <w:p>
      <w:pPr>
        <w:jc w:val="center"/>
        <w:rPr>
          <w:rFonts w:ascii="宋体" w:hAnsi="宋体"/>
          <w:color w:val="auto"/>
          <w:kern w:val="44"/>
          <w:sz w:val="24"/>
          <w:highlight w:val="none"/>
        </w:rPr>
      </w:pPr>
    </w:p>
    <w:p>
      <w:pPr>
        <w:spacing w:line="360" w:lineRule="auto"/>
        <w:jc w:val="left"/>
        <w:rPr>
          <w:rFonts w:hint="eastAsia" w:ascii="宋体" w:hAnsi="宋体"/>
          <w:color w:val="auto"/>
          <w:sz w:val="24"/>
          <w:highlight w:val="none"/>
        </w:rPr>
      </w:pPr>
    </w:p>
    <w:p>
      <w:pPr>
        <w:spacing w:line="360" w:lineRule="auto"/>
        <w:jc w:val="left"/>
        <w:rPr>
          <w:rFonts w:hint="eastAsia" w:ascii="宋体" w:hAnsi="宋体"/>
          <w:color w:val="auto"/>
          <w:sz w:val="24"/>
          <w:highlight w:val="none"/>
        </w:rPr>
      </w:pPr>
      <w:r>
        <w:rPr>
          <w:rFonts w:hint="eastAsia" w:ascii="宋体" w:hAnsi="宋体"/>
          <w:b/>
          <w:color w:val="auto"/>
          <w:sz w:val="24"/>
          <w:highlight w:val="none"/>
        </w:rPr>
        <w:t>特别说明：</w:t>
      </w:r>
      <w:r>
        <w:rPr>
          <w:rFonts w:hint="eastAsia" w:ascii="宋体" w:hAnsi="宋体"/>
          <w:color w:val="auto"/>
          <w:sz w:val="24"/>
          <w:highlight w:val="none"/>
        </w:rPr>
        <w:t>需提供盖章版承诺函，承诺近三年未发生过行贿犯罪等行为，格式自拟。</w:t>
      </w:r>
    </w:p>
    <w:p>
      <w:pPr>
        <w:spacing w:line="360" w:lineRule="auto"/>
        <w:jc w:val="left"/>
        <w:rPr>
          <w:rFonts w:hint="eastAsia" w:ascii="宋体" w:hAnsi="宋体"/>
          <w:color w:val="auto"/>
          <w:sz w:val="24"/>
          <w:highlight w:val="none"/>
        </w:rPr>
      </w:pPr>
    </w:p>
    <w:p>
      <w:pPr>
        <w:spacing w:line="360" w:lineRule="auto"/>
        <w:jc w:val="left"/>
        <w:rPr>
          <w:rFonts w:hint="eastAsia" w:ascii="宋体" w:hAnsi="宋体"/>
          <w:color w:val="auto"/>
          <w:sz w:val="24"/>
          <w:highlight w:val="none"/>
        </w:rPr>
      </w:pPr>
    </w:p>
    <w:p>
      <w:pPr>
        <w:spacing w:line="360" w:lineRule="auto"/>
        <w:jc w:val="left"/>
        <w:rPr>
          <w:rFonts w:hint="eastAsia" w:ascii="宋体" w:hAnsi="宋体"/>
          <w:color w:val="auto"/>
          <w:sz w:val="24"/>
          <w:highlight w:val="none"/>
        </w:rPr>
      </w:pPr>
    </w:p>
    <w:p>
      <w:pPr>
        <w:spacing w:line="360" w:lineRule="auto"/>
        <w:jc w:val="left"/>
        <w:rPr>
          <w:rFonts w:hint="eastAsia" w:ascii="宋体" w:hAnsi="宋体"/>
          <w:color w:val="auto"/>
          <w:sz w:val="24"/>
          <w:highlight w:val="none"/>
        </w:rPr>
      </w:pPr>
    </w:p>
    <w:p>
      <w:pPr>
        <w:spacing w:line="360" w:lineRule="auto"/>
        <w:jc w:val="left"/>
        <w:rPr>
          <w:rFonts w:hint="eastAsia" w:ascii="宋体" w:hAnsi="宋体"/>
          <w:color w:val="auto"/>
          <w:sz w:val="24"/>
          <w:highlight w:val="none"/>
        </w:rPr>
      </w:pPr>
    </w:p>
    <w:p>
      <w:pPr>
        <w:spacing w:line="360" w:lineRule="auto"/>
        <w:jc w:val="left"/>
        <w:rPr>
          <w:rFonts w:hint="eastAsia" w:ascii="宋体" w:hAnsi="宋体"/>
          <w:color w:val="auto"/>
          <w:sz w:val="24"/>
          <w:highlight w:val="none"/>
        </w:rPr>
      </w:pPr>
    </w:p>
    <w:p>
      <w:pPr>
        <w:spacing w:line="360" w:lineRule="auto"/>
        <w:jc w:val="left"/>
        <w:rPr>
          <w:rFonts w:hint="eastAsia" w:ascii="宋体" w:hAnsi="宋体"/>
          <w:color w:val="auto"/>
          <w:sz w:val="24"/>
          <w:highlight w:val="none"/>
        </w:rPr>
      </w:pPr>
    </w:p>
    <w:p>
      <w:pPr>
        <w:spacing w:line="360" w:lineRule="auto"/>
        <w:jc w:val="left"/>
        <w:rPr>
          <w:rFonts w:hint="eastAsia" w:ascii="宋体" w:hAnsi="宋体"/>
          <w:color w:val="auto"/>
          <w:sz w:val="24"/>
          <w:highlight w:val="none"/>
        </w:rPr>
      </w:pPr>
    </w:p>
    <w:p>
      <w:pPr>
        <w:spacing w:line="360" w:lineRule="auto"/>
        <w:jc w:val="left"/>
        <w:rPr>
          <w:rFonts w:hint="eastAsia" w:ascii="宋体" w:hAnsi="宋体"/>
          <w:color w:val="auto"/>
          <w:sz w:val="24"/>
          <w:highlight w:val="none"/>
        </w:rPr>
      </w:pPr>
    </w:p>
    <w:p>
      <w:pPr>
        <w:rPr>
          <w:rFonts w:ascii="宋体" w:hAnsi="宋体"/>
          <w:color w:val="auto"/>
          <w:highlight w:val="none"/>
        </w:rPr>
      </w:pPr>
      <w:r>
        <w:rPr>
          <w:rFonts w:hint="eastAsia" w:ascii="宋体" w:hAnsi="宋体"/>
          <w:color w:val="auto"/>
          <w:highlight w:val="none"/>
        </w:rPr>
        <w:t xml:space="preserve">                              投标人: </w:t>
      </w:r>
      <w:r>
        <w:rPr>
          <w:rFonts w:hint="eastAsia" w:ascii="宋体" w:hAnsi="宋体"/>
          <w:color w:val="auto"/>
          <w:highlight w:val="none"/>
          <w:u w:val="single"/>
        </w:rPr>
        <w:t xml:space="preserve">             </w:t>
      </w:r>
      <w:r>
        <w:rPr>
          <w:rFonts w:hint="eastAsia" w:ascii="宋体" w:hAnsi="宋体"/>
          <w:color w:val="auto"/>
          <w:highlight w:val="none"/>
        </w:rPr>
        <w:t>(盖单位公章)</w:t>
      </w:r>
    </w:p>
    <w:p>
      <w:pPr>
        <w:ind w:firstLine="1050" w:firstLineChars="500"/>
        <w:rPr>
          <w:rFonts w:ascii="宋体" w:hAnsi="宋体"/>
          <w:color w:val="auto"/>
          <w:highlight w:val="none"/>
        </w:rPr>
      </w:pPr>
      <w:r>
        <w:rPr>
          <w:rFonts w:hint="eastAsia" w:ascii="宋体" w:hAnsi="宋体"/>
          <w:color w:val="auto"/>
          <w:highlight w:val="none"/>
        </w:rPr>
        <w:t xml:space="preserve">                    法定代表人或者其委托的代理人:</w:t>
      </w:r>
      <w:r>
        <w:rPr>
          <w:rFonts w:hint="eastAsia" w:ascii="宋体" w:hAnsi="宋体"/>
          <w:color w:val="auto"/>
          <w:highlight w:val="none"/>
          <w:u w:val="single"/>
        </w:rPr>
        <w:t xml:space="preserve">           </w:t>
      </w:r>
      <w:r>
        <w:rPr>
          <w:rFonts w:hint="eastAsia" w:ascii="宋体" w:hAnsi="宋体"/>
          <w:color w:val="auto"/>
          <w:highlight w:val="none"/>
        </w:rPr>
        <w:t>(</w:t>
      </w:r>
      <w:r>
        <w:rPr>
          <w:rFonts w:hint="eastAsia" w:ascii="宋体" w:hAnsi="宋体"/>
          <w:color w:val="auto"/>
          <w:szCs w:val="21"/>
          <w:highlight w:val="none"/>
        </w:rPr>
        <w:t>签名或签章</w:t>
      </w:r>
      <w:r>
        <w:rPr>
          <w:rFonts w:hint="eastAsia" w:ascii="宋体" w:hAnsi="宋体"/>
          <w:color w:val="auto"/>
          <w:highlight w:val="none"/>
        </w:rPr>
        <w:t>)</w:t>
      </w:r>
    </w:p>
    <w:p>
      <w:pPr>
        <w:tabs>
          <w:tab w:val="left" w:pos="8100"/>
        </w:tabs>
        <w:adjustRightInd w:val="0"/>
        <w:snapToGrid w:val="0"/>
        <w:ind w:firstLine="3150" w:firstLineChars="1500"/>
        <w:rPr>
          <w:rFonts w:ascii="宋体" w:hAnsi="宋体"/>
          <w:color w:val="auto"/>
          <w:szCs w:val="32"/>
          <w:highlight w:val="none"/>
        </w:rPr>
      </w:pPr>
      <w:r>
        <w:rPr>
          <w:rFonts w:hint="eastAsia" w:ascii="宋体" w:hAnsi="宋体"/>
          <w:color w:val="auto"/>
          <w:highlight w:val="none"/>
        </w:rPr>
        <w:t>日    期:</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pPr>
        <w:rPr>
          <w:color w:val="auto"/>
          <w:highlight w:val="none"/>
        </w:rPr>
      </w:pPr>
      <w:r>
        <w:rPr>
          <w:color w:val="auto"/>
          <w:highlight w:val="none"/>
        </w:rPr>
        <w:br w:type="page"/>
      </w:r>
    </w:p>
    <w:p>
      <w:pPr>
        <w:pStyle w:val="5"/>
        <w:ind w:firstLine="138"/>
        <w:jc w:val="center"/>
        <w:rPr>
          <w:b/>
          <w:bCs/>
          <w:color w:val="auto"/>
          <w:highlight w:val="none"/>
        </w:rPr>
      </w:pPr>
      <w:bookmarkStart w:id="542" w:name="_Toc7514"/>
      <w:r>
        <w:rPr>
          <w:rFonts w:hint="eastAsia"/>
          <w:b/>
          <w:bCs/>
          <w:color w:val="auto"/>
          <w:highlight w:val="none"/>
        </w:rPr>
        <w:t>五、投标人廉洁承诺书</w:t>
      </w:r>
      <w:bookmarkEnd w:id="542"/>
    </w:p>
    <w:p>
      <w:pPr>
        <w:spacing w:line="460" w:lineRule="exact"/>
        <w:rPr>
          <w:rFonts w:ascii="宋体" w:hAnsi="宋体" w:cs="宋体"/>
          <w:color w:val="auto"/>
          <w:szCs w:val="21"/>
          <w:highlight w:val="none"/>
          <w:u w:val="single"/>
        </w:rPr>
      </w:pPr>
      <w:r>
        <w:rPr>
          <w:rFonts w:hint="eastAsia" w:ascii="宋体" w:hAnsi="宋体" w:cs="宋体"/>
          <w:color w:val="auto"/>
          <w:szCs w:val="21"/>
          <w:highlight w:val="none"/>
        </w:rPr>
        <w:t>招标编号：</w:t>
      </w:r>
      <w:r>
        <w:rPr>
          <w:rFonts w:hint="eastAsia" w:ascii="宋体" w:hAnsi="宋体" w:cs="宋体"/>
          <w:color w:val="auto"/>
          <w:szCs w:val="21"/>
          <w:highlight w:val="none"/>
          <w:u w:val="single"/>
        </w:rPr>
        <w:t xml:space="preserve">                    </w:t>
      </w:r>
    </w:p>
    <w:p>
      <w:pPr>
        <w:spacing w:line="420" w:lineRule="exact"/>
        <w:rPr>
          <w:rFonts w:ascii="宋体" w:hAnsi="宋体" w:cs="宋体"/>
          <w:color w:val="auto"/>
          <w:szCs w:val="21"/>
          <w:highlight w:val="none"/>
        </w:rPr>
      </w:pP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（招标人名称）：</w:t>
      </w:r>
    </w:p>
    <w:p>
      <w:pP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为了积极配合贵单位进行的</w:t>
      </w:r>
      <w:r>
        <w:rPr>
          <w:color w:val="auto"/>
          <w:highlight w:val="none"/>
          <w:u w:val="single"/>
        </w:rPr>
        <w:t xml:space="preserve">                 </w:t>
      </w:r>
      <w:r>
        <w:rPr>
          <w:color w:val="auto"/>
          <w:highlight w:val="none"/>
        </w:rPr>
        <w:t>（项目名称</w:t>
      </w:r>
      <w:r>
        <w:rPr>
          <w:rFonts w:hint="eastAsia"/>
          <w:color w:val="auto"/>
          <w:highlight w:val="none"/>
        </w:rPr>
        <w:t>/标段名称</w:t>
      </w:r>
      <w:r>
        <w:rPr>
          <w:color w:val="auto"/>
          <w:highlight w:val="none"/>
        </w:rPr>
        <w:t>）</w:t>
      </w:r>
      <w:r>
        <w:rPr>
          <w:rFonts w:hint="eastAsia" w:ascii="宋体" w:hAnsi="宋体" w:cs="宋体"/>
          <w:color w:val="auto"/>
          <w:szCs w:val="21"/>
          <w:highlight w:val="none"/>
        </w:rPr>
        <w:t>招标工作，有效遏制不公平竞争和违规违纪行为的发生，确保招标工作的公平、公正、公开、有序进行，我们保证认真贯彻执行《招标投标法》《招标投标法实施条例》等法律法规以及与廉洁有关的规章制度，特向贵单位承诺如下事项：</w:t>
      </w:r>
    </w:p>
    <w:p>
      <w:pP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一、自觉遵守国家有关法律法规及廉洁规定。</w:t>
      </w:r>
    </w:p>
    <w:p>
      <w:pP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二、不与招标单位工作人员串通投标，损害国家利益、企业利益以及他人的合法利益；不与其他投标人相互串通投标报价，不排挤其他投标人，不损害招标人或其他投标人的合法权益。</w:t>
      </w:r>
    </w:p>
    <w:p>
      <w:pP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三、不以任何名义为参与招标、评标工作的有关人员报销应由参与招标、评标工作的有关人员支付的任何费用；</w:t>
      </w:r>
    </w:p>
    <w:p>
      <w:pP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四、不以任何名义向参与招标、评标工作的有关人员赠送回扣、红包、礼金、购物卡、有价证券、贵重物品和好处费、感谢费等；</w:t>
      </w:r>
    </w:p>
    <w:p>
      <w:pP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五、不以任何名义向参与招标、评标工作的有关人员提供高消费宴请及娱乐活动；</w:t>
      </w:r>
    </w:p>
    <w:p>
      <w:pP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六、不以谋取非正当利益为目的，擅自与参与招标、评标工作的有关人员就业务问题进行私下商谈或者达成利益默契；</w:t>
      </w:r>
    </w:p>
    <w:p>
      <w:pP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七、不以任何名义接受或暗示为参与招标、评标工作的有关人员装修住房、婚丧嫁取、配偶子女的工作安排以及境内外旅游等提供方便；</w:t>
      </w:r>
    </w:p>
    <w:p>
      <w:pP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贵单位既可根据国家有关单位的判决、裁定等有效文书认定我单位是否违反承诺，也有权通过对贵单位相关人员的调查来认定我单位是否违反承诺（我单位不会以任何理由否定贵单位的调查结果）。如违反以上承诺，我单位自愿接受中国南方电网有限责任公司依据《中国南方电网有限责任公司供应商行贿行为信息记录及处置办法》（已在电子商务平台公布）等有关规定对我单位进行严肃处理（包括但不限于实施市场禁入、取消投、中标资格以及终止合同等），给贵单位造成损失的，予以赔偿。我单位的委托人、代理人或与我单位有销售、劳务或服务关系的其他主体在参加贵公司系统的招投标活动或经济往来等过程中发生行贿行为的，视同我单位行为。</w:t>
      </w:r>
    </w:p>
    <w:p>
      <w:pP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本廉洁承诺书为我单位应答此次采购项目正式文件的附件，与其他投标文件具有同等法律效力，经我单位法定代表人或其授权委托人签字盖章后立即生效。</w:t>
      </w:r>
    </w:p>
    <w:p>
      <w:pPr>
        <w:spacing w:line="420" w:lineRule="exact"/>
        <w:ind w:firstLine="420" w:firstLineChars="200"/>
        <w:rPr>
          <w:rFonts w:ascii="宋体" w:hAnsi="宋体" w:cs="宋体"/>
          <w:color w:val="auto"/>
          <w:szCs w:val="21"/>
          <w:highlight w:val="none"/>
        </w:rPr>
      </w:pPr>
    </w:p>
    <w:p>
      <w:pPr>
        <w:spacing w:line="420" w:lineRule="exact"/>
        <w:ind w:firstLine="3307" w:firstLineChars="1575"/>
        <w:rPr>
          <w:rFonts w:ascii="宋体" w:hAnsi="宋体" w:cs="宋体"/>
          <w:color w:val="auto"/>
          <w:szCs w:val="21"/>
          <w:highlight w:val="none"/>
        </w:rPr>
      </w:pPr>
      <w:r>
        <w:rPr>
          <w:rFonts w:hint="eastAsia" w:ascii="宋体" w:hAnsi="宋体" w:cs="宋体"/>
          <w:color w:val="auto"/>
          <w:szCs w:val="21"/>
          <w:highlight w:val="none"/>
        </w:rPr>
        <w:t>投标人：</w:t>
      </w:r>
      <w:r>
        <w:rPr>
          <w:color w:val="auto"/>
          <w:szCs w:val="21"/>
          <w:highlight w:val="none"/>
          <w:u w:val="single"/>
        </w:rPr>
        <w:t xml:space="preserve">             </w:t>
      </w:r>
      <w:r>
        <w:rPr>
          <w:color w:val="auto"/>
          <w:szCs w:val="21"/>
          <w:highlight w:val="none"/>
          <w:u w:val="single"/>
        </w:rPr>
        <w:tab/>
      </w:r>
      <w:r>
        <w:rPr>
          <w:color w:val="auto"/>
          <w:szCs w:val="21"/>
          <w:highlight w:val="none"/>
          <w:u w:val="single"/>
        </w:rPr>
        <w:t xml:space="preserve">       </w:t>
      </w:r>
      <w:r>
        <w:rPr>
          <w:color w:val="auto"/>
          <w:szCs w:val="21"/>
          <w:highlight w:val="none"/>
        </w:rPr>
        <w:t>（盖单位</w:t>
      </w:r>
      <w:r>
        <w:rPr>
          <w:rFonts w:hint="eastAsia"/>
          <w:color w:val="auto"/>
          <w:szCs w:val="21"/>
          <w:highlight w:val="none"/>
        </w:rPr>
        <w:t>公</w:t>
      </w:r>
      <w:r>
        <w:rPr>
          <w:color w:val="auto"/>
          <w:szCs w:val="21"/>
          <w:highlight w:val="none"/>
        </w:rPr>
        <w:t>章）</w:t>
      </w:r>
    </w:p>
    <w:p>
      <w:pPr>
        <w:spacing w:line="420" w:lineRule="exact"/>
        <w:ind w:firstLine="3307" w:firstLineChars="1575"/>
        <w:rPr>
          <w:rFonts w:ascii="宋体" w:hAnsi="宋体" w:cs="宋体"/>
          <w:color w:val="auto"/>
          <w:szCs w:val="21"/>
          <w:highlight w:val="none"/>
        </w:rPr>
      </w:pPr>
      <w:r>
        <w:rPr>
          <w:rFonts w:hint="eastAsia" w:ascii="宋体" w:hAnsi="宋体" w:cs="宋体"/>
          <w:color w:val="auto"/>
          <w:szCs w:val="21"/>
          <w:highlight w:val="none"/>
        </w:rPr>
        <w:t>法定代表人或授权代理人：</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w:t>
      </w:r>
      <w:r>
        <w:rPr>
          <w:rFonts w:hint="eastAsia" w:ascii="宋体" w:hAnsi="宋体"/>
          <w:color w:val="auto"/>
          <w:szCs w:val="21"/>
          <w:highlight w:val="none"/>
        </w:rPr>
        <w:t>签名或签章</w:t>
      </w:r>
      <w:r>
        <w:rPr>
          <w:color w:val="auto"/>
          <w:szCs w:val="21"/>
          <w:highlight w:val="none"/>
        </w:rPr>
        <w:t>）</w:t>
      </w:r>
    </w:p>
    <w:p>
      <w:pPr>
        <w:spacing w:line="420" w:lineRule="exact"/>
        <w:ind w:firstLine="5617" w:firstLineChars="2675"/>
        <w:rPr>
          <w:rFonts w:ascii="宋体" w:hAnsi="宋体" w:cs="宋体"/>
          <w:color w:val="auto"/>
          <w:szCs w:val="21"/>
          <w:highlight w:val="none"/>
        </w:rPr>
      </w:pPr>
      <w:r>
        <w:rPr>
          <w:rFonts w:hint="eastAsia" w:ascii="宋体" w:hAnsi="宋体" w:cs="宋体"/>
          <w:color w:val="auto"/>
          <w:szCs w:val="21"/>
          <w:highlight w:val="none"/>
        </w:rPr>
        <w:t>年   月   日</w:t>
      </w:r>
    </w:p>
    <w:p>
      <w:pPr>
        <w:rPr>
          <w:color w:val="auto"/>
          <w:highlight w:val="none"/>
        </w:rPr>
      </w:pPr>
      <w:r>
        <w:rPr>
          <w:rFonts w:hint="eastAsia"/>
          <w:color w:val="auto"/>
          <w:highlight w:val="none"/>
        </w:rPr>
        <w:br w:type="page"/>
      </w:r>
    </w:p>
    <w:p>
      <w:pPr>
        <w:pStyle w:val="5"/>
        <w:ind w:firstLine="138"/>
        <w:jc w:val="center"/>
        <w:rPr>
          <w:b/>
          <w:bCs/>
          <w:color w:val="auto"/>
          <w:highlight w:val="none"/>
        </w:rPr>
      </w:pPr>
      <w:bookmarkStart w:id="543" w:name="_Toc32368"/>
      <w:r>
        <w:rPr>
          <w:rFonts w:hint="eastAsia"/>
          <w:b/>
          <w:bCs/>
          <w:color w:val="auto"/>
          <w:highlight w:val="none"/>
        </w:rPr>
        <w:t>六、严格执行“管理规范和技术（规范）标准”的承诺函</w:t>
      </w:r>
      <w:bookmarkEnd w:id="543"/>
    </w:p>
    <w:p>
      <w:pPr>
        <w:spacing w:line="420" w:lineRule="exact"/>
        <w:rPr>
          <w:rFonts w:ascii="宋体" w:hAnsi="宋体" w:cs="宋体"/>
          <w:color w:val="auto"/>
          <w:szCs w:val="21"/>
          <w:highlight w:val="none"/>
        </w:rPr>
      </w:pP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（招标人名称）：</w:t>
      </w:r>
    </w:p>
    <w:p>
      <w:pP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我单位已认真阅读学习南方电网公司基建管理各项要求，并承诺本项目严格执行现行中华人民共和国以及省、自治区、直辖市或行业的有关法律法规、标准、规范要求，遵守中国南方电网有限责任公司相关管理制度和规定，包括但不限于《招标文件》第五章“管理规范和技术（规范）标准”清单内容。</w:t>
      </w:r>
    </w:p>
    <w:p>
      <w:pPr>
        <w:spacing w:line="4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如若违反相关条款，自愿接受上述文件规定的相关处罚。</w:t>
      </w:r>
    </w:p>
    <w:p>
      <w:pPr>
        <w:tabs>
          <w:tab w:val="left" w:pos="8100"/>
        </w:tabs>
        <w:adjustRightInd w:val="0"/>
        <w:snapToGrid w:val="0"/>
        <w:spacing w:line="360" w:lineRule="auto"/>
        <w:ind w:firstLine="420" w:firstLineChars="200"/>
        <w:rPr>
          <w:color w:val="auto"/>
          <w:szCs w:val="21"/>
          <w:highlight w:val="none"/>
        </w:rPr>
      </w:pPr>
    </w:p>
    <w:p>
      <w:pPr>
        <w:tabs>
          <w:tab w:val="left" w:pos="8100"/>
        </w:tabs>
        <w:adjustRightInd w:val="0"/>
        <w:snapToGrid w:val="0"/>
        <w:spacing w:line="360" w:lineRule="auto"/>
        <w:ind w:firstLine="420" w:firstLineChars="200"/>
        <w:rPr>
          <w:color w:val="auto"/>
          <w:szCs w:val="21"/>
          <w:highlight w:val="none"/>
        </w:rPr>
      </w:pPr>
    </w:p>
    <w:p>
      <w:pPr>
        <w:spacing w:line="420" w:lineRule="exact"/>
        <w:ind w:firstLine="3307" w:firstLineChars="1575"/>
        <w:rPr>
          <w:rFonts w:ascii="宋体" w:hAnsi="宋体" w:cs="宋体"/>
          <w:color w:val="auto"/>
          <w:szCs w:val="21"/>
          <w:highlight w:val="none"/>
        </w:rPr>
      </w:pPr>
      <w:r>
        <w:rPr>
          <w:rFonts w:hint="eastAsia" w:ascii="宋体" w:hAnsi="宋体" w:cs="宋体"/>
          <w:color w:val="auto"/>
          <w:szCs w:val="21"/>
          <w:highlight w:val="none"/>
        </w:rPr>
        <w:t>投标人：</w:t>
      </w:r>
      <w:r>
        <w:rPr>
          <w:color w:val="auto"/>
          <w:szCs w:val="21"/>
          <w:highlight w:val="none"/>
          <w:u w:val="single"/>
        </w:rPr>
        <w:t xml:space="preserve">             </w:t>
      </w:r>
      <w:r>
        <w:rPr>
          <w:color w:val="auto"/>
          <w:szCs w:val="21"/>
          <w:highlight w:val="none"/>
          <w:u w:val="single"/>
        </w:rPr>
        <w:tab/>
      </w:r>
      <w:r>
        <w:rPr>
          <w:color w:val="auto"/>
          <w:szCs w:val="21"/>
          <w:highlight w:val="none"/>
          <w:u w:val="single"/>
        </w:rPr>
        <w:t xml:space="preserve">       </w:t>
      </w:r>
      <w:r>
        <w:rPr>
          <w:color w:val="auto"/>
          <w:szCs w:val="21"/>
          <w:highlight w:val="none"/>
        </w:rPr>
        <w:t>（盖单位</w:t>
      </w:r>
      <w:r>
        <w:rPr>
          <w:rFonts w:hint="eastAsia" w:ascii="宋体" w:hAnsi="宋体"/>
          <w:color w:val="auto"/>
          <w:szCs w:val="21"/>
          <w:highlight w:val="none"/>
        </w:rPr>
        <w:t>公</w:t>
      </w:r>
      <w:r>
        <w:rPr>
          <w:color w:val="auto"/>
          <w:szCs w:val="21"/>
          <w:highlight w:val="none"/>
        </w:rPr>
        <w:t>章）</w:t>
      </w:r>
    </w:p>
    <w:p>
      <w:pPr>
        <w:spacing w:line="420" w:lineRule="exact"/>
        <w:ind w:firstLine="3307" w:firstLineChars="1575"/>
        <w:rPr>
          <w:rFonts w:ascii="宋体" w:hAnsi="宋体" w:cs="宋体"/>
          <w:color w:val="auto"/>
          <w:szCs w:val="21"/>
          <w:highlight w:val="none"/>
        </w:rPr>
      </w:pPr>
      <w:r>
        <w:rPr>
          <w:rFonts w:hint="eastAsia" w:ascii="宋体" w:hAnsi="宋体" w:cs="宋体"/>
          <w:color w:val="auto"/>
          <w:szCs w:val="21"/>
          <w:highlight w:val="none"/>
        </w:rPr>
        <w:t>法定代表人或授权代理人：</w:t>
      </w:r>
      <w:r>
        <w:rPr>
          <w:color w:val="auto"/>
          <w:szCs w:val="21"/>
          <w:highlight w:val="none"/>
          <w:u w:val="single"/>
        </w:rPr>
        <w:t xml:space="preserve">    </w:t>
      </w:r>
      <w:r>
        <w:rPr>
          <w:rFonts w:hint="eastAsia"/>
          <w:color w:val="auto"/>
          <w:szCs w:val="21"/>
          <w:highlight w:val="none"/>
          <w:u w:val="single"/>
        </w:rPr>
        <w:t xml:space="preserve">    </w:t>
      </w:r>
      <w:r>
        <w:rPr>
          <w:color w:val="auto"/>
          <w:szCs w:val="21"/>
          <w:highlight w:val="none"/>
          <w:u w:val="single"/>
        </w:rPr>
        <w:t xml:space="preserve">   </w:t>
      </w:r>
      <w:r>
        <w:rPr>
          <w:color w:val="auto"/>
          <w:szCs w:val="21"/>
          <w:highlight w:val="none"/>
        </w:rPr>
        <w:t>（</w:t>
      </w:r>
      <w:r>
        <w:rPr>
          <w:rFonts w:hint="eastAsia" w:ascii="宋体" w:hAnsi="宋体"/>
          <w:color w:val="auto"/>
          <w:szCs w:val="21"/>
          <w:highlight w:val="none"/>
        </w:rPr>
        <w:t>签名或签章</w:t>
      </w:r>
      <w:r>
        <w:rPr>
          <w:color w:val="auto"/>
          <w:szCs w:val="21"/>
          <w:highlight w:val="none"/>
        </w:rPr>
        <w:t>）</w:t>
      </w:r>
    </w:p>
    <w:p>
      <w:pPr>
        <w:spacing w:line="420" w:lineRule="exact"/>
        <w:ind w:firstLine="5617" w:firstLineChars="2675"/>
        <w:rPr>
          <w:rFonts w:ascii="宋体" w:hAnsi="宋体" w:cs="宋体"/>
          <w:color w:val="auto"/>
          <w:szCs w:val="21"/>
          <w:highlight w:val="none"/>
        </w:rPr>
      </w:pPr>
      <w:r>
        <w:rPr>
          <w:rFonts w:hint="eastAsia" w:ascii="宋体" w:hAnsi="宋体" w:cs="宋体"/>
          <w:color w:val="auto"/>
          <w:szCs w:val="21"/>
          <w:highlight w:val="none"/>
        </w:rPr>
        <w:t>年   月   日</w:t>
      </w:r>
    </w:p>
    <w:p>
      <w:pPr>
        <w:spacing w:line="420" w:lineRule="exact"/>
        <w:ind w:firstLine="420" w:firstLineChars="200"/>
        <w:rPr>
          <w:rFonts w:ascii="宋体" w:hAnsi="宋体" w:cs="宋体"/>
          <w:color w:val="auto"/>
          <w:szCs w:val="21"/>
          <w:highlight w:val="none"/>
        </w:rPr>
      </w:pPr>
    </w:p>
    <w:p>
      <w:pPr>
        <w:tabs>
          <w:tab w:val="left" w:pos="8100"/>
        </w:tabs>
        <w:adjustRightInd w:val="0"/>
        <w:snapToGrid w:val="0"/>
        <w:spacing w:line="360" w:lineRule="auto"/>
        <w:ind w:firstLine="420" w:firstLineChars="200"/>
        <w:jc w:val="left"/>
        <w:rPr>
          <w:rFonts w:ascii="宋体" w:hAnsi="宋体"/>
          <w:b/>
          <w:color w:val="auto"/>
          <w:sz w:val="30"/>
          <w:szCs w:val="30"/>
          <w:highlight w:val="none"/>
        </w:rPr>
      </w:pPr>
      <w:r>
        <w:rPr>
          <w:color w:val="auto"/>
          <w:highlight w:val="none"/>
        </w:rPr>
        <w:br w:type="page"/>
      </w:r>
      <w:r>
        <w:rPr>
          <w:rFonts w:hint="eastAsia" w:ascii="宋体" w:hAnsi="宋体"/>
          <w:b/>
          <w:color w:val="auto"/>
          <w:sz w:val="24"/>
          <w:szCs w:val="30"/>
          <w:highlight w:val="none"/>
        </w:rPr>
        <w:t xml:space="preserve"> </w:t>
      </w:r>
    </w:p>
    <w:p>
      <w:pPr>
        <w:rPr>
          <w:rFonts w:ascii="仿宋_GB2312" w:eastAsia="仿宋_GB2312"/>
          <w:color w:val="auto"/>
          <w:sz w:val="32"/>
          <w:szCs w:val="32"/>
          <w:highlight w:val="none"/>
        </w:rPr>
      </w:pPr>
    </w:p>
    <w:p>
      <w:pPr>
        <w:jc w:val="center"/>
        <w:rPr>
          <w:rFonts w:ascii="仿宋_GB2312" w:eastAsia="仿宋_GB2312"/>
          <w:color w:val="auto"/>
          <w:sz w:val="28"/>
          <w:szCs w:val="32"/>
          <w:highlight w:val="none"/>
        </w:rPr>
      </w:pPr>
      <w:r>
        <w:rPr>
          <w:rFonts w:hint="eastAsia" w:ascii="宋体" w:hAnsi="宋体"/>
          <w:b/>
          <w:color w:val="auto"/>
          <w:sz w:val="28"/>
          <w:szCs w:val="30"/>
          <w:highlight w:val="none"/>
        </w:rPr>
        <w:t>七、企业诚信承诺书</w:t>
      </w:r>
    </w:p>
    <w:p>
      <w:pPr>
        <w:rPr>
          <w:rFonts w:hint="eastAsia" w:ascii="宋体" w:hAnsi="宋体"/>
          <w:color w:val="auto"/>
          <w:szCs w:val="21"/>
          <w:highlight w:val="none"/>
          <w:u w:val="single"/>
        </w:rPr>
      </w:pPr>
      <w:r>
        <w:rPr>
          <w:rFonts w:hint="eastAsia" w:ascii="宋体" w:hAnsi="宋体"/>
          <w:color w:val="auto"/>
          <w:szCs w:val="21"/>
          <w:highlight w:val="none"/>
        </w:rPr>
        <w:t>招标人：</w:t>
      </w:r>
      <w:r>
        <w:rPr>
          <w:rFonts w:hint="eastAsia" w:ascii="宋体" w:hAnsi="宋体"/>
          <w:color w:val="auto"/>
          <w:szCs w:val="21"/>
          <w:highlight w:val="none"/>
          <w:u w:val="single"/>
        </w:rPr>
        <w:t xml:space="preserve">               。</w:t>
      </w:r>
    </w:p>
    <w:p>
      <w:pPr>
        <w:rPr>
          <w:rFonts w:hint="eastAsia" w:ascii="宋体" w:hAnsi="宋体"/>
          <w:color w:val="auto"/>
          <w:szCs w:val="21"/>
          <w:highlight w:val="none"/>
        </w:rPr>
      </w:pPr>
      <w:r>
        <w:rPr>
          <w:rFonts w:hint="eastAsia" w:ascii="宋体" w:hAnsi="宋体"/>
          <w:color w:val="auto"/>
          <w:szCs w:val="21"/>
          <w:highlight w:val="none"/>
        </w:rPr>
        <w:t xml:space="preserve">    我单位参与</w:t>
      </w:r>
      <w:r>
        <w:rPr>
          <w:rFonts w:hint="eastAsia" w:ascii="宋体" w:hAnsi="宋体"/>
          <w:color w:val="auto"/>
          <w:szCs w:val="21"/>
          <w:highlight w:val="none"/>
          <w:u w:val="single"/>
        </w:rPr>
        <w:t>（项目名称）</w:t>
      </w:r>
      <w:r>
        <w:rPr>
          <w:rFonts w:hint="eastAsia" w:ascii="宋体" w:hAnsi="宋体"/>
          <w:color w:val="auto"/>
          <w:szCs w:val="21"/>
          <w:highlight w:val="none"/>
        </w:rPr>
        <w:t>的投标，同时在此郑重承诺：</w:t>
      </w:r>
    </w:p>
    <w:p>
      <w:pPr>
        <w:ind w:firstLine="420" w:firstLineChars="200"/>
        <w:jc w:val="left"/>
        <w:rPr>
          <w:rFonts w:ascii="宋体" w:hAnsi="宋体"/>
          <w:color w:val="auto"/>
          <w:szCs w:val="21"/>
          <w:highlight w:val="none"/>
        </w:rPr>
      </w:pPr>
      <w:r>
        <w:rPr>
          <w:rFonts w:hint="eastAsia" w:ascii="宋体" w:hAnsi="宋体"/>
          <w:color w:val="auto"/>
          <w:szCs w:val="21"/>
          <w:highlight w:val="none"/>
        </w:rPr>
        <w:t>1、按要求递交的有关证件为本单位真实拥有，营业执照、资质资格证书、承装《修、试》许可证（如有）复印件与原件完全一致，不存在伪造、变造、涂改等弄虚作假行为。</w:t>
      </w:r>
    </w:p>
    <w:p>
      <w:pPr>
        <w:ind w:firstLine="420" w:firstLineChars="200"/>
        <w:jc w:val="left"/>
        <w:rPr>
          <w:rFonts w:hint="eastAsia" w:ascii="宋体" w:hAnsi="宋体"/>
          <w:color w:val="auto"/>
          <w:szCs w:val="21"/>
          <w:highlight w:val="none"/>
        </w:rPr>
      </w:pPr>
      <w:r>
        <w:rPr>
          <w:rFonts w:hint="eastAsia" w:ascii="宋体" w:hAnsi="宋体"/>
          <w:color w:val="auto"/>
          <w:szCs w:val="21"/>
          <w:highlight w:val="none"/>
        </w:rPr>
        <w:t>2、我单位严格遵守《中华人民共和国招标投标法》、《中华人民共和国招标投标法实施条例》及本项目招标监管部门的规定。</w:t>
      </w:r>
    </w:p>
    <w:p>
      <w:pPr>
        <w:ind w:firstLine="420" w:firstLineChars="200"/>
        <w:jc w:val="left"/>
        <w:rPr>
          <w:rFonts w:hint="eastAsia" w:ascii="宋体" w:hAnsi="宋体"/>
          <w:color w:val="auto"/>
          <w:szCs w:val="21"/>
          <w:highlight w:val="none"/>
        </w:rPr>
      </w:pPr>
      <w:r>
        <w:rPr>
          <w:rFonts w:hint="eastAsia" w:ascii="宋体" w:hAnsi="宋体"/>
          <w:color w:val="auto"/>
          <w:szCs w:val="21"/>
          <w:highlight w:val="none"/>
        </w:rPr>
        <w:t>3、我单位不存在以下情形之一</w:t>
      </w:r>
    </w:p>
    <w:p>
      <w:pPr>
        <w:spacing w:line="400" w:lineRule="exact"/>
        <w:ind w:firstLine="420" w:firstLineChars="200"/>
        <w:rPr>
          <w:color w:val="auto"/>
          <w:szCs w:val="21"/>
          <w:highlight w:val="none"/>
        </w:rPr>
      </w:pPr>
      <w:r>
        <w:rPr>
          <w:color w:val="auto"/>
          <w:szCs w:val="21"/>
          <w:highlight w:val="none"/>
        </w:rPr>
        <w:t>（1）为招标人不具有独立法人资格的附属机构（单位）；</w:t>
      </w:r>
    </w:p>
    <w:p>
      <w:pPr>
        <w:spacing w:line="400" w:lineRule="exact"/>
        <w:ind w:firstLine="420" w:firstLineChars="200"/>
        <w:rPr>
          <w:color w:val="auto"/>
          <w:szCs w:val="21"/>
          <w:highlight w:val="none"/>
        </w:rPr>
      </w:pPr>
      <w:r>
        <w:rPr>
          <w:color w:val="auto"/>
          <w:szCs w:val="21"/>
          <w:highlight w:val="none"/>
        </w:rPr>
        <w:t>（2）与招标人存在利害关系且可能影响招标公正性；</w:t>
      </w:r>
    </w:p>
    <w:p>
      <w:pPr>
        <w:spacing w:line="400" w:lineRule="exact"/>
        <w:ind w:firstLine="420" w:firstLineChars="200"/>
        <w:rPr>
          <w:color w:val="auto"/>
          <w:szCs w:val="21"/>
          <w:highlight w:val="none"/>
        </w:rPr>
      </w:pPr>
      <w:r>
        <w:rPr>
          <w:color w:val="auto"/>
          <w:szCs w:val="21"/>
          <w:highlight w:val="none"/>
        </w:rPr>
        <w:t>（3）与本招标项目的其他投标人为同一个单位负责人；</w:t>
      </w:r>
    </w:p>
    <w:p>
      <w:pPr>
        <w:spacing w:line="400" w:lineRule="exact"/>
        <w:ind w:firstLine="420" w:firstLineChars="200"/>
        <w:rPr>
          <w:color w:val="auto"/>
          <w:szCs w:val="21"/>
          <w:highlight w:val="none"/>
        </w:rPr>
      </w:pPr>
      <w:r>
        <w:rPr>
          <w:color w:val="auto"/>
          <w:szCs w:val="21"/>
          <w:highlight w:val="none"/>
        </w:rPr>
        <w:t>（4）与本招标项目的其他投标人存在控股、管理关系；</w:t>
      </w:r>
    </w:p>
    <w:p>
      <w:pPr>
        <w:spacing w:line="400" w:lineRule="exact"/>
        <w:ind w:firstLine="420" w:firstLineChars="200"/>
        <w:rPr>
          <w:color w:val="auto"/>
          <w:szCs w:val="21"/>
          <w:highlight w:val="none"/>
        </w:rPr>
      </w:pPr>
      <w:r>
        <w:rPr>
          <w:color w:val="auto"/>
          <w:szCs w:val="21"/>
          <w:highlight w:val="none"/>
        </w:rPr>
        <w:t>（5）为本招标项目的代建人；</w:t>
      </w:r>
    </w:p>
    <w:p>
      <w:pPr>
        <w:spacing w:line="400" w:lineRule="exact"/>
        <w:ind w:firstLine="420" w:firstLineChars="200"/>
        <w:rPr>
          <w:color w:val="auto"/>
          <w:szCs w:val="21"/>
          <w:highlight w:val="none"/>
        </w:rPr>
      </w:pPr>
      <w:r>
        <w:rPr>
          <w:color w:val="auto"/>
          <w:szCs w:val="21"/>
          <w:highlight w:val="none"/>
        </w:rPr>
        <w:t>（6）为本招标项目的招标代理机构；</w:t>
      </w:r>
    </w:p>
    <w:p>
      <w:pPr>
        <w:spacing w:line="400" w:lineRule="exact"/>
        <w:ind w:firstLine="420" w:firstLineChars="200"/>
        <w:rPr>
          <w:color w:val="auto"/>
          <w:szCs w:val="21"/>
          <w:highlight w:val="none"/>
        </w:rPr>
      </w:pPr>
      <w:r>
        <w:rPr>
          <w:color w:val="auto"/>
          <w:szCs w:val="21"/>
          <w:highlight w:val="none"/>
        </w:rPr>
        <w:t>（7）与本招标项目的代建人或招标代理机构同为一个法定代表人；</w:t>
      </w:r>
    </w:p>
    <w:p>
      <w:pPr>
        <w:spacing w:line="400" w:lineRule="exact"/>
        <w:ind w:firstLine="420" w:firstLineChars="200"/>
        <w:rPr>
          <w:color w:val="auto"/>
          <w:szCs w:val="21"/>
          <w:highlight w:val="none"/>
        </w:rPr>
      </w:pPr>
      <w:r>
        <w:rPr>
          <w:color w:val="auto"/>
          <w:szCs w:val="21"/>
          <w:highlight w:val="none"/>
        </w:rPr>
        <w:t>（8）与本招标项目的代建人或招标代理机构存在控股或参股关系；</w:t>
      </w:r>
    </w:p>
    <w:p>
      <w:pPr>
        <w:spacing w:line="400" w:lineRule="exact"/>
        <w:ind w:firstLine="420" w:firstLineChars="200"/>
        <w:rPr>
          <w:color w:val="auto"/>
          <w:szCs w:val="21"/>
          <w:highlight w:val="none"/>
        </w:rPr>
      </w:pPr>
      <w:r>
        <w:rPr>
          <w:color w:val="auto"/>
          <w:szCs w:val="21"/>
          <w:highlight w:val="none"/>
        </w:rPr>
        <w:t>（9）被依法暂停或者取消投标资格；</w:t>
      </w:r>
    </w:p>
    <w:p>
      <w:pPr>
        <w:spacing w:line="400" w:lineRule="exact"/>
        <w:ind w:firstLine="420" w:firstLineChars="200"/>
        <w:rPr>
          <w:color w:val="auto"/>
          <w:szCs w:val="21"/>
          <w:highlight w:val="none"/>
        </w:rPr>
      </w:pPr>
      <w:r>
        <w:rPr>
          <w:color w:val="auto"/>
          <w:szCs w:val="21"/>
          <w:highlight w:val="none"/>
        </w:rPr>
        <w:t>（10）被责令停产停业、暂扣或者吊销许可证、暂扣或者吊销执照；</w:t>
      </w:r>
    </w:p>
    <w:p>
      <w:pPr>
        <w:spacing w:line="400" w:lineRule="exact"/>
        <w:ind w:firstLine="420" w:firstLineChars="200"/>
        <w:rPr>
          <w:color w:val="auto"/>
          <w:szCs w:val="21"/>
          <w:highlight w:val="none"/>
        </w:rPr>
      </w:pPr>
      <w:r>
        <w:rPr>
          <w:color w:val="auto"/>
          <w:szCs w:val="21"/>
          <w:highlight w:val="none"/>
        </w:rPr>
        <w:t>（11）进入清算程序，或被宣告破产，或其他丧失履约能力的情形；</w:t>
      </w:r>
    </w:p>
    <w:p>
      <w:pPr>
        <w:spacing w:line="400" w:lineRule="exact"/>
        <w:ind w:firstLine="420" w:firstLineChars="200"/>
        <w:rPr>
          <w:color w:val="auto"/>
          <w:szCs w:val="21"/>
          <w:highlight w:val="none"/>
        </w:rPr>
      </w:pPr>
      <w:r>
        <w:rPr>
          <w:color w:val="auto"/>
          <w:szCs w:val="21"/>
          <w:highlight w:val="none"/>
        </w:rPr>
        <w:t>（12）在最近三年内发生重大</w:t>
      </w:r>
      <w:r>
        <w:rPr>
          <w:rFonts w:hint="eastAsia"/>
          <w:color w:val="auto"/>
          <w:szCs w:val="21"/>
          <w:highlight w:val="none"/>
        </w:rPr>
        <w:t>勘察或</w:t>
      </w:r>
      <w:r>
        <w:rPr>
          <w:color w:val="auto"/>
          <w:szCs w:val="21"/>
          <w:highlight w:val="none"/>
        </w:rPr>
        <w:t>设计质量问题（以相关行业主管部门的行政处罚决定或司法机关出具的有关法律文书为准）；</w:t>
      </w:r>
    </w:p>
    <w:p>
      <w:pPr>
        <w:spacing w:line="400" w:lineRule="exact"/>
        <w:ind w:firstLine="420" w:firstLineChars="200"/>
        <w:rPr>
          <w:color w:val="auto"/>
          <w:szCs w:val="21"/>
          <w:highlight w:val="none"/>
        </w:rPr>
      </w:pPr>
      <w:r>
        <w:rPr>
          <w:color w:val="auto"/>
          <w:szCs w:val="21"/>
          <w:highlight w:val="none"/>
        </w:rPr>
        <w:t>（13）被工商行政管理机关在全国企业信用信息公示系统中列入严重违法失信企业名单；</w:t>
      </w:r>
    </w:p>
    <w:p>
      <w:pPr>
        <w:spacing w:line="400" w:lineRule="exact"/>
        <w:ind w:firstLine="420" w:firstLineChars="200"/>
        <w:rPr>
          <w:color w:val="auto"/>
          <w:szCs w:val="21"/>
          <w:highlight w:val="none"/>
        </w:rPr>
      </w:pPr>
      <w:r>
        <w:rPr>
          <w:color w:val="auto"/>
          <w:szCs w:val="21"/>
          <w:highlight w:val="none"/>
        </w:rPr>
        <w:t>（14）被最高人民法院在</w:t>
      </w:r>
      <w:r>
        <w:rPr>
          <w:rFonts w:hint="eastAsia"/>
          <w:color w:val="auto"/>
          <w:szCs w:val="21"/>
          <w:highlight w:val="none"/>
        </w:rPr>
        <w:t>“</w:t>
      </w:r>
      <w:r>
        <w:rPr>
          <w:color w:val="auto"/>
          <w:szCs w:val="21"/>
          <w:highlight w:val="none"/>
        </w:rPr>
        <w:t>信用中国</w:t>
      </w:r>
      <w:r>
        <w:rPr>
          <w:rFonts w:hint="eastAsia"/>
          <w:color w:val="auto"/>
          <w:szCs w:val="21"/>
          <w:highlight w:val="none"/>
        </w:rPr>
        <w:t>”</w:t>
      </w:r>
      <w:r>
        <w:rPr>
          <w:color w:val="auto"/>
          <w:szCs w:val="21"/>
          <w:highlight w:val="none"/>
        </w:rPr>
        <w:t>网站（www.creditchina.gov.cn）或各级信用信息共享平台中列入失信被执行人名单；</w:t>
      </w:r>
    </w:p>
    <w:p>
      <w:pPr>
        <w:spacing w:line="400" w:lineRule="exact"/>
        <w:ind w:firstLine="420" w:firstLineChars="200"/>
        <w:rPr>
          <w:color w:val="auto"/>
          <w:szCs w:val="21"/>
          <w:highlight w:val="none"/>
        </w:rPr>
      </w:pPr>
      <w:r>
        <w:rPr>
          <w:color w:val="auto"/>
          <w:szCs w:val="21"/>
          <w:highlight w:val="none"/>
        </w:rPr>
        <w:t>（15）在近三年内投标人或其法定代表人、拟委任的项目负责人有行贿犯罪行为的；</w:t>
      </w:r>
    </w:p>
    <w:p>
      <w:pPr>
        <w:pStyle w:val="23"/>
        <w:ind w:firstLine="420" w:firstLineChars="200"/>
        <w:rPr>
          <w:rFonts w:hint="eastAsia" w:hAnsi="宋体"/>
          <w:color w:val="auto"/>
          <w:highlight w:val="none"/>
        </w:rPr>
      </w:pPr>
      <w:r>
        <w:rPr>
          <w:rFonts w:ascii="Times New Roman"/>
          <w:color w:val="auto"/>
          <w:szCs w:val="21"/>
          <w:highlight w:val="none"/>
        </w:rPr>
        <w:t>（16）</w:t>
      </w:r>
      <w:r>
        <w:rPr>
          <w:rFonts w:hint="eastAsia" w:hAnsi="宋体"/>
          <w:color w:val="auto"/>
          <w:highlight w:val="none"/>
        </w:rPr>
        <w:t>已放弃中标的单位重新参与此标段重新招标的投标；</w:t>
      </w:r>
    </w:p>
    <w:p>
      <w:pPr>
        <w:ind w:firstLine="420" w:firstLineChars="200"/>
        <w:rPr>
          <w:color w:val="auto"/>
          <w:szCs w:val="21"/>
          <w:highlight w:val="none"/>
        </w:rPr>
      </w:pPr>
      <w:r>
        <w:rPr>
          <w:rFonts w:hint="eastAsia"/>
          <w:color w:val="auto"/>
          <w:szCs w:val="21"/>
          <w:highlight w:val="none"/>
        </w:rPr>
        <w:t>（17）</w:t>
      </w:r>
      <w:r>
        <w:rPr>
          <w:color w:val="auto"/>
          <w:szCs w:val="21"/>
          <w:highlight w:val="none"/>
        </w:rPr>
        <w:t>法律法规或投标人须知前附表规定的其他情形。</w:t>
      </w:r>
    </w:p>
    <w:p>
      <w:pPr>
        <w:ind w:firstLine="420" w:firstLineChars="200"/>
        <w:rPr>
          <w:color w:val="auto"/>
          <w:szCs w:val="21"/>
          <w:highlight w:val="none"/>
        </w:rPr>
      </w:pPr>
      <w:r>
        <w:rPr>
          <w:rFonts w:hint="eastAsia" w:ascii="宋体" w:hAnsi="宋体"/>
          <w:color w:val="auto"/>
          <w:szCs w:val="21"/>
          <w:highlight w:val="none"/>
        </w:rPr>
        <w:t>4、我单位递交的有关证件如有虚假或存在上述第3条所列情形的，一经查实，我单位自愿退出该项目投标，并接受贵单位相关处罚。</w:t>
      </w:r>
    </w:p>
    <w:p>
      <w:pPr>
        <w:ind w:firstLine="5250" w:firstLineChars="2500"/>
        <w:rPr>
          <w:color w:val="auto"/>
          <w:szCs w:val="21"/>
          <w:highlight w:val="none"/>
        </w:rPr>
      </w:pPr>
    </w:p>
    <w:p>
      <w:pPr>
        <w:ind w:firstLine="5250" w:firstLineChars="2500"/>
        <w:rPr>
          <w:rFonts w:hint="eastAsia" w:ascii="宋体" w:hAnsi="宋体"/>
          <w:color w:val="auto"/>
          <w:szCs w:val="21"/>
          <w:highlight w:val="none"/>
        </w:rPr>
      </w:pPr>
      <w:r>
        <w:rPr>
          <w:rFonts w:hint="eastAsia" w:ascii="宋体" w:hAnsi="宋体"/>
          <w:color w:val="auto"/>
          <w:szCs w:val="21"/>
          <w:highlight w:val="none"/>
        </w:rPr>
        <w:t>投标单位：</w:t>
      </w:r>
      <w:r>
        <w:rPr>
          <w:rFonts w:hint="eastAsia" w:ascii="宋体" w:hAnsi="宋体"/>
          <w:color w:val="auto"/>
          <w:szCs w:val="21"/>
          <w:highlight w:val="none"/>
          <w:u w:val="single"/>
        </w:rPr>
        <w:t xml:space="preserve">           </w:t>
      </w:r>
      <w:r>
        <w:rPr>
          <w:rFonts w:hint="eastAsia" w:ascii="宋体" w:hAnsi="宋体"/>
          <w:color w:val="auto"/>
          <w:szCs w:val="21"/>
          <w:highlight w:val="none"/>
        </w:rPr>
        <w:t>（盖单位公章）</w:t>
      </w:r>
    </w:p>
    <w:p>
      <w:pPr>
        <w:tabs>
          <w:tab w:val="left" w:pos="8100"/>
        </w:tabs>
        <w:wordWrap w:val="0"/>
        <w:adjustRightInd w:val="0"/>
        <w:snapToGrid w:val="0"/>
        <w:spacing w:line="360" w:lineRule="auto"/>
        <w:ind w:left="3150" w:leftChars="200" w:hanging="2730" w:hangingChars="1300"/>
        <w:jc w:val="right"/>
        <w:rPr>
          <w:rFonts w:hint="eastAsia" w:ascii="宋体" w:hAnsi="宋体"/>
          <w:color w:val="auto"/>
          <w:szCs w:val="21"/>
          <w:highlight w:val="none"/>
        </w:rPr>
      </w:pP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 xml:space="preserve">     </w:t>
      </w:r>
      <w:r>
        <w:rPr>
          <w:rFonts w:hint="eastAsia" w:ascii="宋体" w:hAnsi="宋体"/>
          <w:color w:val="auto"/>
          <w:highlight w:val="none"/>
        </w:rPr>
        <w:t>法定代表人或者其委托的代理人</w:t>
      </w:r>
      <w:r>
        <w:rPr>
          <w:rFonts w:hint="eastAsia" w:ascii="宋体" w:hAnsi="宋体"/>
          <w:color w:val="auto"/>
          <w:szCs w:val="21"/>
          <w:highlight w:val="none"/>
        </w:rPr>
        <w:t>：</w:t>
      </w:r>
      <w:r>
        <w:rPr>
          <w:rFonts w:hint="eastAsia" w:ascii="宋体" w:hAnsi="宋体"/>
          <w:color w:val="auto"/>
          <w:szCs w:val="21"/>
          <w:highlight w:val="none"/>
          <w:u w:val="single"/>
        </w:rPr>
        <w:t xml:space="preserve">         </w:t>
      </w:r>
      <w:r>
        <w:rPr>
          <w:rFonts w:hint="eastAsia" w:ascii="宋体" w:hAnsi="宋体"/>
          <w:color w:val="auto"/>
          <w:szCs w:val="21"/>
          <w:highlight w:val="none"/>
        </w:rPr>
        <w:t>（签名或签章）</w:t>
      </w:r>
    </w:p>
    <w:p>
      <w:pPr>
        <w:spacing w:line="360" w:lineRule="auto"/>
        <w:rPr>
          <w:rFonts w:hint="eastAsia" w:ascii="宋体" w:hAnsi="宋体"/>
          <w:color w:val="auto"/>
          <w:szCs w:val="21"/>
          <w:highlight w:val="none"/>
        </w:rPr>
      </w:pPr>
      <w:r>
        <w:rPr>
          <w:rFonts w:hint="eastAsia" w:ascii="宋体" w:hAnsi="宋体"/>
          <w:color w:val="auto"/>
          <w:szCs w:val="21"/>
          <w:highlight w:val="none"/>
        </w:rPr>
        <w:t xml:space="preserve">                         </w:t>
      </w:r>
      <w:r>
        <w:rPr>
          <w:rFonts w:ascii="宋体" w:hAnsi="宋体"/>
          <w:color w:val="auto"/>
          <w:szCs w:val="21"/>
          <w:highlight w:val="none"/>
        </w:rPr>
        <w:t xml:space="preserve">                              </w:t>
      </w:r>
      <w:r>
        <w:rPr>
          <w:rFonts w:hint="eastAsia" w:ascii="宋体" w:hAnsi="宋体"/>
          <w:color w:val="auto"/>
          <w:szCs w:val="21"/>
          <w:highlight w:val="none"/>
        </w:rPr>
        <w:t>日 期：</w:t>
      </w:r>
      <w:r>
        <w:rPr>
          <w:rFonts w:hint="eastAsia" w:ascii="宋体" w:hAnsi="宋体"/>
          <w:color w:val="auto"/>
          <w:szCs w:val="21"/>
          <w:highlight w:val="none"/>
          <w:u w:val="single"/>
        </w:rPr>
        <w:t xml:space="preserve">              </w:t>
      </w:r>
    </w:p>
    <w:p>
      <w:pPr>
        <w:spacing w:line="500" w:lineRule="exact"/>
        <w:jc w:val="center"/>
        <w:rPr>
          <w:color w:val="auto"/>
          <w:highlight w:val="none"/>
        </w:rPr>
      </w:pPr>
      <w:r>
        <w:rPr>
          <w:rFonts w:hint="eastAsia"/>
          <w:color w:val="auto"/>
          <w:highlight w:val="none"/>
        </w:rPr>
        <w:br w:type="page"/>
      </w:r>
    </w:p>
    <w:p>
      <w:pPr>
        <w:pStyle w:val="5"/>
        <w:ind w:firstLine="138"/>
        <w:jc w:val="center"/>
        <w:rPr>
          <w:b/>
          <w:bCs/>
          <w:color w:val="auto"/>
          <w:highlight w:val="none"/>
        </w:rPr>
      </w:pPr>
      <w:bookmarkStart w:id="544" w:name="_Toc30874"/>
      <w:r>
        <w:rPr>
          <w:rFonts w:hint="eastAsia"/>
          <w:b/>
          <w:bCs/>
          <w:color w:val="auto"/>
          <w:highlight w:val="none"/>
        </w:rPr>
        <w:t>八、资格审查、商务评审资料</w:t>
      </w:r>
      <w:bookmarkEnd w:id="544"/>
    </w:p>
    <w:p>
      <w:pPr>
        <w:pStyle w:val="6"/>
        <w:rPr>
          <w:b w:val="0"/>
          <w:bCs w:val="0"/>
          <w:color w:val="auto"/>
          <w:highlight w:val="none"/>
        </w:rPr>
      </w:pPr>
      <w:r>
        <w:rPr>
          <w:rFonts w:hint="eastAsia"/>
          <w:b w:val="0"/>
          <w:bCs w:val="0"/>
          <w:color w:val="auto"/>
          <w:highlight w:val="none"/>
        </w:rPr>
        <w:t>（一）基本情况表（如为联合体投标，联合体各方均须提供）</w:t>
      </w:r>
    </w:p>
    <w:tbl>
      <w:tblPr>
        <w:tblStyle w:val="4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46"/>
        <w:gridCol w:w="898"/>
        <w:gridCol w:w="1026"/>
        <w:gridCol w:w="1287"/>
        <w:gridCol w:w="414"/>
        <w:gridCol w:w="873"/>
        <w:gridCol w:w="828"/>
        <w:gridCol w:w="284"/>
        <w:gridCol w:w="123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r>
              <w:rPr>
                <w:rFonts w:hint="eastAsia"/>
                <w:color w:val="auto"/>
                <w:highlight w:val="none"/>
              </w:rPr>
              <w:t>投标人名称</w:t>
            </w:r>
          </w:p>
        </w:tc>
        <w:tc>
          <w:tcPr>
            <w:tcW w:w="6840" w:type="dxa"/>
            <w:gridSpan w:val="8"/>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r>
              <w:rPr>
                <w:rFonts w:hint="eastAsia"/>
                <w:color w:val="auto"/>
                <w:highlight w:val="none"/>
              </w:rPr>
              <w:t>注册地址</w:t>
            </w:r>
          </w:p>
        </w:tc>
        <w:tc>
          <w:tcPr>
            <w:tcW w:w="3211"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p>
        </w:tc>
        <w:tc>
          <w:tcPr>
            <w:tcW w:w="1287"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before="100" w:beforeAutospacing="1" w:after="100" w:afterAutospacing="1" w:line="440" w:lineRule="exact"/>
              <w:jc w:val="center"/>
              <w:rPr>
                <w:color w:val="auto"/>
                <w:highlight w:val="none"/>
              </w:rPr>
            </w:pPr>
            <w:r>
              <w:rPr>
                <w:rFonts w:hint="eastAsia"/>
                <w:color w:val="auto"/>
                <w:highlight w:val="none"/>
              </w:rPr>
              <w:t>邮政编码</w:t>
            </w:r>
          </w:p>
        </w:tc>
        <w:tc>
          <w:tcPr>
            <w:tcW w:w="2342"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046" w:type="dxa"/>
            <w:vMerge w:val="restart"/>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r>
              <w:rPr>
                <w:rFonts w:hint="eastAsia"/>
                <w:color w:val="auto"/>
                <w:highlight w:val="none"/>
              </w:rPr>
              <w:t>联系方式</w:t>
            </w:r>
          </w:p>
        </w:tc>
        <w:tc>
          <w:tcPr>
            <w:tcW w:w="898" w:type="dxa"/>
            <w:tcBorders>
              <w:top w:val="single" w:color="auto" w:sz="4" w:space="0"/>
              <w:left w:val="single" w:color="auto" w:sz="4" w:space="0"/>
              <w:bottom w:val="single" w:color="auto" w:sz="4" w:space="0"/>
              <w:right w:val="single" w:color="auto" w:sz="4" w:space="0"/>
            </w:tcBorders>
            <w:noWrap w:val="0"/>
            <w:vAlign w:val="center"/>
          </w:tcPr>
          <w:p>
            <w:pPr>
              <w:topLinePunct/>
              <w:spacing w:before="100" w:beforeAutospacing="1" w:after="100" w:afterAutospacing="1" w:line="440" w:lineRule="exact"/>
              <w:jc w:val="center"/>
              <w:rPr>
                <w:color w:val="auto"/>
                <w:highlight w:val="none"/>
              </w:rPr>
            </w:pPr>
            <w:r>
              <w:rPr>
                <w:rFonts w:hint="eastAsia"/>
                <w:color w:val="auto"/>
                <w:highlight w:val="none"/>
              </w:rPr>
              <w:t>联系人</w:t>
            </w:r>
          </w:p>
        </w:tc>
        <w:tc>
          <w:tcPr>
            <w:tcW w:w="2313"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p>
        </w:tc>
        <w:tc>
          <w:tcPr>
            <w:tcW w:w="1287"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before="100" w:beforeAutospacing="1" w:after="100" w:afterAutospacing="1" w:line="440" w:lineRule="exact"/>
              <w:jc w:val="center"/>
              <w:rPr>
                <w:color w:val="auto"/>
                <w:highlight w:val="none"/>
              </w:rPr>
            </w:pPr>
            <w:r>
              <w:rPr>
                <w:rFonts w:hint="eastAsia"/>
                <w:color w:val="auto"/>
                <w:highlight w:val="none"/>
              </w:rPr>
              <w:t>电</w:t>
            </w:r>
            <w:r>
              <w:rPr>
                <w:color w:val="auto"/>
                <w:highlight w:val="none"/>
              </w:rPr>
              <w:t xml:space="preserve"> </w:t>
            </w:r>
            <w:r>
              <w:rPr>
                <w:rFonts w:hint="eastAsia"/>
                <w:color w:val="auto"/>
                <w:highlight w:val="none"/>
              </w:rPr>
              <w:t>话</w:t>
            </w:r>
          </w:p>
        </w:tc>
        <w:tc>
          <w:tcPr>
            <w:tcW w:w="2342"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04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color w:val="auto"/>
                <w:highlight w:val="none"/>
              </w:rPr>
            </w:pPr>
          </w:p>
        </w:tc>
        <w:tc>
          <w:tcPr>
            <w:tcW w:w="898" w:type="dxa"/>
            <w:tcBorders>
              <w:top w:val="single" w:color="auto" w:sz="4" w:space="0"/>
              <w:left w:val="single" w:color="auto" w:sz="4" w:space="0"/>
              <w:bottom w:val="single" w:color="auto" w:sz="4" w:space="0"/>
              <w:right w:val="single" w:color="auto" w:sz="4" w:space="0"/>
            </w:tcBorders>
            <w:noWrap w:val="0"/>
            <w:vAlign w:val="center"/>
          </w:tcPr>
          <w:p>
            <w:pPr>
              <w:topLinePunct/>
              <w:spacing w:before="100" w:beforeAutospacing="1" w:after="100" w:afterAutospacing="1" w:line="440" w:lineRule="exact"/>
              <w:jc w:val="center"/>
              <w:rPr>
                <w:color w:val="auto"/>
                <w:highlight w:val="none"/>
              </w:rPr>
            </w:pPr>
            <w:r>
              <w:rPr>
                <w:rFonts w:hint="eastAsia"/>
                <w:color w:val="auto"/>
                <w:highlight w:val="none"/>
              </w:rPr>
              <w:t>传</w:t>
            </w:r>
            <w:r>
              <w:rPr>
                <w:color w:val="auto"/>
                <w:highlight w:val="none"/>
              </w:rPr>
              <w:t xml:space="preserve">  </w:t>
            </w:r>
            <w:r>
              <w:rPr>
                <w:rFonts w:hint="eastAsia"/>
                <w:color w:val="auto"/>
                <w:highlight w:val="none"/>
              </w:rPr>
              <w:t>真</w:t>
            </w:r>
          </w:p>
        </w:tc>
        <w:tc>
          <w:tcPr>
            <w:tcW w:w="2313"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p>
        </w:tc>
        <w:tc>
          <w:tcPr>
            <w:tcW w:w="1287"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before="100" w:beforeAutospacing="1" w:after="100" w:afterAutospacing="1" w:line="440" w:lineRule="exact"/>
              <w:jc w:val="center"/>
              <w:rPr>
                <w:color w:val="auto"/>
                <w:highlight w:val="none"/>
              </w:rPr>
            </w:pPr>
            <w:r>
              <w:rPr>
                <w:rFonts w:hint="eastAsia"/>
                <w:color w:val="auto"/>
                <w:highlight w:val="none"/>
              </w:rPr>
              <w:t>网</w:t>
            </w:r>
            <w:r>
              <w:rPr>
                <w:color w:val="auto"/>
                <w:highlight w:val="none"/>
              </w:rPr>
              <w:t xml:space="preserve"> </w:t>
            </w:r>
            <w:r>
              <w:rPr>
                <w:rFonts w:hint="eastAsia"/>
                <w:color w:val="auto"/>
                <w:highlight w:val="none"/>
              </w:rPr>
              <w:t>址</w:t>
            </w:r>
          </w:p>
        </w:tc>
        <w:tc>
          <w:tcPr>
            <w:tcW w:w="2342"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pPr>
              <w:topLinePunct/>
              <w:spacing w:before="100" w:beforeAutospacing="1" w:after="100" w:afterAutospacing="1" w:line="440" w:lineRule="exact"/>
              <w:jc w:val="center"/>
              <w:rPr>
                <w:color w:val="auto"/>
                <w:highlight w:val="none"/>
              </w:rPr>
            </w:pPr>
            <w:r>
              <w:rPr>
                <w:rFonts w:hint="eastAsia"/>
                <w:color w:val="auto"/>
                <w:highlight w:val="none"/>
              </w:rPr>
              <w:t>法定代表人</w:t>
            </w:r>
          </w:p>
        </w:tc>
        <w:tc>
          <w:tcPr>
            <w:tcW w:w="898" w:type="dxa"/>
            <w:tcBorders>
              <w:top w:val="single" w:color="auto" w:sz="4" w:space="0"/>
              <w:left w:val="single" w:color="auto" w:sz="4" w:space="0"/>
              <w:bottom w:val="single" w:color="auto" w:sz="4" w:space="0"/>
              <w:right w:val="single" w:color="auto" w:sz="4" w:space="0"/>
            </w:tcBorders>
            <w:noWrap w:val="0"/>
            <w:vAlign w:val="center"/>
          </w:tcPr>
          <w:p>
            <w:pPr>
              <w:topLinePunct/>
              <w:spacing w:before="100" w:beforeAutospacing="1" w:after="100" w:afterAutospacing="1" w:line="440" w:lineRule="exact"/>
              <w:jc w:val="center"/>
              <w:rPr>
                <w:color w:val="auto"/>
                <w:highlight w:val="none"/>
              </w:rPr>
            </w:pPr>
            <w:r>
              <w:rPr>
                <w:rFonts w:hint="eastAsia"/>
                <w:color w:val="auto"/>
                <w:highlight w:val="none"/>
              </w:rPr>
              <w:t>姓名</w:t>
            </w:r>
          </w:p>
        </w:tc>
        <w:tc>
          <w:tcPr>
            <w:tcW w:w="1026"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p>
        </w:tc>
        <w:tc>
          <w:tcPr>
            <w:tcW w:w="1287" w:type="dxa"/>
            <w:tcBorders>
              <w:top w:val="single" w:color="auto" w:sz="4" w:space="0"/>
              <w:left w:val="single" w:color="auto" w:sz="4" w:space="0"/>
              <w:bottom w:val="single" w:color="auto" w:sz="4" w:space="0"/>
              <w:right w:val="single" w:color="auto" w:sz="4" w:space="0"/>
            </w:tcBorders>
            <w:noWrap w:val="0"/>
            <w:vAlign w:val="center"/>
          </w:tcPr>
          <w:p>
            <w:pPr>
              <w:topLinePunct/>
              <w:spacing w:before="100" w:beforeAutospacing="1" w:after="100" w:afterAutospacing="1" w:line="440" w:lineRule="exact"/>
              <w:jc w:val="center"/>
              <w:rPr>
                <w:color w:val="auto"/>
                <w:highlight w:val="none"/>
              </w:rPr>
            </w:pPr>
            <w:r>
              <w:rPr>
                <w:rFonts w:hint="eastAsia"/>
                <w:color w:val="auto"/>
                <w:highlight w:val="none"/>
              </w:rPr>
              <w:t>技术职称</w:t>
            </w:r>
          </w:p>
        </w:tc>
        <w:tc>
          <w:tcPr>
            <w:tcW w:w="1287"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p>
        </w:tc>
        <w:tc>
          <w:tcPr>
            <w:tcW w:w="1112"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before="100" w:beforeAutospacing="1" w:after="100" w:afterAutospacing="1" w:line="440" w:lineRule="exact"/>
              <w:jc w:val="center"/>
              <w:rPr>
                <w:color w:val="auto"/>
                <w:highlight w:val="none"/>
              </w:rPr>
            </w:pPr>
            <w:r>
              <w:rPr>
                <w:rFonts w:hint="eastAsia"/>
                <w:color w:val="auto"/>
                <w:highlight w:val="none"/>
              </w:rPr>
              <w:t>电话</w:t>
            </w:r>
          </w:p>
        </w:tc>
        <w:tc>
          <w:tcPr>
            <w:tcW w:w="1230"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r>
              <w:rPr>
                <w:rFonts w:hint="eastAsia"/>
                <w:color w:val="auto"/>
                <w:szCs w:val="21"/>
                <w:highlight w:val="none"/>
              </w:rPr>
              <w:t>技术负责人</w:t>
            </w:r>
          </w:p>
        </w:tc>
        <w:tc>
          <w:tcPr>
            <w:tcW w:w="898" w:type="dxa"/>
            <w:tcBorders>
              <w:top w:val="single" w:color="auto" w:sz="4" w:space="0"/>
              <w:left w:val="single" w:color="auto" w:sz="4" w:space="0"/>
              <w:bottom w:val="single" w:color="auto" w:sz="4" w:space="0"/>
              <w:right w:val="single" w:color="auto" w:sz="4" w:space="0"/>
            </w:tcBorders>
            <w:noWrap w:val="0"/>
            <w:vAlign w:val="center"/>
          </w:tcPr>
          <w:p>
            <w:pPr>
              <w:topLinePunct/>
              <w:spacing w:before="100" w:beforeAutospacing="1" w:after="100" w:afterAutospacing="1" w:line="440" w:lineRule="exact"/>
              <w:jc w:val="center"/>
              <w:rPr>
                <w:color w:val="auto"/>
                <w:highlight w:val="none"/>
              </w:rPr>
            </w:pPr>
            <w:r>
              <w:rPr>
                <w:rFonts w:hint="eastAsia"/>
                <w:color w:val="auto"/>
                <w:highlight w:val="none"/>
              </w:rPr>
              <w:t>姓名</w:t>
            </w:r>
          </w:p>
        </w:tc>
        <w:tc>
          <w:tcPr>
            <w:tcW w:w="1026"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p>
        </w:tc>
        <w:tc>
          <w:tcPr>
            <w:tcW w:w="1287" w:type="dxa"/>
            <w:tcBorders>
              <w:top w:val="single" w:color="auto" w:sz="4" w:space="0"/>
              <w:left w:val="single" w:color="auto" w:sz="4" w:space="0"/>
              <w:bottom w:val="single" w:color="auto" w:sz="4" w:space="0"/>
              <w:right w:val="single" w:color="auto" w:sz="4" w:space="0"/>
            </w:tcBorders>
            <w:noWrap w:val="0"/>
            <w:vAlign w:val="center"/>
          </w:tcPr>
          <w:p>
            <w:pPr>
              <w:topLinePunct/>
              <w:spacing w:before="100" w:beforeAutospacing="1" w:after="100" w:afterAutospacing="1" w:line="440" w:lineRule="exact"/>
              <w:jc w:val="center"/>
              <w:rPr>
                <w:color w:val="auto"/>
                <w:highlight w:val="none"/>
              </w:rPr>
            </w:pPr>
            <w:r>
              <w:rPr>
                <w:rFonts w:hint="eastAsia"/>
                <w:color w:val="auto"/>
                <w:highlight w:val="none"/>
              </w:rPr>
              <w:t>技术职称</w:t>
            </w:r>
          </w:p>
        </w:tc>
        <w:tc>
          <w:tcPr>
            <w:tcW w:w="1287"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p>
        </w:tc>
        <w:tc>
          <w:tcPr>
            <w:tcW w:w="1112"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before="100" w:beforeAutospacing="1" w:after="100" w:afterAutospacing="1" w:line="440" w:lineRule="exact"/>
              <w:jc w:val="center"/>
              <w:rPr>
                <w:color w:val="auto"/>
                <w:highlight w:val="none"/>
              </w:rPr>
            </w:pPr>
            <w:r>
              <w:rPr>
                <w:rFonts w:hint="eastAsia"/>
                <w:color w:val="auto"/>
                <w:highlight w:val="none"/>
              </w:rPr>
              <w:t>电话</w:t>
            </w:r>
          </w:p>
        </w:tc>
        <w:tc>
          <w:tcPr>
            <w:tcW w:w="1230"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pPr>
              <w:topLinePunct/>
              <w:spacing w:before="100" w:beforeAutospacing="1" w:after="100" w:afterAutospacing="1" w:line="440" w:lineRule="exact"/>
              <w:jc w:val="center"/>
              <w:rPr>
                <w:color w:val="auto"/>
                <w:highlight w:val="none"/>
              </w:rPr>
            </w:pPr>
            <w:r>
              <w:rPr>
                <w:rFonts w:hint="eastAsia"/>
                <w:color w:val="auto"/>
                <w:highlight w:val="none"/>
              </w:rPr>
              <w:t>企业勘察</w:t>
            </w:r>
            <w:r>
              <w:rPr>
                <w:rFonts w:hint="eastAsia"/>
                <w:color w:val="auto"/>
                <w:szCs w:val="21"/>
                <w:highlight w:val="none"/>
              </w:rPr>
              <w:t>设计</w:t>
            </w:r>
            <w:r>
              <w:rPr>
                <w:rFonts w:hint="eastAsia"/>
                <w:color w:val="auto"/>
                <w:highlight w:val="none"/>
              </w:rPr>
              <w:t>资质证书</w:t>
            </w:r>
          </w:p>
        </w:tc>
        <w:tc>
          <w:tcPr>
            <w:tcW w:w="6840" w:type="dxa"/>
            <w:gridSpan w:val="8"/>
            <w:tcBorders>
              <w:top w:val="single" w:color="auto" w:sz="4" w:space="0"/>
              <w:left w:val="single" w:color="auto" w:sz="4" w:space="0"/>
              <w:bottom w:val="single" w:color="auto" w:sz="4" w:space="0"/>
              <w:right w:val="single" w:color="auto" w:sz="4" w:space="0"/>
            </w:tcBorders>
            <w:noWrap w:val="0"/>
            <w:vAlign w:val="center"/>
          </w:tcPr>
          <w:p>
            <w:pPr>
              <w:topLinePunct/>
              <w:spacing w:before="100" w:beforeAutospacing="1" w:after="100" w:afterAutospacing="1" w:line="440" w:lineRule="exact"/>
              <w:ind w:firstLine="105" w:firstLineChars="50"/>
              <w:jc w:val="center"/>
              <w:rPr>
                <w:color w:val="auto"/>
                <w:highlight w:val="none"/>
              </w:rPr>
            </w:pPr>
            <w:r>
              <w:rPr>
                <w:rFonts w:hint="eastAsia"/>
                <w:color w:val="auto"/>
                <w:highlight w:val="none"/>
              </w:rPr>
              <w:t>类型：</w:t>
            </w:r>
            <w:r>
              <w:rPr>
                <w:color w:val="auto"/>
                <w:highlight w:val="none"/>
              </w:rPr>
              <w:t xml:space="preserve">                    </w:t>
            </w:r>
            <w:r>
              <w:rPr>
                <w:rFonts w:hint="eastAsia"/>
                <w:color w:val="auto"/>
                <w:highlight w:val="none"/>
              </w:rPr>
              <w:t>等级：</w:t>
            </w:r>
            <w:r>
              <w:rPr>
                <w:color w:val="auto"/>
                <w:highlight w:val="none"/>
              </w:rPr>
              <w:t xml:space="preserve">      </w:t>
            </w:r>
            <w:r>
              <w:rPr>
                <w:rFonts w:hint="eastAsia"/>
                <w:color w:val="auto"/>
                <w:highlight w:val="none"/>
              </w:rPr>
              <w:t>证书号：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pPr>
              <w:topLinePunct/>
              <w:spacing w:before="100" w:beforeAutospacing="1" w:after="100" w:afterAutospacing="1" w:line="440" w:lineRule="exact"/>
              <w:jc w:val="center"/>
              <w:rPr>
                <w:color w:val="auto"/>
                <w:highlight w:val="none"/>
              </w:rPr>
            </w:pPr>
            <w:r>
              <w:rPr>
                <w:rFonts w:hint="eastAsia"/>
                <w:color w:val="auto"/>
                <w:highlight w:val="none"/>
              </w:rPr>
              <w:t>质量管理体系证书（如有）</w:t>
            </w:r>
          </w:p>
        </w:tc>
        <w:tc>
          <w:tcPr>
            <w:tcW w:w="6840" w:type="dxa"/>
            <w:gridSpan w:val="8"/>
            <w:tcBorders>
              <w:top w:val="single" w:color="auto" w:sz="4" w:space="0"/>
              <w:left w:val="single" w:color="auto" w:sz="4" w:space="0"/>
              <w:bottom w:val="single" w:color="auto" w:sz="4" w:space="0"/>
              <w:right w:val="single" w:color="auto" w:sz="4" w:space="0"/>
            </w:tcBorders>
            <w:noWrap w:val="0"/>
            <w:vAlign w:val="center"/>
          </w:tcPr>
          <w:p>
            <w:pPr>
              <w:topLinePunct/>
              <w:spacing w:before="100" w:beforeAutospacing="1" w:after="100" w:afterAutospacing="1" w:line="440" w:lineRule="exact"/>
              <w:ind w:firstLine="105" w:firstLineChars="50"/>
              <w:jc w:val="center"/>
              <w:rPr>
                <w:color w:val="auto"/>
                <w:highlight w:val="none"/>
              </w:rPr>
            </w:pPr>
            <w:r>
              <w:rPr>
                <w:rFonts w:hint="eastAsia"/>
                <w:color w:val="auto"/>
                <w:highlight w:val="none"/>
              </w:rPr>
              <w:t>类型：</w:t>
            </w:r>
            <w:r>
              <w:rPr>
                <w:color w:val="auto"/>
                <w:highlight w:val="none"/>
              </w:rPr>
              <w:t xml:space="preserve">                    </w:t>
            </w:r>
            <w:r>
              <w:rPr>
                <w:rFonts w:hint="eastAsia"/>
                <w:color w:val="auto"/>
                <w:highlight w:val="none"/>
              </w:rPr>
              <w:t>等级：</w:t>
            </w:r>
            <w:r>
              <w:rPr>
                <w:color w:val="auto"/>
                <w:highlight w:val="none"/>
              </w:rPr>
              <w:t xml:space="preserve">      </w:t>
            </w:r>
            <w:r>
              <w:rPr>
                <w:rFonts w:hint="eastAsia"/>
                <w:color w:val="auto"/>
                <w:highlight w:val="none"/>
              </w:rPr>
              <w:t>证书号：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pPr>
              <w:topLinePunct/>
              <w:spacing w:before="100" w:beforeAutospacing="1" w:after="100" w:afterAutospacing="1" w:line="440" w:lineRule="exact"/>
              <w:jc w:val="center"/>
              <w:rPr>
                <w:color w:val="auto"/>
                <w:highlight w:val="none"/>
              </w:rPr>
            </w:pPr>
            <w:r>
              <w:rPr>
                <w:rFonts w:hint="eastAsia"/>
                <w:color w:val="auto"/>
                <w:highlight w:val="none"/>
              </w:rPr>
              <w:t>营业执照号</w:t>
            </w:r>
          </w:p>
        </w:tc>
        <w:tc>
          <w:tcPr>
            <w:tcW w:w="3211"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p>
        </w:tc>
        <w:tc>
          <w:tcPr>
            <w:tcW w:w="3629" w:type="dxa"/>
            <w:gridSpan w:val="5"/>
            <w:tcBorders>
              <w:top w:val="single" w:color="auto" w:sz="4" w:space="0"/>
              <w:left w:val="single" w:color="auto" w:sz="4" w:space="0"/>
              <w:bottom w:val="single" w:color="auto" w:sz="4" w:space="0"/>
              <w:right w:val="single" w:color="auto" w:sz="4" w:space="0"/>
            </w:tcBorders>
            <w:noWrap w:val="0"/>
            <w:vAlign w:val="center"/>
          </w:tcPr>
          <w:p>
            <w:pPr>
              <w:topLinePunct/>
              <w:spacing w:before="100" w:beforeAutospacing="1" w:after="100" w:afterAutospacing="1" w:line="440" w:lineRule="exact"/>
              <w:jc w:val="center"/>
              <w:rPr>
                <w:color w:val="auto"/>
                <w:highlight w:val="none"/>
              </w:rPr>
            </w:pPr>
            <w:r>
              <w:rPr>
                <w:rFonts w:hint="eastAsia"/>
                <w:color w:val="auto"/>
                <w:highlight w:val="none"/>
              </w:rPr>
              <w:t>员工总人数：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pPr>
              <w:topLinePunct/>
              <w:spacing w:before="100" w:beforeAutospacing="1" w:after="100" w:afterAutospacing="1" w:line="440" w:lineRule="exact"/>
              <w:jc w:val="center"/>
              <w:rPr>
                <w:color w:val="auto"/>
                <w:highlight w:val="none"/>
              </w:rPr>
            </w:pPr>
            <w:r>
              <w:rPr>
                <w:rFonts w:hint="eastAsia"/>
                <w:color w:val="auto"/>
                <w:highlight w:val="none"/>
              </w:rPr>
              <w:t>注册资本</w:t>
            </w:r>
          </w:p>
        </w:tc>
        <w:tc>
          <w:tcPr>
            <w:tcW w:w="3211"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p>
        </w:tc>
        <w:tc>
          <w:tcPr>
            <w:tcW w:w="414" w:type="dxa"/>
            <w:vMerge w:val="restart"/>
            <w:tcBorders>
              <w:top w:val="single" w:color="auto" w:sz="4" w:space="0"/>
              <w:left w:val="single" w:color="auto" w:sz="4" w:space="0"/>
              <w:right w:val="single" w:color="auto" w:sz="4" w:space="0"/>
            </w:tcBorders>
            <w:noWrap w:val="0"/>
            <w:vAlign w:val="center"/>
          </w:tcPr>
          <w:p>
            <w:pPr>
              <w:topLinePunct/>
              <w:spacing w:before="100" w:beforeAutospacing="1" w:after="100" w:afterAutospacing="1" w:line="440" w:lineRule="exact"/>
              <w:jc w:val="center"/>
              <w:rPr>
                <w:color w:val="auto"/>
                <w:highlight w:val="none"/>
              </w:rPr>
            </w:pPr>
            <w:r>
              <w:rPr>
                <w:rFonts w:hint="eastAsia"/>
                <w:color w:val="auto"/>
                <w:highlight w:val="none"/>
              </w:rPr>
              <w:t>其中</w:t>
            </w:r>
          </w:p>
        </w:tc>
        <w:tc>
          <w:tcPr>
            <w:tcW w:w="170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before="100" w:beforeAutospacing="1" w:after="100" w:afterAutospacing="1" w:line="440" w:lineRule="exact"/>
              <w:jc w:val="center"/>
              <w:rPr>
                <w:color w:val="auto"/>
                <w:highlight w:val="none"/>
              </w:rPr>
            </w:pPr>
            <w:r>
              <w:rPr>
                <w:rFonts w:hint="eastAsia"/>
                <w:color w:val="auto"/>
                <w:highlight w:val="none"/>
              </w:rPr>
              <w:t>高级职称人员</w:t>
            </w:r>
          </w:p>
        </w:tc>
        <w:tc>
          <w:tcPr>
            <w:tcW w:w="1514"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pPr>
              <w:topLinePunct/>
              <w:spacing w:before="100" w:beforeAutospacing="1" w:after="100" w:afterAutospacing="1" w:line="440" w:lineRule="exact"/>
              <w:jc w:val="center"/>
              <w:rPr>
                <w:color w:val="auto"/>
                <w:highlight w:val="none"/>
              </w:rPr>
            </w:pPr>
            <w:r>
              <w:rPr>
                <w:rFonts w:hint="eastAsia"/>
                <w:color w:val="auto"/>
                <w:highlight w:val="none"/>
              </w:rPr>
              <w:t>成立日期</w:t>
            </w:r>
          </w:p>
        </w:tc>
        <w:tc>
          <w:tcPr>
            <w:tcW w:w="3211"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p>
        </w:tc>
        <w:tc>
          <w:tcPr>
            <w:tcW w:w="414" w:type="dxa"/>
            <w:vMerge w:val="continue"/>
            <w:tcBorders>
              <w:left w:val="single" w:color="auto" w:sz="4" w:space="0"/>
              <w:right w:val="single" w:color="auto" w:sz="4" w:space="0"/>
            </w:tcBorders>
            <w:noWrap w:val="0"/>
            <w:vAlign w:val="center"/>
          </w:tcPr>
          <w:p>
            <w:pPr>
              <w:jc w:val="center"/>
              <w:rPr>
                <w:color w:val="auto"/>
                <w:highlight w:val="none"/>
              </w:rPr>
            </w:pPr>
          </w:p>
        </w:tc>
        <w:tc>
          <w:tcPr>
            <w:tcW w:w="170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before="100" w:beforeAutospacing="1" w:after="100" w:afterAutospacing="1" w:line="440" w:lineRule="exact"/>
              <w:jc w:val="center"/>
              <w:rPr>
                <w:color w:val="auto"/>
                <w:highlight w:val="none"/>
              </w:rPr>
            </w:pPr>
            <w:r>
              <w:rPr>
                <w:rFonts w:hint="eastAsia"/>
                <w:color w:val="auto"/>
                <w:highlight w:val="none"/>
              </w:rPr>
              <w:t>中级职称人员</w:t>
            </w:r>
          </w:p>
        </w:tc>
        <w:tc>
          <w:tcPr>
            <w:tcW w:w="1514"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pPr>
              <w:topLinePunct/>
              <w:spacing w:before="100" w:beforeAutospacing="1" w:after="100" w:afterAutospacing="1" w:line="440" w:lineRule="exact"/>
              <w:jc w:val="center"/>
              <w:rPr>
                <w:color w:val="auto"/>
                <w:highlight w:val="none"/>
              </w:rPr>
            </w:pPr>
            <w:r>
              <w:rPr>
                <w:rFonts w:hint="eastAsia"/>
                <w:color w:val="auto"/>
                <w:highlight w:val="none"/>
              </w:rPr>
              <w:t>基本账户开户银行</w:t>
            </w:r>
          </w:p>
        </w:tc>
        <w:tc>
          <w:tcPr>
            <w:tcW w:w="3211"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p>
        </w:tc>
        <w:tc>
          <w:tcPr>
            <w:tcW w:w="414" w:type="dxa"/>
            <w:vMerge w:val="continue"/>
            <w:tcBorders>
              <w:left w:val="single" w:color="auto" w:sz="4" w:space="0"/>
              <w:right w:val="single" w:color="auto" w:sz="4" w:space="0"/>
            </w:tcBorders>
            <w:noWrap w:val="0"/>
            <w:vAlign w:val="center"/>
          </w:tcPr>
          <w:p>
            <w:pPr>
              <w:jc w:val="center"/>
              <w:rPr>
                <w:color w:val="auto"/>
                <w:highlight w:val="none"/>
              </w:rPr>
            </w:pPr>
          </w:p>
        </w:tc>
        <w:tc>
          <w:tcPr>
            <w:tcW w:w="170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before="100" w:beforeAutospacing="1" w:after="100" w:afterAutospacing="1" w:line="440" w:lineRule="exact"/>
              <w:jc w:val="center"/>
              <w:rPr>
                <w:color w:val="auto"/>
                <w:highlight w:val="none"/>
              </w:rPr>
            </w:pPr>
            <w:r>
              <w:rPr>
                <w:rFonts w:hint="eastAsia"/>
                <w:color w:val="auto"/>
                <w:highlight w:val="none"/>
              </w:rPr>
              <w:t>技术人员数量</w:t>
            </w:r>
          </w:p>
        </w:tc>
        <w:tc>
          <w:tcPr>
            <w:tcW w:w="1514"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pPr>
              <w:topLinePunct/>
              <w:spacing w:before="100" w:beforeAutospacing="1" w:after="100" w:afterAutospacing="1" w:line="440" w:lineRule="exact"/>
              <w:jc w:val="center"/>
              <w:rPr>
                <w:color w:val="auto"/>
                <w:highlight w:val="none"/>
              </w:rPr>
            </w:pPr>
            <w:r>
              <w:rPr>
                <w:rFonts w:hint="eastAsia"/>
                <w:color w:val="auto"/>
                <w:highlight w:val="none"/>
              </w:rPr>
              <w:t>基本账户银行账号</w:t>
            </w:r>
          </w:p>
        </w:tc>
        <w:tc>
          <w:tcPr>
            <w:tcW w:w="3211" w:type="dxa"/>
            <w:gridSpan w:val="3"/>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p>
        </w:tc>
        <w:tc>
          <w:tcPr>
            <w:tcW w:w="414" w:type="dxa"/>
            <w:vMerge w:val="continue"/>
            <w:tcBorders>
              <w:left w:val="single" w:color="auto" w:sz="4" w:space="0"/>
              <w:right w:val="single" w:color="auto" w:sz="4" w:space="0"/>
            </w:tcBorders>
            <w:noWrap w:val="0"/>
            <w:vAlign w:val="center"/>
          </w:tcPr>
          <w:p>
            <w:pPr>
              <w:jc w:val="center"/>
              <w:rPr>
                <w:color w:val="auto"/>
                <w:highlight w:val="none"/>
              </w:rPr>
            </w:pPr>
          </w:p>
        </w:tc>
        <w:tc>
          <w:tcPr>
            <w:tcW w:w="1701"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before="100" w:beforeAutospacing="1" w:after="100" w:afterAutospacing="1" w:line="440" w:lineRule="exact"/>
              <w:jc w:val="center"/>
              <w:rPr>
                <w:color w:val="auto"/>
                <w:highlight w:val="none"/>
              </w:rPr>
            </w:pPr>
            <w:r>
              <w:rPr>
                <w:rFonts w:hint="eastAsia"/>
                <w:color w:val="auto"/>
                <w:szCs w:val="21"/>
                <w:highlight w:val="none"/>
              </w:rPr>
              <w:t>各类注册人员</w:t>
            </w:r>
          </w:p>
        </w:tc>
        <w:tc>
          <w:tcPr>
            <w:tcW w:w="1514" w:type="dxa"/>
            <w:gridSpan w:val="2"/>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2046" w:type="dxa"/>
            <w:tcBorders>
              <w:top w:val="single" w:color="auto" w:sz="4" w:space="0"/>
              <w:left w:val="single" w:color="auto" w:sz="4" w:space="0"/>
              <w:right w:val="single" w:color="auto" w:sz="4" w:space="0"/>
            </w:tcBorders>
            <w:noWrap w:val="0"/>
            <w:vAlign w:val="center"/>
          </w:tcPr>
          <w:p>
            <w:pPr>
              <w:topLinePunct/>
              <w:spacing w:before="100" w:beforeAutospacing="1" w:after="100" w:afterAutospacing="1" w:line="440" w:lineRule="exact"/>
              <w:ind w:firstLine="210" w:firstLineChars="100"/>
              <w:jc w:val="center"/>
              <w:rPr>
                <w:color w:val="auto"/>
                <w:highlight w:val="none"/>
              </w:rPr>
            </w:pPr>
            <w:r>
              <w:rPr>
                <w:rFonts w:hint="eastAsia"/>
                <w:color w:val="auto"/>
                <w:highlight w:val="none"/>
              </w:rPr>
              <w:t>经营范围</w:t>
            </w:r>
          </w:p>
        </w:tc>
        <w:tc>
          <w:tcPr>
            <w:tcW w:w="6840" w:type="dxa"/>
            <w:gridSpan w:val="8"/>
            <w:tcBorders>
              <w:top w:val="single" w:color="auto" w:sz="4" w:space="0"/>
              <w:left w:val="single" w:color="auto" w:sz="4" w:space="0"/>
              <w:right w:val="single" w:color="auto" w:sz="4" w:space="0"/>
            </w:tcBorders>
            <w:noWrap w:val="0"/>
            <w:vAlign w:val="center"/>
          </w:tcPr>
          <w:p>
            <w:pPr>
              <w:topLinePunct/>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2046" w:type="dxa"/>
            <w:vMerge w:val="restart"/>
            <w:tcBorders>
              <w:top w:val="single" w:color="auto" w:sz="4" w:space="0"/>
              <w:left w:val="single" w:color="auto" w:sz="4" w:space="0"/>
              <w:right w:val="single" w:color="auto" w:sz="4" w:space="0"/>
            </w:tcBorders>
            <w:noWrap w:val="0"/>
            <w:vAlign w:val="center"/>
          </w:tcPr>
          <w:p>
            <w:pPr>
              <w:topLinePunct/>
              <w:spacing w:before="100" w:beforeAutospacing="1" w:after="100" w:afterAutospacing="1" w:line="440" w:lineRule="exact"/>
              <w:jc w:val="center"/>
              <w:rPr>
                <w:color w:val="auto"/>
                <w:highlight w:val="none"/>
              </w:rPr>
            </w:pPr>
            <w:r>
              <w:rPr>
                <w:rFonts w:hint="eastAsia"/>
                <w:color w:val="auto"/>
                <w:szCs w:val="21"/>
                <w:highlight w:val="none"/>
              </w:rPr>
              <w:t>投标人关联企业情况</w:t>
            </w:r>
          </w:p>
        </w:tc>
        <w:tc>
          <w:tcPr>
            <w:tcW w:w="6840" w:type="dxa"/>
            <w:gridSpan w:val="8"/>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left"/>
              <w:rPr>
                <w:color w:val="auto"/>
                <w:highlight w:val="none"/>
              </w:rPr>
            </w:pPr>
            <w:r>
              <w:rPr>
                <w:color w:val="auto"/>
                <w:highlight w:val="none"/>
              </w:rPr>
              <w:t>上级公司</w:t>
            </w: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2046" w:type="dxa"/>
            <w:vMerge w:val="continue"/>
            <w:tcBorders>
              <w:left w:val="single" w:color="auto" w:sz="4" w:space="0"/>
              <w:right w:val="single" w:color="auto" w:sz="4" w:space="0"/>
            </w:tcBorders>
            <w:noWrap w:val="0"/>
            <w:vAlign w:val="center"/>
          </w:tcPr>
          <w:p>
            <w:pPr>
              <w:topLinePunct/>
              <w:spacing w:before="100" w:beforeAutospacing="1" w:after="100" w:afterAutospacing="1" w:line="440" w:lineRule="exact"/>
              <w:jc w:val="center"/>
              <w:rPr>
                <w:rFonts w:hint="eastAsia"/>
                <w:color w:val="auto"/>
                <w:szCs w:val="21"/>
                <w:highlight w:val="none"/>
              </w:rPr>
            </w:pPr>
          </w:p>
        </w:tc>
        <w:tc>
          <w:tcPr>
            <w:tcW w:w="6840" w:type="dxa"/>
            <w:gridSpan w:val="8"/>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left"/>
              <w:rPr>
                <w:color w:val="auto"/>
                <w:highlight w:val="none"/>
              </w:rPr>
            </w:pPr>
            <w:r>
              <w:rPr>
                <w:rFonts w:hint="eastAsia"/>
                <w:color w:val="auto"/>
                <w:highlight w:val="none"/>
              </w:rPr>
              <w:t>下属</w:t>
            </w:r>
            <w:r>
              <w:rPr>
                <w:color w:val="auto"/>
                <w:highlight w:val="none"/>
              </w:rPr>
              <w:t>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2046" w:type="dxa"/>
            <w:vMerge w:val="continue"/>
            <w:tcBorders>
              <w:left w:val="single" w:color="auto" w:sz="4" w:space="0"/>
              <w:right w:val="single" w:color="auto" w:sz="4" w:space="0"/>
            </w:tcBorders>
            <w:noWrap w:val="0"/>
            <w:vAlign w:val="center"/>
          </w:tcPr>
          <w:p>
            <w:pPr>
              <w:topLinePunct/>
              <w:spacing w:before="100" w:beforeAutospacing="1" w:after="100" w:afterAutospacing="1" w:line="440" w:lineRule="exact"/>
              <w:jc w:val="center"/>
              <w:rPr>
                <w:rFonts w:hint="eastAsia"/>
                <w:color w:val="auto"/>
                <w:szCs w:val="21"/>
                <w:highlight w:val="none"/>
              </w:rPr>
            </w:pPr>
          </w:p>
        </w:tc>
        <w:tc>
          <w:tcPr>
            <w:tcW w:w="6840" w:type="dxa"/>
            <w:gridSpan w:val="8"/>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left"/>
              <w:rPr>
                <w:color w:val="auto"/>
                <w:highlight w:val="none"/>
              </w:rPr>
            </w:pPr>
            <w:r>
              <w:rPr>
                <w:color w:val="auto"/>
                <w:highlight w:val="none"/>
              </w:rPr>
              <w:t>互相持股</w:t>
            </w:r>
            <w:r>
              <w:rPr>
                <w:rFonts w:hint="eastAsia"/>
                <w:color w:val="auto"/>
                <w:highlight w:val="none"/>
              </w:rPr>
              <w:t>、控股</w:t>
            </w:r>
            <w:r>
              <w:rPr>
                <w:color w:val="auto"/>
                <w:highlight w:val="none"/>
              </w:rPr>
              <w:t>公司</w:t>
            </w: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9" w:hRule="atLeast"/>
          <w:jc w:val="center"/>
        </w:trPr>
        <w:tc>
          <w:tcPr>
            <w:tcW w:w="2046" w:type="dxa"/>
            <w:vMerge w:val="continue"/>
            <w:tcBorders>
              <w:left w:val="single" w:color="auto" w:sz="4" w:space="0"/>
              <w:right w:val="single" w:color="auto" w:sz="4" w:space="0"/>
            </w:tcBorders>
            <w:noWrap w:val="0"/>
            <w:vAlign w:val="center"/>
          </w:tcPr>
          <w:p>
            <w:pPr>
              <w:topLinePunct/>
              <w:spacing w:before="100" w:beforeAutospacing="1" w:after="100" w:afterAutospacing="1" w:line="440" w:lineRule="exact"/>
              <w:jc w:val="center"/>
              <w:rPr>
                <w:rFonts w:hint="eastAsia"/>
                <w:color w:val="auto"/>
                <w:szCs w:val="21"/>
                <w:highlight w:val="none"/>
              </w:rPr>
            </w:pPr>
          </w:p>
        </w:tc>
        <w:tc>
          <w:tcPr>
            <w:tcW w:w="6840" w:type="dxa"/>
            <w:gridSpan w:val="8"/>
            <w:tcBorders>
              <w:top w:val="single" w:color="auto" w:sz="4" w:space="0"/>
              <w:left w:val="single" w:color="auto" w:sz="4" w:space="0"/>
              <w:right w:val="single" w:color="auto" w:sz="4" w:space="0"/>
            </w:tcBorders>
            <w:noWrap w:val="0"/>
            <w:vAlign w:val="center"/>
          </w:tcPr>
          <w:p>
            <w:pPr>
              <w:topLinePunct/>
              <w:spacing w:line="440" w:lineRule="exact"/>
              <w:jc w:val="left"/>
              <w:rPr>
                <w:color w:val="auto"/>
                <w:highlight w:val="none"/>
              </w:rPr>
            </w:pPr>
            <w:r>
              <w:rPr>
                <w:rFonts w:hint="eastAsia"/>
                <w:color w:val="auto"/>
                <w:highlight w:val="none"/>
              </w:rPr>
              <w:t>同一法定代表人公司：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2046" w:type="dxa"/>
            <w:tcBorders>
              <w:top w:val="single" w:color="auto" w:sz="4" w:space="0"/>
              <w:left w:val="single" w:color="auto" w:sz="4" w:space="0"/>
              <w:bottom w:val="single" w:color="auto" w:sz="4" w:space="0"/>
              <w:right w:val="single" w:color="auto" w:sz="4" w:space="0"/>
            </w:tcBorders>
            <w:noWrap w:val="0"/>
            <w:vAlign w:val="center"/>
          </w:tcPr>
          <w:p>
            <w:pPr>
              <w:topLinePunct/>
              <w:spacing w:before="100" w:beforeAutospacing="1" w:after="100" w:afterAutospacing="1" w:line="440" w:lineRule="exact"/>
              <w:jc w:val="center"/>
              <w:rPr>
                <w:color w:val="auto"/>
                <w:highlight w:val="none"/>
              </w:rPr>
            </w:pPr>
            <w:r>
              <w:rPr>
                <w:rFonts w:hint="eastAsia"/>
                <w:color w:val="auto"/>
                <w:highlight w:val="none"/>
              </w:rPr>
              <w:t>备注</w:t>
            </w:r>
          </w:p>
        </w:tc>
        <w:tc>
          <w:tcPr>
            <w:tcW w:w="6840" w:type="dxa"/>
            <w:gridSpan w:val="8"/>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p>
        </w:tc>
      </w:tr>
    </w:tbl>
    <w:p>
      <w:pPr>
        <w:spacing w:line="400" w:lineRule="exact"/>
        <w:rPr>
          <w:rFonts w:hint="eastAsia"/>
          <w:bCs/>
          <w:color w:val="auto"/>
          <w:szCs w:val="21"/>
          <w:highlight w:val="none"/>
        </w:rPr>
      </w:pPr>
      <w:r>
        <w:rPr>
          <w:color w:val="auto"/>
          <w:highlight w:val="none"/>
        </w:rPr>
        <w:t>注：</w:t>
      </w:r>
      <w:r>
        <w:rPr>
          <w:rFonts w:hint="eastAsia"/>
          <w:color w:val="auto"/>
          <w:highlight w:val="none"/>
        </w:rPr>
        <w:t>1、</w:t>
      </w:r>
      <w:r>
        <w:rPr>
          <w:rFonts w:hint="eastAsia"/>
          <w:bCs/>
          <w:color w:val="auto"/>
          <w:szCs w:val="21"/>
          <w:highlight w:val="none"/>
        </w:rPr>
        <w:t>投标人关联企业情况应如实填写，如无关联企业应填写：无；</w:t>
      </w:r>
    </w:p>
    <w:p>
      <w:pPr>
        <w:spacing w:line="400" w:lineRule="exact"/>
        <w:rPr>
          <w:rFonts w:hint="eastAsia"/>
          <w:color w:val="auto"/>
          <w:highlight w:val="none"/>
        </w:rPr>
      </w:pPr>
      <w:r>
        <w:rPr>
          <w:rFonts w:hint="eastAsia"/>
          <w:color w:val="auto"/>
          <w:highlight w:val="none"/>
        </w:rPr>
        <w:t>2、</w:t>
      </w:r>
      <w:r>
        <w:rPr>
          <w:color w:val="auto"/>
          <w:highlight w:val="none"/>
        </w:rPr>
        <w:t>投标人应根据投标人须知第3.5.1项的要求在本表后附</w:t>
      </w:r>
      <w:r>
        <w:rPr>
          <w:rFonts w:hint="eastAsia"/>
          <w:color w:val="auto"/>
          <w:highlight w:val="none"/>
        </w:rPr>
        <w:t>以下</w:t>
      </w:r>
      <w:r>
        <w:rPr>
          <w:color w:val="auto"/>
          <w:highlight w:val="none"/>
        </w:rPr>
        <w:t>相关证明材料</w:t>
      </w:r>
      <w:r>
        <w:rPr>
          <w:rFonts w:hint="eastAsia"/>
          <w:color w:val="auto"/>
          <w:highlight w:val="none"/>
        </w:rPr>
        <w:t>（包括但不限于）：（1）投标人营业执照复印件（如为联合体投标，联合体各方均须提供）；</w:t>
      </w:r>
    </w:p>
    <w:p>
      <w:pPr>
        <w:spacing w:line="400" w:lineRule="exact"/>
        <w:rPr>
          <w:rFonts w:hint="eastAsia"/>
          <w:color w:val="auto"/>
          <w:highlight w:val="none"/>
        </w:rPr>
      </w:pPr>
      <w:r>
        <w:rPr>
          <w:rFonts w:hint="eastAsia"/>
          <w:color w:val="auto"/>
          <w:highlight w:val="none"/>
        </w:rPr>
        <w:t>（2）投标人勘察资质证书副本的复印件；</w:t>
      </w:r>
    </w:p>
    <w:p>
      <w:pPr>
        <w:spacing w:line="400" w:lineRule="exact"/>
        <w:rPr>
          <w:rFonts w:hint="eastAsia"/>
          <w:color w:val="auto"/>
          <w:highlight w:val="none"/>
        </w:rPr>
      </w:pPr>
      <w:r>
        <w:rPr>
          <w:rFonts w:hint="eastAsia"/>
          <w:color w:val="auto"/>
          <w:highlight w:val="none"/>
        </w:rPr>
        <w:t>（3）投标人设计资质证书副本的复印件；</w:t>
      </w:r>
    </w:p>
    <w:p>
      <w:pPr>
        <w:spacing w:line="400" w:lineRule="exact"/>
        <w:rPr>
          <w:rFonts w:hint="eastAsia"/>
          <w:color w:val="auto"/>
          <w:highlight w:val="none"/>
        </w:rPr>
      </w:pPr>
      <w:r>
        <w:rPr>
          <w:rFonts w:hint="eastAsia"/>
          <w:color w:val="auto"/>
          <w:highlight w:val="none"/>
        </w:rPr>
        <w:t>（4）境内投标人以转账（电汇）形式提交投标保证金的，附基本账户开户许可证复印件.</w:t>
      </w:r>
    </w:p>
    <w:p>
      <w:pPr>
        <w:rPr>
          <w:color w:val="auto"/>
          <w:highlight w:val="none"/>
        </w:rPr>
      </w:pPr>
      <w:r>
        <w:rPr>
          <w:rFonts w:hint="eastAsia"/>
          <w:color w:val="auto"/>
          <w:highlight w:val="none"/>
        </w:rPr>
        <w:br w:type="page"/>
      </w:r>
    </w:p>
    <w:p>
      <w:pPr>
        <w:pStyle w:val="6"/>
        <w:rPr>
          <w:b w:val="0"/>
          <w:bCs w:val="0"/>
          <w:color w:val="auto"/>
          <w:highlight w:val="none"/>
        </w:rPr>
      </w:pPr>
      <w:r>
        <w:rPr>
          <w:rFonts w:hint="eastAsia"/>
          <w:b w:val="0"/>
          <w:bCs w:val="0"/>
          <w:color w:val="auto"/>
          <w:highlight w:val="none"/>
        </w:rPr>
        <w:t>（二）近年财务状况表</w:t>
      </w:r>
    </w:p>
    <w:p>
      <w:pPr>
        <w:topLinePunct/>
        <w:spacing w:line="440" w:lineRule="exact"/>
        <w:ind w:firstLine="420" w:firstLineChars="200"/>
        <w:rPr>
          <w:color w:val="auto"/>
          <w:highlight w:val="none"/>
        </w:rPr>
      </w:pPr>
      <w:r>
        <w:rPr>
          <w:color w:val="auto"/>
          <w:highlight w:val="none"/>
        </w:rPr>
        <w:t>投标人应根据投标人须知第3.5.2项的要求在本表后附相关证明材料。</w:t>
      </w:r>
    </w:p>
    <w:p>
      <w:pPr>
        <w:topLinePunct/>
        <w:spacing w:line="440" w:lineRule="exact"/>
        <w:ind w:firstLine="420" w:firstLineChars="200"/>
        <w:rPr>
          <w:color w:val="auto"/>
          <w:sz w:val="20"/>
          <w:highlight w:val="none"/>
        </w:rPr>
      </w:pPr>
      <w:r>
        <w:rPr>
          <w:color w:val="auto"/>
          <w:highlight w:val="none"/>
        </w:rPr>
        <w:br w:type="page"/>
      </w:r>
    </w:p>
    <w:p>
      <w:pPr>
        <w:pStyle w:val="6"/>
        <w:rPr>
          <w:b w:val="0"/>
          <w:bCs w:val="0"/>
          <w:color w:val="auto"/>
          <w:highlight w:val="none"/>
        </w:rPr>
      </w:pPr>
      <w:r>
        <w:rPr>
          <w:rFonts w:hint="eastAsia"/>
          <w:b w:val="0"/>
          <w:bCs w:val="0"/>
          <w:color w:val="auto"/>
          <w:highlight w:val="none"/>
        </w:rPr>
        <w:t>（三）近年完成的类似勘察设计项目情况表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6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r>
              <w:rPr>
                <w:rFonts w:hint="eastAsia"/>
                <w:color w:val="auto"/>
                <w:highlight w:val="none"/>
              </w:rPr>
              <w:t>项目名称</w:t>
            </w:r>
          </w:p>
        </w:tc>
        <w:tc>
          <w:tcPr>
            <w:tcW w:w="6253" w:type="dxa"/>
            <w:tcBorders>
              <w:top w:val="single" w:color="auto" w:sz="4" w:space="0"/>
              <w:left w:val="single" w:color="auto" w:sz="4" w:space="0"/>
              <w:bottom w:val="single" w:color="auto" w:sz="4" w:space="0"/>
              <w:right w:val="single" w:color="auto" w:sz="4" w:space="0"/>
            </w:tcBorders>
            <w:noWrap w:val="0"/>
            <w:vAlign w:val="top"/>
          </w:tcPr>
          <w:p>
            <w:pPr>
              <w:topLinePunct/>
              <w:spacing w:line="44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r>
              <w:rPr>
                <w:rFonts w:hint="eastAsia"/>
                <w:color w:val="auto"/>
                <w:highlight w:val="none"/>
              </w:rPr>
              <w:t>项目所在地</w:t>
            </w:r>
          </w:p>
        </w:tc>
        <w:tc>
          <w:tcPr>
            <w:tcW w:w="6253" w:type="dxa"/>
            <w:tcBorders>
              <w:top w:val="single" w:color="auto" w:sz="4" w:space="0"/>
              <w:left w:val="single" w:color="auto" w:sz="4" w:space="0"/>
              <w:bottom w:val="single" w:color="auto" w:sz="4" w:space="0"/>
              <w:right w:val="single" w:color="auto" w:sz="4" w:space="0"/>
            </w:tcBorders>
            <w:noWrap w:val="0"/>
            <w:vAlign w:val="top"/>
          </w:tcPr>
          <w:p>
            <w:pPr>
              <w:topLinePunct/>
              <w:spacing w:line="44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r>
              <w:rPr>
                <w:rFonts w:hint="eastAsia"/>
                <w:color w:val="auto"/>
                <w:highlight w:val="none"/>
              </w:rPr>
              <w:t>发包人名称</w:t>
            </w:r>
          </w:p>
        </w:tc>
        <w:tc>
          <w:tcPr>
            <w:tcW w:w="6253" w:type="dxa"/>
            <w:tcBorders>
              <w:top w:val="single" w:color="auto" w:sz="4" w:space="0"/>
              <w:left w:val="single" w:color="auto" w:sz="4" w:space="0"/>
              <w:bottom w:val="single" w:color="auto" w:sz="4" w:space="0"/>
              <w:right w:val="single" w:color="auto" w:sz="4" w:space="0"/>
            </w:tcBorders>
            <w:noWrap w:val="0"/>
            <w:vAlign w:val="top"/>
          </w:tcPr>
          <w:p>
            <w:pPr>
              <w:topLinePunct/>
              <w:spacing w:line="44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r>
              <w:rPr>
                <w:rFonts w:hint="eastAsia"/>
                <w:color w:val="auto"/>
                <w:highlight w:val="none"/>
              </w:rPr>
              <w:t>发包人地址</w:t>
            </w:r>
          </w:p>
        </w:tc>
        <w:tc>
          <w:tcPr>
            <w:tcW w:w="6253" w:type="dxa"/>
            <w:tcBorders>
              <w:top w:val="single" w:color="auto" w:sz="4" w:space="0"/>
              <w:left w:val="single" w:color="auto" w:sz="4" w:space="0"/>
              <w:bottom w:val="single" w:color="auto" w:sz="4" w:space="0"/>
              <w:right w:val="single" w:color="auto" w:sz="4" w:space="0"/>
            </w:tcBorders>
            <w:noWrap w:val="0"/>
            <w:vAlign w:val="top"/>
          </w:tcPr>
          <w:p>
            <w:pPr>
              <w:topLinePunct/>
              <w:spacing w:line="44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r>
              <w:rPr>
                <w:rFonts w:hint="eastAsia"/>
                <w:color w:val="auto"/>
                <w:highlight w:val="none"/>
              </w:rPr>
              <w:t>发包人电话</w:t>
            </w:r>
          </w:p>
        </w:tc>
        <w:tc>
          <w:tcPr>
            <w:tcW w:w="6253" w:type="dxa"/>
            <w:tcBorders>
              <w:top w:val="single" w:color="auto" w:sz="4" w:space="0"/>
              <w:left w:val="single" w:color="auto" w:sz="4" w:space="0"/>
              <w:bottom w:val="single" w:color="auto" w:sz="4" w:space="0"/>
              <w:right w:val="single" w:color="auto" w:sz="4" w:space="0"/>
            </w:tcBorders>
            <w:noWrap w:val="0"/>
            <w:vAlign w:val="top"/>
          </w:tcPr>
          <w:p>
            <w:pPr>
              <w:topLinePunct/>
              <w:spacing w:line="44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r>
              <w:rPr>
                <w:rFonts w:hint="eastAsia"/>
                <w:color w:val="auto"/>
                <w:highlight w:val="none"/>
              </w:rPr>
              <w:t>合同价格</w:t>
            </w:r>
          </w:p>
        </w:tc>
        <w:tc>
          <w:tcPr>
            <w:tcW w:w="6253" w:type="dxa"/>
            <w:tcBorders>
              <w:top w:val="single" w:color="auto" w:sz="4" w:space="0"/>
              <w:left w:val="single" w:color="auto" w:sz="4" w:space="0"/>
              <w:bottom w:val="single" w:color="auto" w:sz="4" w:space="0"/>
              <w:right w:val="single" w:color="auto" w:sz="4" w:space="0"/>
            </w:tcBorders>
            <w:noWrap w:val="0"/>
            <w:vAlign w:val="top"/>
          </w:tcPr>
          <w:p>
            <w:pPr>
              <w:topLinePunct/>
              <w:spacing w:line="44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r>
              <w:rPr>
                <w:rFonts w:hint="eastAsia"/>
                <w:color w:val="auto"/>
                <w:highlight w:val="none"/>
              </w:rPr>
              <w:t>勘察设计服务期限</w:t>
            </w:r>
          </w:p>
        </w:tc>
        <w:tc>
          <w:tcPr>
            <w:tcW w:w="6253" w:type="dxa"/>
            <w:tcBorders>
              <w:top w:val="single" w:color="auto" w:sz="4" w:space="0"/>
              <w:left w:val="single" w:color="auto" w:sz="4" w:space="0"/>
              <w:bottom w:val="single" w:color="auto" w:sz="4" w:space="0"/>
              <w:right w:val="single" w:color="auto" w:sz="4" w:space="0"/>
            </w:tcBorders>
            <w:noWrap w:val="0"/>
            <w:vAlign w:val="top"/>
          </w:tcPr>
          <w:p>
            <w:pPr>
              <w:topLinePunct/>
              <w:spacing w:line="44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r>
              <w:rPr>
                <w:rFonts w:hint="eastAsia"/>
                <w:color w:val="auto"/>
                <w:highlight w:val="none"/>
              </w:rPr>
              <w:t>勘察设计内容</w:t>
            </w:r>
          </w:p>
        </w:tc>
        <w:tc>
          <w:tcPr>
            <w:tcW w:w="6253" w:type="dxa"/>
            <w:tcBorders>
              <w:top w:val="single" w:color="auto" w:sz="4" w:space="0"/>
              <w:left w:val="single" w:color="auto" w:sz="4" w:space="0"/>
              <w:bottom w:val="single" w:color="auto" w:sz="4" w:space="0"/>
              <w:right w:val="single" w:color="auto" w:sz="4" w:space="0"/>
            </w:tcBorders>
            <w:noWrap w:val="0"/>
            <w:vAlign w:val="top"/>
          </w:tcPr>
          <w:p>
            <w:pPr>
              <w:topLinePunct/>
              <w:spacing w:line="44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r>
              <w:rPr>
                <w:rFonts w:hint="eastAsia"/>
                <w:color w:val="auto"/>
                <w:highlight w:val="none"/>
              </w:rPr>
              <w:t>项目负责人</w:t>
            </w:r>
          </w:p>
        </w:tc>
        <w:tc>
          <w:tcPr>
            <w:tcW w:w="6253" w:type="dxa"/>
            <w:tcBorders>
              <w:top w:val="single" w:color="auto" w:sz="4" w:space="0"/>
              <w:left w:val="single" w:color="auto" w:sz="4" w:space="0"/>
              <w:bottom w:val="single" w:color="auto" w:sz="4" w:space="0"/>
              <w:right w:val="single" w:color="auto" w:sz="4" w:space="0"/>
            </w:tcBorders>
            <w:noWrap w:val="0"/>
            <w:vAlign w:val="top"/>
          </w:tcPr>
          <w:p>
            <w:pPr>
              <w:topLinePunct/>
              <w:spacing w:line="44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r>
              <w:rPr>
                <w:rFonts w:hint="eastAsia"/>
                <w:color w:val="auto"/>
                <w:highlight w:val="none"/>
              </w:rPr>
              <w:t>项目描述</w:t>
            </w:r>
          </w:p>
        </w:tc>
        <w:tc>
          <w:tcPr>
            <w:tcW w:w="6253" w:type="dxa"/>
            <w:tcBorders>
              <w:top w:val="single" w:color="auto" w:sz="4" w:space="0"/>
              <w:left w:val="single" w:color="auto" w:sz="4" w:space="0"/>
              <w:bottom w:val="single" w:color="auto" w:sz="4" w:space="0"/>
              <w:right w:val="single" w:color="auto" w:sz="4" w:space="0"/>
            </w:tcBorders>
            <w:noWrap w:val="0"/>
            <w:vAlign w:val="top"/>
          </w:tcPr>
          <w:p>
            <w:pPr>
              <w:topLinePunct/>
              <w:spacing w:line="440" w:lineRule="exact"/>
              <w:rPr>
                <w:color w:val="auto"/>
                <w:highlight w:val="none"/>
              </w:rPr>
            </w:pPr>
          </w:p>
          <w:p>
            <w:pPr>
              <w:topLinePunct/>
              <w:spacing w:line="440" w:lineRule="exact"/>
              <w:rPr>
                <w:color w:val="auto"/>
                <w:highlight w:val="none"/>
              </w:rPr>
            </w:pPr>
          </w:p>
          <w:p>
            <w:pPr>
              <w:topLinePunct/>
              <w:spacing w:line="440" w:lineRule="exact"/>
              <w:rPr>
                <w:color w:val="auto"/>
                <w:highlight w:val="none"/>
              </w:rPr>
            </w:pPr>
          </w:p>
          <w:p>
            <w:pPr>
              <w:topLinePunct/>
              <w:spacing w:line="440" w:lineRule="exact"/>
              <w:rPr>
                <w:color w:val="auto"/>
                <w:highlight w:val="none"/>
              </w:rPr>
            </w:pPr>
          </w:p>
          <w:p>
            <w:pPr>
              <w:topLinePunct/>
              <w:spacing w:line="440" w:lineRule="exact"/>
              <w:rPr>
                <w:color w:val="auto"/>
                <w:highlight w:val="none"/>
              </w:rPr>
            </w:pPr>
          </w:p>
          <w:p>
            <w:pPr>
              <w:topLinePunct/>
              <w:spacing w:line="440" w:lineRule="exact"/>
              <w:rPr>
                <w:color w:val="auto"/>
                <w:highlight w:val="none"/>
              </w:rPr>
            </w:pPr>
          </w:p>
          <w:p>
            <w:pPr>
              <w:topLinePunct/>
              <w:spacing w:line="44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highlight w:val="none"/>
              </w:rPr>
            </w:pPr>
            <w:r>
              <w:rPr>
                <w:rFonts w:hint="eastAsia"/>
                <w:color w:val="auto"/>
                <w:highlight w:val="none"/>
              </w:rPr>
              <w:t>备注</w:t>
            </w:r>
          </w:p>
        </w:tc>
        <w:tc>
          <w:tcPr>
            <w:tcW w:w="6253" w:type="dxa"/>
            <w:tcBorders>
              <w:top w:val="single" w:color="auto" w:sz="4" w:space="0"/>
              <w:left w:val="single" w:color="auto" w:sz="4" w:space="0"/>
              <w:bottom w:val="single" w:color="auto" w:sz="4" w:space="0"/>
              <w:right w:val="single" w:color="auto" w:sz="4" w:space="0"/>
            </w:tcBorders>
            <w:noWrap w:val="0"/>
            <w:vAlign w:val="top"/>
          </w:tcPr>
          <w:p>
            <w:pPr>
              <w:topLinePunct/>
              <w:spacing w:line="440" w:lineRule="exact"/>
              <w:rPr>
                <w:color w:val="auto"/>
                <w:highlight w:val="none"/>
              </w:rPr>
            </w:pPr>
          </w:p>
        </w:tc>
      </w:tr>
    </w:tbl>
    <w:p>
      <w:pPr>
        <w:spacing w:line="440" w:lineRule="exact"/>
        <w:rPr>
          <w:color w:val="auto"/>
          <w:highlight w:val="none"/>
        </w:rPr>
      </w:pPr>
      <w:r>
        <w:rPr>
          <w:color w:val="auto"/>
          <w:highlight w:val="none"/>
        </w:rPr>
        <w:t>注：</w:t>
      </w:r>
      <w:r>
        <w:rPr>
          <w:rFonts w:hint="eastAsia"/>
          <w:color w:val="auto"/>
          <w:highlight w:val="none"/>
        </w:rPr>
        <w:t>1、</w:t>
      </w:r>
      <w:r>
        <w:rPr>
          <w:color w:val="auto"/>
          <w:highlight w:val="none"/>
        </w:rPr>
        <w:t>投标人应根据投标人须知第3.5.3项的要求在本表后附相关证明材料</w:t>
      </w:r>
      <w:r>
        <w:rPr>
          <w:rFonts w:hint="eastAsia"/>
          <w:color w:val="auto"/>
          <w:highlight w:val="none"/>
        </w:rPr>
        <w:t>，并提供项目竣工验收报告</w:t>
      </w:r>
      <w:r>
        <w:rPr>
          <w:color w:val="auto"/>
          <w:highlight w:val="none"/>
        </w:rPr>
        <w:t>。</w:t>
      </w:r>
    </w:p>
    <w:p>
      <w:pPr>
        <w:numPr>
          <w:ilvl w:val="0"/>
          <w:numId w:val="13"/>
        </w:numPr>
        <w:spacing w:line="440" w:lineRule="exact"/>
        <w:rPr>
          <w:color w:val="auto"/>
          <w:highlight w:val="none"/>
        </w:rPr>
      </w:pPr>
      <w:r>
        <w:rPr>
          <w:rFonts w:hint="eastAsia"/>
          <w:color w:val="auto"/>
          <w:highlight w:val="none"/>
        </w:rPr>
        <w:t>类似勘察设计项目：与招标工程同电压等级或以上的输变电工程勘察设计项目。</w:t>
      </w:r>
    </w:p>
    <w:p>
      <w:pPr>
        <w:topLinePunct/>
        <w:spacing w:line="440" w:lineRule="exact"/>
        <w:rPr>
          <w:color w:val="auto"/>
          <w:highlight w:val="none"/>
        </w:rPr>
      </w:pPr>
      <w:r>
        <w:rPr>
          <w:color w:val="auto"/>
          <w:highlight w:val="none"/>
        </w:rPr>
        <w:br w:type="page"/>
      </w:r>
    </w:p>
    <w:p>
      <w:pPr>
        <w:pStyle w:val="6"/>
        <w:rPr>
          <w:b w:val="0"/>
          <w:bCs w:val="0"/>
          <w:color w:val="auto"/>
          <w:highlight w:val="none"/>
        </w:rPr>
      </w:pPr>
      <w:r>
        <w:rPr>
          <w:rFonts w:hint="eastAsia"/>
          <w:b w:val="0"/>
          <w:bCs w:val="0"/>
          <w:color w:val="auto"/>
          <w:highlight w:val="none"/>
        </w:rPr>
        <w:t>（四）正在勘察设计和新承接的项目情况表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6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szCs w:val="21"/>
                <w:highlight w:val="none"/>
              </w:rPr>
            </w:pPr>
            <w:r>
              <w:rPr>
                <w:color w:val="auto"/>
                <w:szCs w:val="21"/>
                <w:highlight w:val="none"/>
              </w:rPr>
              <w:t>项目名称</w:t>
            </w:r>
          </w:p>
        </w:tc>
        <w:tc>
          <w:tcPr>
            <w:tcW w:w="6253" w:type="dxa"/>
            <w:tcBorders>
              <w:top w:val="single" w:color="auto" w:sz="4" w:space="0"/>
              <w:left w:val="single" w:color="auto" w:sz="4" w:space="0"/>
              <w:bottom w:val="single" w:color="auto" w:sz="4" w:space="0"/>
              <w:right w:val="single" w:color="auto" w:sz="4" w:space="0"/>
            </w:tcBorders>
            <w:noWrap w:val="0"/>
            <w:vAlign w:val="top"/>
          </w:tcPr>
          <w:p>
            <w:pPr>
              <w:topLinePunct/>
              <w:spacing w:line="44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szCs w:val="21"/>
                <w:highlight w:val="none"/>
              </w:rPr>
            </w:pPr>
            <w:r>
              <w:rPr>
                <w:color w:val="auto"/>
                <w:szCs w:val="21"/>
                <w:highlight w:val="none"/>
              </w:rPr>
              <w:t>项目所在地</w:t>
            </w:r>
          </w:p>
        </w:tc>
        <w:tc>
          <w:tcPr>
            <w:tcW w:w="6253" w:type="dxa"/>
            <w:tcBorders>
              <w:top w:val="single" w:color="auto" w:sz="4" w:space="0"/>
              <w:left w:val="single" w:color="auto" w:sz="4" w:space="0"/>
              <w:bottom w:val="single" w:color="auto" w:sz="4" w:space="0"/>
              <w:right w:val="single" w:color="auto" w:sz="4" w:space="0"/>
            </w:tcBorders>
            <w:noWrap w:val="0"/>
            <w:vAlign w:val="top"/>
          </w:tcPr>
          <w:p>
            <w:pPr>
              <w:topLinePunct/>
              <w:spacing w:line="44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szCs w:val="21"/>
                <w:highlight w:val="none"/>
              </w:rPr>
            </w:pPr>
            <w:r>
              <w:rPr>
                <w:color w:val="auto"/>
                <w:szCs w:val="21"/>
                <w:highlight w:val="none"/>
              </w:rPr>
              <w:t>发包人名称</w:t>
            </w:r>
          </w:p>
        </w:tc>
        <w:tc>
          <w:tcPr>
            <w:tcW w:w="6253" w:type="dxa"/>
            <w:tcBorders>
              <w:top w:val="single" w:color="auto" w:sz="4" w:space="0"/>
              <w:left w:val="single" w:color="auto" w:sz="4" w:space="0"/>
              <w:bottom w:val="single" w:color="auto" w:sz="4" w:space="0"/>
              <w:right w:val="single" w:color="auto" w:sz="4" w:space="0"/>
            </w:tcBorders>
            <w:noWrap w:val="0"/>
            <w:vAlign w:val="top"/>
          </w:tcPr>
          <w:p>
            <w:pPr>
              <w:topLinePunct/>
              <w:spacing w:line="44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szCs w:val="21"/>
                <w:highlight w:val="none"/>
              </w:rPr>
            </w:pPr>
            <w:r>
              <w:rPr>
                <w:color w:val="auto"/>
                <w:szCs w:val="21"/>
                <w:highlight w:val="none"/>
              </w:rPr>
              <w:t>发包人地址</w:t>
            </w:r>
          </w:p>
        </w:tc>
        <w:tc>
          <w:tcPr>
            <w:tcW w:w="6253" w:type="dxa"/>
            <w:tcBorders>
              <w:top w:val="single" w:color="auto" w:sz="4" w:space="0"/>
              <w:left w:val="single" w:color="auto" w:sz="4" w:space="0"/>
              <w:bottom w:val="single" w:color="auto" w:sz="4" w:space="0"/>
              <w:right w:val="single" w:color="auto" w:sz="4" w:space="0"/>
            </w:tcBorders>
            <w:noWrap w:val="0"/>
            <w:vAlign w:val="top"/>
          </w:tcPr>
          <w:p>
            <w:pPr>
              <w:topLinePunct/>
              <w:spacing w:line="44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szCs w:val="21"/>
                <w:highlight w:val="none"/>
              </w:rPr>
            </w:pPr>
            <w:r>
              <w:rPr>
                <w:color w:val="auto"/>
                <w:szCs w:val="21"/>
                <w:highlight w:val="none"/>
              </w:rPr>
              <w:t>发包人电话</w:t>
            </w:r>
          </w:p>
        </w:tc>
        <w:tc>
          <w:tcPr>
            <w:tcW w:w="6253" w:type="dxa"/>
            <w:tcBorders>
              <w:top w:val="single" w:color="auto" w:sz="4" w:space="0"/>
              <w:left w:val="single" w:color="auto" w:sz="4" w:space="0"/>
              <w:bottom w:val="single" w:color="auto" w:sz="4" w:space="0"/>
              <w:right w:val="single" w:color="auto" w:sz="4" w:space="0"/>
            </w:tcBorders>
            <w:noWrap w:val="0"/>
            <w:vAlign w:val="top"/>
          </w:tcPr>
          <w:p>
            <w:pPr>
              <w:topLinePunct/>
              <w:spacing w:line="44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szCs w:val="21"/>
                <w:highlight w:val="none"/>
              </w:rPr>
            </w:pPr>
            <w:r>
              <w:rPr>
                <w:rFonts w:hint="eastAsia"/>
                <w:color w:val="auto"/>
                <w:szCs w:val="21"/>
                <w:highlight w:val="none"/>
              </w:rPr>
              <w:t>签约合同价</w:t>
            </w:r>
          </w:p>
        </w:tc>
        <w:tc>
          <w:tcPr>
            <w:tcW w:w="6253" w:type="dxa"/>
            <w:tcBorders>
              <w:top w:val="single" w:color="auto" w:sz="4" w:space="0"/>
              <w:left w:val="single" w:color="auto" w:sz="4" w:space="0"/>
              <w:bottom w:val="single" w:color="auto" w:sz="4" w:space="0"/>
              <w:right w:val="single" w:color="auto" w:sz="4" w:space="0"/>
            </w:tcBorders>
            <w:noWrap w:val="0"/>
            <w:vAlign w:val="top"/>
          </w:tcPr>
          <w:p>
            <w:pPr>
              <w:topLinePunct/>
              <w:spacing w:line="44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szCs w:val="21"/>
                <w:highlight w:val="none"/>
              </w:rPr>
            </w:pPr>
            <w:r>
              <w:rPr>
                <w:rFonts w:hint="eastAsia"/>
                <w:color w:val="auto"/>
                <w:szCs w:val="21"/>
                <w:highlight w:val="none"/>
              </w:rPr>
              <w:t>勘察</w:t>
            </w:r>
            <w:r>
              <w:rPr>
                <w:color w:val="auto"/>
                <w:szCs w:val="21"/>
                <w:highlight w:val="none"/>
              </w:rPr>
              <w:t>设计服务期限</w:t>
            </w:r>
          </w:p>
        </w:tc>
        <w:tc>
          <w:tcPr>
            <w:tcW w:w="6253" w:type="dxa"/>
            <w:tcBorders>
              <w:top w:val="single" w:color="auto" w:sz="4" w:space="0"/>
              <w:left w:val="single" w:color="auto" w:sz="4" w:space="0"/>
              <w:bottom w:val="single" w:color="auto" w:sz="4" w:space="0"/>
              <w:right w:val="single" w:color="auto" w:sz="4" w:space="0"/>
            </w:tcBorders>
            <w:noWrap w:val="0"/>
            <w:vAlign w:val="top"/>
          </w:tcPr>
          <w:p>
            <w:pPr>
              <w:topLinePunct/>
              <w:spacing w:line="44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szCs w:val="21"/>
                <w:highlight w:val="none"/>
              </w:rPr>
            </w:pPr>
            <w:r>
              <w:rPr>
                <w:rFonts w:hint="eastAsia"/>
                <w:color w:val="auto"/>
                <w:szCs w:val="21"/>
                <w:highlight w:val="none"/>
              </w:rPr>
              <w:t>勘察</w:t>
            </w:r>
            <w:r>
              <w:rPr>
                <w:color w:val="auto"/>
                <w:szCs w:val="21"/>
                <w:highlight w:val="none"/>
              </w:rPr>
              <w:t>设计内容</w:t>
            </w:r>
          </w:p>
        </w:tc>
        <w:tc>
          <w:tcPr>
            <w:tcW w:w="6253" w:type="dxa"/>
            <w:tcBorders>
              <w:top w:val="single" w:color="auto" w:sz="4" w:space="0"/>
              <w:left w:val="single" w:color="auto" w:sz="4" w:space="0"/>
              <w:bottom w:val="single" w:color="auto" w:sz="4" w:space="0"/>
              <w:right w:val="single" w:color="auto" w:sz="4" w:space="0"/>
            </w:tcBorders>
            <w:noWrap w:val="0"/>
            <w:vAlign w:val="top"/>
          </w:tcPr>
          <w:p>
            <w:pPr>
              <w:topLinePunct/>
              <w:spacing w:line="44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szCs w:val="21"/>
                <w:highlight w:val="none"/>
              </w:rPr>
            </w:pPr>
            <w:r>
              <w:rPr>
                <w:color w:val="auto"/>
                <w:szCs w:val="21"/>
                <w:highlight w:val="none"/>
              </w:rPr>
              <w:t>项目负责人</w:t>
            </w:r>
          </w:p>
        </w:tc>
        <w:tc>
          <w:tcPr>
            <w:tcW w:w="6253" w:type="dxa"/>
            <w:tcBorders>
              <w:top w:val="single" w:color="auto" w:sz="4" w:space="0"/>
              <w:left w:val="single" w:color="auto" w:sz="4" w:space="0"/>
              <w:bottom w:val="single" w:color="auto" w:sz="4" w:space="0"/>
              <w:right w:val="single" w:color="auto" w:sz="4" w:space="0"/>
            </w:tcBorders>
            <w:noWrap w:val="0"/>
            <w:vAlign w:val="top"/>
          </w:tcPr>
          <w:p>
            <w:pPr>
              <w:topLinePunct/>
              <w:spacing w:line="44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szCs w:val="21"/>
                <w:highlight w:val="none"/>
              </w:rPr>
            </w:pPr>
            <w:r>
              <w:rPr>
                <w:color w:val="auto"/>
                <w:szCs w:val="21"/>
                <w:highlight w:val="none"/>
              </w:rPr>
              <w:t>项目描述</w:t>
            </w:r>
          </w:p>
        </w:tc>
        <w:tc>
          <w:tcPr>
            <w:tcW w:w="6253" w:type="dxa"/>
            <w:tcBorders>
              <w:top w:val="single" w:color="auto" w:sz="4" w:space="0"/>
              <w:left w:val="single" w:color="auto" w:sz="4" w:space="0"/>
              <w:bottom w:val="single" w:color="auto" w:sz="4" w:space="0"/>
              <w:right w:val="single" w:color="auto" w:sz="4" w:space="0"/>
            </w:tcBorders>
            <w:noWrap w:val="0"/>
            <w:vAlign w:val="top"/>
          </w:tcPr>
          <w:p>
            <w:pPr>
              <w:topLinePunct/>
              <w:spacing w:line="440" w:lineRule="exact"/>
              <w:rPr>
                <w:color w:val="auto"/>
                <w:highlight w:val="none"/>
              </w:rPr>
            </w:pPr>
          </w:p>
          <w:p>
            <w:pPr>
              <w:topLinePunct/>
              <w:spacing w:line="440" w:lineRule="exact"/>
              <w:rPr>
                <w:color w:val="auto"/>
                <w:highlight w:val="none"/>
              </w:rPr>
            </w:pPr>
          </w:p>
          <w:p>
            <w:pPr>
              <w:topLinePunct/>
              <w:spacing w:line="440" w:lineRule="exact"/>
              <w:rPr>
                <w:color w:val="auto"/>
                <w:highlight w:val="none"/>
              </w:rPr>
            </w:pPr>
          </w:p>
          <w:p>
            <w:pPr>
              <w:topLinePunct/>
              <w:spacing w:line="440" w:lineRule="exact"/>
              <w:rPr>
                <w:color w:val="auto"/>
                <w:highlight w:val="none"/>
              </w:rPr>
            </w:pPr>
          </w:p>
          <w:p>
            <w:pPr>
              <w:topLinePunct/>
              <w:spacing w:line="440" w:lineRule="exact"/>
              <w:rPr>
                <w:color w:val="auto"/>
                <w:highlight w:val="none"/>
              </w:rPr>
            </w:pPr>
          </w:p>
          <w:p>
            <w:pPr>
              <w:topLinePunct/>
              <w:spacing w:line="440" w:lineRule="exact"/>
              <w:rPr>
                <w:color w:val="auto"/>
                <w:highlight w:val="none"/>
              </w:rPr>
            </w:pPr>
          </w:p>
          <w:p>
            <w:pPr>
              <w:topLinePunct/>
              <w:spacing w:line="44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2269" w:type="dxa"/>
            <w:tcBorders>
              <w:top w:val="single" w:color="auto" w:sz="4" w:space="0"/>
              <w:left w:val="single" w:color="auto" w:sz="4" w:space="0"/>
              <w:bottom w:val="single" w:color="auto" w:sz="4" w:space="0"/>
              <w:right w:val="single" w:color="auto" w:sz="4" w:space="0"/>
            </w:tcBorders>
            <w:noWrap w:val="0"/>
            <w:vAlign w:val="center"/>
          </w:tcPr>
          <w:p>
            <w:pPr>
              <w:topLinePunct/>
              <w:spacing w:line="440" w:lineRule="exact"/>
              <w:jc w:val="center"/>
              <w:rPr>
                <w:color w:val="auto"/>
                <w:szCs w:val="21"/>
                <w:highlight w:val="none"/>
              </w:rPr>
            </w:pPr>
            <w:r>
              <w:rPr>
                <w:color w:val="auto"/>
                <w:szCs w:val="21"/>
                <w:highlight w:val="none"/>
              </w:rPr>
              <w:t>备注</w:t>
            </w:r>
          </w:p>
        </w:tc>
        <w:tc>
          <w:tcPr>
            <w:tcW w:w="6253" w:type="dxa"/>
            <w:tcBorders>
              <w:top w:val="single" w:color="auto" w:sz="4" w:space="0"/>
              <w:left w:val="single" w:color="auto" w:sz="4" w:space="0"/>
              <w:bottom w:val="single" w:color="auto" w:sz="4" w:space="0"/>
              <w:right w:val="single" w:color="auto" w:sz="4" w:space="0"/>
            </w:tcBorders>
            <w:noWrap w:val="0"/>
            <w:vAlign w:val="top"/>
          </w:tcPr>
          <w:p>
            <w:pPr>
              <w:topLinePunct/>
              <w:spacing w:line="440" w:lineRule="exact"/>
              <w:rPr>
                <w:color w:val="auto"/>
                <w:highlight w:val="none"/>
              </w:rPr>
            </w:pPr>
          </w:p>
        </w:tc>
      </w:tr>
    </w:tbl>
    <w:p>
      <w:pPr>
        <w:spacing w:line="440" w:lineRule="exact"/>
        <w:rPr>
          <w:color w:val="auto"/>
          <w:highlight w:val="none"/>
        </w:rPr>
      </w:pPr>
      <w:r>
        <w:rPr>
          <w:color w:val="auto"/>
          <w:highlight w:val="none"/>
        </w:rPr>
        <w:t>注：</w:t>
      </w:r>
      <w:r>
        <w:rPr>
          <w:rFonts w:hint="eastAsia"/>
          <w:color w:val="auto"/>
          <w:highlight w:val="none"/>
        </w:rPr>
        <w:t>1、</w:t>
      </w:r>
      <w:r>
        <w:rPr>
          <w:color w:val="auto"/>
          <w:highlight w:val="none"/>
        </w:rPr>
        <w:t>投标人应根据投标人须知第3.5.4项的要求在本表后附相关证明材料。</w:t>
      </w:r>
    </w:p>
    <w:p>
      <w:pPr>
        <w:spacing w:line="440" w:lineRule="exact"/>
        <w:rPr>
          <w:color w:val="auto"/>
          <w:highlight w:val="none"/>
        </w:rPr>
      </w:pPr>
      <w:r>
        <w:rPr>
          <w:rFonts w:hint="eastAsia"/>
          <w:color w:val="auto"/>
          <w:highlight w:val="none"/>
        </w:rPr>
        <w:t>2、只填报与招标工程同电压等级或以上的输变电工程勘察设计项目。</w:t>
      </w:r>
    </w:p>
    <w:p>
      <w:pPr>
        <w:spacing w:line="440" w:lineRule="exact"/>
        <w:rPr>
          <w:color w:val="auto"/>
          <w:highlight w:val="none"/>
        </w:rPr>
      </w:pPr>
      <w:r>
        <w:rPr>
          <w:color w:val="auto"/>
          <w:highlight w:val="none"/>
        </w:rPr>
        <w:br w:type="page"/>
      </w:r>
    </w:p>
    <w:p>
      <w:pPr>
        <w:pStyle w:val="6"/>
        <w:numPr>
          <w:ilvl w:val="0"/>
          <w:numId w:val="14"/>
        </w:numPr>
        <w:rPr>
          <w:b w:val="0"/>
          <w:bCs w:val="0"/>
          <w:color w:val="auto"/>
          <w:highlight w:val="none"/>
        </w:rPr>
      </w:pPr>
      <w:r>
        <w:rPr>
          <w:rFonts w:hint="eastAsia"/>
          <w:b w:val="0"/>
          <w:bCs w:val="0"/>
          <w:color w:val="auto"/>
          <w:highlight w:val="none"/>
        </w:rPr>
        <w:t>近年获奖的类似设计项目情况表</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7"/>
        <w:gridCol w:w="3291"/>
        <w:gridCol w:w="2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3527" w:type="dxa"/>
            <w:noWrap w:val="0"/>
            <w:vAlign w:val="center"/>
          </w:tcPr>
          <w:p>
            <w:pPr>
              <w:spacing w:after="120"/>
              <w:jc w:val="center"/>
              <w:rPr>
                <w:rFonts w:ascii="宋体" w:hAnsi="宋体"/>
                <w:color w:val="auto"/>
                <w:szCs w:val="21"/>
                <w:highlight w:val="none"/>
              </w:rPr>
            </w:pPr>
            <w:r>
              <w:rPr>
                <w:rFonts w:hint="eastAsia" w:ascii="宋体" w:hAnsi="宋体"/>
                <w:color w:val="auto"/>
                <w:szCs w:val="21"/>
                <w:highlight w:val="none"/>
              </w:rPr>
              <w:t>获奖项目名称</w:t>
            </w:r>
          </w:p>
        </w:tc>
        <w:tc>
          <w:tcPr>
            <w:tcW w:w="3291" w:type="dxa"/>
            <w:noWrap w:val="0"/>
            <w:vAlign w:val="center"/>
          </w:tcPr>
          <w:p>
            <w:pPr>
              <w:spacing w:after="120"/>
              <w:jc w:val="center"/>
              <w:rPr>
                <w:rFonts w:ascii="宋体" w:hAnsi="宋体"/>
                <w:color w:val="auto"/>
                <w:szCs w:val="21"/>
                <w:highlight w:val="none"/>
              </w:rPr>
            </w:pPr>
            <w:r>
              <w:rPr>
                <w:rFonts w:hint="eastAsia" w:ascii="宋体" w:hAnsi="宋体"/>
                <w:color w:val="auto"/>
                <w:szCs w:val="21"/>
                <w:highlight w:val="none"/>
              </w:rPr>
              <w:t>获奖类别及名称</w:t>
            </w:r>
          </w:p>
        </w:tc>
        <w:tc>
          <w:tcPr>
            <w:tcW w:w="2468" w:type="dxa"/>
            <w:noWrap w:val="0"/>
            <w:vAlign w:val="center"/>
          </w:tcPr>
          <w:p>
            <w:pPr>
              <w:spacing w:after="120"/>
              <w:jc w:val="center"/>
              <w:rPr>
                <w:rFonts w:ascii="宋体" w:hAnsi="宋体"/>
                <w:color w:val="auto"/>
                <w:szCs w:val="21"/>
                <w:highlight w:val="none"/>
              </w:rPr>
            </w:pPr>
            <w:r>
              <w:rPr>
                <w:rFonts w:hint="eastAsia" w:ascii="宋体" w:hAnsi="宋体"/>
                <w:color w:val="auto"/>
                <w:szCs w:val="21"/>
                <w:highlight w:val="none"/>
              </w:rPr>
              <w:t>颁发时间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3527" w:type="dxa"/>
            <w:noWrap w:val="0"/>
            <w:vAlign w:val="center"/>
          </w:tcPr>
          <w:p>
            <w:pPr>
              <w:spacing w:after="120"/>
              <w:ind w:left="420" w:leftChars="200" w:firstLine="205" w:firstLineChars="98"/>
              <w:jc w:val="center"/>
              <w:rPr>
                <w:rFonts w:ascii="宋体" w:hAnsi="宋体"/>
                <w:color w:val="auto"/>
                <w:szCs w:val="21"/>
                <w:highlight w:val="none"/>
              </w:rPr>
            </w:pPr>
          </w:p>
        </w:tc>
        <w:tc>
          <w:tcPr>
            <w:tcW w:w="3291" w:type="dxa"/>
            <w:noWrap w:val="0"/>
            <w:vAlign w:val="center"/>
          </w:tcPr>
          <w:p>
            <w:pPr>
              <w:spacing w:after="120"/>
              <w:ind w:left="420" w:leftChars="200" w:firstLine="205" w:firstLineChars="98"/>
              <w:jc w:val="center"/>
              <w:rPr>
                <w:rFonts w:ascii="宋体" w:hAnsi="宋体"/>
                <w:color w:val="auto"/>
                <w:szCs w:val="21"/>
                <w:highlight w:val="none"/>
              </w:rPr>
            </w:pPr>
          </w:p>
        </w:tc>
        <w:tc>
          <w:tcPr>
            <w:tcW w:w="2468" w:type="dxa"/>
            <w:noWrap w:val="0"/>
            <w:vAlign w:val="center"/>
          </w:tcPr>
          <w:p>
            <w:pPr>
              <w:spacing w:after="120"/>
              <w:ind w:left="420" w:leftChars="200" w:firstLine="205" w:firstLineChars="98"/>
              <w:jc w:val="center"/>
              <w:rPr>
                <w:rFonts w:ascii="宋体" w:hAnsi="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3527" w:type="dxa"/>
            <w:noWrap w:val="0"/>
            <w:vAlign w:val="center"/>
          </w:tcPr>
          <w:p>
            <w:pPr>
              <w:spacing w:after="120"/>
              <w:ind w:left="420" w:leftChars="200" w:firstLine="205" w:firstLineChars="98"/>
              <w:jc w:val="center"/>
              <w:rPr>
                <w:rFonts w:ascii="宋体" w:hAnsi="宋体"/>
                <w:color w:val="auto"/>
                <w:szCs w:val="21"/>
                <w:highlight w:val="none"/>
              </w:rPr>
            </w:pPr>
          </w:p>
        </w:tc>
        <w:tc>
          <w:tcPr>
            <w:tcW w:w="3291" w:type="dxa"/>
            <w:noWrap w:val="0"/>
            <w:vAlign w:val="center"/>
          </w:tcPr>
          <w:p>
            <w:pPr>
              <w:spacing w:after="120"/>
              <w:ind w:left="420" w:leftChars="200" w:firstLine="205" w:firstLineChars="98"/>
              <w:jc w:val="center"/>
              <w:rPr>
                <w:rFonts w:ascii="宋体" w:hAnsi="宋体"/>
                <w:color w:val="auto"/>
                <w:szCs w:val="21"/>
                <w:highlight w:val="none"/>
              </w:rPr>
            </w:pPr>
          </w:p>
        </w:tc>
        <w:tc>
          <w:tcPr>
            <w:tcW w:w="2468" w:type="dxa"/>
            <w:noWrap w:val="0"/>
            <w:vAlign w:val="center"/>
          </w:tcPr>
          <w:p>
            <w:pPr>
              <w:spacing w:after="120"/>
              <w:ind w:left="420" w:leftChars="200" w:firstLine="205" w:firstLineChars="98"/>
              <w:jc w:val="center"/>
              <w:rPr>
                <w:rFonts w:ascii="宋体" w:hAnsi="宋体"/>
                <w:color w:val="auto"/>
                <w:szCs w:val="21"/>
                <w:highlight w:val="none"/>
              </w:rPr>
            </w:pPr>
          </w:p>
        </w:tc>
      </w:tr>
    </w:tbl>
    <w:p>
      <w:pPr>
        <w:rPr>
          <w:color w:val="auto"/>
          <w:highlight w:val="none"/>
        </w:rPr>
      </w:pPr>
    </w:p>
    <w:p>
      <w:pPr>
        <w:spacing w:line="440" w:lineRule="exact"/>
        <w:rPr>
          <w:color w:val="auto"/>
          <w:highlight w:val="none"/>
        </w:rPr>
      </w:pPr>
      <w:r>
        <w:rPr>
          <w:rFonts w:hint="eastAsia"/>
          <w:color w:val="auto"/>
          <w:highlight w:val="none"/>
        </w:rPr>
        <w:t>注：1、只报与招标工程同电压等级或以上的输变电工程获奖情况，获奖时间以获奖证书颁发时间为准，须提供获奖证书影印件。</w:t>
      </w:r>
    </w:p>
    <w:p>
      <w:pPr>
        <w:spacing w:line="440" w:lineRule="exact"/>
        <w:rPr>
          <w:color w:val="auto"/>
          <w:highlight w:val="none"/>
        </w:rPr>
      </w:pPr>
      <w:r>
        <w:rPr>
          <w:rFonts w:hint="eastAsia"/>
          <w:color w:val="auto"/>
          <w:highlight w:val="none"/>
        </w:rPr>
        <w:t>2、近年所指时间具体时间见投标人须知前附表。</w:t>
      </w:r>
    </w:p>
    <w:p>
      <w:pPr>
        <w:rPr>
          <w:color w:val="auto"/>
          <w:highlight w:val="none"/>
        </w:rPr>
      </w:pPr>
      <w:r>
        <w:rPr>
          <w:rFonts w:hint="eastAsia"/>
          <w:color w:val="auto"/>
          <w:highlight w:val="none"/>
        </w:rPr>
        <w:br w:type="page"/>
      </w:r>
    </w:p>
    <w:p>
      <w:pPr>
        <w:pStyle w:val="6"/>
        <w:rPr>
          <w:b w:val="0"/>
          <w:bCs w:val="0"/>
          <w:color w:val="auto"/>
          <w:highlight w:val="none"/>
        </w:rPr>
      </w:pPr>
      <w:r>
        <w:rPr>
          <w:rFonts w:hint="eastAsia"/>
          <w:b w:val="0"/>
          <w:bCs w:val="0"/>
          <w:color w:val="auto"/>
          <w:highlight w:val="none"/>
        </w:rPr>
        <w:t>（六）近年发生的诉讼及仲裁情况</w:t>
      </w:r>
    </w:p>
    <w:p>
      <w:pPr>
        <w:spacing w:line="440" w:lineRule="exact"/>
        <w:rPr>
          <w:color w:val="auto"/>
          <w:highlight w:val="none"/>
        </w:rPr>
      </w:pPr>
      <w:r>
        <w:rPr>
          <w:color w:val="auto"/>
          <w:highlight w:val="none"/>
        </w:rPr>
        <w:t>注：投标人应根据投标人须知第3.5.5项的要求附相关证明材料。</w:t>
      </w:r>
    </w:p>
    <w:p>
      <w:pPr>
        <w:rPr>
          <w:color w:val="auto"/>
          <w:sz w:val="28"/>
          <w:szCs w:val="28"/>
          <w:highlight w:val="none"/>
        </w:rPr>
      </w:pPr>
    </w:p>
    <w:p>
      <w:pPr>
        <w:rPr>
          <w:color w:val="auto"/>
          <w:highlight w:val="none"/>
        </w:rPr>
      </w:pPr>
      <w:r>
        <w:rPr>
          <w:rFonts w:hint="eastAsia"/>
          <w:color w:val="auto"/>
          <w:highlight w:val="none"/>
        </w:rPr>
        <w:br w:type="page"/>
      </w:r>
    </w:p>
    <w:p>
      <w:pPr>
        <w:pStyle w:val="6"/>
        <w:rPr>
          <w:b w:val="0"/>
          <w:bCs w:val="0"/>
          <w:color w:val="auto"/>
          <w:highlight w:val="none"/>
        </w:rPr>
      </w:pPr>
      <w:r>
        <w:rPr>
          <w:rFonts w:hint="eastAsia"/>
          <w:b w:val="0"/>
          <w:bCs w:val="0"/>
          <w:color w:val="auto"/>
          <w:highlight w:val="none"/>
        </w:rPr>
        <w:t>（七）拟委任的主要人员汇总表（含项目负责人与其他主要人员）</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275"/>
        <w:gridCol w:w="992"/>
        <w:gridCol w:w="603"/>
        <w:gridCol w:w="488"/>
        <w:gridCol w:w="1134"/>
        <w:gridCol w:w="709"/>
        <w:gridCol w:w="87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restart"/>
            <w:noWrap w:val="0"/>
            <w:vAlign w:val="center"/>
          </w:tcPr>
          <w:p>
            <w:pPr>
              <w:spacing w:line="440" w:lineRule="exact"/>
              <w:jc w:val="center"/>
              <w:rPr>
                <w:color w:val="auto"/>
                <w:highlight w:val="none"/>
              </w:rPr>
            </w:pPr>
            <w:r>
              <w:rPr>
                <w:rFonts w:hint="eastAsia"/>
                <w:color w:val="auto"/>
                <w:highlight w:val="none"/>
              </w:rPr>
              <w:t>序号</w:t>
            </w:r>
          </w:p>
        </w:tc>
        <w:tc>
          <w:tcPr>
            <w:tcW w:w="1275" w:type="dxa"/>
            <w:vMerge w:val="restart"/>
            <w:noWrap w:val="0"/>
            <w:vAlign w:val="center"/>
          </w:tcPr>
          <w:p>
            <w:pPr>
              <w:spacing w:line="440" w:lineRule="exact"/>
              <w:jc w:val="center"/>
              <w:rPr>
                <w:color w:val="auto"/>
                <w:highlight w:val="none"/>
              </w:rPr>
            </w:pPr>
            <w:r>
              <w:rPr>
                <w:rFonts w:hint="eastAsia"/>
                <w:color w:val="auto"/>
                <w:highlight w:val="none"/>
              </w:rPr>
              <w:t>本项目任职</w:t>
            </w:r>
          </w:p>
        </w:tc>
        <w:tc>
          <w:tcPr>
            <w:tcW w:w="992" w:type="dxa"/>
            <w:vMerge w:val="restart"/>
            <w:noWrap w:val="0"/>
            <w:vAlign w:val="center"/>
          </w:tcPr>
          <w:p>
            <w:pPr>
              <w:spacing w:line="440" w:lineRule="exact"/>
              <w:jc w:val="center"/>
              <w:rPr>
                <w:color w:val="auto"/>
                <w:highlight w:val="none"/>
              </w:rPr>
            </w:pPr>
            <w:r>
              <w:rPr>
                <w:rFonts w:hint="eastAsia"/>
                <w:color w:val="auto"/>
                <w:highlight w:val="none"/>
              </w:rPr>
              <w:t>姓名</w:t>
            </w:r>
          </w:p>
        </w:tc>
        <w:tc>
          <w:tcPr>
            <w:tcW w:w="603" w:type="dxa"/>
            <w:vMerge w:val="restart"/>
            <w:noWrap w:val="0"/>
            <w:vAlign w:val="center"/>
          </w:tcPr>
          <w:p>
            <w:pPr>
              <w:spacing w:line="440" w:lineRule="exact"/>
              <w:jc w:val="center"/>
              <w:rPr>
                <w:color w:val="auto"/>
                <w:highlight w:val="none"/>
              </w:rPr>
            </w:pPr>
            <w:r>
              <w:rPr>
                <w:rFonts w:hint="eastAsia"/>
                <w:color w:val="auto"/>
                <w:highlight w:val="none"/>
              </w:rPr>
              <w:t>职称</w:t>
            </w:r>
          </w:p>
        </w:tc>
        <w:tc>
          <w:tcPr>
            <w:tcW w:w="488" w:type="dxa"/>
            <w:vMerge w:val="restart"/>
            <w:noWrap w:val="0"/>
            <w:vAlign w:val="center"/>
          </w:tcPr>
          <w:p>
            <w:pPr>
              <w:spacing w:line="440" w:lineRule="exact"/>
              <w:jc w:val="center"/>
              <w:rPr>
                <w:color w:val="auto"/>
                <w:highlight w:val="none"/>
              </w:rPr>
            </w:pPr>
            <w:r>
              <w:rPr>
                <w:rFonts w:hint="eastAsia"/>
                <w:color w:val="auto"/>
                <w:highlight w:val="none"/>
              </w:rPr>
              <w:t>专业</w:t>
            </w:r>
          </w:p>
        </w:tc>
        <w:tc>
          <w:tcPr>
            <w:tcW w:w="2714" w:type="dxa"/>
            <w:gridSpan w:val="3"/>
            <w:noWrap w:val="0"/>
            <w:vAlign w:val="center"/>
          </w:tcPr>
          <w:p>
            <w:pPr>
              <w:spacing w:line="440" w:lineRule="exact"/>
              <w:jc w:val="center"/>
              <w:rPr>
                <w:color w:val="auto"/>
                <w:highlight w:val="none"/>
              </w:rPr>
            </w:pPr>
            <w:r>
              <w:rPr>
                <w:rFonts w:hint="eastAsia"/>
                <w:color w:val="auto"/>
                <w:highlight w:val="none"/>
              </w:rPr>
              <w:t>执业或职业资格证明</w:t>
            </w:r>
          </w:p>
        </w:tc>
        <w:tc>
          <w:tcPr>
            <w:tcW w:w="1134" w:type="dxa"/>
            <w:noWrap w:val="0"/>
            <w:vAlign w:val="center"/>
          </w:tcPr>
          <w:p>
            <w:pPr>
              <w:spacing w:line="440" w:lineRule="exact"/>
              <w:jc w:val="center"/>
              <w:rPr>
                <w:color w:val="auto"/>
                <w:highlight w:val="none"/>
              </w:rPr>
            </w:pPr>
            <w:r>
              <w:rPr>
                <w:rFonts w:hint="eastAsia"/>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continue"/>
            <w:noWrap w:val="0"/>
            <w:vAlign w:val="center"/>
          </w:tcPr>
          <w:p>
            <w:pPr>
              <w:rPr>
                <w:color w:val="auto"/>
                <w:highlight w:val="none"/>
              </w:rPr>
            </w:pPr>
          </w:p>
        </w:tc>
        <w:tc>
          <w:tcPr>
            <w:tcW w:w="1275" w:type="dxa"/>
            <w:vMerge w:val="continue"/>
            <w:noWrap w:val="0"/>
            <w:vAlign w:val="top"/>
          </w:tcPr>
          <w:p>
            <w:pPr>
              <w:rPr>
                <w:color w:val="auto"/>
                <w:highlight w:val="none"/>
              </w:rPr>
            </w:pPr>
          </w:p>
        </w:tc>
        <w:tc>
          <w:tcPr>
            <w:tcW w:w="992" w:type="dxa"/>
            <w:vMerge w:val="continue"/>
            <w:noWrap w:val="0"/>
            <w:vAlign w:val="center"/>
          </w:tcPr>
          <w:p>
            <w:pPr>
              <w:rPr>
                <w:color w:val="auto"/>
                <w:highlight w:val="none"/>
              </w:rPr>
            </w:pPr>
          </w:p>
        </w:tc>
        <w:tc>
          <w:tcPr>
            <w:tcW w:w="603" w:type="dxa"/>
            <w:vMerge w:val="continue"/>
            <w:noWrap w:val="0"/>
            <w:vAlign w:val="center"/>
          </w:tcPr>
          <w:p>
            <w:pPr>
              <w:rPr>
                <w:color w:val="auto"/>
                <w:highlight w:val="none"/>
              </w:rPr>
            </w:pPr>
          </w:p>
        </w:tc>
        <w:tc>
          <w:tcPr>
            <w:tcW w:w="488" w:type="dxa"/>
            <w:vMerge w:val="continue"/>
            <w:noWrap w:val="0"/>
            <w:vAlign w:val="center"/>
          </w:tcPr>
          <w:p>
            <w:pPr>
              <w:spacing w:line="440" w:lineRule="exact"/>
              <w:jc w:val="center"/>
              <w:rPr>
                <w:color w:val="auto"/>
                <w:highlight w:val="none"/>
              </w:rPr>
            </w:pPr>
          </w:p>
        </w:tc>
        <w:tc>
          <w:tcPr>
            <w:tcW w:w="1134" w:type="dxa"/>
            <w:noWrap w:val="0"/>
            <w:vAlign w:val="center"/>
          </w:tcPr>
          <w:p>
            <w:pPr>
              <w:spacing w:before="100" w:beforeAutospacing="1" w:after="100" w:afterAutospacing="1" w:line="440" w:lineRule="exact"/>
              <w:jc w:val="center"/>
              <w:rPr>
                <w:color w:val="auto"/>
                <w:highlight w:val="none"/>
              </w:rPr>
            </w:pPr>
            <w:r>
              <w:rPr>
                <w:rFonts w:hint="eastAsia"/>
                <w:color w:val="auto"/>
                <w:highlight w:val="none"/>
              </w:rPr>
              <w:t>证书名称</w:t>
            </w:r>
          </w:p>
        </w:tc>
        <w:tc>
          <w:tcPr>
            <w:tcW w:w="709" w:type="dxa"/>
            <w:noWrap w:val="0"/>
            <w:vAlign w:val="center"/>
          </w:tcPr>
          <w:p>
            <w:pPr>
              <w:spacing w:before="100" w:beforeAutospacing="1" w:after="100" w:afterAutospacing="1" w:line="440" w:lineRule="exact"/>
              <w:jc w:val="center"/>
              <w:rPr>
                <w:color w:val="auto"/>
                <w:highlight w:val="none"/>
              </w:rPr>
            </w:pPr>
            <w:r>
              <w:rPr>
                <w:rFonts w:hint="eastAsia"/>
                <w:color w:val="auto"/>
                <w:highlight w:val="none"/>
              </w:rPr>
              <w:t>级别</w:t>
            </w:r>
          </w:p>
        </w:tc>
        <w:tc>
          <w:tcPr>
            <w:tcW w:w="871" w:type="dxa"/>
            <w:noWrap w:val="0"/>
            <w:vAlign w:val="center"/>
          </w:tcPr>
          <w:p>
            <w:pPr>
              <w:spacing w:before="100" w:beforeAutospacing="1" w:after="100" w:afterAutospacing="1" w:line="440" w:lineRule="exact"/>
              <w:jc w:val="center"/>
              <w:rPr>
                <w:color w:val="auto"/>
                <w:highlight w:val="none"/>
              </w:rPr>
            </w:pPr>
            <w:r>
              <w:rPr>
                <w:rFonts w:hint="eastAsia"/>
                <w:color w:val="auto"/>
                <w:highlight w:val="none"/>
              </w:rPr>
              <w:t>证号</w:t>
            </w:r>
          </w:p>
        </w:tc>
        <w:tc>
          <w:tcPr>
            <w:tcW w:w="1134" w:type="dxa"/>
            <w:noWrap w:val="0"/>
            <w:vAlign w:val="center"/>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center"/>
          </w:tcPr>
          <w:p>
            <w:pPr>
              <w:spacing w:line="440" w:lineRule="exact"/>
              <w:jc w:val="center"/>
              <w:rPr>
                <w:color w:val="auto"/>
                <w:highlight w:val="none"/>
              </w:rPr>
            </w:pPr>
          </w:p>
        </w:tc>
        <w:tc>
          <w:tcPr>
            <w:tcW w:w="1275" w:type="dxa"/>
            <w:noWrap w:val="0"/>
            <w:vAlign w:val="top"/>
          </w:tcPr>
          <w:p>
            <w:pPr>
              <w:spacing w:line="440" w:lineRule="exact"/>
              <w:jc w:val="center"/>
              <w:rPr>
                <w:color w:val="auto"/>
                <w:highlight w:val="none"/>
              </w:rPr>
            </w:pPr>
          </w:p>
        </w:tc>
        <w:tc>
          <w:tcPr>
            <w:tcW w:w="992" w:type="dxa"/>
            <w:noWrap w:val="0"/>
            <w:vAlign w:val="center"/>
          </w:tcPr>
          <w:p>
            <w:pPr>
              <w:spacing w:line="440" w:lineRule="exact"/>
              <w:jc w:val="center"/>
              <w:rPr>
                <w:color w:val="auto"/>
                <w:highlight w:val="none"/>
              </w:rPr>
            </w:pPr>
          </w:p>
        </w:tc>
        <w:tc>
          <w:tcPr>
            <w:tcW w:w="603" w:type="dxa"/>
            <w:noWrap w:val="0"/>
            <w:vAlign w:val="center"/>
          </w:tcPr>
          <w:p>
            <w:pPr>
              <w:spacing w:line="440" w:lineRule="exact"/>
              <w:jc w:val="center"/>
              <w:rPr>
                <w:color w:val="auto"/>
                <w:highlight w:val="none"/>
              </w:rPr>
            </w:pPr>
          </w:p>
        </w:tc>
        <w:tc>
          <w:tcPr>
            <w:tcW w:w="488" w:type="dxa"/>
            <w:noWrap w:val="0"/>
            <w:vAlign w:val="center"/>
          </w:tcPr>
          <w:p>
            <w:pPr>
              <w:spacing w:line="440" w:lineRule="exact"/>
              <w:jc w:val="center"/>
              <w:rPr>
                <w:color w:val="auto"/>
                <w:highlight w:val="none"/>
              </w:rPr>
            </w:pPr>
          </w:p>
        </w:tc>
        <w:tc>
          <w:tcPr>
            <w:tcW w:w="1134" w:type="dxa"/>
            <w:noWrap w:val="0"/>
            <w:vAlign w:val="center"/>
          </w:tcPr>
          <w:p>
            <w:pPr>
              <w:spacing w:line="440" w:lineRule="exact"/>
              <w:jc w:val="center"/>
              <w:rPr>
                <w:color w:val="auto"/>
                <w:highlight w:val="none"/>
              </w:rPr>
            </w:pPr>
          </w:p>
        </w:tc>
        <w:tc>
          <w:tcPr>
            <w:tcW w:w="709" w:type="dxa"/>
            <w:noWrap w:val="0"/>
            <w:vAlign w:val="center"/>
          </w:tcPr>
          <w:p>
            <w:pPr>
              <w:spacing w:line="440" w:lineRule="exact"/>
              <w:jc w:val="center"/>
              <w:rPr>
                <w:color w:val="auto"/>
                <w:highlight w:val="none"/>
              </w:rPr>
            </w:pPr>
          </w:p>
        </w:tc>
        <w:tc>
          <w:tcPr>
            <w:tcW w:w="871" w:type="dxa"/>
            <w:noWrap w:val="0"/>
            <w:vAlign w:val="center"/>
          </w:tcPr>
          <w:p>
            <w:pPr>
              <w:spacing w:line="440" w:lineRule="exact"/>
              <w:jc w:val="center"/>
              <w:rPr>
                <w:color w:val="auto"/>
                <w:highlight w:val="none"/>
              </w:rPr>
            </w:pPr>
          </w:p>
        </w:tc>
        <w:tc>
          <w:tcPr>
            <w:tcW w:w="1134" w:type="dxa"/>
            <w:noWrap w:val="0"/>
            <w:vAlign w:val="center"/>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color w:val="auto"/>
                <w:highlight w:val="none"/>
              </w:rPr>
            </w:pPr>
          </w:p>
        </w:tc>
        <w:tc>
          <w:tcPr>
            <w:tcW w:w="1275" w:type="dxa"/>
            <w:noWrap w:val="0"/>
            <w:vAlign w:val="top"/>
          </w:tcPr>
          <w:p>
            <w:pPr>
              <w:spacing w:line="440" w:lineRule="exact"/>
              <w:jc w:val="center"/>
              <w:rPr>
                <w:color w:val="auto"/>
                <w:highlight w:val="none"/>
              </w:rPr>
            </w:pPr>
          </w:p>
        </w:tc>
        <w:tc>
          <w:tcPr>
            <w:tcW w:w="992" w:type="dxa"/>
            <w:noWrap w:val="0"/>
            <w:vAlign w:val="top"/>
          </w:tcPr>
          <w:p>
            <w:pPr>
              <w:spacing w:line="440" w:lineRule="exact"/>
              <w:jc w:val="center"/>
              <w:rPr>
                <w:color w:val="auto"/>
                <w:highlight w:val="none"/>
              </w:rPr>
            </w:pPr>
          </w:p>
        </w:tc>
        <w:tc>
          <w:tcPr>
            <w:tcW w:w="603" w:type="dxa"/>
            <w:noWrap w:val="0"/>
            <w:vAlign w:val="top"/>
          </w:tcPr>
          <w:p>
            <w:pPr>
              <w:spacing w:line="440" w:lineRule="exact"/>
              <w:jc w:val="center"/>
              <w:rPr>
                <w:color w:val="auto"/>
                <w:highlight w:val="none"/>
              </w:rPr>
            </w:pPr>
          </w:p>
        </w:tc>
        <w:tc>
          <w:tcPr>
            <w:tcW w:w="488"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c>
          <w:tcPr>
            <w:tcW w:w="709" w:type="dxa"/>
            <w:noWrap w:val="0"/>
            <w:vAlign w:val="top"/>
          </w:tcPr>
          <w:p>
            <w:pPr>
              <w:spacing w:line="440" w:lineRule="exact"/>
              <w:jc w:val="center"/>
              <w:rPr>
                <w:color w:val="auto"/>
                <w:highlight w:val="none"/>
              </w:rPr>
            </w:pPr>
          </w:p>
        </w:tc>
        <w:tc>
          <w:tcPr>
            <w:tcW w:w="871"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color w:val="auto"/>
                <w:highlight w:val="none"/>
              </w:rPr>
            </w:pPr>
          </w:p>
        </w:tc>
        <w:tc>
          <w:tcPr>
            <w:tcW w:w="1275" w:type="dxa"/>
            <w:noWrap w:val="0"/>
            <w:vAlign w:val="top"/>
          </w:tcPr>
          <w:p>
            <w:pPr>
              <w:spacing w:line="440" w:lineRule="exact"/>
              <w:jc w:val="center"/>
              <w:rPr>
                <w:color w:val="auto"/>
                <w:highlight w:val="none"/>
              </w:rPr>
            </w:pPr>
          </w:p>
        </w:tc>
        <w:tc>
          <w:tcPr>
            <w:tcW w:w="992" w:type="dxa"/>
            <w:noWrap w:val="0"/>
            <w:vAlign w:val="top"/>
          </w:tcPr>
          <w:p>
            <w:pPr>
              <w:spacing w:line="440" w:lineRule="exact"/>
              <w:jc w:val="center"/>
              <w:rPr>
                <w:color w:val="auto"/>
                <w:highlight w:val="none"/>
              </w:rPr>
            </w:pPr>
          </w:p>
        </w:tc>
        <w:tc>
          <w:tcPr>
            <w:tcW w:w="603" w:type="dxa"/>
            <w:noWrap w:val="0"/>
            <w:vAlign w:val="top"/>
          </w:tcPr>
          <w:p>
            <w:pPr>
              <w:spacing w:line="440" w:lineRule="exact"/>
              <w:jc w:val="center"/>
              <w:rPr>
                <w:color w:val="auto"/>
                <w:highlight w:val="none"/>
              </w:rPr>
            </w:pPr>
          </w:p>
        </w:tc>
        <w:tc>
          <w:tcPr>
            <w:tcW w:w="488"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c>
          <w:tcPr>
            <w:tcW w:w="709" w:type="dxa"/>
            <w:noWrap w:val="0"/>
            <w:vAlign w:val="top"/>
          </w:tcPr>
          <w:p>
            <w:pPr>
              <w:spacing w:line="440" w:lineRule="exact"/>
              <w:jc w:val="center"/>
              <w:rPr>
                <w:color w:val="auto"/>
                <w:highlight w:val="none"/>
              </w:rPr>
            </w:pPr>
          </w:p>
        </w:tc>
        <w:tc>
          <w:tcPr>
            <w:tcW w:w="871"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color w:val="auto"/>
                <w:highlight w:val="none"/>
              </w:rPr>
            </w:pPr>
          </w:p>
        </w:tc>
        <w:tc>
          <w:tcPr>
            <w:tcW w:w="1275" w:type="dxa"/>
            <w:noWrap w:val="0"/>
            <w:vAlign w:val="top"/>
          </w:tcPr>
          <w:p>
            <w:pPr>
              <w:spacing w:line="440" w:lineRule="exact"/>
              <w:jc w:val="center"/>
              <w:rPr>
                <w:color w:val="auto"/>
                <w:highlight w:val="none"/>
              </w:rPr>
            </w:pPr>
          </w:p>
        </w:tc>
        <w:tc>
          <w:tcPr>
            <w:tcW w:w="992" w:type="dxa"/>
            <w:noWrap w:val="0"/>
            <w:vAlign w:val="top"/>
          </w:tcPr>
          <w:p>
            <w:pPr>
              <w:spacing w:line="440" w:lineRule="exact"/>
              <w:jc w:val="center"/>
              <w:rPr>
                <w:color w:val="auto"/>
                <w:highlight w:val="none"/>
              </w:rPr>
            </w:pPr>
          </w:p>
        </w:tc>
        <w:tc>
          <w:tcPr>
            <w:tcW w:w="603" w:type="dxa"/>
            <w:noWrap w:val="0"/>
            <w:vAlign w:val="top"/>
          </w:tcPr>
          <w:p>
            <w:pPr>
              <w:spacing w:line="440" w:lineRule="exact"/>
              <w:jc w:val="center"/>
              <w:rPr>
                <w:color w:val="auto"/>
                <w:highlight w:val="none"/>
              </w:rPr>
            </w:pPr>
          </w:p>
        </w:tc>
        <w:tc>
          <w:tcPr>
            <w:tcW w:w="488"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c>
          <w:tcPr>
            <w:tcW w:w="709" w:type="dxa"/>
            <w:noWrap w:val="0"/>
            <w:vAlign w:val="top"/>
          </w:tcPr>
          <w:p>
            <w:pPr>
              <w:spacing w:line="440" w:lineRule="exact"/>
              <w:jc w:val="center"/>
              <w:rPr>
                <w:color w:val="auto"/>
                <w:highlight w:val="none"/>
              </w:rPr>
            </w:pPr>
          </w:p>
        </w:tc>
        <w:tc>
          <w:tcPr>
            <w:tcW w:w="871"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color w:val="auto"/>
                <w:highlight w:val="none"/>
              </w:rPr>
            </w:pPr>
          </w:p>
        </w:tc>
        <w:tc>
          <w:tcPr>
            <w:tcW w:w="1275" w:type="dxa"/>
            <w:noWrap w:val="0"/>
            <w:vAlign w:val="top"/>
          </w:tcPr>
          <w:p>
            <w:pPr>
              <w:spacing w:line="440" w:lineRule="exact"/>
              <w:jc w:val="center"/>
              <w:rPr>
                <w:color w:val="auto"/>
                <w:highlight w:val="none"/>
              </w:rPr>
            </w:pPr>
          </w:p>
        </w:tc>
        <w:tc>
          <w:tcPr>
            <w:tcW w:w="992" w:type="dxa"/>
            <w:noWrap w:val="0"/>
            <w:vAlign w:val="top"/>
          </w:tcPr>
          <w:p>
            <w:pPr>
              <w:spacing w:line="440" w:lineRule="exact"/>
              <w:jc w:val="center"/>
              <w:rPr>
                <w:color w:val="auto"/>
                <w:highlight w:val="none"/>
              </w:rPr>
            </w:pPr>
          </w:p>
        </w:tc>
        <w:tc>
          <w:tcPr>
            <w:tcW w:w="603" w:type="dxa"/>
            <w:noWrap w:val="0"/>
            <w:vAlign w:val="top"/>
          </w:tcPr>
          <w:p>
            <w:pPr>
              <w:spacing w:line="440" w:lineRule="exact"/>
              <w:jc w:val="center"/>
              <w:rPr>
                <w:color w:val="auto"/>
                <w:highlight w:val="none"/>
              </w:rPr>
            </w:pPr>
          </w:p>
        </w:tc>
        <w:tc>
          <w:tcPr>
            <w:tcW w:w="488"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c>
          <w:tcPr>
            <w:tcW w:w="709" w:type="dxa"/>
            <w:noWrap w:val="0"/>
            <w:vAlign w:val="top"/>
          </w:tcPr>
          <w:p>
            <w:pPr>
              <w:spacing w:line="440" w:lineRule="exact"/>
              <w:jc w:val="center"/>
              <w:rPr>
                <w:color w:val="auto"/>
                <w:highlight w:val="none"/>
              </w:rPr>
            </w:pPr>
          </w:p>
        </w:tc>
        <w:tc>
          <w:tcPr>
            <w:tcW w:w="871"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color w:val="auto"/>
                <w:highlight w:val="none"/>
              </w:rPr>
            </w:pPr>
          </w:p>
        </w:tc>
        <w:tc>
          <w:tcPr>
            <w:tcW w:w="1275" w:type="dxa"/>
            <w:noWrap w:val="0"/>
            <w:vAlign w:val="top"/>
          </w:tcPr>
          <w:p>
            <w:pPr>
              <w:spacing w:line="440" w:lineRule="exact"/>
              <w:jc w:val="center"/>
              <w:rPr>
                <w:color w:val="auto"/>
                <w:highlight w:val="none"/>
              </w:rPr>
            </w:pPr>
          </w:p>
        </w:tc>
        <w:tc>
          <w:tcPr>
            <w:tcW w:w="992" w:type="dxa"/>
            <w:noWrap w:val="0"/>
            <w:vAlign w:val="top"/>
          </w:tcPr>
          <w:p>
            <w:pPr>
              <w:spacing w:line="440" w:lineRule="exact"/>
              <w:jc w:val="center"/>
              <w:rPr>
                <w:color w:val="auto"/>
                <w:highlight w:val="none"/>
              </w:rPr>
            </w:pPr>
          </w:p>
        </w:tc>
        <w:tc>
          <w:tcPr>
            <w:tcW w:w="603" w:type="dxa"/>
            <w:noWrap w:val="0"/>
            <w:vAlign w:val="top"/>
          </w:tcPr>
          <w:p>
            <w:pPr>
              <w:spacing w:line="440" w:lineRule="exact"/>
              <w:jc w:val="center"/>
              <w:rPr>
                <w:color w:val="auto"/>
                <w:highlight w:val="none"/>
              </w:rPr>
            </w:pPr>
          </w:p>
        </w:tc>
        <w:tc>
          <w:tcPr>
            <w:tcW w:w="488"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c>
          <w:tcPr>
            <w:tcW w:w="709" w:type="dxa"/>
            <w:noWrap w:val="0"/>
            <w:vAlign w:val="top"/>
          </w:tcPr>
          <w:p>
            <w:pPr>
              <w:spacing w:line="440" w:lineRule="exact"/>
              <w:jc w:val="center"/>
              <w:rPr>
                <w:color w:val="auto"/>
                <w:highlight w:val="none"/>
              </w:rPr>
            </w:pPr>
          </w:p>
        </w:tc>
        <w:tc>
          <w:tcPr>
            <w:tcW w:w="871"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color w:val="auto"/>
                <w:highlight w:val="none"/>
              </w:rPr>
            </w:pPr>
          </w:p>
        </w:tc>
        <w:tc>
          <w:tcPr>
            <w:tcW w:w="1275" w:type="dxa"/>
            <w:noWrap w:val="0"/>
            <w:vAlign w:val="top"/>
          </w:tcPr>
          <w:p>
            <w:pPr>
              <w:spacing w:line="440" w:lineRule="exact"/>
              <w:jc w:val="center"/>
              <w:rPr>
                <w:color w:val="auto"/>
                <w:highlight w:val="none"/>
              </w:rPr>
            </w:pPr>
          </w:p>
        </w:tc>
        <w:tc>
          <w:tcPr>
            <w:tcW w:w="992" w:type="dxa"/>
            <w:noWrap w:val="0"/>
            <w:vAlign w:val="top"/>
          </w:tcPr>
          <w:p>
            <w:pPr>
              <w:spacing w:line="440" w:lineRule="exact"/>
              <w:jc w:val="center"/>
              <w:rPr>
                <w:color w:val="auto"/>
                <w:highlight w:val="none"/>
              </w:rPr>
            </w:pPr>
          </w:p>
        </w:tc>
        <w:tc>
          <w:tcPr>
            <w:tcW w:w="603" w:type="dxa"/>
            <w:noWrap w:val="0"/>
            <w:vAlign w:val="top"/>
          </w:tcPr>
          <w:p>
            <w:pPr>
              <w:spacing w:line="440" w:lineRule="exact"/>
              <w:jc w:val="center"/>
              <w:rPr>
                <w:color w:val="auto"/>
                <w:highlight w:val="none"/>
              </w:rPr>
            </w:pPr>
          </w:p>
        </w:tc>
        <w:tc>
          <w:tcPr>
            <w:tcW w:w="488"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c>
          <w:tcPr>
            <w:tcW w:w="709" w:type="dxa"/>
            <w:noWrap w:val="0"/>
            <w:vAlign w:val="top"/>
          </w:tcPr>
          <w:p>
            <w:pPr>
              <w:spacing w:line="440" w:lineRule="exact"/>
              <w:jc w:val="center"/>
              <w:rPr>
                <w:color w:val="auto"/>
                <w:highlight w:val="none"/>
              </w:rPr>
            </w:pPr>
          </w:p>
        </w:tc>
        <w:tc>
          <w:tcPr>
            <w:tcW w:w="871"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color w:val="auto"/>
                <w:highlight w:val="none"/>
              </w:rPr>
            </w:pPr>
          </w:p>
        </w:tc>
        <w:tc>
          <w:tcPr>
            <w:tcW w:w="1275" w:type="dxa"/>
            <w:noWrap w:val="0"/>
            <w:vAlign w:val="top"/>
          </w:tcPr>
          <w:p>
            <w:pPr>
              <w:spacing w:line="440" w:lineRule="exact"/>
              <w:jc w:val="center"/>
              <w:rPr>
                <w:color w:val="auto"/>
                <w:highlight w:val="none"/>
              </w:rPr>
            </w:pPr>
          </w:p>
        </w:tc>
        <w:tc>
          <w:tcPr>
            <w:tcW w:w="992" w:type="dxa"/>
            <w:noWrap w:val="0"/>
            <w:vAlign w:val="top"/>
          </w:tcPr>
          <w:p>
            <w:pPr>
              <w:spacing w:line="440" w:lineRule="exact"/>
              <w:jc w:val="center"/>
              <w:rPr>
                <w:color w:val="auto"/>
                <w:highlight w:val="none"/>
              </w:rPr>
            </w:pPr>
          </w:p>
        </w:tc>
        <w:tc>
          <w:tcPr>
            <w:tcW w:w="603" w:type="dxa"/>
            <w:noWrap w:val="0"/>
            <w:vAlign w:val="top"/>
          </w:tcPr>
          <w:p>
            <w:pPr>
              <w:spacing w:line="440" w:lineRule="exact"/>
              <w:jc w:val="center"/>
              <w:rPr>
                <w:color w:val="auto"/>
                <w:highlight w:val="none"/>
              </w:rPr>
            </w:pPr>
          </w:p>
        </w:tc>
        <w:tc>
          <w:tcPr>
            <w:tcW w:w="488"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c>
          <w:tcPr>
            <w:tcW w:w="709" w:type="dxa"/>
            <w:noWrap w:val="0"/>
            <w:vAlign w:val="top"/>
          </w:tcPr>
          <w:p>
            <w:pPr>
              <w:spacing w:line="440" w:lineRule="exact"/>
              <w:jc w:val="center"/>
              <w:rPr>
                <w:color w:val="auto"/>
                <w:highlight w:val="none"/>
              </w:rPr>
            </w:pPr>
          </w:p>
        </w:tc>
        <w:tc>
          <w:tcPr>
            <w:tcW w:w="871"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color w:val="auto"/>
                <w:highlight w:val="none"/>
              </w:rPr>
            </w:pPr>
          </w:p>
        </w:tc>
        <w:tc>
          <w:tcPr>
            <w:tcW w:w="1275" w:type="dxa"/>
            <w:noWrap w:val="0"/>
            <w:vAlign w:val="top"/>
          </w:tcPr>
          <w:p>
            <w:pPr>
              <w:spacing w:line="440" w:lineRule="exact"/>
              <w:jc w:val="center"/>
              <w:rPr>
                <w:color w:val="auto"/>
                <w:highlight w:val="none"/>
              </w:rPr>
            </w:pPr>
          </w:p>
        </w:tc>
        <w:tc>
          <w:tcPr>
            <w:tcW w:w="992" w:type="dxa"/>
            <w:noWrap w:val="0"/>
            <w:vAlign w:val="top"/>
          </w:tcPr>
          <w:p>
            <w:pPr>
              <w:spacing w:line="440" w:lineRule="exact"/>
              <w:jc w:val="center"/>
              <w:rPr>
                <w:color w:val="auto"/>
                <w:highlight w:val="none"/>
              </w:rPr>
            </w:pPr>
          </w:p>
        </w:tc>
        <w:tc>
          <w:tcPr>
            <w:tcW w:w="603" w:type="dxa"/>
            <w:noWrap w:val="0"/>
            <w:vAlign w:val="top"/>
          </w:tcPr>
          <w:p>
            <w:pPr>
              <w:spacing w:line="440" w:lineRule="exact"/>
              <w:jc w:val="center"/>
              <w:rPr>
                <w:color w:val="auto"/>
                <w:highlight w:val="none"/>
              </w:rPr>
            </w:pPr>
          </w:p>
        </w:tc>
        <w:tc>
          <w:tcPr>
            <w:tcW w:w="488"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c>
          <w:tcPr>
            <w:tcW w:w="709" w:type="dxa"/>
            <w:noWrap w:val="0"/>
            <w:vAlign w:val="top"/>
          </w:tcPr>
          <w:p>
            <w:pPr>
              <w:spacing w:line="440" w:lineRule="exact"/>
              <w:jc w:val="center"/>
              <w:rPr>
                <w:color w:val="auto"/>
                <w:highlight w:val="none"/>
              </w:rPr>
            </w:pPr>
          </w:p>
        </w:tc>
        <w:tc>
          <w:tcPr>
            <w:tcW w:w="871"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color w:val="auto"/>
                <w:highlight w:val="none"/>
              </w:rPr>
            </w:pPr>
          </w:p>
        </w:tc>
        <w:tc>
          <w:tcPr>
            <w:tcW w:w="1275" w:type="dxa"/>
            <w:noWrap w:val="0"/>
            <w:vAlign w:val="top"/>
          </w:tcPr>
          <w:p>
            <w:pPr>
              <w:spacing w:line="440" w:lineRule="exact"/>
              <w:jc w:val="center"/>
              <w:rPr>
                <w:color w:val="auto"/>
                <w:highlight w:val="none"/>
              </w:rPr>
            </w:pPr>
          </w:p>
        </w:tc>
        <w:tc>
          <w:tcPr>
            <w:tcW w:w="992" w:type="dxa"/>
            <w:noWrap w:val="0"/>
            <w:vAlign w:val="top"/>
          </w:tcPr>
          <w:p>
            <w:pPr>
              <w:spacing w:line="440" w:lineRule="exact"/>
              <w:jc w:val="center"/>
              <w:rPr>
                <w:color w:val="auto"/>
                <w:highlight w:val="none"/>
              </w:rPr>
            </w:pPr>
          </w:p>
        </w:tc>
        <w:tc>
          <w:tcPr>
            <w:tcW w:w="603" w:type="dxa"/>
            <w:noWrap w:val="0"/>
            <w:vAlign w:val="top"/>
          </w:tcPr>
          <w:p>
            <w:pPr>
              <w:spacing w:line="440" w:lineRule="exact"/>
              <w:jc w:val="center"/>
              <w:rPr>
                <w:color w:val="auto"/>
                <w:highlight w:val="none"/>
              </w:rPr>
            </w:pPr>
          </w:p>
        </w:tc>
        <w:tc>
          <w:tcPr>
            <w:tcW w:w="488"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c>
          <w:tcPr>
            <w:tcW w:w="709" w:type="dxa"/>
            <w:noWrap w:val="0"/>
            <w:vAlign w:val="top"/>
          </w:tcPr>
          <w:p>
            <w:pPr>
              <w:spacing w:line="440" w:lineRule="exact"/>
              <w:jc w:val="center"/>
              <w:rPr>
                <w:color w:val="auto"/>
                <w:highlight w:val="none"/>
              </w:rPr>
            </w:pPr>
          </w:p>
        </w:tc>
        <w:tc>
          <w:tcPr>
            <w:tcW w:w="871"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color w:val="auto"/>
                <w:highlight w:val="none"/>
              </w:rPr>
            </w:pPr>
          </w:p>
        </w:tc>
        <w:tc>
          <w:tcPr>
            <w:tcW w:w="1275" w:type="dxa"/>
            <w:noWrap w:val="0"/>
            <w:vAlign w:val="top"/>
          </w:tcPr>
          <w:p>
            <w:pPr>
              <w:spacing w:line="440" w:lineRule="exact"/>
              <w:jc w:val="center"/>
              <w:rPr>
                <w:color w:val="auto"/>
                <w:highlight w:val="none"/>
              </w:rPr>
            </w:pPr>
          </w:p>
        </w:tc>
        <w:tc>
          <w:tcPr>
            <w:tcW w:w="992" w:type="dxa"/>
            <w:noWrap w:val="0"/>
            <w:vAlign w:val="top"/>
          </w:tcPr>
          <w:p>
            <w:pPr>
              <w:spacing w:line="440" w:lineRule="exact"/>
              <w:jc w:val="center"/>
              <w:rPr>
                <w:color w:val="auto"/>
                <w:highlight w:val="none"/>
              </w:rPr>
            </w:pPr>
          </w:p>
        </w:tc>
        <w:tc>
          <w:tcPr>
            <w:tcW w:w="603" w:type="dxa"/>
            <w:noWrap w:val="0"/>
            <w:vAlign w:val="top"/>
          </w:tcPr>
          <w:p>
            <w:pPr>
              <w:spacing w:line="440" w:lineRule="exact"/>
              <w:jc w:val="center"/>
              <w:rPr>
                <w:color w:val="auto"/>
                <w:highlight w:val="none"/>
              </w:rPr>
            </w:pPr>
          </w:p>
        </w:tc>
        <w:tc>
          <w:tcPr>
            <w:tcW w:w="488"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c>
          <w:tcPr>
            <w:tcW w:w="709" w:type="dxa"/>
            <w:noWrap w:val="0"/>
            <w:vAlign w:val="top"/>
          </w:tcPr>
          <w:p>
            <w:pPr>
              <w:spacing w:line="440" w:lineRule="exact"/>
              <w:jc w:val="center"/>
              <w:rPr>
                <w:color w:val="auto"/>
                <w:highlight w:val="none"/>
              </w:rPr>
            </w:pPr>
          </w:p>
        </w:tc>
        <w:tc>
          <w:tcPr>
            <w:tcW w:w="871"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color w:val="auto"/>
                <w:highlight w:val="none"/>
              </w:rPr>
            </w:pPr>
          </w:p>
        </w:tc>
        <w:tc>
          <w:tcPr>
            <w:tcW w:w="1275" w:type="dxa"/>
            <w:noWrap w:val="0"/>
            <w:vAlign w:val="top"/>
          </w:tcPr>
          <w:p>
            <w:pPr>
              <w:spacing w:line="440" w:lineRule="exact"/>
              <w:jc w:val="center"/>
              <w:rPr>
                <w:color w:val="auto"/>
                <w:highlight w:val="none"/>
              </w:rPr>
            </w:pPr>
          </w:p>
        </w:tc>
        <w:tc>
          <w:tcPr>
            <w:tcW w:w="992" w:type="dxa"/>
            <w:noWrap w:val="0"/>
            <w:vAlign w:val="top"/>
          </w:tcPr>
          <w:p>
            <w:pPr>
              <w:spacing w:line="440" w:lineRule="exact"/>
              <w:jc w:val="center"/>
              <w:rPr>
                <w:color w:val="auto"/>
                <w:highlight w:val="none"/>
              </w:rPr>
            </w:pPr>
          </w:p>
        </w:tc>
        <w:tc>
          <w:tcPr>
            <w:tcW w:w="603" w:type="dxa"/>
            <w:noWrap w:val="0"/>
            <w:vAlign w:val="top"/>
          </w:tcPr>
          <w:p>
            <w:pPr>
              <w:spacing w:line="440" w:lineRule="exact"/>
              <w:jc w:val="center"/>
              <w:rPr>
                <w:color w:val="auto"/>
                <w:highlight w:val="none"/>
              </w:rPr>
            </w:pPr>
          </w:p>
        </w:tc>
        <w:tc>
          <w:tcPr>
            <w:tcW w:w="488"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c>
          <w:tcPr>
            <w:tcW w:w="709" w:type="dxa"/>
            <w:noWrap w:val="0"/>
            <w:vAlign w:val="top"/>
          </w:tcPr>
          <w:p>
            <w:pPr>
              <w:spacing w:line="440" w:lineRule="exact"/>
              <w:jc w:val="center"/>
              <w:rPr>
                <w:color w:val="auto"/>
                <w:highlight w:val="none"/>
              </w:rPr>
            </w:pPr>
          </w:p>
        </w:tc>
        <w:tc>
          <w:tcPr>
            <w:tcW w:w="871"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color w:val="auto"/>
                <w:highlight w:val="none"/>
              </w:rPr>
            </w:pPr>
          </w:p>
        </w:tc>
        <w:tc>
          <w:tcPr>
            <w:tcW w:w="1275" w:type="dxa"/>
            <w:noWrap w:val="0"/>
            <w:vAlign w:val="top"/>
          </w:tcPr>
          <w:p>
            <w:pPr>
              <w:spacing w:line="440" w:lineRule="exact"/>
              <w:jc w:val="center"/>
              <w:rPr>
                <w:color w:val="auto"/>
                <w:highlight w:val="none"/>
              </w:rPr>
            </w:pPr>
          </w:p>
        </w:tc>
        <w:tc>
          <w:tcPr>
            <w:tcW w:w="992" w:type="dxa"/>
            <w:noWrap w:val="0"/>
            <w:vAlign w:val="top"/>
          </w:tcPr>
          <w:p>
            <w:pPr>
              <w:spacing w:line="440" w:lineRule="exact"/>
              <w:jc w:val="center"/>
              <w:rPr>
                <w:color w:val="auto"/>
                <w:highlight w:val="none"/>
              </w:rPr>
            </w:pPr>
          </w:p>
        </w:tc>
        <w:tc>
          <w:tcPr>
            <w:tcW w:w="603" w:type="dxa"/>
            <w:noWrap w:val="0"/>
            <w:vAlign w:val="top"/>
          </w:tcPr>
          <w:p>
            <w:pPr>
              <w:spacing w:line="440" w:lineRule="exact"/>
              <w:jc w:val="center"/>
              <w:rPr>
                <w:color w:val="auto"/>
                <w:highlight w:val="none"/>
              </w:rPr>
            </w:pPr>
          </w:p>
        </w:tc>
        <w:tc>
          <w:tcPr>
            <w:tcW w:w="488"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c>
          <w:tcPr>
            <w:tcW w:w="709" w:type="dxa"/>
            <w:noWrap w:val="0"/>
            <w:vAlign w:val="top"/>
          </w:tcPr>
          <w:p>
            <w:pPr>
              <w:spacing w:line="440" w:lineRule="exact"/>
              <w:jc w:val="center"/>
              <w:rPr>
                <w:color w:val="auto"/>
                <w:highlight w:val="none"/>
              </w:rPr>
            </w:pPr>
          </w:p>
        </w:tc>
        <w:tc>
          <w:tcPr>
            <w:tcW w:w="871"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color w:val="auto"/>
                <w:highlight w:val="none"/>
              </w:rPr>
            </w:pPr>
          </w:p>
        </w:tc>
        <w:tc>
          <w:tcPr>
            <w:tcW w:w="1275" w:type="dxa"/>
            <w:noWrap w:val="0"/>
            <w:vAlign w:val="top"/>
          </w:tcPr>
          <w:p>
            <w:pPr>
              <w:spacing w:line="440" w:lineRule="exact"/>
              <w:jc w:val="center"/>
              <w:rPr>
                <w:color w:val="auto"/>
                <w:highlight w:val="none"/>
              </w:rPr>
            </w:pPr>
          </w:p>
        </w:tc>
        <w:tc>
          <w:tcPr>
            <w:tcW w:w="992" w:type="dxa"/>
            <w:noWrap w:val="0"/>
            <w:vAlign w:val="top"/>
          </w:tcPr>
          <w:p>
            <w:pPr>
              <w:spacing w:line="440" w:lineRule="exact"/>
              <w:jc w:val="center"/>
              <w:rPr>
                <w:color w:val="auto"/>
                <w:highlight w:val="none"/>
              </w:rPr>
            </w:pPr>
          </w:p>
        </w:tc>
        <w:tc>
          <w:tcPr>
            <w:tcW w:w="603" w:type="dxa"/>
            <w:noWrap w:val="0"/>
            <w:vAlign w:val="top"/>
          </w:tcPr>
          <w:p>
            <w:pPr>
              <w:spacing w:line="440" w:lineRule="exact"/>
              <w:jc w:val="center"/>
              <w:rPr>
                <w:color w:val="auto"/>
                <w:highlight w:val="none"/>
              </w:rPr>
            </w:pPr>
          </w:p>
        </w:tc>
        <w:tc>
          <w:tcPr>
            <w:tcW w:w="488"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c>
          <w:tcPr>
            <w:tcW w:w="709" w:type="dxa"/>
            <w:noWrap w:val="0"/>
            <w:vAlign w:val="top"/>
          </w:tcPr>
          <w:p>
            <w:pPr>
              <w:spacing w:line="440" w:lineRule="exact"/>
              <w:jc w:val="center"/>
              <w:rPr>
                <w:color w:val="auto"/>
                <w:highlight w:val="none"/>
              </w:rPr>
            </w:pPr>
          </w:p>
        </w:tc>
        <w:tc>
          <w:tcPr>
            <w:tcW w:w="871"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color w:val="auto"/>
                <w:highlight w:val="none"/>
              </w:rPr>
            </w:pPr>
          </w:p>
        </w:tc>
        <w:tc>
          <w:tcPr>
            <w:tcW w:w="1275" w:type="dxa"/>
            <w:noWrap w:val="0"/>
            <w:vAlign w:val="top"/>
          </w:tcPr>
          <w:p>
            <w:pPr>
              <w:spacing w:line="440" w:lineRule="exact"/>
              <w:jc w:val="center"/>
              <w:rPr>
                <w:color w:val="auto"/>
                <w:highlight w:val="none"/>
              </w:rPr>
            </w:pPr>
          </w:p>
        </w:tc>
        <w:tc>
          <w:tcPr>
            <w:tcW w:w="992" w:type="dxa"/>
            <w:noWrap w:val="0"/>
            <w:vAlign w:val="top"/>
          </w:tcPr>
          <w:p>
            <w:pPr>
              <w:spacing w:line="440" w:lineRule="exact"/>
              <w:jc w:val="center"/>
              <w:rPr>
                <w:color w:val="auto"/>
                <w:highlight w:val="none"/>
              </w:rPr>
            </w:pPr>
          </w:p>
        </w:tc>
        <w:tc>
          <w:tcPr>
            <w:tcW w:w="603" w:type="dxa"/>
            <w:noWrap w:val="0"/>
            <w:vAlign w:val="top"/>
          </w:tcPr>
          <w:p>
            <w:pPr>
              <w:spacing w:line="440" w:lineRule="exact"/>
              <w:jc w:val="center"/>
              <w:rPr>
                <w:color w:val="auto"/>
                <w:highlight w:val="none"/>
              </w:rPr>
            </w:pPr>
          </w:p>
        </w:tc>
        <w:tc>
          <w:tcPr>
            <w:tcW w:w="488"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c>
          <w:tcPr>
            <w:tcW w:w="709" w:type="dxa"/>
            <w:noWrap w:val="0"/>
            <w:vAlign w:val="top"/>
          </w:tcPr>
          <w:p>
            <w:pPr>
              <w:spacing w:line="440" w:lineRule="exact"/>
              <w:jc w:val="center"/>
              <w:rPr>
                <w:color w:val="auto"/>
                <w:highlight w:val="none"/>
              </w:rPr>
            </w:pPr>
          </w:p>
        </w:tc>
        <w:tc>
          <w:tcPr>
            <w:tcW w:w="871"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color w:val="auto"/>
                <w:highlight w:val="none"/>
              </w:rPr>
            </w:pPr>
          </w:p>
        </w:tc>
        <w:tc>
          <w:tcPr>
            <w:tcW w:w="1275" w:type="dxa"/>
            <w:noWrap w:val="0"/>
            <w:vAlign w:val="top"/>
          </w:tcPr>
          <w:p>
            <w:pPr>
              <w:spacing w:line="440" w:lineRule="exact"/>
              <w:jc w:val="center"/>
              <w:rPr>
                <w:color w:val="auto"/>
                <w:highlight w:val="none"/>
              </w:rPr>
            </w:pPr>
          </w:p>
        </w:tc>
        <w:tc>
          <w:tcPr>
            <w:tcW w:w="992" w:type="dxa"/>
            <w:noWrap w:val="0"/>
            <w:vAlign w:val="top"/>
          </w:tcPr>
          <w:p>
            <w:pPr>
              <w:spacing w:line="440" w:lineRule="exact"/>
              <w:jc w:val="center"/>
              <w:rPr>
                <w:color w:val="auto"/>
                <w:highlight w:val="none"/>
              </w:rPr>
            </w:pPr>
          </w:p>
        </w:tc>
        <w:tc>
          <w:tcPr>
            <w:tcW w:w="603" w:type="dxa"/>
            <w:noWrap w:val="0"/>
            <w:vAlign w:val="top"/>
          </w:tcPr>
          <w:p>
            <w:pPr>
              <w:spacing w:line="440" w:lineRule="exact"/>
              <w:jc w:val="center"/>
              <w:rPr>
                <w:color w:val="auto"/>
                <w:highlight w:val="none"/>
              </w:rPr>
            </w:pPr>
          </w:p>
        </w:tc>
        <w:tc>
          <w:tcPr>
            <w:tcW w:w="488"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c>
          <w:tcPr>
            <w:tcW w:w="709" w:type="dxa"/>
            <w:noWrap w:val="0"/>
            <w:vAlign w:val="top"/>
          </w:tcPr>
          <w:p>
            <w:pPr>
              <w:spacing w:line="440" w:lineRule="exact"/>
              <w:jc w:val="center"/>
              <w:rPr>
                <w:color w:val="auto"/>
                <w:highlight w:val="none"/>
              </w:rPr>
            </w:pPr>
          </w:p>
        </w:tc>
        <w:tc>
          <w:tcPr>
            <w:tcW w:w="871"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color w:val="auto"/>
                <w:highlight w:val="none"/>
              </w:rPr>
            </w:pPr>
          </w:p>
        </w:tc>
        <w:tc>
          <w:tcPr>
            <w:tcW w:w="1275" w:type="dxa"/>
            <w:noWrap w:val="0"/>
            <w:vAlign w:val="top"/>
          </w:tcPr>
          <w:p>
            <w:pPr>
              <w:spacing w:line="440" w:lineRule="exact"/>
              <w:jc w:val="center"/>
              <w:rPr>
                <w:color w:val="auto"/>
                <w:highlight w:val="none"/>
              </w:rPr>
            </w:pPr>
          </w:p>
        </w:tc>
        <w:tc>
          <w:tcPr>
            <w:tcW w:w="992" w:type="dxa"/>
            <w:noWrap w:val="0"/>
            <w:vAlign w:val="top"/>
          </w:tcPr>
          <w:p>
            <w:pPr>
              <w:spacing w:line="440" w:lineRule="exact"/>
              <w:jc w:val="center"/>
              <w:rPr>
                <w:color w:val="auto"/>
                <w:highlight w:val="none"/>
              </w:rPr>
            </w:pPr>
          </w:p>
        </w:tc>
        <w:tc>
          <w:tcPr>
            <w:tcW w:w="603" w:type="dxa"/>
            <w:noWrap w:val="0"/>
            <w:vAlign w:val="top"/>
          </w:tcPr>
          <w:p>
            <w:pPr>
              <w:spacing w:line="440" w:lineRule="exact"/>
              <w:jc w:val="center"/>
              <w:rPr>
                <w:color w:val="auto"/>
                <w:highlight w:val="none"/>
              </w:rPr>
            </w:pPr>
          </w:p>
        </w:tc>
        <w:tc>
          <w:tcPr>
            <w:tcW w:w="488"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c>
          <w:tcPr>
            <w:tcW w:w="709" w:type="dxa"/>
            <w:noWrap w:val="0"/>
            <w:vAlign w:val="top"/>
          </w:tcPr>
          <w:p>
            <w:pPr>
              <w:spacing w:line="440" w:lineRule="exact"/>
              <w:jc w:val="center"/>
              <w:rPr>
                <w:color w:val="auto"/>
                <w:highlight w:val="none"/>
              </w:rPr>
            </w:pPr>
          </w:p>
        </w:tc>
        <w:tc>
          <w:tcPr>
            <w:tcW w:w="871"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color w:val="auto"/>
                <w:highlight w:val="none"/>
              </w:rPr>
            </w:pPr>
          </w:p>
        </w:tc>
        <w:tc>
          <w:tcPr>
            <w:tcW w:w="1275" w:type="dxa"/>
            <w:noWrap w:val="0"/>
            <w:vAlign w:val="top"/>
          </w:tcPr>
          <w:p>
            <w:pPr>
              <w:spacing w:line="440" w:lineRule="exact"/>
              <w:jc w:val="center"/>
              <w:rPr>
                <w:color w:val="auto"/>
                <w:highlight w:val="none"/>
              </w:rPr>
            </w:pPr>
          </w:p>
        </w:tc>
        <w:tc>
          <w:tcPr>
            <w:tcW w:w="992" w:type="dxa"/>
            <w:noWrap w:val="0"/>
            <w:vAlign w:val="top"/>
          </w:tcPr>
          <w:p>
            <w:pPr>
              <w:spacing w:line="440" w:lineRule="exact"/>
              <w:jc w:val="center"/>
              <w:rPr>
                <w:color w:val="auto"/>
                <w:highlight w:val="none"/>
              </w:rPr>
            </w:pPr>
          </w:p>
        </w:tc>
        <w:tc>
          <w:tcPr>
            <w:tcW w:w="603" w:type="dxa"/>
            <w:noWrap w:val="0"/>
            <w:vAlign w:val="top"/>
          </w:tcPr>
          <w:p>
            <w:pPr>
              <w:spacing w:line="440" w:lineRule="exact"/>
              <w:jc w:val="center"/>
              <w:rPr>
                <w:color w:val="auto"/>
                <w:highlight w:val="none"/>
              </w:rPr>
            </w:pPr>
          </w:p>
        </w:tc>
        <w:tc>
          <w:tcPr>
            <w:tcW w:w="488"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c>
          <w:tcPr>
            <w:tcW w:w="709" w:type="dxa"/>
            <w:noWrap w:val="0"/>
            <w:vAlign w:val="top"/>
          </w:tcPr>
          <w:p>
            <w:pPr>
              <w:spacing w:line="440" w:lineRule="exact"/>
              <w:jc w:val="center"/>
              <w:rPr>
                <w:color w:val="auto"/>
                <w:highlight w:val="none"/>
              </w:rPr>
            </w:pPr>
          </w:p>
        </w:tc>
        <w:tc>
          <w:tcPr>
            <w:tcW w:w="871"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color w:val="auto"/>
                <w:highlight w:val="none"/>
              </w:rPr>
            </w:pPr>
          </w:p>
        </w:tc>
        <w:tc>
          <w:tcPr>
            <w:tcW w:w="1275" w:type="dxa"/>
            <w:noWrap w:val="0"/>
            <w:vAlign w:val="top"/>
          </w:tcPr>
          <w:p>
            <w:pPr>
              <w:spacing w:line="440" w:lineRule="exact"/>
              <w:jc w:val="center"/>
              <w:rPr>
                <w:color w:val="auto"/>
                <w:highlight w:val="none"/>
              </w:rPr>
            </w:pPr>
          </w:p>
        </w:tc>
        <w:tc>
          <w:tcPr>
            <w:tcW w:w="992" w:type="dxa"/>
            <w:noWrap w:val="0"/>
            <w:vAlign w:val="top"/>
          </w:tcPr>
          <w:p>
            <w:pPr>
              <w:spacing w:line="440" w:lineRule="exact"/>
              <w:jc w:val="center"/>
              <w:rPr>
                <w:color w:val="auto"/>
                <w:highlight w:val="none"/>
              </w:rPr>
            </w:pPr>
          </w:p>
        </w:tc>
        <w:tc>
          <w:tcPr>
            <w:tcW w:w="603" w:type="dxa"/>
            <w:noWrap w:val="0"/>
            <w:vAlign w:val="top"/>
          </w:tcPr>
          <w:p>
            <w:pPr>
              <w:spacing w:line="440" w:lineRule="exact"/>
              <w:jc w:val="center"/>
              <w:rPr>
                <w:color w:val="auto"/>
                <w:highlight w:val="none"/>
              </w:rPr>
            </w:pPr>
          </w:p>
        </w:tc>
        <w:tc>
          <w:tcPr>
            <w:tcW w:w="488"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c>
          <w:tcPr>
            <w:tcW w:w="709" w:type="dxa"/>
            <w:noWrap w:val="0"/>
            <w:vAlign w:val="top"/>
          </w:tcPr>
          <w:p>
            <w:pPr>
              <w:spacing w:line="440" w:lineRule="exact"/>
              <w:jc w:val="center"/>
              <w:rPr>
                <w:color w:val="auto"/>
                <w:highlight w:val="none"/>
              </w:rPr>
            </w:pPr>
          </w:p>
        </w:tc>
        <w:tc>
          <w:tcPr>
            <w:tcW w:w="871"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color w:val="auto"/>
                <w:highlight w:val="none"/>
              </w:rPr>
            </w:pPr>
          </w:p>
        </w:tc>
        <w:tc>
          <w:tcPr>
            <w:tcW w:w="1275" w:type="dxa"/>
            <w:noWrap w:val="0"/>
            <w:vAlign w:val="top"/>
          </w:tcPr>
          <w:p>
            <w:pPr>
              <w:spacing w:line="440" w:lineRule="exact"/>
              <w:jc w:val="center"/>
              <w:rPr>
                <w:color w:val="auto"/>
                <w:highlight w:val="none"/>
              </w:rPr>
            </w:pPr>
          </w:p>
        </w:tc>
        <w:tc>
          <w:tcPr>
            <w:tcW w:w="992" w:type="dxa"/>
            <w:noWrap w:val="0"/>
            <w:vAlign w:val="top"/>
          </w:tcPr>
          <w:p>
            <w:pPr>
              <w:spacing w:line="440" w:lineRule="exact"/>
              <w:jc w:val="center"/>
              <w:rPr>
                <w:color w:val="auto"/>
                <w:highlight w:val="none"/>
              </w:rPr>
            </w:pPr>
          </w:p>
        </w:tc>
        <w:tc>
          <w:tcPr>
            <w:tcW w:w="603" w:type="dxa"/>
            <w:noWrap w:val="0"/>
            <w:vAlign w:val="top"/>
          </w:tcPr>
          <w:p>
            <w:pPr>
              <w:spacing w:line="440" w:lineRule="exact"/>
              <w:jc w:val="center"/>
              <w:rPr>
                <w:color w:val="auto"/>
                <w:highlight w:val="none"/>
              </w:rPr>
            </w:pPr>
          </w:p>
        </w:tc>
        <w:tc>
          <w:tcPr>
            <w:tcW w:w="488"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c>
          <w:tcPr>
            <w:tcW w:w="709" w:type="dxa"/>
            <w:noWrap w:val="0"/>
            <w:vAlign w:val="top"/>
          </w:tcPr>
          <w:p>
            <w:pPr>
              <w:spacing w:line="440" w:lineRule="exact"/>
              <w:jc w:val="center"/>
              <w:rPr>
                <w:color w:val="auto"/>
                <w:highlight w:val="none"/>
              </w:rPr>
            </w:pPr>
          </w:p>
        </w:tc>
        <w:tc>
          <w:tcPr>
            <w:tcW w:w="871"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top"/>
          </w:tcPr>
          <w:p>
            <w:pPr>
              <w:spacing w:line="440" w:lineRule="exact"/>
              <w:jc w:val="center"/>
              <w:rPr>
                <w:color w:val="auto"/>
                <w:highlight w:val="none"/>
              </w:rPr>
            </w:pPr>
          </w:p>
        </w:tc>
        <w:tc>
          <w:tcPr>
            <w:tcW w:w="1275" w:type="dxa"/>
            <w:noWrap w:val="0"/>
            <w:vAlign w:val="top"/>
          </w:tcPr>
          <w:p>
            <w:pPr>
              <w:spacing w:line="440" w:lineRule="exact"/>
              <w:jc w:val="center"/>
              <w:rPr>
                <w:color w:val="auto"/>
                <w:highlight w:val="none"/>
              </w:rPr>
            </w:pPr>
          </w:p>
        </w:tc>
        <w:tc>
          <w:tcPr>
            <w:tcW w:w="992" w:type="dxa"/>
            <w:noWrap w:val="0"/>
            <w:vAlign w:val="top"/>
          </w:tcPr>
          <w:p>
            <w:pPr>
              <w:spacing w:line="440" w:lineRule="exact"/>
              <w:jc w:val="center"/>
              <w:rPr>
                <w:color w:val="auto"/>
                <w:highlight w:val="none"/>
              </w:rPr>
            </w:pPr>
          </w:p>
        </w:tc>
        <w:tc>
          <w:tcPr>
            <w:tcW w:w="603" w:type="dxa"/>
            <w:noWrap w:val="0"/>
            <w:vAlign w:val="top"/>
          </w:tcPr>
          <w:p>
            <w:pPr>
              <w:spacing w:line="440" w:lineRule="exact"/>
              <w:jc w:val="center"/>
              <w:rPr>
                <w:color w:val="auto"/>
                <w:highlight w:val="none"/>
              </w:rPr>
            </w:pPr>
          </w:p>
        </w:tc>
        <w:tc>
          <w:tcPr>
            <w:tcW w:w="488"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c>
          <w:tcPr>
            <w:tcW w:w="709" w:type="dxa"/>
            <w:noWrap w:val="0"/>
            <w:vAlign w:val="top"/>
          </w:tcPr>
          <w:p>
            <w:pPr>
              <w:spacing w:line="440" w:lineRule="exact"/>
              <w:jc w:val="center"/>
              <w:rPr>
                <w:color w:val="auto"/>
                <w:highlight w:val="none"/>
              </w:rPr>
            </w:pPr>
          </w:p>
        </w:tc>
        <w:tc>
          <w:tcPr>
            <w:tcW w:w="871" w:type="dxa"/>
            <w:noWrap w:val="0"/>
            <w:vAlign w:val="top"/>
          </w:tcPr>
          <w:p>
            <w:pPr>
              <w:spacing w:line="440" w:lineRule="exact"/>
              <w:jc w:val="center"/>
              <w:rPr>
                <w:color w:val="auto"/>
                <w:highlight w:val="none"/>
              </w:rPr>
            </w:pPr>
          </w:p>
        </w:tc>
        <w:tc>
          <w:tcPr>
            <w:tcW w:w="1134" w:type="dxa"/>
            <w:noWrap w:val="0"/>
            <w:vAlign w:val="top"/>
          </w:tcPr>
          <w:p>
            <w:pPr>
              <w:spacing w:line="440" w:lineRule="exact"/>
              <w:jc w:val="center"/>
              <w:rPr>
                <w:color w:val="auto"/>
                <w:highlight w:val="none"/>
              </w:rPr>
            </w:pPr>
          </w:p>
        </w:tc>
      </w:tr>
    </w:tbl>
    <w:p>
      <w:pPr>
        <w:spacing w:line="440" w:lineRule="exact"/>
        <w:rPr>
          <w:color w:val="auto"/>
          <w:highlight w:val="none"/>
        </w:rPr>
      </w:pPr>
      <w:r>
        <w:rPr>
          <w:color w:val="auto"/>
          <w:highlight w:val="none"/>
        </w:rPr>
        <w:br w:type="page"/>
      </w:r>
    </w:p>
    <w:p>
      <w:pPr>
        <w:pStyle w:val="6"/>
        <w:rPr>
          <w:b w:val="0"/>
          <w:bCs w:val="0"/>
          <w:color w:val="auto"/>
          <w:highlight w:val="none"/>
        </w:rPr>
      </w:pPr>
      <w:r>
        <w:rPr>
          <w:rFonts w:hint="eastAsia"/>
          <w:b w:val="0"/>
          <w:bCs w:val="0"/>
          <w:color w:val="auto"/>
          <w:highlight w:val="none"/>
        </w:rPr>
        <w:t>（八）主要人员简历表（项目负责人）</w:t>
      </w:r>
    </w:p>
    <w:p>
      <w:pPr>
        <w:topLinePunct/>
        <w:spacing w:line="440" w:lineRule="exact"/>
        <w:jc w:val="center"/>
        <w:rPr>
          <w:color w:val="auto"/>
          <w:sz w:val="23"/>
          <w:highlight w:val="none"/>
        </w:rPr>
      </w:pPr>
      <w:r>
        <w:rPr>
          <w:rFonts w:hint="eastAsia"/>
          <w:color w:val="auto"/>
          <w:highlight w:val="none"/>
        </w:rPr>
        <w:t xml:space="preserve"> </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357"/>
        <w:gridCol w:w="691"/>
        <w:gridCol w:w="958"/>
        <w:gridCol w:w="1065"/>
        <w:gridCol w:w="706"/>
        <w:gridCol w:w="1261"/>
        <w:gridCol w:w="401"/>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187" w:type="dxa"/>
            <w:noWrap w:val="0"/>
            <w:vAlign w:val="center"/>
          </w:tcPr>
          <w:p>
            <w:pPr>
              <w:spacing w:line="440" w:lineRule="exact"/>
              <w:jc w:val="center"/>
              <w:rPr>
                <w:color w:val="auto"/>
                <w:highlight w:val="none"/>
              </w:rPr>
            </w:pPr>
            <w:r>
              <w:rPr>
                <w:rFonts w:hint="eastAsia"/>
                <w:color w:val="auto"/>
                <w:highlight w:val="none"/>
              </w:rPr>
              <w:t>姓</w:t>
            </w:r>
            <w:r>
              <w:rPr>
                <w:color w:val="auto"/>
                <w:highlight w:val="none"/>
              </w:rPr>
              <w:t xml:space="preserve">  </w:t>
            </w:r>
            <w:r>
              <w:rPr>
                <w:rFonts w:hint="eastAsia"/>
                <w:color w:val="auto"/>
                <w:highlight w:val="none"/>
              </w:rPr>
              <w:t>名</w:t>
            </w:r>
          </w:p>
        </w:tc>
        <w:tc>
          <w:tcPr>
            <w:tcW w:w="1048" w:type="dxa"/>
            <w:gridSpan w:val="2"/>
            <w:noWrap w:val="0"/>
            <w:vAlign w:val="center"/>
          </w:tcPr>
          <w:p>
            <w:pPr>
              <w:spacing w:line="440" w:lineRule="exact"/>
              <w:jc w:val="center"/>
              <w:rPr>
                <w:color w:val="auto"/>
                <w:highlight w:val="none"/>
              </w:rPr>
            </w:pPr>
          </w:p>
        </w:tc>
        <w:tc>
          <w:tcPr>
            <w:tcW w:w="958" w:type="dxa"/>
            <w:noWrap w:val="0"/>
            <w:vAlign w:val="center"/>
          </w:tcPr>
          <w:p>
            <w:pPr>
              <w:spacing w:line="440" w:lineRule="exact"/>
              <w:jc w:val="center"/>
              <w:rPr>
                <w:color w:val="auto"/>
                <w:highlight w:val="none"/>
              </w:rPr>
            </w:pPr>
            <w:r>
              <w:rPr>
                <w:rFonts w:hint="eastAsia"/>
                <w:color w:val="auto"/>
                <w:highlight w:val="none"/>
              </w:rPr>
              <w:t>年龄</w:t>
            </w:r>
          </w:p>
        </w:tc>
        <w:tc>
          <w:tcPr>
            <w:tcW w:w="1065" w:type="dxa"/>
            <w:noWrap w:val="0"/>
            <w:vAlign w:val="center"/>
          </w:tcPr>
          <w:p>
            <w:pPr>
              <w:spacing w:line="440" w:lineRule="exact"/>
              <w:jc w:val="center"/>
              <w:rPr>
                <w:color w:val="auto"/>
                <w:highlight w:val="none"/>
              </w:rPr>
            </w:pPr>
          </w:p>
        </w:tc>
        <w:tc>
          <w:tcPr>
            <w:tcW w:w="2368" w:type="dxa"/>
            <w:gridSpan w:val="3"/>
            <w:noWrap w:val="0"/>
            <w:vAlign w:val="center"/>
          </w:tcPr>
          <w:p>
            <w:pPr>
              <w:spacing w:line="440" w:lineRule="exact"/>
              <w:jc w:val="center"/>
              <w:rPr>
                <w:color w:val="auto"/>
                <w:highlight w:val="none"/>
              </w:rPr>
            </w:pPr>
            <w:r>
              <w:rPr>
                <w:rFonts w:hint="eastAsia"/>
                <w:color w:val="auto"/>
                <w:highlight w:val="none"/>
              </w:rPr>
              <w:t>执业资格证书（或上岗证书）名称</w:t>
            </w:r>
          </w:p>
        </w:tc>
        <w:tc>
          <w:tcPr>
            <w:tcW w:w="1896" w:type="dxa"/>
            <w:noWrap w:val="0"/>
            <w:vAlign w:val="center"/>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187" w:type="dxa"/>
            <w:noWrap w:val="0"/>
            <w:vAlign w:val="center"/>
          </w:tcPr>
          <w:p>
            <w:pPr>
              <w:spacing w:line="440" w:lineRule="exact"/>
              <w:jc w:val="center"/>
              <w:rPr>
                <w:color w:val="auto"/>
                <w:highlight w:val="none"/>
              </w:rPr>
            </w:pPr>
            <w:r>
              <w:rPr>
                <w:rFonts w:hint="eastAsia"/>
                <w:color w:val="auto"/>
                <w:highlight w:val="none"/>
              </w:rPr>
              <w:t>职</w:t>
            </w:r>
            <w:r>
              <w:rPr>
                <w:color w:val="auto"/>
                <w:highlight w:val="none"/>
              </w:rPr>
              <w:t xml:space="preserve">  </w:t>
            </w:r>
            <w:r>
              <w:rPr>
                <w:rFonts w:hint="eastAsia"/>
                <w:color w:val="auto"/>
                <w:highlight w:val="none"/>
              </w:rPr>
              <w:t>称</w:t>
            </w:r>
          </w:p>
        </w:tc>
        <w:tc>
          <w:tcPr>
            <w:tcW w:w="1048" w:type="dxa"/>
            <w:gridSpan w:val="2"/>
            <w:noWrap w:val="0"/>
            <w:vAlign w:val="center"/>
          </w:tcPr>
          <w:p>
            <w:pPr>
              <w:spacing w:line="440" w:lineRule="exact"/>
              <w:jc w:val="center"/>
              <w:rPr>
                <w:color w:val="auto"/>
                <w:highlight w:val="none"/>
              </w:rPr>
            </w:pPr>
          </w:p>
        </w:tc>
        <w:tc>
          <w:tcPr>
            <w:tcW w:w="958" w:type="dxa"/>
            <w:noWrap w:val="0"/>
            <w:vAlign w:val="center"/>
          </w:tcPr>
          <w:p>
            <w:pPr>
              <w:spacing w:before="100" w:beforeAutospacing="1" w:after="100" w:afterAutospacing="1" w:line="440" w:lineRule="exact"/>
              <w:jc w:val="center"/>
              <w:rPr>
                <w:color w:val="auto"/>
                <w:highlight w:val="none"/>
              </w:rPr>
            </w:pPr>
            <w:r>
              <w:rPr>
                <w:rFonts w:hint="eastAsia"/>
                <w:color w:val="auto"/>
                <w:highlight w:val="none"/>
              </w:rPr>
              <w:t>学历</w:t>
            </w:r>
          </w:p>
        </w:tc>
        <w:tc>
          <w:tcPr>
            <w:tcW w:w="1065" w:type="dxa"/>
            <w:noWrap w:val="0"/>
            <w:vAlign w:val="center"/>
          </w:tcPr>
          <w:p>
            <w:pPr>
              <w:spacing w:line="440" w:lineRule="exact"/>
              <w:jc w:val="center"/>
              <w:rPr>
                <w:color w:val="auto"/>
                <w:highlight w:val="none"/>
              </w:rPr>
            </w:pPr>
          </w:p>
        </w:tc>
        <w:tc>
          <w:tcPr>
            <w:tcW w:w="2368" w:type="dxa"/>
            <w:gridSpan w:val="3"/>
            <w:noWrap w:val="0"/>
            <w:vAlign w:val="center"/>
          </w:tcPr>
          <w:p>
            <w:pPr>
              <w:spacing w:before="100" w:beforeAutospacing="1" w:after="100" w:afterAutospacing="1" w:line="440" w:lineRule="exact"/>
              <w:jc w:val="center"/>
              <w:rPr>
                <w:color w:val="auto"/>
                <w:highlight w:val="none"/>
              </w:rPr>
            </w:pPr>
            <w:r>
              <w:rPr>
                <w:rFonts w:hint="eastAsia"/>
                <w:color w:val="auto"/>
                <w:highlight w:val="none"/>
              </w:rPr>
              <w:t>拟在本项目任职</w:t>
            </w:r>
          </w:p>
        </w:tc>
        <w:tc>
          <w:tcPr>
            <w:tcW w:w="1896" w:type="dxa"/>
            <w:noWrap w:val="0"/>
            <w:vAlign w:val="center"/>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187" w:type="dxa"/>
            <w:noWrap w:val="0"/>
            <w:vAlign w:val="center"/>
          </w:tcPr>
          <w:p>
            <w:pPr>
              <w:spacing w:before="100" w:beforeAutospacing="1" w:after="100" w:afterAutospacing="1" w:line="440" w:lineRule="exact"/>
              <w:jc w:val="center"/>
              <w:rPr>
                <w:color w:val="auto"/>
                <w:highlight w:val="none"/>
              </w:rPr>
            </w:pPr>
            <w:r>
              <w:rPr>
                <w:rFonts w:hint="eastAsia"/>
                <w:color w:val="auto"/>
                <w:highlight w:val="none"/>
              </w:rPr>
              <w:t>工作年限</w:t>
            </w:r>
          </w:p>
        </w:tc>
        <w:tc>
          <w:tcPr>
            <w:tcW w:w="3071" w:type="dxa"/>
            <w:gridSpan w:val="4"/>
            <w:noWrap w:val="0"/>
            <w:vAlign w:val="center"/>
          </w:tcPr>
          <w:p>
            <w:pPr>
              <w:spacing w:line="440" w:lineRule="exact"/>
              <w:jc w:val="center"/>
              <w:rPr>
                <w:color w:val="auto"/>
                <w:highlight w:val="none"/>
              </w:rPr>
            </w:pPr>
          </w:p>
        </w:tc>
        <w:tc>
          <w:tcPr>
            <w:tcW w:w="2368" w:type="dxa"/>
            <w:gridSpan w:val="3"/>
            <w:noWrap w:val="0"/>
            <w:vAlign w:val="center"/>
          </w:tcPr>
          <w:p>
            <w:pPr>
              <w:spacing w:before="100" w:beforeAutospacing="1" w:after="100" w:afterAutospacing="1" w:line="440" w:lineRule="exact"/>
              <w:jc w:val="center"/>
              <w:rPr>
                <w:color w:val="auto"/>
                <w:highlight w:val="none"/>
              </w:rPr>
            </w:pPr>
            <w:r>
              <w:rPr>
                <w:rFonts w:hint="eastAsia"/>
                <w:color w:val="auto"/>
                <w:highlight w:val="none"/>
              </w:rPr>
              <w:t>从事勘察设计工作年限</w:t>
            </w:r>
          </w:p>
        </w:tc>
        <w:tc>
          <w:tcPr>
            <w:tcW w:w="1896" w:type="dxa"/>
            <w:noWrap w:val="0"/>
            <w:vAlign w:val="center"/>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187" w:type="dxa"/>
            <w:noWrap w:val="0"/>
            <w:vAlign w:val="center"/>
          </w:tcPr>
          <w:p>
            <w:pPr>
              <w:spacing w:before="100" w:beforeAutospacing="1" w:after="100" w:afterAutospacing="1" w:line="440" w:lineRule="exact"/>
              <w:jc w:val="center"/>
              <w:rPr>
                <w:color w:val="auto"/>
                <w:highlight w:val="none"/>
              </w:rPr>
            </w:pPr>
            <w:r>
              <w:rPr>
                <w:rFonts w:hint="eastAsia"/>
                <w:color w:val="auto"/>
                <w:highlight w:val="none"/>
              </w:rPr>
              <w:t>毕业学校</w:t>
            </w:r>
          </w:p>
        </w:tc>
        <w:tc>
          <w:tcPr>
            <w:tcW w:w="7335" w:type="dxa"/>
            <w:gridSpan w:val="8"/>
            <w:noWrap w:val="0"/>
            <w:vAlign w:val="center"/>
          </w:tcPr>
          <w:p>
            <w:pPr>
              <w:spacing w:before="100" w:beforeAutospacing="1" w:after="100" w:afterAutospacing="1" w:line="440" w:lineRule="exact"/>
              <w:ind w:firstLine="1155" w:firstLineChars="550"/>
              <w:rPr>
                <w:color w:val="auto"/>
                <w:highlight w:val="none"/>
              </w:rPr>
            </w:pPr>
            <w:r>
              <w:rPr>
                <w:rFonts w:hint="eastAsia"/>
                <w:color w:val="auto"/>
                <w:highlight w:val="none"/>
              </w:rPr>
              <w:t>年毕业于</w:t>
            </w:r>
            <w:r>
              <w:rPr>
                <w:color w:val="auto"/>
                <w:highlight w:val="none"/>
              </w:rPr>
              <w:t xml:space="preserve">            </w:t>
            </w:r>
            <w:r>
              <w:rPr>
                <w:rFonts w:hint="eastAsia"/>
                <w:color w:val="auto"/>
                <w:highlight w:val="none"/>
              </w:rPr>
              <w:t>学校</w:t>
            </w:r>
            <w:r>
              <w:rPr>
                <w:color w:val="auto"/>
                <w:highlight w:val="none"/>
              </w:rPr>
              <w:t xml:space="preserve">        </w:t>
            </w:r>
            <w:r>
              <w:rPr>
                <w:rFonts w:hint="eastAsia"/>
                <w:color w:val="auto"/>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522" w:type="dxa"/>
            <w:gridSpan w:val="9"/>
            <w:noWrap w:val="0"/>
            <w:vAlign w:val="center"/>
          </w:tcPr>
          <w:p>
            <w:pPr>
              <w:spacing w:before="100" w:beforeAutospacing="1" w:after="100" w:afterAutospacing="1" w:line="440" w:lineRule="exact"/>
              <w:jc w:val="left"/>
              <w:rPr>
                <w:color w:val="auto"/>
                <w:highlight w:val="none"/>
              </w:rPr>
            </w:pPr>
            <w:r>
              <w:rPr>
                <w:rFonts w:hint="eastAsia"/>
                <w:color w:val="auto"/>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544" w:type="dxa"/>
            <w:gridSpan w:val="2"/>
            <w:noWrap w:val="0"/>
            <w:vAlign w:val="center"/>
          </w:tcPr>
          <w:p>
            <w:pPr>
              <w:spacing w:before="100" w:beforeAutospacing="1" w:after="100" w:afterAutospacing="1" w:line="440" w:lineRule="exact"/>
              <w:jc w:val="center"/>
              <w:rPr>
                <w:color w:val="auto"/>
                <w:highlight w:val="none"/>
              </w:rPr>
            </w:pPr>
            <w:r>
              <w:rPr>
                <w:rFonts w:hint="eastAsia"/>
                <w:color w:val="auto"/>
                <w:highlight w:val="none"/>
              </w:rPr>
              <w:t>时</w:t>
            </w:r>
            <w:r>
              <w:rPr>
                <w:color w:val="auto"/>
                <w:highlight w:val="none"/>
              </w:rPr>
              <w:t xml:space="preserve">  </w:t>
            </w:r>
            <w:r>
              <w:rPr>
                <w:rFonts w:hint="eastAsia"/>
                <w:color w:val="auto"/>
                <w:highlight w:val="none"/>
              </w:rPr>
              <w:t>间</w:t>
            </w:r>
          </w:p>
        </w:tc>
        <w:tc>
          <w:tcPr>
            <w:tcW w:w="3420" w:type="dxa"/>
            <w:gridSpan w:val="4"/>
            <w:noWrap w:val="0"/>
            <w:vAlign w:val="center"/>
          </w:tcPr>
          <w:p>
            <w:pPr>
              <w:spacing w:before="100" w:beforeAutospacing="1" w:after="100" w:afterAutospacing="1" w:line="440" w:lineRule="exact"/>
              <w:jc w:val="center"/>
              <w:rPr>
                <w:color w:val="auto"/>
                <w:highlight w:val="none"/>
              </w:rPr>
            </w:pPr>
            <w:r>
              <w:rPr>
                <w:rFonts w:hint="eastAsia"/>
                <w:color w:val="auto"/>
                <w:highlight w:val="none"/>
              </w:rPr>
              <w:t>管理过的类似项目</w:t>
            </w:r>
          </w:p>
        </w:tc>
        <w:tc>
          <w:tcPr>
            <w:tcW w:w="1261" w:type="dxa"/>
            <w:noWrap w:val="0"/>
            <w:vAlign w:val="center"/>
          </w:tcPr>
          <w:p>
            <w:pPr>
              <w:spacing w:before="100" w:beforeAutospacing="1" w:after="100" w:afterAutospacing="1" w:line="440" w:lineRule="exact"/>
              <w:jc w:val="center"/>
              <w:rPr>
                <w:color w:val="auto"/>
                <w:highlight w:val="none"/>
              </w:rPr>
            </w:pPr>
            <w:r>
              <w:rPr>
                <w:rFonts w:hint="eastAsia"/>
                <w:color w:val="auto"/>
                <w:highlight w:val="none"/>
              </w:rPr>
              <w:t>担任职务</w:t>
            </w:r>
          </w:p>
        </w:tc>
        <w:tc>
          <w:tcPr>
            <w:tcW w:w="2297" w:type="dxa"/>
            <w:gridSpan w:val="2"/>
            <w:noWrap w:val="0"/>
            <w:vAlign w:val="center"/>
          </w:tcPr>
          <w:p>
            <w:pPr>
              <w:spacing w:before="100" w:beforeAutospacing="1" w:after="100" w:afterAutospacing="1" w:line="440" w:lineRule="exact"/>
              <w:jc w:val="center"/>
              <w:rPr>
                <w:color w:val="auto"/>
                <w:highlight w:val="none"/>
              </w:rPr>
            </w:pPr>
            <w:r>
              <w:rPr>
                <w:rFonts w:hint="eastAsia"/>
                <w:color w:val="auto"/>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top"/>
          </w:tcPr>
          <w:p>
            <w:pPr>
              <w:spacing w:line="440" w:lineRule="exact"/>
              <w:rPr>
                <w:color w:val="auto"/>
                <w:highlight w:val="none"/>
              </w:rPr>
            </w:pPr>
          </w:p>
        </w:tc>
        <w:tc>
          <w:tcPr>
            <w:tcW w:w="3420" w:type="dxa"/>
            <w:gridSpan w:val="4"/>
            <w:noWrap w:val="0"/>
            <w:vAlign w:val="top"/>
          </w:tcPr>
          <w:p>
            <w:pPr>
              <w:spacing w:line="440" w:lineRule="exact"/>
              <w:rPr>
                <w:color w:val="auto"/>
                <w:highlight w:val="none"/>
              </w:rPr>
            </w:pPr>
          </w:p>
        </w:tc>
        <w:tc>
          <w:tcPr>
            <w:tcW w:w="1261" w:type="dxa"/>
            <w:noWrap w:val="0"/>
            <w:vAlign w:val="top"/>
          </w:tcPr>
          <w:p>
            <w:pPr>
              <w:spacing w:line="440" w:lineRule="exact"/>
              <w:rPr>
                <w:color w:val="auto"/>
                <w:highlight w:val="none"/>
              </w:rPr>
            </w:pPr>
          </w:p>
        </w:tc>
        <w:tc>
          <w:tcPr>
            <w:tcW w:w="2297" w:type="dxa"/>
            <w:gridSpan w:val="2"/>
            <w:noWrap w:val="0"/>
            <w:vAlign w:val="top"/>
          </w:tcPr>
          <w:p>
            <w:pPr>
              <w:spacing w:line="44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top"/>
          </w:tcPr>
          <w:p>
            <w:pPr>
              <w:spacing w:line="440" w:lineRule="exact"/>
              <w:rPr>
                <w:color w:val="auto"/>
                <w:highlight w:val="none"/>
              </w:rPr>
            </w:pPr>
          </w:p>
        </w:tc>
        <w:tc>
          <w:tcPr>
            <w:tcW w:w="3420" w:type="dxa"/>
            <w:gridSpan w:val="4"/>
            <w:noWrap w:val="0"/>
            <w:vAlign w:val="top"/>
          </w:tcPr>
          <w:p>
            <w:pPr>
              <w:spacing w:line="440" w:lineRule="exact"/>
              <w:rPr>
                <w:color w:val="auto"/>
                <w:highlight w:val="none"/>
              </w:rPr>
            </w:pPr>
          </w:p>
        </w:tc>
        <w:tc>
          <w:tcPr>
            <w:tcW w:w="1261" w:type="dxa"/>
            <w:noWrap w:val="0"/>
            <w:vAlign w:val="top"/>
          </w:tcPr>
          <w:p>
            <w:pPr>
              <w:spacing w:line="440" w:lineRule="exact"/>
              <w:rPr>
                <w:color w:val="auto"/>
                <w:highlight w:val="none"/>
              </w:rPr>
            </w:pPr>
          </w:p>
        </w:tc>
        <w:tc>
          <w:tcPr>
            <w:tcW w:w="2297" w:type="dxa"/>
            <w:gridSpan w:val="2"/>
            <w:noWrap w:val="0"/>
            <w:vAlign w:val="top"/>
          </w:tcPr>
          <w:p>
            <w:pPr>
              <w:spacing w:line="44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top"/>
          </w:tcPr>
          <w:p>
            <w:pPr>
              <w:spacing w:line="440" w:lineRule="exact"/>
              <w:rPr>
                <w:color w:val="auto"/>
                <w:highlight w:val="none"/>
              </w:rPr>
            </w:pPr>
          </w:p>
        </w:tc>
        <w:tc>
          <w:tcPr>
            <w:tcW w:w="3420" w:type="dxa"/>
            <w:gridSpan w:val="4"/>
            <w:noWrap w:val="0"/>
            <w:vAlign w:val="top"/>
          </w:tcPr>
          <w:p>
            <w:pPr>
              <w:spacing w:line="440" w:lineRule="exact"/>
              <w:rPr>
                <w:color w:val="auto"/>
                <w:highlight w:val="none"/>
              </w:rPr>
            </w:pPr>
          </w:p>
        </w:tc>
        <w:tc>
          <w:tcPr>
            <w:tcW w:w="1261" w:type="dxa"/>
            <w:noWrap w:val="0"/>
            <w:vAlign w:val="top"/>
          </w:tcPr>
          <w:p>
            <w:pPr>
              <w:spacing w:line="440" w:lineRule="exact"/>
              <w:rPr>
                <w:color w:val="auto"/>
                <w:highlight w:val="none"/>
              </w:rPr>
            </w:pPr>
          </w:p>
        </w:tc>
        <w:tc>
          <w:tcPr>
            <w:tcW w:w="2297" w:type="dxa"/>
            <w:gridSpan w:val="2"/>
            <w:noWrap w:val="0"/>
            <w:vAlign w:val="top"/>
          </w:tcPr>
          <w:p>
            <w:pPr>
              <w:spacing w:line="44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center"/>
          </w:tcPr>
          <w:p>
            <w:pPr>
              <w:spacing w:line="440" w:lineRule="exact"/>
              <w:rPr>
                <w:color w:val="auto"/>
                <w:highlight w:val="none"/>
              </w:rPr>
            </w:pPr>
          </w:p>
        </w:tc>
        <w:tc>
          <w:tcPr>
            <w:tcW w:w="3420" w:type="dxa"/>
            <w:gridSpan w:val="4"/>
            <w:noWrap w:val="0"/>
            <w:vAlign w:val="center"/>
          </w:tcPr>
          <w:p>
            <w:pPr>
              <w:spacing w:line="440" w:lineRule="exact"/>
              <w:rPr>
                <w:color w:val="auto"/>
                <w:highlight w:val="none"/>
              </w:rPr>
            </w:pPr>
          </w:p>
        </w:tc>
        <w:tc>
          <w:tcPr>
            <w:tcW w:w="1261" w:type="dxa"/>
            <w:noWrap w:val="0"/>
            <w:vAlign w:val="center"/>
          </w:tcPr>
          <w:p>
            <w:pPr>
              <w:spacing w:line="440" w:lineRule="exact"/>
              <w:rPr>
                <w:color w:val="auto"/>
                <w:highlight w:val="none"/>
              </w:rPr>
            </w:pPr>
          </w:p>
        </w:tc>
        <w:tc>
          <w:tcPr>
            <w:tcW w:w="2297" w:type="dxa"/>
            <w:gridSpan w:val="2"/>
            <w:noWrap w:val="0"/>
            <w:vAlign w:val="center"/>
          </w:tcPr>
          <w:p>
            <w:pPr>
              <w:spacing w:line="44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center"/>
          </w:tcPr>
          <w:p>
            <w:pPr>
              <w:spacing w:line="440" w:lineRule="exact"/>
              <w:rPr>
                <w:color w:val="auto"/>
                <w:highlight w:val="none"/>
              </w:rPr>
            </w:pPr>
          </w:p>
        </w:tc>
        <w:tc>
          <w:tcPr>
            <w:tcW w:w="3420" w:type="dxa"/>
            <w:gridSpan w:val="4"/>
            <w:noWrap w:val="0"/>
            <w:vAlign w:val="center"/>
          </w:tcPr>
          <w:p>
            <w:pPr>
              <w:spacing w:line="440" w:lineRule="exact"/>
              <w:rPr>
                <w:color w:val="auto"/>
                <w:highlight w:val="none"/>
              </w:rPr>
            </w:pPr>
          </w:p>
        </w:tc>
        <w:tc>
          <w:tcPr>
            <w:tcW w:w="1261" w:type="dxa"/>
            <w:noWrap w:val="0"/>
            <w:vAlign w:val="center"/>
          </w:tcPr>
          <w:p>
            <w:pPr>
              <w:spacing w:line="440" w:lineRule="exact"/>
              <w:rPr>
                <w:color w:val="auto"/>
                <w:highlight w:val="none"/>
              </w:rPr>
            </w:pPr>
          </w:p>
        </w:tc>
        <w:tc>
          <w:tcPr>
            <w:tcW w:w="2297" w:type="dxa"/>
            <w:gridSpan w:val="2"/>
            <w:noWrap w:val="0"/>
            <w:vAlign w:val="center"/>
          </w:tcPr>
          <w:p>
            <w:pPr>
              <w:spacing w:line="44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center"/>
          </w:tcPr>
          <w:p>
            <w:pPr>
              <w:spacing w:line="440" w:lineRule="exact"/>
              <w:rPr>
                <w:color w:val="auto"/>
                <w:highlight w:val="none"/>
              </w:rPr>
            </w:pPr>
          </w:p>
        </w:tc>
        <w:tc>
          <w:tcPr>
            <w:tcW w:w="3420" w:type="dxa"/>
            <w:gridSpan w:val="4"/>
            <w:noWrap w:val="0"/>
            <w:vAlign w:val="center"/>
          </w:tcPr>
          <w:p>
            <w:pPr>
              <w:spacing w:line="440" w:lineRule="exact"/>
              <w:rPr>
                <w:color w:val="auto"/>
                <w:highlight w:val="none"/>
              </w:rPr>
            </w:pPr>
          </w:p>
        </w:tc>
        <w:tc>
          <w:tcPr>
            <w:tcW w:w="1261" w:type="dxa"/>
            <w:noWrap w:val="0"/>
            <w:vAlign w:val="center"/>
          </w:tcPr>
          <w:p>
            <w:pPr>
              <w:spacing w:line="440" w:lineRule="exact"/>
              <w:rPr>
                <w:color w:val="auto"/>
                <w:highlight w:val="none"/>
              </w:rPr>
            </w:pPr>
          </w:p>
        </w:tc>
        <w:tc>
          <w:tcPr>
            <w:tcW w:w="2297" w:type="dxa"/>
            <w:gridSpan w:val="2"/>
            <w:noWrap w:val="0"/>
            <w:vAlign w:val="center"/>
          </w:tcPr>
          <w:p>
            <w:pPr>
              <w:spacing w:line="440" w:lineRule="exact"/>
              <w:rPr>
                <w:color w:val="auto"/>
                <w:highlight w:val="none"/>
              </w:rPr>
            </w:pPr>
          </w:p>
        </w:tc>
      </w:tr>
    </w:tbl>
    <w:p>
      <w:pPr>
        <w:spacing w:line="440" w:lineRule="exact"/>
        <w:rPr>
          <w:color w:val="auto"/>
          <w:highlight w:val="none"/>
        </w:rPr>
      </w:pPr>
      <w:r>
        <w:rPr>
          <w:color w:val="auto"/>
          <w:highlight w:val="none"/>
        </w:rPr>
        <w:t>注：</w:t>
      </w:r>
      <w:r>
        <w:rPr>
          <w:rFonts w:hint="eastAsia"/>
          <w:color w:val="auto"/>
          <w:highlight w:val="none"/>
        </w:rPr>
        <w:t>1、</w:t>
      </w:r>
      <w:r>
        <w:rPr>
          <w:color w:val="auto"/>
          <w:highlight w:val="none"/>
        </w:rPr>
        <w:t>投标人应根据投标人须知第3.5.</w:t>
      </w:r>
      <w:r>
        <w:rPr>
          <w:rFonts w:hint="eastAsia"/>
          <w:color w:val="auto"/>
          <w:highlight w:val="none"/>
        </w:rPr>
        <w:t>6</w:t>
      </w:r>
      <w:r>
        <w:rPr>
          <w:color w:val="auto"/>
          <w:highlight w:val="none"/>
        </w:rPr>
        <w:t>项的要求在本表后附相关证明材料。</w:t>
      </w:r>
    </w:p>
    <w:p>
      <w:pPr>
        <w:numPr>
          <w:ilvl w:val="0"/>
          <w:numId w:val="15"/>
        </w:numPr>
        <w:spacing w:line="440" w:lineRule="exact"/>
        <w:rPr>
          <w:color w:val="auto"/>
          <w:highlight w:val="none"/>
        </w:rPr>
      </w:pPr>
      <w:r>
        <w:rPr>
          <w:rFonts w:hint="eastAsia"/>
          <w:color w:val="auto"/>
          <w:highlight w:val="none"/>
        </w:rPr>
        <w:t>类似项目：与招标工程同电压等级或以上的输变电工程勘察设计项目。</w:t>
      </w:r>
    </w:p>
    <w:p>
      <w:pPr>
        <w:numPr>
          <w:ilvl w:val="0"/>
          <w:numId w:val="15"/>
        </w:numPr>
        <w:spacing w:line="440" w:lineRule="exact"/>
        <w:rPr>
          <w:color w:val="auto"/>
          <w:highlight w:val="none"/>
        </w:rPr>
      </w:pPr>
      <w:r>
        <w:rPr>
          <w:rFonts w:hint="eastAsia"/>
          <w:color w:val="auto"/>
          <w:highlight w:val="none"/>
        </w:rPr>
        <w:t>管理过的类似项目业绩须附合同协议书、竣工验收报告复印件，若竣工验收报告无项目负责人信息的，还应附经发包人（或项目建设单位）确认的项目负责人的任职证明材料等。</w:t>
      </w:r>
    </w:p>
    <w:p>
      <w:pPr>
        <w:spacing w:line="440" w:lineRule="exact"/>
        <w:rPr>
          <w:color w:val="auto"/>
          <w:highlight w:val="none"/>
        </w:rPr>
      </w:pPr>
      <w:r>
        <w:rPr>
          <w:color w:val="auto"/>
          <w:highlight w:val="none"/>
        </w:rPr>
        <w:br w:type="page"/>
      </w:r>
    </w:p>
    <w:p>
      <w:pPr>
        <w:pStyle w:val="6"/>
        <w:rPr>
          <w:b w:val="0"/>
          <w:bCs w:val="0"/>
          <w:color w:val="auto"/>
          <w:highlight w:val="none"/>
        </w:rPr>
      </w:pPr>
      <w:r>
        <w:rPr>
          <w:rFonts w:hint="eastAsia"/>
          <w:b w:val="0"/>
          <w:bCs w:val="0"/>
          <w:color w:val="auto"/>
          <w:highlight w:val="none"/>
        </w:rPr>
        <w:t>（九）主要人员简历表（其他主要人员）</w:t>
      </w:r>
    </w:p>
    <w:p>
      <w:pPr>
        <w:topLinePunct/>
        <w:spacing w:line="440" w:lineRule="exact"/>
        <w:jc w:val="center"/>
        <w:rPr>
          <w:color w:val="auto"/>
          <w:sz w:val="23"/>
          <w:highlight w:val="none"/>
        </w:rPr>
      </w:pPr>
      <w:r>
        <w:rPr>
          <w:rFonts w:hint="eastAsia"/>
          <w:color w:val="auto"/>
          <w:highlight w:val="none"/>
        </w:rPr>
        <w:t xml:space="preserve"> </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357"/>
        <w:gridCol w:w="691"/>
        <w:gridCol w:w="958"/>
        <w:gridCol w:w="1065"/>
        <w:gridCol w:w="706"/>
        <w:gridCol w:w="1261"/>
        <w:gridCol w:w="401"/>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187" w:type="dxa"/>
            <w:noWrap w:val="0"/>
            <w:vAlign w:val="center"/>
          </w:tcPr>
          <w:p>
            <w:pPr>
              <w:spacing w:line="440" w:lineRule="exact"/>
              <w:jc w:val="center"/>
              <w:rPr>
                <w:color w:val="auto"/>
                <w:highlight w:val="none"/>
              </w:rPr>
            </w:pPr>
            <w:r>
              <w:rPr>
                <w:rFonts w:hint="eastAsia"/>
                <w:color w:val="auto"/>
                <w:highlight w:val="none"/>
              </w:rPr>
              <w:t>姓</w:t>
            </w:r>
            <w:r>
              <w:rPr>
                <w:color w:val="auto"/>
                <w:highlight w:val="none"/>
              </w:rPr>
              <w:t xml:space="preserve">  </w:t>
            </w:r>
            <w:r>
              <w:rPr>
                <w:rFonts w:hint="eastAsia"/>
                <w:color w:val="auto"/>
                <w:highlight w:val="none"/>
              </w:rPr>
              <w:t>名</w:t>
            </w:r>
          </w:p>
        </w:tc>
        <w:tc>
          <w:tcPr>
            <w:tcW w:w="1048" w:type="dxa"/>
            <w:gridSpan w:val="2"/>
            <w:noWrap w:val="0"/>
            <w:vAlign w:val="center"/>
          </w:tcPr>
          <w:p>
            <w:pPr>
              <w:spacing w:line="440" w:lineRule="exact"/>
              <w:jc w:val="center"/>
              <w:rPr>
                <w:color w:val="auto"/>
                <w:highlight w:val="none"/>
              </w:rPr>
            </w:pPr>
          </w:p>
        </w:tc>
        <w:tc>
          <w:tcPr>
            <w:tcW w:w="958" w:type="dxa"/>
            <w:noWrap w:val="0"/>
            <w:vAlign w:val="center"/>
          </w:tcPr>
          <w:p>
            <w:pPr>
              <w:spacing w:line="440" w:lineRule="exact"/>
              <w:jc w:val="center"/>
              <w:rPr>
                <w:color w:val="auto"/>
                <w:highlight w:val="none"/>
              </w:rPr>
            </w:pPr>
            <w:r>
              <w:rPr>
                <w:rFonts w:hint="eastAsia"/>
                <w:color w:val="auto"/>
                <w:highlight w:val="none"/>
              </w:rPr>
              <w:t>年龄</w:t>
            </w:r>
          </w:p>
        </w:tc>
        <w:tc>
          <w:tcPr>
            <w:tcW w:w="1065" w:type="dxa"/>
            <w:noWrap w:val="0"/>
            <w:vAlign w:val="center"/>
          </w:tcPr>
          <w:p>
            <w:pPr>
              <w:spacing w:line="440" w:lineRule="exact"/>
              <w:jc w:val="center"/>
              <w:rPr>
                <w:color w:val="auto"/>
                <w:highlight w:val="none"/>
              </w:rPr>
            </w:pPr>
          </w:p>
        </w:tc>
        <w:tc>
          <w:tcPr>
            <w:tcW w:w="2368" w:type="dxa"/>
            <w:gridSpan w:val="3"/>
            <w:noWrap w:val="0"/>
            <w:vAlign w:val="center"/>
          </w:tcPr>
          <w:p>
            <w:pPr>
              <w:spacing w:line="440" w:lineRule="exact"/>
              <w:jc w:val="center"/>
              <w:rPr>
                <w:color w:val="auto"/>
                <w:highlight w:val="none"/>
              </w:rPr>
            </w:pPr>
            <w:r>
              <w:rPr>
                <w:rFonts w:hint="eastAsia"/>
                <w:color w:val="auto"/>
                <w:highlight w:val="none"/>
              </w:rPr>
              <w:t>执业资格证书（或上岗证书）名称</w:t>
            </w:r>
          </w:p>
        </w:tc>
        <w:tc>
          <w:tcPr>
            <w:tcW w:w="1896" w:type="dxa"/>
            <w:noWrap w:val="0"/>
            <w:vAlign w:val="center"/>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187" w:type="dxa"/>
            <w:noWrap w:val="0"/>
            <w:vAlign w:val="center"/>
          </w:tcPr>
          <w:p>
            <w:pPr>
              <w:spacing w:line="440" w:lineRule="exact"/>
              <w:jc w:val="center"/>
              <w:rPr>
                <w:color w:val="auto"/>
                <w:highlight w:val="none"/>
              </w:rPr>
            </w:pPr>
            <w:r>
              <w:rPr>
                <w:rFonts w:hint="eastAsia"/>
                <w:color w:val="auto"/>
                <w:highlight w:val="none"/>
              </w:rPr>
              <w:t>职</w:t>
            </w:r>
            <w:r>
              <w:rPr>
                <w:color w:val="auto"/>
                <w:highlight w:val="none"/>
              </w:rPr>
              <w:t xml:space="preserve">  </w:t>
            </w:r>
            <w:r>
              <w:rPr>
                <w:rFonts w:hint="eastAsia"/>
                <w:color w:val="auto"/>
                <w:highlight w:val="none"/>
              </w:rPr>
              <w:t>称</w:t>
            </w:r>
          </w:p>
        </w:tc>
        <w:tc>
          <w:tcPr>
            <w:tcW w:w="1048" w:type="dxa"/>
            <w:gridSpan w:val="2"/>
            <w:noWrap w:val="0"/>
            <w:vAlign w:val="center"/>
          </w:tcPr>
          <w:p>
            <w:pPr>
              <w:spacing w:line="440" w:lineRule="exact"/>
              <w:jc w:val="center"/>
              <w:rPr>
                <w:color w:val="auto"/>
                <w:highlight w:val="none"/>
              </w:rPr>
            </w:pPr>
          </w:p>
        </w:tc>
        <w:tc>
          <w:tcPr>
            <w:tcW w:w="958" w:type="dxa"/>
            <w:noWrap w:val="0"/>
            <w:vAlign w:val="center"/>
          </w:tcPr>
          <w:p>
            <w:pPr>
              <w:spacing w:before="100" w:beforeAutospacing="1" w:after="100" w:afterAutospacing="1" w:line="440" w:lineRule="exact"/>
              <w:jc w:val="center"/>
              <w:rPr>
                <w:color w:val="auto"/>
                <w:highlight w:val="none"/>
              </w:rPr>
            </w:pPr>
            <w:r>
              <w:rPr>
                <w:rFonts w:hint="eastAsia"/>
                <w:color w:val="auto"/>
                <w:highlight w:val="none"/>
              </w:rPr>
              <w:t>学历</w:t>
            </w:r>
          </w:p>
        </w:tc>
        <w:tc>
          <w:tcPr>
            <w:tcW w:w="1065" w:type="dxa"/>
            <w:noWrap w:val="0"/>
            <w:vAlign w:val="center"/>
          </w:tcPr>
          <w:p>
            <w:pPr>
              <w:spacing w:line="440" w:lineRule="exact"/>
              <w:jc w:val="center"/>
              <w:rPr>
                <w:color w:val="auto"/>
                <w:highlight w:val="none"/>
              </w:rPr>
            </w:pPr>
          </w:p>
        </w:tc>
        <w:tc>
          <w:tcPr>
            <w:tcW w:w="2368" w:type="dxa"/>
            <w:gridSpan w:val="3"/>
            <w:noWrap w:val="0"/>
            <w:vAlign w:val="center"/>
          </w:tcPr>
          <w:p>
            <w:pPr>
              <w:spacing w:before="100" w:beforeAutospacing="1" w:after="100" w:afterAutospacing="1" w:line="440" w:lineRule="exact"/>
              <w:jc w:val="center"/>
              <w:rPr>
                <w:color w:val="auto"/>
                <w:highlight w:val="none"/>
              </w:rPr>
            </w:pPr>
            <w:r>
              <w:rPr>
                <w:rFonts w:hint="eastAsia"/>
                <w:color w:val="auto"/>
                <w:highlight w:val="none"/>
              </w:rPr>
              <w:t>拟在本项目任职</w:t>
            </w:r>
          </w:p>
        </w:tc>
        <w:tc>
          <w:tcPr>
            <w:tcW w:w="1896" w:type="dxa"/>
            <w:noWrap w:val="0"/>
            <w:vAlign w:val="center"/>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187" w:type="dxa"/>
            <w:noWrap w:val="0"/>
            <w:vAlign w:val="center"/>
          </w:tcPr>
          <w:p>
            <w:pPr>
              <w:spacing w:before="100" w:beforeAutospacing="1" w:after="100" w:afterAutospacing="1" w:line="440" w:lineRule="exact"/>
              <w:jc w:val="center"/>
              <w:rPr>
                <w:color w:val="auto"/>
                <w:highlight w:val="none"/>
              </w:rPr>
            </w:pPr>
            <w:r>
              <w:rPr>
                <w:rFonts w:hint="eastAsia"/>
                <w:color w:val="auto"/>
                <w:highlight w:val="none"/>
              </w:rPr>
              <w:t>工作年限</w:t>
            </w:r>
          </w:p>
        </w:tc>
        <w:tc>
          <w:tcPr>
            <w:tcW w:w="3071" w:type="dxa"/>
            <w:gridSpan w:val="4"/>
            <w:noWrap w:val="0"/>
            <w:vAlign w:val="center"/>
          </w:tcPr>
          <w:p>
            <w:pPr>
              <w:spacing w:line="440" w:lineRule="exact"/>
              <w:jc w:val="center"/>
              <w:rPr>
                <w:color w:val="auto"/>
                <w:highlight w:val="none"/>
              </w:rPr>
            </w:pPr>
          </w:p>
        </w:tc>
        <w:tc>
          <w:tcPr>
            <w:tcW w:w="2368" w:type="dxa"/>
            <w:gridSpan w:val="3"/>
            <w:noWrap w:val="0"/>
            <w:vAlign w:val="center"/>
          </w:tcPr>
          <w:p>
            <w:pPr>
              <w:spacing w:before="100" w:beforeAutospacing="1" w:after="100" w:afterAutospacing="1" w:line="440" w:lineRule="exact"/>
              <w:jc w:val="center"/>
              <w:rPr>
                <w:color w:val="auto"/>
                <w:highlight w:val="none"/>
              </w:rPr>
            </w:pPr>
            <w:r>
              <w:rPr>
                <w:rFonts w:hint="eastAsia"/>
                <w:color w:val="auto"/>
                <w:highlight w:val="none"/>
              </w:rPr>
              <w:t>从事勘察设计工作年限</w:t>
            </w:r>
          </w:p>
        </w:tc>
        <w:tc>
          <w:tcPr>
            <w:tcW w:w="1896" w:type="dxa"/>
            <w:noWrap w:val="0"/>
            <w:vAlign w:val="center"/>
          </w:tcPr>
          <w:p>
            <w:pPr>
              <w:spacing w:line="44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187" w:type="dxa"/>
            <w:noWrap w:val="0"/>
            <w:vAlign w:val="center"/>
          </w:tcPr>
          <w:p>
            <w:pPr>
              <w:spacing w:before="100" w:beforeAutospacing="1" w:after="100" w:afterAutospacing="1" w:line="440" w:lineRule="exact"/>
              <w:jc w:val="center"/>
              <w:rPr>
                <w:color w:val="auto"/>
                <w:highlight w:val="none"/>
              </w:rPr>
            </w:pPr>
            <w:r>
              <w:rPr>
                <w:rFonts w:hint="eastAsia"/>
                <w:color w:val="auto"/>
                <w:highlight w:val="none"/>
              </w:rPr>
              <w:t>毕业学校</w:t>
            </w:r>
          </w:p>
        </w:tc>
        <w:tc>
          <w:tcPr>
            <w:tcW w:w="7335" w:type="dxa"/>
            <w:gridSpan w:val="8"/>
            <w:noWrap w:val="0"/>
            <w:vAlign w:val="center"/>
          </w:tcPr>
          <w:p>
            <w:pPr>
              <w:spacing w:before="100" w:beforeAutospacing="1" w:after="100" w:afterAutospacing="1" w:line="440" w:lineRule="exact"/>
              <w:ind w:firstLine="1155" w:firstLineChars="550"/>
              <w:rPr>
                <w:color w:val="auto"/>
                <w:highlight w:val="none"/>
              </w:rPr>
            </w:pPr>
            <w:r>
              <w:rPr>
                <w:rFonts w:hint="eastAsia"/>
                <w:color w:val="auto"/>
                <w:highlight w:val="none"/>
              </w:rPr>
              <w:t>年毕业于</w:t>
            </w:r>
            <w:r>
              <w:rPr>
                <w:color w:val="auto"/>
                <w:highlight w:val="none"/>
              </w:rPr>
              <w:t xml:space="preserve">            </w:t>
            </w:r>
            <w:r>
              <w:rPr>
                <w:rFonts w:hint="eastAsia"/>
                <w:color w:val="auto"/>
                <w:highlight w:val="none"/>
              </w:rPr>
              <w:t>学校</w:t>
            </w:r>
            <w:r>
              <w:rPr>
                <w:color w:val="auto"/>
                <w:highlight w:val="none"/>
              </w:rPr>
              <w:t xml:space="preserve">        </w:t>
            </w:r>
            <w:r>
              <w:rPr>
                <w:rFonts w:hint="eastAsia"/>
                <w:color w:val="auto"/>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522" w:type="dxa"/>
            <w:gridSpan w:val="9"/>
            <w:noWrap w:val="0"/>
            <w:vAlign w:val="center"/>
          </w:tcPr>
          <w:p>
            <w:pPr>
              <w:spacing w:before="100" w:beforeAutospacing="1" w:after="100" w:afterAutospacing="1" w:line="440" w:lineRule="exact"/>
              <w:jc w:val="left"/>
              <w:rPr>
                <w:color w:val="auto"/>
                <w:highlight w:val="none"/>
              </w:rPr>
            </w:pPr>
            <w:r>
              <w:rPr>
                <w:rFonts w:hint="eastAsia"/>
                <w:color w:val="auto"/>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1544" w:type="dxa"/>
            <w:gridSpan w:val="2"/>
            <w:noWrap w:val="0"/>
            <w:vAlign w:val="center"/>
          </w:tcPr>
          <w:p>
            <w:pPr>
              <w:spacing w:before="100" w:beforeAutospacing="1" w:after="100" w:afterAutospacing="1" w:line="440" w:lineRule="exact"/>
              <w:jc w:val="center"/>
              <w:rPr>
                <w:color w:val="auto"/>
                <w:highlight w:val="none"/>
              </w:rPr>
            </w:pPr>
            <w:r>
              <w:rPr>
                <w:rFonts w:hint="eastAsia"/>
                <w:color w:val="auto"/>
                <w:highlight w:val="none"/>
              </w:rPr>
              <w:t>时</w:t>
            </w:r>
            <w:r>
              <w:rPr>
                <w:color w:val="auto"/>
                <w:highlight w:val="none"/>
              </w:rPr>
              <w:t xml:space="preserve">  </w:t>
            </w:r>
            <w:r>
              <w:rPr>
                <w:rFonts w:hint="eastAsia"/>
                <w:color w:val="auto"/>
                <w:highlight w:val="none"/>
              </w:rPr>
              <w:t>间</w:t>
            </w:r>
          </w:p>
        </w:tc>
        <w:tc>
          <w:tcPr>
            <w:tcW w:w="3420" w:type="dxa"/>
            <w:gridSpan w:val="4"/>
            <w:noWrap w:val="0"/>
            <w:vAlign w:val="center"/>
          </w:tcPr>
          <w:p>
            <w:pPr>
              <w:spacing w:before="100" w:beforeAutospacing="1" w:after="100" w:afterAutospacing="1" w:line="440" w:lineRule="exact"/>
              <w:jc w:val="center"/>
              <w:rPr>
                <w:color w:val="auto"/>
                <w:highlight w:val="none"/>
              </w:rPr>
            </w:pPr>
            <w:r>
              <w:rPr>
                <w:rFonts w:hint="eastAsia"/>
                <w:color w:val="auto"/>
                <w:highlight w:val="none"/>
              </w:rPr>
              <w:t>参加过的类似项目</w:t>
            </w:r>
          </w:p>
        </w:tc>
        <w:tc>
          <w:tcPr>
            <w:tcW w:w="1261" w:type="dxa"/>
            <w:noWrap w:val="0"/>
            <w:vAlign w:val="center"/>
          </w:tcPr>
          <w:p>
            <w:pPr>
              <w:spacing w:before="100" w:beforeAutospacing="1" w:after="100" w:afterAutospacing="1" w:line="440" w:lineRule="exact"/>
              <w:jc w:val="center"/>
              <w:rPr>
                <w:color w:val="auto"/>
                <w:highlight w:val="none"/>
              </w:rPr>
            </w:pPr>
            <w:r>
              <w:rPr>
                <w:rFonts w:hint="eastAsia"/>
                <w:color w:val="auto"/>
                <w:highlight w:val="none"/>
              </w:rPr>
              <w:t>担任职务</w:t>
            </w:r>
          </w:p>
        </w:tc>
        <w:tc>
          <w:tcPr>
            <w:tcW w:w="2297" w:type="dxa"/>
            <w:gridSpan w:val="2"/>
            <w:noWrap w:val="0"/>
            <w:vAlign w:val="center"/>
          </w:tcPr>
          <w:p>
            <w:pPr>
              <w:spacing w:before="100" w:beforeAutospacing="1" w:after="100" w:afterAutospacing="1" w:line="440" w:lineRule="exact"/>
              <w:jc w:val="center"/>
              <w:rPr>
                <w:color w:val="auto"/>
                <w:highlight w:val="none"/>
              </w:rPr>
            </w:pPr>
            <w:r>
              <w:rPr>
                <w:rFonts w:hint="eastAsia"/>
                <w:color w:val="auto"/>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top"/>
          </w:tcPr>
          <w:p>
            <w:pPr>
              <w:spacing w:line="440" w:lineRule="exact"/>
              <w:rPr>
                <w:color w:val="auto"/>
                <w:highlight w:val="none"/>
              </w:rPr>
            </w:pPr>
          </w:p>
        </w:tc>
        <w:tc>
          <w:tcPr>
            <w:tcW w:w="3420" w:type="dxa"/>
            <w:gridSpan w:val="4"/>
            <w:noWrap w:val="0"/>
            <w:vAlign w:val="top"/>
          </w:tcPr>
          <w:p>
            <w:pPr>
              <w:spacing w:line="440" w:lineRule="exact"/>
              <w:rPr>
                <w:color w:val="auto"/>
                <w:highlight w:val="none"/>
              </w:rPr>
            </w:pPr>
          </w:p>
        </w:tc>
        <w:tc>
          <w:tcPr>
            <w:tcW w:w="1261" w:type="dxa"/>
            <w:noWrap w:val="0"/>
            <w:vAlign w:val="top"/>
          </w:tcPr>
          <w:p>
            <w:pPr>
              <w:spacing w:line="440" w:lineRule="exact"/>
              <w:rPr>
                <w:color w:val="auto"/>
                <w:highlight w:val="none"/>
              </w:rPr>
            </w:pPr>
          </w:p>
        </w:tc>
        <w:tc>
          <w:tcPr>
            <w:tcW w:w="2297" w:type="dxa"/>
            <w:gridSpan w:val="2"/>
            <w:noWrap w:val="0"/>
            <w:vAlign w:val="top"/>
          </w:tcPr>
          <w:p>
            <w:pPr>
              <w:spacing w:line="44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top"/>
          </w:tcPr>
          <w:p>
            <w:pPr>
              <w:spacing w:line="440" w:lineRule="exact"/>
              <w:rPr>
                <w:color w:val="auto"/>
                <w:highlight w:val="none"/>
              </w:rPr>
            </w:pPr>
          </w:p>
        </w:tc>
        <w:tc>
          <w:tcPr>
            <w:tcW w:w="3420" w:type="dxa"/>
            <w:gridSpan w:val="4"/>
            <w:noWrap w:val="0"/>
            <w:vAlign w:val="top"/>
          </w:tcPr>
          <w:p>
            <w:pPr>
              <w:spacing w:line="440" w:lineRule="exact"/>
              <w:rPr>
                <w:color w:val="auto"/>
                <w:highlight w:val="none"/>
              </w:rPr>
            </w:pPr>
          </w:p>
        </w:tc>
        <w:tc>
          <w:tcPr>
            <w:tcW w:w="1261" w:type="dxa"/>
            <w:noWrap w:val="0"/>
            <w:vAlign w:val="top"/>
          </w:tcPr>
          <w:p>
            <w:pPr>
              <w:spacing w:line="440" w:lineRule="exact"/>
              <w:rPr>
                <w:color w:val="auto"/>
                <w:highlight w:val="none"/>
              </w:rPr>
            </w:pPr>
          </w:p>
        </w:tc>
        <w:tc>
          <w:tcPr>
            <w:tcW w:w="2297" w:type="dxa"/>
            <w:gridSpan w:val="2"/>
            <w:noWrap w:val="0"/>
            <w:vAlign w:val="top"/>
          </w:tcPr>
          <w:p>
            <w:pPr>
              <w:spacing w:line="44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top"/>
          </w:tcPr>
          <w:p>
            <w:pPr>
              <w:spacing w:line="440" w:lineRule="exact"/>
              <w:rPr>
                <w:color w:val="auto"/>
                <w:highlight w:val="none"/>
              </w:rPr>
            </w:pPr>
          </w:p>
        </w:tc>
        <w:tc>
          <w:tcPr>
            <w:tcW w:w="3420" w:type="dxa"/>
            <w:gridSpan w:val="4"/>
            <w:noWrap w:val="0"/>
            <w:vAlign w:val="top"/>
          </w:tcPr>
          <w:p>
            <w:pPr>
              <w:spacing w:line="440" w:lineRule="exact"/>
              <w:rPr>
                <w:color w:val="auto"/>
                <w:highlight w:val="none"/>
              </w:rPr>
            </w:pPr>
          </w:p>
        </w:tc>
        <w:tc>
          <w:tcPr>
            <w:tcW w:w="1261" w:type="dxa"/>
            <w:noWrap w:val="0"/>
            <w:vAlign w:val="top"/>
          </w:tcPr>
          <w:p>
            <w:pPr>
              <w:spacing w:line="440" w:lineRule="exact"/>
              <w:rPr>
                <w:color w:val="auto"/>
                <w:highlight w:val="none"/>
              </w:rPr>
            </w:pPr>
          </w:p>
        </w:tc>
        <w:tc>
          <w:tcPr>
            <w:tcW w:w="2297" w:type="dxa"/>
            <w:gridSpan w:val="2"/>
            <w:noWrap w:val="0"/>
            <w:vAlign w:val="top"/>
          </w:tcPr>
          <w:p>
            <w:pPr>
              <w:spacing w:line="44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center"/>
          </w:tcPr>
          <w:p>
            <w:pPr>
              <w:spacing w:line="440" w:lineRule="exact"/>
              <w:rPr>
                <w:color w:val="auto"/>
                <w:highlight w:val="none"/>
              </w:rPr>
            </w:pPr>
          </w:p>
        </w:tc>
        <w:tc>
          <w:tcPr>
            <w:tcW w:w="3420" w:type="dxa"/>
            <w:gridSpan w:val="4"/>
            <w:noWrap w:val="0"/>
            <w:vAlign w:val="center"/>
          </w:tcPr>
          <w:p>
            <w:pPr>
              <w:spacing w:line="440" w:lineRule="exact"/>
              <w:rPr>
                <w:color w:val="auto"/>
                <w:highlight w:val="none"/>
              </w:rPr>
            </w:pPr>
          </w:p>
        </w:tc>
        <w:tc>
          <w:tcPr>
            <w:tcW w:w="1261" w:type="dxa"/>
            <w:noWrap w:val="0"/>
            <w:vAlign w:val="center"/>
          </w:tcPr>
          <w:p>
            <w:pPr>
              <w:spacing w:line="440" w:lineRule="exact"/>
              <w:rPr>
                <w:color w:val="auto"/>
                <w:highlight w:val="none"/>
              </w:rPr>
            </w:pPr>
          </w:p>
        </w:tc>
        <w:tc>
          <w:tcPr>
            <w:tcW w:w="2297" w:type="dxa"/>
            <w:gridSpan w:val="2"/>
            <w:noWrap w:val="0"/>
            <w:vAlign w:val="center"/>
          </w:tcPr>
          <w:p>
            <w:pPr>
              <w:spacing w:line="44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center"/>
          </w:tcPr>
          <w:p>
            <w:pPr>
              <w:spacing w:line="440" w:lineRule="exact"/>
              <w:rPr>
                <w:color w:val="auto"/>
                <w:highlight w:val="none"/>
              </w:rPr>
            </w:pPr>
          </w:p>
        </w:tc>
        <w:tc>
          <w:tcPr>
            <w:tcW w:w="3420" w:type="dxa"/>
            <w:gridSpan w:val="4"/>
            <w:noWrap w:val="0"/>
            <w:vAlign w:val="center"/>
          </w:tcPr>
          <w:p>
            <w:pPr>
              <w:spacing w:line="440" w:lineRule="exact"/>
              <w:rPr>
                <w:color w:val="auto"/>
                <w:highlight w:val="none"/>
              </w:rPr>
            </w:pPr>
          </w:p>
        </w:tc>
        <w:tc>
          <w:tcPr>
            <w:tcW w:w="1261" w:type="dxa"/>
            <w:noWrap w:val="0"/>
            <w:vAlign w:val="center"/>
          </w:tcPr>
          <w:p>
            <w:pPr>
              <w:spacing w:line="440" w:lineRule="exact"/>
              <w:rPr>
                <w:color w:val="auto"/>
                <w:highlight w:val="none"/>
              </w:rPr>
            </w:pPr>
          </w:p>
        </w:tc>
        <w:tc>
          <w:tcPr>
            <w:tcW w:w="2297" w:type="dxa"/>
            <w:gridSpan w:val="2"/>
            <w:noWrap w:val="0"/>
            <w:vAlign w:val="center"/>
          </w:tcPr>
          <w:p>
            <w:pPr>
              <w:spacing w:line="44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4" w:type="dxa"/>
            <w:gridSpan w:val="2"/>
            <w:noWrap w:val="0"/>
            <w:vAlign w:val="center"/>
          </w:tcPr>
          <w:p>
            <w:pPr>
              <w:spacing w:line="440" w:lineRule="exact"/>
              <w:rPr>
                <w:color w:val="auto"/>
                <w:highlight w:val="none"/>
              </w:rPr>
            </w:pPr>
          </w:p>
        </w:tc>
        <w:tc>
          <w:tcPr>
            <w:tcW w:w="3420" w:type="dxa"/>
            <w:gridSpan w:val="4"/>
            <w:noWrap w:val="0"/>
            <w:vAlign w:val="center"/>
          </w:tcPr>
          <w:p>
            <w:pPr>
              <w:spacing w:line="440" w:lineRule="exact"/>
              <w:rPr>
                <w:color w:val="auto"/>
                <w:highlight w:val="none"/>
              </w:rPr>
            </w:pPr>
          </w:p>
        </w:tc>
        <w:tc>
          <w:tcPr>
            <w:tcW w:w="1261" w:type="dxa"/>
            <w:noWrap w:val="0"/>
            <w:vAlign w:val="center"/>
          </w:tcPr>
          <w:p>
            <w:pPr>
              <w:spacing w:line="440" w:lineRule="exact"/>
              <w:rPr>
                <w:color w:val="auto"/>
                <w:highlight w:val="none"/>
              </w:rPr>
            </w:pPr>
          </w:p>
        </w:tc>
        <w:tc>
          <w:tcPr>
            <w:tcW w:w="2297" w:type="dxa"/>
            <w:gridSpan w:val="2"/>
            <w:noWrap w:val="0"/>
            <w:vAlign w:val="center"/>
          </w:tcPr>
          <w:p>
            <w:pPr>
              <w:spacing w:line="440" w:lineRule="exact"/>
              <w:rPr>
                <w:color w:val="auto"/>
                <w:highlight w:val="none"/>
              </w:rPr>
            </w:pPr>
          </w:p>
        </w:tc>
      </w:tr>
    </w:tbl>
    <w:p>
      <w:pPr>
        <w:spacing w:line="440" w:lineRule="exact"/>
        <w:rPr>
          <w:color w:val="auto"/>
          <w:highlight w:val="none"/>
        </w:rPr>
      </w:pPr>
      <w:r>
        <w:rPr>
          <w:color w:val="auto"/>
          <w:highlight w:val="none"/>
        </w:rPr>
        <w:t>注：</w:t>
      </w:r>
      <w:r>
        <w:rPr>
          <w:rFonts w:hint="eastAsia"/>
          <w:color w:val="auto"/>
          <w:highlight w:val="none"/>
        </w:rPr>
        <w:t>1、</w:t>
      </w:r>
      <w:r>
        <w:rPr>
          <w:color w:val="auto"/>
          <w:highlight w:val="none"/>
        </w:rPr>
        <w:t>投标人应根据投标人须知第3.5.</w:t>
      </w:r>
      <w:r>
        <w:rPr>
          <w:rFonts w:hint="eastAsia"/>
          <w:color w:val="auto"/>
          <w:highlight w:val="none"/>
        </w:rPr>
        <w:t>6</w:t>
      </w:r>
      <w:r>
        <w:rPr>
          <w:color w:val="auto"/>
          <w:highlight w:val="none"/>
        </w:rPr>
        <w:t>项的要求在本表后附相关证明材料。</w:t>
      </w:r>
    </w:p>
    <w:p>
      <w:pPr>
        <w:spacing w:line="440" w:lineRule="exact"/>
        <w:rPr>
          <w:color w:val="auto"/>
          <w:highlight w:val="none"/>
        </w:rPr>
      </w:pPr>
      <w:r>
        <w:rPr>
          <w:rFonts w:hint="eastAsia"/>
          <w:color w:val="auto"/>
          <w:highlight w:val="none"/>
        </w:rPr>
        <w:t>2、类似项目：与招标工程同电压等级或以上的输变电工程勘察设计项目。</w:t>
      </w:r>
    </w:p>
    <w:p>
      <w:pPr>
        <w:spacing w:line="440" w:lineRule="exact"/>
        <w:rPr>
          <w:color w:val="auto"/>
          <w:highlight w:val="none"/>
        </w:rPr>
      </w:pPr>
      <w:r>
        <w:rPr>
          <w:rFonts w:hint="eastAsia"/>
          <w:color w:val="auto"/>
          <w:highlight w:val="none"/>
        </w:rPr>
        <w:t>3、参加过的类似项目业绩须附合同协议书、竣工验收报告复印件，同时应附：合同附件中</w:t>
      </w:r>
      <w:r>
        <w:rPr>
          <w:rFonts w:hint="eastAsia" w:ascii="宋体" w:hAnsi="宋体" w:cs="仿宋_GB2312"/>
          <w:color w:val="auto"/>
          <w:kern w:val="0"/>
          <w:szCs w:val="21"/>
          <w:highlight w:val="none"/>
        </w:rPr>
        <w:t>项目勘察/设计人员统计表的复印件或其他相关证明材料</w:t>
      </w:r>
      <w:r>
        <w:rPr>
          <w:rFonts w:hint="eastAsia"/>
          <w:color w:val="auto"/>
          <w:highlight w:val="none"/>
        </w:rPr>
        <w:t>等。</w:t>
      </w:r>
      <w:r>
        <w:rPr>
          <w:color w:val="auto"/>
          <w:highlight w:val="none"/>
        </w:rPr>
        <w:br w:type="page"/>
      </w:r>
    </w:p>
    <w:p>
      <w:pPr>
        <w:pStyle w:val="6"/>
        <w:rPr>
          <w:b w:val="0"/>
          <w:bCs w:val="0"/>
          <w:color w:val="auto"/>
          <w:highlight w:val="none"/>
        </w:rPr>
      </w:pPr>
      <w:bookmarkStart w:id="545" w:name="_Toc493082745"/>
      <w:r>
        <w:rPr>
          <w:rFonts w:hint="eastAsia"/>
          <w:b w:val="0"/>
          <w:bCs w:val="0"/>
          <w:color w:val="auto"/>
          <w:highlight w:val="none"/>
        </w:rPr>
        <w:t>（十）拟投入本项目的主要勘察设备表</w:t>
      </w:r>
      <w:bookmarkEnd w:id="545"/>
      <w:r>
        <w:rPr>
          <w:rFonts w:hint="eastAsia"/>
          <w:b w:val="0"/>
          <w:bCs w:val="0"/>
          <w:color w:val="auto"/>
          <w:highlight w:val="none"/>
        </w:rPr>
        <w:t xml:space="preserve"> </w:t>
      </w:r>
    </w:p>
    <w:tbl>
      <w:tblPr>
        <w:tblStyle w:val="43"/>
        <w:tblW w:w="0" w:type="auto"/>
        <w:tblInd w:w="-91" w:type="dxa"/>
        <w:tblLayout w:type="fixed"/>
        <w:tblCellMar>
          <w:top w:w="0" w:type="dxa"/>
          <w:left w:w="108" w:type="dxa"/>
          <w:bottom w:w="46" w:type="dxa"/>
          <w:right w:w="115" w:type="dxa"/>
        </w:tblCellMar>
      </w:tblPr>
      <w:tblGrid>
        <w:gridCol w:w="762"/>
        <w:gridCol w:w="1239"/>
        <w:gridCol w:w="1325"/>
        <w:gridCol w:w="1130"/>
        <w:gridCol w:w="1133"/>
        <w:gridCol w:w="1294"/>
        <w:gridCol w:w="1133"/>
        <w:gridCol w:w="806"/>
      </w:tblGrid>
      <w:tr>
        <w:tblPrEx>
          <w:tblCellMar>
            <w:top w:w="0" w:type="dxa"/>
            <w:left w:w="108" w:type="dxa"/>
            <w:bottom w:w="46" w:type="dxa"/>
            <w:right w:w="115" w:type="dxa"/>
          </w:tblCellMar>
        </w:tblPrEx>
        <w:trPr>
          <w:trHeight w:val="451" w:hRule="atLeast"/>
        </w:trPr>
        <w:tc>
          <w:tcPr>
            <w:tcW w:w="762" w:type="dxa"/>
            <w:tcBorders>
              <w:top w:val="single" w:color="000000" w:sz="4" w:space="0"/>
              <w:left w:val="single" w:color="000000" w:sz="4" w:space="0"/>
              <w:bottom w:val="single" w:color="000000" w:sz="4" w:space="0"/>
              <w:right w:val="single" w:color="000000" w:sz="4" w:space="0"/>
            </w:tcBorders>
            <w:noWrap w:val="0"/>
            <w:vAlign w:val="center"/>
          </w:tcPr>
          <w:p>
            <w:pPr>
              <w:jc w:val="center"/>
              <w:rPr>
                <w:color w:val="auto"/>
                <w:highlight w:val="none"/>
              </w:rPr>
            </w:pPr>
            <w:r>
              <w:rPr>
                <w:rFonts w:ascii="宋体" w:hAnsi="宋体" w:cs="宋体"/>
                <w:color w:val="auto"/>
                <w:highlight w:val="none"/>
              </w:rPr>
              <w:t>序号</w:t>
            </w: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ind w:left="91"/>
              <w:jc w:val="center"/>
              <w:rPr>
                <w:color w:val="auto"/>
                <w:highlight w:val="none"/>
              </w:rPr>
            </w:pPr>
            <w:r>
              <w:rPr>
                <w:rFonts w:ascii="宋体" w:hAnsi="宋体" w:cs="宋体"/>
                <w:color w:val="auto"/>
                <w:highlight w:val="none"/>
              </w:rPr>
              <w:t>设备名称</w:t>
            </w: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ind w:left="132"/>
              <w:jc w:val="center"/>
              <w:rPr>
                <w:color w:val="auto"/>
                <w:highlight w:val="none"/>
              </w:rPr>
            </w:pPr>
            <w:r>
              <w:rPr>
                <w:rFonts w:ascii="宋体" w:hAnsi="宋体" w:cs="宋体"/>
                <w:color w:val="auto"/>
                <w:highlight w:val="none"/>
              </w:rPr>
              <w:t>型号规格</w:t>
            </w: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ind w:left="10"/>
              <w:jc w:val="center"/>
              <w:rPr>
                <w:color w:val="auto"/>
                <w:highlight w:val="none"/>
              </w:rPr>
            </w:pPr>
            <w:r>
              <w:rPr>
                <w:rFonts w:ascii="宋体" w:hAnsi="宋体" w:cs="宋体"/>
                <w:color w:val="auto"/>
                <w:highlight w:val="none"/>
              </w:rPr>
              <w:t>单位</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7"/>
              <w:jc w:val="center"/>
              <w:rPr>
                <w:color w:val="auto"/>
                <w:highlight w:val="none"/>
              </w:rPr>
            </w:pPr>
            <w:r>
              <w:rPr>
                <w:rFonts w:ascii="宋体" w:hAnsi="宋体" w:cs="宋体"/>
                <w:color w:val="auto"/>
                <w:highlight w:val="none"/>
              </w:rPr>
              <w:t>数量</w:t>
            </w:r>
          </w:p>
        </w:tc>
        <w:tc>
          <w:tcPr>
            <w:tcW w:w="1294" w:type="dxa"/>
            <w:tcBorders>
              <w:top w:val="single" w:color="000000" w:sz="4" w:space="0"/>
              <w:left w:val="single" w:color="000000" w:sz="4" w:space="0"/>
              <w:bottom w:val="single" w:color="000000" w:sz="4" w:space="0"/>
              <w:right w:val="single" w:color="000000" w:sz="4" w:space="0"/>
            </w:tcBorders>
            <w:noWrap w:val="0"/>
            <w:vAlign w:val="center"/>
          </w:tcPr>
          <w:p>
            <w:pPr>
              <w:ind w:left="118"/>
              <w:jc w:val="center"/>
              <w:rPr>
                <w:color w:val="auto"/>
                <w:highlight w:val="none"/>
              </w:rPr>
            </w:pPr>
            <w:r>
              <w:rPr>
                <w:rFonts w:ascii="宋体" w:hAnsi="宋体" w:cs="宋体"/>
                <w:color w:val="auto"/>
                <w:highlight w:val="none"/>
              </w:rPr>
              <w:t>制造年份</w:t>
            </w: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7"/>
              <w:jc w:val="center"/>
              <w:rPr>
                <w:color w:val="auto"/>
                <w:highlight w:val="none"/>
              </w:rPr>
            </w:pPr>
            <w:r>
              <w:rPr>
                <w:rFonts w:eastAsia="Times New Roman"/>
                <w:color w:val="auto"/>
                <w:highlight w:val="none"/>
              </w:rPr>
              <w:t>……</w:t>
            </w: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ind w:left="84"/>
              <w:jc w:val="center"/>
              <w:rPr>
                <w:color w:val="auto"/>
                <w:highlight w:val="none"/>
              </w:rPr>
            </w:pPr>
            <w:r>
              <w:rPr>
                <w:rFonts w:ascii="宋体" w:hAnsi="宋体" w:cs="宋体"/>
                <w:color w:val="auto"/>
                <w:highlight w:val="none"/>
              </w:rPr>
              <w:t>备注</w:t>
            </w:r>
          </w:p>
        </w:tc>
      </w:tr>
      <w:tr>
        <w:tblPrEx>
          <w:tblCellMar>
            <w:top w:w="0" w:type="dxa"/>
            <w:left w:w="108" w:type="dxa"/>
            <w:bottom w:w="46" w:type="dxa"/>
            <w:right w:w="115" w:type="dxa"/>
          </w:tblCellMar>
        </w:tblPrEx>
        <w:trPr>
          <w:trHeight w:val="454" w:hRule="atLeast"/>
        </w:trPr>
        <w:tc>
          <w:tcPr>
            <w:tcW w:w="762"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ind w:left="56"/>
              <w:jc w:val="center"/>
              <w:rPr>
                <w:color w:val="auto"/>
                <w:highlight w:val="none"/>
              </w:rPr>
            </w:pP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ind w:left="62"/>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294"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59"/>
              <w:jc w:val="center"/>
              <w:rPr>
                <w:color w:val="auto"/>
                <w:highlight w:val="none"/>
              </w:rPr>
            </w:pP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r>
      <w:tr>
        <w:tblPrEx>
          <w:tblCellMar>
            <w:top w:w="0" w:type="dxa"/>
            <w:left w:w="108" w:type="dxa"/>
            <w:bottom w:w="46" w:type="dxa"/>
            <w:right w:w="115" w:type="dxa"/>
          </w:tblCellMar>
        </w:tblPrEx>
        <w:trPr>
          <w:trHeight w:val="454" w:hRule="atLeast"/>
        </w:trPr>
        <w:tc>
          <w:tcPr>
            <w:tcW w:w="762"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ind w:left="56"/>
              <w:jc w:val="center"/>
              <w:rPr>
                <w:color w:val="auto"/>
                <w:highlight w:val="none"/>
              </w:rPr>
            </w:pP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ind w:left="62"/>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294"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59"/>
              <w:jc w:val="center"/>
              <w:rPr>
                <w:color w:val="auto"/>
                <w:highlight w:val="none"/>
              </w:rPr>
            </w:pP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r>
      <w:tr>
        <w:tblPrEx>
          <w:tblCellMar>
            <w:top w:w="0" w:type="dxa"/>
            <w:left w:w="108" w:type="dxa"/>
            <w:bottom w:w="46" w:type="dxa"/>
            <w:right w:w="115" w:type="dxa"/>
          </w:tblCellMar>
        </w:tblPrEx>
        <w:trPr>
          <w:trHeight w:val="454" w:hRule="atLeast"/>
        </w:trPr>
        <w:tc>
          <w:tcPr>
            <w:tcW w:w="762"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ind w:left="56"/>
              <w:jc w:val="center"/>
              <w:rPr>
                <w:color w:val="auto"/>
                <w:highlight w:val="none"/>
              </w:rPr>
            </w:pP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ind w:left="62"/>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294"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59"/>
              <w:jc w:val="center"/>
              <w:rPr>
                <w:color w:val="auto"/>
                <w:highlight w:val="none"/>
              </w:rPr>
            </w:pP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r>
      <w:tr>
        <w:tblPrEx>
          <w:tblCellMar>
            <w:top w:w="0" w:type="dxa"/>
            <w:left w:w="108" w:type="dxa"/>
            <w:bottom w:w="46" w:type="dxa"/>
            <w:right w:w="115" w:type="dxa"/>
          </w:tblCellMar>
        </w:tblPrEx>
        <w:trPr>
          <w:trHeight w:val="454" w:hRule="atLeast"/>
        </w:trPr>
        <w:tc>
          <w:tcPr>
            <w:tcW w:w="762"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ind w:left="56"/>
              <w:jc w:val="center"/>
              <w:rPr>
                <w:color w:val="auto"/>
                <w:highlight w:val="none"/>
              </w:rPr>
            </w:pP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ind w:left="62"/>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294"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59"/>
              <w:jc w:val="center"/>
              <w:rPr>
                <w:color w:val="auto"/>
                <w:highlight w:val="none"/>
              </w:rPr>
            </w:pP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r>
      <w:tr>
        <w:tblPrEx>
          <w:tblCellMar>
            <w:top w:w="0" w:type="dxa"/>
            <w:left w:w="108" w:type="dxa"/>
            <w:bottom w:w="46" w:type="dxa"/>
            <w:right w:w="115" w:type="dxa"/>
          </w:tblCellMar>
        </w:tblPrEx>
        <w:trPr>
          <w:trHeight w:val="454" w:hRule="atLeast"/>
        </w:trPr>
        <w:tc>
          <w:tcPr>
            <w:tcW w:w="762"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ind w:left="56"/>
              <w:jc w:val="center"/>
              <w:rPr>
                <w:color w:val="auto"/>
                <w:highlight w:val="none"/>
              </w:rPr>
            </w:pP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ind w:left="62"/>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294"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59"/>
              <w:jc w:val="center"/>
              <w:rPr>
                <w:color w:val="auto"/>
                <w:highlight w:val="none"/>
              </w:rPr>
            </w:pP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r>
      <w:tr>
        <w:tblPrEx>
          <w:tblCellMar>
            <w:top w:w="0" w:type="dxa"/>
            <w:left w:w="108" w:type="dxa"/>
            <w:bottom w:w="46" w:type="dxa"/>
            <w:right w:w="115" w:type="dxa"/>
          </w:tblCellMar>
        </w:tblPrEx>
        <w:trPr>
          <w:trHeight w:val="456" w:hRule="atLeast"/>
        </w:trPr>
        <w:tc>
          <w:tcPr>
            <w:tcW w:w="762"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ind w:left="56"/>
              <w:jc w:val="center"/>
              <w:rPr>
                <w:color w:val="auto"/>
                <w:highlight w:val="none"/>
              </w:rPr>
            </w:pP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ind w:left="62"/>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294"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59"/>
              <w:jc w:val="center"/>
              <w:rPr>
                <w:color w:val="auto"/>
                <w:highlight w:val="none"/>
              </w:rPr>
            </w:pP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r>
      <w:tr>
        <w:tblPrEx>
          <w:tblCellMar>
            <w:top w:w="0" w:type="dxa"/>
            <w:left w:w="108" w:type="dxa"/>
            <w:bottom w:w="46" w:type="dxa"/>
            <w:right w:w="115" w:type="dxa"/>
          </w:tblCellMar>
        </w:tblPrEx>
        <w:trPr>
          <w:trHeight w:val="454" w:hRule="atLeast"/>
        </w:trPr>
        <w:tc>
          <w:tcPr>
            <w:tcW w:w="762"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ind w:left="56"/>
              <w:jc w:val="center"/>
              <w:rPr>
                <w:color w:val="auto"/>
                <w:highlight w:val="none"/>
              </w:rPr>
            </w:pP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ind w:left="62"/>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294"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59"/>
              <w:jc w:val="center"/>
              <w:rPr>
                <w:color w:val="auto"/>
                <w:highlight w:val="none"/>
              </w:rPr>
            </w:pP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r>
      <w:tr>
        <w:tblPrEx>
          <w:tblCellMar>
            <w:top w:w="0" w:type="dxa"/>
            <w:left w:w="108" w:type="dxa"/>
            <w:bottom w:w="46" w:type="dxa"/>
            <w:right w:w="115" w:type="dxa"/>
          </w:tblCellMar>
        </w:tblPrEx>
        <w:trPr>
          <w:trHeight w:val="449" w:hRule="atLeast"/>
        </w:trPr>
        <w:tc>
          <w:tcPr>
            <w:tcW w:w="762"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ind w:left="56"/>
              <w:jc w:val="center"/>
              <w:rPr>
                <w:color w:val="auto"/>
                <w:highlight w:val="none"/>
              </w:rPr>
            </w:pP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ind w:left="62"/>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294"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59"/>
              <w:jc w:val="center"/>
              <w:rPr>
                <w:color w:val="auto"/>
                <w:highlight w:val="none"/>
              </w:rPr>
            </w:pP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r>
      <w:tr>
        <w:tblPrEx>
          <w:tblCellMar>
            <w:top w:w="0" w:type="dxa"/>
            <w:left w:w="108" w:type="dxa"/>
            <w:bottom w:w="46" w:type="dxa"/>
            <w:right w:w="115" w:type="dxa"/>
          </w:tblCellMar>
        </w:tblPrEx>
        <w:trPr>
          <w:trHeight w:val="454" w:hRule="atLeast"/>
        </w:trPr>
        <w:tc>
          <w:tcPr>
            <w:tcW w:w="762"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ind w:left="56"/>
              <w:jc w:val="center"/>
              <w:rPr>
                <w:color w:val="auto"/>
                <w:highlight w:val="none"/>
              </w:rPr>
            </w:pP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ind w:left="62"/>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294"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59"/>
              <w:jc w:val="center"/>
              <w:rPr>
                <w:color w:val="auto"/>
                <w:highlight w:val="none"/>
              </w:rPr>
            </w:pP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r>
      <w:tr>
        <w:tblPrEx>
          <w:tblCellMar>
            <w:top w:w="0" w:type="dxa"/>
            <w:left w:w="108" w:type="dxa"/>
            <w:bottom w:w="46" w:type="dxa"/>
            <w:right w:w="115" w:type="dxa"/>
          </w:tblCellMar>
        </w:tblPrEx>
        <w:trPr>
          <w:trHeight w:val="456" w:hRule="atLeast"/>
        </w:trPr>
        <w:tc>
          <w:tcPr>
            <w:tcW w:w="762"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ind w:left="56"/>
              <w:jc w:val="center"/>
              <w:rPr>
                <w:color w:val="auto"/>
                <w:highlight w:val="none"/>
              </w:rPr>
            </w:pP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ind w:left="62"/>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294"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59"/>
              <w:jc w:val="center"/>
              <w:rPr>
                <w:color w:val="auto"/>
                <w:highlight w:val="none"/>
              </w:rPr>
            </w:pP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r>
      <w:tr>
        <w:tblPrEx>
          <w:tblCellMar>
            <w:top w:w="0" w:type="dxa"/>
            <w:left w:w="108" w:type="dxa"/>
            <w:bottom w:w="46" w:type="dxa"/>
            <w:right w:w="115" w:type="dxa"/>
          </w:tblCellMar>
        </w:tblPrEx>
        <w:trPr>
          <w:trHeight w:val="454" w:hRule="atLeast"/>
        </w:trPr>
        <w:tc>
          <w:tcPr>
            <w:tcW w:w="762"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ind w:left="56"/>
              <w:jc w:val="center"/>
              <w:rPr>
                <w:color w:val="auto"/>
                <w:highlight w:val="none"/>
              </w:rPr>
            </w:pP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ind w:left="62"/>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294"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59"/>
              <w:jc w:val="center"/>
              <w:rPr>
                <w:color w:val="auto"/>
                <w:highlight w:val="none"/>
              </w:rPr>
            </w:pP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r>
      <w:tr>
        <w:tblPrEx>
          <w:tblCellMar>
            <w:top w:w="0" w:type="dxa"/>
            <w:left w:w="108" w:type="dxa"/>
            <w:bottom w:w="46" w:type="dxa"/>
            <w:right w:w="115" w:type="dxa"/>
          </w:tblCellMar>
        </w:tblPrEx>
        <w:trPr>
          <w:trHeight w:val="454" w:hRule="atLeast"/>
        </w:trPr>
        <w:tc>
          <w:tcPr>
            <w:tcW w:w="762"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ind w:left="56"/>
              <w:jc w:val="center"/>
              <w:rPr>
                <w:color w:val="auto"/>
                <w:highlight w:val="none"/>
              </w:rPr>
            </w:pP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ind w:left="62"/>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294"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59"/>
              <w:jc w:val="center"/>
              <w:rPr>
                <w:color w:val="auto"/>
                <w:highlight w:val="none"/>
              </w:rPr>
            </w:pP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r>
      <w:tr>
        <w:tblPrEx>
          <w:tblCellMar>
            <w:top w:w="0" w:type="dxa"/>
            <w:left w:w="108" w:type="dxa"/>
            <w:bottom w:w="46" w:type="dxa"/>
            <w:right w:w="115" w:type="dxa"/>
          </w:tblCellMar>
        </w:tblPrEx>
        <w:trPr>
          <w:trHeight w:val="454" w:hRule="atLeast"/>
        </w:trPr>
        <w:tc>
          <w:tcPr>
            <w:tcW w:w="762"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ind w:left="56"/>
              <w:jc w:val="center"/>
              <w:rPr>
                <w:color w:val="auto"/>
                <w:highlight w:val="none"/>
              </w:rPr>
            </w:pP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ind w:left="62"/>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294"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59"/>
              <w:jc w:val="center"/>
              <w:rPr>
                <w:color w:val="auto"/>
                <w:highlight w:val="none"/>
              </w:rPr>
            </w:pP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r>
      <w:tr>
        <w:tblPrEx>
          <w:tblCellMar>
            <w:top w:w="0" w:type="dxa"/>
            <w:left w:w="108" w:type="dxa"/>
            <w:bottom w:w="46" w:type="dxa"/>
            <w:right w:w="115" w:type="dxa"/>
          </w:tblCellMar>
        </w:tblPrEx>
        <w:trPr>
          <w:trHeight w:val="454" w:hRule="atLeast"/>
        </w:trPr>
        <w:tc>
          <w:tcPr>
            <w:tcW w:w="762"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ind w:left="56"/>
              <w:jc w:val="center"/>
              <w:rPr>
                <w:color w:val="auto"/>
                <w:highlight w:val="none"/>
              </w:rPr>
            </w:pP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ind w:left="62"/>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294"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59"/>
              <w:jc w:val="center"/>
              <w:rPr>
                <w:color w:val="auto"/>
                <w:highlight w:val="none"/>
              </w:rPr>
            </w:pP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r>
      <w:tr>
        <w:tblPrEx>
          <w:tblCellMar>
            <w:top w:w="0" w:type="dxa"/>
            <w:left w:w="108" w:type="dxa"/>
            <w:bottom w:w="46" w:type="dxa"/>
            <w:right w:w="115" w:type="dxa"/>
          </w:tblCellMar>
        </w:tblPrEx>
        <w:trPr>
          <w:trHeight w:val="454" w:hRule="atLeast"/>
        </w:trPr>
        <w:tc>
          <w:tcPr>
            <w:tcW w:w="762"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ind w:left="56"/>
              <w:jc w:val="center"/>
              <w:rPr>
                <w:color w:val="auto"/>
                <w:highlight w:val="none"/>
              </w:rPr>
            </w:pP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ind w:left="62"/>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294"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59"/>
              <w:jc w:val="center"/>
              <w:rPr>
                <w:color w:val="auto"/>
                <w:highlight w:val="none"/>
              </w:rPr>
            </w:pP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r>
      <w:tr>
        <w:tblPrEx>
          <w:tblCellMar>
            <w:top w:w="0" w:type="dxa"/>
            <w:left w:w="108" w:type="dxa"/>
            <w:bottom w:w="46" w:type="dxa"/>
            <w:right w:w="115" w:type="dxa"/>
          </w:tblCellMar>
        </w:tblPrEx>
        <w:trPr>
          <w:trHeight w:val="451" w:hRule="atLeast"/>
        </w:trPr>
        <w:tc>
          <w:tcPr>
            <w:tcW w:w="762"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ind w:left="56"/>
              <w:jc w:val="center"/>
              <w:rPr>
                <w:color w:val="auto"/>
                <w:highlight w:val="none"/>
              </w:rPr>
            </w:pP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ind w:left="62"/>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294"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59"/>
              <w:jc w:val="center"/>
              <w:rPr>
                <w:color w:val="auto"/>
                <w:highlight w:val="none"/>
              </w:rPr>
            </w:pP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r>
      <w:tr>
        <w:tblPrEx>
          <w:tblCellMar>
            <w:top w:w="0" w:type="dxa"/>
            <w:left w:w="108" w:type="dxa"/>
            <w:bottom w:w="46" w:type="dxa"/>
            <w:right w:w="115" w:type="dxa"/>
          </w:tblCellMar>
        </w:tblPrEx>
        <w:trPr>
          <w:trHeight w:val="454" w:hRule="atLeast"/>
        </w:trPr>
        <w:tc>
          <w:tcPr>
            <w:tcW w:w="762"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ind w:left="56"/>
              <w:jc w:val="center"/>
              <w:rPr>
                <w:color w:val="auto"/>
                <w:highlight w:val="none"/>
              </w:rPr>
            </w:pP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ind w:left="62"/>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294"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59"/>
              <w:jc w:val="center"/>
              <w:rPr>
                <w:color w:val="auto"/>
                <w:highlight w:val="none"/>
              </w:rPr>
            </w:pP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r>
      <w:tr>
        <w:tblPrEx>
          <w:tblCellMar>
            <w:top w:w="0" w:type="dxa"/>
            <w:left w:w="108" w:type="dxa"/>
            <w:bottom w:w="46" w:type="dxa"/>
            <w:right w:w="115" w:type="dxa"/>
          </w:tblCellMar>
        </w:tblPrEx>
        <w:trPr>
          <w:trHeight w:val="454" w:hRule="atLeast"/>
        </w:trPr>
        <w:tc>
          <w:tcPr>
            <w:tcW w:w="762"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ind w:left="56"/>
              <w:jc w:val="center"/>
              <w:rPr>
                <w:color w:val="auto"/>
                <w:highlight w:val="none"/>
              </w:rPr>
            </w:pP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ind w:left="62"/>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294"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59"/>
              <w:jc w:val="center"/>
              <w:rPr>
                <w:color w:val="auto"/>
                <w:highlight w:val="none"/>
              </w:rPr>
            </w:pP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r>
      <w:tr>
        <w:tblPrEx>
          <w:tblCellMar>
            <w:top w:w="0" w:type="dxa"/>
            <w:left w:w="108" w:type="dxa"/>
            <w:bottom w:w="46" w:type="dxa"/>
            <w:right w:w="115" w:type="dxa"/>
          </w:tblCellMar>
        </w:tblPrEx>
        <w:trPr>
          <w:trHeight w:val="454" w:hRule="atLeast"/>
        </w:trPr>
        <w:tc>
          <w:tcPr>
            <w:tcW w:w="762"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ind w:left="56"/>
              <w:jc w:val="center"/>
              <w:rPr>
                <w:color w:val="auto"/>
                <w:highlight w:val="none"/>
              </w:rPr>
            </w:pP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ind w:left="62"/>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294"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59"/>
              <w:jc w:val="center"/>
              <w:rPr>
                <w:color w:val="auto"/>
                <w:highlight w:val="none"/>
              </w:rPr>
            </w:pP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r>
      <w:tr>
        <w:tblPrEx>
          <w:tblCellMar>
            <w:top w:w="0" w:type="dxa"/>
            <w:left w:w="108" w:type="dxa"/>
            <w:bottom w:w="46" w:type="dxa"/>
            <w:right w:w="115" w:type="dxa"/>
          </w:tblCellMar>
        </w:tblPrEx>
        <w:trPr>
          <w:trHeight w:val="456" w:hRule="atLeast"/>
        </w:trPr>
        <w:tc>
          <w:tcPr>
            <w:tcW w:w="762"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ind w:left="56"/>
              <w:jc w:val="center"/>
              <w:rPr>
                <w:color w:val="auto"/>
                <w:highlight w:val="none"/>
              </w:rPr>
            </w:pP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ind w:left="62"/>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294"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59"/>
              <w:jc w:val="center"/>
              <w:rPr>
                <w:color w:val="auto"/>
                <w:highlight w:val="none"/>
              </w:rPr>
            </w:pP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r>
      <w:tr>
        <w:tblPrEx>
          <w:tblCellMar>
            <w:top w:w="0" w:type="dxa"/>
            <w:left w:w="108" w:type="dxa"/>
            <w:bottom w:w="46" w:type="dxa"/>
            <w:right w:w="115" w:type="dxa"/>
          </w:tblCellMar>
        </w:tblPrEx>
        <w:trPr>
          <w:trHeight w:val="454" w:hRule="atLeast"/>
        </w:trPr>
        <w:tc>
          <w:tcPr>
            <w:tcW w:w="762"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239"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325" w:type="dxa"/>
            <w:tcBorders>
              <w:top w:val="single" w:color="000000" w:sz="4" w:space="0"/>
              <w:left w:val="single" w:color="000000" w:sz="4" w:space="0"/>
              <w:bottom w:val="single" w:color="000000" w:sz="4" w:space="0"/>
              <w:right w:val="single" w:color="000000" w:sz="4" w:space="0"/>
            </w:tcBorders>
            <w:noWrap w:val="0"/>
            <w:vAlign w:val="center"/>
          </w:tcPr>
          <w:p>
            <w:pPr>
              <w:ind w:left="56"/>
              <w:jc w:val="center"/>
              <w:rPr>
                <w:color w:val="auto"/>
                <w:highlight w:val="none"/>
              </w:rPr>
            </w:pPr>
          </w:p>
        </w:tc>
        <w:tc>
          <w:tcPr>
            <w:tcW w:w="1130" w:type="dxa"/>
            <w:tcBorders>
              <w:top w:val="single" w:color="000000" w:sz="4" w:space="0"/>
              <w:left w:val="single" w:color="000000" w:sz="4" w:space="0"/>
              <w:bottom w:val="single" w:color="000000" w:sz="4" w:space="0"/>
              <w:right w:val="single" w:color="000000" w:sz="4" w:space="0"/>
            </w:tcBorders>
            <w:noWrap w:val="0"/>
            <w:vAlign w:val="center"/>
          </w:tcPr>
          <w:p>
            <w:pPr>
              <w:ind w:left="62"/>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c>
          <w:tcPr>
            <w:tcW w:w="1294" w:type="dxa"/>
            <w:tcBorders>
              <w:top w:val="single" w:color="000000" w:sz="4" w:space="0"/>
              <w:left w:val="single" w:color="000000" w:sz="4" w:space="0"/>
              <w:bottom w:val="single" w:color="000000" w:sz="4" w:space="0"/>
              <w:right w:val="single" w:color="000000" w:sz="4" w:space="0"/>
            </w:tcBorders>
            <w:noWrap w:val="0"/>
            <w:vAlign w:val="center"/>
          </w:tcPr>
          <w:p>
            <w:pPr>
              <w:ind w:left="58"/>
              <w:jc w:val="center"/>
              <w:rPr>
                <w:color w:val="auto"/>
                <w:highlight w:val="none"/>
              </w:rPr>
            </w:pPr>
          </w:p>
        </w:tc>
        <w:tc>
          <w:tcPr>
            <w:tcW w:w="1133" w:type="dxa"/>
            <w:tcBorders>
              <w:top w:val="single" w:color="000000" w:sz="4" w:space="0"/>
              <w:left w:val="single" w:color="000000" w:sz="4" w:space="0"/>
              <w:bottom w:val="single" w:color="000000" w:sz="4" w:space="0"/>
              <w:right w:val="single" w:color="000000" w:sz="4" w:space="0"/>
            </w:tcBorders>
            <w:noWrap w:val="0"/>
            <w:vAlign w:val="center"/>
          </w:tcPr>
          <w:p>
            <w:pPr>
              <w:ind w:left="59"/>
              <w:jc w:val="center"/>
              <w:rPr>
                <w:color w:val="auto"/>
                <w:highlight w:val="none"/>
              </w:rPr>
            </w:pPr>
          </w:p>
        </w:tc>
        <w:tc>
          <w:tcPr>
            <w:tcW w:w="806" w:type="dxa"/>
            <w:tcBorders>
              <w:top w:val="single" w:color="000000" w:sz="4" w:space="0"/>
              <w:left w:val="single" w:color="000000" w:sz="4" w:space="0"/>
              <w:bottom w:val="single" w:color="000000" w:sz="4" w:space="0"/>
              <w:right w:val="single" w:color="000000" w:sz="4" w:space="0"/>
            </w:tcBorders>
            <w:noWrap w:val="0"/>
            <w:vAlign w:val="center"/>
          </w:tcPr>
          <w:p>
            <w:pPr>
              <w:ind w:left="60"/>
              <w:jc w:val="center"/>
              <w:rPr>
                <w:color w:val="auto"/>
                <w:highlight w:val="none"/>
              </w:rPr>
            </w:pPr>
          </w:p>
        </w:tc>
      </w:tr>
    </w:tbl>
    <w:p>
      <w:pPr>
        <w:spacing w:line="440" w:lineRule="exact"/>
        <w:rPr>
          <w:color w:val="auto"/>
          <w:highlight w:val="none"/>
        </w:rPr>
      </w:pPr>
      <w:r>
        <w:rPr>
          <w:color w:val="auto"/>
          <w:highlight w:val="none"/>
        </w:rPr>
        <w:br w:type="page"/>
      </w:r>
    </w:p>
    <w:p>
      <w:pPr>
        <w:pStyle w:val="6"/>
        <w:rPr>
          <w:b w:val="0"/>
          <w:bCs w:val="0"/>
          <w:color w:val="auto"/>
          <w:highlight w:val="none"/>
        </w:rPr>
      </w:pPr>
      <w:r>
        <w:rPr>
          <w:rFonts w:hint="eastAsia"/>
          <w:b w:val="0"/>
          <w:bCs w:val="0"/>
          <w:color w:val="auto"/>
          <w:highlight w:val="none"/>
        </w:rPr>
        <w:t xml:space="preserve">（十一）拟投入本项目的其他主要技术装备表 </w:t>
      </w:r>
    </w:p>
    <w:tbl>
      <w:tblPr>
        <w:tblStyle w:val="43"/>
        <w:tblW w:w="0" w:type="auto"/>
        <w:jc w:val="center"/>
        <w:tblLayout w:type="fixed"/>
        <w:tblCellMar>
          <w:top w:w="0" w:type="dxa"/>
          <w:left w:w="108" w:type="dxa"/>
          <w:bottom w:w="0" w:type="dxa"/>
          <w:right w:w="108" w:type="dxa"/>
        </w:tblCellMar>
      </w:tblPr>
      <w:tblGrid>
        <w:gridCol w:w="1358"/>
        <w:gridCol w:w="1876"/>
        <w:gridCol w:w="1668"/>
        <w:gridCol w:w="1979"/>
        <w:gridCol w:w="1772"/>
      </w:tblGrid>
      <w:tr>
        <w:tblPrEx>
          <w:tblCellMar>
            <w:top w:w="0" w:type="dxa"/>
            <w:left w:w="108" w:type="dxa"/>
            <w:bottom w:w="0" w:type="dxa"/>
            <w:right w:w="108" w:type="dxa"/>
          </w:tblCellMar>
        </w:tblPrEx>
        <w:trPr>
          <w:trHeight w:val="605" w:hRule="atLeast"/>
          <w:jc w:val="center"/>
        </w:trPr>
        <w:tc>
          <w:tcPr>
            <w:tcW w:w="1358" w:type="dxa"/>
            <w:tcBorders>
              <w:top w:val="single" w:color="000000" w:sz="4" w:space="0"/>
              <w:left w:val="single" w:color="000000" w:sz="4" w:space="0"/>
              <w:bottom w:val="single" w:color="000000" w:sz="4" w:space="0"/>
              <w:right w:val="single" w:color="000000" w:sz="4" w:space="0"/>
            </w:tcBorders>
            <w:noWrap w:val="0"/>
            <w:vAlign w:val="center"/>
          </w:tcPr>
          <w:p>
            <w:pPr>
              <w:widowControl/>
              <w:spacing w:after="120"/>
              <w:jc w:val="center"/>
              <w:rPr>
                <w:rFonts w:ascii="宋体" w:hAnsi="宋体"/>
                <w:color w:val="auto"/>
                <w:kern w:val="0"/>
                <w:szCs w:val="21"/>
                <w:highlight w:val="none"/>
              </w:rPr>
            </w:pPr>
            <w:r>
              <w:rPr>
                <w:rFonts w:hint="eastAsia" w:ascii="宋体" w:hAnsi="宋体"/>
                <w:color w:val="auto"/>
                <w:kern w:val="0"/>
                <w:szCs w:val="21"/>
                <w:highlight w:val="none"/>
              </w:rPr>
              <w:t>名 称</w:t>
            </w:r>
          </w:p>
        </w:tc>
        <w:tc>
          <w:tcPr>
            <w:tcW w:w="1876" w:type="dxa"/>
            <w:tcBorders>
              <w:top w:val="single" w:color="000000" w:sz="4" w:space="0"/>
              <w:left w:val="nil"/>
              <w:bottom w:val="single" w:color="000000" w:sz="4" w:space="0"/>
              <w:right w:val="single" w:color="000000" w:sz="4" w:space="0"/>
            </w:tcBorders>
            <w:noWrap w:val="0"/>
            <w:vAlign w:val="center"/>
          </w:tcPr>
          <w:p>
            <w:pPr>
              <w:widowControl/>
              <w:spacing w:after="120"/>
              <w:jc w:val="center"/>
              <w:rPr>
                <w:rFonts w:ascii="宋体" w:hAnsi="宋体"/>
                <w:color w:val="auto"/>
                <w:kern w:val="0"/>
                <w:szCs w:val="21"/>
                <w:highlight w:val="none"/>
              </w:rPr>
            </w:pPr>
            <w:r>
              <w:rPr>
                <w:rFonts w:hint="eastAsia" w:ascii="宋体" w:hAnsi="宋体"/>
                <w:color w:val="auto"/>
                <w:kern w:val="0"/>
                <w:szCs w:val="21"/>
                <w:highlight w:val="none"/>
              </w:rPr>
              <w:t>规 格</w:t>
            </w:r>
          </w:p>
        </w:tc>
        <w:tc>
          <w:tcPr>
            <w:tcW w:w="1668" w:type="dxa"/>
            <w:tcBorders>
              <w:top w:val="single" w:color="000000" w:sz="4" w:space="0"/>
              <w:left w:val="nil"/>
              <w:bottom w:val="single" w:color="000000" w:sz="4" w:space="0"/>
              <w:right w:val="single" w:color="000000" w:sz="4" w:space="0"/>
            </w:tcBorders>
            <w:noWrap w:val="0"/>
            <w:vAlign w:val="center"/>
          </w:tcPr>
          <w:p>
            <w:pPr>
              <w:widowControl/>
              <w:spacing w:after="120"/>
              <w:jc w:val="center"/>
              <w:rPr>
                <w:rFonts w:ascii="宋体" w:hAnsi="宋体"/>
                <w:color w:val="auto"/>
                <w:kern w:val="0"/>
                <w:szCs w:val="21"/>
                <w:highlight w:val="none"/>
              </w:rPr>
            </w:pPr>
            <w:r>
              <w:rPr>
                <w:rFonts w:hint="eastAsia" w:ascii="宋体" w:hAnsi="宋体"/>
                <w:color w:val="auto"/>
                <w:kern w:val="0"/>
                <w:szCs w:val="21"/>
                <w:highlight w:val="none"/>
              </w:rPr>
              <w:t>数 量</w:t>
            </w:r>
          </w:p>
        </w:tc>
        <w:tc>
          <w:tcPr>
            <w:tcW w:w="1979" w:type="dxa"/>
            <w:tcBorders>
              <w:top w:val="single" w:color="000000" w:sz="4" w:space="0"/>
              <w:left w:val="nil"/>
              <w:bottom w:val="single" w:color="000000" w:sz="4" w:space="0"/>
              <w:right w:val="single" w:color="000000" w:sz="4" w:space="0"/>
            </w:tcBorders>
            <w:noWrap w:val="0"/>
            <w:vAlign w:val="center"/>
          </w:tcPr>
          <w:p>
            <w:pPr>
              <w:widowControl/>
              <w:spacing w:after="120"/>
              <w:jc w:val="center"/>
              <w:rPr>
                <w:rFonts w:ascii="宋体" w:hAnsi="宋体"/>
                <w:color w:val="auto"/>
                <w:kern w:val="0"/>
                <w:szCs w:val="21"/>
                <w:highlight w:val="none"/>
              </w:rPr>
            </w:pPr>
            <w:r>
              <w:rPr>
                <w:rFonts w:hint="eastAsia" w:ascii="宋体" w:hAnsi="宋体"/>
                <w:color w:val="auto"/>
                <w:kern w:val="0"/>
                <w:szCs w:val="21"/>
                <w:highlight w:val="none"/>
              </w:rPr>
              <w:t>主要性能</w:t>
            </w:r>
          </w:p>
        </w:tc>
        <w:tc>
          <w:tcPr>
            <w:tcW w:w="1772" w:type="dxa"/>
            <w:tcBorders>
              <w:top w:val="single" w:color="000000" w:sz="4" w:space="0"/>
              <w:left w:val="nil"/>
              <w:bottom w:val="single" w:color="000000" w:sz="4" w:space="0"/>
              <w:right w:val="single" w:color="000000" w:sz="4" w:space="0"/>
            </w:tcBorders>
            <w:noWrap w:val="0"/>
            <w:vAlign w:val="center"/>
          </w:tcPr>
          <w:p>
            <w:pPr>
              <w:widowControl/>
              <w:spacing w:after="120"/>
              <w:jc w:val="center"/>
              <w:rPr>
                <w:rFonts w:ascii="宋体" w:hAnsi="宋体"/>
                <w:color w:val="auto"/>
                <w:kern w:val="0"/>
                <w:szCs w:val="21"/>
                <w:highlight w:val="none"/>
              </w:rPr>
            </w:pPr>
            <w:r>
              <w:rPr>
                <w:rFonts w:hint="eastAsia" w:ascii="宋体" w:hAnsi="宋体"/>
                <w:color w:val="auto"/>
                <w:kern w:val="0"/>
                <w:szCs w:val="21"/>
                <w:highlight w:val="none"/>
              </w:rPr>
              <w:t>备 注</w:t>
            </w:r>
          </w:p>
        </w:tc>
      </w:tr>
      <w:tr>
        <w:tblPrEx>
          <w:tblCellMar>
            <w:top w:w="0" w:type="dxa"/>
            <w:left w:w="108" w:type="dxa"/>
            <w:bottom w:w="0" w:type="dxa"/>
            <w:right w:w="108" w:type="dxa"/>
          </w:tblCellMar>
        </w:tblPrEx>
        <w:trPr>
          <w:jc w:val="center"/>
        </w:trPr>
        <w:tc>
          <w:tcPr>
            <w:tcW w:w="1358" w:type="dxa"/>
            <w:tcBorders>
              <w:top w:val="single" w:color="000000" w:sz="4" w:space="0"/>
              <w:left w:val="single" w:color="000000" w:sz="4" w:space="0"/>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r>
      <w:tr>
        <w:tblPrEx>
          <w:tblCellMar>
            <w:top w:w="0" w:type="dxa"/>
            <w:left w:w="108" w:type="dxa"/>
            <w:bottom w:w="0" w:type="dxa"/>
            <w:right w:w="108" w:type="dxa"/>
          </w:tblCellMar>
        </w:tblPrEx>
        <w:trPr>
          <w:jc w:val="center"/>
        </w:trPr>
        <w:tc>
          <w:tcPr>
            <w:tcW w:w="1358" w:type="dxa"/>
            <w:tcBorders>
              <w:top w:val="single" w:color="000000" w:sz="4" w:space="0"/>
              <w:left w:val="single" w:color="000000" w:sz="4" w:space="0"/>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r>
      <w:tr>
        <w:tblPrEx>
          <w:tblCellMar>
            <w:top w:w="0" w:type="dxa"/>
            <w:left w:w="108" w:type="dxa"/>
            <w:bottom w:w="0" w:type="dxa"/>
            <w:right w:w="108" w:type="dxa"/>
          </w:tblCellMar>
        </w:tblPrEx>
        <w:trPr>
          <w:jc w:val="center"/>
        </w:trPr>
        <w:tc>
          <w:tcPr>
            <w:tcW w:w="1358" w:type="dxa"/>
            <w:tcBorders>
              <w:top w:val="single" w:color="000000" w:sz="4" w:space="0"/>
              <w:left w:val="single" w:color="000000" w:sz="4" w:space="0"/>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r>
      <w:tr>
        <w:tblPrEx>
          <w:tblCellMar>
            <w:top w:w="0" w:type="dxa"/>
            <w:left w:w="108" w:type="dxa"/>
            <w:bottom w:w="0" w:type="dxa"/>
            <w:right w:w="108" w:type="dxa"/>
          </w:tblCellMar>
        </w:tblPrEx>
        <w:trPr>
          <w:jc w:val="center"/>
        </w:trPr>
        <w:tc>
          <w:tcPr>
            <w:tcW w:w="1358" w:type="dxa"/>
            <w:tcBorders>
              <w:top w:val="single" w:color="000000" w:sz="4" w:space="0"/>
              <w:left w:val="single" w:color="000000" w:sz="4" w:space="0"/>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r>
      <w:tr>
        <w:tblPrEx>
          <w:tblCellMar>
            <w:top w:w="0" w:type="dxa"/>
            <w:left w:w="108" w:type="dxa"/>
            <w:bottom w:w="0" w:type="dxa"/>
            <w:right w:w="108" w:type="dxa"/>
          </w:tblCellMar>
        </w:tblPrEx>
        <w:trPr>
          <w:jc w:val="center"/>
        </w:trPr>
        <w:tc>
          <w:tcPr>
            <w:tcW w:w="1358" w:type="dxa"/>
            <w:tcBorders>
              <w:top w:val="single" w:color="000000" w:sz="4" w:space="0"/>
              <w:left w:val="single" w:color="000000" w:sz="4" w:space="0"/>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r>
      <w:tr>
        <w:tblPrEx>
          <w:tblCellMar>
            <w:top w:w="0" w:type="dxa"/>
            <w:left w:w="108" w:type="dxa"/>
            <w:bottom w:w="0" w:type="dxa"/>
            <w:right w:w="108" w:type="dxa"/>
          </w:tblCellMar>
        </w:tblPrEx>
        <w:trPr>
          <w:jc w:val="center"/>
        </w:trPr>
        <w:tc>
          <w:tcPr>
            <w:tcW w:w="1358" w:type="dxa"/>
            <w:tcBorders>
              <w:top w:val="single" w:color="000000" w:sz="4" w:space="0"/>
              <w:left w:val="single" w:color="000000" w:sz="4" w:space="0"/>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r>
      <w:tr>
        <w:tblPrEx>
          <w:tblCellMar>
            <w:top w:w="0" w:type="dxa"/>
            <w:left w:w="108" w:type="dxa"/>
            <w:bottom w:w="0" w:type="dxa"/>
            <w:right w:w="108" w:type="dxa"/>
          </w:tblCellMar>
        </w:tblPrEx>
        <w:trPr>
          <w:jc w:val="center"/>
        </w:trPr>
        <w:tc>
          <w:tcPr>
            <w:tcW w:w="1358" w:type="dxa"/>
            <w:tcBorders>
              <w:top w:val="single" w:color="000000" w:sz="4" w:space="0"/>
              <w:left w:val="single" w:color="000000" w:sz="4" w:space="0"/>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r>
      <w:tr>
        <w:tblPrEx>
          <w:tblCellMar>
            <w:top w:w="0" w:type="dxa"/>
            <w:left w:w="108" w:type="dxa"/>
            <w:bottom w:w="0" w:type="dxa"/>
            <w:right w:w="108" w:type="dxa"/>
          </w:tblCellMar>
        </w:tblPrEx>
        <w:trPr>
          <w:jc w:val="center"/>
        </w:trPr>
        <w:tc>
          <w:tcPr>
            <w:tcW w:w="1358" w:type="dxa"/>
            <w:tcBorders>
              <w:top w:val="single" w:color="000000" w:sz="4" w:space="0"/>
              <w:left w:val="single" w:color="000000" w:sz="4" w:space="0"/>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r>
      <w:tr>
        <w:tblPrEx>
          <w:tblCellMar>
            <w:top w:w="0" w:type="dxa"/>
            <w:left w:w="108" w:type="dxa"/>
            <w:bottom w:w="0" w:type="dxa"/>
            <w:right w:w="108" w:type="dxa"/>
          </w:tblCellMar>
        </w:tblPrEx>
        <w:trPr>
          <w:jc w:val="center"/>
        </w:trPr>
        <w:tc>
          <w:tcPr>
            <w:tcW w:w="1358" w:type="dxa"/>
            <w:tcBorders>
              <w:top w:val="single" w:color="000000" w:sz="4" w:space="0"/>
              <w:left w:val="single" w:color="000000" w:sz="4" w:space="0"/>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r>
      <w:tr>
        <w:tblPrEx>
          <w:tblCellMar>
            <w:top w:w="0" w:type="dxa"/>
            <w:left w:w="108" w:type="dxa"/>
            <w:bottom w:w="0" w:type="dxa"/>
            <w:right w:w="108" w:type="dxa"/>
          </w:tblCellMar>
        </w:tblPrEx>
        <w:trPr>
          <w:jc w:val="center"/>
        </w:trPr>
        <w:tc>
          <w:tcPr>
            <w:tcW w:w="1358" w:type="dxa"/>
            <w:tcBorders>
              <w:top w:val="single" w:color="000000" w:sz="4" w:space="0"/>
              <w:left w:val="single" w:color="000000" w:sz="4" w:space="0"/>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r>
      <w:tr>
        <w:tblPrEx>
          <w:tblCellMar>
            <w:top w:w="0" w:type="dxa"/>
            <w:left w:w="108" w:type="dxa"/>
            <w:bottom w:w="0" w:type="dxa"/>
            <w:right w:w="108" w:type="dxa"/>
          </w:tblCellMar>
        </w:tblPrEx>
        <w:trPr>
          <w:jc w:val="center"/>
        </w:trPr>
        <w:tc>
          <w:tcPr>
            <w:tcW w:w="1358" w:type="dxa"/>
            <w:tcBorders>
              <w:top w:val="single" w:color="000000" w:sz="4" w:space="0"/>
              <w:left w:val="single" w:color="000000" w:sz="4" w:space="0"/>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r>
      <w:tr>
        <w:tblPrEx>
          <w:tblCellMar>
            <w:top w:w="0" w:type="dxa"/>
            <w:left w:w="108" w:type="dxa"/>
            <w:bottom w:w="0" w:type="dxa"/>
            <w:right w:w="108" w:type="dxa"/>
          </w:tblCellMar>
        </w:tblPrEx>
        <w:trPr>
          <w:jc w:val="center"/>
        </w:trPr>
        <w:tc>
          <w:tcPr>
            <w:tcW w:w="1358" w:type="dxa"/>
            <w:tcBorders>
              <w:top w:val="single" w:color="000000" w:sz="4" w:space="0"/>
              <w:left w:val="single" w:color="000000" w:sz="4" w:space="0"/>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r>
      <w:tr>
        <w:tblPrEx>
          <w:tblCellMar>
            <w:top w:w="0" w:type="dxa"/>
            <w:left w:w="108" w:type="dxa"/>
            <w:bottom w:w="0" w:type="dxa"/>
            <w:right w:w="108" w:type="dxa"/>
          </w:tblCellMar>
        </w:tblPrEx>
        <w:trPr>
          <w:jc w:val="center"/>
        </w:trPr>
        <w:tc>
          <w:tcPr>
            <w:tcW w:w="1358" w:type="dxa"/>
            <w:tcBorders>
              <w:top w:val="single" w:color="000000" w:sz="4" w:space="0"/>
              <w:left w:val="single" w:color="000000" w:sz="4" w:space="0"/>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r>
      <w:tr>
        <w:tblPrEx>
          <w:tblCellMar>
            <w:top w:w="0" w:type="dxa"/>
            <w:left w:w="108" w:type="dxa"/>
            <w:bottom w:w="0" w:type="dxa"/>
            <w:right w:w="108" w:type="dxa"/>
          </w:tblCellMar>
        </w:tblPrEx>
        <w:trPr>
          <w:jc w:val="center"/>
        </w:trPr>
        <w:tc>
          <w:tcPr>
            <w:tcW w:w="1358" w:type="dxa"/>
            <w:tcBorders>
              <w:top w:val="single" w:color="000000" w:sz="4" w:space="0"/>
              <w:left w:val="single" w:color="000000" w:sz="4" w:space="0"/>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r>
      <w:tr>
        <w:tblPrEx>
          <w:tblCellMar>
            <w:top w:w="0" w:type="dxa"/>
            <w:left w:w="108" w:type="dxa"/>
            <w:bottom w:w="0" w:type="dxa"/>
            <w:right w:w="108" w:type="dxa"/>
          </w:tblCellMar>
        </w:tblPrEx>
        <w:trPr>
          <w:jc w:val="center"/>
        </w:trPr>
        <w:tc>
          <w:tcPr>
            <w:tcW w:w="1358" w:type="dxa"/>
            <w:tcBorders>
              <w:top w:val="single" w:color="000000" w:sz="4" w:space="0"/>
              <w:left w:val="single" w:color="000000" w:sz="4" w:space="0"/>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r>
      <w:tr>
        <w:tblPrEx>
          <w:tblCellMar>
            <w:top w:w="0" w:type="dxa"/>
            <w:left w:w="108" w:type="dxa"/>
            <w:bottom w:w="0" w:type="dxa"/>
            <w:right w:w="108" w:type="dxa"/>
          </w:tblCellMar>
        </w:tblPrEx>
        <w:trPr>
          <w:jc w:val="center"/>
        </w:trPr>
        <w:tc>
          <w:tcPr>
            <w:tcW w:w="1358" w:type="dxa"/>
            <w:tcBorders>
              <w:top w:val="single" w:color="000000" w:sz="4" w:space="0"/>
              <w:left w:val="single" w:color="000000" w:sz="4" w:space="0"/>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r>
      <w:tr>
        <w:tblPrEx>
          <w:tblCellMar>
            <w:top w:w="0" w:type="dxa"/>
            <w:left w:w="108" w:type="dxa"/>
            <w:bottom w:w="0" w:type="dxa"/>
            <w:right w:w="108" w:type="dxa"/>
          </w:tblCellMar>
        </w:tblPrEx>
        <w:trPr>
          <w:jc w:val="center"/>
        </w:trPr>
        <w:tc>
          <w:tcPr>
            <w:tcW w:w="1358" w:type="dxa"/>
            <w:tcBorders>
              <w:top w:val="single" w:color="000000" w:sz="4" w:space="0"/>
              <w:left w:val="single" w:color="000000" w:sz="4" w:space="0"/>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876"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668"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979"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c>
          <w:tcPr>
            <w:tcW w:w="1772" w:type="dxa"/>
            <w:tcBorders>
              <w:top w:val="single" w:color="000000" w:sz="4" w:space="0"/>
              <w:left w:val="nil"/>
              <w:bottom w:val="single" w:color="000000" w:sz="4" w:space="0"/>
              <w:right w:val="single" w:color="000000" w:sz="4" w:space="0"/>
            </w:tcBorders>
            <w:noWrap w:val="0"/>
            <w:vAlign w:val="center"/>
          </w:tcPr>
          <w:p>
            <w:pPr>
              <w:widowControl/>
              <w:spacing w:after="120"/>
              <w:ind w:left="420"/>
              <w:jc w:val="center"/>
              <w:rPr>
                <w:rFonts w:ascii="宋体" w:hAnsi="宋体"/>
                <w:b/>
                <w:bCs/>
                <w:color w:val="auto"/>
                <w:kern w:val="0"/>
                <w:szCs w:val="21"/>
                <w:highlight w:val="none"/>
              </w:rPr>
            </w:pPr>
          </w:p>
        </w:tc>
      </w:tr>
    </w:tbl>
    <w:p>
      <w:pPr>
        <w:spacing w:line="440" w:lineRule="exact"/>
        <w:rPr>
          <w:color w:val="auto"/>
          <w:highlight w:val="none"/>
        </w:rPr>
      </w:pPr>
      <w:r>
        <w:rPr>
          <w:color w:val="auto"/>
          <w:highlight w:val="none"/>
        </w:rPr>
        <w:br w:type="page"/>
      </w:r>
    </w:p>
    <w:p>
      <w:pPr>
        <w:pStyle w:val="6"/>
        <w:rPr>
          <w:b w:val="0"/>
          <w:bCs w:val="0"/>
          <w:color w:val="auto"/>
          <w:highlight w:val="none"/>
        </w:rPr>
      </w:pPr>
      <w:r>
        <w:rPr>
          <w:rFonts w:hint="eastAsia"/>
          <w:b w:val="0"/>
          <w:bCs w:val="0"/>
          <w:color w:val="auto"/>
          <w:highlight w:val="none"/>
        </w:rPr>
        <w:t xml:space="preserve">（十二）企业管理体系认证（质量、环境、健康认证）的复印件 </w:t>
      </w:r>
    </w:p>
    <w:p>
      <w:pPr>
        <w:rPr>
          <w:color w:val="auto"/>
          <w:highlight w:val="none"/>
        </w:rPr>
      </w:pPr>
    </w:p>
    <w:p>
      <w:pPr>
        <w:pStyle w:val="6"/>
        <w:rPr>
          <w:b w:val="0"/>
          <w:bCs w:val="0"/>
          <w:color w:val="auto"/>
          <w:highlight w:val="none"/>
        </w:rPr>
      </w:pPr>
      <w:r>
        <w:rPr>
          <w:rFonts w:hint="eastAsia"/>
          <w:b w:val="0"/>
          <w:bCs w:val="0"/>
          <w:color w:val="auto"/>
          <w:highlight w:val="none"/>
        </w:rPr>
        <w:t xml:space="preserve">（十三）企业信誉（有效的资信证明）及业主评价(顾客满意度调查表)的复印件 </w:t>
      </w:r>
    </w:p>
    <w:p>
      <w:pPr>
        <w:rPr>
          <w:color w:val="auto"/>
          <w:highlight w:val="none"/>
        </w:rPr>
      </w:pPr>
    </w:p>
    <w:p>
      <w:pPr>
        <w:pStyle w:val="6"/>
        <w:rPr>
          <w:b w:val="0"/>
          <w:bCs w:val="0"/>
          <w:color w:val="auto"/>
          <w:highlight w:val="none"/>
        </w:rPr>
      </w:pPr>
      <w:r>
        <w:rPr>
          <w:rFonts w:hint="eastAsia"/>
          <w:b w:val="0"/>
          <w:bCs w:val="0"/>
          <w:color w:val="auto"/>
          <w:highlight w:val="none"/>
        </w:rPr>
        <w:t>（十四）企业资信评价（附相关文件证明材料）</w:t>
      </w:r>
    </w:p>
    <w:p>
      <w:pPr>
        <w:rPr>
          <w:color w:val="auto"/>
          <w:highlight w:val="none"/>
        </w:rPr>
      </w:pPr>
    </w:p>
    <w:p>
      <w:pPr>
        <w:pStyle w:val="6"/>
        <w:numPr>
          <w:ilvl w:val="0"/>
          <w:numId w:val="16"/>
        </w:numPr>
        <w:rPr>
          <w:b w:val="0"/>
          <w:bCs w:val="0"/>
          <w:color w:val="auto"/>
          <w:highlight w:val="none"/>
        </w:rPr>
      </w:pPr>
      <w:r>
        <w:rPr>
          <w:rFonts w:hint="eastAsia"/>
          <w:b w:val="0"/>
          <w:bCs w:val="0"/>
          <w:color w:val="auto"/>
          <w:highlight w:val="none"/>
        </w:rPr>
        <w:t>参与标准设计编制工作情况</w:t>
      </w:r>
    </w:p>
    <w:p>
      <w:pPr>
        <w:rPr>
          <w:color w:val="auto"/>
          <w:highlight w:val="none"/>
        </w:rPr>
      </w:pPr>
    </w:p>
    <w:p>
      <w:pPr>
        <w:rPr>
          <w:color w:val="auto"/>
          <w:highlight w:val="none"/>
        </w:rPr>
      </w:pPr>
      <w:r>
        <w:rPr>
          <w:rFonts w:hint="eastAsia"/>
          <w:color w:val="auto"/>
          <w:highlight w:val="none"/>
        </w:rPr>
        <w:br w:type="page"/>
      </w:r>
    </w:p>
    <w:p>
      <w:pPr>
        <w:pStyle w:val="5"/>
        <w:ind w:firstLine="138"/>
        <w:jc w:val="center"/>
        <w:rPr>
          <w:b/>
          <w:bCs/>
          <w:color w:val="auto"/>
          <w:highlight w:val="none"/>
        </w:rPr>
      </w:pPr>
      <w:bookmarkStart w:id="546" w:name="_Toc14990"/>
      <w:r>
        <w:rPr>
          <w:rFonts w:hint="eastAsia"/>
          <w:b/>
          <w:bCs/>
          <w:color w:val="auto"/>
          <w:highlight w:val="none"/>
        </w:rPr>
        <w:t>十、其他资料</w:t>
      </w:r>
      <w:bookmarkEnd w:id="546"/>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8"/>
        <w:rPr>
          <w:color w:val="auto"/>
          <w:highlight w:val="none"/>
        </w:rPr>
      </w:pPr>
    </w:p>
    <w:p>
      <w:pPr>
        <w:rPr>
          <w:color w:val="auto"/>
          <w:highlight w:val="none"/>
        </w:rPr>
      </w:pPr>
    </w:p>
    <w:p>
      <w:pPr>
        <w:pStyle w:val="28"/>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r>
        <w:rPr>
          <w:color w:val="auto"/>
          <w:highlight w:val="none"/>
        </w:rPr>
        <w:br w:type="page"/>
      </w:r>
    </w:p>
    <w:p>
      <w:pPr>
        <w:autoSpaceDE w:val="0"/>
        <w:autoSpaceDN w:val="0"/>
        <w:adjustRightInd w:val="0"/>
        <w:spacing w:line="360" w:lineRule="auto"/>
        <w:rPr>
          <w:rFonts w:ascii="宋体" w:hAnsi="宋体" w:cs="黑体"/>
          <w:color w:val="auto"/>
          <w:kern w:val="0"/>
          <w:sz w:val="28"/>
          <w:szCs w:val="28"/>
          <w:highlight w:val="none"/>
        </w:rPr>
      </w:pPr>
      <w:r>
        <w:rPr>
          <w:rFonts w:hint="eastAsia" w:ascii="宋体" w:hAnsi="宋体"/>
          <w:color w:val="auto"/>
          <w:sz w:val="24"/>
          <w:szCs w:val="24"/>
          <w:highlight w:val="none"/>
        </w:rPr>
        <w:t>招标编号：</w:t>
      </w:r>
      <w:r>
        <w:rPr>
          <w:rFonts w:hint="eastAsia" w:ascii="宋体" w:hAnsi="宋体" w:cs="黑体"/>
          <w:color w:val="auto"/>
          <w:kern w:val="0"/>
          <w:sz w:val="28"/>
          <w:szCs w:val="28"/>
          <w:highlight w:val="none"/>
          <w:u w:val="single"/>
        </w:rPr>
        <w:t xml:space="preserve">                       </w:t>
      </w:r>
    </w:p>
    <w:p>
      <w:pPr>
        <w:spacing w:line="400" w:lineRule="exact"/>
        <w:rPr>
          <w:color w:val="auto"/>
          <w:highlight w:val="none"/>
        </w:rPr>
      </w:pPr>
    </w:p>
    <w:p>
      <w:pPr>
        <w:spacing w:line="440" w:lineRule="exact"/>
        <w:rPr>
          <w:rFonts w:eastAsia="黑体"/>
          <w:color w:val="auto"/>
          <w:sz w:val="20"/>
          <w:highlight w:val="none"/>
        </w:rPr>
      </w:pPr>
    </w:p>
    <w:p>
      <w:pPr>
        <w:jc w:val="center"/>
        <w:rPr>
          <w:rFonts w:hint="eastAsia" w:eastAsia="黑体"/>
          <w:color w:val="auto"/>
          <w:sz w:val="28"/>
          <w:szCs w:val="28"/>
          <w:highlight w:val="none"/>
          <w:u w:val="single"/>
        </w:rPr>
      </w:pPr>
      <w:r>
        <w:rPr>
          <w:rFonts w:eastAsia="黑体"/>
          <w:color w:val="auto"/>
          <w:sz w:val="28"/>
          <w:szCs w:val="28"/>
          <w:highlight w:val="none"/>
          <w:u w:val="single"/>
        </w:rPr>
        <w:t>（项目名称</w:t>
      </w:r>
      <w:r>
        <w:rPr>
          <w:rFonts w:hint="eastAsia" w:eastAsia="黑体"/>
          <w:color w:val="auto"/>
          <w:sz w:val="28"/>
          <w:szCs w:val="28"/>
          <w:highlight w:val="none"/>
          <w:u w:val="single"/>
        </w:rPr>
        <w:t>/标段名称</w:t>
      </w:r>
      <w:r>
        <w:rPr>
          <w:rFonts w:eastAsia="黑体"/>
          <w:color w:val="auto"/>
          <w:sz w:val="28"/>
          <w:szCs w:val="28"/>
          <w:highlight w:val="none"/>
          <w:u w:val="single"/>
        </w:rPr>
        <w:t>）</w:t>
      </w:r>
    </w:p>
    <w:p>
      <w:pPr>
        <w:jc w:val="center"/>
        <w:rPr>
          <w:rFonts w:hint="eastAsia" w:eastAsia="黑体"/>
          <w:color w:val="auto"/>
          <w:sz w:val="28"/>
          <w:szCs w:val="28"/>
          <w:highlight w:val="none"/>
          <w:u w:val="single"/>
        </w:rPr>
      </w:pPr>
    </w:p>
    <w:p>
      <w:pPr>
        <w:jc w:val="center"/>
        <w:rPr>
          <w:rFonts w:eastAsia="黑体"/>
          <w:color w:val="auto"/>
          <w:sz w:val="28"/>
          <w:szCs w:val="28"/>
          <w:highlight w:val="none"/>
          <w:u w:val="single"/>
        </w:rPr>
      </w:pPr>
    </w:p>
    <w:p>
      <w:pPr>
        <w:rPr>
          <w:rFonts w:eastAsia="黑体"/>
          <w:color w:val="auto"/>
          <w:sz w:val="20"/>
          <w:highlight w:val="none"/>
        </w:rPr>
      </w:pPr>
    </w:p>
    <w:p>
      <w:pPr>
        <w:rPr>
          <w:rFonts w:eastAsia="黑体"/>
          <w:color w:val="auto"/>
          <w:sz w:val="20"/>
          <w:highlight w:val="none"/>
        </w:rPr>
      </w:pPr>
    </w:p>
    <w:p>
      <w:pPr>
        <w:jc w:val="center"/>
        <w:rPr>
          <w:rFonts w:hint="eastAsia" w:eastAsia="黑体"/>
          <w:color w:val="auto"/>
          <w:sz w:val="44"/>
          <w:highlight w:val="none"/>
        </w:rPr>
      </w:pPr>
      <w:r>
        <w:rPr>
          <w:rFonts w:eastAsia="黑体"/>
          <w:color w:val="auto"/>
          <w:sz w:val="44"/>
          <w:highlight w:val="none"/>
        </w:rPr>
        <w:t>投 标 文 件</w:t>
      </w:r>
    </w:p>
    <w:p>
      <w:pPr>
        <w:jc w:val="center"/>
        <w:rPr>
          <w:rFonts w:hint="eastAsia" w:eastAsia="黑体"/>
          <w:color w:val="auto"/>
          <w:sz w:val="44"/>
          <w:highlight w:val="none"/>
        </w:rPr>
      </w:pPr>
    </w:p>
    <w:p>
      <w:pPr>
        <w:jc w:val="center"/>
        <w:rPr>
          <w:rFonts w:eastAsia="黑体"/>
          <w:color w:val="auto"/>
          <w:sz w:val="44"/>
          <w:highlight w:val="none"/>
        </w:rPr>
      </w:pPr>
    </w:p>
    <w:p>
      <w:pPr>
        <w:jc w:val="center"/>
        <w:rPr>
          <w:rFonts w:eastAsia="黑体"/>
          <w:color w:val="auto"/>
          <w:sz w:val="44"/>
          <w:highlight w:val="none"/>
        </w:rPr>
      </w:pPr>
    </w:p>
    <w:p>
      <w:pPr>
        <w:pStyle w:val="4"/>
        <w:spacing w:before="0" w:after="0" w:line="240" w:lineRule="auto"/>
        <w:jc w:val="center"/>
        <w:rPr>
          <w:rFonts w:ascii="黑体" w:hAnsi="黑体" w:cs="黑体"/>
          <w:color w:val="auto"/>
          <w:sz w:val="28"/>
          <w:highlight w:val="none"/>
        </w:rPr>
      </w:pPr>
      <w:bookmarkStart w:id="547" w:name="_Toc9386"/>
      <w:bookmarkStart w:id="548" w:name="_Toc15723"/>
      <w:r>
        <w:rPr>
          <w:rFonts w:hint="eastAsia" w:ascii="黑体" w:hAnsi="黑体" w:cs="黑体"/>
          <w:color w:val="auto"/>
          <w:sz w:val="28"/>
          <w:szCs w:val="28"/>
          <w:highlight w:val="none"/>
        </w:rPr>
        <w:t>2. 技术文件</w:t>
      </w:r>
      <w:bookmarkEnd w:id="547"/>
      <w:bookmarkEnd w:id="548"/>
    </w:p>
    <w:p>
      <w:pPr>
        <w:rPr>
          <w:rFonts w:eastAsia="黑体"/>
          <w:color w:val="auto"/>
          <w:sz w:val="28"/>
          <w:highlight w:val="none"/>
        </w:rPr>
      </w:pPr>
    </w:p>
    <w:p>
      <w:pPr>
        <w:rPr>
          <w:rFonts w:eastAsia="黑体"/>
          <w:color w:val="auto"/>
          <w:sz w:val="28"/>
          <w:highlight w:val="none"/>
        </w:rPr>
      </w:pPr>
    </w:p>
    <w:p>
      <w:pPr>
        <w:rPr>
          <w:rFonts w:eastAsia="黑体"/>
          <w:color w:val="auto"/>
          <w:sz w:val="28"/>
          <w:highlight w:val="none"/>
        </w:rPr>
      </w:pPr>
    </w:p>
    <w:p>
      <w:pPr>
        <w:rPr>
          <w:rFonts w:hint="eastAsia" w:eastAsia="黑体"/>
          <w:color w:val="auto"/>
          <w:sz w:val="28"/>
          <w:highlight w:val="none"/>
        </w:rPr>
      </w:pPr>
    </w:p>
    <w:p>
      <w:pPr>
        <w:rPr>
          <w:rFonts w:hint="eastAsia" w:eastAsia="黑体"/>
          <w:color w:val="auto"/>
          <w:sz w:val="28"/>
          <w:highlight w:val="none"/>
        </w:rPr>
      </w:pPr>
    </w:p>
    <w:p>
      <w:pPr>
        <w:rPr>
          <w:rFonts w:hint="eastAsia" w:eastAsia="黑体"/>
          <w:color w:val="auto"/>
          <w:sz w:val="28"/>
          <w:highlight w:val="none"/>
        </w:rPr>
      </w:pPr>
    </w:p>
    <w:p>
      <w:pPr>
        <w:rPr>
          <w:rFonts w:hint="eastAsia" w:eastAsia="黑体"/>
          <w:color w:val="auto"/>
          <w:sz w:val="28"/>
          <w:highlight w:val="none"/>
        </w:rPr>
      </w:pPr>
    </w:p>
    <w:p>
      <w:pPr>
        <w:rPr>
          <w:rFonts w:eastAsia="黑体"/>
          <w:color w:val="auto"/>
          <w:sz w:val="28"/>
          <w:highlight w:val="none"/>
        </w:rPr>
      </w:pPr>
    </w:p>
    <w:p>
      <w:pPr>
        <w:rPr>
          <w:rFonts w:eastAsia="黑体"/>
          <w:color w:val="auto"/>
          <w:sz w:val="28"/>
          <w:highlight w:val="none"/>
        </w:rPr>
      </w:pPr>
    </w:p>
    <w:p>
      <w:pPr>
        <w:rPr>
          <w:rFonts w:eastAsia="黑体"/>
          <w:color w:val="auto"/>
          <w:sz w:val="28"/>
          <w:highlight w:val="none"/>
        </w:rPr>
      </w:pPr>
    </w:p>
    <w:p>
      <w:pPr>
        <w:rPr>
          <w:rFonts w:eastAsia="黑体"/>
          <w:color w:val="auto"/>
          <w:sz w:val="28"/>
          <w:highlight w:val="none"/>
        </w:rPr>
      </w:pPr>
    </w:p>
    <w:p>
      <w:pPr>
        <w:rPr>
          <w:rFonts w:eastAsia="黑体"/>
          <w:color w:val="auto"/>
          <w:sz w:val="28"/>
          <w:highlight w:val="none"/>
        </w:rPr>
      </w:pPr>
    </w:p>
    <w:p>
      <w:pPr>
        <w:rPr>
          <w:rFonts w:eastAsia="黑体"/>
          <w:color w:val="auto"/>
          <w:sz w:val="28"/>
          <w:highlight w:val="none"/>
        </w:rPr>
      </w:pPr>
    </w:p>
    <w:p>
      <w:pPr>
        <w:rPr>
          <w:rFonts w:eastAsia="黑体"/>
          <w:color w:val="auto"/>
          <w:sz w:val="28"/>
          <w:highlight w:val="none"/>
        </w:rPr>
      </w:pPr>
    </w:p>
    <w:p>
      <w:pPr>
        <w:rPr>
          <w:rFonts w:eastAsia="黑体"/>
          <w:color w:val="auto"/>
          <w:sz w:val="28"/>
          <w:highlight w:val="none"/>
        </w:rPr>
      </w:pPr>
    </w:p>
    <w:p>
      <w:pPr>
        <w:spacing w:line="360" w:lineRule="auto"/>
        <w:ind w:firstLine="1120" w:firstLineChars="400"/>
        <w:rPr>
          <w:rFonts w:eastAsia="黑体"/>
          <w:color w:val="auto"/>
          <w:sz w:val="28"/>
          <w:highlight w:val="none"/>
          <w:u w:val="single"/>
        </w:rPr>
      </w:pPr>
      <w:r>
        <w:rPr>
          <w:rFonts w:eastAsia="黑体"/>
          <w:color w:val="auto"/>
          <w:sz w:val="28"/>
          <w:highlight w:val="none"/>
        </w:rPr>
        <w:t>投标人：</w:t>
      </w:r>
      <w:r>
        <w:rPr>
          <w:color w:val="auto"/>
          <w:highlight w:val="none"/>
          <w:u w:val="single"/>
        </w:rPr>
        <w:t xml:space="preserve">                                  </w:t>
      </w:r>
      <w:r>
        <w:rPr>
          <w:rFonts w:eastAsia="黑体"/>
          <w:color w:val="auto"/>
          <w:sz w:val="28"/>
          <w:highlight w:val="none"/>
        </w:rPr>
        <w:t>（盖</w:t>
      </w:r>
      <w:r>
        <w:rPr>
          <w:rFonts w:hint="eastAsia" w:eastAsia="黑体"/>
          <w:color w:val="auto"/>
          <w:sz w:val="28"/>
          <w:highlight w:val="none"/>
        </w:rPr>
        <w:t>公</w:t>
      </w:r>
      <w:r>
        <w:rPr>
          <w:rFonts w:eastAsia="黑体"/>
          <w:color w:val="auto"/>
          <w:sz w:val="28"/>
          <w:highlight w:val="none"/>
        </w:rPr>
        <w:t>章</w:t>
      </w:r>
      <w:r>
        <w:rPr>
          <w:rFonts w:hint="eastAsia" w:eastAsia="黑体"/>
          <w:color w:val="auto"/>
          <w:sz w:val="28"/>
          <w:highlight w:val="none"/>
        </w:rPr>
        <w:t>或电子章</w:t>
      </w:r>
      <w:r>
        <w:rPr>
          <w:rFonts w:eastAsia="黑体"/>
          <w:color w:val="auto"/>
          <w:sz w:val="28"/>
          <w:highlight w:val="none"/>
        </w:rPr>
        <w:t>）</w:t>
      </w:r>
    </w:p>
    <w:p>
      <w:pPr>
        <w:jc w:val="center"/>
        <w:rPr>
          <w:rFonts w:eastAsia="黑体"/>
          <w:color w:val="auto"/>
          <w:sz w:val="28"/>
          <w:highlight w:val="none"/>
        </w:rPr>
      </w:pPr>
    </w:p>
    <w:p>
      <w:pPr>
        <w:spacing w:line="400" w:lineRule="exact"/>
        <w:jc w:val="center"/>
        <w:rPr>
          <w:color w:val="auto"/>
          <w:highlight w:val="none"/>
        </w:rPr>
      </w:pPr>
      <w:r>
        <w:rPr>
          <w:color w:val="auto"/>
          <w:highlight w:val="none"/>
          <w:u w:val="single"/>
        </w:rPr>
        <w:t xml:space="preserve">       </w:t>
      </w:r>
      <w:r>
        <w:rPr>
          <w:rFonts w:eastAsia="黑体"/>
          <w:color w:val="auto"/>
          <w:sz w:val="28"/>
          <w:highlight w:val="none"/>
        </w:rPr>
        <w:t>年</w:t>
      </w:r>
      <w:r>
        <w:rPr>
          <w:color w:val="auto"/>
          <w:highlight w:val="none"/>
          <w:u w:val="single"/>
        </w:rPr>
        <w:t xml:space="preserve">       </w:t>
      </w:r>
      <w:r>
        <w:rPr>
          <w:rFonts w:eastAsia="黑体"/>
          <w:color w:val="auto"/>
          <w:sz w:val="28"/>
          <w:highlight w:val="none"/>
        </w:rPr>
        <w:t>月</w:t>
      </w:r>
      <w:r>
        <w:rPr>
          <w:color w:val="auto"/>
          <w:highlight w:val="none"/>
          <w:u w:val="single"/>
        </w:rPr>
        <w:t xml:space="preserve">       </w:t>
      </w:r>
      <w:r>
        <w:rPr>
          <w:rFonts w:eastAsia="黑体"/>
          <w:color w:val="auto"/>
          <w:sz w:val="28"/>
          <w:highlight w:val="none"/>
        </w:rPr>
        <w:t>日</w:t>
      </w:r>
      <w:r>
        <w:rPr>
          <w:color w:val="auto"/>
          <w:highlight w:val="none"/>
        </w:rPr>
        <w:br w:type="page"/>
      </w:r>
    </w:p>
    <w:p>
      <w:pPr>
        <w:pStyle w:val="5"/>
        <w:ind w:firstLine="138"/>
        <w:jc w:val="center"/>
        <w:rPr>
          <w:b/>
          <w:bCs/>
          <w:color w:val="auto"/>
          <w:highlight w:val="none"/>
        </w:rPr>
      </w:pPr>
      <w:bookmarkStart w:id="549" w:name="_Toc11617"/>
      <w:r>
        <w:rPr>
          <w:rFonts w:hint="eastAsia"/>
          <w:b/>
          <w:bCs/>
          <w:color w:val="auto"/>
          <w:highlight w:val="none"/>
        </w:rPr>
        <w:t>目录</w:t>
      </w:r>
      <w:bookmarkEnd w:id="549"/>
    </w:p>
    <w:p>
      <w:pPr>
        <w:spacing w:line="540" w:lineRule="exact"/>
        <w:rPr>
          <w:color w:val="auto"/>
          <w:highlight w:val="none"/>
        </w:rPr>
      </w:pPr>
    </w:p>
    <w:p>
      <w:pPr>
        <w:spacing w:line="540" w:lineRule="exact"/>
        <w:rPr>
          <w:color w:val="auto"/>
          <w:highlight w:val="none"/>
        </w:rPr>
      </w:pPr>
      <w:r>
        <w:rPr>
          <w:color w:val="auto"/>
          <w:highlight w:val="none"/>
        </w:rPr>
        <w:t>一、</w:t>
      </w:r>
      <w:r>
        <w:rPr>
          <w:rFonts w:hint="eastAsia"/>
          <w:color w:val="auto"/>
          <w:highlight w:val="none"/>
        </w:rPr>
        <w:t>勘察设计方案</w:t>
      </w:r>
    </w:p>
    <w:p>
      <w:pPr>
        <w:spacing w:line="540" w:lineRule="exact"/>
        <w:rPr>
          <w:color w:val="auto"/>
          <w:highlight w:val="none"/>
        </w:rPr>
      </w:pPr>
      <w:r>
        <w:rPr>
          <w:rFonts w:hint="eastAsia"/>
          <w:color w:val="auto"/>
          <w:highlight w:val="none"/>
        </w:rPr>
        <w:t>二</w:t>
      </w:r>
      <w:r>
        <w:rPr>
          <w:color w:val="auto"/>
          <w:highlight w:val="none"/>
        </w:rPr>
        <w:t>、其他资料</w:t>
      </w:r>
    </w:p>
    <w:p>
      <w:pPr>
        <w:spacing w:line="540" w:lineRule="exact"/>
        <w:rPr>
          <w:rFonts w:eastAsia="黑体"/>
          <w:color w:val="auto"/>
          <w:sz w:val="20"/>
          <w:highlight w:val="none"/>
        </w:rPr>
      </w:pPr>
      <w:r>
        <w:rPr>
          <w:color w:val="auto"/>
          <w:highlight w:val="none"/>
        </w:rPr>
        <w:br w:type="page"/>
      </w:r>
    </w:p>
    <w:p>
      <w:pPr>
        <w:pStyle w:val="5"/>
        <w:ind w:firstLine="138"/>
        <w:jc w:val="center"/>
        <w:rPr>
          <w:b/>
          <w:bCs/>
          <w:color w:val="auto"/>
          <w:highlight w:val="none"/>
        </w:rPr>
      </w:pPr>
      <w:bookmarkStart w:id="550" w:name="_Toc26007"/>
      <w:r>
        <w:rPr>
          <w:rFonts w:hint="eastAsia"/>
          <w:b/>
          <w:bCs/>
          <w:color w:val="auto"/>
          <w:highlight w:val="none"/>
        </w:rPr>
        <w:t>一</w:t>
      </w:r>
      <w:r>
        <w:rPr>
          <w:b/>
          <w:bCs/>
          <w:color w:val="auto"/>
          <w:highlight w:val="none"/>
        </w:rPr>
        <w:t>、</w:t>
      </w:r>
      <w:r>
        <w:rPr>
          <w:rFonts w:hint="eastAsia"/>
          <w:b/>
          <w:bCs/>
          <w:color w:val="auto"/>
          <w:highlight w:val="none"/>
        </w:rPr>
        <w:t>勘察</w:t>
      </w:r>
      <w:r>
        <w:rPr>
          <w:b/>
          <w:bCs/>
          <w:color w:val="auto"/>
          <w:highlight w:val="none"/>
        </w:rPr>
        <w:t>设计方案</w:t>
      </w:r>
      <w:bookmarkEnd w:id="550"/>
    </w:p>
    <w:p>
      <w:pPr>
        <w:spacing w:line="360" w:lineRule="auto"/>
        <w:ind w:firstLine="474" w:firstLineChars="226"/>
        <w:rPr>
          <w:color w:val="auto"/>
          <w:szCs w:val="21"/>
          <w:highlight w:val="none"/>
        </w:rPr>
      </w:pPr>
      <w:r>
        <w:rPr>
          <w:rFonts w:hint="eastAsia"/>
          <w:color w:val="auto"/>
          <w:szCs w:val="21"/>
          <w:highlight w:val="none"/>
        </w:rPr>
        <w:t>勘察设计方案应包括（但不限于）下列内容：</w:t>
      </w:r>
    </w:p>
    <w:p>
      <w:pPr>
        <w:spacing w:line="360" w:lineRule="auto"/>
        <w:ind w:firstLine="474" w:firstLineChars="226"/>
        <w:rPr>
          <w:color w:val="auto"/>
          <w:szCs w:val="21"/>
          <w:highlight w:val="none"/>
        </w:rPr>
      </w:pPr>
      <w:r>
        <w:rPr>
          <w:rFonts w:hint="eastAsia"/>
          <w:color w:val="auto"/>
          <w:szCs w:val="21"/>
          <w:highlight w:val="none"/>
        </w:rPr>
        <w:t>（</w:t>
      </w:r>
      <w:r>
        <w:rPr>
          <w:rFonts w:hint="eastAsia"/>
          <w:color w:val="auto"/>
          <w:szCs w:val="21"/>
          <w:highlight w:val="none"/>
          <w:lang w:val="en-US" w:eastAsia="zh-CN"/>
        </w:rPr>
        <w:t>一</w:t>
      </w:r>
      <w:r>
        <w:rPr>
          <w:rFonts w:hint="eastAsia"/>
          <w:color w:val="auto"/>
          <w:szCs w:val="21"/>
          <w:highlight w:val="none"/>
        </w:rPr>
        <w:t>）电缆线路部分：</w:t>
      </w:r>
    </w:p>
    <w:p>
      <w:pPr>
        <w:spacing w:line="360" w:lineRule="auto"/>
        <w:ind w:firstLine="474" w:firstLineChars="226"/>
        <w:rPr>
          <w:rFonts w:hint="eastAsia"/>
          <w:color w:val="auto"/>
          <w:szCs w:val="21"/>
          <w:highlight w:val="none"/>
        </w:rPr>
      </w:pPr>
      <w:r>
        <w:rPr>
          <w:rFonts w:hint="eastAsia"/>
          <w:color w:val="auto"/>
          <w:szCs w:val="21"/>
          <w:highlight w:val="none"/>
        </w:rPr>
        <w:t>1、路径方案</w:t>
      </w:r>
    </w:p>
    <w:p>
      <w:pPr>
        <w:spacing w:line="360" w:lineRule="auto"/>
        <w:ind w:firstLine="474" w:firstLineChars="226"/>
        <w:rPr>
          <w:rFonts w:hint="eastAsia"/>
          <w:color w:val="auto"/>
          <w:szCs w:val="21"/>
          <w:highlight w:val="none"/>
        </w:rPr>
      </w:pPr>
      <w:r>
        <w:rPr>
          <w:rFonts w:hint="eastAsia"/>
          <w:color w:val="auto"/>
          <w:szCs w:val="21"/>
          <w:highlight w:val="none"/>
        </w:rPr>
        <w:t>2、气象条件</w:t>
      </w:r>
    </w:p>
    <w:p>
      <w:pPr>
        <w:spacing w:line="360" w:lineRule="auto"/>
        <w:ind w:firstLine="474" w:firstLineChars="226"/>
        <w:rPr>
          <w:rFonts w:hint="eastAsia"/>
          <w:color w:val="auto"/>
          <w:szCs w:val="21"/>
          <w:highlight w:val="none"/>
        </w:rPr>
      </w:pPr>
      <w:r>
        <w:rPr>
          <w:rFonts w:hint="eastAsia"/>
          <w:color w:val="auto"/>
          <w:szCs w:val="21"/>
          <w:highlight w:val="none"/>
        </w:rPr>
        <w:t>3、电缆、防火、避雷及接地方案（得出基本结论、分析、论证充分）</w:t>
      </w:r>
    </w:p>
    <w:p>
      <w:pPr>
        <w:spacing w:line="360" w:lineRule="auto"/>
        <w:ind w:firstLine="474" w:firstLineChars="226"/>
        <w:rPr>
          <w:rFonts w:hint="eastAsia"/>
          <w:color w:val="auto"/>
          <w:szCs w:val="21"/>
          <w:highlight w:val="none"/>
        </w:rPr>
      </w:pPr>
      <w:r>
        <w:rPr>
          <w:rFonts w:hint="eastAsia"/>
          <w:color w:val="auto"/>
          <w:szCs w:val="21"/>
          <w:highlight w:val="none"/>
        </w:rPr>
        <w:t>4、电缆沟、井、隧道、小间及保护管方案</w:t>
      </w:r>
    </w:p>
    <w:p>
      <w:pPr>
        <w:spacing w:line="360" w:lineRule="auto"/>
        <w:ind w:firstLine="474" w:firstLineChars="226"/>
        <w:rPr>
          <w:rFonts w:hint="eastAsia"/>
          <w:color w:val="auto"/>
          <w:szCs w:val="21"/>
          <w:highlight w:val="none"/>
        </w:rPr>
      </w:pPr>
      <w:r>
        <w:rPr>
          <w:rFonts w:hint="eastAsia"/>
          <w:color w:val="auto"/>
          <w:szCs w:val="21"/>
          <w:highlight w:val="none"/>
        </w:rPr>
        <w:t>5、电缆两端工程方案</w:t>
      </w:r>
    </w:p>
    <w:p>
      <w:pPr>
        <w:spacing w:line="360" w:lineRule="auto"/>
        <w:ind w:firstLine="474" w:firstLineChars="226"/>
        <w:rPr>
          <w:rFonts w:hint="eastAsia"/>
          <w:color w:val="auto"/>
          <w:szCs w:val="21"/>
          <w:highlight w:val="none"/>
        </w:rPr>
      </w:pPr>
      <w:r>
        <w:rPr>
          <w:rFonts w:hint="eastAsia"/>
          <w:color w:val="auto"/>
          <w:szCs w:val="21"/>
          <w:highlight w:val="none"/>
        </w:rPr>
        <w:t>6、专题研究及技术建议</w:t>
      </w:r>
    </w:p>
    <w:p>
      <w:pPr>
        <w:spacing w:line="360" w:lineRule="auto"/>
        <w:ind w:firstLine="474" w:firstLineChars="226"/>
        <w:rPr>
          <w:rFonts w:hint="eastAsia"/>
          <w:color w:val="auto"/>
          <w:szCs w:val="21"/>
          <w:highlight w:val="none"/>
        </w:rPr>
      </w:pPr>
      <w:r>
        <w:rPr>
          <w:rFonts w:hint="eastAsia"/>
          <w:color w:val="auto"/>
          <w:szCs w:val="21"/>
          <w:highlight w:val="none"/>
        </w:rPr>
        <w:t>7、主要技术经济指标（各项指标及与工程条件、论述的一致、合理、可行）</w:t>
      </w:r>
    </w:p>
    <w:p>
      <w:pPr>
        <w:spacing w:line="360" w:lineRule="auto"/>
        <w:ind w:firstLine="474" w:firstLineChars="226"/>
        <w:rPr>
          <w:rFonts w:hint="eastAsia"/>
          <w:color w:val="auto"/>
          <w:szCs w:val="21"/>
          <w:highlight w:val="none"/>
        </w:rPr>
      </w:pPr>
      <w:r>
        <w:rPr>
          <w:rFonts w:hint="eastAsia"/>
          <w:color w:val="auto"/>
          <w:szCs w:val="21"/>
          <w:highlight w:val="none"/>
        </w:rPr>
        <w:t>8、环保、水保措施</w:t>
      </w:r>
    </w:p>
    <w:p>
      <w:pPr>
        <w:spacing w:line="360" w:lineRule="auto"/>
        <w:ind w:firstLine="474" w:firstLineChars="226"/>
        <w:rPr>
          <w:rFonts w:hint="eastAsia"/>
          <w:color w:val="auto"/>
          <w:szCs w:val="21"/>
          <w:highlight w:val="none"/>
        </w:rPr>
      </w:pPr>
      <w:r>
        <w:rPr>
          <w:rFonts w:hint="eastAsia"/>
          <w:color w:val="auto"/>
          <w:szCs w:val="21"/>
          <w:highlight w:val="none"/>
        </w:rPr>
        <w:t>9、工程现场协调经验和能力</w:t>
      </w:r>
    </w:p>
    <w:p>
      <w:pPr>
        <w:spacing w:line="360" w:lineRule="auto"/>
        <w:ind w:firstLine="474" w:firstLineChars="226"/>
        <w:rPr>
          <w:rFonts w:hint="eastAsia"/>
          <w:color w:val="auto"/>
          <w:szCs w:val="21"/>
          <w:highlight w:val="none"/>
        </w:rPr>
      </w:pPr>
      <w:r>
        <w:rPr>
          <w:rFonts w:hint="eastAsia"/>
          <w:color w:val="auto"/>
          <w:szCs w:val="21"/>
          <w:highlight w:val="none"/>
        </w:rPr>
        <w:t>10、标准设计和典型造价</w:t>
      </w:r>
    </w:p>
    <w:p>
      <w:pPr>
        <w:spacing w:line="360" w:lineRule="auto"/>
        <w:ind w:firstLine="474" w:firstLineChars="226"/>
        <w:rPr>
          <w:rFonts w:hint="eastAsia"/>
          <w:color w:val="auto"/>
          <w:szCs w:val="21"/>
          <w:highlight w:val="none"/>
        </w:rPr>
      </w:pPr>
      <w:r>
        <w:rPr>
          <w:rFonts w:hint="eastAsia"/>
          <w:color w:val="auto"/>
          <w:szCs w:val="21"/>
          <w:highlight w:val="none"/>
        </w:rPr>
        <w:t>11、设计创优及强制性条文</w:t>
      </w:r>
    </w:p>
    <w:p>
      <w:pPr>
        <w:spacing w:line="360" w:lineRule="auto"/>
        <w:ind w:firstLine="474" w:firstLineChars="226"/>
        <w:rPr>
          <w:rFonts w:hint="eastAsia"/>
          <w:color w:val="auto"/>
          <w:szCs w:val="21"/>
          <w:highlight w:val="none"/>
        </w:rPr>
      </w:pPr>
      <w:r>
        <w:rPr>
          <w:rFonts w:hint="eastAsia"/>
          <w:color w:val="auto"/>
          <w:szCs w:val="21"/>
          <w:highlight w:val="none"/>
        </w:rPr>
        <w:t>12、设计进度安排及技术服务措施</w:t>
      </w:r>
    </w:p>
    <w:p>
      <w:pPr>
        <w:spacing w:line="360" w:lineRule="auto"/>
        <w:ind w:firstLine="474" w:firstLineChars="226"/>
        <w:rPr>
          <w:rFonts w:hint="eastAsia"/>
          <w:color w:val="auto"/>
          <w:szCs w:val="21"/>
          <w:highlight w:val="none"/>
        </w:rPr>
      </w:pPr>
      <w:r>
        <w:rPr>
          <w:rFonts w:hint="eastAsia"/>
          <w:color w:val="auto"/>
          <w:szCs w:val="21"/>
          <w:highlight w:val="none"/>
        </w:rPr>
        <w:t>13、造价水平及控制造价措施（造价水平合理性分析）</w:t>
      </w:r>
    </w:p>
    <w:p>
      <w:pPr>
        <w:spacing w:line="360" w:lineRule="auto"/>
        <w:ind w:firstLine="474" w:firstLineChars="226"/>
        <w:rPr>
          <w:rFonts w:hint="eastAsia"/>
          <w:color w:val="auto"/>
          <w:szCs w:val="21"/>
          <w:highlight w:val="none"/>
        </w:rPr>
      </w:pPr>
      <w:r>
        <w:rPr>
          <w:rFonts w:hint="eastAsia"/>
          <w:color w:val="auto"/>
          <w:szCs w:val="21"/>
          <w:highlight w:val="none"/>
        </w:rPr>
        <w:t>14、造价水平及控制造价措施（工程控制造价措施）（</w:t>
      </w:r>
    </w:p>
    <w:p>
      <w:pPr>
        <w:spacing w:line="360" w:lineRule="auto"/>
        <w:ind w:firstLine="474" w:firstLineChars="226"/>
        <w:rPr>
          <w:color w:val="auto"/>
          <w:szCs w:val="21"/>
          <w:highlight w:val="none"/>
        </w:rPr>
      </w:pPr>
      <w:r>
        <w:rPr>
          <w:rFonts w:hint="eastAsia"/>
          <w:color w:val="auto"/>
          <w:szCs w:val="21"/>
          <w:highlight w:val="none"/>
        </w:rPr>
        <w:t>15、绿色电网建设</w:t>
      </w:r>
    </w:p>
    <w:p>
      <w:pPr>
        <w:spacing w:line="360" w:lineRule="auto"/>
        <w:ind w:firstLine="474" w:firstLineChars="226"/>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16</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rPr>
        <w:t>.其他</w:t>
      </w:r>
    </w:p>
    <w:p>
      <w:pPr>
        <w:rPr>
          <w:color w:val="auto"/>
          <w:highlight w:val="none"/>
        </w:rPr>
      </w:pPr>
      <w:r>
        <w:rPr>
          <w:color w:val="auto"/>
          <w:highlight w:val="none"/>
        </w:rPr>
        <w:br w:type="page"/>
      </w:r>
    </w:p>
    <w:p>
      <w:pPr>
        <w:pStyle w:val="5"/>
        <w:ind w:firstLine="138"/>
        <w:jc w:val="center"/>
        <w:rPr>
          <w:b/>
          <w:bCs/>
          <w:color w:val="auto"/>
          <w:highlight w:val="none"/>
        </w:rPr>
      </w:pPr>
      <w:bookmarkStart w:id="551" w:name="_Toc3936"/>
      <w:r>
        <w:rPr>
          <w:rFonts w:hint="eastAsia"/>
          <w:b/>
          <w:bCs/>
          <w:color w:val="auto"/>
          <w:highlight w:val="none"/>
        </w:rPr>
        <w:t>二</w:t>
      </w:r>
      <w:r>
        <w:rPr>
          <w:b/>
          <w:bCs/>
          <w:color w:val="auto"/>
          <w:highlight w:val="none"/>
        </w:rPr>
        <w:t>、其他资料</w:t>
      </w:r>
      <w:bookmarkEnd w:id="551"/>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8"/>
        <w:rPr>
          <w:color w:val="auto"/>
          <w:highlight w:val="none"/>
        </w:rPr>
      </w:pPr>
    </w:p>
    <w:p>
      <w:pPr>
        <w:rPr>
          <w:color w:val="auto"/>
          <w:highlight w:val="none"/>
        </w:rPr>
      </w:pPr>
    </w:p>
    <w:p>
      <w:pPr>
        <w:pStyle w:val="28"/>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r>
        <w:rPr>
          <w:color w:val="auto"/>
          <w:highlight w:val="none"/>
        </w:rPr>
        <w:br w:type="page"/>
      </w:r>
    </w:p>
    <w:p>
      <w:pPr>
        <w:autoSpaceDE w:val="0"/>
        <w:autoSpaceDN w:val="0"/>
        <w:adjustRightInd w:val="0"/>
        <w:spacing w:line="360" w:lineRule="auto"/>
        <w:rPr>
          <w:rFonts w:ascii="宋体" w:hAnsi="宋体" w:cs="黑体"/>
          <w:color w:val="auto"/>
          <w:kern w:val="0"/>
          <w:sz w:val="28"/>
          <w:szCs w:val="28"/>
          <w:highlight w:val="none"/>
        </w:rPr>
      </w:pPr>
      <w:r>
        <w:rPr>
          <w:rFonts w:hint="eastAsia" w:ascii="宋体" w:hAnsi="宋体"/>
          <w:color w:val="auto"/>
          <w:sz w:val="24"/>
          <w:szCs w:val="24"/>
          <w:highlight w:val="none"/>
        </w:rPr>
        <w:t>招标编号：</w:t>
      </w:r>
      <w:r>
        <w:rPr>
          <w:rFonts w:hint="eastAsia" w:ascii="宋体" w:hAnsi="宋体" w:cs="黑体"/>
          <w:color w:val="auto"/>
          <w:kern w:val="0"/>
          <w:sz w:val="28"/>
          <w:szCs w:val="28"/>
          <w:highlight w:val="none"/>
          <w:u w:val="single"/>
        </w:rPr>
        <w:t xml:space="preserve">                       </w:t>
      </w:r>
    </w:p>
    <w:p>
      <w:pPr>
        <w:spacing w:line="400" w:lineRule="exact"/>
        <w:rPr>
          <w:color w:val="auto"/>
          <w:highlight w:val="none"/>
        </w:rPr>
      </w:pPr>
    </w:p>
    <w:p>
      <w:pPr>
        <w:spacing w:line="440" w:lineRule="exact"/>
        <w:rPr>
          <w:rFonts w:eastAsia="黑体"/>
          <w:color w:val="auto"/>
          <w:sz w:val="20"/>
          <w:highlight w:val="none"/>
        </w:rPr>
      </w:pPr>
    </w:p>
    <w:p>
      <w:pPr>
        <w:jc w:val="center"/>
        <w:rPr>
          <w:rFonts w:hint="eastAsia" w:eastAsia="黑体"/>
          <w:color w:val="auto"/>
          <w:sz w:val="28"/>
          <w:szCs w:val="28"/>
          <w:highlight w:val="none"/>
          <w:u w:val="single"/>
        </w:rPr>
      </w:pPr>
      <w:r>
        <w:rPr>
          <w:rFonts w:eastAsia="黑体"/>
          <w:color w:val="auto"/>
          <w:sz w:val="28"/>
          <w:szCs w:val="28"/>
          <w:highlight w:val="none"/>
          <w:u w:val="single"/>
        </w:rPr>
        <w:t>（项目名称</w:t>
      </w:r>
      <w:r>
        <w:rPr>
          <w:rFonts w:hint="eastAsia" w:eastAsia="黑体"/>
          <w:color w:val="auto"/>
          <w:sz w:val="28"/>
          <w:szCs w:val="28"/>
          <w:highlight w:val="none"/>
          <w:u w:val="single"/>
        </w:rPr>
        <w:t>/标段名称</w:t>
      </w:r>
      <w:r>
        <w:rPr>
          <w:rFonts w:eastAsia="黑体"/>
          <w:color w:val="auto"/>
          <w:sz w:val="28"/>
          <w:szCs w:val="28"/>
          <w:highlight w:val="none"/>
          <w:u w:val="single"/>
        </w:rPr>
        <w:t>）</w:t>
      </w:r>
    </w:p>
    <w:p>
      <w:pPr>
        <w:rPr>
          <w:rFonts w:eastAsia="黑体"/>
          <w:color w:val="auto"/>
          <w:sz w:val="20"/>
          <w:highlight w:val="none"/>
        </w:rPr>
      </w:pPr>
    </w:p>
    <w:p>
      <w:pPr>
        <w:rPr>
          <w:rFonts w:eastAsia="黑体"/>
          <w:color w:val="auto"/>
          <w:sz w:val="20"/>
          <w:highlight w:val="none"/>
        </w:rPr>
      </w:pPr>
    </w:p>
    <w:p>
      <w:pPr>
        <w:jc w:val="center"/>
        <w:rPr>
          <w:rFonts w:hint="eastAsia" w:eastAsia="黑体"/>
          <w:color w:val="auto"/>
          <w:sz w:val="44"/>
          <w:highlight w:val="none"/>
        </w:rPr>
      </w:pPr>
    </w:p>
    <w:p>
      <w:pPr>
        <w:jc w:val="center"/>
        <w:rPr>
          <w:rFonts w:hint="eastAsia" w:eastAsia="黑体"/>
          <w:color w:val="auto"/>
          <w:sz w:val="44"/>
          <w:highlight w:val="none"/>
        </w:rPr>
      </w:pPr>
    </w:p>
    <w:p>
      <w:pPr>
        <w:jc w:val="center"/>
        <w:rPr>
          <w:rFonts w:eastAsia="黑体"/>
          <w:color w:val="auto"/>
          <w:sz w:val="44"/>
          <w:highlight w:val="none"/>
        </w:rPr>
      </w:pPr>
      <w:r>
        <w:rPr>
          <w:rFonts w:eastAsia="黑体"/>
          <w:color w:val="auto"/>
          <w:sz w:val="44"/>
          <w:highlight w:val="none"/>
        </w:rPr>
        <w:t>投 标 文 件</w:t>
      </w:r>
    </w:p>
    <w:p>
      <w:pPr>
        <w:jc w:val="center"/>
        <w:rPr>
          <w:rFonts w:eastAsia="黑体"/>
          <w:color w:val="auto"/>
          <w:sz w:val="44"/>
          <w:highlight w:val="none"/>
        </w:rPr>
      </w:pPr>
    </w:p>
    <w:p>
      <w:pPr>
        <w:pStyle w:val="4"/>
        <w:spacing w:before="0" w:after="0" w:line="240" w:lineRule="auto"/>
        <w:jc w:val="center"/>
        <w:rPr>
          <w:rFonts w:ascii="黑体" w:hAnsi="黑体" w:cs="黑体"/>
          <w:color w:val="auto"/>
          <w:sz w:val="28"/>
          <w:highlight w:val="none"/>
        </w:rPr>
      </w:pPr>
      <w:bookmarkStart w:id="552" w:name="_Toc10439"/>
      <w:bookmarkStart w:id="553" w:name="_Toc1920"/>
      <w:r>
        <w:rPr>
          <w:rFonts w:hint="eastAsia" w:ascii="黑体" w:hAnsi="黑体" w:cs="黑体"/>
          <w:color w:val="auto"/>
          <w:sz w:val="28"/>
          <w:szCs w:val="28"/>
          <w:highlight w:val="none"/>
        </w:rPr>
        <w:t>3. 投标函及报价书</w:t>
      </w:r>
      <w:bookmarkEnd w:id="552"/>
      <w:bookmarkEnd w:id="553"/>
    </w:p>
    <w:p>
      <w:pPr>
        <w:rPr>
          <w:rFonts w:eastAsia="黑体"/>
          <w:color w:val="auto"/>
          <w:sz w:val="28"/>
          <w:highlight w:val="none"/>
        </w:rPr>
      </w:pPr>
    </w:p>
    <w:p>
      <w:pPr>
        <w:rPr>
          <w:rFonts w:eastAsia="黑体"/>
          <w:color w:val="auto"/>
          <w:sz w:val="28"/>
          <w:highlight w:val="none"/>
        </w:rPr>
      </w:pPr>
    </w:p>
    <w:p>
      <w:pPr>
        <w:rPr>
          <w:rFonts w:eastAsia="黑体"/>
          <w:color w:val="auto"/>
          <w:sz w:val="28"/>
          <w:highlight w:val="none"/>
        </w:rPr>
      </w:pPr>
    </w:p>
    <w:p>
      <w:pPr>
        <w:rPr>
          <w:rFonts w:eastAsia="黑体"/>
          <w:color w:val="auto"/>
          <w:sz w:val="28"/>
          <w:highlight w:val="none"/>
        </w:rPr>
      </w:pPr>
    </w:p>
    <w:p>
      <w:pPr>
        <w:rPr>
          <w:rFonts w:eastAsia="黑体"/>
          <w:color w:val="auto"/>
          <w:sz w:val="28"/>
          <w:highlight w:val="none"/>
        </w:rPr>
      </w:pPr>
    </w:p>
    <w:p>
      <w:pPr>
        <w:rPr>
          <w:rFonts w:eastAsia="黑体"/>
          <w:color w:val="auto"/>
          <w:sz w:val="28"/>
          <w:highlight w:val="none"/>
        </w:rPr>
      </w:pPr>
    </w:p>
    <w:p>
      <w:pPr>
        <w:rPr>
          <w:rFonts w:hint="eastAsia" w:eastAsia="黑体"/>
          <w:color w:val="auto"/>
          <w:sz w:val="28"/>
          <w:highlight w:val="none"/>
        </w:rPr>
      </w:pPr>
    </w:p>
    <w:p>
      <w:pPr>
        <w:rPr>
          <w:rFonts w:hint="eastAsia" w:eastAsia="黑体"/>
          <w:color w:val="auto"/>
          <w:sz w:val="28"/>
          <w:highlight w:val="none"/>
        </w:rPr>
      </w:pPr>
    </w:p>
    <w:p>
      <w:pPr>
        <w:rPr>
          <w:rFonts w:hint="eastAsia" w:eastAsia="黑体"/>
          <w:color w:val="auto"/>
          <w:sz w:val="28"/>
          <w:highlight w:val="none"/>
        </w:rPr>
      </w:pPr>
    </w:p>
    <w:p>
      <w:pPr>
        <w:rPr>
          <w:rFonts w:eastAsia="黑体"/>
          <w:color w:val="auto"/>
          <w:sz w:val="28"/>
          <w:highlight w:val="none"/>
        </w:rPr>
      </w:pPr>
    </w:p>
    <w:p>
      <w:pPr>
        <w:rPr>
          <w:rFonts w:eastAsia="黑体"/>
          <w:color w:val="auto"/>
          <w:sz w:val="28"/>
          <w:highlight w:val="none"/>
        </w:rPr>
      </w:pPr>
    </w:p>
    <w:p>
      <w:pPr>
        <w:rPr>
          <w:rFonts w:eastAsia="黑体"/>
          <w:color w:val="auto"/>
          <w:sz w:val="28"/>
          <w:highlight w:val="none"/>
        </w:rPr>
      </w:pPr>
    </w:p>
    <w:p>
      <w:pPr>
        <w:rPr>
          <w:rFonts w:eastAsia="黑体"/>
          <w:color w:val="auto"/>
          <w:sz w:val="28"/>
          <w:highlight w:val="none"/>
        </w:rPr>
      </w:pPr>
    </w:p>
    <w:p>
      <w:pPr>
        <w:rPr>
          <w:rFonts w:eastAsia="黑体"/>
          <w:color w:val="auto"/>
          <w:sz w:val="28"/>
          <w:highlight w:val="none"/>
        </w:rPr>
      </w:pPr>
    </w:p>
    <w:p>
      <w:pPr>
        <w:rPr>
          <w:rFonts w:eastAsia="黑体"/>
          <w:color w:val="auto"/>
          <w:sz w:val="28"/>
          <w:highlight w:val="none"/>
        </w:rPr>
      </w:pPr>
    </w:p>
    <w:p>
      <w:pPr>
        <w:rPr>
          <w:rFonts w:eastAsia="黑体"/>
          <w:color w:val="auto"/>
          <w:sz w:val="28"/>
          <w:highlight w:val="none"/>
        </w:rPr>
      </w:pPr>
    </w:p>
    <w:p>
      <w:pPr>
        <w:rPr>
          <w:rFonts w:eastAsia="黑体"/>
          <w:color w:val="auto"/>
          <w:sz w:val="28"/>
          <w:highlight w:val="none"/>
        </w:rPr>
      </w:pPr>
    </w:p>
    <w:p>
      <w:pPr>
        <w:spacing w:line="360" w:lineRule="auto"/>
        <w:ind w:firstLine="1120" w:firstLineChars="400"/>
        <w:rPr>
          <w:rFonts w:eastAsia="黑体"/>
          <w:color w:val="auto"/>
          <w:sz w:val="28"/>
          <w:highlight w:val="none"/>
          <w:u w:val="single"/>
        </w:rPr>
      </w:pPr>
      <w:r>
        <w:rPr>
          <w:rFonts w:eastAsia="黑体"/>
          <w:color w:val="auto"/>
          <w:sz w:val="28"/>
          <w:highlight w:val="none"/>
        </w:rPr>
        <w:t>投标人：</w:t>
      </w:r>
      <w:r>
        <w:rPr>
          <w:color w:val="auto"/>
          <w:highlight w:val="none"/>
          <w:u w:val="single"/>
        </w:rPr>
        <w:t xml:space="preserve">                                  </w:t>
      </w:r>
      <w:r>
        <w:rPr>
          <w:rFonts w:eastAsia="黑体"/>
          <w:color w:val="auto"/>
          <w:sz w:val="28"/>
          <w:highlight w:val="none"/>
        </w:rPr>
        <w:t>（盖</w:t>
      </w:r>
      <w:r>
        <w:rPr>
          <w:rFonts w:hint="eastAsia" w:eastAsia="黑体"/>
          <w:color w:val="auto"/>
          <w:sz w:val="28"/>
          <w:highlight w:val="none"/>
        </w:rPr>
        <w:t>公</w:t>
      </w:r>
      <w:r>
        <w:rPr>
          <w:rFonts w:eastAsia="黑体"/>
          <w:color w:val="auto"/>
          <w:sz w:val="28"/>
          <w:highlight w:val="none"/>
        </w:rPr>
        <w:t>章</w:t>
      </w:r>
      <w:r>
        <w:rPr>
          <w:rFonts w:hint="eastAsia" w:eastAsia="黑体"/>
          <w:color w:val="auto"/>
          <w:sz w:val="28"/>
          <w:highlight w:val="none"/>
        </w:rPr>
        <w:t>或电子章</w:t>
      </w:r>
      <w:r>
        <w:rPr>
          <w:rFonts w:eastAsia="黑体"/>
          <w:color w:val="auto"/>
          <w:sz w:val="28"/>
          <w:highlight w:val="none"/>
        </w:rPr>
        <w:t>）</w:t>
      </w:r>
    </w:p>
    <w:p>
      <w:pPr>
        <w:spacing w:line="400" w:lineRule="exact"/>
        <w:jc w:val="center"/>
        <w:rPr>
          <w:color w:val="auto"/>
          <w:highlight w:val="none"/>
        </w:rPr>
      </w:pPr>
      <w:r>
        <w:rPr>
          <w:color w:val="auto"/>
          <w:highlight w:val="none"/>
          <w:u w:val="single"/>
        </w:rPr>
        <w:t xml:space="preserve">       </w:t>
      </w:r>
      <w:r>
        <w:rPr>
          <w:rFonts w:eastAsia="黑体"/>
          <w:color w:val="auto"/>
          <w:sz w:val="28"/>
          <w:highlight w:val="none"/>
        </w:rPr>
        <w:t>年</w:t>
      </w:r>
      <w:r>
        <w:rPr>
          <w:color w:val="auto"/>
          <w:highlight w:val="none"/>
          <w:u w:val="single"/>
        </w:rPr>
        <w:t xml:space="preserve">       </w:t>
      </w:r>
      <w:r>
        <w:rPr>
          <w:rFonts w:eastAsia="黑体"/>
          <w:color w:val="auto"/>
          <w:sz w:val="28"/>
          <w:highlight w:val="none"/>
        </w:rPr>
        <w:t>月</w:t>
      </w:r>
      <w:r>
        <w:rPr>
          <w:color w:val="auto"/>
          <w:highlight w:val="none"/>
          <w:u w:val="single"/>
        </w:rPr>
        <w:t xml:space="preserve">       </w:t>
      </w:r>
      <w:r>
        <w:rPr>
          <w:rFonts w:eastAsia="黑体"/>
          <w:color w:val="auto"/>
          <w:sz w:val="28"/>
          <w:highlight w:val="none"/>
        </w:rPr>
        <w:t>日</w:t>
      </w:r>
      <w:r>
        <w:rPr>
          <w:color w:val="auto"/>
          <w:highlight w:val="none"/>
        </w:rPr>
        <w:br w:type="page"/>
      </w:r>
    </w:p>
    <w:p>
      <w:pPr>
        <w:pStyle w:val="5"/>
        <w:ind w:firstLine="138"/>
        <w:jc w:val="center"/>
        <w:rPr>
          <w:b/>
          <w:bCs/>
          <w:color w:val="auto"/>
          <w:highlight w:val="none"/>
        </w:rPr>
      </w:pPr>
      <w:bookmarkStart w:id="554" w:name="_Toc5856"/>
      <w:r>
        <w:rPr>
          <w:rFonts w:hint="eastAsia"/>
          <w:b/>
          <w:bCs/>
          <w:color w:val="auto"/>
          <w:highlight w:val="none"/>
        </w:rPr>
        <w:t>目录</w:t>
      </w:r>
      <w:bookmarkEnd w:id="554"/>
    </w:p>
    <w:p>
      <w:pPr>
        <w:spacing w:line="540" w:lineRule="exact"/>
        <w:rPr>
          <w:color w:val="auto"/>
          <w:highlight w:val="none"/>
        </w:rPr>
      </w:pPr>
      <w:r>
        <w:rPr>
          <w:rFonts w:hint="eastAsia"/>
          <w:color w:val="auto"/>
          <w:highlight w:val="none"/>
        </w:rPr>
        <w:t>一</w:t>
      </w:r>
      <w:r>
        <w:rPr>
          <w:color w:val="auto"/>
          <w:highlight w:val="none"/>
        </w:rPr>
        <w:t>、投标函</w:t>
      </w:r>
    </w:p>
    <w:p>
      <w:pPr>
        <w:spacing w:line="540" w:lineRule="exact"/>
        <w:rPr>
          <w:color w:val="auto"/>
          <w:highlight w:val="none"/>
        </w:rPr>
      </w:pPr>
      <w:r>
        <w:rPr>
          <w:rFonts w:hint="eastAsia"/>
          <w:color w:val="auto"/>
          <w:highlight w:val="none"/>
        </w:rPr>
        <w:t>二</w:t>
      </w:r>
      <w:r>
        <w:rPr>
          <w:color w:val="auto"/>
          <w:highlight w:val="none"/>
        </w:rPr>
        <w:t>、</w:t>
      </w:r>
      <w:r>
        <w:rPr>
          <w:rFonts w:hint="eastAsia"/>
          <w:color w:val="auto"/>
          <w:highlight w:val="none"/>
        </w:rPr>
        <w:t>勘察</w:t>
      </w:r>
      <w:r>
        <w:rPr>
          <w:color w:val="auto"/>
          <w:highlight w:val="none"/>
        </w:rPr>
        <w:t>设计费用清单</w:t>
      </w:r>
    </w:p>
    <w:p>
      <w:pPr>
        <w:spacing w:line="540" w:lineRule="exact"/>
        <w:rPr>
          <w:color w:val="auto"/>
          <w:highlight w:val="none"/>
        </w:rPr>
      </w:pPr>
      <w:r>
        <w:rPr>
          <w:rFonts w:hint="eastAsia"/>
          <w:color w:val="auto"/>
          <w:highlight w:val="none"/>
        </w:rPr>
        <w:t>三</w:t>
      </w:r>
      <w:r>
        <w:rPr>
          <w:color w:val="auto"/>
          <w:highlight w:val="none"/>
        </w:rPr>
        <w:t>、</w:t>
      </w:r>
      <w:r>
        <w:rPr>
          <w:rFonts w:hint="eastAsia"/>
          <w:color w:val="auto"/>
          <w:highlight w:val="none"/>
        </w:rPr>
        <w:t>成本分析报告</w:t>
      </w:r>
    </w:p>
    <w:p>
      <w:pPr>
        <w:spacing w:line="540" w:lineRule="exact"/>
        <w:rPr>
          <w:color w:val="auto"/>
          <w:highlight w:val="none"/>
        </w:rPr>
      </w:pPr>
      <w:r>
        <w:rPr>
          <w:rFonts w:hint="eastAsia"/>
          <w:color w:val="auto"/>
          <w:highlight w:val="none"/>
        </w:rPr>
        <w:t>四</w:t>
      </w:r>
      <w:r>
        <w:rPr>
          <w:color w:val="auto"/>
          <w:highlight w:val="none"/>
        </w:rPr>
        <w:t>、其他资料</w:t>
      </w:r>
    </w:p>
    <w:p>
      <w:pPr>
        <w:spacing w:line="540" w:lineRule="exact"/>
        <w:rPr>
          <w:rFonts w:eastAsia="黑体"/>
          <w:color w:val="auto"/>
          <w:sz w:val="20"/>
          <w:highlight w:val="none"/>
        </w:rPr>
      </w:pPr>
      <w:r>
        <w:rPr>
          <w:color w:val="auto"/>
          <w:highlight w:val="none"/>
        </w:rPr>
        <w:br w:type="page"/>
      </w:r>
    </w:p>
    <w:p>
      <w:pPr>
        <w:pStyle w:val="5"/>
        <w:ind w:firstLine="138"/>
        <w:jc w:val="center"/>
        <w:rPr>
          <w:b/>
          <w:bCs/>
          <w:color w:val="auto"/>
          <w:highlight w:val="none"/>
        </w:rPr>
      </w:pPr>
      <w:bookmarkStart w:id="555" w:name="_Toc19798"/>
      <w:r>
        <w:rPr>
          <w:rFonts w:hint="eastAsia"/>
          <w:b/>
          <w:bCs/>
          <w:color w:val="auto"/>
          <w:highlight w:val="none"/>
        </w:rPr>
        <w:t>一</w:t>
      </w:r>
      <w:r>
        <w:rPr>
          <w:b/>
          <w:bCs/>
          <w:color w:val="auto"/>
          <w:highlight w:val="none"/>
        </w:rPr>
        <w:t>、投标函</w:t>
      </w:r>
      <w:bookmarkEnd w:id="555"/>
    </w:p>
    <w:p>
      <w:pPr>
        <w:pStyle w:val="6"/>
        <w:rPr>
          <w:b w:val="0"/>
          <w:bCs w:val="0"/>
          <w:color w:val="auto"/>
          <w:highlight w:val="none"/>
        </w:rPr>
      </w:pPr>
      <w:r>
        <w:rPr>
          <w:rFonts w:hint="eastAsia"/>
          <w:b w:val="0"/>
          <w:bCs w:val="0"/>
          <w:color w:val="auto"/>
          <w:highlight w:val="none"/>
        </w:rPr>
        <w:t>（一）投标函</w:t>
      </w:r>
    </w:p>
    <w:p>
      <w:pPr>
        <w:spacing w:line="440" w:lineRule="exact"/>
        <w:rPr>
          <w:color w:val="auto"/>
          <w:szCs w:val="21"/>
          <w:highlight w:val="none"/>
        </w:rPr>
      </w:pPr>
      <w:r>
        <w:rPr>
          <w:color w:val="auto"/>
          <w:szCs w:val="21"/>
          <w:highlight w:val="none"/>
          <w:u w:val="single"/>
        </w:rPr>
        <w:t xml:space="preserve">                  </w:t>
      </w:r>
      <w:r>
        <w:rPr>
          <w:color w:val="auto"/>
          <w:szCs w:val="21"/>
          <w:highlight w:val="none"/>
        </w:rPr>
        <w:t>（招标人名称）：</w:t>
      </w:r>
    </w:p>
    <w:p>
      <w:pPr>
        <w:spacing w:line="440" w:lineRule="exact"/>
        <w:ind w:firstLine="405"/>
        <w:rPr>
          <w:rFonts w:hint="eastAsia" w:hAnsi="宋体"/>
          <w:color w:val="auto"/>
          <w:szCs w:val="21"/>
          <w:highlight w:val="none"/>
        </w:rPr>
      </w:pPr>
      <w:r>
        <w:rPr>
          <w:color w:val="auto"/>
          <w:szCs w:val="21"/>
          <w:highlight w:val="none"/>
        </w:rPr>
        <w:t>1．</w:t>
      </w:r>
      <w:r>
        <w:rPr>
          <w:rFonts w:hAnsi="宋体"/>
          <w:color w:val="auto"/>
          <w:highlight w:val="none"/>
        </w:rPr>
        <w:t>根据已收到的</w:t>
      </w:r>
      <w:r>
        <w:rPr>
          <w:color w:val="auto"/>
          <w:szCs w:val="21"/>
          <w:highlight w:val="none"/>
          <w:u w:val="single"/>
        </w:rPr>
        <w:t xml:space="preserve">                  </w:t>
      </w:r>
      <w:r>
        <w:rPr>
          <w:color w:val="auto"/>
          <w:szCs w:val="21"/>
          <w:highlight w:val="none"/>
        </w:rPr>
        <w:t>（项目名称</w:t>
      </w:r>
      <w:r>
        <w:rPr>
          <w:rFonts w:hint="eastAsia"/>
          <w:color w:val="auto"/>
          <w:szCs w:val="21"/>
          <w:highlight w:val="none"/>
        </w:rPr>
        <w:t>/标段名称</w:t>
      </w:r>
      <w:r>
        <w:rPr>
          <w:color w:val="auto"/>
          <w:szCs w:val="21"/>
          <w:highlight w:val="none"/>
        </w:rPr>
        <w:t>）</w:t>
      </w:r>
      <w:r>
        <w:rPr>
          <w:rFonts w:hint="eastAsia" w:hAnsi="宋体"/>
          <w:color w:val="auto"/>
          <w:szCs w:val="21"/>
          <w:highlight w:val="none"/>
        </w:rPr>
        <w:t>勘察设计</w:t>
      </w:r>
      <w:r>
        <w:rPr>
          <w:rFonts w:hint="eastAsia" w:hAnsi="宋体"/>
          <w:color w:val="auto"/>
          <w:highlight w:val="none"/>
        </w:rPr>
        <w:t>招标文件</w:t>
      </w:r>
      <w:r>
        <w:rPr>
          <w:rFonts w:hAnsi="宋体"/>
          <w:color w:val="auto"/>
          <w:szCs w:val="21"/>
          <w:highlight w:val="none"/>
        </w:rPr>
        <w:t>的全部内容</w:t>
      </w:r>
      <w:r>
        <w:rPr>
          <w:rFonts w:hint="eastAsia" w:hAnsi="宋体"/>
          <w:color w:val="auto"/>
          <w:highlight w:val="none"/>
        </w:rPr>
        <w:t>，遵照《中华人民共和国招标投标法》</w:t>
      </w:r>
      <w:r>
        <w:rPr>
          <w:rFonts w:hint="eastAsia" w:hAnsi="宋体" w:cs="仿宋_GB2312"/>
          <w:color w:val="auto"/>
          <w:kern w:val="0"/>
          <w:szCs w:val="21"/>
          <w:highlight w:val="none"/>
        </w:rPr>
        <w:t>、《中华人民共和国招标投标法实施条例》、</w:t>
      </w:r>
      <w:r>
        <w:rPr>
          <w:rFonts w:hint="eastAsia" w:hAnsi="宋体"/>
          <w:color w:val="auto"/>
          <w:highlight w:val="none"/>
        </w:rPr>
        <w:t>《工程建设项目勘察设计招标投标办法》的有关规定，我方经考察现场和研究上述项目招标文件的全部内容（含投标须知、合同条件、技术规范、图纸和其他有关文件等），我方愿以人民币</w:t>
      </w:r>
      <w:r>
        <w:rPr>
          <w:rFonts w:hAnsi="宋体"/>
          <w:color w:val="auto"/>
          <w:szCs w:val="21"/>
          <w:highlight w:val="none"/>
        </w:rPr>
        <w:t>（大写）</w:t>
      </w:r>
      <w:r>
        <w:rPr>
          <w:color w:val="auto"/>
          <w:szCs w:val="21"/>
          <w:highlight w:val="none"/>
          <w:u w:val="single"/>
        </w:rPr>
        <w:t xml:space="preserve">               </w:t>
      </w:r>
      <w:r>
        <w:rPr>
          <w:color w:val="auto"/>
          <w:szCs w:val="21"/>
          <w:highlight w:val="none"/>
        </w:rPr>
        <w:t>（¥</w:t>
      </w:r>
      <w:r>
        <w:rPr>
          <w:color w:val="auto"/>
          <w:szCs w:val="21"/>
          <w:highlight w:val="none"/>
          <w:u w:val="single"/>
        </w:rPr>
        <w:t xml:space="preserve">       </w:t>
      </w:r>
      <w:r>
        <w:rPr>
          <w:rFonts w:hint="eastAsia" w:hAnsi="宋体"/>
          <w:color w:val="auto"/>
          <w:highlight w:val="none"/>
        </w:rPr>
        <w:t>元</w:t>
      </w:r>
      <w:r>
        <w:rPr>
          <w:rFonts w:hAnsi="宋体"/>
          <w:color w:val="auto"/>
          <w:szCs w:val="21"/>
          <w:highlight w:val="none"/>
        </w:rPr>
        <w:t>）</w:t>
      </w:r>
      <w:r>
        <w:rPr>
          <w:rFonts w:hint="eastAsia" w:hAnsi="宋体"/>
          <w:color w:val="auto"/>
          <w:szCs w:val="21"/>
          <w:highlight w:val="none"/>
        </w:rPr>
        <w:t>（</w:t>
      </w:r>
      <w:r>
        <w:rPr>
          <w:rFonts w:hint="eastAsia"/>
          <w:color w:val="auto"/>
          <w:szCs w:val="21"/>
          <w:highlight w:val="none"/>
        </w:rPr>
        <w:t>即</w:t>
      </w:r>
      <w:r>
        <w:rPr>
          <w:rFonts w:hint="eastAsia" w:hAnsi="宋体"/>
          <w:color w:val="auto"/>
          <w:highlight w:val="none"/>
        </w:rPr>
        <w:t>投标下浮率</w:t>
      </w:r>
      <w:r>
        <w:rPr>
          <w:color w:val="auto"/>
          <w:szCs w:val="21"/>
          <w:highlight w:val="none"/>
          <w:u w:val="single"/>
        </w:rPr>
        <w:t xml:space="preserve">      </w:t>
      </w:r>
      <w:r>
        <w:rPr>
          <w:rFonts w:hint="eastAsia"/>
          <w:color w:val="auto"/>
          <w:szCs w:val="21"/>
          <w:highlight w:val="none"/>
        </w:rPr>
        <w:t>%</w:t>
      </w:r>
      <w:r>
        <w:rPr>
          <w:rFonts w:hint="eastAsia" w:hAnsi="宋体"/>
          <w:color w:val="auto"/>
          <w:szCs w:val="21"/>
          <w:highlight w:val="none"/>
        </w:rPr>
        <w:t>）</w:t>
      </w:r>
      <w:r>
        <w:rPr>
          <w:rFonts w:hint="eastAsia" w:hAnsi="宋体"/>
          <w:color w:val="auto"/>
          <w:highlight w:val="none"/>
        </w:rPr>
        <w:t>的</w:t>
      </w:r>
      <w:r>
        <w:rPr>
          <w:rFonts w:hAnsi="宋体"/>
          <w:color w:val="auto"/>
          <w:szCs w:val="21"/>
          <w:highlight w:val="none"/>
        </w:rPr>
        <w:t>投标报价</w:t>
      </w:r>
      <w:r>
        <w:rPr>
          <w:rFonts w:hAnsi="宋体"/>
          <w:color w:val="auto"/>
          <w:highlight w:val="none"/>
        </w:rPr>
        <w:t>，</w:t>
      </w:r>
      <w:r>
        <w:rPr>
          <w:rFonts w:hint="eastAsia" w:hAnsi="宋体"/>
          <w:color w:val="auto"/>
          <w:highlight w:val="none"/>
        </w:rPr>
        <w:t>质量达到</w:t>
      </w:r>
      <w:r>
        <w:rPr>
          <w:rFonts w:hint="eastAsia" w:hAnsi="宋体"/>
          <w:color w:val="auto"/>
          <w:highlight w:val="none"/>
          <w:u w:val="single"/>
        </w:rPr>
        <w:t>满足国家勘察设计规范，符合南网标准设计和典型造价、绿色电网建设行动指南，</w:t>
      </w:r>
      <w:r>
        <w:rPr>
          <w:rFonts w:hAnsi="宋体"/>
          <w:color w:val="auto"/>
          <w:highlight w:val="none"/>
          <w:u w:val="single"/>
        </w:rPr>
        <w:t>按合同约定完成</w:t>
      </w:r>
      <w:r>
        <w:rPr>
          <w:rFonts w:hint="eastAsia" w:hAnsi="宋体"/>
          <w:color w:val="auto"/>
          <w:highlight w:val="none"/>
          <w:u w:val="single"/>
        </w:rPr>
        <w:t>工程的</w:t>
      </w:r>
      <w:r>
        <w:rPr>
          <w:rFonts w:hint="eastAsia" w:hAnsi="宋体"/>
          <w:color w:val="auto"/>
          <w:szCs w:val="21"/>
          <w:highlight w:val="none"/>
          <w:u w:val="single"/>
        </w:rPr>
        <w:t>勘察设计工作</w:t>
      </w:r>
      <w:r>
        <w:rPr>
          <w:rFonts w:hAnsi="宋体"/>
          <w:color w:val="auto"/>
          <w:szCs w:val="21"/>
          <w:highlight w:val="none"/>
        </w:rPr>
        <w:t>。</w:t>
      </w:r>
    </w:p>
    <w:p>
      <w:pPr>
        <w:spacing w:line="440" w:lineRule="exact"/>
        <w:ind w:firstLine="405"/>
        <w:rPr>
          <w:rFonts w:ascii="宋体" w:hAnsi="宋体"/>
          <w:color w:val="auto"/>
          <w:highlight w:val="none"/>
        </w:rPr>
      </w:pPr>
      <w:r>
        <w:rPr>
          <w:color w:val="auto"/>
          <w:szCs w:val="21"/>
          <w:highlight w:val="none"/>
        </w:rPr>
        <w:t xml:space="preserve">2. </w:t>
      </w:r>
      <w:r>
        <w:rPr>
          <w:rFonts w:ascii="宋体" w:hAnsi="宋体"/>
          <w:color w:val="auto"/>
          <w:highlight w:val="none"/>
        </w:rPr>
        <w:t>我方</w:t>
      </w:r>
      <w:r>
        <w:rPr>
          <w:rFonts w:hint="eastAsia" w:ascii="宋体" w:hAnsi="宋体"/>
          <w:color w:val="auto"/>
          <w:highlight w:val="none"/>
        </w:rPr>
        <w:t>投标文件的投标有效期与招标文件规定的投标有效期一致，同时</w:t>
      </w:r>
      <w:r>
        <w:rPr>
          <w:rFonts w:ascii="宋体" w:hAnsi="宋体"/>
          <w:color w:val="auto"/>
          <w:highlight w:val="none"/>
        </w:rPr>
        <w:t>承诺</w:t>
      </w:r>
      <w:r>
        <w:rPr>
          <w:color w:val="auto"/>
          <w:szCs w:val="21"/>
          <w:highlight w:val="none"/>
        </w:rPr>
        <w:t>在</w:t>
      </w:r>
      <w:r>
        <w:rPr>
          <w:rFonts w:ascii="宋体" w:hAnsi="宋体"/>
          <w:color w:val="auto"/>
          <w:highlight w:val="none"/>
        </w:rPr>
        <w:t>投标有效期内不修改、撤销投标文件。</w:t>
      </w:r>
    </w:p>
    <w:p>
      <w:pPr>
        <w:spacing w:line="440" w:lineRule="exact"/>
        <w:ind w:firstLine="405"/>
        <w:rPr>
          <w:rFonts w:ascii="宋体" w:hAnsi="宋体"/>
          <w:color w:val="auto"/>
          <w:highlight w:val="none"/>
        </w:rPr>
      </w:pPr>
      <w:r>
        <w:rPr>
          <w:rFonts w:hint="eastAsia"/>
          <w:color w:val="auto"/>
          <w:szCs w:val="21"/>
          <w:highlight w:val="none"/>
        </w:rPr>
        <w:t>3</w:t>
      </w:r>
      <w:r>
        <w:rPr>
          <w:color w:val="auto"/>
          <w:szCs w:val="21"/>
          <w:highlight w:val="none"/>
        </w:rPr>
        <w:t xml:space="preserve">. </w:t>
      </w:r>
      <w:r>
        <w:rPr>
          <w:rFonts w:ascii="宋体" w:hAnsi="宋体"/>
          <w:color w:val="auto"/>
          <w:highlight w:val="none"/>
        </w:rPr>
        <w:t>随同本投标函提交投标保证金一份，金额为人民币（大写）</w:t>
      </w:r>
      <w:r>
        <w:rPr>
          <w:rFonts w:ascii="宋体" w:hAnsi="宋体"/>
          <w:color w:val="auto"/>
          <w:highlight w:val="none"/>
          <w:u w:val="single"/>
        </w:rPr>
        <w:t xml:space="preserve">      </w:t>
      </w:r>
      <w:r>
        <w:rPr>
          <w:rFonts w:ascii="宋体" w:hAnsi="宋体"/>
          <w:color w:val="auto"/>
          <w:highlight w:val="none"/>
        </w:rPr>
        <w:t>（¥</w:t>
      </w:r>
      <w:r>
        <w:rPr>
          <w:rFonts w:ascii="宋体" w:hAnsi="宋体"/>
          <w:color w:val="auto"/>
          <w:highlight w:val="none"/>
          <w:u w:val="single"/>
        </w:rPr>
        <w:t xml:space="preserve">      </w:t>
      </w:r>
      <w:r>
        <w:rPr>
          <w:rFonts w:hint="eastAsia" w:hAnsi="宋体"/>
          <w:color w:val="auto"/>
          <w:highlight w:val="none"/>
        </w:rPr>
        <w:t>万元</w:t>
      </w:r>
      <w:r>
        <w:rPr>
          <w:rFonts w:ascii="宋体" w:hAnsi="宋体"/>
          <w:color w:val="auto"/>
          <w:highlight w:val="none"/>
        </w:rPr>
        <w:t>）。</w:t>
      </w:r>
    </w:p>
    <w:p>
      <w:pPr>
        <w:spacing w:line="440" w:lineRule="exact"/>
        <w:ind w:firstLine="420" w:firstLineChars="200"/>
        <w:rPr>
          <w:color w:val="auto"/>
          <w:szCs w:val="21"/>
          <w:highlight w:val="none"/>
        </w:rPr>
      </w:pPr>
      <w:r>
        <w:rPr>
          <w:color w:val="auto"/>
          <w:szCs w:val="21"/>
          <w:highlight w:val="none"/>
        </w:rPr>
        <w:t>4</w:t>
      </w:r>
      <w:r>
        <w:rPr>
          <w:rFonts w:hint="eastAsia"/>
          <w:color w:val="auto"/>
          <w:szCs w:val="21"/>
          <w:highlight w:val="none"/>
        </w:rPr>
        <w:t xml:space="preserve">. </w:t>
      </w:r>
      <w:r>
        <w:rPr>
          <w:color w:val="auto"/>
          <w:szCs w:val="21"/>
          <w:highlight w:val="none"/>
        </w:rPr>
        <w:t>如我方中标，我方承诺：</w:t>
      </w:r>
    </w:p>
    <w:p>
      <w:pPr>
        <w:spacing w:line="440" w:lineRule="exact"/>
        <w:ind w:left="945" w:leftChars="400" w:hanging="105" w:hangingChars="50"/>
        <w:rPr>
          <w:color w:val="auto"/>
          <w:szCs w:val="21"/>
          <w:highlight w:val="none"/>
        </w:rPr>
      </w:pPr>
      <w:r>
        <w:rPr>
          <w:color w:val="auto"/>
          <w:szCs w:val="21"/>
          <w:highlight w:val="none"/>
        </w:rPr>
        <w:t>（1）在收到中标通知书后，在中标通知书规定的期限内与你方签订合同；</w:t>
      </w:r>
    </w:p>
    <w:p>
      <w:pPr>
        <w:spacing w:line="440" w:lineRule="exact"/>
        <w:ind w:left="945" w:leftChars="400" w:hanging="105" w:hangingChars="50"/>
        <w:rPr>
          <w:color w:val="auto"/>
          <w:szCs w:val="21"/>
          <w:highlight w:val="none"/>
        </w:rPr>
      </w:pPr>
      <w:r>
        <w:rPr>
          <w:color w:val="auto"/>
          <w:szCs w:val="21"/>
          <w:highlight w:val="none"/>
        </w:rPr>
        <w:t>（2）在签订合同时不向你方提出附加条件；</w:t>
      </w:r>
    </w:p>
    <w:p>
      <w:pPr>
        <w:spacing w:line="440" w:lineRule="exact"/>
        <w:ind w:left="945" w:leftChars="400" w:hanging="105" w:hangingChars="50"/>
        <w:rPr>
          <w:color w:val="auto"/>
          <w:szCs w:val="21"/>
          <w:highlight w:val="none"/>
        </w:rPr>
      </w:pPr>
      <w:r>
        <w:rPr>
          <w:rFonts w:hint="eastAsia"/>
          <w:color w:val="auto"/>
          <w:szCs w:val="21"/>
          <w:highlight w:val="none"/>
        </w:rPr>
        <w:t>（3）</w:t>
      </w:r>
      <w:r>
        <w:rPr>
          <w:rFonts w:hint="eastAsia" w:hAnsi="宋体"/>
          <w:color w:val="auto"/>
          <w:highlight w:val="none"/>
          <w:u w:val="single"/>
        </w:rPr>
        <w:t>按招标文件规定的时间节点内完成</w:t>
      </w:r>
      <w:r>
        <w:rPr>
          <w:rFonts w:hint="eastAsia" w:hAnsi="宋体"/>
          <w:color w:val="auto"/>
          <w:highlight w:val="none"/>
        </w:rPr>
        <w:t>工程的勘察设计及相关配套服务工作。</w:t>
      </w:r>
    </w:p>
    <w:p>
      <w:pPr>
        <w:spacing w:line="440" w:lineRule="exact"/>
        <w:ind w:left="945" w:leftChars="400" w:hanging="105" w:hangingChars="50"/>
        <w:rPr>
          <w:color w:val="auto"/>
          <w:szCs w:val="21"/>
          <w:highlight w:val="none"/>
        </w:rPr>
      </w:pPr>
      <w:r>
        <w:rPr>
          <w:color w:val="auto"/>
          <w:szCs w:val="21"/>
          <w:highlight w:val="none"/>
        </w:rPr>
        <w:t>（</w:t>
      </w:r>
      <w:r>
        <w:rPr>
          <w:rFonts w:hint="eastAsia"/>
          <w:color w:val="auto"/>
          <w:szCs w:val="21"/>
          <w:highlight w:val="none"/>
        </w:rPr>
        <w:t>4</w:t>
      </w:r>
      <w:r>
        <w:rPr>
          <w:color w:val="auto"/>
          <w:szCs w:val="21"/>
          <w:highlight w:val="none"/>
        </w:rPr>
        <w:t>）按照招标文件要求提交履约保证金；</w:t>
      </w:r>
    </w:p>
    <w:p>
      <w:pPr>
        <w:spacing w:line="440" w:lineRule="exact"/>
        <w:ind w:left="945" w:leftChars="400" w:hanging="105" w:hangingChars="50"/>
        <w:rPr>
          <w:color w:val="auto"/>
          <w:szCs w:val="21"/>
          <w:highlight w:val="none"/>
        </w:rPr>
      </w:pPr>
      <w:r>
        <w:rPr>
          <w:color w:val="auto"/>
          <w:szCs w:val="21"/>
          <w:highlight w:val="none"/>
        </w:rPr>
        <w:t>（</w:t>
      </w:r>
      <w:r>
        <w:rPr>
          <w:rFonts w:hint="eastAsia"/>
          <w:color w:val="auto"/>
          <w:szCs w:val="21"/>
          <w:highlight w:val="none"/>
        </w:rPr>
        <w:t>5</w:t>
      </w:r>
      <w:r>
        <w:rPr>
          <w:color w:val="auto"/>
          <w:szCs w:val="21"/>
          <w:highlight w:val="none"/>
        </w:rPr>
        <w:t>）</w:t>
      </w:r>
      <w:r>
        <w:rPr>
          <w:rFonts w:hint="eastAsia"/>
          <w:color w:val="auto"/>
          <w:szCs w:val="21"/>
          <w:highlight w:val="none"/>
        </w:rPr>
        <w:t>除非另外达成协议并生效，你方的中标通知书和我方的投标文件将构成约束我们双方的合同。</w:t>
      </w:r>
    </w:p>
    <w:p>
      <w:pPr>
        <w:spacing w:line="440" w:lineRule="exact"/>
        <w:ind w:left="945" w:leftChars="400" w:hanging="105" w:hangingChars="50"/>
        <w:rPr>
          <w:color w:val="auto"/>
          <w:szCs w:val="21"/>
          <w:highlight w:val="none"/>
        </w:rPr>
      </w:pPr>
      <w:r>
        <w:rPr>
          <w:rFonts w:hint="eastAsia"/>
          <w:color w:val="auto"/>
          <w:szCs w:val="21"/>
          <w:highlight w:val="none"/>
        </w:rPr>
        <w:t>（6）委派</w:t>
      </w:r>
      <w:r>
        <w:rPr>
          <w:color w:val="auto"/>
          <w:szCs w:val="21"/>
          <w:highlight w:val="none"/>
          <w:u w:val="single"/>
        </w:rPr>
        <w:t xml:space="preserve">           </w:t>
      </w:r>
      <w:r>
        <w:rPr>
          <w:rFonts w:hint="eastAsia"/>
          <w:color w:val="auto"/>
          <w:szCs w:val="21"/>
          <w:highlight w:val="none"/>
        </w:rPr>
        <w:t>作为</w:t>
      </w:r>
      <w:r>
        <w:rPr>
          <w:color w:val="auto"/>
          <w:szCs w:val="21"/>
          <w:highlight w:val="none"/>
        </w:rPr>
        <w:t>本项目的</w:t>
      </w:r>
      <w:r>
        <w:rPr>
          <w:rFonts w:hint="eastAsia"/>
          <w:color w:val="auto"/>
          <w:szCs w:val="21"/>
          <w:highlight w:val="none"/>
        </w:rPr>
        <w:t>项目负责人。</w:t>
      </w:r>
    </w:p>
    <w:p>
      <w:pPr>
        <w:spacing w:line="440" w:lineRule="exact"/>
        <w:ind w:firstLine="420" w:firstLineChars="200"/>
        <w:rPr>
          <w:color w:val="auto"/>
          <w:szCs w:val="21"/>
          <w:highlight w:val="none"/>
        </w:rPr>
      </w:pPr>
      <w:r>
        <w:rPr>
          <w:rFonts w:hint="eastAsia"/>
          <w:color w:val="auto"/>
          <w:szCs w:val="21"/>
          <w:highlight w:val="none"/>
        </w:rPr>
        <w:t xml:space="preserve">5. </w:t>
      </w:r>
      <w:r>
        <w:rPr>
          <w:rFonts w:hint="eastAsia" w:hAnsi="宋体"/>
          <w:color w:val="auto"/>
          <w:highlight w:val="none"/>
        </w:rPr>
        <w:t>我方</w:t>
      </w:r>
      <w:r>
        <w:rPr>
          <w:rFonts w:hAnsi="宋体"/>
          <w:color w:val="auto"/>
          <w:highlight w:val="none"/>
        </w:rPr>
        <w:t>同意自行承担投标所发生的一切费用。</w:t>
      </w:r>
    </w:p>
    <w:p>
      <w:pPr>
        <w:spacing w:line="440" w:lineRule="exact"/>
        <w:ind w:firstLine="420" w:firstLineChars="200"/>
        <w:rPr>
          <w:color w:val="auto"/>
          <w:szCs w:val="21"/>
          <w:highlight w:val="none"/>
        </w:rPr>
      </w:pPr>
      <w:r>
        <w:rPr>
          <w:rFonts w:hint="eastAsia"/>
          <w:color w:val="auto"/>
          <w:szCs w:val="21"/>
          <w:highlight w:val="none"/>
        </w:rPr>
        <w:t xml:space="preserve">6. </w:t>
      </w:r>
      <w:r>
        <w:rPr>
          <w:color w:val="auto"/>
          <w:szCs w:val="21"/>
          <w:highlight w:val="none"/>
        </w:rPr>
        <w:t>我方在此声明，所递交的投标文件及有关资料内容完整、真实和准确，且不存在第二章</w:t>
      </w:r>
      <w:r>
        <w:rPr>
          <w:rFonts w:hint="eastAsia"/>
          <w:color w:val="auto"/>
          <w:szCs w:val="21"/>
          <w:highlight w:val="none"/>
        </w:rPr>
        <w:t>“</w:t>
      </w:r>
      <w:r>
        <w:rPr>
          <w:color w:val="auto"/>
          <w:szCs w:val="21"/>
          <w:highlight w:val="none"/>
        </w:rPr>
        <w:t>投标人须知</w:t>
      </w:r>
      <w:r>
        <w:rPr>
          <w:rFonts w:hint="eastAsia"/>
          <w:color w:val="auto"/>
          <w:szCs w:val="21"/>
          <w:highlight w:val="none"/>
        </w:rPr>
        <w:t>”</w:t>
      </w:r>
      <w:r>
        <w:rPr>
          <w:color w:val="auto"/>
          <w:szCs w:val="21"/>
          <w:highlight w:val="none"/>
        </w:rPr>
        <w:t>第1.4.3项规定的任何一种情形。</w:t>
      </w:r>
    </w:p>
    <w:p>
      <w:pPr>
        <w:spacing w:line="440" w:lineRule="exact"/>
        <w:ind w:firstLine="420" w:firstLineChars="200"/>
        <w:rPr>
          <w:color w:val="auto"/>
          <w:szCs w:val="21"/>
          <w:highlight w:val="none"/>
        </w:rPr>
      </w:pPr>
      <w:r>
        <w:rPr>
          <w:rFonts w:hint="eastAsia"/>
          <w:color w:val="auto"/>
          <w:szCs w:val="21"/>
          <w:highlight w:val="none"/>
        </w:rPr>
        <w:t xml:space="preserve">7. </w:t>
      </w:r>
      <w:r>
        <w:rPr>
          <w:color w:val="auto"/>
          <w:szCs w:val="21"/>
          <w:highlight w:val="none"/>
        </w:rPr>
        <w:t>我方承诺在履约期间严格执行南网相关管理制度及规定。如若违反相关条款，自愿接受相关的处罚。</w:t>
      </w:r>
    </w:p>
    <w:p>
      <w:pPr>
        <w:spacing w:line="440" w:lineRule="exact"/>
        <w:ind w:firstLine="420" w:firstLineChars="200"/>
        <w:rPr>
          <w:rFonts w:hAnsi="宋体"/>
          <w:color w:val="auto"/>
          <w:szCs w:val="21"/>
          <w:highlight w:val="none"/>
        </w:rPr>
      </w:pPr>
      <w:r>
        <w:rPr>
          <w:rFonts w:hint="eastAsia"/>
          <w:color w:val="auto"/>
          <w:szCs w:val="21"/>
          <w:highlight w:val="none"/>
        </w:rPr>
        <w:t xml:space="preserve">8. </w:t>
      </w:r>
      <w:r>
        <w:rPr>
          <w:rFonts w:hint="eastAsia" w:hAnsi="宋体"/>
          <w:color w:val="auto"/>
          <w:szCs w:val="21"/>
          <w:highlight w:val="none"/>
        </w:rPr>
        <w:t>我方承诺在参加承包商评价和投标中，如有弄虚作假，自愿接受停止投标资格等相关的处罚。</w:t>
      </w:r>
    </w:p>
    <w:p>
      <w:pPr>
        <w:spacing w:line="440" w:lineRule="exact"/>
        <w:ind w:firstLine="420" w:firstLineChars="200"/>
        <w:rPr>
          <w:rFonts w:hAnsi="宋体"/>
          <w:color w:val="auto"/>
          <w:szCs w:val="21"/>
          <w:highlight w:val="none"/>
        </w:rPr>
      </w:pPr>
      <w:r>
        <w:rPr>
          <w:rFonts w:hint="eastAsia" w:hAnsi="宋体"/>
          <w:color w:val="auto"/>
          <w:szCs w:val="21"/>
          <w:highlight w:val="none"/>
        </w:rPr>
        <w:t xml:space="preserve">9. </w:t>
      </w:r>
      <w:r>
        <w:rPr>
          <w:color w:val="auto"/>
          <w:szCs w:val="21"/>
          <w:highlight w:val="none"/>
        </w:rPr>
        <w:t>我方承诺按照中国南方电网有限责任公司标准设计和典型造价开展设计工作，按相关管理规定在标准设计和典型造价应用管理平台（www.csgstd.com）上进行备案和上报。</w:t>
      </w:r>
      <w:r>
        <w:rPr>
          <w:color w:val="auto"/>
          <w:szCs w:val="21"/>
          <w:highlight w:val="none"/>
          <w:u w:val="single"/>
        </w:rPr>
        <w:t>全面开展标准建设工作。</w:t>
      </w:r>
    </w:p>
    <w:p>
      <w:pPr>
        <w:spacing w:line="440" w:lineRule="exact"/>
        <w:ind w:firstLine="420" w:firstLineChars="200"/>
        <w:rPr>
          <w:color w:val="auto"/>
          <w:szCs w:val="21"/>
          <w:highlight w:val="none"/>
          <w:u w:val="single"/>
        </w:rPr>
      </w:pPr>
      <w:r>
        <w:rPr>
          <w:rFonts w:hint="eastAsia"/>
          <w:color w:val="auto"/>
          <w:szCs w:val="21"/>
          <w:highlight w:val="none"/>
          <w:u w:val="single"/>
        </w:rPr>
        <w:t xml:space="preserve">10. </w:t>
      </w:r>
      <w:r>
        <w:rPr>
          <w:rFonts w:hint="eastAsia" w:hAnsi="宋体"/>
          <w:color w:val="auto"/>
          <w:highlight w:val="none"/>
          <w:u w:val="single"/>
        </w:rPr>
        <w:t>我方中标的标段优先顺序</w:t>
      </w:r>
      <w:r>
        <w:rPr>
          <w:rFonts w:hint="eastAsia" w:hAnsi="宋体"/>
          <w:color w:val="auto"/>
          <w:szCs w:val="21"/>
          <w:highlight w:val="none"/>
          <w:u w:val="single"/>
        </w:rPr>
        <w:t>（按优先级从前至后，需涵盖本项目投标的所有标段（不包含未投标的标段），各标段中的优先顺序需保持一致）</w:t>
      </w:r>
      <w:r>
        <w:rPr>
          <w:rFonts w:hint="eastAsia" w:hAnsi="宋体"/>
          <w:color w:val="auto"/>
          <w:highlight w:val="none"/>
          <w:u w:val="single"/>
        </w:rPr>
        <w:t>为：</w:t>
      </w:r>
      <w:r>
        <w:rPr>
          <w:rFonts w:hint="eastAsia" w:hAnsi="宋体"/>
          <w:bCs/>
          <w:color w:val="auto"/>
          <w:highlight w:val="none"/>
          <w:u w:val="single"/>
        </w:rPr>
        <w:t xml:space="preserve">  </w:t>
      </w:r>
      <w:r>
        <w:rPr>
          <w:rFonts w:hAnsi="宋体"/>
          <w:bCs/>
          <w:color w:val="auto"/>
          <w:highlight w:val="none"/>
          <w:u w:val="single"/>
        </w:rPr>
        <w:t>/</w:t>
      </w:r>
      <w:r>
        <w:rPr>
          <w:rFonts w:hint="eastAsia" w:hAnsi="宋体"/>
          <w:bCs/>
          <w:color w:val="auto"/>
          <w:highlight w:val="none"/>
          <w:u w:val="single"/>
        </w:rPr>
        <w:t xml:space="preserve"> </w:t>
      </w:r>
      <w:r>
        <w:rPr>
          <w:color w:val="auto"/>
          <w:szCs w:val="21"/>
          <w:highlight w:val="none"/>
          <w:u w:val="single"/>
        </w:rPr>
        <w:t>。</w:t>
      </w:r>
    </w:p>
    <w:p>
      <w:pPr>
        <w:spacing w:line="440" w:lineRule="exact"/>
        <w:ind w:firstLine="420" w:firstLineChars="200"/>
        <w:rPr>
          <w:color w:val="auto"/>
          <w:szCs w:val="21"/>
          <w:highlight w:val="none"/>
        </w:rPr>
      </w:pPr>
    </w:p>
    <w:p>
      <w:pPr>
        <w:spacing w:line="440" w:lineRule="exact"/>
        <w:ind w:firstLine="2520" w:firstLineChars="1200"/>
        <w:jc w:val="left"/>
        <w:rPr>
          <w:color w:val="auto"/>
          <w:szCs w:val="21"/>
          <w:highlight w:val="none"/>
        </w:rPr>
      </w:pPr>
      <w:r>
        <w:rPr>
          <w:color w:val="auto"/>
          <w:szCs w:val="21"/>
          <w:highlight w:val="none"/>
        </w:rPr>
        <w:t>投 标 人：</w:t>
      </w:r>
      <w:r>
        <w:rPr>
          <w:color w:val="auto"/>
          <w:szCs w:val="21"/>
          <w:highlight w:val="none"/>
          <w:u w:val="single"/>
        </w:rPr>
        <w:t xml:space="preserve">                                </w:t>
      </w:r>
      <w:r>
        <w:rPr>
          <w:color w:val="auto"/>
          <w:szCs w:val="21"/>
          <w:highlight w:val="none"/>
          <w:u w:val="single"/>
        </w:rPr>
        <w:tab/>
      </w:r>
      <w:r>
        <w:rPr>
          <w:color w:val="auto"/>
          <w:szCs w:val="21"/>
          <w:highlight w:val="none"/>
        </w:rPr>
        <w:t>（盖单位</w:t>
      </w:r>
      <w:r>
        <w:rPr>
          <w:rFonts w:hint="eastAsia"/>
          <w:color w:val="auto"/>
          <w:szCs w:val="21"/>
          <w:highlight w:val="none"/>
        </w:rPr>
        <w:t>公</w:t>
      </w:r>
      <w:r>
        <w:rPr>
          <w:color w:val="auto"/>
          <w:szCs w:val="21"/>
          <w:highlight w:val="none"/>
        </w:rPr>
        <w:t>章）</w:t>
      </w:r>
    </w:p>
    <w:p>
      <w:pPr>
        <w:spacing w:line="440" w:lineRule="exact"/>
        <w:jc w:val="left"/>
        <w:rPr>
          <w:color w:val="auto"/>
          <w:szCs w:val="21"/>
          <w:highlight w:val="none"/>
        </w:rPr>
      </w:pPr>
      <w:r>
        <w:rPr>
          <w:color w:val="auto"/>
          <w:highlight w:val="none"/>
        </w:rPr>
        <w:t xml:space="preserve">                        法定代表人</w:t>
      </w:r>
      <w:r>
        <w:rPr>
          <w:color w:val="auto"/>
          <w:szCs w:val="21"/>
          <w:highlight w:val="none"/>
        </w:rPr>
        <w:t>或其委托代理人：</w:t>
      </w:r>
      <w:r>
        <w:rPr>
          <w:color w:val="auto"/>
          <w:szCs w:val="21"/>
          <w:highlight w:val="none"/>
          <w:u w:val="single"/>
        </w:rPr>
        <w:t xml:space="preserve">       </w:t>
      </w:r>
      <w:r>
        <w:rPr>
          <w:color w:val="auto"/>
          <w:szCs w:val="21"/>
          <w:highlight w:val="none"/>
          <w:u w:val="single"/>
        </w:rPr>
        <w:tab/>
      </w:r>
      <w:r>
        <w:rPr>
          <w:color w:val="auto"/>
          <w:szCs w:val="21"/>
          <w:highlight w:val="none"/>
        </w:rPr>
        <w:t>（</w:t>
      </w:r>
      <w:r>
        <w:rPr>
          <w:rFonts w:hint="eastAsia" w:ascii="宋体" w:hAnsi="宋体"/>
          <w:color w:val="auto"/>
          <w:szCs w:val="21"/>
          <w:highlight w:val="none"/>
        </w:rPr>
        <w:t>签名或签章</w:t>
      </w:r>
      <w:r>
        <w:rPr>
          <w:color w:val="auto"/>
          <w:szCs w:val="21"/>
          <w:highlight w:val="none"/>
        </w:rPr>
        <w:t>）</w:t>
      </w:r>
    </w:p>
    <w:p>
      <w:pPr>
        <w:spacing w:line="440" w:lineRule="exact"/>
        <w:ind w:firstLine="2520" w:firstLineChars="1200"/>
        <w:jc w:val="left"/>
        <w:rPr>
          <w:color w:val="auto"/>
          <w:szCs w:val="21"/>
          <w:highlight w:val="none"/>
        </w:rPr>
      </w:pPr>
      <w:r>
        <w:rPr>
          <w:color w:val="auto"/>
          <w:szCs w:val="21"/>
          <w:highlight w:val="none"/>
        </w:rPr>
        <w:t>地    址：</w:t>
      </w:r>
      <w:r>
        <w:rPr>
          <w:color w:val="auto"/>
          <w:szCs w:val="21"/>
          <w:highlight w:val="none"/>
          <w:u w:val="single"/>
        </w:rPr>
        <w:t xml:space="preserve">          </w:t>
      </w:r>
      <w:r>
        <w:rPr>
          <w:color w:val="auto"/>
          <w:szCs w:val="21"/>
          <w:highlight w:val="none"/>
          <w:u w:val="single"/>
        </w:rPr>
        <w:tab/>
      </w:r>
      <w:r>
        <w:rPr>
          <w:color w:val="auto"/>
          <w:szCs w:val="21"/>
          <w:highlight w:val="none"/>
          <w:u w:val="single"/>
        </w:rPr>
        <w:t xml:space="preserve">                             </w:t>
      </w:r>
      <w:r>
        <w:rPr>
          <w:color w:val="auto"/>
          <w:szCs w:val="21"/>
          <w:highlight w:val="none"/>
          <w:u w:val="single"/>
        </w:rPr>
        <w:tab/>
      </w:r>
    </w:p>
    <w:p>
      <w:pPr>
        <w:spacing w:line="440" w:lineRule="exact"/>
        <w:ind w:firstLine="2520" w:firstLineChars="1200"/>
        <w:jc w:val="left"/>
        <w:rPr>
          <w:color w:val="auto"/>
          <w:szCs w:val="21"/>
          <w:highlight w:val="none"/>
        </w:rPr>
      </w:pPr>
      <w:r>
        <w:rPr>
          <w:color w:val="auto"/>
          <w:szCs w:val="21"/>
          <w:highlight w:val="none"/>
        </w:rPr>
        <w:t>电    话：</w:t>
      </w:r>
      <w:r>
        <w:rPr>
          <w:color w:val="auto"/>
          <w:szCs w:val="21"/>
          <w:highlight w:val="none"/>
          <w:u w:val="single"/>
        </w:rPr>
        <w:t xml:space="preserve">          </w:t>
      </w:r>
      <w:r>
        <w:rPr>
          <w:color w:val="auto"/>
          <w:szCs w:val="21"/>
          <w:highlight w:val="none"/>
          <w:u w:val="single"/>
        </w:rPr>
        <w:tab/>
      </w:r>
      <w:r>
        <w:rPr>
          <w:color w:val="auto"/>
          <w:szCs w:val="21"/>
          <w:highlight w:val="none"/>
          <w:u w:val="single"/>
        </w:rPr>
        <w:t xml:space="preserve">                          </w:t>
      </w:r>
      <w:r>
        <w:rPr>
          <w:color w:val="auto"/>
          <w:szCs w:val="21"/>
          <w:highlight w:val="none"/>
          <w:u w:val="single"/>
        </w:rPr>
        <w:tab/>
      </w:r>
      <w:r>
        <w:rPr>
          <w:color w:val="auto"/>
          <w:szCs w:val="21"/>
          <w:highlight w:val="none"/>
          <w:u w:val="single"/>
        </w:rPr>
        <w:t xml:space="preserve">    </w:t>
      </w:r>
    </w:p>
    <w:p>
      <w:pPr>
        <w:spacing w:line="440" w:lineRule="exact"/>
        <w:ind w:firstLine="2520" w:firstLineChars="1200"/>
        <w:jc w:val="left"/>
        <w:rPr>
          <w:color w:val="auto"/>
          <w:szCs w:val="21"/>
          <w:highlight w:val="none"/>
        </w:rPr>
      </w:pPr>
      <w:r>
        <w:rPr>
          <w:color w:val="auto"/>
          <w:szCs w:val="21"/>
          <w:highlight w:val="none"/>
        </w:rPr>
        <w:t>传    真：</w:t>
      </w:r>
      <w:r>
        <w:rPr>
          <w:color w:val="auto"/>
          <w:szCs w:val="21"/>
          <w:highlight w:val="none"/>
          <w:u w:val="single"/>
        </w:rPr>
        <w:t xml:space="preserve">          </w:t>
      </w:r>
      <w:r>
        <w:rPr>
          <w:color w:val="auto"/>
          <w:szCs w:val="21"/>
          <w:highlight w:val="none"/>
          <w:u w:val="single"/>
        </w:rPr>
        <w:tab/>
      </w:r>
      <w:r>
        <w:rPr>
          <w:color w:val="auto"/>
          <w:szCs w:val="21"/>
          <w:highlight w:val="none"/>
          <w:u w:val="single"/>
        </w:rPr>
        <w:t xml:space="preserve">                                </w:t>
      </w:r>
    </w:p>
    <w:p>
      <w:pPr>
        <w:spacing w:line="440" w:lineRule="exact"/>
        <w:ind w:firstLine="2520" w:firstLineChars="1200"/>
        <w:jc w:val="left"/>
        <w:rPr>
          <w:color w:val="auto"/>
          <w:szCs w:val="21"/>
          <w:highlight w:val="none"/>
        </w:rPr>
      </w:pPr>
      <w:r>
        <w:rPr>
          <w:color w:val="auto"/>
          <w:szCs w:val="21"/>
          <w:highlight w:val="none"/>
        </w:rPr>
        <w:t>邮政编码：</w:t>
      </w:r>
      <w:r>
        <w:rPr>
          <w:color w:val="auto"/>
          <w:szCs w:val="21"/>
          <w:highlight w:val="none"/>
          <w:u w:val="single"/>
        </w:rPr>
        <w:t xml:space="preserve">          </w:t>
      </w:r>
      <w:r>
        <w:rPr>
          <w:color w:val="auto"/>
          <w:szCs w:val="21"/>
          <w:highlight w:val="none"/>
          <w:u w:val="single"/>
        </w:rPr>
        <w:tab/>
      </w:r>
      <w:r>
        <w:rPr>
          <w:color w:val="auto"/>
          <w:szCs w:val="21"/>
          <w:highlight w:val="none"/>
          <w:u w:val="single"/>
        </w:rPr>
        <w:t xml:space="preserve">                                </w:t>
      </w:r>
    </w:p>
    <w:p>
      <w:pPr>
        <w:spacing w:line="440" w:lineRule="exact"/>
        <w:ind w:firstLine="4725" w:firstLineChars="2250"/>
        <w:jc w:val="right"/>
        <w:rPr>
          <w:color w:val="auto"/>
          <w:szCs w:val="21"/>
          <w:highlight w:val="none"/>
        </w:rPr>
      </w:pPr>
      <w:r>
        <w:rPr>
          <w:color w:val="auto"/>
          <w:highlight w:val="none"/>
          <w:u w:val="single"/>
        </w:rPr>
        <w:t xml:space="preserve">      </w:t>
      </w:r>
      <w:r>
        <w:rPr>
          <w:color w:val="auto"/>
          <w:szCs w:val="21"/>
          <w:highlight w:val="none"/>
        </w:rPr>
        <w:t>年</w:t>
      </w:r>
      <w:r>
        <w:rPr>
          <w:color w:val="auto"/>
          <w:highlight w:val="none"/>
          <w:u w:val="single"/>
        </w:rPr>
        <w:t xml:space="preserve">      </w:t>
      </w:r>
      <w:r>
        <w:rPr>
          <w:color w:val="auto"/>
          <w:szCs w:val="21"/>
          <w:highlight w:val="none"/>
        </w:rPr>
        <w:t>月</w:t>
      </w:r>
      <w:r>
        <w:rPr>
          <w:color w:val="auto"/>
          <w:highlight w:val="none"/>
          <w:u w:val="single"/>
        </w:rPr>
        <w:t xml:space="preserve">      </w:t>
      </w:r>
      <w:r>
        <w:rPr>
          <w:color w:val="auto"/>
          <w:szCs w:val="21"/>
          <w:highlight w:val="none"/>
        </w:rPr>
        <w:t>日</w:t>
      </w:r>
    </w:p>
    <w:p>
      <w:pPr>
        <w:spacing w:line="440" w:lineRule="exact"/>
        <w:rPr>
          <w:color w:val="auto"/>
          <w:szCs w:val="21"/>
          <w:highlight w:val="none"/>
        </w:rPr>
      </w:pPr>
    </w:p>
    <w:p>
      <w:pPr>
        <w:spacing w:line="440" w:lineRule="exact"/>
        <w:rPr>
          <w:color w:val="auto"/>
          <w:szCs w:val="21"/>
          <w:highlight w:val="none"/>
        </w:rPr>
      </w:pPr>
    </w:p>
    <w:p>
      <w:pPr>
        <w:spacing w:line="440" w:lineRule="exact"/>
        <w:rPr>
          <w:rFonts w:eastAsia="黑体"/>
          <w:color w:val="auto"/>
          <w:sz w:val="20"/>
          <w:highlight w:val="none"/>
        </w:rPr>
      </w:pPr>
    </w:p>
    <w:p>
      <w:pPr>
        <w:spacing w:line="440" w:lineRule="exact"/>
        <w:rPr>
          <w:color w:val="auto"/>
          <w:szCs w:val="21"/>
          <w:highlight w:val="none"/>
        </w:rPr>
      </w:pPr>
      <w:r>
        <w:rPr>
          <w:color w:val="auto"/>
          <w:szCs w:val="21"/>
          <w:highlight w:val="none"/>
        </w:rPr>
        <w:br w:type="page"/>
      </w:r>
    </w:p>
    <w:p>
      <w:pPr>
        <w:pStyle w:val="5"/>
        <w:ind w:firstLine="138"/>
        <w:jc w:val="center"/>
        <w:rPr>
          <w:b/>
          <w:bCs/>
          <w:color w:val="auto"/>
          <w:highlight w:val="none"/>
        </w:rPr>
      </w:pPr>
      <w:bookmarkStart w:id="556" w:name="_Toc22710"/>
      <w:r>
        <w:rPr>
          <w:rFonts w:hint="eastAsia"/>
          <w:b/>
          <w:bCs/>
          <w:color w:val="auto"/>
          <w:highlight w:val="none"/>
        </w:rPr>
        <w:t>二、勘察设计费用清单</w:t>
      </w:r>
      <w:bookmarkEnd w:id="556"/>
    </w:p>
    <w:p>
      <w:pPr>
        <w:ind w:firstLine="420" w:firstLineChars="200"/>
        <w:rPr>
          <w:rFonts w:ascii="宋体" w:hAnsi="宋体"/>
          <w:b/>
          <w:color w:val="auto"/>
          <w:sz w:val="24"/>
          <w:szCs w:val="24"/>
          <w:highlight w:val="none"/>
        </w:rPr>
      </w:pPr>
      <w:r>
        <w:rPr>
          <w:rFonts w:ascii="宋体" w:hAnsi="宋体"/>
          <w:color w:val="auto"/>
          <w:highlight w:val="none"/>
        </w:rPr>
        <w:t xml:space="preserve"> </w:t>
      </w:r>
      <w:r>
        <w:rPr>
          <w:rFonts w:ascii="宋体" w:hAnsi="宋体"/>
          <w:b/>
          <w:color w:val="auto"/>
          <w:sz w:val="28"/>
          <w:szCs w:val="28"/>
          <w:highlight w:val="none"/>
        </w:rPr>
        <w:t xml:space="preserve">                        </w:t>
      </w:r>
      <w:r>
        <w:rPr>
          <w:rFonts w:ascii="宋体" w:hAnsi="宋体"/>
          <w:b/>
          <w:color w:val="auto"/>
          <w:sz w:val="24"/>
          <w:szCs w:val="24"/>
          <w:highlight w:val="none"/>
        </w:rPr>
        <w:t>报价书</w:t>
      </w:r>
    </w:p>
    <w:p>
      <w:pPr>
        <w:ind w:firstLine="420" w:firstLineChars="200"/>
        <w:rPr>
          <w:rFonts w:ascii="宋体" w:hAnsi="宋体" w:cs="宋体"/>
          <w:color w:val="auto"/>
          <w:kern w:val="0"/>
          <w:szCs w:val="21"/>
          <w:highlight w:val="none"/>
          <w:lang w:bidi="ar"/>
        </w:rPr>
      </w:pPr>
    </w:p>
    <w:p>
      <w:pPr>
        <w:ind w:firstLine="420" w:firstLineChars="200"/>
        <w:rPr>
          <w:rFonts w:ascii="宋体" w:hAnsi="宋体" w:cs="宋体"/>
          <w:color w:val="auto"/>
          <w:kern w:val="0"/>
          <w:szCs w:val="21"/>
          <w:highlight w:val="none"/>
          <w:lang w:bidi="ar"/>
        </w:rPr>
      </w:pPr>
    </w:p>
    <w:p>
      <w:pPr>
        <w:rPr>
          <w:rFonts w:ascii="宋体" w:hAnsi="宋体" w:cs="宋体"/>
          <w:color w:val="auto"/>
          <w:highlight w:val="none"/>
        </w:rPr>
      </w:pPr>
      <w:r>
        <w:rPr>
          <w:rFonts w:hint="eastAsia" w:ascii="宋体" w:hAnsi="宋体" w:cs="宋体"/>
          <w:color w:val="auto"/>
          <w:kern w:val="0"/>
          <w:szCs w:val="21"/>
          <w:highlight w:val="none"/>
          <w:lang w:bidi="ar"/>
        </w:rPr>
        <w:t xml:space="preserve">项目名称/标段名称：                           </w:t>
      </w:r>
      <w:r>
        <w:rPr>
          <w:rFonts w:ascii="宋体" w:hAnsi="宋体" w:cs="宋体"/>
          <w:color w:val="auto"/>
          <w:kern w:val="0"/>
          <w:szCs w:val="21"/>
          <w:highlight w:val="none"/>
          <w:lang w:bidi="ar"/>
        </w:rPr>
        <w:t xml:space="preserve">  </w:t>
      </w:r>
      <w:r>
        <w:rPr>
          <w:rFonts w:hint="eastAsia" w:ascii="宋体" w:hAnsi="宋体" w:cs="宋体"/>
          <w:color w:val="auto"/>
          <w:kern w:val="0"/>
          <w:szCs w:val="21"/>
          <w:highlight w:val="none"/>
          <w:lang w:bidi="ar"/>
        </w:rPr>
        <w:t xml:space="preserve"> </w:t>
      </w:r>
      <w:r>
        <w:rPr>
          <w:rFonts w:ascii="宋体" w:hAnsi="宋体" w:cs="宋体"/>
          <w:color w:val="auto"/>
          <w:kern w:val="0"/>
          <w:szCs w:val="21"/>
          <w:highlight w:val="none"/>
          <w:lang w:bidi="ar"/>
        </w:rPr>
        <w:t xml:space="preserve">   </w:t>
      </w:r>
      <w:r>
        <w:rPr>
          <w:rFonts w:hint="eastAsia" w:ascii="宋体" w:hAnsi="宋体" w:cs="宋体"/>
          <w:color w:val="auto"/>
          <w:kern w:val="0"/>
          <w:szCs w:val="21"/>
          <w:highlight w:val="none"/>
          <w:lang w:bidi="ar"/>
        </w:rPr>
        <w:t xml:space="preserve">                    单位：元</w:t>
      </w:r>
    </w:p>
    <w:tbl>
      <w:tblPr>
        <w:tblStyle w:val="43"/>
        <w:tblpPr w:leftFromText="180" w:rightFromText="180" w:vertAnchor="text" w:horzAnchor="page" w:tblpX="1666" w:tblpY="2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1"/>
        <w:gridCol w:w="1350"/>
        <w:gridCol w:w="915"/>
        <w:gridCol w:w="780"/>
        <w:gridCol w:w="810"/>
        <w:gridCol w:w="824"/>
        <w:gridCol w:w="791"/>
        <w:gridCol w:w="838"/>
        <w:gridCol w:w="828"/>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1" w:hRule="atLeast"/>
          <w:tblHeader/>
        </w:trPr>
        <w:tc>
          <w:tcPr>
            <w:tcW w:w="561" w:type="dxa"/>
            <w:vMerge w:val="restart"/>
            <w:tcBorders>
              <w:top w:val="single" w:color="auto" w:sz="4" w:space="0"/>
              <w:left w:val="single" w:color="auto" w:sz="4" w:space="0"/>
              <w:right w:val="single" w:color="auto" w:sz="4" w:space="0"/>
            </w:tcBorders>
            <w:noWrap w:val="0"/>
            <w:tcMar>
              <w:top w:w="15" w:type="dxa"/>
              <w:left w:w="15" w:type="dxa"/>
              <w:right w:w="15" w:type="dxa"/>
            </w:tcMar>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序号</w:t>
            </w:r>
          </w:p>
        </w:tc>
        <w:tc>
          <w:tcPr>
            <w:tcW w:w="1350" w:type="dxa"/>
            <w:vMerge w:val="restart"/>
            <w:tcBorders>
              <w:top w:val="single" w:color="auto" w:sz="4" w:space="0"/>
              <w:left w:val="single" w:color="auto" w:sz="4" w:space="0"/>
              <w:right w:val="single" w:color="auto" w:sz="4" w:space="0"/>
            </w:tcBorders>
            <w:noWrap w:val="0"/>
            <w:tcMar>
              <w:top w:w="15" w:type="dxa"/>
              <w:left w:w="15" w:type="dxa"/>
              <w:right w:w="15" w:type="dxa"/>
            </w:tcMar>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项目名称</w:t>
            </w:r>
          </w:p>
        </w:tc>
        <w:tc>
          <w:tcPr>
            <w:tcW w:w="2505" w:type="dxa"/>
            <w:gridSpan w:val="3"/>
            <w:tcBorders>
              <w:top w:val="single" w:color="auto" w:sz="4" w:space="0"/>
              <w:left w:val="single" w:color="auto" w:sz="4" w:space="0"/>
              <w:bottom w:val="single" w:color="auto" w:sz="4" w:space="0"/>
            </w:tcBorders>
            <w:noWrap w:val="0"/>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预计采购金额</w:t>
            </w:r>
          </w:p>
        </w:tc>
        <w:tc>
          <w:tcPr>
            <w:tcW w:w="824" w:type="dxa"/>
            <w:vMerge w:val="restart"/>
            <w:tcBorders>
              <w:top w:val="single" w:color="auto" w:sz="4" w:space="0"/>
              <w:left w:val="single" w:color="auto" w:sz="4" w:space="0"/>
              <w:right w:val="single" w:color="auto" w:sz="4" w:space="0"/>
            </w:tcBorders>
            <w:noWrap w:val="0"/>
            <w:tcMar>
              <w:top w:w="15" w:type="dxa"/>
              <w:left w:w="15" w:type="dxa"/>
              <w:right w:w="15" w:type="dxa"/>
            </w:tcMar>
            <w:vAlign w:val="center"/>
          </w:tcPr>
          <w:p>
            <w:pPr>
              <w:widowControl/>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投标下浮率</w:t>
            </w:r>
          </w:p>
        </w:tc>
        <w:tc>
          <w:tcPr>
            <w:tcW w:w="2457" w:type="dxa"/>
            <w:gridSpan w:val="3"/>
            <w:tcBorders>
              <w:top w:val="single" w:color="auto" w:sz="4" w:space="0"/>
              <w:left w:val="single" w:color="auto" w:sz="4" w:space="0"/>
              <w:bottom w:val="single" w:color="auto" w:sz="4" w:space="0"/>
            </w:tcBorders>
            <w:noWrap w:val="0"/>
            <w:vAlign w:val="center"/>
          </w:tcPr>
          <w:p>
            <w:pPr>
              <w:widowControl/>
              <w:jc w:val="center"/>
              <w:rPr>
                <w:rFonts w:ascii="宋体" w:hAnsi="宋体"/>
                <w:color w:val="auto"/>
                <w:highlight w:val="none"/>
              </w:rPr>
            </w:pPr>
            <w:r>
              <w:rPr>
                <w:rFonts w:hint="eastAsia" w:ascii="宋体" w:hAnsi="宋体" w:cs="宋体"/>
                <w:color w:val="auto"/>
                <w:kern w:val="0"/>
                <w:szCs w:val="21"/>
                <w:highlight w:val="none"/>
                <w:lang w:bidi="ar"/>
              </w:rPr>
              <w:t>投标报价</w:t>
            </w:r>
          </w:p>
        </w:tc>
        <w:tc>
          <w:tcPr>
            <w:tcW w:w="814" w:type="dxa"/>
            <w:vMerge w:val="restart"/>
            <w:tcBorders>
              <w:top w:val="single" w:color="auto" w:sz="4" w:space="0"/>
              <w:left w:val="single" w:color="auto" w:sz="4" w:space="0"/>
              <w:right w:val="single" w:color="auto" w:sz="4" w:space="0"/>
            </w:tcBorders>
            <w:noWrap w:val="0"/>
            <w:tcMar>
              <w:top w:w="15" w:type="dxa"/>
              <w:left w:w="15" w:type="dxa"/>
              <w:right w:w="15" w:type="dxa"/>
            </w:tcMar>
            <w:vAlign w:val="center"/>
          </w:tcPr>
          <w:p>
            <w:pPr>
              <w:widowControl/>
              <w:jc w:val="center"/>
              <w:rPr>
                <w:rFonts w:ascii="宋体" w:hAnsi="宋体" w:cs="宋体"/>
                <w:color w:val="auto"/>
                <w:kern w:val="0"/>
                <w:szCs w:val="21"/>
                <w:highlight w:val="none"/>
                <w:lang w:bidi="ar"/>
              </w:rPr>
            </w:pPr>
            <w:r>
              <w:rPr>
                <w:rFonts w:hint="eastAsia" w:ascii="宋体" w:hAnsi="宋体" w:cs="宋体"/>
                <w:color w:val="auto"/>
                <w:kern w:val="0"/>
                <w:szCs w:val="21"/>
                <w:highlight w:val="none"/>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1" w:hRule="atLeast"/>
          <w:tblHeader/>
        </w:trPr>
        <w:tc>
          <w:tcPr>
            <w:tcW w:w="561" w:type="dxa"/>
            <w:vMerge w:val="continue"/>
            <w:tcBorders>
              <w:left w:val="single" w:color="auto" w:sz="4" w:space="0"/>
              <w:bottom w:val="single" w:color="auto" w:sz="4" w:space="0"/>
              <w:right w:val="single" w:color="auto" w:sz="4" w:space="0"/>
            </w:tcBorders>
            <w:noWrap w:val="0"/>
            <w:tcMar>
              <w:top w:w="15" w:type="dxa"/>
              <w:left w:w="15" w:type="dxa"/>
              <w:right w:w="15" w:type="dxa"/>
            </w:tcMar>
            <w:vAlign w:val="center"/>
          </w:tcPr>
          <w:p>
            <w:pPr>
              <w:widowControl/>
              <w:jc w:val="center"/>
              <w:rPr>
                <w:rFonts w:ascii="宋体" w:hAnsi="宋体" w:cs="宋体"/>
                <w:color w:val="auto"/>
                <w:kern w:val="0"/>
                <w:szCs w:val="21"/>
                <w:highlight w:val="none"/>
                <w:lang w:bidi="ar"/>
              </w:rPr>
            </w:pPr>
          </w:p>
        </w:tc>
        <w:tc>
          <w:tcPr>
            <w:tcW w:w="1350" w:type="dxa"/>
            <w:vMerge w:val="continue"/>
            <w:tcBorders>
              <w:left w:val="single" w:color="auto" w:sz="4" w:space="0"/>
              <w:bottom w:val="single" w:color="auto" w:sz="4" w:space="0"/>
              <w:right w:val="single" w:color="auto" w:sz="4" w:space="0"/>
            </w:tcBorders>
            <w:noWrap w:val="0"/>
            <w:tcMar>
              <w:top w:w="15" w:type="dxa"/>
              <w:left w:w="15" w:type="dxa"/>
              <w:right w:w="15" w:type="dxa"/>
            </w:tcMar>
            <w:vAlign w:val="center"/>
          </w:tcPr>
          <w:p>
            <w:pPr>
              <w:widowControl/>
              <w:jc w:val="center"/>
              <w:rPr>
                <w:rFonts w:ascii="宋体" w:hAnsi="宋体" w:cs="宋体"/>
                <w:color w:val="auto"/>
                <w:kern w:val="0"/>
                <w:szCs w:val="21"/>
                <w:highlight w:val="none"/>
                <w:lang w:bidi="ar"/>
              </w:rPr>
            </w:pPr>
          </w:p>
        </w:tc>
        <w:tc>
          <w:tcPr>
            <w:tcW w:w="91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jc w:val="center"/>
              <w:rPr>
                <w:rFonts w:ascii="宋体" w:hAnsi="宋体" w:cs="宋体"/>
                <w:color w:val="auto"/>
                <w:kern w:val="0"/>
                <w:szCs w:val="21"/>
                <w:highlight w:val="none"/>
                <w:lang w:bidi="ar"/>
              </w:rPr>
            </w:pPr>
            <w:r>
              <w:rPr>
                <w:rFonts w:hint="eastAsia" w:ascii="宋体" w:hAnsi="宋体" w:cs="宋体"/>
                <w:color w:val="auto"/>
                <w:szCs w:val="21"/>
                <w:highlight w:val="none"/>
                <w:lang w:bidi="ar"/>
              </w:rPr>
              <w:t>设计费</w:t>
            </w:r>
          </w:p>
        </w:tc>
        <w:tc>
          <w:tcPr>
            <w:tcW w:w="78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jc w:val="center"/>
              <w:rPr>
                <w:rFonts w:ascii="宋体" w:hAnsi="宋体" w:cs="宋体"/>
                <w:color w:val="auto"/>
                <w:szCs w:val="21"/>
                <w:highlight w:val="none"/>
                <w:lang w:bidi="ar"/>
              </w:rPr>
            </w:pPr>
            <w:r>
              <w:rPr>
                <w:rFonts w:hint="eastAsia" w:ascii="宋体" w:hAnsi="宋体" w:cs="宋体"/>
                <w:color w:val="auto"/>
                <w:szCs w:val="21"/>
                <w:highlight w:val="none"/>
                <w:lang w:bidi="ar"/>
              </w:rPr>
              <w:t>勘</w:t>
            </w:r>
            <w:r>
              <w:rPr>
                <w:rFonts w:hint="eastAsia" w:ascii="宋体" w:hAnsi="宋体" w:cs="宋体"/>
                <w:color w:val="auto"/>
                <w:szCs w:val="21"/>
                <w:highlight w:val="none"/>
                <w:lang w:val="en-US" w:eastAsia="zh-CN" w:bidi="ar"/>
              </w:rPr>
              <w:t>测</w:t>
            </w:r>
            <w:r>
              <w:rPr>
                <w:rFonts w:hint="eastAsia" w:ascii="宋体" w:hAnsi="宋体" w:cs="宋体"/>
                <w:color w:val="auto"/>
                <w:szCs w:val="21"/>
                <w:highlight w:val="none"/>
                <w:lang w:bidi="ar"/>
              </w:rPr>
              <w:t>费</w:t>
            </w:r>
          </w:p>
        </w:tc>
        <w:tc>
          <w:tcPr>
            <w:tcW w:w="81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jc w:val="center"/>
              <w:rPr>
                <w:rFonts w:ascii="宋体" w:hAnsi="宋体" w:cs="宋体"/>
                <w:color w:val="auto"/>
                <w:szCs w:val="21"/>
                <w:highlight w:val="none"/>
                <w:lang w:bidi="ar"/>
              </w:rPr>
            </w:pPr>
            <w:r>
              <w:rPr>
                <w:rFonts w:hint="eastAsia" w:ascii="宋体" w:hAnsi="宋体" w:cs="宋体"/>
                <w:color w:val="auto"/>
                <w:szCs w:val="21"/>
                <w:highlight w:val="none"/>
                <w:lang w:bidi="ar"/>
              </w:rPr>
              <w:t>小计</w:t>
            </w:r>
          </w:p>
        </w:tc>
        <w:tc>
          <w:tcPr>
            <w:tcW w:w="824" w:type="dxa"/>
            <w:vMerge w:val="continue"/>
            <w:tcBorders>
              <w:left w:val="single" w:color="auto" w:sz="4" w:space="0"/>
              <w:bottom w:val="single" w:color="auto" w:sz="4" w:space="0"/>
              <w:right w:val="single" w:color="auto" w:sz="4" w:space="0"/>
            </w:tcBorders>
            <w:noWrap w:val="0"/>
            <w:tcMar>
              <w:top w:w="15" w:type="dxa"/>
              <w:left w:w="15" w:type="dxa"/>
              <w:right w:w="15" w:type="dxa"/>
            </w:tcMar>
            <w:vAlign w:val="center"/>
          </w:tcPr>
          <w:p>
            <w:pPr>
              <w:widowControl/>
              <w:jc w:val="center"/>
              <w:rPr>
                <w:rFonts w:ascii="宋体" w:hAnsi="宋体" w:cs="宋体"/>
                <w:color w:val="auto"/>
                <w:kern w:val="0"/>
                <w:szCs w:val="21"/>
                <w:highlight w:val="none"/>
                <w:lang w:bidi="ar"/>
              </w:rPr>
            </w:pPr>
          </w:p>
        </w:tc>
        <w:tc>
          <w:tcPr>
            <w:tcW w:w="791"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jc w:val="center"/>
              <w:rPr>
                <w:rFonts w:ascii="宋体" w:hAnsi="宋体"/>
                <w:color w:val="auto"/>
                <w:highlight w:val="none"/>
              </w:rPr>
            </w:pPr>
            <w:r>
              <w:rPr>
                <w:rFonts w:hint="eastAsia" w:ascii="宋体" w:hAnsi="宋体" w:cs="宋体"/>
                <w:color w:val="auto"/>
                <w:szCs w:val="21"/>
                <w:highlight w:val="none"/>
                <w:lang w:bidi="ar"/>
              </w:rPr>
              <w:t>设计费</w:t>
            </w:r>
          </w:p>
        </w:tc>
        <w:tc>
          <w:tcPr>
            <w:tcW w:w="83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jc w:val="center"/>
              <w:rPr>
                <w:rFonts w:ascii="宋体" w:hAnsi="宋体"/>
                <w:color w:val="auto"/>
                <w:highlight w:val="none"/>
              </w:rPr>
            </w:pPr>
            <w:r>
              <w:rPr>
                <w:rFonts w:hint="eastAsia" w:ascii="宋体" w:hAnsi="宋体" w:cs="宋体"/>
                <w:color w:val="auto"/>
                <w:szCs w:val="21"/>
                <w:highlight w:val="none"/>
                <w:lang w:bidi="ar"/>
              </w:rPr>
              <w:t>勘</w:t>
            </w:r>
            <w:r>
              <w:rPr>
                <w:rFonts w:hint="eastAsia" w:ascii="宋体" w:hAnsi="宋体" w:cs="宋体"/>
                <w:color w:val="auto"/>
                <w:szCs w:val="21"/>
                <w:highlight w:val="none"/>
                <w:lang w:val="en-US" w:eastAsia="zh-CN" w:bidi="ar"/>
              </w:rPr>
              <w:t>测</w:t>
            </w:r>
            <w:r>
              <w:rPr>
                <w:rFonts w:hint="eastAsia" w:ascii="宋体" w:hAnsi="宋体" w:cs="宋体"/>
                <w:color w:val="auto"/>
                <w:szCs w:val="21"/>
                <w:highlight w:val="none"/>
                <w:lang w:bidi="ar"/>
              </w:rPr>
              <w:t>费</w:t>
            </w:r>
          </w:p>
        </w:tc>
        <w:tc>
          <w:tcPr>
            <w:tcW w:w="82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jc w:val="center"/>
              <w:rPr>
                <w:rFonts w:ascii="宋体" w:hAnsi="宋体"/>
                <w:color w:val="auto"/>
                <w:highlight w:val="none"/>
              </w:rPr>
            </w:pPr>
            <w:r>
              <w:rPr>
                <w:rFonts w:hint="eastAsia" w:ascii="宋体" w:hAnsi="宋体" w:cs="宋体"/>
                <w:color w:val="auto"/>
                <w:szCs w:val="21"/>
                <w:highlight w:val="none"/>
                <w:lang w:bidi="ar"/>
              </w:rPr>
              <w:t>小计</w:t>
            </w:r>
          </w:p>
        </w:tc>
        <w:tc>
          <w:tcPr>
            <w:tcW w:w="814" w:type="dxa"/>
            <w:vMerge w:val="continue"/>
            <w:tcBorders>
              <w:left w:val="single" w:color="auto" w:sz="4" w:space="0"/>
              <w:bottom w:val="single" w:color="auto" w:sz="4" w:space="0"/>
              <w:right w:val="single" w:color="auto" w:sz="4" w:space="0"/>
            </w:tcBorders>
            <w:noWrap w:val="0"/>
            <w:tcMar>
              <w:top w:w="15" w:type="dxa"/>
              <w:left w:w="15" w:type="dxa"/>
              <w:right w:w="15" w:type="dxa"/>
            </w:tcMar>
            <w:vAlign w:val="center"/>
          </w:tcPr>
          <w:p>
            <w:pPr>
              <w:widowControl/>
              <w:jc w:val="center"/>
              <w:rPr>
                <w:rFonts w:ascii="宋体" w:hAnsi="宋体" w:cs="宋体"/>
                <w:color w:val="auto"/>
                <w:kern w:val="0"/>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trPr>
        <w:tc>
          <w:tcPr>
            <w:tcW w:w="561"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一</w:t>
            </w:r>
          </w:p>
        </w:tc>
        <w:tc>
          <w:tcPr>
            <w:tcW w:w="13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jc w:val="left"/>
              <w:rPr>
                <w:rFonts w:hint="default" w:ascii="宋体" w:hAnsi="宋体" w:eastAsia="宋体" w:cs="宋体"/>
                <w:color w:val="auto"/>
                <w:kern w:val="0"/>
                <w:szCs w:val="21"/>
                <w:highlight w:val="none"/>
                <w:lang w:val="en-US" w:eastAsia="zh-CN"/>
              </w:rPr>
            </w:pPr>
            <w:r>
              <w:rPr>
                <w:rFonts w:hint="eastAsia" w:ascii="宋体" w:hAnsi="宋体"/>
                <w:color w:val="auto"/>
                <w:highlight w:val="none"/>
                <w:u w:val="single"/>
              </w:rPr>
              <w:t>松山湖科学城电缆通道项目（二期）</w:t>
            </w:r>
            <w:r>
              <w:rPr>
                <w:rFonts w:hint="eastAsia" w:ascii="宋体" w:hAnsi="宋体"/>
                <w:color w:val="auto"/>
                <w:highlight w:val="none"/>
                <w:u w:val="single"/>
                <w:lang w:val="en-US" w:eastAsia="zh-CN"/>
              </w:rPr>
              <w:t>勘察设计</w:t>
            </w:r>
          </w:p>
        </w:tc>
        <w:tc>
          <w:tcPr>
            <w:tcW w:w="91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5261040.00</w:t>
            </w:r>
          </w:p>
        </w:tc>
        <w:tc>
          <w:tcPr>
            <w:tcW w:w="78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1499068.61</w:t>
            </w:r>
          </w:p>
        </w:tc>
        <w:tc>
          <w:tcPr>
            <w:tcW w:w="81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6760108.61</w:t>
            </w:r>
          </w:p>
        </w:tc>
        <w:tc>
          <w:tcPr>
            <w:tcW w:w="824" w:type="dxa"/>
            <w:vMerge w:val="restart"/>
            <w:tcBorders>
              <w:top w:val="single" w:color="auto" w:sz="4" w:space="0"/>
              <w:left w:val="single" w:color="auto" w:sz="4" w:space="0"/>
              <w:right w:val="single" w:color="auto" w:sz="4" w:space="0"/>
            </w:tcBorders>
            <w:noWrap w:val="0"/>
            <w:tcMar>
              <w:top w:w="15" w:type="dxa"/>
              <w:left w:w="15" w:type="dxa"/>
              <w:right w:w="15" w:type="dxa"/>
            </w:tcMar>
            <w:vAlign w:val="center"/>
          </w:tcPr>
          <w:p>
            <w:pPr>
              <w:widowControl/>
              <w:jc w:val="center"/>
              <w:rPr>
                <w:rFonts w:ascii="宋体" w:hAnsi="宋体" w:cs="宋体"/>
                <w:color w:val="auto"/>
                <w:kern w:val="0"/>
                <w:szCs w:val="21"/>
                <w:highlight w:val="none"/>
              </w:rPr>
            </w:pPr>
          </w:p>
        </w:tc>
        <w:tc>
          <w:tcPr>
            <w:tcW w:w="791"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top"/>
          </w:tcPr>
          <w:p>
            <w:pPr>
              <w:widowControl/>
              <w:jc w:val="center"/>
              <w:rPr>
                <w:rFonts w:ascii="宋体" w:hAnsi="宋体"/>
                <w:color w:val="auto"/>
                <w:highlight w:val="none"/>
              </w:rPr>
            </w:pPr>
          </w:p>
        </w:tc>
        <w:tc>
          <w:tcPr>
            <w:tcW w:w="83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jc w:val="center"/>
              <w:rPr>
                <w:rFonts w:ascii="宋体" w:hAnsi="宋体"/>
                <w:color w:val="auto"/>
                <w:highlight w:val="none"/>
              </w:rPr>
            </w:pPr>
          </w:p>
        </w:tc>
        <w:tc>
          <w:tcPr>
            <w:tcW w:w="82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jc w:val="center"/>
              <w:rPr>
                <w:rFonts w:ascii="宋体" w:hAnsi="宋体"/>
                <w:color w:val="auto"/>
                <w:highlight w:val="none"/>
              </w:rPr>
            </w:pPr>
          </w:p>
        </w:tc>
        <w:tc>
          <w:tcPr>
            <w:tcW w:w="81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jc w:val="center"/>
              <w:rPr>
                <w:rFonts w:ascii="宋体"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trPr>
        <w:tc>
          <w:tcPr>
            <w:tcW w:w="1911" w:type="dxa"/>
            <w:gridSpan w:val="2"/>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合计（</w:t>
            </w:r>
            <w:r>
              <w:rPr>
                <w:rFonts w:hint="eastAsia" w:ascii="宋体" w:hAnsi="宋体" w:cs="宋体"/>
                <w:color w:val="auto"/>
                <w:kern w:val="0"/>
                <w:szCs w:val="21"/>
                <w:highlight w:val="none"/>
                <w:u w:val="single"/>
                <w:lang w:bidi="ar"/>
              </w:rPr>
              <w:t>一+二+...+N</w:t>
            </w:r>
            <w:r>
              <w:rPr>
                <w:rFonts w:hint="eastAsia" w:ascii="宋体" w:hAnsi="宋体" w:cs="宋体"/>
                <w:color w:val="auto"/>
                <w:kern w:val="0"/>
                <w:szCs w:val="21"/>
                <w:highlight w:val="none"/>
                <w:lang w:bidi="ar"/>
              </w:rPr>
              <w:t>）</w:t>
            </w:r>
          </w:p>
        </w:tc>
        <w:tc>
          <w:tcPr>
            <w:tcW w:w="91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5261040.00</w:t>
            </w:r>
          </w:p>
        </w:tc>
        <w:tc>
          <w:tcPr>
            <w:tcW w:w="78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top"/>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1499068.61</w:t>
            </w:r>
          </w:p>
        </w:tc>
        <w:tc>
          <w:tcPr>
            <w:tcW w:w="81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top"/>
          </w:tcPr>
          <w:p>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6760108.61</w:t>
            </w:r>
          </w:p>
        </w:tc>
        <w:tc>
          <w:tcPr>
            <w:tcW w:w="824" w:type="dxa"/>
            <w:tcBorders>
              <w:left w:val="single" w:color="auto" w:sz="4" w:space="0"/>
              <w:bottom w:val="single" w:color="auto" w:sz="4" w:space="0"/>
              <w:right w:val="single" w:color="auto" w:sz="4" w:space="0"/>
              <w:tr2bl w:val="single" w:color="auto" w:sz="4" w:space="0"/>
            </w:tcBorders>
            <w:noWrap w:val="0"/>
            <w:tcMar>
              <w:top w:w="15" w:type="dxa"/>
              <w:left w:w="15" w:type="dxa"/>
              <w:right w:w="15" w:type="dxa"/>
            </w:tcMar>
            <w:vAlign w:val="top"/>
          </w:tcPr>
          <w:p>
            <w:pPr>
              <w:widowControl/>
              <w:jc w:val="left"/>
              <w:rPr>
                <w:rFonts w:ascii="宋体" w:hAnsi="宋体" w:cs="宋体"/>
                <w:color w:val="auto"/>
                <w:kern w:val="0"/>
                <w:szCs w:val="21"/>
                <w:highlight w:val="none"/>
                <w:lang w:bidi="ar"/>
              </w:rPr>
            </w:pPr>
          </w:p>
        </w:tc>
        <w:tc>
          <w:tcPr>
            <w:tcW w:w="791"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top"/>
          </w:tcPr>
          <w:p>
            <w:pPr>
              <w:widowControl/>
              <w:jc w:val="center"/>
              <w:rPr>
                <w:rFonts w:ascii="宋体" w:hAnsi="宋体"/>
                <w:color w:val="auto"/>
                <w:highlight w:val="none"/>
              </w:rPr>
            </w:pPr>
          </w:p>
        </w:tc>
        <w:tc>
          <w:tcPr>
            <w:tcW w:w="83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jc w:val="center"/>
              <w:rPr>
                <w:rFonts w:ascii="宋体" w:hAnsi="宋体"/>
                <w:color w:val="auto"/>
                <w:highlight w:val="none"/>
              </w:rPr>
            </w:pPr>
            <w:r>
              <w:rPr>
                <w:rFonts w:hint="eastAsia" w:ascii="宋体" w:hAnsi="宋体" w:cs="宋体"/>
                <w:color w:val="auto"/>
                <w:kern w:val="0"/>
                <w:szCs w:val="21"/>
                <w:highlight w:val="none"/>
                <w:lang w:bidi="ar"/>
              </w:rPr>
              <w:t>　</w:t>
            </w:r>
          </w:p>
        </w:tc>
        <w:tc>
          <w:tcPr>
            <w:tcW w:w="82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jc w:val="center"/>
              <w:rPr>
                <w:rFonts w:ascii="宋体" w:hAnsi="宋体"/>
                <w:color w:val="auto"/>
                <w:highlight w:val="none"/>
              </w:rPr>
            </w:pPr>
          </w:p>
        </w:tc>
        <w:tc>
          <w:tcPr>
            <w:tcW w:w="81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widowControl/>
              <w:jc w:val="center"/>
              <w:rPr>
                <w:rFonts w:ascii="宋体" w:hAnsi="宋体" w:cs="宋体"/>
                <w:color w:val="auto"/>
                <w:kern w:val="0"/>
                <w:szCs w:val="21"/>
                <w:highlight w:val="none"/>
                <w:lang w:bidi="ar"/>
              </w:rPr>
            </w:pPr>
          </w:p>
        </w:tc>
      </w:tr>
    </w:tbl>
    <w:p>
      <w:pPr>
        <w:rPr>
          <w:rFonts w:ascii="宋体" w:hAnsi="宋体" w:cs="宋体"/>
          <w:color w:val="auto"/>
          <w:highlight w:val="none"/>
        </w:rPr>
      </w:pPr>
      <w:r>
        <w:rPr>
          <w:rFonts w:hint="eastAsia" w:ascii="宋体" w:hAnsi="宋体" w:cs="宋体"/>
          <w:color w:val="auto"/>
          <w:kern w:val="0"/>
          <w:szCs w:val="21"/>
          <w:highlight w:val="none"/>
          <w:lang w:bidi="ar"/>
        </w:rPr>
        <w:t xml:space="preserve">                        </w:t>
      </w:r>
      <w:r>
        <w:rPr>
          <w:rFonts w:ascii="宋体" w:hAnsi="宋体" w:cs="宋体"/>
          <w:color w:val="auto"/>
          <w:kern w:val="0"/>
          <w:szCs w:val="21"/>
          <w:highlight w:val="none"/>
          <w:lang w:bidi="ar"/>
        </w:rPr>
        <w:t xml:space="preserve">  </w:t>
      </w:r>
      <w:r>
        <w:rPr>
          <w:rFonts w:hint="eastAsia" w:ascii="宋体" w:hAnsi="宋体" w:cs="宋体"/>
          <w:color w:val="auto"/>
          <w:kern w:val="0"/>
          <w:szCs w:val="21"/>
          <w:highlight w:val="none"/>
          <w:lang w:bidi="ar"/>
        </w:rPr>
        <w:t xml:space="preserve"> </w:t>
      </w:r>
      <w:r>
        <w:rPr>
          <w:rFonts w:ascii="宋体" w:hAnsi="宋体" w:cs="宋体"/>
          <w:color w:val="auto"/>
          <w:kern w:val="0"/>
          <w:szCs w:val="21"/>
          <w:highlight w:val="none"/>
          <w:lang w:bidi="ar"/>
        </w:rPr>
        <w:t xml:space="preserve">   </w:t>
      </w:r>
      <w:r>
        <w:rPr>
          <w:rFonts w:hint="eastAsia" w:ascii="宋体" w:hAnsi="宋体" w:cs="宋体"/>
          <w:color w:val="auto"/>
          <w:kern w:val="0"/>
          <w:szCs w:val="21"/>
          <w:highlight w:val="none"/>
          <w:lang w:bidi="ar"/>
        </w:rPr>
        <w:t xml:space="preserve">                     </w:t>
      </w:r>
    </w:p>
    <w:p>
      <w:pPr>
        <w:ind w:firstLine="315" w:firstLineChars="150"/>
        <w:rPr>
          <w:rFonts w:ascii="宋体" w:hAnsi="宋体" w:cs="宋体"/>
          <w:color w:val="auto"/>
          <w:highlight w:val="none"/>
        </w:rPr>
      </w:pPr>
      <w:r>
        <w:rPr>
          <w:rFonts w:hint="eastAsia" w:ascii="宋体" w:hAnsi="宋体" w:cs="宋体"/>
          <w:color w:val="auto"/>
          <w:highlight w:val="none"/>
          <w:lang w:bidi="ar"/>
        </w:rPr>
        <w:t xml:space="preserve">      </w:t>
      </w:r>
    </w:p>
    <w:p>
      <w:pPr>
        <w:ind w:firstLine="361" w:firstLineChars="150"/>
        <w:rPr>
          <w:rFonts w:ascii="宋体" w:hAnsi="宋体" w:cs="宋体"/>
          <w:b/>
          <w:color w:val="auto"/>
          <w:sz w:val="24"/>
          <w:highlight w:val="none"/>
          <w:lang w:bidi="ar"/>
        </w:rPr>
      </w:pPr>
    </w:p>
    <w:p>
      <w:pPr>
        <w:ind w:firstLine="361" w:firstLineChars="150"/>
        <w:rPr>
          <w:rFonts w:ascii="宋体" w:hAnsi="宋体" w:cs="宋体"/>
          <w:b/>
          <w:color w:val="auto"/>
          <w:sz w:val="24"/>
          <w:highlight w:val="none"/>
        </w:rPr>
      </w:pPr>
      <w:r>
        <w:rPr>
          <w:rFonts w:hint="eastAsia" w:ascii="宋体" w:hAnsi="宋体" w:cs="宋体"/>
          <w:b/>
          <w:color w:val="auto"/>
          <w:sz w:val="24"/>
          <w:highlight w:val="none"/>
          <w:lang w:bidi="ar"/>
        </w:rPr>
        <w:t>说明：勘察设计费报价及计算书</w:t>
      </w:r>
    </w:p>
    <w:p>
      <w:pPr>
        <w:numPr>
          <w:ilvl w:val="0"/>
          <w:numId w:val="17"/>
        </w:numPr>
        <w:spacing w:line="340" w:lineRule="atLeast"/>
        <w:ind w:firstLine="420" w:firstLineChars="200"/>
        <w:rPr>
          <w:rFonts w:ascii="宋体" w:hAnsi="宋体" w:cs="宋体"/>
          <w:color w:val="auto"/>
          <w:szCs w:val="21"/>
          <w:highlight w:val="none"/>
        </w:rPr>
      </w:pPr>
      <w:r>
        <w:rPr>
          <w:rFonts w:hint="eastAsia" w:ascii="宋体" w:hAnsi="宋体" w:cs="宋体"/>
          <w:color w:val="auto"/>
          <w:highlight w:val="none"/>
          <w:lang w:bidi="ar"/>
        </w:rPr>
        <w:t>投标人参考</w:t>
      </w:r>
      <w:r>
        <w:rPr>
          <w:rFonts w:hint="eastAsia" w:ascii="宋体" w:hAnsi="宋体" w:cs="宋体"/>
          <w:color w:val="auto"/>
          <w:szCs w:val="21"/>
          <w:highlight w:val="none"/>
          <w:u w:val="single"/>
          <w:lang w:bidi="ar"/>
        </w:rPr>
        <w:t xml:space="preserve"> 第五章发包人要求 </w:t>
      </w:r>
      <w:r>
        <w:rPr>
          <w:rFonts w:hint="eastAsia" w:ascii="宋体" w:hAnsi="宋体" w:cs="宋体"/>
          <w:color w:val="auto"/>
          <w:highlight w:val="none"/>
          <w:lang w:bidi="ar"/>
        </w:rPr>
        <w:t>和投标人自身情况以及考虑工程从初步设计至保修期内政策性的调整等因素测算后计算本工程投标报价。</w:t>
      </w:r>
    </w:p>
    <w:p>
      <w:pPr>
        <w:numPr>
          <w:ilvl w:val="0"/>
          <w:numId w:val="17"/>
        </w:numPr>
        <w:spacing w:line="340" w:lineRule="atLeast"/>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勘察设计费报价</w:t>
      </w:r>
      <w:r>
        <w:rPr>
          <w:rFonts w:hint="eastAsia" w:ascii="宋体" w:hAnsi="宋体" w:cs="宋体"/>
          <w:color w:val="auto"/>
          <w:szCs w:val="21"/>
          <w:highlight w:val="none"/>
          <w:lang w:val="en-US" w:eastAsia="zh-CN" w:bidi="ar"/>
        </w:rPr>
        <w:t>包</w:t>
      </w:r>
      <w:r>
        <w:rPr>
          <w:rFonts w:hint="eastAsia" w:ascii="宋体" w:hAnsi="宋体" w:cs="宋体"/>
          <w:color w:val="auto"/>
          <w:szCs w:val="21"/>
          <w:highlight w:val="none"/>
          <w:lang w:bidi="ar"/>
        </w:rPr>
        <w:t>含工程勘察、初步设计、概算、施工图设计、现场技术服务和竣工图配合服务、设计配合结算、电子化移交、物资设备录入、配合建筑方案报批、全面开展标准建设</w:t>
      </w:r>
      <w:r>
        <w:rPr>
          <w:rFonts w:hint="eastAsia" w:ascii="宋体" w:hAnsi="宋体" w:cs="宋体"/>
          <w:color w:val="auto"/>
          <w:szCs w:val="32"/>
          <w:highlight w:val="none"/>
          <w:lang w:bidi="ar"/>
        </w:rPr>
        <w:t>及</w:t>
      </w:r>
      <w:r>
        <w:rPr>
          <w:rFonts w:hint="eastAsia" w:ascii="宋体" w:hAnsi="宋体" w:cs="宋体"/>
          <w:color w:val="auto"/>
          <w:szCs w:val="21"/>
          <w:highlight w:val="none"/>
          <w:lang w:bidi="ar"/>
        </w:rPr>
        <w:t>本招标文件合同条件中全部工作范围，例如报价书中应包括本招标文件要求的以下服务范围的报价(包括但不限于)：</w:t>
      </w:r>
    </w:p>
    <w:p>
      <w:pPr>
        <w:spacing w:line="3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lang w:bidi="ar"/>
        </w:rPr>
        <w:t>线路（电缆）部分：</w:t>
      </w:r>
    </w:p>
    <w:p>
      <w:pPr>
        <w:spacing w:line="3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（1）编制设备材料技术标书、参加评标和签订设备材料采购技术协议。</w:t>
      </w:r>
    </w:p>
    <w:p>
      <w:pPr>
        <w:spacing w:line="3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（2）需要编写初步设计方案与投标方案对比分析报告，报告中要说明初步设计方案采用投标方案情况，要进行2个方案之间的主要技术经济指标对比分析。</w:t>
      </w:r>
    </w:p>
    <w:p>
      <w:pPr>
        <w:spacing w:line="3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（3）需要编写设计总结，设计总结不仅包括技术方面和管理方面的内容，还要包括概算工程量、施工图工程量、竣工图工程量。</w:t>
      </w:r>
    </w:p>
    <w:p>
      <w:pPr>
        <w:spacing w:line="3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（4）配合业主完成工程结算工作、编制投资计算书和工程造价总结。</w:t>
      </w:r>
    </w:p>
    <w:p>
      <w:pPr>
        <w:spacing w:line="3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（5）竣工图</w:t>
      </w:r>
      <w:r>
        <w:rPr>
          <w:rFonts w:hint="eastAsia" w:ascii="宋体" w:hAnsi="宋体" w:cs="宋体"/>
          <w:color w:val="auto"/>
          <w:szCs w:val="21"/>
          <w:highlight w:val="none"/>
          <w:lang w:val="en-US" w:eastAsia="zh-CN" w:bidi="ar"/>
        </w:rPr>
        <w:t>配合服务</w:t>
      </w:r>
      <w:r>
        <w:rPr>
          <w:rFonts w:hint="eastAsia" w:ascii="宋体" w:hAnsi="宋体" w:cs="宋体"/>
          <w:color w:val="auto"/>
          <w:szCs w:val="21"/>
          <w:highlight w:val="none"/>
          <w:lang w:bidi="ar"/>
        </w:rPr>
        <w:t>。</w:t>
      </w:r>
    </w:p>
    <w:p>
      <w:pPr>
        <w:spacing w:line="3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（6）配合进行工程单项科研试验、工程中间验收、竣工验收等工作。</w:t>
      </w:r>
    </w:p>
    <w:p>
      <w:pPr>
        <w:spacing w:line="3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（7）参加与工程相关的各种会议。</w:t>
      </w:r>
    </w:p>
    <w:p>
      <w:pPr>
        <w:spacing w:line="3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（8）承办设计评审、收口及施工图审查等会议，并承担相关费用。</w:t>
      </w:r>
    </w:p>
    <w:p>
      <w:pPr>
        <w:spacing w:line="3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（9）提供初步设计、施工图设计文件的电子版本（必须是WORD、EXCEL或CAD格式）。</w:t>
      </w:r>
    </w:p>
    <w:p>
      <w:pPr>
        <w:spacing w:line="3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（10）配合业主（建设单位）进行施工图大检查（1～2次）及设计考核评比。</w:t>
      </w:r>
    </w:p>
    <w:p>
      <w:pPr>
        <w:spacing w:line="3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bidi="ar"/>
        </w:rPr>
        <w:t>（11）提供通道清理（树木砍伐）分册。</w:t>
      </w:r>
    </w:p>
    <w:p>
      <w:pPr>
        <w:spacing w:line="340" w:lineRule="exact"/>
        <w:ind w:firstLine="420" w:firstLineChars="200"/>
        <w:rPr>
          <w:color w:val="auto"/>
          <w:highlight w:val="none"/>
        </w:rPr>
      </w:pPr>
      <w:r>
        <w:rPr>
          <w:rFonts w:hint="eastAsia" w:ascii="宋体" w:hAnsi="宋体" w:cs="宋体"/>
          <w:color w:val="auto"/>
          <w:szCs w:val="21"/>
          <w:highlight w:val="none"/>
          <w:lang w:bidi="ar"/>
        </w:rPr>
        <w:t>其他：</w:t>
      </w:r>
      <w:r>
        <w:rPr>
          <w:rFonts w:hint="eastAsia" w:ascii="宋体" w:hAnsi="宋体" w:cs="宋体"/>
          <w:color w:val="auto"/>
          <w:highlight w:val="none"/>
          <w:u w:val="single"/>
          <w:lang w:bidi="ar"/>
        </w:rPr>
        <w:t>电缆线路迁改地下管沟的相关描述。</w:t>
      </w:r>
    </w:p>
    <w:p>
      <w:pPr>
        <w:widowControl/>
        <w:ind w:right="105"/>
        <w:jc w:val="left"/>
        <w:rPr>
          <w:color w:val="auto"/>
          <w:kern w:val="0"/>
          <w:highlight w:val="none"/>
        </w:rPr>
      </w:pPr>
    </w:p>
    <w:p>
      <w:pPr>
        <w:pStyle w:val="5"/>
        <w:ind w:firstLine="138"/>
        <w:jc w:val="center"/>
        <w:rPr>
          <w:rFonts w:hint="eastAsia"/>
          <w:b/>
          <w:bCs/>
          <w:color w:val="auto"/>
          <w:highlight w:val="none"/>
        </w:rPr>
      </w:pPr>
      <w:bookmarkStart w:id="557" w:name="_Toc30270"/>
    </w:p>
    <w:p>
      <w:pPr>
        <w:pStyle w:val="5"/>
        <w:ind w:firstLine="138"/>
        <w:jc w:val="center"/>
        <w:rPr>
          <w:rFonts w:hint="eastAsia"/>
          <w:b/>
          <w:bCs/>
          <w:color w:val="auto"/>
          <w:highlight w:val="none"/>
        </w:rPr>
      </w:pPr>
    </w:p>
    <w:p>
      <w:pPr>
        <w:pStyle w:val="5"/>
        <w:ind w:firstLine="138"/>
        <w:jc w:val="center"/>
        <w:rPr>
          <w:rFonts w:hint="eastAsia"/>
          <w:b/>
          <w:bCs/>
          <w:color w:val="auto"/>
          <w:highlight w:val="none"/>
        </w:rPr>
      </w:pPr>
    </w:p>
    <w:p>
      <w:pPr>
        <w:pStyle w:val="5"/>
        <w:ind w:firstLine="138"/>
        <w:jc w:val="center"/>
        <w:rPr>
          <w:rFonts w:hint="eastAsia"/>
          <w:b/>
          <w:bCs/>
          <w:color w:val="auto"/>
          <w:highlight w:val="none"/>
        </w:rPr>
      </w:pPr>
    </w:p>
    <w:p>
      <w:pPr>
        <w:pStyle w:val="5"/>
        <w:ind w:firstLine="138"/>
        <w:jc w:val="center"/>
        <w:rPr>
          <w:rFonts w:hint="eastAsia"/>
          <w:b/>
          <w:bCs/>
          <w:color w:val="auto"/>
          <w:highlight w:val="none"/>
        </w:rPr>
      </w:pPr>
    </w:p>
    <w:p>
      <w:pPr>
        <w:pStyle w:val="5"/>
        <w:ind w:firstLine="138"/>
        <w:jc w:val="center"/>
        <w:rPr>
          <w:rFonts w:hint="eastAsia"/>
          <w:b/>
          <w:bCs/>
          <w:color w:val="auto"/>
          <w:highlight w:val="none"/>
        </w:rPr>
      </w:pPr>
    </w:p>
    <w:p>
      <w:pPr>
        <w:pStyle w:val="5"/>
        <w:ind w:firstLine="138"/>
        <w:jc w:val="center"/>
        <w:rPr>
          <w:rFonts w:hint="eastAsia"/>
          <w:b/>
          <w:bCs/>
          <w:color w:val="auto"/>
          <w:highlight w:val="none"/>
        </w:rPr>
      </w:pPr>
    </w:p>
    <w:p>
      <w:pPr>
        <w:pStyle w:val="5"/>
        <w:ind w:firstLine="138"/>
        <w:jc w:val="center"/>
        <w:rPr>
          <w:rFonts w:hint="eastAsia"/>
          <w:b/>
          <w:bCs/>
          <w:color w:val="auto"/>
          <w:highlight w:val="none"/>
        </w:rPr>
      </w:pPr>
    </w:p>
    <w:p>
      <w:pPr>
        <w:pStyle w:val="5"/>
        <w:ind w:firstLine="138"/>
        <w:jc w:val="center"/>
        <w:rPr>
          <w:rFonts w:hint="eastAsia"/>
          <w:b/>
          <w:bCs/>
          <w:color w:val="auto"/>
          <w:highlight w:val="none"/>
        </w:rPr>
      </w:pPr>
    </w:p>
    <w:p>
      <w:pPr>
        <w:pStyle w:val="5"/>
        <w:ind w:firstLine="138"/>
        <w:jc w:val="center"/>
        <w:rPr>
          <w:rFonts w:hint="eastAsia"/>
          <w:b/>
          <w:bCs/>
          <w:color w:val="auto"/>
          <w:highlight w:val="none"/>
        </w:rPr>
      </w:pPr>
    </w:p>
    <w:p>
      <w:pPr>
        <w:pStyle w:val="5"/>
        <w:ind w:firstLine="138"/>
        <w:jc w:val="center"/>
        <w:rPr>
          <w:rFonts w:hint="eastAsia"/>
          <w:b/>
          <w:bCs/>
          <w:color w:val="auto"/>
          <w:highlight w:val="none"/>
        </w:rPr>
      </w:pPr>
    </w:p>
    <w:p>
      <w:pPr>
        <w:pStyle w:val="5"/>
        <w:ind w:firstLine="138"/>
        <w:jc w:val="center"/>
        <w:rPr>
          <w:rFonts w:hint="eastAsia"/>
          <w:b/>
          <w:bCs/>
          <w:color w:val="auto"/>
          <w:highlight w:val="none"/>
        </w:rPr>
      </w:pPr>
    </w:p>
    <w:p>
      <w:pPr>
        <w:pStyle w:val="5"/>
        <w:ind w:left="0" w:leftChars="0" w:firstLine="0" w:firstLineChars="0"/>
        <w:jc w:val="both"/>
        <w:rPr>
          <w:rFonts w:hint="eastAsia"/>
          <w:b/>
          <w:bCs/>
          <w:color w:val="auto"/>
          <w:highlight w:val="none"/>
        </w:rPr>
      </w:pPr>
    </w:p>
    <w:bookmarkEnd w:id="557"/>
    <w:p>
      <w:pPr>
        <w:rPr>
          <w:color w:val="auto"/>
          <w:highlight w:val="none"/>
        </w:rPr>
      </w:pPr>
    </w:p>
    <w:p>
      <w:pPr>
        <w:pStyle w:val="5"/>
        <w:ind w:left="0" w:leftChars="0" w:firstLine="3092" w:firstLineChars="1100"/>
        <w:jc w:val="both"/>
        <w:rPr>
          <w:rFonts w:hint="eastAsia"/>
          <w:b/>
          <w:bCs/>
          <w:color w:val="auto"/>
          <w:highlight w:val="none"/>
        </w:rPr>
      </w:pPr>
      <w:bookmarkStart w:id="558" w:name="_Toc15066"/>
      <w:r>
        <w:rPr>
          <w:rFonts w:hint="eastAsia"/>
          <w:b/>
          <w:bCs/>
          <w:color w:val="auto"/>
          <w:highlight w:val="none"/>
        </w:rPr>
        <w:t>三、成本分析报告</w:t>
      </w:r>
    </w:p>
    <w:p>
      <w:pPr>
        <w:pStyle w:val="5"/>
        <w:ind w:firstLine="138"/>
        <w:jc w:val="center"/>
        <w:rPr>
          <w:rFonts w:hint="eastAsia"/>
          <w:b/>
          <w:bCs/>
          <w:color w:val="auto"/>
          <w:highlight w:val="none"/>
        </w:rPr>
      </w:pPr>
    </w:p>
    <w:p>
      <w:pPr>
        <w:pStyle w:val="5"/>
        <w:ind w:firstLine="138"/>
        <w:jc w:val="center"/>
        <w:rPr>
          <w:rFonts w:hint="eastAsia"/>
          <w:b/>
          <w:bCs/>
          <w:color w:val="auto"/>
          <w:highlight w:val="none"/>
        </w:rPr>
      </w:pPr>
    </w:p>
    <w:p>
      <w:pPr>
        <w:pStyle w:val="5"/>
        <w:ind w:firstLine="138"/>
        <w:jc w:val="center"/>
        <w:rPr>
          <w:rFonts w:hint="eastAsia"/>
          <w:b/>
          <w:bCs/>
          <w:color w:val="auto"/>
          <w:highlight w:val="none"/>
        </w:rPr>
      </w:pPr>
    </w:p>
    <w:p>
      <w:pPr>
        <w:pStyle w:val="5"/>
        <w:ind w:firstLine="138"/>
        <w:jc w:val="center"/>
        <w:rPr>
          <w:rFonts w:hint="eastAsia"/>
          <w:b/>
          <w:bCs/>
          <w:color w:val="auto"/>
          <w:highlight w:val="none"/>
        </w:rPr>
      </w:pPr>
    </w:p>
    <w:p>
      <w:pPr>
        <w:pStyle w:val="5"/>
        <w:ind w:firstLine="138"/>
        <w:jc w:val="center"/>
        <w:rPr>
          <w:rFonts w:hint="eastAsia"/>
          <w:b/>
          <w:bCs/>
          <w:color w:val="auto"/>
          <w:highlight w:val="none"/>
        </w:rPr>
      </w:pPr>
    </w:p>
    <w:p>
      <w:pPr>
        <w:pStyle w:val="5"/>
        <w:ind w:firstLine="138"/>
        <w:jc w:val="center"/>
        <w:rPr>
          <w:rFonts w:hint="eastAsia"/>
          <w:b/>
          <w:bCs/>
          <w:color w:val="auto"/>
          <w:highlight w:val="none"/>
        </w:rPr>
      </w:pPr>
    </w:p>
    <w:p>
      <w:pPr>
        <w:pStyle w:val="5"/>
        <w:ind w:firstLine="138"/>
        <w:jc w:val="center"/>
        <w:rPr>
          <w:rFonts w:hint="eastAsia"/>
          <w:b/>
          <w:bCs/>
          <w:color w:val="auto"/>
          <w:highlight w:val="none"/>
        </w:rPr>
      </w:pPr>
    </w:p>
    <w:p>
      <w:pPr>
        <w:pStyle w:val="5"/>
        <w:ind w:firstLine="138"/>
        <w:jc w:val="center"/>
        <w:rPr>
          <w:rFonts w:hint="eastAsia"/>
          <w:b/>
          <w:bCs/>
          <w:color w:val="auto"/>
          <w:highlight w:val="none"/>
        </w:rPr>
      </w:pPr>
    </w:p>
    <w:p>
      <w:pPr>
        <w:pStyle w:val="5"/>
        <w:ind w:firstLine="138"/>
        <w:jc w:val="center"/>
        <w:rPr>
          <w:rFonts w:hint="eastAsia"/>
          <w:b/>
          <w:bCs/>
          <w:color w:val="auto"/>
          <w:highlight w:val="none"/>
        </w:rPr>
      </w:pPr>
    </w:p>
    <w:p>
      <w:pPr>
        <w:pStyle w:val="5"/>
        <w:ind w:firstLine="138"/>
        <w:jc w:val="center"/>
        <w:rPr>
          <w:rFonts w:hint="eastAsia"/>
          <w:b/>
          <w:bCs/>
          <w:color w:val="auto"/>
          <w:highlight w:val="none"/>
        </w:rPr>
      </w:pPr>
    </w:p>
    <w:p>
      <w:pPr>
        <w:pStyle w:val="5"/>
        <w:ind w:firstLine="138"/>
        <w:jc w:val="center"/>
        <w:rPr>
          <w:rFonts w:hint="eastAsia"/>
          <w:b/>
          <w:bCs/>
          <w:color w:val="auto"/>
          <w:highlight w:val="none"/>
        </w:rPr>
      </w:pPr>
    </w:p>
    <w:p>
      <w:pPr>
        <w:pStyle w:val="5"/>
        <w:ind w:firstLine="138"/>
        <w:jc w:val="center"/>
        <w:rPr>
          <w:rFonts w:hint="eastAsia"/>
          <w:b/>
          <w:bCs/>
          <w:color w:val="auto"/>
          <w:highlight w:val="none"/>
        </w:rPr>
      </w:pPr>
    </w:p>
    <w:p>
      <w:pPr>
        <w:pStyle w:val="5"/>
        <w:ind w:firstLine="138"/>
        <w:jc w:val="center"/>
        <w:rPr>
          <w:rFonts w:hint="eastAsia"/>
          <w:b/>
          <w:bCs/>
          <w:color w:val="auto"/>
          <w:highlight w:val="none"/>
        </w:rPr>
      </w:pPr>
    </w:p>
    <w:p>
      <w:pPr>
        <w:pStyle w:val="5"/>
        <w:ind w:firstLine="138"/>
        <w:jc w:val="center"/>
        <w:rPr>
          <w:rFonts w:hint="eastAsia"/>
          <w:b/>
          <w:bCs/>
          <w:color w:val="auto"/>
          <w:highlight w:val="none"/>
        </w:rPr>
      </w:pPr>
    </w:p>
    <w:p>
      <w:pPr>
        <w:pStyle w:val="5"/>
        <w:ind w:firstLine="138"/>
        <w:jc w:val="center"/>
        <w:rPr>
          <w:b/>
          <w:bCs/>
          <w:color w:val="auto"/>
          <w:highlight w:val="none"/>
        </w:rPr>
      </w:pPr>
      <w:r>
        <w:rPr>
          <w:rFonts w:hint="eastAsia"/>
          <w:b/>
          <w:bCs/>
          <w:color w:val="auto"/>
          <w:highlight w:val="none"/>
        </w:rPr>
        <w:t>四</w:t>
      </w:r>
      <w:r>
        <w:rPr>
          <w:b/>
          <w:bCs/>
          <w:color w:val="auto"/>
          <w:highlight w:val="none"/>
        </w:rPr>
        <w:t>、其他资料</w:t>
      </w:r>
      <w:bookmarkEnd w:id="558"/>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8"/>
        <w:rPr>
          <w:color w:val="auto"/>
          <w:highlight w:val="none"/>
        </w:rPr>
      </w:pPr>
    </w:p>
    <w:p>
      <w:pPr>
        <w:rPr>
          <w:color w:val="auto"/>
          <w:highlight w:val="none"/>
        </w:rPr>
      </w:pPr>
    </w:p>
    <w:p>
      <w:pPr>
        <w:pStyle w:val="28"/>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sectPr>
      <w:footerReference r:id="rId7" w:type="default"/>
      <w:pgSz w:w="12240" w:h="15840"/>
      <w:pgMar w:top="1440" w:right="1800" w:bottom="1440" w:left="1800" w:header="720" w:footer="720" w:gutter="0"/>
      <w:pgNumType w:fmt="decimal"/>
      <w:cols w:space="720" w:num="1"/>
      <w:docGrid w:linePitch="28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MS Mincho">
    <w:panose1 w:val="02020609040205080304"/>
    <w:charset w:val="80"/>
    <w:family w:val="roman"/>
    <w:pitch w:val="default"/>
    <w:sig w:usb0="A00002BF" w:usb1="68C7FCFB" w:usb2="00000010" w:usb3="00000000" w:csb0="4002009F" w:csb1="DFD70000"/>
  </w:font>
  <w:font w:name="Tahoma">
    <w:panose1 w:val="020B0604030504040204"/>
    <w:charset w:val="00"/>
    <w:family w:val="swiss"/>
    <w:pitch w:val="default"/>
    <w:sig w:usb0="E1002EFF" w:usb1="C000605B" w:usb2="00000029" w:usb3="00000000" w:csb0="200101FF" w:csb1="20280000"/>
  </w:font>
  <w:font w:name="ˎ̥">
    <w:altName w:val="Arial Unicode MS"/>
    <w:panose1 w:val="00000000000000000000"/>
    <w:charset w:val="00"/>
    <w:family w:val="roman"/>
    <w:pitch w:val="default"/>
    <w:sig w:usb0="00000000" w:usb1="00000000" w:usb2="00000000" w:usb3="00000000" w:csb0="00040001" w:csb1="00000000"/>
  </w:font>
  <w:font w:name="华文细黑">
    <w:panose1 w:val="02010600040101010101"/>
    <w:charset w:val="86"/>
    <w:family w:val="auto"/>
    <w:pitch w:val="default"/>
    <w:sig w:usb0="00000287" w:usb1="080F0000" w:usb2="00000000" w:usb3="00000000" w:csb0="0004009F" w:csb1="DFD70000"/>
  </w:font>
  <w:font w:name="Calisto MT">
    <w:panose1 w:val="02040603050505030304"/>
    <w:charset w:val="00"/>
    <w:family w:val="roman"/>
    <w:pitch w:val="default"/>
    <w:sig w:usb0="00000003" w:usb1="00000000" w:usb2="00000000" w:usb3="00000000" w:csb0="2000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default" w:ascii="Times New Roman" w:hAnsi="Times New Roman" w:eastAsia="仿宋_GB2312"/>
        <w:sz w:val="24"/>
        <w:lang w:val="en-US" w:eastAsia="zh-CN"/>
      </w:rPr>
    </w:pPr>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28"/>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rPr>
        <w:rFonts w:hint="eastAsia"/>
        <w:u w:val="single"/>
      </w:rPr>
      <w:t>松山湖科学城电缆通道项目（二期）勘察设计招标文件                      广东普太建设咨询有限公司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0807B5"/>
    <w:multiLevelType w:val="singleLevel"/>
    <w:tmpl w:val="870807B5"/>
    <w:lvl w:ilvl="0" w:tentative="0">
      <w:start w:val="1"/>
      <w:numFmt w:val="decimal"/>
      <w:suff w:val="nothing"/>
      <w:lvlText w:val="（%1）"/>
      <w:lvlJc w:val="left"/>
    </w:lvl>
  </w:abstractNum>
  <w:abstractNum w:abstractNumId="1">
    <w:nsid w:val="992A89CD"/>
    <w:multiLevelType w:val="singleLevel"/>
    <w:tmpl w:val="992A89CD"/>
    <w:lvl w:ilvl="0" w:tentative="0">
      <w:start w:val="7"/>
      <w:numFmt w:val="decimal"/>
      <w:suff w:val="nothing"/>
      <w:lvlText w:val="（%1）"/>
      <w:lvlJc w:val="left"/>
    </w:lvl>
  </w:abstractNum>
  <w:abstractNum w:abstractNumId="2">
    <w:nsid w:val="B205420E"/>
    <w:multiLevelType w:val="singleLevel"/>
    <w:tmpl w:val="B205420E"/>
    <w:lvl w:ilvl="0" w:tentative="0">
      <w:start w:val="1"/>
      <w:numFmt w:val="decimal"/>
      <w:suff w:val="nothing"/>
      <w:lvlText w:val="（%1）"/>
      <w:lvlJc w:val="left"/>
    </w:lvl>
  </w:abstractNum>
  <w:abstractNum w:abstractNumId="3">
    <w:nsid w:val="B5C2B6F8"/>
    <w:multiLevelType w:val="singleLevel"/>
    <w:tmpl w:val="B5C2B6F8"/>
    <w:lvl w:ilvl="0" w:tentative="0">
      <w:start w:val="1"/>
      <w:numFmt w:val="chineseCounting"/>
      <w:suff w:val="nothing"/>
      <w:lvlText w:val="%1、"/>
      <w:lvlJc w:val="left"/>
      <w:rPr>
        <w:rFonts w:hint="eastAsia"/>
      </w:rPr>
    </w:lvl>
  </w:abstractNum>
  <w:abstractNum w:abstractNumId="4">
    <w:nsid w:val="20C7B811"/>
    <w:multiLevelType w:val="singleLevel"/>
    <w:tmpl w:val="20C7B811"/>
    <w:lvl w:ilvl="0" w:tentative="0">
      <w:start w:val="1"/>
      <w:numFmt w:val="decimal"/>
      <w:suff w:val="nothing"/>
      <w:lvlText w:val="（%1）"/>
      <w:lvlJc w:val="left"/>
    </w:lvl>
  </w:abstractNum>
  <w:abstractNum w:abstractNumId="5">
    <w:nsid w:val="50E94B8E"/>
    <w:multiLevelType w:val="multilevel"/>
    <w:tmpl w:val="50E94B8E"/>
    <w:lvl w:ilvl="0" w:tentative="0">
      <w:start w:val="1"/>
      <w:numFmt w:val="decimalEnclosedCircle"/>
      <w:lvlText w:val="%1"/>
      <w:lvlJc w:val="left"/>
      <w:pPr>
        <w:tabs>
          <w:tab w:val="left" w:pos="1163"/>
        </w:tabs>
        <w:ind w:left="1163" w:hanging="360"/>
      </w:pPr>
      <w:rPr>
        <w:rFonts w:hint="default"/>
      </w:rPr>
    </w:lvl>
    <w:lvl w:ilvl="1" w:tentative="0">
      <w:start w:val="1"/>
      <w:numFmt w:val="decimal"/>
      <w:lvlText w:val="%2."/>
      <w:lvlJc w:val="left"/>
      <w:pPr>
        <w:tabs>
          <w:tab w:val="left" w:pos="780"/>
        </w:tabs>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5730340B"/>
    <w:multiLevelType w:val="singleLevel"/>
    <w:tmpl w:val="5730340B"/>
    <w:lvl w:ilvl="0" w:tentative="0">
      <w:start w:val="1"/>
      <w:numFmt w:val="decimal"/>
      <w:suff w:val="nothing"/>
      <w:lvlText w:val="%1."/>
      <w:lvlJc w:val="left"/>
    </w:lvl>
  </w:abstractNum>
  <w:abstractNum w:abstractNumId="7">
    <w:nsid w:val="5A519792"/>
    <w:multiLevelType w:val="singleLevel"/>
    <w:tmpl w:val="5A519792"/>
    <w:lvl w:ilvl="0" w:tentative="0">
      <w:start w:val="1"/>
      <w:numFmt w:val="decimal"/>
      <w:suff w:val="nothing"/>
      <w:lvlText w:val="%1、"/>
      <w:lvlJc w:val="left"/>
    </w:lvl>
  </w:abstractNum>
  <w:abstractNum w:abstractNumId="8">
    <w:nsid w:val="5A51E783"/>
    <w:multiLevelType w:val="singleLevel"/>
    <w:tmpl w:val="5A51E783"/>
    <w:lvl w:ilvl="0" w:tentative="0">
      <w:start w:val="1"/>
      <w:numFmt w:val="decimal"/>
      <w:suff w:val="nothing"/>
      <w:lvlText w:val="（%1）"/>
      <w:lvlJc w:val="left"/>
    </w:lvl>
  </w:abstractNum>
  <w:abstractNum w:abstractNumId="9">
    <w:nsid w:val="5A533780"/>
    <w:multiLevelType w:val="singleLevel"/>
    <w:tmpl w:val="5A533780"/>
    <w:lvl w:ilvl="0" w:tentative="0">
      <w:start w:val="1"/>
      <w:numFmt w:val="decimal"/>
      <w:suff w:val="nothing"/>
      <w:lvlText w:val="（%1）"/>
      <w:lvlJc w:val="left"/>
    </w:lvl>
  </w:abstractNum>
  <w:abstractNum w:abstractNumId="10">
    <w:nsid w:val="5A580B80"/>
    <w:multiLevelType w:val="singleLevel"/>
    <w:tmpl w:val="5A580B80"/>
    <w:lvl w:ilvl="0" w:tentative="0">
      <w:start w:val="3"/>
      <w:numFmt w:val="decimal"/>
      <w:pStyle w:val="250"/>
      <w:suff w:val="nothing"/>
      <w:lvlText w:val="（%1）"/>
      <w:lvlJc w:val="left"/>
    </w:lvl>
  </w:abstractNum>
  <w:abstractNum w:abstractNumId="11">
    <w:nsid w:val="5A585638"/>
    <w:multiLevelType w:val="singleLevel"/>
    <w:tmpl w:val="5A585638"/>
    <w:lvl w:ilvl="0" w:tentative="0">
      <w:start w:val="4"/>
      <w:numFmt w:val="decimal"/>
      <w:suff w:val="space"/>
      <w:lvlText w:val="%1."/>
      <w:lvlJc w:val="left"/>
    </w:lvl>
  </w:abstractNum>
  <w:abstractNum w:abstractNumId="12">
    <w:nsid w:val="5A599910"/>
    <w:multiLevelType w:val="singleLevel"/>
    <w:tmpl w:val="5A599910"/>
    <w:lvl w:ilvl="0" w:tentative="0">
      <w:start w:val="2"/>
      <w:numFmt w:val="decimal"/>
      <w:suff w:val="nothing"/>
      <w:lvlText w:val="%1、"/>
      <w:lvlJc w:val="left"/>
    </w:lvl>
  </w:abstractNum>
  <w:abstractNum w:abstractNumId="13">
    <w:nsid w:val="5A59A36D"/>
    <w:multiLevelType w:val="singleLevel"/>
    <w:tmpl w:val="5A59A36D"/>
    <w:lvl w:ilvl="0" w:tentative="0">
      <w:start w:val="2"/>
      <w:numFmt w:val="decimal"/>
      <w:suff w:val="nothing"/>
      <w:lvlText w:val="%1、"/>
      <w:lvlJc w:val="left"/>
    </w:lvl>
  </w:abstractNum>
  <w:abstractNum w:abstractNumId="14">
    <w:nsid w:val="5A59A594"/>
    <w:multiLevelType w:val="singleLevel"/>
    <w:tmpl w:val="5A59A594"/>
    <w:lvl w:ilvl="0" w:tentative="0">
      <w:start w:val="5"/>
      <w:numFmt w:val="chineseCounting"/>
      <w:suff w:val="nothing"/>
      <w:lvlText w:val="（%1）"/>
      <w:lvlJc w:val="left"/>
    </w:lvl>
  </w:abstractNum>
  <w:abstractNum w:abstractNumId="15">
    <w:nsid w:val="5A59B409"/>
    <w:multiLevelType w:val="singleLevel"/>
    <w:tmpl w:val="5A59B409"/>
    <w:lvl w:ilvl="0" w:tentative="0">
      <w:start w:val="15"/>
      <w:numFmt w:val="chineseCounting"/>
      <w:suff w:val="nothing"/>
      <w:lvlText w:val="（%1）"/>
      <w:lvlJc w:val="left"/>
    </w:lvl>
  </w:abstractNum>
  <w:abstractNum w:abstractNumId="16">
    <w:nsid w:val="5F9C007F"/>
    <w:multiLevelType w:val="singleLevel"/>
    <w:tmpl w:val="5F9C007F"/>
    <w:lvl w:ilvl="0" w:tentative="0">
      <w:start w:val="6"/>
      <w:numFmt w:val="decimal"/>
      <w:lvlText w:val="(%1)"/>
      <w:lvlJc w:val="left"/>
      <w:pPr>
        <w:tabs>
          <w:tab w:val="left" w:pos="312"/>
        </w:tabs>
      </w:pPr>
    </w:lvl>
  </w:abstractNum>
  <w:num w:numId="1">
    <w:abstractNumId w:val="10"/>
  </w:num>
  <w:num w:numId="2">
    <w:abstractNumId w:val="11"/>
  </w:num>
  <w:num w:numId="3">
    <w:abstractNumId w:val="3"/>
  </w:num>
  <w:num w:numId="4">
    <w:abstractNumId w:val="2"/>
  </w:num>
  <w:num w:numId="5">
    <w:abstractNumId w:val="4"/>
  </w:num>
  <w:num w:numId="6">
    <w:abstractNumId w:val="7"/>
  </w:num>
  <w:num w:numId="7">
    <w:abstractNumId w:val="5"/>
  </w:num>
  <w:num w:numId="8">
    <w:abstractNumId w:val="8"/>
  </w:num>
  <w:num w:numId="9">
    <w:abstractNumId w:val="0"/>
  </w:num>
  <w:num w:numId="10">
    <w:abstractNumId w:val="16"/>
  </w:num>
  <w:num w:numId="11">
    <w:abstractNumId w:val="1"/>
  </w:num>
  <w:num w:numId="12">
    <w:abstractNumId w:val="9"/>
  </w:num>
  <w:num w:numId="13">
    <w:abstractNumId w:val="13"/>
  </w:num>
  <w:num w:numId="14">
    <w:abstractNumId w:val="14"/>
  </w:num>
  <w:num w:numId="15">
    <w:abstractNumId w:val="12"/>
  </w:num>
  <w:num w:numId="16">
    <w:abstractNumId w:val="1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2NTk4NDE3MjE0YWJhYzIyY2IxY2I2MzJhZTVlZTcifQ=="/>
  </w:docVars>
  <w:rsids>
    <w:rsidRoot w:val="00172A27"/>
    <w:rsid w:val="00002A60"/>
    <w:rsid w:val="00004603"/>
    <w:rsid w:val="00005CCA"/>
    <w:rsid w:val="00007319"/>
    <w:rsid w:val="000106AE"/>
    <w:rsid w:val="00012703"/>
    <w:rsid w:val="000129D7"/>
    <w:rsid w:val="0001485E"/>
    <w:rsid w:val="00015C2E"/>
    <w:rsid w:val="00020140"/>
    <w:rsid w:val="00021BFE"/>
    <w:rsid w:val="00024B18"/>
    <w:rsid w:val="000250D6"/>
    <w:rsid w:val="00025980"/>
    <w:rsid w:val="00025ACC"/>
    <w:rsid w:val="00026171"/>
    <w:rsid w:val="000316F2"/>
    <w:rsid w:val="00032762"/>
    <w:rsid w:val="000351AE"/>
    <w:rsid w:val="00035E19"/>
    <w:rsid w:val="00036642"/>
    <w:rsid w:val="00043778"/>
    <w:rsid w:val="000452CE"/>
    <w:rsid w:val="00047F71"/>
    <w:rsid w:val="0005229A"/>
    <w:rsid w:val="00055BAD"/>
    <w:rsid w:val="000574DD"/>
    <w:rsid w:val="00062AC6"/>
    <w:rsid w:val="00064432"/>
    <w:rsid w:val="00065A9E"/>
    <w:rsid w:val="000668F1"/>
    <w:rsid w:val="00067035"/>
    <w:rsid w:val="00071337"/>
    <w:rsid w:val="0007174C"/>
    <w:rsid w:val="000752F3"/>
    <w:rsid w:val="00077D16"/>
    <w:rsid w:val="0008132B"/>
    <w:rsid w:val="00081360"/>
    <w:rsid w:val="0008253E"/>
    <w:rsid w:val="00084830"/>
    <w:rsid w:val="00087558"/>
    <w:rsid w:val="0009240C"/>
    <w:rsid w:val="000943B0"/>
    <w:rsid w:val="00094C66"/>
    <w:rsid w:val="000A1AB2"/>
    <w:rsid w:val="000A287B"/>
    <w:rsid w:val="000A5C81"/>
    <w:rsid w:val="000A76B3"/>
    <w:rsid w:val="000B65E2"/>
    <w:rsid w:val="000B676B"/>
    <w:rsid w:val="000C0018"/>
    <w:rsid w:val="000C1A9B"/>
    <w:rsid w:val="000C2AB5"/>
    <w:rsid w:val="000C4323"/>
    <w:rsid w:val="000C45BF"/>
    <w:rsid w:val="000C4710"/>
    <w:rsid w:val="000D0812"/>
    <w:rsid w:val="000D3DD3"/>
    <w:rsid w:val="000D4336"/>
    <w:rsid w:val="000D49B4"/>
    <w:rsid w:val="000D7260"/>
    <w:rsid w:val="000E08CB"/>
    <w:rsid w:val="000E1602"/>
    <w:rsid w:val="000E34B2"/>
    <w:rsid w:val="000E5673"/>
    <w:rsid w:val="000E7256"/>
    <w:rsid w:val="000F1DE6"/>
    <w:rsid w:val="000F2186"/>
    <w:rsid w:val="000F2A12"/>
    <w:rsid w:val="000F2ECC"/>
    <w:rsid w:val="000F3757"/>
    <w:rsid w:val="000F676A"/>
    <w:rsid w:val="000F7A0C"/>
    <w:rsid w:val="00100EF3"/>
    <w:rsid w:val="001011FC"/>
    <w:rsid w:val="00102618"/>
    <w:rsid w:val="00102F0B"/>
    <w:rsid w:val="00105423"/>
    <w:rsid w:val="001119B6"/>
    <w:rsid w:val="00111BC8"/>
    <w:rsid w:val="001122DE"/>
    <w:rsid w:val="00115124"/>
    <w:rsid w:val="001167D4"/>
    <w:rsid w:val="00117A34"/>
    <w:rsid w:val="00117A4F"/>
    <w:rsid w:val="00117F0F"/>
    <w:rsid w:val="00120A52"/>
    <w:rsid w:val="00120DBF"/>
    <w:rsid w:val="001213BF"/>
    <w:rsid w:val="00124337"/>
    <w:rsid w:val="0012552C"/>
    <w:rsid w:val="001373A8"/>
    <w:rsid w:val="0014098E"/>
    <w:rsid w:val="00141621"/>
    <w:rsid w:val="001419FD"/>
    <w:rsid w:val="001530C6"/>
    <w:rsid w:val="00163567"/>
    <w:rsid w:val="001639B6"/>
    <w:rsid w:val="00170389"/>
    <w:rsid w:val="001729B8"/>
    <w:rsid w:val="00172A27"/>
    <w:rsid w:val="001735B4"/>
    <w:rsid w:val="001748A3"/>
    <w:rsid w:val="00182B11"/>
    <w:rsid w:val="00183AEA"/>
    <w:rsid w:val="00183B4A"/>
    <w:rsid w:val="00186361"/>
    <w:rsid w:val="00187146"/>
    <w:rsid w:val="00191F12"/>
    <w:rsid w:val="00193C1D"/>
    <w:rsid w:val="00194816"/>
    <w:rsid w:val="00196EED"/>
    <w:rsid w:val="001A093D"/>
    <w:rsid w:val="001A0C52"/>
    <w:rsid w:val="001A0CCF"/>
    <w:rsid w:val="001A2D03"/>
    <w:rsid w:val="001A2E05"/>
    <w:rsid w:val="001A4491"/>
    <w:rsid w:val="001A4684"/>
    <w:rsid w:val="001B09AB"/>
    <w:rsid w:val="001B1289"/>
    <w:rsid w:val="001B195E"/>
    <w:rsid w:val="001B5478"/>
    <w:rsid w:val="001B7FEF"/>
    <w:rsid w:val="001C133B"/>
    <w:rsid w:val="001C30C7"/>
    <w:rsid w:val="001C63C0"/>
    <w:rsid w:val="001D033C"/>
    <w:rsid w:val="001D30B6"/>
    <w:rsid w:val="001D3BE0"/>
    <w:rsid w:val="001D58C8"/>
    <w:rsid w:val="001E0901"/>
    <w:rsid w:val="001E1433"/>
    <w:rsid w:val="001E1C26"/>
    <w:rsid w:val="001E5472"/>
    <w:rsid w:val="001E7246"/>
    <w:rsid w:val="001F0A3C"/>
    <w:rsid w:val="001F1B9C"/>
    <w:rsid w:val="001F2208"/>
    <w:rsid w:val="001F285E"/>
    <w:rsid w:val="001F2D26"/>
    <w:rsid w:val="001F4134"/>
    <w:rsid w:val="001F45EE"/>
    <w:rsid w:val="001F4850"/>
    <w:rsid w:val="001F4A49"/>
    <w:rsid w:val="001F6870"/>
    <w:rsid w:val="00204444"/>
    <w:rsid w:val="00204A5C"/>
    <w:rsid w:val="00206384"/>
    <w:rsid w:val="002063D8"/>
    <w:rsid w:val="00207A0B"/>
    <w:rsid w:val="00212A53"/>
    <w:rsid w:val="0021322F"/>
    <w:rsid w:val="00213B90"/>
    <w:rsid w:val="00214661"/>
    <w:rsid w:val="00215412"/>
    <w:rsid w:val="00215AF0"/>
    <w:rsid w:val="002229E2"/>
    <w:rsid w:val="002242FC"/>
    <w:rsid w:val="0022434B"/>
    <w:rsid w:val="00230BF0"/>
    <w:rsid w:val="00230FF2"/>
    <w:rsid w:val="00232E83"/>
    <w:rsid w:val="00233ADF"/>
    <w:rsid w:val="0023423F"/>
    <w:rsid w:val="0023687E"/>
    <w:rsid w:val="00237134"/>
    <w:rsid w:val="00237B0E"/>
    <w:rsid w:val="002430C2"/>
    <w:rsid w:val="00244E70"/>
    <w:rsid w:val="002472BF"/>
    <w:rsid w:val="00250CB7"/>
    <w:rsid w:val="0025135E"/>
    <w:rsid w:val="00251A49"/>
    <w:rsid w:val="002521B3"/>
    <w:rsid w:val="00253B41"/>
    <w:rsid w:val="0025460A"/>
    <w:rsid w:val="00255D0D"/>
    <w:rsid w:val="00260C77"/>
    <w:rsid w:val="00261352"/>
    <w:rsid w:val="00262DE3"/>
    <w:rsid w:val="00263F0B"/>
    <w:rsid w:val="0026441A"/>
    <w:rsid w:val="00264EB1"/>
    <w:rsid w:val="0026788D"/>
    <w:rsid w:val="00275409"/>
    <w:rsid w:val="0027678C"/>
    <w:rsid w:val="00276C71"/>
    <w:rsid w:val="002801D8"/>
    <w:rsid w:val="00281526"/>
    <w:rsid w:val="00285406"/>
    <w:rsid w:val="002875E7"/>
    <w:rsid w:val="002963AD"/>
    <w:rsid w:val="00296719"/>
    <w:rsid w:val="002A0162"/>
    <w:rsid w:val="002A0C76"/>
    <w:rsid w:val="002A33B3"/>
    <w:rsid w:val="002A552C"/>
    <w:rsid w:val="002A65ED"/>
    <w:rsid w:val="002A74F3"/>
    <w:rsid w:val="002B2B5B"/>
    <w:rsid w:val="002C0C29"/>
    <w:rsid w:val="002C31DD"/>
    <w:rsid w:val="002C3CD8"/>
    <w:rsid w:val="002C4ACF"/>
    <w:rsid w:val="002C704E"/>
    <w:rsid w:val="002C7B9B"/>
    <w:rsid w:val="002D2B90"/>
    <w:rsid w:val="002D3A63"/>
    <w:rsid w:val="002D6360"/>
    <w:rsid w:val="002D6F32"/>
    <w:rsid w:val="002D7B78"/>
    <w:rsid w:val="002E1C97"/>
    <w:rsid w:val="002E1DAC"/>
    <w:rsid w:val="002E1EED"/>
    <w:rsid w:val="002E6D05"/>
    <w:rsid w:val="002F077E"/>
    <w:rsid w:val="002F70C4"/>
    <w:rsid w:val="002F72A0"/>
    <w:rsid w:val="0030740D"/>
    <w:rsid w:val="00311324"/>
    <w:rsid w:val="003122C4"/>
    <w:rsid w:val="00316B28"/>
    <w:rsid w:val="0032031D"/>
    <w:rsid w:val="003214BA"/>
    <w:rsid w:val="00321647"/>
    <w:rsid w:val="00321989"/>
    <w:rsid w:val="00321DDA"/>
    <w:rsid w:val="00324037"/>
    <w:rsid w:val="003243EC"/>
    <w:rsid w:val="003247CD"/>
    <w:rsid w:val="003252DF"/>
    <w:rsid w:val="003279BD"/>
    <w:rsid w:val="0033259B"/>
    <w:rsid w:val="003362AD"/>
    <w:rsid w:val="00341108"/>
    <w:rsid w:val="00342688"/>
    <w:rsid w:val="0034440E"/>
    <w:rsid w:val="00344FE2"/>
    <w:rsid w:val="00347899"/>
    <w:rsid w:val="003518D6"/>
    <w:rsid w:val="00353996"/>
    <w:rsid w:val="00354B7A"/>
    <w:rsid w:val="00363966"/>
    <w:rsid w:val="00364943"/>
    <w:rsid w:val="003701CE"/>
    <w:rsid w:val="003741B0"/>
    <w:rsid w:val="00375481"/>
    <w:rsid w:val="003766FB"/>
    <w:rsid w:val="003804B0"/>
    <w:rsid w:val="00380B02"/>
    <w:rsid w:val="0038240C"/>
    <w:rsid w:val="0038359A"/>
    <w:rsid w:val="0038499D"/>
    <w:rsid w:val="00386AA0"/>
    <w:rsid w:val="00387373"/>
    <w:rsid w:val="00387996"/>
    <w:rsid w:val="0039022C"/>
    <w:rsid w:val="00391F03"/>
    <w:rsid w:val="00392926"/>
    <w:rsid w:val="0039407B"/>
    <w:rsid w:val="0039750F"/>
    <w:rsid w:val="003A2368"/>
    <w:rsid w:val="003A593E"/>
    <w:rsid w:val="003A6775"/>
    <w:rsid w:val="003B02F9"/>
    <w:rsid w:val="003B1B15"/>
    <w:rsid w:val="003B2287"/>
    <w:rsid w:val="003C083C"/>
    <w:rsid w:val="003C0D7D"/>
    <w:rsid w:val="003C3B81"/>
    <w:rsid w:val="003C4858"/>
    <w:rsid w:val="003C5BB3"/>
    <w:rsid w:val="003D1170"/>
    <w:rsid w:val="003D1B8E"/>
    <w:rsid w:val="003D2D72"/>
    <w:rsid w:val="003D36EE"/>
    <w:rsid w:val="003D402C"/>
    <w:rsid w:val="003D6546"/>
    <w:rsid w:val="003D6E0A"/>
    <w:rsid w:val="003E2C4E"/>
    <w:rsid w:val="003E4F7F"/>
    <w:rsid w:val="003E56F5"/>
    <w:rsid w:val="003E56FE"/>
    <w:rsid w:val="003E748C"/>
    <w:rsid w:val="003F1520"/>
    <w:rsid w:val="003F3518"/>
    <w:rsid w:val="003F504F"/>
    <w:rsid w:val="003F5232"/>
    <w:rsid w:val="003F5B69"/>
    <w:rsid w:val="004105EF"/>
    <w:rsid w:val="00415A1A"/>
    <w:rsid w:val="0042326A"/>
    <w:rsid w:val="004238AC"/>
    <w:rsid w:val="00423F96"/>
    <w:rsid w:val="004251D3"/>
    <w:rsid w:val="00426BE8"/>
    <w:rsid w:val="00427C4D"/>
    <w:rsid w:val="00431F4F"/>
    <w:rsid w:val="00432518"/>
    <w:rsid w:val="0043351E"/>
    <w:rsid w:val="00433676"/>
    <w:rsid w:val="00436504"/>
    <w:rsid w:val="004405C7"/>
    <w:rsid w:val="00441D39"/>
    <w:rsid w:val="004421D8"/>
    <w:rsid w:val="00442AF8"/>
    <w:rsid w:val="00442B41"/>
    <w:rsid w:val="0044514A"/>
    <w:rsid w:val="00445955"/>
    <w:rsid w:val="00447E59"/>
    <w:rsid w:val="00457DC2"/>
    <w:rsid w:val="004618E3"/>
    <w:rsid w:val="00463001"/>
    <w:rsid w:val="004633EB"/>
    <w:rsid w:val="00466339"/>
    <w:rsid w:val="004729B9"/>
    <w:rsid w:val="004733D3"/>
    <w:rsid w:val="00473BA3"/>
    <w:rsid w:val="00473CAA"/>
    <w:rsid w:val="00474320"/>
    <w:rsid w:val="00476673"/>
    <w:rsid w:val="00476828"/>
    <w:rsid w:val="00487315"/>
    <w:rsid w:val="00490E43"/>
    <w:rsid w:val="00490F92"/>
    <w:rsid w:val="00494530"/>
    <w:rsid w:val="00494624"/>
    <w:rsid w:val="00495001"/>
    <w:rsid w:val="004960F9"/>
    <w:rsid w:val="004A112E"/>
    <w:rsid w:val="004A76F2"/>
    <w:rsid w:val="004B51E3"/>
    <w:rsid w:val="004B6ED7"/>
    <w:rsid w:val="004B7033"/>
    <w:rsid w:val="004C0DE2"/>
    <w:rsid w:val="004C280D"/>
    <w:rsid w:val="004C4507"/>
    <w:rsid w:val="004C5E8A"/>
    <w:rsid w:val="004C625D"/>
    <w:rsid w:val="004D0C9D"/>
    <w:rsid w:val="004D1209"/>
    <w:rsid w:val="004D17D9"/>
    <w:rsid w:val="004D1ADB"/>
    <w:rsid w:val="004D3DEA"/>
    <w:rsid w:val="004D422A"/>
    <w:rsid w:val="004D4247"/>
    <w:rsid w:val="004D7237"/>
    <w:rsid w:val="004D794D"/>
    <w:rsid w:val="004D7FCB"/>
    <w:rsid w:val="004E0C05"/>
    <w:rsid w:val="004E0EFF"/>
    <w:rsid w:val="004E3473"/>
    <w:rsid w:val="004E5FCD"/>
    <w:rsid w:val="004F0052"/>
    <w:rsid w:val="004F1425"/>
    <w:rsid w:val="004F2BD3"/>
    <w:rsid w:val="004F3309"/>
    <w:rsid w:val="005034E3"/>
    <w:rsid w:val="00503D63"/>
    <w:rsid w:val="00506A2D"/>
    <w:rsid w:val="0050739A"/>
    <w:rsid w:val="005100DC"/>
    <w:rsid w:val="00511660"/>
    <w:rsid w:val="0051272A"/>
    <w:rsid w:val="00512A0D"/>
    <w:rsid w:val="005171CC"/>
    <w:rsid w:val="00517CCE"/>
    <w:rsid w:val="005229A0"/>
    <w:rsid w:val="00522D50"/>
    <w:rsid w:val="00527D92"/>
    <w:rsid w:val="005301CB"/>
    <w:rsid w:val="00531BAF"/>
    <w:rsid w:val="00533F95"/>
    <w:rsid w:val="005357B6"/>
    <w:rsid w:val="00537781"/>
    <w:rsid w:val="005409DB"/>
    <w:rsid w:val="005410AB"/>
    <w:rsid w:val="00542C62"/>
    <w:rsid w:val="0054326D"/>
    <w:rsid w:val="00543F5F"/>
    <w:rsid w:val="00545698"/>
    <w:rsid w:val="00546149"/>
    <w:rsid w:val="005510C3"/>
    <w:rsid w:val="00551580"/>
    <w:rsid w:val="00555089"/>
    <w:rsid w:val="005565F1"/>
    <w:rsid w:val="00562259"/>
    <w:rsid w:val="005655BD"/>
    <w:rsid w:val="00572ADB"/>
    <w:rsid w:val="00573B46"/>
    <w:rsid w:val="00573C8F"/>
    <w:rsid w:val="00576C5E"/>
    <w:rsid w:val="00577C17"/>
    <w:rsid w:val="00580957"/>
    <w:rsid w:val="005810CA"/>
    <w:rsid w:val="005824FB"/>
    <w:rsid w:val="005827A7"/>
    <w:rsid w:val="00585B39"/>
    <w:rsid w:val="00586041"/>
    <w:rsid w:val="00586955"/>
    <w:rsid w:val="00587258"/>
    <w:rsid w:val="00587411"/>
    <w:rsid w:val="0059030C"/>
    <w:rsid w:val="00592372"/>
    <w:rsid w:val="00595218"/>
    <w:rsid w:val="005955BA"/>
    <w:rsid w:val="00596DFB"/>
    <w:rsid w:val="005A0B59"/>
    <w:rsid w:val="005A245A"/>
    <w:rsid w:val="005A2C7B"/>
    <w:rsid w:val="005A328C"/>
    <w:rsid w:val="005A4B80"/>
    <w:rsid w:val="005A5F20"/>
    <w:rsid w:val="005A697C"/>
    <w:rsid w:val="005B0F9A"/>
    <w:rsid w:val="005B1A42"/>
    <w:rsid w:val="005B46BD"/>
    <w:rsid w:val="005B4DB1"/>
    <w:rsid w:val="005B6D33"/>
    <w:rsid w:val="005C162E"/>
    <w:rsid w:val="005C1B19"/>
    <w:rsid w:val="005C417A"/>
    <w:rsid w:val="005C7507"/>
    <w:rsid w:val="005D22FC"/>
    <w:rsid w:val="005D3D41"/>
    <w:rsid w:val="005D736F"/>
    <w:rsid w:val="005E1DFB"/>
    <w:rsid w:val="005E4F70"/>
    <w:rsid w:val="005E7CE8"/>
    <w:rsid w:val="005F162E"/>
    <w:rsid w:val="005F16C3"/>
    <w:rsid w:val="005F328B"/>
    <w:rsid w:val="005F4C3D"/>
    <w:rsid w:val="005F6151"/>
    <w:rsid w:val="005F74F3"/>
    <w:rsid w:val="0060161F"/>
    <w:rsid w:val="00601BDE"/>
    <w:rsid w:val="006038CA"/>
    <w:rsid w:val="00605A28"/>
    <w:rsid w:val="006112E2"/>
    <w:rsid w:val="00614E98"/>
    <w:rsid w:val="00615987"/>
    <w:rsid w:val="00615CC9"/>
    <w:rsid w:val="00620B8E"/>
    <w:rsid w:val="00621D6C"/>
    <w:rsid w:val="0062261D"/>
    <w:rsid w:val="0062295C"/>
    <w:rsid w:val="00623AD2"/>
    <w:rsid w:val="0062437A"/>
    <w:rsid w:val="006254F0"/>
    <w:rsid w:val="00631A35"/>
    <w:rsid w:val="00632467"/>
    <w:rsid w:val="00632B51"/>
    <w:rsid w:val="00633021"/>
    <w:rsid w:val="00636962"/>
    <w:rsid w:val="00636B86"/>
    <w:rsid w:val="00644C71"/>
    <w:rsid w:val="006462FA"/>
    <w:rsid w:val="0065308E"/>
    <w:rsid w:val="00653BCA"/>
    <w:rsid w:val="00660EBB"/>
    <w:rsid w:val="00663AB4"/>
    <w:rsid w:val="00663BF4"/>
    <w:rsid w:val="00663CC5"/>
    <w:rsid w:val="00664A35"/>
    <w:rsid w:val="00670660"/>
    <w:rsid w:val="00671F1A"/>
    <w:rsid w:val="00680AC7"/>
    <w:rsid w:val="006829E7"/>
    <w:rsid w:val="00684D69"/>
    <w:rsid w:val="006867B4"/>
    <w:rsid w:val="00686AF3"/>
    <w:rsid w:val="00687BB6"/>
    <w:rsid w:val="006928F3"/>
    <w:rsid w:val="00693E52"/>
    <w:rsid w:val="006944A4"/>
    <w:rsid w:val="006952F5"/>
    <w:rsid w:val="00696FBE"/>
    <w:rsid w:val="006A03B5"/>
    <w:rsid w:val="006A1B2F"/>
    <w:rsid w:val="006A350C"/>
    <w:rsid w:val="006A5596"/>
    <w:rsid w:val="006A7D10"/>
    <w:rsid w:val="006B4620"/>
    <w:rsid w:val="006B6E3B"/>
    <w:rsid w:val="006C1B42"/>
    <w:rsid w:val="006C549C"/>
    <w:rsid w:val="006C56C9"/>
    <w:rsid w:val="006D0257"/>
    <w:rsid w:val="006D144F"/>
    <w:rsid w:val="006D2431"/>
    <w:rsid w:val="006D567B"/>
    <w:rsid w:val="006D71AF"/>
    <w:rsid w:val="006D72C7"/>
    <w:rsid w:val="006D72CF"/>
    <w:rsid w:val="006D7C98"/>
    <w:rsid w:val="006E01B4"/>
    <w:rsid w:val="006E04C8"/>
    <w:rsid w:val="006E0B76"/>
    <w:rsid w:val="006E1CF0"/>
    <w:rsid w:val="006E2EB3"/>
    <w:rsid w:val="006E3EAB"/>
    <w:rsid w:val="006E521B"/>
    <w:rsid w:val="006E798E"/>
    <w:rsid w:val="006F0E29"/>
    <w:rsid w:val="006F30B4"/>
    <w:rsid w:val="006F3A43"/>
    <w:rsid w:val="006F3F8C"/>
    <w:rsid w:val="006F46C3"/>
    <w:rsid w:val="006F5383"/>
    <w:rsid w:val="006F6E12"/>
    <w:rsid w:val="006F713A"/>
    <w:rsid w:val="007009AA"/>
    <w:rsid w:val="00701A84"/>
    <w:rsid w:val="007026E3"/>
    <w:rsid w:val="007036C3"/>
    <w:rsid w:val="00705859"/>
    <w:rsid w:val="00705FBD"/>
    <w:rsid w:val="00706041"/>
    <w:rsid w:val="00710CAF"/>
    <w:rsid w:val="007123AF"/>
    <w:rsid w:val="00712A96"/>
    <w:rsid w:val="007169EC"/>
    <w:rsid w:val="00721056"/>
    <w:rsid w:val="00721976"/>
    <w:rsid w:val="00722501"/>
    <w:rsid w:val="00725C94"/>
    <w:rsid w:val="00726A6C"/>
    <w:rsid w:val="00726B23"/>
    <w:rsid w:val="00726DB7"/>
    <w:rsid w:val="00727E29"/>
    <w:rsid w:val="00733083"/>
    <w:rsid w:val="00737959"/>
    <w:rsid w:val="00741FC2"/>
    <w:rsid w:val="00742216"/>
    <w:rsid w:val="00742B21"/>
    <w:rsid w:val="00744517"/>
    <w:rsid w:val="00747254"/>
    <w:rsid w:val="00750137"/>
    <w:rsid w:val="0075115C"/>
    <w:rsid w:val="007525B7"/>
    <w:rsid w:val="00752BB4"/>
    <w:rsid w:val="00753BB7"/>
    <w:rsid w:val="00753E3B"/>
    <w:rsid w:val="00755157"/>
    <w:rsid w:val="0076247F"/>
    <w:rsid w:val="00766147"/>
    <w:rsid w:val="00766DD4"/>
    <w:rsid w:val="00770443"/>
    <w:rsid w:val="00770518"/>
    <w:rsid w:val="007724D2"/>
    <w:rsid w:val="00772E30"/>
    <w:rsid w:val="00773B17"/>
    <w:rsid w:val="007760BC"/>
    <w:rsid w:val="007769FC"/>
    <w:rsid w:val="00780470"/>
    <w:rsid w:val="00790A94"/>
    <w:rsid w:val="007911B2"/>
    <w:rsid w:val="00792DDB"/>
    <w:rsid w:val="00797ACE"/>
    <w:rsid w:val="007A01D6"/>
    <w:rsid w:val="007A08F7"/>
    <w:rsid w:val="007A1E5B"/>
    <w:rsid w:val="007A36C9"/>
    <w:rsid w:val="007A5188"/>
    <w:rsid w:val="007A6512"/>
    <w:rsid w:val="007A67FD"/>
    <w:rsid w:val="007B26BF"/>
    <w:rsid w:val="007B3D71"/>
    <w:rsid w:val="007B5213"/>
    <w:rsid w:val="007B5482"/>
    <w:rsid w:val="007B5AE0"/>
    <w:rsid w:val="007B7DDF"/>
    <w:rsid w:val="007C047C"/>
    <w:rsid w:val="007C292F"/>
    <w:rsid w:val="007C3698"/>
    <w:rsid w:val="007C642C"/>
    <w:rsid w:val="007C73A4"/>
    <w:rsid w:val="007C749A"/>
    <w:rsid w:val="007D07A2"/>
    <w:rsid w:val="007D16DC"/>
    <w:rsid w:val="007D4C26"/>
    <w:rsid w:val="007D5CBB"/>
    <w:rsid w:val="007D6572"/>
    <w:rsid w:val="007D7CE8"/>
    <w:rsid w:val="007E0563"/>
    <w:rsid w:val="007E6590"/>
    <w:rsid w:val="007E78FD"/>
    <w:rsid w:val="007F33A5"/>
    <w:rsid w:val="007F5833"/>
    <w:rsid w:val="007F6A96"/>
    <w:rsid w:val="008016DA"/>
    <w:rsid w:val="00803D1B"/>
    <w:rsid w:val="00804854"/>
    <w:rsid w:val="00805D01"/>
    <w:rsid w:val="00807AF6"/>
    <w:rsid w:val="008119E7"/>
    <w:rsid w:val="008121B9"/>
    <w:rsid w:val="00812A78"/>
    <w:rsid w:val="0081489C"/>
    <w:rsid w:val="00814ACE"/>
    <w:rsid w:val="00817ED4"/>
    <w:rsid w:val="00822B05"/>
    <w:rsid w:val="00823971"/>
    <w:rsid w:val="00826534"/>
    <w:rsid w:val="00826C28"/>
    <w:rsid w:val="008331F8"/>
    <w:rsid w:val="00833E5B"/>
    <w:rsid w:val="00842D0A"/>
    <w:rsid w:val="0084602F"/>
    <w:rsid w:val="008476F0"/>
    <w:rsid w:val="00847755"/>
    <w:rsid w:val="00850C2C"/>
    <w:rsid w:val="00851FB3"/>
    <w:rsid w:val="0085267C"/>
    <w:rsid w:val="008567AE"/>
    <w:rsid w:val="008602E0"/>
    <w:rsid w:val="00860649"/>
    <w:rsid w:val="008625DD"/>
    <w:rsid w:val="008631FE"/>
    <w:rsid w:val="00864799"/>
    <w:rsid w:val="00865A18"/>
    <w:rsid w:val="00867C03"/>
    <w:rsid w:val="008702EF"/>
    <w:rsid w:val="008736FF"/>
    <w:rsid w:val="00874DAC"/>
    <w:rsid w:val="00876D34"/>
    <w:rsid w:val="00877B50"/>
    <w:rsid w:val="00880C4E"/>
    <w:rsid w:val="00881D81"/>
    <w:rsid w:val="008827C4"/>
    <w:rsid w:val="00884568"/>
    <w:rsid w:val="0088620C"/>
    <w:rsid w:val="00886D39"/>
    <w:rsid w:val="0089100D"/>
    <w:rsid w:val="008936E5"/>
    <w:rsid w:val="0089400B"/>
    <w:rsid w:val="008946EA"/>
    <w:rsid w:val="008A0C4A"/>
    <w:rsid w:val="008A3037"/>
    <w:rsid w:val="008A3781"/>
    <w:rsid w:val="008A4337"/>
    <w:rsid w:val="008A4F8A"/>
    <w:rsid w:val="008A6265"/>
    <w:rsid w:val="008B4958"/>
    <w:rsid w:val="008B51D6"/>
    <w:rsid w:val="008C3B4C"/>
    <w:rsid w:val="008C4D93"/>
    <w:rsid w:val="008D02D6"/>
    <w:rsid w:val="008D0EA5"/>
    <w:rsid w:val="008D1879"/>
    <w:rsid w:val="008D2B4F"/>
    <w:rsid w:val="008D3603"/>
    <w:rsid w:val="008D4E0B"/>
    <w:rsid w:val="008D7D07"/>
    <w:rsid w:val="008E0053"/>
    <w:rsid w:val="008E0C18"/>
    <w:rsid w:val="008E3714"/>
    <w:rsid w:val="008E4CFA"/>
    <w:rsid w:val="008F2DB6"/>
    <w:rsid w:val="008F368A"/>
    <w:rsid w:val="008F39F5"/>
    <w:rsid w:val="008F5528"/>
    <w:rsid w:val="008F6AF6"/>
    <w:rsid w:val="008F78BF"/>
    <w:rsid w:val="0090152F"/>
    <w:rsid w:val="00905AE6"/>
    <w:rsid w:val="009102B1"/>
    <w:rsid w:val="009117AF"/>
    <w:rsid w:val="00912CD6"/>
    <w:rsid w:val="00913DA9"/>
    <w:rsid w:val="00915BD0"/>
    <w:rsid w:val="009165B6"/>
    <w:rsid w:val="0091764F"/>
    <w:rsid w:val="00920216"/>
    <w:rsid w:val="00921D90"/>
    <w:rsid w:val="00922D1D"/>
    <w:rsid w:val="009233CB"/>
    <w:rsid w:val="0092577B"/>
    <w:rsid w:val="00926831"/>
    <w:rsid w:val="00926EEB"/>
    <w:rsid w:val="00937163"/>
    <w:rsid w:val="00937F4D"/>
    <w:rsid w:val="00942FF5"/>
    <w:rsid w:val="00943B39"/>
    <w:rsid w:val="00943F58"/>
    <w:rsid w:val="0094443B"/>
    <w:rsid w:val="0094469F"/>
    <w:rsid w:val="0094784E"/>
    <w:rsid w:val="0094793B"/>
    <w:rsid w:val="009531B1"/>
    <w:rsid w:val="00953D09"/>
    <w:rsid w:val="00956336"/>
    <w:rsid w:val="00956DB3"/>
    <w:rsid w:val="0096197F"/>
    <w:rsid w:val="00964882"/>
    <w:rsid w:val="009678EF"/>
    <w:rsid w:val="00972737"/>
    <w:rsid w:val="00972D10"/>
    <w:rsid w:val="00975DA5"/>
    <w:rsid w:val="00976838"/>
    <w:rsid w:val="00976894"/>
    <w:rsid w:val="009779E4"/>
    <w:rsid w:val="0098095B"/>
    <w:rsid w:val="00981293"/>
    <w:rsid w:val="009816BB"/>
    <w:rsid w:val="00984168"/>
    <w:rsid w:val="0098447C"/>
    <w:rsid w:val="0098473F"/>
    <w:rsid w:val="0098548A"/>
    <w:rsid w:val="009857A5"/>
    <w:rsid w:val="00986B3E"/>
    <w:rsid w:val="00987946"/>
    <w:rsid w:val="009914DB"/>
    <w:rsid w:val="00993CAC"/>
    <w:rsid w:val="00993DD3"/>
    <w:rsid w:val="0099765D"/>
    <w:rsid w:val="009A21F7"/>
    <w:rsid w:val="009A6828"/>
    <w:rsid w:val="009B115E"/>
    <w:rsid w:val="009B1F9D"/>
    <w:rsid w:val="009B338E"/>
    <w:rsid w:val="009B54E6"/>
    <w:rsid w:val="009C1900"/>
    <w:rsid w:val="009C42F0"/>
    <w:rsid w:val="009C5BB4"/>
    <w:rsid w:val="009C5D2B"/>
    <w:rsid w:val="009D0A6C"/>
    <w:rsid w:val="009D4779"/>
    <w:rsid w:val="009D653B"/>
    <w:rsid w:val="009E280D"/>
    <w:rsid w:val="009E42EB"/>
    <w:rsid w:val="009E7178"/>
    <w:rsid w:val="009E77CE"/>
    <w:rsid w:val="009F1AC6"/>
    <w:rsid w:val="009F2027"/>
    <w:rsid w:val="009F3D52"/>
    <w:rsid w:val="009F46DE"/>
    <w:rsid w:val="009F54BB"/>
    <w:rsid w:val="009F7053"/>
    <w:rsid w:val="009F7835"/>
    <w:rsid w:val="00A00218"/>
    <w:rsid w:val="00A01041"/>
    <w:rsid w:val="00A013E6"/>
    <w:rsid w:val="00A0376F"/>
    <w:rsid w:val="00A059CF"/>
    <w:rsid w:val="00A1079F"/>
    <w:rsid w:val="00A11B75"/>
    <w:rsid w:val="00A12075"/>
    <w:rsid w:val="00A14161"/>
    <w:rsid w:val="00A1421E"/>
    <w:rsid w:val="00A161A9"/>
    <w:rsid w:val="00A20C87"/>
    <w:rsid w:val="00A214E6"/>
    <w:rsid w:val="00A21E6F"/>
    <w:rsid w:val="00A2348C"/>
    <w:rsid w:val="00A236AA"/>
    <w:rsid w:val="00A239C4"/>
    <w:rsid w:val="00A24AE5"/>
    <w:rsid w:val="00A27544"/>
    <w:rsid w:val="00A27AD2"/>
    <w:rsid w:val="00A31FBE"/>
    <w:rsid w:val="00A339BF"/>
    <w:rsid w:val="00A3484A"/>
    <w:rsid w:val="00A37C1C"/>
    <w:rsid w:val="00A403B4"/>
    <w:rsid w:val="00A40975"/>
    <w:rsid w:val="00A443E0"/>
    <w:rsid w:val="00A51D94"/>
    <w:rsid w:val="00A54915"/>
    <w:rsid w:val="00A549E2"/>
    <w:rsid w:val="00A575A3"/>
    <w:rsid w:val="00A60D27"/>
    <w:rsid w:val="00A61259"/>
    <w:rsid w:val="00A63845"/>
    <w:rsid w:val="00A64CFB"/>
    <w:rsid w:val="00A660F9"/>
    <w:rsid w:val="00A7108D"/>
    <w:rsid w:val="00A71821"/>
    <w:rsid w:val="00A74B5E"/>
    <w:rsid w:val="00A75A0E"/>
    <w:rsid w:val="00A75AAB"/>
    <w:rsid w:val="00A77C2A"/>
    <w:rsid w:val="00A77E88"/>
    <w:rsid w:val="00A8150A"/>
    <w:rsid w:val="00A8366F"/>
    <w:rsid w:val="00A8598C"/>
    <w:rsid w:val="00A86BC1"/>
    <w:rsid w:val="00A909F4"/>
    <w:rsid w:val="00A90FFC"/>
    <w:rsid w:val="00A93CEE"/>
    <w:rsid w:val="00A94DA7"/>
    <w:rsid w:val="00A95C89"/>
    <w:rsid w:val="00A95DBF"/>
    <w:rsid w:val="00A97ECB"/>
    <w:rsid w:val="00AA10AE"/>
    <w:rsid w:val="00AA77E6"/>
    <w:rsid w:val="00AA78EE"/>
    <w:rsid w:val="00AB22FD"/>
    <w:rsid w:val="00AB23AB"/>
    <w:rsid w:val="00AB249C"/>
    <w:rsid w:val="00AB3141"/>
    <w:rsid w:val="00AB5EF7"/>
    <w:rsid w:val="00AB609D"/>
    <w:rsid w:val="00AB66B8"/>
    <w:rsid w:val="00AB6EDE"/>
    <w:rsid w:val="00AC12CA"/>
    <w:rsid w:val="00AC2268"/>
    <w:rsid w:val="00AC6253"/>
    <w:rsid w:val="00AD0AA2"/>
    <w:rsid w:val="00AD75D8"/>
    <w:rsid w:val="00AD7CAC"/>
    <w:rsid w:val="00AD7DE4"/>
    <w:rsid w:val="00AE3D01"/>
    <w:rsid w:val="00AE4FC4"/>
    <w:rsid w:val="00AE5260"/>
    <w:rsid w:val="00AE5CF7"/>
    <w:rsid w:val="00AE67B6"/>
    <w:rsid w:val="00AF08A4"/>
    <w:rsid w:val="00AF0D29"/>
    <w:rsid w:val="00AF324E"/>
    <w:rsid w:val="00AF3442"/>
    <w:rsid w:val="00AF49A0"/>
    <w:rsid w:val="00AF5D13"/>
    <w:rsid w:val="00AF70D5"/>
    <w:rsid w:val="00AF7CFA"/>
    <w:rsid w:val="00B0423C"/>
    <w:rsid w:val="00B05EB7"/>
    <w:rsid w:val="00B0641E"/>
    <w:rsid w:val="00B069C3"/>
    <w:rsid w:val="00B07C93"/>
    <w:rsid w:val="00B10C0B"/>
    <w:rsid w:val="00B11FE4"/>
    <w:rsid w:val="00B158CB"/>
    <w:rsid w:val="00B17226"/>
    <w:rsid w:val="00B1739F"/>
    <w:rsid w:val="00B20435"/>
    <w:rsid w:val="00B2193F"/>
    <w:rsid w:val="00B22D70"/>
    <w:rsid w:val="00B251B3"/>
    <w:rsid w:val="00B322B9"/>
    <w:rsid w:val="00B34169"/>
    <w:rsid w:val="00B40AC5"/>
    <w:rsid w:val="00B40DB4"/>
    <w:rsid w:val="00B43529"/>
    <w:rsid w:val="00B45828"/>
    <w:rsid w:val="00B470CF"/>
    <w:rsid w:val="00B51807"/>
    <w:rsid w:val="00B51D11"/>
    <w:rsid w:val="00B52304"/>
    <w:rsid w:val="00B553A3"/>
    <w:rsid w:val="00B556AB"/>
    <w:rsid w:val="00B568D1"/>
    <w:rsid w:val="00B56F9E"/>
    <w:rsid w:val="00B6040F"/>
    <w:rsid w:val="00B60576"/>
    <w:rsid w:val="00B60D18"/>
    <w:rsid w:val="00B70AB4"/>
    <w:rsid w:val="00B7190B"/>
    <w:rsid w:val="00B743C4"/>
    <w:rsid w:val="00B810AD"/>
    <w:rsid w:val="00B82CF7"/>
    <w:rsid w:val="00B82E6C"/>
    <w:rsid w:val="00B83E5B"/>
    <w:rsid w:val="00B840FF"/>
    <w:rsid w:val="00B84A8B"/>
    <w:rsid w:val="00B850F5"/>
    <w:rsid w:val="00B854EB"/>
    <w:rsid w:val="00B86B1A"/>
    <w:rsid w:val="00B8792A"/>
    <w:rsid w:val="00B87E1C"/>
    <w:rsid w:val="00B87E24"/>
    <w:rsid w:val="00B923D8"/>
    <w:rsid w:val="00B924CB"/>
    <w:rsid w:val="00B9460B"/>
    <w:rsid w:val="00B96FEB"/>
    <w:rsid w:val="00BA1742"/>
    <w:rsid w:val="00BA4A15"/>
    <w:rsid w:val="00BA4BC0"/>
    <w:rsid w:val="00BA6A1E"/>
    <w:rsid w:val="00BA779B"/>
    <w:rsid w:val="00BB14E3"/>
    <w:rsid w:val="00BB3C2E"/>
    <w:rsid w:val="00BB6955"/>
    <w:rsid w:val="00BC2D2B"/>
    <w:rsid w:val="00BC31D7"/>
    <w:rsid w:val="00BC7BDB"/>
    <w:rsid w:val="00BD0888"/>
    <w:rsid w:val="00BD16CC"/>
    <w:rsid w:val="00BD2382"/>
    <w:rsid w:val="00BD38A7"/>
    <w:rsid w:val="00BD4CB1"/>
    <w:rsid w:val="00BD4F92"/>
    <w:rsid w:val="00BD5685"/>
    <w:rsid w:val="00BD58EC"/>
    <w:rsid w:val="00BD6AE4"/>
    <w:rsid w:val="00BD6C5E"/>
    <w:rsid w:val="00BD7122"/>
    <w:rsid w:val="00BE1F7A"/>
    <w:rsid w:val="00BE3696"/>
    <w:rsid w:val="00BE3874"/>
    <w:rsid w:val="00BE52C6"/>
    <w:rsid w:val="00BF1EA6"/>
    <w:rsid w:val="00BF1F32"/>
    <w:rsid w:val="00BF4EBD"/>
    <w:rsid w:val="00BF5EC0"/>
    <w:rsid w:val="00BF7CA8"/>
    <w:rsid w:val="00C000E6"/>
    <w:rsid w:val="00C01E68"/>
    <w:rsid w:val="00C10A53"/>
    <w:rsid w:val="00C11B1A"/>
    <w:rsid w:val="00C136A3"/>
    <w:rsid w:val="00C13F58"/>
    <w:rsid w:val="00C1558A"/>
    <w:rsid w:val="00C16E65"/>
    <w:rsid w:val="00C2467E"/>
    <w:rsid w:val="00C33549"/>
    <w:rsid w:val="00C368F9"/>
    <w:rsid w:val="00C409F2"/>
    <w:rsid w:val="00C40EFF"/>
    <w:rsid w:val="00C41015"/>
    <w:rsid w:val="00C4251A"/>
    <w:rsid w:val="00C426BD"/>
    <w:rsid w:val="00C473A5"/>
    <w:rsid w:val="00C50F27"/>
    <w:rsid w:val="00C548F8"/>
    <w:rsid w:val="00C561A1"/>
    <w:rsid w:val="00C57185"/>
    <w:rsid w:val="00C60374"/>
    <w:rsid w:val="00C65F10"/>
    <w:rsid w:val="00C70F62"/>
    <w:rsid w:val="00C71195"/>
    <w:rsid w:val="00C74CE6"/>
    <w:rsid w:val="00C750F1"/>
    <w:rsid w:val="00C75271"/>
    <w:rsid w:val="00C75D0D"/>
    <w:rsid w:val="00C77D07"/>
    <w:rsid w:val="00C8014F"/>
    <w:rsid w:val="00C80A6F"/>
    <w:rsid w:val="00C81B27"/>
    <w:rsid w:val="00C84069"/>
    <w:rsid w:val="00C8459E"/>
    <w:rsid w:val="00C8656D"/>
    <w:rsid w:val="00C9312C"/>
    <w:rsid w:val="00C97B27"/>
    <w:rsid w:val="00CA039A"/>
    <w:rsid w:val="00CA0BC9"/>
    <w:rsid w:val="00CA54D2"/>
    <w:rsid w:val="00CB2000"/>
    <w:rsid w:val="00CB2025"/>
    <w:rsid w:val="00CB48A6"/>
    <w:rsid w:val="00CB621C"/>
    <w:rsid w:val="00CB6493"/>
    <w:rsid w:val="00CB684E"/>
    <w:rsid w:val="00CC02F2"/>
    <w:rsid w:val="00CC167A"/>
    <w:rsid w:val="00CC64E4"/>
    <w:rsid w:val="00CC69FA"/>
    <w:rsid w:val="00CC6B34"/>
    <w:rsid w:val="00CD09B4"/>
    <w:rsid w:val="00CD3BC4"/>
    <w:rsid w:val="00CD54AC"/>
    <w:rsid w:val="00CD6EE8"/>
    <w:rsid w:val="00CD737F"/>
    <w:rsid w:val="00CD7773"/>
    <w:rsid w:val="00CE691B"/>
    <w:rsid w:val="00CE78B9"/>
    <w:rsid w:val="00CF48A1"/>
    <w:rsid w:val="00CF540C"/>
    <w:rsid w:val="00CF56CF"/>
    <w:rsid w:val="00CF5CD9"/>
    <w:rsid w:val="00CF67F1"/>
    <w:rsid w:val="00CF7789"/>
    <w:rsid w:val="00D01E73"/>
    <w:rsid w:val="00D0314D"/>
    <w:rsid w:val="00D05F0E"/>
    <w:rsid w:val="00D110C5"/>
    <w:rsid w:val="00D13DA8"/>
    <w:rsid w:val="00D16E33"/>
    <w:rsid w:val="00D17D84"/>
    <w:rsid w:val="00D20184"/>
    <w:rsid w:val="00D2193C"/>
    <w:rsid w:val="00D23CAC"/>
    <w:rsid w:val="00D242B2"/>
    <w:rsid w:val="00D2665C"/>
    <w:rsid w:val="00D31229"/>
    <w:rsid w:val="00D31A22"/>
    <w:rsid w:val="00D3213A"/>
    <w:rsid w:val="00D32CD6"/>
    <w:rsid w:val="00D34EDB"/>
    <w:rsid w:val="00D355AF"/>
    <w:rsid w:val="00D4185E"/>
    <w:rsid w:val="00D424F4"/>
    <w:rsid w:val="00D4659A"/>
    <w:rsid w:val="00D5039B"/>
    <w:rsid w:val="00D57F85"/>
    <w:rsid w:val="00D61E00"/>
    <w:rsid w:val="00D63B31"/>
    <w:rsid w:val="00D6627B"/>
    <w:rsid w:val="00D70B9C"/>
    <w:rsid w:val="00D71AF2"/>
    <w:rsid w:val="00D73671"/>
    <w:rsid w:val="00D74914"/>
    <w:rsid w:val="00D7651E"/>
    <w:rsid w:val="00D765FC"/>
    <w:rsid w:val="00D767D2"/>
    <w:rsid w:val="00D769EB"/>
    <w:rsid w:val="00D80218"/>
    <w:rsid w:val="00D80CDC"/>
    <w:rsid w:val="00D8264B"/>
    <w:rsid w:val="00D8422D"/>
    <w:rsid w:val="00D879E6"/>
    <w:rsid w:val="00D9028D"/>
    <w:rsid w:val="00D90E2B"/>
    <w:rsid w:val="00D91F21"/>
    <w:rsid w:val="00D930A2"/>
    <w:rsid w:val="00D935CD"/>
    <w:rsid w:val="00D94273"/>
    <w:rsid w:val="00D944A0"/>
    <w:rsid w:val="00D946E9"/>
    <w:rsid w:val="00D94C8F"/>
    <w:rsid w:val="00DA01BA"/>
    <w:rsid w:val="00DA3EE7"/>
    <w:rsid w:val="00DA47F3"/>
    <w:rsid w:val="00DA7EB6"/>
    <w:rsid w:val="00DB2502"/>
    <w:rsid w:val="00DB2AC4"/>
    <w:rsid w:val="00DB45CC"/>
    <w:rsid w:val="00DB7E41"/>
    <w:rsid w:val="00DC1BF6"/>
    <w:rsid w:val="00DC3A4D"/>
    <w:rsid w:val="00DC4022"/>
    <w:rsid w:val="00DC409E"/>
    <w:rsid w:val="00DC4FA6"/>
    <w:rsid w:val="00DC500F"/>
    <w:rsid w:val="00DC76AE"/>
    <w:rsid w:val="00DD18DE"/>
    <w:rsid w:val="00DD230C"/>
    <w:rsid w:val="00DD2358"/>
    <w:rsid w:val="00DD4D0C"/>
    <w:rsid w:val="00DD56BE"/>
    <w:rsid w:val="00DE0C34"/>
    <w:rsid w:val="00DE1091"/>
    <w:rsid w:val="00DE2DF3"/>
    <w:rsid w:val="00DE3B31"/>
    <w:rsid w:val="00DE7014"/>
    <w:rsid w:val="00DF1FFA"/>
    <w:rsid w:val="00DF2DF3"/>
    <w:rsid w:val="00E00B48"/>
    <w:rsid w:val="00E01BDE"/>
    <w:rsid w:val="00E027C9"/>
    <w:rsid w:val="00E02F47"/>
    <w:rsid w:val="00E030EE"/>
    <w:rsid w:val="00E05423"/>
    <w:rsid w:val="00E05525"/>
    <w:rsid w:val="00E0723B"/>
    <w:rsid w:val="00E07933"/>
    <w:rsid w:val="00E108C3"/>
    <w:rsid w:val="00E11F03"/>
    <w:rsid w:val="00E120B9"/>
    <w:rsid w:val="00E13758"/>
    <w:rsid w:val="00E148F3"/>
    <w:rsid w:val="00E14ACC"/>
    <w:rsid w:val="00E151DA"/>
    <w:rsid w:val="00E15382"/>
    <w:rsid w:val="00E1609B"/>
    <w:rsid w:val="00E20944"/>
    <w:rsid w:val="00E22006"/>
    <w:rsid w:val="00E238A2"/>
    <w:rsid w:val="00E23DCD"/>
    <w:rsid w:val="00E241E7"/>
    <w:rsid w:val="00E27A00"/>
    <w:rsid w:val="00E3243B"/>
    <w:rsid w:val="00E335D8"/>
    <w:rsid w:val="00E33707"/>
    <w:rsid w:val="00E33A55"/>
    <w:rsid w:val="00E34005"/>
    <w:rsid w:val="00E34DA9"/>
    <w:rsid w:val="00E35FAE"/>
    <w:rsid w:val="00E413AB"/>
    <w:rsid w:val="00E43274"/>
    <w:rsid w:val="00E4665E"/>
    <w:rsid w:val="00E53F38"/>
    <w:rsid w:val="00E57045"/>
    <w:rsid w:val="00E6159D"/>
    <w:rsid w:val="00E64E71"/>
    <w:rsid w:val="00E70312"/>
    <w:rsid w:val="00E73E35"/>
    <w:rsid w:val="00E740D3"/>
    <w:rsid w:val="00E807BA"/>
    <w:rsid w:val="00E80F7E"/>
    <w:rsid w:val="00E8164C"/>
    <w:rsid w:val="00E8174B"/>
    <w:rsid w:val="00E82B5F"/>
    <w:rsid w:val="00E879C9"/>
    <w:rsid w:val="00E90D94"/>
    <w:rsid w:val="00E95194"/>
    <w:rsid w:val="00E96F65"/>
    <w:rsid w:val="00EA019B"/>
    <w:rsid w:val="00EA26FB"/>
    <w:rsid w:val="00EA56EC"/>
    <w:rsid w:val="00EA5BBB"/>
    <w:rsid w:val="00EB10A7"/>
    <w:rsid w:val="00EB2328"/>
    <w:rsid w:val="00EB42B9"/>
    <w:rsid w:val="00EB48A2"/>
    <w:rsid w:val="00EB494C"/>
    <w:rsid w:val="00EB6DE7"/>
    <w:rsid w:val="00EB71F5"/>
    <w:rsid w:val="00EC3656"/>
    <w:rsid w:val="00EC5A51"/>
    <w:rsid w:val="00EC6890"/>
    <w:rsid w:val="00EC72A4"/>
    <w:rsid w:val="00ED2A80"/>
    <w:rsid w:val="00ED2CF2"/>
    <w:rsid w:val="00ED3060"/>
    <w:rsid w:val="00ED694A"/>
    <w:rsid w:val="00ED76D9"/>
    <w:rsid w:val="00EE4722"/>
    <w:rsid w:val="00EF120D"/>
    <w:rsid w:val="00F006BB"/>
    <w:rsid w:val="00F03462"/>
    <w:rsid w:val="00F060A4"/>
    <w:rsid w:val="00F06124"/>
    <w:rsid w:val="00F06F4B"/>
    <w:rsid w:val="00F07523"/>
    <w:rsid w:val="00F07CA1"/>
    <w:rsid w:val="00F10055"/>
    <w:rsid w:val="00F1326E"/>
    <w:rsid w:val="00F155B4"/>
    <w:rsid w:val="00F15D39"/>
    <w:rsid w:val="00F16B10"/>
    <w:rsid w:val="00F16E76"/>
    <w:rsid w:val="00F22898"/>
    <w:rsid w:val="00F231AB"/>
    <w:rsid w:val="00F24BB1"/>
    <w:rsid w:val="00F26054"/>
    <w:rsid w:val="00F27C44"/>
    <w:rsid w:val="00F304EE"/>
    <w:rsid w:val="00F31887"/>
    <w:rsid w:val="00F33FB4"/>
    <w:rsid w:val="00F35671"/>
    <w:rsid w:val="00F400C4"/>
    <w:rsid w:val="00F41E90"/>
    <w:rsid w:val="00F422BC"/>
    <w:rsid w:val="00F4710F"/>
    <w:rsid w:val="00F50755"/>
    <w:rsid w:val="00F507C9"/>
    <w:rsid w:val="00F53A81"/>
    <w:rsid w:val="00F57D8D"/>
    <w:rsid w:val="00F60AAC"/>
    <w:rsid w:val="00F60E88"/>
    <w:rsid w:val="00F6324E"/>
    <w:rsid w:val="00F65BE6"/>
    <w:rsid w:val="00F667DA"/>
    <w:rsid w:val="00F67288"/>
    <w:rsid w:val="00F7182B"/>
    <w:rsid w:val="00F724C4"/>
    <w:rsid w:val="00F73043"/>
    <w:rsid w:val="00F739DE"/>
    <w:rsid w:val="00F73B29"/>
    <w:rsid w:val="00F757F6"/>
    <w:rsid w:val="00F7632F"/>
    <w:rsid w:val="00F77945"/>
    <w:rsid w:val="00F8168D"/>
    <w:rsid w:val="00F823B7"/>
    <w:rsid w:val="00F82B69"/>
    <w:rsid w:val="00F85EB5"/>
    <w:rsid w:val="00F86321"/>
    <w:rsid w:val="00F87D9D"/>
    <w:rsid w:val="00F90B43"/>
    <w:rsid w:val="00F91143"/>
    <w:rsid w:val="00F91188"/>
    <w:rsid w:val="00F9546C"/>
    <w:rsid w:val="00F95A5F"/>
    <w:rsid w:val="00F95B12"/>
    <w:rsid w:val="00F96CF9"/>
    <w:rsid w:val="00F974A1"/>
    <w:rsid w:val="00F97B72"/>
    <w:rsid w:val="00F97B77"/>
    <w:rsid w:val="00FA10A8"/>
    <w:rsid w:val="00FA1427"/>
    <w:rsid w:val="00FA1505"/>
    <w:rsid w:val="00FA3291"/>
    <w:rsid w:val="00FA45BA"/>
    <w:rsid w:val="00FA5296"/>
    <w:rsid w:val="00FB1F93"/>
    <w:rsid w:val="00FB455F"/>
    <w:rsid w:val="00FB48DF"/>
    <w:rsid w:val="00FB5972"/>
    <w:rsid w:val="00FB5B4F"/>
    <w:rsid w:val="00FB632F"/>
    <w:rsid w:val="00FC3BAF"/>
    <w:rsid w:val="00FC5824"/>
    <w:rsid w:val="00FC5AFE"/>
    <w:rsid w:val="00FC5D22"/>
    <w:rsid w:val="00FD01BA"/>
    <w:rsid w:val="00FD0CA5"/>
    <w:rsid w:val="00FD1E2E"/>
    <w:rsid w:val="00FD4012"/>
    <w:rsid w:val="00FD7415"/>
    <w:rsid w:val="00FE20F3"/>
    <w:rsid w:val="00FE278C"/>
    <w:rsid w:val="00FE4D45"/>
    <w:rsid w:val="00FE5412"/>
    <w:rsid w:val="00FE6874"/>
    <w:rsid w:val="00FF0084"/>
    <w:rsid w:val="00FF0E8C"/>
    <w:rsid w:val="00FF4F25"/>
    <w:rsid w:val="00FF5A7C"/>
    <w:rsid w:val="00FF6B57"/>
    <w:rsid w:val="01084563"/>
    <w:rsid w:val="014557C2"/>
    <w:rsid w:val="0175730A"/>
    <w:rsid w:val="020E5CCB"/>
    <w:rsid w:val="02C26505"/>
    <w:rsid w:val="0316280B"/>
    <w:rsid w:val="03DF1106"/>
    <w:rsid w:val="04FA4068"/>
    <w:rsid w:val="05465305"/>
    <w:rsid w:val="0585553F"/>
    <w:rsid w:val="05B14CBB"/>
    <w:rsid w:val="05BB3E76"/>
    <w:rsid w:val="05F775CA"/>
    <w:rsid w:val="06776245"/>
    <w:rsid w:val="06CC0950"/>
    <w:rsid w:val="07787A2A"/>
    <w:rsid w:val="0862620E"/>
    <w:rsid w:val="08E904B7"/>
    <w:rsid w:val="097E021C"/>
    <w:rsid w:val="098224A6"/>
    <w:rsid w:val="0A1463F6"/>
    <w:rsid w:val="0A173E2D"/>
    <w:rsid w:val="0AA90595"/>
    <w:rsid w:val="0B350C8E"/>
    <w:rsid w:val="0BA734EE"/>
    <w:rsid w:val="0CD13542"/>
    <w:rsid w:val="0CEE02B2"/>
    <w:rsid w:val="0CEF658D"/>
    <w:rsid w:val="0CFB3EF5"/>
    <w:rsid w:val="0D8F3366"/>
    <w:rsid w:val="0D9D6E47"/>
    <w:rsid w:val="0DA24B9E"/>
    <w:rsid w:val="0DD74455"/>
    <w:rsid w:val="0DF62E16"/>
    <w:rsid w:val="0ECA3358"/>
    <w:rsid w:val="0EF362E9"/>
    <w:rsid w:val="0FE5008F"/>
    <w:rsid w:val="10CF3C4D"/>
    <w:rsid w:val="11086DE7"/>
    <w:rsid w:val="11201A4A"/>
    <w:rsid w:val="1154101A"/>
    <w:rsid w:val="11816B68"/>
    <w:rsid w:val="11D12185"/>
    <w:rsid w:val="12300AD5"/>
    <w:rsid w:val="124D2FF4"/>
    <w:rsid w:val="12C8516C"/>
    <w:rsid w:val="130C25E4"/>
    <w:rsid w:val="13451B79"/>
    <w:rsid w:val="13D67934"/>
    <w:rsid w:val="14514DE1"/>
    <w:rsid w:val="149811A9"/>
    <w:rsid w:val="14F645ED"/>
    <w:rsid w:val="150024A6"/>
    <w:rsid w:val="15CC74BB"/>
    <w:rsid w:val="16024C41"/>
    <w:rsid w:val="16653B20"/>
    <w:rsid w:val="167C3651"/>
    <w:rsid w:val="16AD43D6"/>
    <w:rsid w:val="16D10FD2"/>
    <w:rsid w:val="17AC48C0"/>
    <w:rsid w:val="17FD6896"/>
    <w:rsid w:val="17FF700D"/>
    <w:rsid w:val="18220E2B"/>
    <w:rsid w:val="18CB6D13"/>
    <w:rsid w:val="19753314"/>
    <w:rsid w:val="198F02C0"/>
    <w:rsid w:val="19BE4D24"/>
    <w:rsid w:val="1A0F3BE7"/>
    <w:rsid w:val="1A233C9B"/>
    <w:rsid w:val="1A7569D2"/>
    <w:rsid w:val="1A776975"/>
    <w:rsid w:val="1B446693"/>
    <w:rsid w:val="1B863364"/>
    <w:rsid w:val="1BE570A7"/>
    <w:rsid w:val="1C85057C"/>
    <w:rsid w:val="1C9667E2"/>
    <w:rsid w:val="1CE02E11"/>
    <w:rsid w:val="1D455D95"/>
    <w:rsid w:val="1DCC37B7"/>
    <w:rsid w:val="1E2968F2"/>
    <w:rsid w:val="1E3A2B94"/>
    <w:rsid w:val="1F700F5E"/>
    <w:rsid w:val="1F9870AA"/>
    <w:rsid w:val="20410235"/>
    <w:rsid w:val="20A200E4"/>
    <w:rsid w:val="21454D53"/>
    <w:rsid w:val="2208666C"/>
    <w:rsid w:val="222C4C1C"/>
    <w:rsid w:val="22BD1205"/>
    <w:rsid w:val="22C93507"/>
    <w:rsid w:val="235D5C02"/>
    <w:rsid w:val="23761D88"/>
    <w:rsid w:val="2398260B"/>
    <w:rsid w:val="23D93BE6"/>
    <w:rsid w:val="2460453E"/>
    <w:rsid w:val="24623662"/>
    <w:rsid w:val="2490247A"/>
    <w:rsid w:val="24A46447"/>
    <w:rsid w:val="250671B1"/>
    <w:rsid w:val="25201A51"/>
    <w:rsid w:val="25750BE1"/>
    <w:rsid w:val="269F15A2"/>
    <w:rsid w:val="27675295"/>
    <w:rsid w:val="27DA300E"/>
    <w:rsid w:val="27F00ACF"/>
    <w:rsid w:val="28166E74"/>
    <w:rsid w:val="289E5215"/>
    <w:rsid w:val="29B13EE3"/>
    <w:rsid w:val="2A0A6B5C"/>
    <w:rsid w:val="2A0C3A3F"/>
    <w:rsid w:val="2A344E27"/>
    <w:rsid w:val="2B5A2D3E"/>
    <w:rsid w:val="2B631343"/>
    <w:rsid w:val="2C8D18EE"/>
    <w:rsid w:val="2CCA00E0"/>
    <w:rsid w:val="2D8D0A8A"/>
    <w:rsid w:val="2D982EAF"/>
    <w:rsid w:val="2DC310BB"/>
    <w:rsid w:val="2E2536E4"/>
    <w:rsid w:val="2E291BF5"/>
    <w:rsid w:val="2EC8739F"/>
    <w:rsid w:val="2EEF49F4"/>
    <w:rsid w:val="2F1F5640"/>
    <w:rsid w:val="2F2B74F6"/>
    <w:rsid w:val="2F4339CD"/>
    <w:rsid w:val="2F47C642"/>
    <w:rsid w:val="2FCB03D8"/>
    <w:rsid w:val="306B1619"/>
    <w:rsid w:val="309408B3"/>
    <w:rsid w:val="312D4957"/>
    <w:rsid w:val="31472444"/>
    <w:rsid w:val="317407D4"/>
    <w:rsid w:val="32C669D5"/>
    <w:rsid w:val="33875541"/>
    <w:rsid w:val="344E43B3"/>
    <w:rsid w:val="349D460E"/>
    <w:rsid w:val="35774329"/>
    <w:rsid w:val="35833497"/>
    <w:rsid w:val="369D33CF"/>
    <w:rsid w:val="381B2CD7"/>
    <w:rsid w:val="38255D39"/>
    <w:rsid w:val="382F3718"/>
    <w:rsid w:val="38517A5C"/>
    <w:rsid w:val="38874253"/>
    <w:rsid w:val="38DA0176"/>
    <w:rsid w:val="392A6CA6"/>
    <w:rsid w:val="394368B9"/>
    <w:rsid w:val="39647AD1"/>
    <w:rsid w:val="3A05436F"/>
    <w:rsid w:val="3A073317"/>
    <w:rsid w:val="3A3F5C13"/>
    <w:rsid w:val="3A584945"/>
    <w:rsid w:val="3A824DC7"/>
    <w:rsid w:val="3B614F9F"/>
    <w:rsid w:val="3B7A5BB7"/>
    <w:rsid w:val="3C0104BE"/>
    <w:rsid w:val="3C514D1C"/>
    <w:rsid w:val="3C7D22FD"/>
    <w:rsid w:val="3CD03A0B"/>
    <w:rsid w:val="3CF649F2"/>
    <w:rsid w:val="3D735FEB"/>
    <w:rsid w:val="3D7A4A66"/>
    <w:rsid w:val="3E035A0B"/>
    <w:rsid w:val="3E510E77"/>
    <w:rsid w:val="400D4F25"/>
    <w:rsid w:val="40325F09"/>
    <w:rsid w:val="41064F51"/>
    <w:rsid w:val="411424E0"/>
    <w:rsid w:val="412430AB"/>
    <w:rsid w:val="41531E89"/>
    <w:rsid w:val="41D95EFF"/>
    <w:rsid w:val="43082CE4"/>
    <w:rsid w:val="43FFE356"/>
    <w:rsid w:val="440250EA"/>
    <w:rsid w:val="449F12DC"/>
    <w:rsid w:val="44BE64B3"/>
    <w:rsid w:val="44CC075A"/>
    <w:rsid w:val="45001BC2"/>
    <w:rsid w:val="45100EDD"/>
    <w:rsid w:val="455B40C6"/>
    <w:rsid w:val="45855AF7"/>
    <w:rsid w:val="45FC217A"/>
    <w:rsid w:val="4664280C"/>
    <w:rsid w:val="46EF41E6"/>
    <w:rsid w:val="4753028B"/>
    <w:rsid w:val="478101A3"/>
    <w:rsid w:val="47D67FCF"/>
    <w:rsid w:val="47FE15FF"/>
    <w:rsid w:val="484A400D"/>
    <w:rsid w:val="488843A0"/>
    <w:rsid w:val="48B12B78"/>
    <w:rsid w:val="48C30893"/>
    <w:rsid w:val="49277A61"/>
    <w:rsid w:val="4AD75A94"/>
    <w:rsid w:val="4AEE5163"/>
    <w:rsid w:val="4B7C1AD5"/>
    <w:rsid w:val="4B8D7076"/>
    <w:rsid w:val="4C8A7AFA"/>
    <w:rsid w:val="4CFB783C"/>
    <w:rsid w:val="4E216BE1"/>
    <w:rsid w:val="4E6C0166"/>
    <w:rsid w:val="4EF9A0C9"/>
    <w:rsid w:val="4EFB79A5"/>
    <w:rsid w:val="4F1640E0"/>
    <w:rsid w:val="4F551B64"/>
    <w:rsid w:val="4FE130E7"/>
    <w:rsid w:val="4FFBC2A2"/>
    <w:rsid w:val="50951B12"/>
    <w:rsid w:val="50BE1297"/>
    <w:rsid w:val="50C50358"/>
    <w:rsid w:val="50C861E4"/>
    <w:rsid w:val="50D43A3A"/>
    <w:rsid w:val="516721B8"/>
    <w:rsid w:val="522A0B2A"/>
    <w:rsid w:val="52AB5E7A"/>
    <w:rsid w:val="52FF5B0A"/>
    <w:rsid w:val="5341454D"/>
    <w:rsid w:val="53763465"/>
    <w:rsid w:val="53AC3C04"/>
    <w:rsid w:val="5463469A"/>
    <w:rsid w:val="547158E7"/>
    <w:rsid w:val="54DF5F30"/>
    <w:rsid w:val="55035388"/>
    <w:rsid w:val="554F48D8"/>
    <w:rsid w:val="557B9AE9"/>
    <w:rsid w:val="55E46284"/>
    <w:rsid w:val="569939F6"/>
    <w:rsid w:val="56FEAEA3"/>
    <w:rsid w:val="57100093"/>
    <w:rsid w:val="573F0A13"/>
    <w:rsid w:val="57966F4F"/>
    <w:rsid w:val="588A5493"/>
    <w:rsid w:val="58AA52FF"/>
    <w:rsid w:val="58C63C68"/>
    <w:rsid w:val="59083949"/>
    <w:rsid w:val="59A43DF9"/>
    <w:rsid w:val="59BD41B5"/>
    <w:rsid w:val="59C22977"/>
    <w:rsid w:val="5AAA3787"/>
    <w:rsid w:val="5B01250A"/>
    <w:rsid w:val="5B5C4D58"/>
    <w:rsid w:val="5BE5135E"/>
    <w:rsid w:val="5C9D26FA"/>
    <w:rsid w:val="5CEFC991"/>
    <w:rsid w:val="5D10232B"/>
    <w:rsid w:val="5DDD49F3"/>
    <w:rsid w:val="5EA96838"/>
    <w:rsid w:val="5EB2123C"/>
    <w:rsid w:val="5EBB6362"/>
    <w:rsid w:val="5EC95B4E"/>
    <w:rsid w:val="5EEA13F0"/>
    <w:rsid w:val="5F8A1E93"/>
    <w:rsid w:val="5FFFA0AF"/>
    <w:rsid w:val="6107498F"/>
    <w:rsid w:val="61907509"/>
    <w:rsid w:val="61EE46CC"/>
    <w:rsid w:val="62C105B1"/>
    <w:rsid w:val="634E2DAB"/>
    <w:rsid w:val="637649AC"/>
    <w:rsid w:val="638C5AAE"/>
    <w:rsid w:val="63C10B39"/>
    <w:rsid w:val="6444329A"/>
    <w:rsid w:val="64596E36"/>
    <w:rsid w:val="646B3D0E"/>
    <w:rsid w:val="64AB557E"/>
    <w:rsid w:val="64C50C5A"/>
    <w:rsid w:val="655D1DC8"/>
    <w:rsid w:val="660B40FD"/>
    <w:rsid w:val="662E5D9E"/>
    <w:rsid w:val="677B35DD"/>
    <w:rsid w:val="67EB4CF4"/>
    <w:rsid w:val="67F72B7B"/>
    <w:rsid w:val="68351932"/>
    <w:rsid w:val="68912167"/>
    <w:rsid w:val="68B268D4"/>
    <w:rsid w:val="68DA3F04"/>
    <w:rsid w:val="697D0B9C"/>
    <w:rsid w:val="69B12CF7"/>
    <w:rsid w:val="69C12E12"/>
    <w:rsid w:val="69E55F18"/>
    <w:rsid w:val="6A6E4160"/>
    <w:rsid w:val="6AA7B8C3"/>
    <w:rsid w:val="6BBC4E9E"/>
    <w:rsid w:val="6BFB7C72"/>
    <w:rsid w:val="6C0B42A2"/>
    <w:rsid w:val="6CA71752"/>
    <w:rsid w:val="6D1D123C"/>
    <w:rsid w:val="6D1E2B18"/>
    <w:rsid w:val="6D3C76C1"/>
    <w:rsid w:val="6D6B1BE1"/>
    <w:rsid w:val="6DFD1F95"/>
    <w:rsid w:val="6E1D7137"/>
    <w:rsid w:val="6E1F40EF"/>
    <w:rsid w:val="6EC56F25"/>
    <w:rsid w:val="6EF3EF4C"/>
    <w:rsid w:val="6F373D77"/>
    <w:rsid w:val="6F884679"/>
    <w:rsid w:val="6FE25244"/>
    <w:rsid w:val="6FF4CE83"/>
    <w:rsid w:val="704E7090"/>
    <w:rsid w:val="706E1C68"/>
    <w:rsid w:val="70B266FF"/>
    <w:rsid w:val="70F57D19"/>
    <w:rsid w:val="70FD59FA"/>
    <w:rsid w:val="711E1A7D"/>
    <w:rsid w:val="71293AC5"/>
    <w:rsid w:val="71616833"/>
    <w:rsid w:val="718F13C3"/>
    <w:rsid w:val="71FB5323"/>
    <w:rsid w:val="72516015"/>
    <w:rsid w:val="72A762E0"/>
    <w:rsid w:val="72CD0033"/>
    <w:rsid w:val="731C6F4D"/>
    <w:rsid w:val="734339E5"/>
    <w:rsid w:val="73596AC1"/>
    <w:rsid w:val="73AA71B6"/>
    <w:rsid w:val="73DE4104"/>
    <w:rsid w:val="74C15057"/>
    <w:rsid w:val="751C37C1"/>
    <w:rsid w:val="75AC5420"/>
    <w:rsid w:val="75EF6169"/>
    <w:rsid w:val="76C25CFF"/>
    <w:rsid w:val="76E935FF"/>
    <w:rsid w:val="77B6690E"/>
    <w:rsid w:val="780E1594"/>
    <w:rsid w:val="78282834"/>
    <w:rsid w:val="79206822"/>
    <w:rsid w:val="79273042"/>
    <w:rsid w:val="79452ADE"/>
    <w:rsid w:val="7A7527A7"/>
    <w:rsid w:val="7B2756BE"/>
    <w:rsid w:val="7B29584A"/>
    <w:rsid w:val="7B455A5A"/>
    <w:rsid w:val="7B481F1C"/>
    <w:rsid w:val="7B5E0841"/>
    <w:rsid w:val="7B694BFB"/>
    <w:rsid w:val="7C33662E"/>
    <w:rsid w:val="7D03348F"/>
    <w:rsid w:val="7D3B3DA3"/>
    <w:rsid w:val="7D4F6073"/>
    <w:rsid w:val="7D861156"/>
    <w:rsid w:val="7DA14DCA"/>
    <w:rsid w:val="7DA556BA"/>
    <w:rsid w:val="7DC23918"/>
    <w:rsid w:val="7DC3129D"/>
    <w:rsid w:val="7DC50E9C"/>
    <w:rsid w:val="7DDB20C3"/>
    <w:rsid w:val="7E1B4AFE"/>
    <w:rsid w:val="7E2E07E3"/>
    <w:rsid w:val="7ED508BE"/>
    <w:rsid w:val="7EF71538"/>
    <w:rsid w:val="7F8D4295"/>
    <w:rsid w:val="7F9362DE"/>
    <w:rsid w:val="7FF97DE5"/>
    <w:rsid w:val="7FFF0881"/>
    <w:rsid w:val="9D7AB86B"/>
    <w:rsid w:val="9FF33D49"/>
    <w:rsid w:val="AFBF1AD1"/>
    <w:rsid w:val="AFFE12DE"/>
    <w:rsid w:val="B9BFDE83"/>
    <w:rsid w:val="C97F4419"/>
    <w:rsid w:val="D9D9229A"/>
    <w:rsid w:val="DFBF4152"/>
    <w:rsid w:val="E2FEDD34"/>
    <w:rsid w:val="E753544A"/>
    <w:rsid w:val="E8BFAA55"/>
    <w:rsid w:val="EF7D7BE8"/>
    <w:rsid w:val="EFFED199"/>
    <w:rsid w:val="F17F9B07"/>
    <w:rsid w:val="F72659DC"/>
    <w:rsid w:val="F9F3025B"/>
    <w:rsid w:val="FB6436A2"/>
    <w:rsid w:val="FBDBA6B5"/>
    <w:rsid w:val="FE37E8FF"/>
    <w:rsid w:val="FEF4653D"/>
    <w:rsid w:val="FF1F158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qFormat="1" w:unhideWhenUsed="0" w:uiPriority="99" w:semiHidden="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qFormat="1"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99" w:semiHidden="0" w:name="Body Text First Indent"/>
    <w:lsdException w:qFormat="1" w:uiPriority="99" w:semiHidden="0" w:name="Body Text First Indent 2"/>
    <w:lsdException w:uiPriority="0" w:name="Note Heading"/>
    <w:lsdException w:qFormat="1" w:uiPriority="99" w:semiHidden="0" w:name="Body Text 2"/>
    <w:lsdException w:qFormat="1" w:unhideWhenUsed="0" w:uiPriority="99" w:semiHidden="0" w:name="Body Text 3"/>
    <w:lsdException w:qFormat="1" w:uiPriority="99" w:semiHidden="0" w:name="Body Text Indent 2"/>
    <w:lsdException w:qFormat="1" w:unhideWhenUsed="0" w:uiPriority="99" w:semiHidden="0" w:name="Body Text Indent 3"/>
    <w:lsdException w:qFormat="1" w:uiPriority="99"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99"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0" w:semiHidden="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53"/>
    <w:qFormat/>
    <w:uiPriority w:val="0"/>
    <w:pPr>
      <w:keepNext/>
      <w:keepLines/>
      <w:spacing w:before="340" w:after="330" w:line="576" w:lineRule="auto"/>
      <w:outlineLvl w:val="0"/>
    </w:pPr>
    <w:rPr>
      <w:b/>
      <w:kern w:val="44"/>
      <w:sz w:val="44"/>
      <w:szCs w:val="20"/>
    </w:rPr>
  </w:style>
  <w:style w:type="paragraph" w:styleId="4">
    <w:name w:val="heading 2"/>
    <w:basedOn w:val="1"/>
    <w:next w:val="1"/>
    <w:link w:val="54"/>
    <w:qFormat/>
    <w:uiPriority w:val="0"/>
    <w:pPr>
      <w:keepNext/>
      <w:keepLines/>
      <w:spacing w:before="260" w:after="260" w:line="412" w:lineRule="auto"/>
      <w:outlineLvl w:val="1"/>
    </w:pPr>
    <w:rPr>
      <w:rFonts w:ascii="Arial" w:hAnsi="Arial" w:eastAsia="黑体"/>
      <w:b/>
      <w:sz w:val="32"/>
      <w:szCs w:val="20"/>
    </w:rPr>
  </w:style>
  <w:style w:type="paragraph" w:styleId="5">
    <w:name w:val="heading 3"/>
    <w:basedOn w:val="1"/>
    <w:next w:val="1"/>
    <w:link w:val="55"/>
    <w:qFormat/>
    <w:uiPriority w:val="0"/>
    <w:pPr>
      <w:keepNext/>
      <w:keepLines/>
      <w:spacing w:before="260" w:after="260" w:line="412" w:lineRule="auto"/>
      <w:ind w:firstLine="49" w:firstLineChars="49"/>
      <w:outlineLvl w:val="2"/>
    </w:pPr>
    <w:rPr>
      <w:rFonts w:ascii="黑体" w:eastAsia="黑体"/>
      <w:sz w:val="28"/>
      <w:szCs w:val="20"/>
    </w:rPr>
  </w:style>
  <w:style w:type="paragraph" w:styleId="6">
    <w:name w:val="heading 4"/>
    <w:basedOn w:val="1"/>
    <w:next w:val="1"/>
    <w:link w:val="56"/>
    <w:qFormat/>
    <w:uiPriority w:val="0"/>
    <w:pPr>
      <w:keepNext/>
      <w:keepLines/>
      <w:spacing w:before="280" w:after="290" w:line="374" w:lineRule="auto"/>
      <w:outlineLvl w:val="3"/>
    </w:pPr>
    <w:rPr>
      <w:rFonts w:ascii="Arial" w:hAnsi="Arial" w:eastAsia="黑体"/>
      <w:b/>
      <w:bCs/>
      <w:sz w:val="28"/>
      <w:szCs w:val="28"/>
    </w:rPr>
  </w:style>
  <w:style w:type="paragraph" w:styleId="7">
    <w:name w:val="heading 5"/>
    <w:basedOn w:val="1"/>
    <w:next w:val="1"/>
    <w:link w:val="57"/>
    <w:qFormat/>
    <w:uiPriority w:val="0"/>
    <w:pPr>
      <w:keepNext/>
      <w:keepLines/>
      <w:spacing w:before="280" w:after="290" w:line="376" w:lineRule="auto"/>
      <w:outlineLvl w:val="4"/>
    </w:pPr>
    <w:rPr>
      <w:b/>
      <w:bCs/>
      <w:sz w:val="28"/>
      <w:szCs w:val="28"/>
    </w:rPr>
  </w:style>
  <w:style w:type="paragraph" w:styleId="8">
    <w:name w:val="heading 6"/>
    <w:basedOn w:val="1"/>
    <w:next w:val="1"/>
    <w:link w:val="58"/>
    <w:qFormat/>
    <w:uiPriority w:val="0"/>
    <w:pPr>
      <w:keepNext/>
      <w:keepLines/>
      <w:widowControl/>
      <w:tabs>
        <w:tab w:val="left" w:pos="1440"/>
      </w:tabs>
      <w:spacing w:before="240" w:after="64" w:line="319" w:lineRule="auto"/>
      <w:ind w:left="1152" w:hanging="1152"/>
      <w:jc w:val="left"/>
      <w:outlineLvl w:val="5"/>
    </w:pPr>
    <w:rPr>
      <w:rFonts w:ascii="Arial" w:hAnsi="Arial" w:eastAsia="黑体"/>
      <w:b/>
      <w:bCs/>
      <w:kern w:val="0"/>
      <w:sz w:val="24"/>
      <w:szCs w:val="20"/>
    </w:rPr>
  </w:style>
  <w:style w:type="paragraph" w:styleId="9">
    <w:name w:val="heading 7"/>
    <w:basedOn w:val="1"/>
    <w:next w:val="1"/>
    <w:link w:val="59"/>
    <w:qFormat/>
    <w:uiPriority w:val="99"/>
    <w:pPr>
      <w:keepNext/>
      <w:keepLines/>
      <w:widowControl/>
      <w:tabs>
        <w:tab w:val="left" w:pos="2520"/>
      </w:tabs>
      <w:spacing w:before="240" w:after="64" w:line="319" w:lineRule="auto"/>
      <w:ind w:left="1296" w:hanging="1296"/>
      <w:jc w:val="left"/>
      <w:outlineLvl w:val="6"/>
    </w:pPr>
    <w:rPr>
      <w:b/>
      <w:bCs/>
      <w:kern w:val="0"/>
      <w:sz w:val="24"/>
      <w:szCs w:val="20"/>
    </w:rPr>
  </w:style>
  <w:style w:type="paragraph" w:styleId="10">
    <w:name w:val="heading 8"/>
    <w:basedOn w:val="1"/>
    <w:next w:val="1"/>
    <w:link w:val="60"/>
    <w:qFormat/>
    <w:uiPriority w:val="99"/>
    <w:pPr>
      <w:keepNext/>
      <w:keepLines/>
      <w:widowControl/>
      <w:tabs>
        <w:tab w:val="left" w:pos="1440"/>
      </w:tabs>
      <w:spacing w:before="240" w:after="64" w:line="319" w:lineRule="auto"/>
      <w:ind w:left="1440" w:hanging="1440"/>
      <w:jc w:val="left"/>
      <w:outlineLvl w:val="7"/>
    </w:pPr>
    <w:rPr>
      <w:rFonts w:ascii="Arial" w:hAnsi="Arial" w:eastAsia="黑体"/>
      <w:kern w:val="0"/>
      <w:sz w:val="24"/>
      <w:szCs w:val="20"/>
    </w:rPr>
  </w:style>
  <w:style w:type="paragraph" w:styleId="11">
    <w:name w:val="heading 9"/>
    <w:basedOn w:val="1"/>
    <w:next w:val="1"/>
    <w:link w:val="61"/>
    <w:qFormat/>
    <w:uiPriority w:val="99"/>
    <w:pPr>
      <w:keepNext/>
      <w:keepLines/>
      <w:widowControl/>
      <w:tabs>
        <w:tab w:val="left" w:pos="1584"/>
      </w:tabs>
      <w:spacing w:before="240" w:after="64" w:line="319" w:lineRule="auto"/>
      <w:ind w:left="1584" w:hanging="1584"/>
      <w:jc w:val="left"/>
      <w:outlineLvl w:val="8"/>
    </w:pPr>
    <w:rPr>
      <w:rFonts w:ascii="Arial" w:hAnsi="Arial" w:eastAsia="黑体"/>
      <w:kern w:val="0"/>
      <w:szCs w:val="21"/>
    </w:rPr>
  </w:style>
  <w:style w:type="character" w:default="1" w:styleId="45">
    <w:name w:val="Default Paragraph Font"/>
    <w:unhideWhenUsed/>
    <w:qFormat/>
    <w:uiPriority w:val="1"/>
  </w:style>
  <w:style w:type="table" w:default="1" w:styleId="43">
    <w:name w:val="Normal Table"/>
    <w:unhideWhenUsed/>
    <w:qFormat/>
    <w:uiPriority w:val="99"/>
    <w:tblPr>
      <w:tblCellMar>
        <w:top w:w="0" w:type="dxa"/>
        <w:left w:w="108" w:type="dxa"/>
        <w:bottom w:w="0" w:type="dxa"/>
        <w:right w:w="108" w:type="dxa"/>
      </w:tblCellMar>
    </w:tblPr>
  </w:style>
  <w:style w:type="paragraph" w:styleId="2">
    <w:name w:val="toa heading"/>
    <w:basedOn w:val="1"/>
    <w:next w:val="1"/>
    <w:qFormat/>
    <w:uiPriority w:val="99"/>
    <w:pPr>
      <w:autoSpaceDE w:val="0"/>
      <w:autoSpaceDN w:val="0"/>
      <w:adjustRightInd w:val="0"/>
      <w:snapToGrid w:val="0"/>
      <w:spacing w:before="120" w:line="360" w:lineRule="auto"/>
    </w:pPr>
    <w:rPr>
      <w:rFonts w:ascii="Arial" w:hAnsi="Arial"/>
      <w:snapToGrid w:val="0"/>
      <w:color w:val="000000"/>
      <w:kern w:val="0"/>
      <w:szCs w:val="20"/>
    </w:rPr>
  </w:style>
  <w:style w:type="paragraph" w:styleId="12">
    <w:name w:val="toc 7"/>
    <w:basedOn w:val="1"/>
    <w:next w:val="1"/>
    <w:qFormat/>
    <w:uiPriority w:val="39"/>
    <w:pPr>
      <w:ind w:left="1200" w:leftChars="1200"/>
    </w:pPr>
  </w:style>
  <w:style w:type="paragraph" w:styleId="13">
    <w:name w:val="Normal Indent"/>
    <w:basedOn w:val="1"/>
    <w:qFormat/>
    <w:uiPriority w:val="99"/>
    <w:pPr>
      <w:ind w:firstLine="420"/>
    </w:pPr>
  </w:style>
  <w:style w:type="paragraph" w:styleId="14">
    <w:name w:val="Document Map"/>
    <w:basedOn w:val="1"/>
    <w:link w:val="62"/>
    <w:qFormat/>
    <w:uiPriority w:val="99"/>
    <w:rPr>
      <w:rFonts w:ascii="宋体"/>
      <w:sz w:val="18"/>
      <w:szCs w:val="18"/>
    </w:rPr>
  </w:style>
  <w:style w:type="paragraph" w:styleId="15">
    <w:name w:val="annotation text"/>
    <w:basedOn w:val="1"/>
    <w:link w:val="63"/>
    <w:qFormat/>
    <w:uiPriority w:val="0"/>
    <w:pPr>
      <w:jc w:val="left"/>
    </w:pPr>
    <w:rPr>
      <w:szCs w:val="20"/>
    </w:rPr>
  </w:style>
  <w:style w:type="paragraph" w:styleId="16">
    <w:name w:val="Body Text 3"/>
    <w:basedOn w:val="1"/>
    <w:link w:val="64"/>
    <w:qFormat/>
    <w:uiPriority w:val="99"/>
    <w:rPr>
      <w:rFonts w:ascii="宋体"/>
      <w:sz w:val="24"/>
      <w:szCs w:val="20"/>
    </w:rPr>
  </w:style>
  <w:style w:type="paragraph" w:styleId="17">
    <w:name w:val="Body Text"/>
    <w:basedOn w:val="1"/>
    <w:next w:val="18"/>
    <w:link w:val="65"/>
    <w:unhideWhenUsed/>
    <w:qFormat/>
    <w:uiPriority w:val="99"/>
    <w:pPr>
      <w:spacing w:after="120"/>
    </w:pPr>
    <w:rPr>
      <w:szCs w:val="20"/>
    </w:rPr>
  </w:style>
  <w:style w:type="paragraph" w:styleId="18">
    <w:name w:val="Body Text First Indent"/>
    <w:basedOn w:val="17"/>
    <w:link w:val="66"/>
    <w:qFormat/>
    <w:uiPriority w:val="99"/>
    <w:pPr>
      <w:spacing w:line="312" w:lineRule="auto"/>
      <w:ind w:firstLine="420"/>
    </w:pPr>
    <w:rPr>
      <w:szCs w:val="24"/>
    </w:rPr>
  </w:style>
  <w:style w:type="paragraph" w:styleId="19">
    <w:name w:val="Body Text Indent"/>
    <w:basedOn w:val="1"/>
    <w:link w:val="67"/>
    <w:qFormat/>
    <w:uiPriority w:val="0"/>
    <w:pPr>
      <w:spacing w:after="120"/>
      <w:ind w:left="420" w:leftChars="200"/>
    </w:pPr>
    <w:rPr>
      <w:szCs w:val="20"/>
    </w:rPr>
  </w:style>
  <w:style w:type="paragraph" w:styleId="20">
    <w:name w:val="Block Text"/>
    <w:basedOn w:val="1"/>
    <w:unhideWhenUsed/>
    <w:qFormat/>
    <w:uiPriority w:val="99"/>
    <w:pPr>
      <w:tabs>
        <w:tab w:val="left" w:pos="900"/>
      </w:tabs>
      <w:snapToGrid w:val="0"/>
      <w:spacing w:line="360" w:lineRule="auto"/>
      <w:ind w:left="-180" w:right="-334" w:firstLine="482"/>
    </w:pPr>
    <w:rPr>
      <w:rFonts w:ascii="仿宋_GB2312" w:eastAsia="仿宋_GB2312"/>
      <w:sz w:val="24"/>
    </w:rPr>
  </w:style>
  <w:style w:type="paragraph" w:styleId="21">
    <w:name w:val="toc 5"/>
    <w:basedOn w:val="1"/>
    <w:next w:val="1"/>
    <w:qFormat/>
    <w:uiPriority w:val="39"/>
    <w:pPr>
      <w:ind w:left="800" w:leftChars="800"/>
    </w:pPr>
  </w:style>
  <w:style w:type="paragraph" w:styleId="22">
    <w:name w:val="toc 3"/>
    <w:basedOn w:val="1"/>
    <w:next w:val="1"/>
    <w:qFormat/>
    <w:uiPriority w:val="39"/>
    <w:pPr>
      <w:ind w:left="400" w:leftChars="400"/>
    </w:pPr>
  </w:style>
  <w:style w:type="paragraph" w:styleId="23">
    <w:name w:val="Plain Text"/>
    <w:basedOn w:val="1"/>
    <w:link w:val="68"/>
    <w:qFormat/>
    <w:uiPriority w:val="99"/>
    <w:rPr>
      <w:rFonts w:ascii="宋体"/>
    </w:rPr>
  </w:style>
  <w:style w:type="paragraph" w:styleId="24">
    <w:name w:val="toc 8"/>
    <w:basedOn w:val="1"/>
    <w:next w:val="1"/>
    <w:qFormat/>
    <w:uiPriority w:val="39"/>
    <w:pPr>
      <w:ind w:left="1400" w:leftChars="1400"/>
    </w:pPr>
  </w:style>
  <w:style w:type="paragraph" w:styleId="25">
    <w:name w:val="Date"/>
    <w:basedOn w:val="1"/>
    <w:next w:val="1"/>
    <w:link w:val="69"/>
    <w:qFormat/>
    <w:uiPriority w:val="99"/>
    <w:pPr>
      <w:ind w:left="2500" w:leftChars="2500"/>
    </w:pPr>
    <w:rPr>
      <w:szCs w:val="20"/>
    </w:rPr>
  </w:style>
  <w:style w:type="paragraph" w:styleId="26">
    <w:name w:val="Body Text Indent 2"/>
    <w:basedOn w:val="1"/>
    <w:link w:val="70"/>
    <w:unhideWhenUsed/>
    <w:qFormat/>
    <w:uiPriority w:val="99"/>
    <w:pPr>
      <w:ind w:firstLine="560" w:firstLineChars="200"/>
    </w:pPr>
    <w:rPr>
      <w:sz w:val="28"/>
    </w:rPr>
  </w:style>
  <w:style w:type="paragraph" w:styleId="27">
    <w:name w:val="Balloon Text"/>
    <w:basedOn w:val="1"/>
    <w:link w:val="71"/>
    <w:qFormat/>
    <w:uiPriority w:val="99"/>
    <w:rPr>
      <w:sz w:val="18"/>
      <w:szCs w:val="20"/>
    </w:rPr>
  </w:style>
  <w:style w:type="paragraph" w:styleId="28">
    <w:name w:val="footer"/>
    <w:basedOn w:val="1"/>
    <w:link w:val="72"/>
    <w:qFormat/>
    <w:uiPriority w:val="99"/>
    <w:pPr>
      <w:tabs>
        <w:tab w:val="center" w:pos="4153"/>
        <w:tab w:val="right" w:pos="8306"/>
      </w:tabs>
      <w:snapToGrid w:val="0"/>
      <w:jc w:val="left"/>
    </w:pPr>
    <w:rPr>
      <w:sz w:val="18"/>
    </w:rPr>
  </w:style>
  <w:style w:type="paragraph" w:styleId="29">
    <w:name w:val="header"/>
    <w:basedOn w:val="1"/>
    <w:link w:val="73"/>
    <w:qFormat/>
    <w:uiPriority w:val="99"/>
    <w:pPr>
      <w:tabs>
        <w:tab w:val="center" w:pos="4153"/>
        <w:tab w:val="right" w:pos="8306"/>
      </w:tabs>
      <w:snapToGrid w:val="0"/>
    </w:pPr>
    <w:rPr>
      <w:sz w:val="18"/>
      <w:szCs w:val="20"/>
    </w:rPr>
  </w:style>
  <w:style w:type="paragraph" w:styleId="30">
    <w:name w:val="toc 1"/>
    <w:basedOn w:val="1"/>
    <w:next w:val="1"/>
    <w:qFormat/>
    <w:uiPriority w:val="39"/>
  </w:style>
  <w:style w:type="paragraph" w:styleId="31">
    <w:name w:val="toc 4"/>
    <w:basedOn w:val="1"/>
    <w:next w:val="1"/>
    <w:qFormat/>
    <w:uiPriority w:val="39"/>
    <w:pPr>
      <w:ind w:left="600" w:leftChars="600"/>
    </w:pPr>
  </w:style>
  <w:style w:type="paragraph" w:styleId="32">
    <w:name w:val="toc 6"/>
    <w:basedOn w:val="1"/>
    <w:next w:val="1"/>
    <w:qFormat/>
    <w:uiPriority w:val="39"/>
    <w:pPr>
      <w:ind w:left="1000" w:leftChars="1000"/>
    </w:pPr>
  </w:style>
  <w:style w:type="paragraph" w:styleId="33">
    <w:name w:val="Body Text Indent 3"/>
    <w:basedOn w:val="1"/>
    <w:link w:val="74"/>
    <w:qFormat/>
    <w:uiPriority w:val="99"/>
    <w:pPr>
      <w:spacing w:after="120"/>
      <w:ind w:left="200" w:leftChars="200"/>
    </w:pPr>
    <w:rPr>
      <w:sz w:val="16"/>
      <w:szCs w:val="16"/>
    </w:rPr>
  </w:style>
  <w:style w:type="paragraph" w:styleId="34">
    <w:name w:val="toc 2"/>
    <w:basedOn w:val="1"/>
    <w:next w:val="1"/>
    <w:qFormat/>
    <w:uiPriority w:val="39"/>
    <w:pPr>
      <w:ind w:left="200" w:leftChars="200"/>
    </w:pPr>
  </w:style>
  <w:style w:type="paragraph" w:styleId="35">
    <w:name w:val="toc 9"/>
    <w:basedOn w:val="1"/>
    <w:next w:val="1"/>
    <w:qFormat/>
    <w:uiPriority w:val="39"/>
    <w:pPr>
      <w:ind w:left="1600" w:leftChars="1600"/>
    </w:pPr>
  </w:style>
  <w:style w:type="paragraph" w:styleId="36">
    <w:name w:val="Body Text 2"/>
    <w:basedOn w:val="1"/>
    <w:link w:val="75"/>
    <w:unhideWhenUsed/>
    <w:qFormat/>
    <w:uiPriority w:val="99"/>
    <w:rPr>
      <w:sz w:val="24"/>
      <w:szCs w:val="20"/>
    </w:rPr>
  </w:style>
  <w:style w:type="paragraph" w:styleId="37">
    <w:name w:val="HTML Preformatted"/>
    <w:basedOn w:val="1"/>
    <w:link w:val="76"/>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38">
    <w:name w:val="Normal (Web)"/>
    <w:basedOn w:val="1"/>
    <w:qFormat/>
    <w:uiPriority w:val="99"/>
    <w:pPr>
      <w:widowControl/>
      <w:spacing w:before="100" w:beforeAutospacing="1" w:after="100" w:afterAutospacing="1"/>
      <w:jc w:val="left"/>
    </w:pPr>
    <w:rPr>
      <w:rFonts w:ascii="宋体" w:hAnsi="宋体" w:cs="宋体"/>
      <w:color w:val="000000"/>
      <w:kern w:val="0"/>
      <w:sz w:val="24"/>
      <w:szCs w:val="20"/>
    </w:rPr>
  </w:style>
  <w:style w:type="paragraph" w:styleId="39">
    <w:name w:val="index 1"/>
    <w:basedOn w:val="1"/>
    <w:next w:val="1"/>
    <w:qFormat/>
    <w:uiPriority w:val="0"/>
    <w:pPr>
      <w:spacing w:line="220" w:lineRule="exact"/>
      <w:jc w:val="center"/>
    </w:pPr>
    <w:rPr>
      <w:rFonts w:ascii="仿宋_GB2312" w:hAnsi="Times New Roman" w:eastAsia="仿宋_GB2312"/>
      <w:szCs w:val="21"/>
    </w:rPr>
  </w:style>
  <w:style w:type="paragraph" w:styleId="40">
    <w:name w:val="Title"/>
    <w:basedOn w:val="1"/>
    <w:link w:val="77"/>
    <w:qFormat/>
    <w:uiPriority w:val="10"/>
    <w:pPr>
      <w:adjustRightInd w:val="0"/>
      <w:spacing w:before="240" w:after="60" w:line="420" w:lineRule="atLeast"/>
      <w:jc w:val="center"/>
      <w:textAlignment w:val="baseline"/>
      <w:outlineLvl w:val="0"/>
    </w:pPr>
    <w:rPr>
      <w:rFonts w:ascii="Arial" w:hAnsi="Arial"/>
      <w:b/>
      <w:kern w:val="0"/>
      <w:sz w:val="32"/>
      <w:szCs w:val="20"/>
    </w:rPr>
  </w:style>
  <w:style w:type="paragraph" w:styleId="41">
    <w:name w:val="annotation subject"/>
    <w:basedOn w:val="15"/>
    <w:next w:val="15"/>
    <w:link w:val="78"/>
    <w:qFormat/>
    <w:uiPriority w:val="99"/>
  </w:style>
  <w:style w:type="paragraph" w:styleId="42">
    <w:name w:val="Body Text First Indent 2"/>
    <w:basedOn w:val="19"/>
    <w:link w:val="79"/>
    <w:unhideWhenUsed/>
    <w:qFormat/>
    <w:uiPriority w:val="99"/>
    <w:pPr>
      <w:ind w:firstLine="420" w:firstLineChars="200"/>
    </w:pPr>
    <w:rPr>
      <w:szCs w:val="24"/>
    </w:rPr>
  </w:style>
  <w:style w:type="table" w:styleId="44">
    <w:name w:val="Table Grid"/>
    <w:basedOn w:val="4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qFormat/>
    <w:uiPriority w:val="0"/>
  </w:style>
  <w:style w:type="character" w:styleId="48">
    <w:name w:val="FollowedHyperlink"/>
    <w:unhideWhenUsed/>
    <w:qFormat/>
    <w:uiPriority w:val="99"/>
    <w:rPr>
      <w:color w:val="000000"/>
      <w:u w:val="none"/>
    </w:rPr>
  </w:style>
  <w:style w:type="character" w:styleId="49">
    <w:name w:val="Emphasis"/>
    <w:qFormat/>
    <w:uiPriority w:val="0"/>
    <w:rPr>
      <w:rFonts w:ascii="微软雅黑" w:hAnsi="微软雅黑" w:eastAsia="微软雅黑" w:cs="微软雅黑"/>
    </w:rPr>
  </w:style>
  <w:style w:type="character" w:styleId="50">
    <w:name w:val="Hyperlink"/>
    <w:qFormat/>
    <w:uiPriority w:val="99"/>
    <w:rPr>
      <w:color w:val="000000"/>
      <w:u w:val="none"/>
    </w:rPr>
  </w:style>
  <w:style w:type="character" w:styleId="51">
    <w:name w:val="annotation reference"/>
    <w:qFormat/>
    <w:uiPriority w:val="99"/>
    <w:rPr>
      <w:sz w:val="21"/>
    </w:rPr>
  </w:style>
  <w:style w:type="character" w:styleId="52">
    <w:name w:val="footnote reference"/>
    <w:qFormat/>
    <w:uiPriority w:val="0"/>
    <w:rPr>
      <w:vertAlign w:val="superscript"/>
    </w:rPr>
  </w:style>
  <w:style w:type="character" w:customStyle="1" w:styleId="53">
    <w:name w:val="标题 1 字符"/>
    <w:link w:val="3"/>
    <w:qFormat/>
    <w:uiPriority w:val="0"/>
    <w:rPr>
      <w:rFonts w:eastAsia="宋体"/>
      <w:b/>
      <w:kern w:val="44"/>
      <w:sz w:val="44"/>
    </w:rPr>
  </w:style>
  <w:style w:type="character" w:customStyle="1" w:styleId="54">
    <w:name w:val="标题 2 字符"/>
    <w:link w:val="4"/>
    <w:qFormat/>
    <w:uiPriority w:val="0"/>
    <w:rPr>
      <w:rFonts w:ascii="Arial" w:hAnsi="Arial" w:eastAsia="黑体"/>
      <w:b/>
      <w:kern w:val="2"/>
      <w:sz w:val="32"/>
    </w:rPr>
  </w:style>
  <w:style w:type="character" w:customStyle="1" w:styleId="55">
    <w:name w:val="标题 3 字符"/>
    <w:link w:val="5"/>
    <w:qFormat/>
    <w:uiPriority w:val="0"/>
    <w:rPr>
      <w:rFonts w:ascii="黑体" w:hAnsi="Calibri" w:eastAsia="黑体"/>
      <w:kern w:val="2"/>
      <w:sz w:val="28"/>
    </w:rPr>
  </w:style>
  <w:style w:type="character" w:customStyle="1" w:styleId="56">
    <w:name w:val="标题 4 字符"/>
    <w:link w:val="6"/>
    <w:qFormat/>
    <w:uiPriority w:val="0"/>
    <w:rPr>
      <w:rFonts w:ascii="Arial" w:hAnsi="Arial" w:eastAsia="黑体"/>
      <w:b/>
      <w:bCs/>
      <w:kern w:val="2"/>
      <w:sz w:val="28"/>
      <w:szCs w:val="28"/>
    </w:rPr>
  </w:style>
  <w:style w:type="character" w:customStyle="1" w:styleId="57">
    <w:name w:val="标题 5 字符"/>
    <w:link w:val="7"/>
    <w:semiHidden/>
    <w:qFormat/>
    <w:uiPriority w:val="0"/>
    <w:rPr>
      <w:rFonts w:eastAsia="宋体"/>
      <w:b/>
      <w:bCs/>
      <w:kern w:val="2"/>
      <w:sz w:val="28"/>
      <w:szCs w:val="28"/>
    </w:rPr>
  </w:style>
  <w:style w:type="character" w:customStyle="1" w:styleId="58">
    <w:name w:val="标题 6 字符"/>
    <w:link w:val="8"/>
    <w:qFormat/>
    <w:uiPriority w:val="0"/>
    <w:rPr>
      <w:rFonts w:ascii="Arial" w:hAnsi="Arial" w:eastAsia="黑体"/>
      <w:b/>
      <w:bCs/>
      <w:sz w:val="24"/>
    </w:rPr>
  </w:style>
  <w:style w:type="character" w:customStyle="1" w:styleId="59">
    <w:name w:val="标题 7 字符"/>
    <w:link w:val="9"/>
    <w:qFormat/>
    <w:uiPriority w:val="99"/>
    <w:rPr>
      <w:rFonts w:eastAsia="宋体"/>
      <w:b/>
      <w:bCs/>
      <w:sz w:val="24"/>
    </w:rPr>
  </w:style>
  <w:style w:type="character" w:customStyle="1" w:styleId="60">
    <w:name w:val="标题 8 字符"/>
    <w:link w:val="10"/>
    <w:qFormat/>
    <w:uiPriority w:val="99"/>
    <w:rPr>
      <w:rFonts w:ascii="Arial" w:hAnsi="Arial" w:eastAsia="黑体"/>
      <w:sz w:val="24"/>
    </w:rPr>
  </w:style>
  <w:style w:type="character" w:customStyle="1" w:styleId="61">
    <w:name w:val="标题 9 字符"/>
    <w:link w:val="11"/>
    <w:qFormat/>
    <w:uiPriority w:val="99"/>
    <w:rPr>
      <w:rFonts w:ascii="Arial" w:hAnsi="Arial" w:eastAsia="黑体"/>
      <w:sz w:val="21"/>
      <w:szCs w:val="21"/>
    </w:rPr>
  </w:style>
  <w:style w:type="character" w:customStyle="1" w:styleId="62">
    <w:name w:val="文档结构图 字符"/>
    <w:link w:val="14"/>
    <w:qFormat/>
    <w:uiPriority w:val="99"/>
    <w:rPr>
      <w:rFonts w:ascii="宋体" w:hAnsi="Calibri" w:eastAsia="宋体" w:cs="宋体"/>
      <w:kern w:val="2"/>
      <w:sz w:val="18"/>
      <w:szCs w:val="18"/>
    </w:rPr>
  </w:style>
  <w:style w:type="character" w:customStyle="1" w:styleId="63">
    <w:name w:val="批注文字 字符"/>
    <w:link w:val="15"/>
    <w:qFormat/>
    <w:uiPriority w:val="0"/>
    <w:rPr>
      <w:rFonts w:eastAsia="宋体"/>
      <w:kern w:val="2"/>
      <w:sz w:val="21"/>
    </w:rPr>
  </w:style>
  <w:style w:type="character" w:customStyle="1" w:styleId="64">
    <w:name w:val="正文文本 3 字符"/>
    <w:link w:val="16"/>
    <w:qFormat/>
    <w:uiPriority w:val="99"/>
    <w:rPr>
      <w:rFonts w:ascii="宋体" w:hAnsi="Calibri" w:eastAsia="宋体"/>
      <w:kern w:val="2"/>
      <w:sz w:val="24"/>
    </w:rPr>
  </w:style>
  <w:style w:type="character" w:customStyle="1" w:styleId="65">
    <w:name w:val="正文文本 字符"/>
    <w:link w:val="17"/>
    <w:qFormat/>
    <w:uiPriority w:val="99"/>
    <w:rPr>
      <w:rFonts w:eastAsia="宋体"/>
      <w:kern w:val="2"/>
      <w:sz w:val="21"/>
    </w:rPr>
  </w:style>
  <w:style w:type="character" w:customStyle="1" w:styleId="66">
    <w:name w:val="正文首行缩进 字符"/>
    <w:link w:val="18"/>
    <w:qFormat/>
    <w:uiPriority w:val="99"/>
    <w:rPr>
      <w:rFonts w:eastAsia="宋体"/>
      <w:kern w:val="2"/>
      <w:sz w:val="21"/>
      <w:szCs w:val="24"/>
      <w:lang w:val="en-US" w:eastAsia="zh-CN" w:bidi="ar-SA"/>
    </w:rPr>
  </w:style>
  <w:style w:type="character" w:customStyle="1" w:styleId="67">
    <w:name w:val="正文文本缩进 字符"/>
    <w:link w:val="19"/>
    <w:qFormat/>
    <w:uiPriority w:val="0"/>
    <w:rPr>
      <w:rFonts w:eastAsia="宋体"/>
      <w:kern w:val="2"/>
      <w:sz w:val="21"/>
    </w:rPr>
  </w:style>
  <w:style w:type="character" w:customStyle="1" w:styleId="68">
    <w:name w:val="纯文本 字符"/>
    <w:link w:val="23"/>
    <w:qFormat/>
    <w:locked/>
    <w:uiPriority w:val="99"/>
    <w:rPr>
      <w:rFonts w:ascii="宋体"/>
      <w:kern w:val="2"/>
      <w:sz w:val="21"/>
      <w:szCs w:val="22"/>
    </w:rPr>
  </w:style>
  <w:style w:type="character" w:customStyle="1" w:styleId="69">
    <w:name w:val="日期 字符"/>
    <w:link w:val="25"/>
    <w:qFormat/>
    <w:uiPriority w:val="99"/>
    <w:rPr>
      <w:rFonts w:eastAsia="宋体"/>
      <w:kern w:val="2"/>
      <w:sz w:val="21"/>
    </w:rPr>
  </w:style>
  <w:style w:type="character" w:customStyle="1" w:styleId="70">
    <w:name w:val="正文文本缩进 2 字符"/>
    <w:link w:val="26"/>
    <w:qFormat/>
    <w:uiPriority w:val="99"/>
    <w:rPr>
      <w:kern w:val="2"/>
      <w:sz w:val="28"/>
      <w:szCs w:val="22"/>
    </w:rPr>
  </w:style>
  <w:style w:type="character" w:customStyle="1" w:styleId="71">
    <w:name w:val="批注框文本 字符"/>
    <w:link w:val="27"/>
    <w:qFormat/>
    <w:uiPriority w:val="99"/>
    <w:rPr>
      <w:rFonts w:eastAsia="宋体"/>
      <w:kern w:val="2"/>
      <w:sz w:val="18"/>
    </w:rPr>
  </w:style>
  <w:style w:type="character" w:customStyle="1" w:styleId="72">
    <w:name w:val="页脚 字符"/>
    <w:link w:val="28"/>
    <w:qFormat/>
    <w:uiPriority w:val="99"/>
    <w:rPr>
      <w:rFonts w:ascii="Calibri" w:hAnsi="Calibri" w:eastAsia="宋体"/>
      <w:kern w:val="2"/>
      <w:sz w:val="18"/>
      <w:szCs w:val="22"/>
    </w:rPr>
  </w:style>
  <w:style w:type="character" w:customStyle="1" w:styleId="73">
    <w:name w:val="页眉 字符"/>
    <w:link w:val="29"/>
    <w:qFormat/>
    <w:uiPriority w:val="99"/>
    <w:rPr>
      <w:rFonts w:eastAsia="宋体"/>
      <w:kern w:val="2"/>
      <w:sz w:val="18"/>
    </w:rPr>
  </w:style>
  <w:style w:type="character" w:customStyle="1" w:styleId="74">
    <w:name w:val="正文文本缩进 3 字符"/>
    <w:link w:val="33"/>
    <w:qFormat/>
    <w:uiPriority w:val="99"/>
    <w:rPr>
      <w:rFonts w:ascii="Calibri" w:hAnsi="Calibri" w:eastAsia="宋体"/>
      <w:kern w:val="2"/>
      <w:sz w:val="16"/>
      <w:szCs w:val="16"/>
    </w:rPr>
  </w:style>
  <w:style w:type="character" w:customStyle="1" w:styleId="75">
    <w:name w:val="正文文本 2 字符"/>
    <w:link w:val="36"/>
    <w:semiHidden/>
    <w:qFormat/>
    <w:uiPriority w:val="99"/>
    <w:rPr>
      <w:kern w:val="2"/>
      <w:sz w:val="24"/>
    </w:rPr>
  </w:style>
  <w:style w:type="character" w:customStyle="1" w:styleId="76">
    <w:name w:val="HTML 预设格式 字符"/>
    <w:link w:val="37"/>
    <w:semiHidden/>
    <w:qFormat/>
    <w:uiPriority w:val="0"/>
    <w:rPr>
      <w:rFonts w:ascii="宋体" w:hAnsi="宋体" w:cs="宋体"/>
      <w:sz w:val="24"/>
      <w:szCs w:val="24"/>
    </w:rPr>
  </w:style>
  <w:style w:type="character" w:customStyle="1" w:styleId="77">
    <w:name w:val="标题 字符"/>
    <w:link w:val="40"/>
    <w:qFormat/>
    <w:uiPriority w:val="10"/>
    <w:rPr>
      <w:rFonts w:ascii="Arial" w:hAnsi="Arial" w:eastAsia="宋体"/>
      <w:b/>
      <w:sz w:val="32"/>
    </w:rPr>
  </w:style>
  <w:style w:type="character" w:customStyle="1" w:styleId="78">
    <w:name w:val="批注主题 字符"/>
    <w:link w:val="41"/>
    <w:qFormat/>
    <w:uiPriority w:val="99"/>
    <w:rPr>
      <w:rFonts w:eastAsia="宋体"/>
      <w:kern w:val="2"/>
      <w:sz w:val="21"/>
    </w:rPr>
  </w:style>
  <w:style w:type="character" w:customStyle="1" w:styleId="79">
    <w:name w:val="正文首行缩进 2 字符"/>
    <w:link w:val="42"/>
    <w:semiHidden/>
    <w:qFormat/>
    <w:uiPriority w:val="99"/>
    <w:rPr>
      <w:rFonts w:eastAsia="宋体"/>
      <w:kern w:val="2"/>
      <w:sz w:val="21"/>
      <w:szCs w:val="24"/>
    </w:rPr>
  </w:style>
  <w:style w:type="character" w:customStyle="1" w:styleId="80">
    <w:name w:val="work_zt_cgls"/>
    <w:qFormat/>
    <w:uiPriority w:val="0"/>
  </w:style>
  <w:style w:type="character" w:customStyle="1" w:styleId="81">
    <w:name w:val="正文文本缩进 2 Char1"/>
    <w:semiHidden/>
    <w:qFormat/>
    <w:uiPriority w:val="99"/>
  </w:style>
  <w:style w:type="character" w:customStyle="1" w:styleId="82">
    <w:name w:val="work_zt_cg"/>
    <w:qFormat/>
    <w:uiPriority w:val="0"/>
  </w:style>
  <w:style w:type="character" w:customStyle="1" w:styleId="83">
    <w:name w:val="kb_bzt"/>
    <w:qFormat/>
    <w:uiPriority w:val="0"/>
    <w:rPr>
      <w:color w:val="666666"/>
      <w:sz w:val="18"/>
      <w:szCs w:val="18"/>
    </w:rPr>
  </w:style>
  <w:style w:type="character" w:customStyle="1" w:styleId="84">
    <w:name w:val="font161"/>
    <w:qFormat/>
    <w:uiPriority w:val="0"/>
    <w:rPr>
      <w:b/>
      <w:bCs/>
      <w:sz w:val="32"/>
      <w:szCs w:val="32"/>
    </w:rPr>
  </w:style>
  <w:style w:type="character" w:customStyle="1" w:styleId="85">
    <w:name w:val="正文文本缩进 Char1"/>
    <w:qFormat/>
    <w:uiPriority w:val="99"/>
  </w:style>
  <w:style w:type="character" w:customStyle="1" w:styleId="86">
    <w:name w:val="正文文本缩进 3 Char3"/>
    <w:semiHidden/>
    <w:qFormat/>
    <w:uiPriority w:val="99"/>
    <w:rPr>
      <w:sz w:val="16"/>
      <w:szCs w:val="16"/>
    </w:rPr>
  </w:style>
  <w:style w:type="character" w:customStyle="1" w:styleId="87">
    <w:name w:val="纯文本 Char2"/>
    <w:qFormat/>
    <w:uiPriority w:val="0"/>
    <w:rPr>
      <w:rFonts w:hint="eastAsia" w:ascii="宋体" w:hAnsi="Courier New" w:eastAsia="宋体"/>
      <w:kern w:val="2"/>
      <w:sz w:val="21"/>
      <w:lang w:val="en-US" w:eastAsia="zh-CN" w:bidi="ar-SA"/>
    </w:rPr>
  </w:style>
  <w:style w:type="character" w:customStyle="1" w:styleId="88">
    <w:name w:val="kb_bmc"/>
    <w:qFormat/>
    <w:uiPriority w:val="0"/>
  </w:style>
  <w:style w:type="character" w:customStyle="1" w:styleId="89">
    <w:name w:val="正文首行缩进 Char3"/>
    <w:semiHidden/>
    <w:qFormat/>
    <w:uiPriority w:val="99"/>
  </w:style>
  <w:style w:type="character" w:customStyle="1" w:styleId="90">
    <w:name w:val="正文文本缩进 3 Char1"/>
    <w:qFormat/>
    <w:uiPriority w:val="0"/>
    <w:rPr>
      <w:rFonts w:hint="eastAsia" w:ascii="仿宋_GB2312" w:eastAsia="仿宋_GB2312"/>
      <w:sz w:val="16"/>
      <w:szCs w:val="16"/>
    </w:rPr>
  </w:style>
  <w:style w:type="character" w:customStyle="1" w:styleId="91">
    <w:name w:val="Comment Text Char"/>
    <w:qFormat/>
    <w:uiPriority w:val="0"/>
  </w:style>
  <w:style w:type="character" w:customStyle="1" w:styleId="92">
    <w:name w:val="zt_cs"/>
    <w:qFormat/>
    <w:uiPriority w:val="0"/>
    <w:rPr>
      <w:color w:val="FFFFFF"/>
      <w:shd w:val="clear" w:color="auto" w:fill="FF9933"/>
    </w:rPr>
  </w:style>
  <w:style w:type="character" w:customStyle="1" w:styleId="93">
    <w:name w:val="正文文本 Char3"/>
    <w:semiHidden/>
    <w:qFormat/>
    <w:uiPriority w:val="0"/>
    <w:rPr>
      <w:kern w:val="2"/>
      <w:sz w:val="21"/>
    </w:rPr>
  </w:style>
  <w:style w:type="character" w:customStyle="1" w:styleId="94">
    <w:name w:val="Char Char22"/>
    <w:qFormat/>
    <w:uiPriority w:val="0"/>
    <w:rPr>
      <w:rFonts w:hint="default" w:ascii="Arial" w:hAnsi="Arial" w:eastAsia="黑体" w:cs="Arial"/>
      <w:b/>
      <w:bCs/>
      <w:kern w:val="2"/>
      <w:sz w:val="32"/>
      <w:szCs w:val="32"/>
      <w:lang w:val="en-US" w:eastAsia="zh-CN" w:bidi="ar-SA"/>
    </w:rPr>
  </w:style>
  <w:style w:type="character" w:customStyle="1" w:styleId="95">
    <w:name w:val="正文文本 3 Char3"/>
    <w:semiHidden/>
    <w:qFormat/>
    <w:uiPriority w:val="0"/>
    <w:rPr>
      <w:kern w:val="2"/>
      <w:sz w:val="16"/>
      <w:szCs w:val="16"/>
    </w:rPr>
  </w:style>
  <w:style w:type="character" w:customStyle="1" w:styleId="96">
    <w:name w:val="正文文本缩进 3 Char4"/>
    <w:semiHidden/>
    <w:qFormat/>
    <w:uiPriority w:val="0"/>
    <w:rPr>
      <w:kern w:val="2"/>
      <w:sz w:val="16"/>
      <w:szCs w:val="16"/>
    </w:rPr>
  </w:style>
  <w:style w:type="character" w:customStyle="1" w:styleId="97">
    <w:name w:val="t_rw"/>
    <w:qFormat/>
    <w:uiPriority w:val="0"/>
    <w:rPr>
      <w:b/>
      <w:sz w:val="25"/>
      <w:szCs w:val="25"/>
    </w:rPr>
  </w:style>
  <w:style w:type="character" w:customStyle="1" w:styleId="98">
    <w:name w:val="Comment Subject Char"/>
    <w:qFormat/>
    <w:locked/>
    <w:uiPriority w:val="0"/>
    <w:rPr>
      <w:b/>
      <w:bCs/>
      <w:kern w:val="2"/>
      <w:sz w:val="24"/>
      <w:szCs w:val="24"/>
    </w:rPr>
  </w:style>
  <w:style w:type="character" w:customStyle="1" w:styleId="99">
    <w:name w:val="文档结构图 Char3"/>
    <w:semiHidden/>
    <w:qFormat/>
    <w:uiPriority w:val="0"/>
    <w:rPr>
      <w:rFonts w:hint="eastAsia" w:ascii="宋体" w:hAnsi="宋体" w:eastAsia="宋体"/>
      <w:kern w:val="2"/>
      <w:sz w:val="18"/>
      <w:szCs w:val="18"/>
    </w:rPr>
  </w:style>
  <w:style w:type="character" w:customStyle="1" w:styleId="100">
    <w:name w:val="work_zt_ht"/>
    <w:qFormat/>
    <w:uiPriority w:val="0"/>
  </w:style>
  <w:style w:type="character" w:customStyle="1" w:styleId="101">
    <w:name w:val="孙普文字 Char1"/>
    <w:qFormat/>
    <w:uiPriority w:val="0"/>
    <w:rPr>
      <w:rFonts w:hint="eastAsia" w:ascii="宋体" w:hAnsi="Courier New" w:eastAsia="宋体"/>
      <w:kern w:val="2"/>
      <w:sz w:val="21"/>
      <w:lang w:val="en-US" w:eastAsia="zh-CN" w:bidi="ar-SA"/>
    </w:rPr>
  </w:style>
  <w:style w:type="character" w:customStyle="1" w:styleId="102">
    <w:name w:val="纯文本 Char"/>
    <w:semiHidden/>
    <w:qFormat/>
    <w:uiPriority w:val="0"/>
    <w:rPr>
      <w:rFonts w:ascii="宋体" w:hAnsi="Courier New" w:cs="Courier New"/>
      <w:kern w:val="2"/>
      <w:sz w:val="21"/>
      <w:szCs w:val="21"/>
    </w:rPr>
  </w:style>
  <w:style w:type="character" w:customStyle="1" w:styleId="103">
    <w:name w:val="work_zt_zj"/>
    <w:qFormat/>
    <w:uiPriority w:val="0"/>
  </w:style>
  <w:style w:type="character" w:customStyle="1" w:styleId="104">
    <w:name w:val="style_kwd"/>
    <w:qFormat/>
    <w:uiPriority w:val="0"/>
  </w:style>
  <w:style w:type="character" w:customStyle="1" w:styleId="105">
    <w:name w:val="标题 2 Char1"/>
    <w:qFormat/>
    <w:uiPriority w:val="9"/>
    <w:rPr>
      <w:rFonts w:hint="default" w:ascii="Cambria" w:hAnsi="Cambria" w:eastAsia="宋体" w:cs="Times New Roman"/>
      <w:bCs/>
      <w:kern w:val="0"/>
      <w:sz w:val="24"/>
      <w:szCs w:val="24"/>
    </w:rPr>
  </w:style>
  <w:style w:type="character" w:customStyle="1" w:styleId="106">
    <w:name w:val="icon_db_ht"/>
    <w:qFormat/>
    <w:uiPriority w:val="0"/>
  </w:style>
  <w:style w:type="character" w:customStyle="1" w:styleId="107">
    <w:name w:val="正文首行缩进 Char1"/>
    <w:qFormat/>
    <w:uiPriority w:val="0"/>
    <w:rPr>
      <w:rFonts w:eastAsia="宋体"/>
      <w:kern w:val="2"/>
      <w:sz w:val="21"/>
    </w:rPr>
  </w:style>
  <w:style w:type="character" w:customStyle="1" w:styleId="108">
    <w:name w:val="正文文本 3 Char1"/>
    <w:qFormat/>
    <w:uiPriority w:val="0"/>
    <w:rPr>
      <w:rFonts w:hint="eastAsia" w:ascii="仿宋_GB2312" w:eastAsia="仿宋_GB2312"/>
      <w:sz w:val="16"/>
      <w:szCs w:val="16"/>
    </w:rPr>
  </w:style>
  <w:style w:type="character" w:customStyle="1" w:styleId="109">
    <w:name w:val="icon_db_gys"/>
    <w:qFormat/>
    <w:uiPriority w:val="0"/>
  </w:style>
  <w:style w:type="character" w:customStyle="1" w:styleId="110">
    <w:name w:val="kb_bzt1"/>
    <w:qFormat/>
    <w:uiPriority w:val="0"/>
    <w:rPr>
      <w:sz w:val="19"/>
      <w:szCs w:val="19"/>
    </w:rPr>
  </w:style>
  <w:style w:type="character" w:customStyle="1" w:styleId="111">
    <w:name w:val="日期 Char3"/>
    <w:semiHidden/>
    <w:qFormat/>
    <w:uiPriority w:val="99"/>
  </w:style>
  <w:style w:type="character" w:customStyle="1" w:styleId="112">
    <w:name w:val="Char Char12"/>
    <w:qFormat/>
    <w:uiPriority w:val="0"/>
    <w:rPr>
      <w:rFonts w:hint="eastAsia" w:ascii="仿宋_GB2312" w:eastAsia="仿宋_GB2312"/>
      <w:sz w:val="18"/>
    </w:rPr>
  </w:style>
  <w:style w:type="character" w:customStyle="1" w:styleId="113">
    <w:name w:val="zt_tj"/>
    <w:qFormat/>
    <w:uiPriority w:val="0"/>
    <w:rPr>
      <w:color w:val="FFFFFF"/>
      <w:sz w:val="18"/>
      <w:szCs w:val="18"/>
      <w:shd w:val="clear" w:color="auto" w:fill="37B335"/>
    </w:rPr>
  </w:style>
  <w:style w:type="character" w:customStyle="1" w:styleId="114">
    <w:name w:val="Char Char13"/>
    <w:qFormat/>
    <w:uiPriority w:val="0"/>
    <w:rPr>
      <w:rFonts w:hint="eastAsia" w:ascii="宋体" w:hAnsi="宋体" w:eastAsia="宋体"/>
      <w:kern w:val="2"/>
      <w:sz w:val="24"/>
      <w:lang w:val="en-US" w:eastAsia="zh-CN" w:bidi="ar-SA"/>
    </w:rPr>
  </w:style>
  <w:style w:type="character" w:customStyle="1" w:styleId="115">
    <w:name w:val="font31"/>
    <w:qFormat/>
    <w:uiPriority w:val="0"/>
    <w:rPr>
      <w:rFonts w:hint="eastAsia" w:ascii="宋体" w:hAnsi="宋体" w:eastAsia="宋体" w:cs="宋体"/>
      <w:color w:val="FF0000"/>
      <w:sz w:val="21"/>
      <w:szCs w:val="21"/>
      <w:u w:val="none"/>
    </w:rPr>
  </w:style>
  <w:style w:type="character" w:customStyle="1" w:styleId="116">
    <w:name w:val="批注文字 Char3"/>
    <w:semiHidden/>
    <w:qFormat/>
    <w:locked/>
    <w:uiPriority w:val="99"/>
    <w:rPr>
      <w:kern w:val="2"/>
      <w:sz w:val="21"/>
    </w:rPr>
  </w:style>
  <w:style w:type="character" w:customStyle="1" w:styleId="117">
    <w:name w:val="正文文本 2 Char3"/>
    <w:semiHidden/>
    <w:qFormat/>
    <w:uiPriority w:val="0"/>
    <w:rPr>
      <w:kern w:val="2"/>
      <w:sz w:val="21"/>
    </w:rPr>
  </w:style>
  <w:style w:type="character" w:customStyle="1" w:styleId="118">
    <w:name w:val="font01"/>
    <w:qFormat/>
    <w:uiPriority w:val="0"/>
    <w:rPr>
      <w:rFonts w:ascii="Calibri" w:hAnsi="Calibri" w:cs="Calibri"/>
      <w:color w:val="000000"/>
      <w:sz w:val="21"/>
      <w:szCs w:val="21"/>
      <w:u w:val="none"/>
    </w:rPr>
  </w:style>
  <w:style w:type="character" w:customStyle="1" w:styleId="119">
    <w:name w:val="正文首行缩进 Char4"/>
    <w:semiHidden/>
    <w:qFormat/>
    <w:uiPriority w:val="0"/>
  </w:style>
  <w:style w:type="character" w:customStyle="1" w:styleId="120">
    <w:name w:val="zt_th"/>
    <w:qFormat/>
    <w:uiPriority w:val="0"/>
    <w:rPr>
      <w:color w:val="FFFFFF"/>
      <w:sz w:val="18"/>
      <w:szCs w:val="18"/>
      <w:shd w:val="clear" w:color="auto" w:fill="FF0000"/>
    </w:rPr>
  </w:style>
  <w:style w:type="character" w:customStyle="1" w:styleId="121">
    <w:name w:val="正文文本 Char2"/>
    <w:semiHidden/>
    <w:qFormat/>
    <w:uiPriority w:val="99"/>
  </w:style>
  <w:style w:type="character" w:customStyle="1" w:styleId="122">
    <w:name w:val="标题 Char2"/>
    <w:qFormat/>
    <w:uiPriority w:val="10"/>
    <w:rPr>
      <w:rFonts w:hint="default" w:ascii="Cambria" w:hAnsi="Cambria" w:cs="Times New Roman"/>
      <w:b/>
      <w:bCs/>
      <w:kern w:val="2"/>
      <w:sz w:val="32"/>
      <w:szCs w:val="32"/>
    </w:rPr>
  </w:style>
  <w:style w:type="character" w:customStyle="1" w:styleId="123">
    <w:name w:val="Char Char11"/>
    <w:qFormat/>
    <w:uiPriority w:val="0"/>
    <w:rPr>
      <w:kern w:val="2"/>
      <w:sz w:val="26"/>
    </w:rPr>
  </w:style>
  <w:style w:type="character" w:customStyle="1" w:styleId="124">
    <w:name w:val="页脚 Char2"/>
    <w:semiHidden/>
    <w:qFormat/>
    <w:uiPriority w:val="0"/>
    <w:rPr>
      <w:kern w:val="2"/>
      <w:sz w:val="18"/>
      <w:szCs w:val="18"/>
    </w:rPr>
  </w:style>
  <w:style w:type="character" w:customStyle="1" w:styleId="125">
    <w:name w:val="Char Char3"/>
    <w:qFormat/>
    <w:uiPriority w:val="0"/>
    <w:rPr>
      <w:rFonts w:hint="default" w:ascii="Arial" w:hAnsi="Arial" w:eastAsia="黑体" w:cs="Arial"/>
      <w:b/>
      <w:bCs/>
      <w:kern w:val="2"/>
      <w:sz w:val="32"/>
      <w:szCs w:val="32"/>
      <w:lang w:val="en-US" w:eastAsia="zh-CN" w:bidi="ar-SA"/>
    </w:rPr>
  </w:style>
  <w:style w:type="character" w:customStyle="1" w:styleId="126">
    <w:name w:val="font41"/>
    <w:qFormat/>
    <w:uiPriority w:val="0"/>
    <w:rPr>
      <w:rFonts w:hint="eastAsia" w:ascii="宋体" w:hAnsi="宋体" w:eastAsia="宋体" w:cs="宋体"/>
      <w:color w:val="000000"/>
      <w:sz w:val="21"/>
      <w:szCs w:val="21"/>
      <w:u w:val="none"/>
    </w:rPr>
  </w:style>
  <w:style w:type="character" w:customStyle="1" w:styleId="127">
    <w:name w:val="文档结构图 Char2"/>
    <w:semiHidden/>
    <w:qFormat/>
    <w:uiPriority w:val="99"/>
    <w:rPr>
      <w:rFonts w:hint="eastAsia" w:ascii="宋体" w:hAnsi="宋体" w:eastAsia="宋体"/>
      <w:sz w:val="18"/>
      <w:szCs w:val="18"/>
    </w:rPr>
  </w:style>
  <w:style w:type="character" w:customStyle="1" w:styleId="128">
    <w:name w:val="work_dcrw"/>
    <w:qFormat/>
    <w:uiPriority w:val="0"/>
    <w:rPr>
      <w:bdr w:val="single" w:color="DBDBBD" w:sz="6" w:space="0"/>
    </w:rPr>
  </w:style>
  <w:style w:type="character" w:customStyle="1" w:styleId="129">
    <w:name w:val="正文文本 2 Char1"/>
    <w:qFormat/>
    <w:uiPriority w:val="0"/>
    <w:rPr>
      <w:kern w:val="2"/>
      <w:sz w:val="21"/>
    </w:rPr>
  </w:style>
  <w:style w:type="character" w:customStyle="1" w:styleId="130">
    <w:name w:val="正文文本 Char"/>
    <w:qFormat/>
    <w:uiPriority w:val="99"/>
    <w:rPr>
      <w:rFonts w:eastAsia="宋体"/>
      <w:kern w:val="2"/>
      <w:sz w:val="21"/>
      <w:szCs w:val="24"/>
      <w:lang w:val="en-US" w:eastAsia="zh-CN" w:bidi="ar-SA"/>
    </w:rPr>
  </w:style>
  <w:style w:type="character" w:customStyle="1" w:styleId="131">
    <w:name w:val="work_zt_xm"/>
    <w:qFormat/>
    <w:uiPriority w:val="0"/>
  </w:style>
  <w:style w:type="character" w:customStyle="1" w:styleId="132">
    <w:name w:val="HTML 预设格式 Char2"/>
    <w:semiHidden/>
    <w:qFormat/>
    <w:uiPriority w:val="99"/>
    <w:rPr>
      <w:rFonts w:hint="default" w:ascii="Courier New" w:hAnsi="Courier New" w:cs="Courier New"/>
      <w:sz w:val="20"/>
      <w:szCs w:val="20"/>
    </w:rPr>
  </w:style>
  <w:style w:type="character" w:customStyle="1" w:styleId="133">
    <w:name w:val="font21"/>
    <w:qFormat/>
    <w:uiPriority w:val="0"/>
    <w:rPr>
      <w:rFonts w:hint="eastAsia" w:ascii="宋体" w:hAnsi="宋体" w:eastAsia="宋体"/>
      <w:color w:val="000000"/>
      <w:sz w:val="20"/>
      <w:szCs w:val="20"/>
      <w:u w:val="none"/>
    </w:rPr>
  </w:style>
  <w:style w:type="character" w:customStyle="1" w:styleId="134">
    <w:name w:val="文档结构图 Char1"/>
    <w:qFormat/>
    <w:uiPriority w:val="0"/>
    <w:rPr>
      <w:rFonts w:hint="eastAsia" w:ascii="宋体" w:hAnsi="宋体" w:eastAsia="宋体"/>
      <w:sz w:val="18"/>
      <w:szCs w:val="18"/>
    </w:rPr>
  </w:style>
  <w:style w:type="character" w:customStyle="1" w:styleId="135">
    <w:name w:val="work_zt_sp"/>
    <w:qFormat/>
    <w:uiPriority w:val="0"/>
  </w:style>
  <w:style w:type="character" w:customStyle="1" w:styleId="136">
    <w:name w:val="kb_bmc1"/>
    <w:qFormat/>
    <w:uiPriority w:val="0"/>
    <w:rPr>
      <w:color w:val="666666"/>
      <w:sz w:val="19"/>
      <w:szCs w:val="19"/>
    </w:rPr>
  </w:style>
  <w:style w:type="character" w:customStyle="1" w:styleId="137">
    <w:name w:val="正文文本缩进 Char3"/>
    <w:semiHidden/>
    <w:qFormat/>
    <w:locked/>
    <w:uiPriority w:val="99"/>
    <w:rPr>
      <w:kern w:val="2"/>
      <w:sz w:val="21"/>
    </w:rPr>
  </w:style>
  <w:style w:type="character" w:customStyle="1" w:styleId="138">
    <w:name w:val="正文首行缩进 2 Char2"/>
    <w:semiHidden/>
    <w:qFormat/>
    <w:uiPriority w:val="99"/>
  </w:style>
  <w:style w:type="character" w:customStyle="1" w:styleId="139">
    <w:name w:val="HTML 预设格式 Char3"/>
    <w:semiHidden/>
    <w:qFormat/>
    <w:uiPriority w:val="0"/>
    <w:rPr>
      <w:rFonts w:hint="default" w:ascii="Courier New" w:hAnsi="Courier New" w:cs="Courier New"/>
      <w:kern w:val="2"/>
    </w:rPr>
  </w:style>
  <w:style w:type="character" w:customStyle="1" w:styleId="140">
    <w:name w:val="纯文本 Char3"/>
    <w:semiHidden/>
    <w:qFormat/>
    <w:uiPriority w:val="99"/>
    <w:rPr>
      <w:rFonts w:hint="eastAsia" w:ascii="宋体" w:hAnsi="Courier New" w:eastAsia="宋体" w:cs="Courier New"/>
      <w:szCs w:val="21"/>
    </w:rPr>
  </w:style>
  <w:style w:type="character" w:customStyle="1" w:styleId="141">
    <w:name w:val="Footer-Even Char1"/>
    <w:qFormat/>
    <w:locked/>
    <w:uiPriority w:val="0"/>
    <w:rPr>
      <w:rFonts w:hint="eastAsia" w:ascii="仿宋_GB2312" w:eastAsia="仿宋_GB2312"/>
      <w:sz w:val="18"/>
    </w:rPr>
  </w:style>
  <w:style w:type="character" w:customStyle="1" w:styleId="142">
    <w:name w:val="正文首行缩进 Char2"/>
    <w:qFormat/>
    <w:uiPriority w:val="99"/>
    <w:rPr>
      <w:rFonts w:hint="eastAsia" w:ascii="仿宋_GB2312" w:eastAsia="仿宋_GB2312"/>
      <w:kern w:val="2"/>
      <w:sz w:val="30"/>
    </w:rPr>
  </w:style>
  <w:style w:type="character" w:customStyle="1" w:styleId="143">
    <w:name w:val="h Char1"/>
    <w:qFormat/>
    <w:locked/>
    <w:uiPriority w:val="0"/>
    <w:rPr>
      <w:rFonts w:hint="eastAsia" w:ascii="仿宋_GB2312" w:eastAsia="仿宋_GB2312"/>
      <w:sz w:val="18"/>
    </w:rPr>
  </w:style>
  <w:style w:type="character" w:customStyle="1" w:styleId="144">
    <w:name w:val="日期 Char1"/>
    <w:qFormat/>
    <w:uiPriority w:val="0"/>
    <w:rPr>
      <w:rFonts w:hint="default" w:ascii="Times New Roman" w:hAnsi="Times New Roman" w:eastAsia="宋体" w:cs="Times New Roman"/>
      <w:szCs w:val="20"/>
    </w:rPr>
  </w:style>
  <w:style w:type="character" w:customStyle="1" w:styleId="145">
    <w:name w:val="！正文（四号字） Char Char"/>
    <w:qFormat/>
    <w:uiPriority w:val="0"/>
    <w:rPr>
      <w:rFonts w:hint="default" w:ascii="Times New Roman" w:hAnsi="Times New Roman" w:eastAsia="Times New Roman" w:cs="Times New Roman"/>
      <w:kern w:val="2"/>
      <w:sz w:val="24"/>
      <w:szCs w:val="28"/>
      <w:lang w:val="en-US" w:eastAsia="zh-CN" w:bidi="ar-SA"/>
    </w:rPr>
  </w:style>
  <w:style w:type="character" w:customStyle="1" w:styleId="146">
    <w:name w:val="！正文（四号字） Char"/>
    <w:link w:val="147"/>
    <w:qFormat/>
    <w:locked/>
    <w:uiPriority w:val="0"/>
    <w:rPr>
      <w:kern w:val="2"/>
      <w:sz w:val="24"/>
      <w:szCs w:val="28"/>
      <w:lang w:val="en-US" w:eastAsia="zh-CN" w:bidi="ar-SA"/>
    </w:rPr>
  </w:style>
  <w:style w:type="paragraph" w:customStyle="1" w:styleId="147">
    <w:name w:val="！正文（四号字）"/>
    <w:link w:val="146"/>
    <w:qFormat/>
    <w:uiPriority w:val="0"/>
    <w:pPr>
      <w:snapToGrid w:val="0"/>
      <w:spacing w:line="360" w:lineRule="auto"/>
      <w:ind w:firstLine="200" w:firstLineChars="200"/>
      <w:jc w:val="both"/>
    </w:pPr>
    <w:rPr>
      <w:rFonts w:ascii="Times New Roman" w:hAnsi="Times New Roman" w:eastAsia="宋体" w:cs="Times New Roman"/>
      <w:kern w:val="2"/>
      <w:sz w:val="24"/>
      <w:szCs w:val="28"/>
      <w:lang w:val="en-US" w:eastAsia="zh-CN" w:bidi="ar-SA"/>
    </w:rPr>
  </w:style>
  <w:style w:type="character" w:customStyle="1" w:styleId="148">
    <w:name w:val="批注主题 Char2"/>
    <w:qFormat/>
    <w:uiPriority w:val="99"/>
    <w:rPr>
      <w:rFonts w:hint="eastAsia" w:ascii="仿宋_GB2312" w:eastAsia="仿宋_GB2312"/>
      <w:b/>
      <w:bCs/>
      <w:sz w:val="30"/>
    </w:rPr>
  </w:style>
  <w:style w:type="character" w:customStyle="1" w:styleId="149">
    <w:name w:val="icon_db_cgls"/>
    <w:qFormat/>
    <w:uiPriority w:val="0"/>
  </w:style>
  <w:style w:type="character" w:customStyle="1" w:styleId="150">
    <w:name w:val="work_zt_splc"/>
    <w:qFormat/>
    <w:uiPriority w:val="0"/>
  </w:style>
  <w:style w:type="character" w:customStyle="1" w:styleId="151">
    <w:name w:val="正文首行缩进 Char Char"/>
    <w:link w:val="152"/>
    <w:qFormat/>
    <w:locked/>
    <w:uiPriority w:val="0"/>
    <w:rPr>
      <w:kern w:val="2"/>
      <w:sz w:val="24"/>
      <w:szCs w:val="24"/>
    </w:rPr>
  </w:style>
  <w:style w:type="paragraph" w:customStyle="1" w:styleId="152">
    <w:name w:val="正文首行缩进1"/>
    <w:basedOn w:val="1"/>
    <w:link w:val="151"/>
    <w:qFormat/>
    <w:uiPriority w:val="0"/>
    <w:pPr>
      <w:spacing w:line="360" w:lineRule="auto"/>
      <w:ind w:firstLine="200" w:firstLineChars="200"/>
    </w:pPr>
    <w:rPr>
      <w:sz w:val="24"/>
      <w:szCs w:val="24"/>
    </w:rPr>
  </w:style>
  <w:style w:type="character" w:customStyle="1" w:styleId="153">
    <w:name w:val="无间隔 字符"/>
    <w:link w:val="154"/>
    <w:qFormat/>
    <w:locked/>
    <w:uiPriority w:val="1"/>
    <w:rPr>
      <w:kern w:val="2"/>
      <w:sz w:val="24"/>
      <w:lang w:val="en-US" w:eastAsia="zh-CN" w:bidi="ar-SA"/>
    </w:rPr>
  </w:style>
  <w:style w:type="paragraph" w:styleId="154">
    <w:name w:val="No Spacing"/>
    <w:link w:val="153"/>
    <w:qFormat/>
    <w:uiPriority w:val="1"/>
    <w:pPr>
      <w:widowControl w:val="0"/>
      <w:jc w:val="both"/>
    </w:pPr>
    <w:rPr>
      <w:rFonts w:ascii="Times New Roman" w:hAnsi="Times New Roman" w:eastAsia="宋体" w:cs="Times New Roman"/>
      <w:kern w:val="2"/>
      <w:sz w:val="24"/>
      <w:lang w:val="en-US" w:eastAsia="zh-CN" w:bidi="ar-SA"/>
    </w:rPr>
  </w:style>
  <w:style w:type="character" w:customStyle="1" w:styleId="155">
    <w:name w:val="icon_db_splc"/>
    <w:qFormat/>
    <w:uiPriority w:val="0"/>
  </w:style>
  <w:style w:type="character" w:customStyle="1" w:styleId="156">
    <w:name w:val="批注主题 Char4"/>
    <w:semiHidden/>
    <w:qFormat/>
    <w:uiPriority w:val="99"/>
    <w:rPr>
      <w:b/>
      <w:bCs/>
      <w:kern w:val="2"/>
      <w:sz w:val="21"/>
    </w:rPr>
  </w:style>
  <w:style w:type="character" w:customStyle="1" w:styleId="157">
    <w:name w:val="HTML 预设格式 Char1"/>
    <w:qFormat/>
    <w:uiPriority w:val="0"/>
    <w:rPr>
      <w:rFonts w:hint="default" w:ascii="Courier New" w:hAnsi="Courier New" w:cs="Courier New"/>
      <w:kern w:val="2"/>
    </w:rPr>
  </w:style>
  <w:style w:type="character" w:customStyle="1" w:styleId="158">
    <w:name w:val="正文文本 2 Char2"/>
    <w:semiHidden/>
    <w:qFormat/>
    <w:uiPriority w:val="99"/>
  </w:style>
  <w:style w:type="character" w:customStyle="1" w:styleId="159">
    <w:name w:val="正文文本缩进 3 Char2"/>
    <w:qFormat/>
    <w:uiPriority w:val="99"/>
    <w:rPr>
      <w:rFonts w:hint="eastAsia" w:ascii="仿宋_GB2312" w:eastAsia="仿宋_GB2312"/>
      <w:sz w:val="16"/>
      <w:szCs w:val="16"/>
    </w:rPr>
  </w:style>
  <w:style w:type="character" w:customStyle="1" w:styleId="160">
    <w:name w:val="icon_db_zj"/>
    <w:qFormat/>
    <w:uiPriority w:val="0"/>
  </w:style>
  <w:style w:type="character" w:customStyle="1" w:styleId="161">
    <w:name w:val="批注主题 Char3"/>
    <w:semiHidden/>
    <w:qFormat/>
    <w:uiPriority w:val="99"/>
    <w:rPr>
      <w:b/>
      <w:bCs/>
    </w:rPr>
  </w:style>
  <w:style w:type="character" w:customStyle="1" w:styleId="162">
    <w:name w:val="work_zt_gys"/>
    <w:qFormat/>
    <w:uiPriority w:val="0"/>
  </w:style>
  <w:style w:type="character" w:customStyle="1" w:styleId="163">
    <w:name w:val="正文首行缩进 2 Char3"/>
    <w:semiHidden/>
    <w:qFormat/>
    <w:uiPriority w:val="0"/>
  </w:style>
  <w:style w:type="character" w:customStyle="1" w:styleId="164">
    <w:name w:val="font11"/>
    <w:qFormat/>
    <w:uiPriority w:val="0"/>
    <w:rPr>
      <w:rFonts w:hint="eastAsia" w:ascii="宋体" w:hAnsi="宋体" w:eastAsia="宋体" w:cs="宋体"/>
      <w:color w:val="FF0000"/>
      <w:sz w:val="21"/>
      <w:szCs w:val="21"/>
      <w:u w:val="none"/>
    </w:rPr>
  </w:style>
  <w:style w:type="character" w:customStyle="1" w:styleId="165">
    <w:name w:val="正文文本缩进 2 Char2"/>
    <w:semiHidden/>
    <w:qFormat/>
    <w:uiPriority w:val="0"/>
    <w:rPr>
      <w:kern w:val="2"/>
      <w:sz w:val="21"/>
    </w:rPr>
  </w:style>
  <w:style w:type="character" w:customStyle="1" w:styleId="166">
    <w:name w:val="日期 Char2"/>
    <w:qFormat/>
    <w:uiPriority w:val="99"/>
    <w:rPr>
      <w:rFonts w:hint="eastAsia" w:ascii="仿宋_GB2312" w:eastAsia="仿宋_GB2312"/>
      <w:sz w:val="30"/>
    </w:rPr>
  </w:style>
  <w:style w:type="character" w:customStyle="1" w:styleId="167">
    <w:name w:val="页脚 Char1"/>
    <w:semiHidden/>
    <w:qFormat/>
    <w:uiPriority w:val="99"/>
    <w:rPr>
      <w:sz w:val="18"/>
      <w:szCs w:val="18"/>
    </w:rPr>
  </w:style>
  <w:style w:type="character" w:customStyle="1" w:styleId="168">
    <w:name w:val="Char Char5"/>
    <w:qFormat/>
    <w:uiPriority w:val="0"/>
    <w:rPr>
      <w:rFonts w:hint="eastAsia" w:ascii="宋体" w:hAnsi="Courier New" w:eastAsia="宋体"/>
      <w:kern w:val="2"/>
      <w:sz w:val="21"/>
      <w:lang w:val="en-US" w:eastAsia="zh-CN" w:bidi="ar-SA"/>
    </w:rPr>
  </w:style>
  <w:style w:type="character" w:customStyle="1" w:styleId="169">
    <w:name w:val="zt_zc"/>
    <w:qFormat/>
    <w:uiPriority w:val="0"/>
    <w:rPr>
      <w:color w:val="FFFFFF"/>
      <w:shd w:val="clear" w:color="auto" w:fill="4CBF4A"/>
    </w:rPr>
  </w:style>
  <w:style w:type="character" w:customStyle="1" w:styleId="170">
    <w:name w:val="纯文本 Char4"/>
    <w:qFormat/>
    <w:uiPriority w:val="0"/>
    <w:rPr>
      <w:rFonts w:hint="eastAsia" w:ascii="宋体" w:hAnsi="Courier New" w:eastAsia="宋体" w:cs="Courier New"/>
      <w:kern w:val="2"/>
      <w:sz w:val="21"/>
      <w:szCs w:val="21"/>
    </w:rPr>
  </w:style>
  <w:style w:type="character" w:customStyle="1" w:styleId="171">
    <w:name w:val="Char Char10"/>
    <w:qFormat/>
    <w:uiPriority w:val="0"/>
    <w:rPr>
      <w:rFonts w:hint="eastAsia" w:ascii="宋体" w:hAnsi="Courier New" w:eastAsia="宋体" w:cs="宋体"/>
      <w:kern w:val="2"/>
      <w:sz w:val="24"/>
      <w:szCs w:val="24"/>
      <w:lang w:val="en-US" w:eastAsia="zh-CN"/>
    </w:rPr>
  </w:style>
  <w:style w:type="character" w:customStyle="1" w:styleId="172">
    <w:name w:val="icon_pbywc"/>
    <w:qFormat/>
    <w:uiPriority w:val="0"/>
  </w:style>
  <w:style w:type="character" w:customStyle="1" w:styleId="173">
    <w:name w:val="批注框文本 Char1"/>
    <w:semiHidden/>
    <w:qFormat/>
    <w:uiPriority w:val="99"/>
    <w:rPr>
      <w:kern w:val="2"/>
      <w:sz w:val="18"/>
      <w:szCs w:val="18"/>
    </w:rPr>
  </w:style>
  <w:style w:type="character" w:customStyle="1" w:styleId="174">
    <w:name w:val="editinfortdbg6"/>
    <w:qFormat/>
    <w:uiPriority w:val="0"/>
  </w:style>
  <w:style w:type="character" w:customStyle="1" w:styleId="175">
    <w:name w:val="页眉 Char1"/>
    <w:semiHidden/>
    <w:qFormat/>
    <w:uiPriority w:val="99"/>
    <w:rPr>
      <w:sz w:val="18"/>
      <w:szCs w:val="18"/>
    </w:rPr>
  </w:style>
  <w:style w:type="character" w:customStyle="1" w:styleId="176">
    <w:name w:val="批注主题 Char1"/>
    <w:qFormat/>
    <w:uiPriority w:val="0"/>
    <w:rPr>
      <w:rFonts w:hint="eastAsia" w:ascii="仿宋_GB2312" w:eastAsia="仿宋_GB2312"/>
      <w:b/>
      <w:bCs/>
      <w:sz w:val="30"/>
    </w:rPr>
  </w:style>
  <w:style w:type="character" w:customStyle="1" w:styleId="177">
    <w:name w:val="正文文本 3 Char2"/>
    <w:semiHidden/>
    <w:qFormat/>
    <w:uiPriority w:val="99"/>
    <w:rPr>
      <w:sz w:val="16"/>
      <w:szCs w:val="16"/>
    </w:rPr>
  </w:style>
  <w:style w:type="character" w:customStyle="1" w:styleId="178">
    <w:name w:val="11 Char"/>
    <w:link w:val="179"/>
    <w:qFormat/>
    <w:locked/>
    <w:uiPriority w:val="0"/>
    <w:rPr>
      <w:rFonts w:ascii="Times New Roman" w:hAnsi="宋体"/>
      <w:b/>
      <w:kern w:val="2"/>
      <w:sz w:val="21"/>
      <w:szCs w:val="21"/>
    </w:rPr>
  </w:style>
  <w:style w:type="paragraph" w:customStyle="1" w:styleId="179">
    <w:name w:val="11"/>
    <w:basedOn w:val="19"/>
    <w:link w:val="178"/>
    <w:qFormat/>
    <w:uiPriority w:val="0"/>
    <w:pPr>
      <w:spacing w:line="360" w:lineRule="auto"/>
    </w:pPr>
    <w:rPr>
      <w:rFonts w:ascii="Times New Roman" w:hAnsi="宋体"/>
      <w:b/>
      <w:szCs w:val="21"/>
    </w:rPr>
  </w:style>
  <w:style w:type="character" w:customStyle="1" w:styleId="180">
    <w:name w:val="批注文字 Char2"/>
    <w:semiHidden/>
    <w:qFormat/>
    <w:uiPriority w:val="99"/>
  </w:style>
  <w:style w:type="character" w:customStyle="1" w:styleId="181">
    <w:name w:val="标题 Char1"/>
    <w:qFormat/>
    <w:uiPriority w:val="10"/>
    <w:rPr>
      <w:rFonts w:hint="default" w:ascii="Cambria" w:hAnsi="Cambria" w:eastAsia="宋体" w:cs="Times New Roman"/>
      <w:b/>
      <w:bCs/>
      <w:sz w:val="32"/>
      <w:szCs w:val="32"/>
    </w:rPr>
  </w:style>
  <w:style w:type="character" w:customStyle="1" w:styleId="182">
    <w:name w:val="正文文本缩进 Char2"/>
    <w:semiHidden/>
    <w:qFormat/>
    <w:uiPriority w:val="99"/>
  </w:style>
  <w:style w:type="character" w:customStyle="1" w:styleId="183">
    <w:name w:val="正文首行缩进 2 Char1"/>
    <w:qFormat/>
    <w:uiPriority w:val="0"/>
    <w:rPr>
      <w:rFonts w:hint="eastAsia" w:ascii="宋体" w:hAnsi="宋体" w:eastAsia="仿宋_GB2312"/>
      <w:sz w:val="30"/>
      <w:szCs w:val="28"/>
    </w:rPr>
  </w:style>
  <w:style w:type="character" w:customStyle="1" w:styleId="184">
    <w:name w:val="页眉 Char2"/>
    <w:semiHidden/>
    <w:qFormat/>
    <w:uiPriority w:val="0"/>
    <w:rPr>
      <w:kern w:val="2"/>
      <w:sz w:val="18"/>
      <w:szCs w:val="18"/>
    </w:rPr>
  </w:style>
  <w:style w:type="character" w:customStyle="1" w:styleId="185">
    <w:name w:val="批注文字 Char1"/>
    <w:qFormat/>
    <w:uiPriority w:val="0"/>
    <w:rPr>
      <w:rFonts w:ascii="Times New Roman" w:hAnsi="Times New Roman" w:eastAsia="宋体" w:cs="Times New Roman"/>
      <w:sz w:val="20"/>
      <w:szCs w:val="20"/>
      <w:lang w:bidi="ar-SA"/>
    </w:rPr>
  </w:style>
  <w:style w:type="character" w:customStyle="1" w:styleId="186">
    <w:name w:val="icon_db_cg"/>
    <w:qFormat/>
    <w:uiPriority w:val="0"/>
  </w:style>
  <w:style w:type="character" w:customStyle="1" w:styleId="187">
    <w:name w:val="日期 Char4"/>
    <w:semiHidden/>
    <w:qFormat/>
    <w:uiPriority w:val="0"/>
    <w:rPr>
      <w:kern w:val="2"/>
      <w:sz w:val="21"/>
    </w:rPr>
  </w:style>
  <w:style w:type="paragraph" w:customStyle="1" w:styleId="188">
    <w:name w:val="6'"/>
    <w:basedOn w:val="1"/>
    <w:qFormat/>
    <w:uiPriority w:val="99"/>
    <w:pPr>
      <w:autoSpaceDE w:val="0"/>
      <w:autoSpaceDN w:val="0"/>
      <w:adjustRightInd w:val="0"/>
      <w:snapToGrid w:val="0"/>
      <w:spacing w:line="320" w:lineRule="exact"/>
      <w:jc w:val="center"/>
      <w:textAlignment w:val="baseline"/>
    </w:pPr>
    <w:rPr>
      <w:rFonts w:ascii="Times New Roman" w:hAnsi="Times New Roman"/>
      <w:spacing w:val="20"/>
      <w:kern w:val="28"/>
      <w:szCs w:val="20"/>
    </w:rPr>
  </w:style>
  <w:style w:type="paragraph" w:customStyle="1" w:styleId="189">
    <w:name w:val="Char1 Char Char Char Char Char Char Char Char Char Char Char Char Char Char Char Char Char Char Char"/>
    <w:basedOn w:val="1"/>
    <w:qFormat/>
    <w:uiPriority w:val="99"/>
    <w:pPr>
      <w:spacing w:line="360" w:lineRule="auto"/>
    </w:pPr>
    <w:rPr>
      <w:szCs w:val="20"/>
    </w:rPr>
  </w:style>
  <w:style w:type="paragraph" w:customStyle="1" w:styleId="190">
    <w:name w:val="表格内容靠左正常_制度头表格"/>
    <w:qFormat/>
    <w:uiPriority w:val="99"/>
    <w:rPr>
      <w:rFonts w:ascii="Times New Roman" w:hAnsi="Times New Roman" w:eastAsia="宋体" w:cs="Times New Roman"/>
      <w:sz w:val="21"/>
      <w:szCs w:val="21"/>
      <w:lang w:val="en-US" w:eastAsia="zh-CN" w:bidi="ar-SA"/>
    </w:rPr>
  </w:style>
  <w:style w:type="paragraph" w:customStyle="1" w:styleId="191">
    <w:name w:val="xl64"/>
    <w:basedOn w:val="1"/>
    <w:qFormat/>
    <w:uiPriority w:val="99"/>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0"/>
      <w:szCs w:val="20"/>
    </w:rPr>
  </w:style>
  <w:style w:type="paragraph" w:customStyle="1" w:styleId="192">
    <w:name w:val="font9"/>
    <w:basedOn w:val="1"/>
    <w:qFormat/>
    <w:uiPriority w:val="99"/>
    <w:pPr>
      <w:widowControl/>
      <w:spacing w:before="100" w:beforeAutospacing="1" w:after="100" w:afterAutospacing="1"/>
      <w:jc w:val="left"/>
    </w:pPr>
    <w:rPr>
      <w:rFonts w:ascii="MS Mincho" w:hAnsi="MS Mincho" w:eastAsia="MS Mincho" w:cs="宋体"/>
      <w:color w:val="000000"/>
      <w:kern w:val="0"/>
      <w:sz w:val="20"/>
      <w:szCs w:val="20"/>
    </w:rPr>
  </w:style>
  <w:style w:type="paragraph" w:customStyle="1" w:styleId="193">
    <w:name w:val="公文标题"/>
    <w:basedOn w:val="5"/>
    <w:qFormat/>
    <w:uiPriority w:val="99"/>
    <w:pPr>
      <w:spacing w:line="240" w:lineRule="auto"/>
      <w:ind w:left="1469" w:right="1542" w:firstLine="0" w:firstLineChars="0"/>
      <w:jc w:val="center"/>
    </w:pPr>
    <w:rPr>
      <w:rFonts w:ascii="Calibri" w:eastAsia="宋体"/>
      <w:b/>
      <w:sz w:val="44"/>
      <w:szCs w:val="24"/>
    </w:rPr>
  </w:style>
  <w:style w:type="paragraph" w:customStyle="1" w:styleId="194">
    <w:name w:val="样式3"/>
    <w:basedOn w:val="4"/>
    <w:qFormat/>
    <w:uiPriority w:val="0"/>
    <w:pPr>
      <w:tabs>
        <w:tab w:val="center" w:pos="4365"/>
        <w:tab w:val="left" w:pos="6075"/>
      </w:tabs>
      <w:spacing w:line="240" w:lineRule="auto"/>
      <w:jc w:val="center"/>
    </w:pPr>
    <w:rPr>
      <w:b w:val="0"/>
      <w:sz w:val="21"/>
      <w:szCs w:val="21"/>
    </w:rPr>
  </w:style>
  <w:style w:type="paragraph" w:customStyle="1" w:styleId="195">
    <w:name w:val="_Style 2"/>
    <w:basedOn w:val="1"/>
    <w:qFormat/>
    <w:uiPriority w:val="34"/>
    <w:pPr>
      <w:ind w:firstLine="420" w:firstLineChars="200"/>
    </w:pPr>
  </w:style>
  <w:style w:type="paragraph" w:customStyle="1" w:styleId="196">
    <w:name w:val="表格标题正常_制度头表格"/>
    <w:qFormat/>
    <w:uiPriority w:val="99"/>
    <w:pPr>
      <w:jc w:val="center"/>
    </w:pPr>
    <w:rPr>
      <w:rFonts w:ascii="Times New Roman" w:hAnsi="Times New Roman" w:eastAsia="宋体" w:cs="Times New Roman"/>
      <w:sz w:val="21"/>
      <w:lang w:val="en-US" w:eastAsia="zh-CN" w:bidi="ar-SA"/>
    </w:rPr>
  </w:style>
  <w:style w:type="paragraph" w:customStyle="1" w:styleId="197">
    <w:name w:val="_Style 67"/>
    <w:next w:val="1"/>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98">
    <w:name w:val="_Style 31"/>
    <w:basedOn w:val="1"/>
    <w:qFormat/>
    <w:uiPriority w:val="99"/>
    <w:rPr>
      <w:szCs w:val="20"/>
    </w:rPr>
  </w:style>
  <w:style w:type="paragraph" w:customStyle="1" w:styleId="199">
    <w:name w:val="p15"/>
    <w:basedOn w:val="1"/>
    <w:qFormat/>
    <w:uiPriority w:val="99"/>
    <w:pPr>
      <w:widowControl/>
    </w:pPr>
    <w:rPr>
      <w:rFonts w:ascii="宋体" w:hAnsi="宋体" w:cs="宋体"/>
      <w:kern w:val="0"/>
      <w:szCs w:val="21"/>
    </w:rPr>
  </w:style>
  <w:style w:type="paragraph" w:customStyle="1" w:styleId="200">
    <w:name w:val="Char Char Char Char Char1 Char"/>
    <w:basedOn w:val="1"/>
    <w:qFormat/>
    <w:uiPriority w:val="99"/>
    <w:rPr>
      <w:rFonts w:ascii="Tahoma" w:hAnsi="Tahoma"/>
      <w:sz w:val="24"/>
      <w:szCs w:val="20"/>
    </w:rPr>
  </w:style>
  <w:style w:type="paragraph" w:customStyle="1" w:styleId="201">
    <w:name w:val="xl22"/>
    <w:basedOn w:val="1"/>
    <w:qFormat/>
    <w:uiPriority w:val="99"/>
    <w:pPr>
      <w:widowControl/>
      <w:spacing w:before="100" w:beforeAutospacing="1" w:after="100" w:afterAutospacing="1"/>
      <w:jc w:val="center"/>
    </w:pPr>
    <w:rPr>
      <w:rFonts w:ascii="仿宋_GB2312" w:hAnsi="宋体" w:eastAsia="仿宋_GB2312"/>
      <w:kern w:val="0"/>
      <w:sz w:val="24"/>
      <w:szCs w:val="24"/>
    </w:rPr>
  </w:style>
  <w:style w:type="paragraph" w:customStyle="1" w:styleId="202">
    <w:name w:val="默认段落字体 Para Char Char Char Char"/>
    <w:basedOn w:val="1"/>
    <w:qFormat/>
    <w:uiPriority w:val="99"/>
    <w:rPr>
      <w:szCs w:val="24"/>
    </w:rPr>
  </w:style>
  <w:style w:type="paragraph" w:customStyle="1" w:styleId="203">
    <w:name w:val="font5"/>
    <w:basedOn w:val="1"/>
    <w:qFormat/>
    <w:uiPriority w:val="99"/>
    <w:pPr>
      <w:widowControl/>
      <w:spacing w:before="100" w:beforeAutospacing="1" w:after="100" w:afterAutospacing="1"/>
      <w:jc w:val="left"/>
    </w:pPr>
    <w:rPr>
      <w:rFonts w:ascii="宋体" w:hAnsi="宋体" w:cs="宋体"/>
      <w:color w:val="000000"/>
      <w:kern w:val="0"/>
      <w:sz w:val="20"/>
      <w:szCs w:val="20"/>
    </w:rPr>
  </w:style>
  <w:style w:type="paragraph" w:customStyle="1" w:styleId="204">
    <w:name w:val="修订11"/>
    <w:qFormat/>
    <w:uiPriority w:val="0"/>
    <w:rPr>
      <w:rFonts w:ascii="Times New Roman" w:hAnsi="Times New Roman" w:eastAsia="宋体" w:cs="Times New Roman"/>
      <w:kern w:val="2"/>
      <w:sz w:val="21"/>
      <w:szCs w:val="24"/>
      <w:lang w:val="en-US" w:eastAsia="zh-CN" w:bidi="ar-SA"/>
    </w:rPr>
  </w:style>
  <w:style w:type="paragraph" w:customStyle="1" w:styleId="205">
    <w:name w:val="xl63"/>
    <w:basedOn w:val="1"/>
    <w:qFormat/>
    <w:uiPriority w:val="99"/>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0"/>
      <w:szCs w:val="20"/>
    </w:rPr>
  </w:style>
  <w:style w:type="paragraph" w:customStyle="1" w:styleId="206">
    <w:name w:val="正文4"/>
    <w:basedOn w:val="1"/>
    <w:qFormat/>
    <w:uiPriority w:val="99"/>
    <w:pPr>
      <w:ind w:firstLine="630"/>
    </w:pPr>
    <w:rPr>
      <w:sz w:val="28"/>
      <w:szCs w:val="20"/>
    </w:rPr>
  </w:style>
  <w:style w:type="paragraph" w:customStyle="1" w:styleId="207">
    <w:name w:val="1 Char"/>
    <w:basedOn w:val="1"/>
    <w:qFormat/>
    <w:uiPriority w:val="99"/>
    <w:pPr>
      <w:widowControl/>
      <w:spacing w:before="100" w:beforeAutospacing="1" w:after="100" w:afterAutospacing="1" w:line="330" w:lineRule="atLeast"/>
      <w:ind w:left="360"/>
      <w:jc w:val="left"/>
    </w:pPr>
    <w:rPr>
      <w:rFonts w:ascii="ˎ̥" w:hAnsi="ˎ̥" w:cs="宋体"/>
      <w:color w:val="51585D"/>
      <w:kern w:val="0"/>
      <w:szCs w:val="18"/>
    </w:rPr>
  </w:style>
  <w:style w:type="paragraph" w:customStyle="1" w:styleId="208">
    <w:name w:val="by"/>
    <w:basedOn w:val="209"/>
    <w:qFormat/>
    <w:uiPriority w:val="99"/>
    <w:pPr>
      <w:autoSpaceDE w:val="0"/>
      <w:autoSpaceDN w:val="0"/>
      <w:adjustRightInd w:val="0"/>
      <w:ind w:left="545" w:leftChars="25" w:right="52" w:rightChars="25" w:hanging="493" w:hangingChars="275"/>
      <w:jc w:val="both"/>
    </w:pPr>
    <w:rPr>
      <w:spacing w:val="2"/>
    </w:rPr>
  </w:style>
  <w:style w:type="paragraph" w:customStyle="1" w:styleId="209">
    <w:name w:val="bg"/>
    <w:basedOn w:val="19"/>
    <w:qFormat/>
    <w:uiPriority w:val="99"/>
    <w:pPr>
      <w:topLinePunct/>
      <w:snapToGrid w:val="0"/>
      <w:spacing w:after="0"/>
      <w:ind w:left="0" w:leftChars="0"/>
      <w:jc w:val="center"/>
    </w:pPr>
    <w:rPr>
      <w:rFonts w:ascii="Calibri" w:hAnsi="Calibri"/>
      <w:color w:val="000000"/>
      <w:sz w:val="18"/>
      <w:szCs w:val="18"/>
    </w:rPr>
  </w:style>
  <w:style w:type="paragraph" w:customStyle="1" w:styleId="210">
    <w:name w:val="样式 段后: 0.5 行1"/>
    <w:basedOn w:val="1"/>
    <w:qFormat/>
    <w:uiPriority w:val="99"/>
    <w:pPr>
      <w:snapToGrid w:val="0"/>
    </w:pPr>
    <w:rPr>
      <w:rFonts w:cs="宋体"/>
      <w:sz w:val="24"/>
      <w:szCs w:val="24"/>
    </w:rPr>
  </w:style>
  <w:style w:type="paragraph" w:customStyle="1" w:styleId="211">
    <w:name w:val="xl67"/>
    <w:basedOn w:val="1"/>
    <w:qFormat/>
    <w:uiPriority w:val="99"/>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b/>
      <w:bCs/>
      <w:kern w:val="0"/>
      <w:sz w:val="20"/>
      <w:szCs w:val="20"/>
    </w:rPr>
  </w:style>
  <w:style w:type="paragraph" w:customStyle="1" w:styleId="212">
    <w:name w:val="英文1"/>
    <w:basedOn w:val="1"/>
    <w:qFormat/>
    <w:uiPriority w:val="99"/>
    <w:pPr>
      <w:tabs>
        <w:tab w:val="left" w:pos="1155"/>
      </w:tabs>
      <w:adjustRightInd w:val="0"/>
      <w:snapToGrid w:val="0"/>
      <w:spacing w:beforeLines="50" w:line="240" w:lineRule="exact"/>
      <w:ind w:left="733" w:leftChars="349" w:firstLine="373" w:firstLineChars="207"/>
    </w:pPr>
    <w:rPr>
      <w:rFonts w:ascii="Arial" w:hAnsi="Arial" w:cs="Arial"/>
      <w:sz w:val="18"/>
      <w:szCs w:val="24"/>
    </w:rPr>
  </w:style>
  <w:style w:type="paragraph" w:customStyle="1" w:styleId="213">
    <w:name w:val="_Style 212"/>
    <w:basedOn w:val="3"/>
    <w:next w:val="1"/>
    <w:qFormat/>
    <w:uiPriority w:val="39"/>
    <w:pPr>
      <w:widowControl/>
      <w:adjustRightInd w:val="0"/>
      <w:spacing w:before="480" w:after="0" w:line="276" w:lineRule="auto"/>
      <w:jc w:val="left"/>
      <w:outlineLvl w:val="9"/>
    </w:pPr>
    <w:rPr>
      <w:rFonts w:ascii="Cambria" w:hAnsi="Cambria"/>
      <w:b w:val="0"/>
      <w:bCs/>
      <w:color w:val="365F91"/>
      <w:kern w:val="0"/>
      <w:sz w:val="28"/>
      <w:szCs w:val="28"/>
    </w:rPr>
  </w:style>
  <w:style w:type="paragraph" w:customStyle="1" w:styleId="214">
    <w:name w:val="Plain Text"/>
    <w:basedOn w:val="1"/>
    <w:qFormat/>
    <w:uiPriority w:val="99"/>
    <w:pPr>
      <w:adjustRightInd w:val="0"/>
      <w:jc w:val="left"/>
    </w:pPr>
    <w:rPr>
      <w:rFonts w:ascii="宋体" w:hAnsi="Courier New"/>
      <w:sz w:val="24"/>
      <w:szCs w:val="20"/>
    </w:rPr>
  </w:style>
  <w:style w:type="paragraph" w:customStyle="1" w:styleId="215">
    <w:name w:val="xl71"/>
    <w:basedOn w:val="1"/>
    <w:qFormat/>
    <w:uiPriority w:val="99"/>
    <w:pPr>
      <w:widowControl/>
      <w:pBdr>
        <w:bottom w:val="single" w:color="auto" w:sz="8" w:space="0"/>
        <w:right w:val="single" w:color="auto" w:sz="8" w:space="0"/>
      </w:pBdr>
      <w:spacing w:before="100" w:beforeAutospacing="1" w:after="100" w:afterAutospacing="1"/>
      <w:jc w:val="left"/>
    </w:pPr>
    <w:rPr>
      <w:rFonts w:ascii="宋体" w:hAnsi="宋体" w:cs="宋体"/>
      <w:color w:val="FF0000"/>
      <w:kern w:val="0"/>
      <w:sz w:val="20"/>
      <w:szCs w:val="20"/>
    </w:rPr>
  </w:style>
  <w:style w:type="paragraph" w:customStyle="1" w:styleId="216">
    <w:name w:val="Char Char Char Char Char1 Char Char Char Char Char Char Char"/>
    <w:basedOn w:val="1"/>
    <w:qFormat/>
    <w:uiPriority w:val="99"/>
    <w:pPr>
      <w:spacing w:line="360" w:lineRule="auto"/>
    </w:pPr>
    <w:rPr>
      <w:rFonts w:ascii="Tahoma" w:hAnsi="Tahoma"/>
      <w:sz w:val="24"/>
      <w:szCs w:val="20"/>
    </w:rPr>
  </w:style>
  <w:style w:type="paragraph" w:customStyle="1" w:styleId="217">
    <w:name w:val="font10"/>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218">
    <w:name w:val="xl70"/>
    <w:basedOn w:val="1"/>
    <w:qFormat/>
    <w:uiPriority w:val="99"/>
    <w:pPr>
      <w:widowControl/>
      <w:pBdr>
        <w:bottom w:val="single" w:color="auto" w:sz="8" w:space="0"/>
        <w:right w:val="single" w:color="auto" w:sz="8" w:space="0"/>
      </w:pBdr>
      <w:spacing w:before="100" w:beforeAutospacing="1" w:after="100" w:afterAutospacing="1"/>
      <w:jc w:val="center"/>
    </w:pPr>
    <w:rPr>
      <w:rFonts w:ascii="宋体" w:hAnsi="宋体" w:cs="宋体"/>
      <w:kern w:val="0"/>
      <w:sz w:val="20"/>
      <w:szCs w:val="20"/>
    </w:rPr>
  </w:style>
  <w:style w:type="paragraph" w:customStyle="1" w:styleId="219">
    <w:name w:val="域名"/>
    <w:basedOn w:val="1"/>
    <w:qFormat/>
    <w:uiPriority w:val="99"/>
    <w:pPr>
      <w:adjustRightInd w:val="0"/>
      <w:spacing w:line="240" w:lineRule="exact"/>
    </w:pPr>
    <w:rPr>
      <w:rFonts w:ascii="宋体" w:eastAsia="仿宋_GB2312"/>
      <w:b/>
      <w:color w:val="FF0000"/>
      <w:kern w:val="0"/>
      <w:szCs w:val="20"/>
    </w:rPr>
  </w:style>
  <w:style w:type="paragraph" w:customStyle="1" w:styleId="220">
    <w:name w:val="_Style 58"/>
    <w:next w:val="1"/>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221">
    <w:name w:val="Char Char Char Char Char Char Char Char Char Char Char Char"/>
    <w:basedOn w:val="1"/>
    <w:qFormat/>
    <w:uiPriority w:val="99"/>
    <w:pPr>
      <w:spacing w:line="360" w:lineRule="auto"/>
    </w:pPr>
    <w:rPr>
      <w:szCs w:val="20"/>
    </w:rPr>
  </w:style>
  <w:style w:type="paragraph" w:customStyle="1" w:styleId="222">
    <w:name w:val="p17"/>
    <w:basedOn w:val="1"/>
    <w:qFormat/>
    <w:uiPriority w:val="99"/>
    <w:pPr>
      <w:widowControl/>
    </w:pPr>
    <w:rPr>
      <w:rFonts w:ascii="宋体" w:hAnsi="宋体" w:cs="宋体"/>
      <w:kern w:val="0"/>
      <w:szCs w:val="21"/>
    </w:rPr>
  </w:style>
  <w:style w:type="paragraph" w:customStyle="1" w:styleId="223">
    <w:name w:val="xl69"/>
    <w:basedOn w:val="1"/>
    <w:qFormat/>
    <w:uiPriority w:val="99"/>
    <w:pPr>
      <w:widowControl/>
      <w:pBdr>
        <w:bottom w:val="single" w:color="auto" w:sz="8" w:space="0"/>
        <w:right w:val="single" w:color="auto" w:sz="8" w:space="0"/>
      </w:pBdr>
      <w:spacing w:before="100" w:beforeAutospacing="1" w:after="100" w:afterAutospacing="1"/>
      <w:jc w:val="left"/>
    </w:pPr>
    <w:rPr>
      <w:rFonts w:ascii="宋体" w:hAnsi="宋体" w:cs="宋体"/>
      <w:kern w:val="0"/>
      <w:sz w:val="20"/>
      <w:szCs w:val="20"/>
    </w:rPr>
  </w:style>
  <w:style w:type="paragraph" w:customStyle="1" w:styleId="224">
    <w:name w:val="xl66"/>
    <w:basedOn w:val="1"/>
    <w:qFormat/>
    <w:uiPriority w:val="99"/>
    <w:pPr>
      <w:widowControl/>
      <w:pBdr>
        <w:top w:val="single" w:color="auto" w:sz="8" w:space="0"/>
        <w:bottom w:val="single" w:color="auto" w:sz="8" w:space="0"/>
      </w:pBdr>
      <w:spacing w:before="100" w:beforeAutospacing="1" w:after="100" w:afterAutospacing="1"/>
      <w:jc w:val="center"/>
    </w:pPr>
    <w:rPr>
      <w:rFonts w:ascii="宋体" w:hAnsi="宋体" w:cs="宋体"/>
      <w:b/>
      <w:bCs/>
      <w:kern w:val="0"/>
      <w:sz w:val="20"/>
      <w:szCs w:val="20"/>
    </w:rPr>
  </w:style>
  <w:style w:type="paragraph" w:customStyle="1" w:styleId="225">
    <w:name w:val="表格"/>
    <w:basedOn w:val="1"/>
    <w:qFormat/>
    <w:uiPriority w:val="0"/>
    <w:pPr>
      <w:jc w:val="center"/>
      <w:textAlignment w:val="center"/>
    </w:pPr>
    <w:rPr>
      <w:rFonts w:ascii="华文细黑" w:hAnsi="华文细黑"/>
      <w:kern w:val="0"/>
      <w:szCs w:val="20"/>
    </w:rPr>
  </w:style>
  <w:style w:type="paragraph" w:customStyle="1" w:styleId="226">
    <w:name w:val="_Style 23"/>
    <w:basedOn w:val="1"/>
    <w:qFormat/>
    <w:uiPriority w:val="0"/>
    <w:pPr>
      <w:widowControl/>
      <w:spacing w:after="160" w:line="240" w:lineRule="exact"/>
      <w:jc w:val="left"/>
    </w:pPr>
  </w:style>
  <w:style w:type="paragraph" w:customStyle="1" w:styleId="227">
    <w:name w:val="font6"/>
    <w:basedOn w:val="1"/>
    <w:qFormat/>
    <w:uiPriority w:val="99"/>
    <w:pPr>
      <w:widowControl/>
      <w:spacing w:before="100" w:beforeAutospacing="1" w:after="100" w:afterAutospacing="1"/>
      <w:jc w:val="left"/>
    </w:pPr>
    <w:rPr>
      <w:rFonts w:ascii="宋体" w:hAnsi="宋体" w:cs="宋体"/>
      <w:color w:val="000000"/>
      <w:kern w:val="0"/>
      <w:sz w:val="20"/>
      <w:szCs w:val="20"/>
    </w:rPr>
  </w:style>
  <w:style w:type="paragraph" w:customStyle="1" w:styleId="228">
    <w:name w:val="列表段落"/>
    <w:basedOn w:val="1"/>
    <w:qFormat/>
    <w:uiPriority w:val="34"/>
    <w:pPr>
      <w:spacing w:line="360" w:lineRule="auto"/>
      <w:ind w:firstLine="420" w:firstLineChars="200"/>
    </w:pPr>
  </w:style>
  <w:style w:type="paragraph" w:customStyle="1" w:styleId="229">
    <w:name w:val="font8"/>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230">
    <w:name w:val="p0"/>
    <w:basedOn w:val="1"/>
    <w:qFormat/>
    <w:uiPriority w:val="99"/>
    <w:pPr>
      <w:widowControl/>
    </w:pPr>
    <w:rPr>
      <w:kern w:val="0"/>
      <w:szCs w:val="21"/>
    </w:rPr>
  </w:style>
  <w:style w:type="paragraph" w:customStyle="1" w:styleId="231">
    <w:name w:val="_Style 230"/>
    <w:semiHidden/>
    <w:qFormat/>
    <w:uiPriority w:val="99"/>
    <w:rPr>
      <w:rFonts w:ascii="Times New Roman" w:hAnsi="Times New Roman" w:eastAsia="宋体" w:cs="Times New Roman"/>
      <w:kern w:val="2"/>
      <w:sz w:val="21"/>
      <w:lang w:val="en-US" w:eastAsia="zh-CN" w:bidi="ar-SA"/>
    </w:rPr>
  </w:style>
  <w:style w:type="paragraph" w:customStyle="1" w:styleId="232">
    <w:name w:val="xl75"/>
    <w:basedOn w:val="1"/>
    <w:qFormat/>
    <w:uiPriority w:val="99"/>
    <w:pPr>
      <w:widowControl/>
      <w:spacing w:before="100" w:beforeAutospacing="1" w:after="100" w:afterAutospacing="1"/>
      <w:jc w:val="center"/>
    </w:pPr>
    <w:rPr>
      <w:rFonts w:ascii="宋体" w:hAnsi="宋体" w:cs="宋体"/>
      <w:kern w:val="0"/>
      <w:sz w:val="20"/>
      <w:szCs w:val="20"/>
    </w:rPr>
  </w:style>
  <w:style w:type="paragraph" w:customStyle="1" w:styleId="233">
    <w:name w:val="表格文字"/>
    <w:basedOn w:val="1"/>
    <w:qFormat/>
    <w:uiPriority w:val="99"/>
    <w:pPr>
      <w:adjustRightInd w:val="0"/>
      <w:spacing w:line="420" w:lineRule="atLeast"/>
      <w:jc w:val="left"/>
      <w:textAlignment w:val="baseline"/>
    </w:pPr>
    <w:rPr>
      <w:rFonts w:ascii="Times New Roman" w:hAnsi="Times New Roman"/>
      <w:kern w:val="0"/>
      <w:szCs w:val="20"/>
    </w:rPr>
  </w:style>
  <w:style w:type="paragraph" w:customStyle="1" w:styleId="234">
    <w:name w:val="TOC 标题1"/>
    <w:basedOn w:val="3"/>
    <w:next w:val="1"/>
    <w:qFormat/>
    <w:uiPriority w:val="0"/>
    <w:pPr>
      <w:widowControl/>
      <w:spacing w:before="480" w:after="0" w:line="276" w:lineRule="auto"/>
      <w:jc w:val="left"/>
      <w:outlineLvl w:val="9"/>
    </w:pPr>
    <w:rPr>
      <w:rFonts w:ascii="Cambria" w:hAnsi="Cambria"/>
      <w:color w:val="365F91"/>
      <w:kern w:val="0"/>
      <w:sz w:val="28"/>
    </w:rPr>
  </w:style>
  <w:style w:type="paragraph" w:customStyle="1" w:styleId="235">
    <w:name w:val="xl65"/>
    <w:basedOn w:val="1"/>
    <w:qFormat/>
    <w:uiPriority w:val="99"/>
    <w:pPr>
      <w:widowControl/>
      <w:pBdr>
        <w:top w:val="single" w:color="auto" w:sz="8" w:space="0"/>
        <w:left w:val="single" w:color="auto" w:sz="8" w:space="0"/>
        <w:bottom w:val="single" w:color="auto" w:sz="8" w:space="0"/>
      </w:pBdr>
      <w:spacing w:before="100" w:beforeAutospacing="1" w:after="100" w:afterAutospacing="1"/>
      <w:jc w:val="center"/>
    </w:pPr>
    <w:rPr>
      <w:rFonts w:ascii="宋体" w:hAnsi="宋体" w:cs="宋体"/>
      <w:b/>
      <w:bCs/>
      <w:kern w:val="0"/>
      <w:sz w:val="20"/>
      <w:szCs w:val="20"/>
    </w:rPr>
  </w:style>
  <w:style w:type="paragraph" w:customStyle="1" w:styleId="236">
    <w:name w:val="列出段落1"/>
    <w:basedOn w:val="1"/>
    <w:qFormat/>
    <w:uiPriority w:val="0"/>
    <w:pPr>
      <w:ind w:firstLine="420" w:firstLineChars="200"/>
    </w:pPr>
  </w:style>
  <w:style w:type="paragraph" w:customStyle="1" w:styleId="237">
    <w:name w:val="表格空行_制度头表格"/>
    <w:basedOn w:val="196"/>
    <w:qFormat/>
    <w:uiPriority w:val="99"/>
    <w:pPr>
      <w:tabs>
        <w:tab w:val="left" w:pos="2960"/>
      </w:tabs>
      <w:jc w:val="both"/>
    </w:pPr>
    <w:rPr>
      <w:rFonts w:eastAsia="黑体"/>
      <w:sz w:val="11"/>
      <w:szCs w:val="30"/>
    </w:rPr>
  </w:style>
  <w:style w:type="paragraph" w:customStyle="1" w:styleId="238">
    <w:name w:val="发文落款"/>
    <w:basedOn w:val="239"/>
    <w:qFormat/>
    <w:uiPriority w:val="99"/>
    <w:pPr>
      <w:ind w:left="4094" w:right="607" w:firstLine="0"/>
      <w:jc w:val="center"/>
    </w:pPr>
  </w:style>
  <w:style w:type="paragraph" w:customStyle="1" w:styleId="239">
    <w:name w:val="公文正文"/>
    <w:qFormat/>
    <w:uiPriority w:val="99"/>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240">
    <w:name w:val="表格标题粗体_制度头表格"/>
    <w:qFormat/>
    <w:uiPriority w:val="99"/>
    <w:pPr>
      <w:jc w:val="center"/>
    </w:pPr>
    <w:rPr>
      <w:rFonts w:ascii="Times New Roman" w:hAnsi="Times New Roman" w:eastAsia="宋体" w:cs="Times New Roman"/>
      <w:b/>
      <w:sz w:val="21"/>
      <w:szCs w:val="21"/>
      <w:lang w:val="en-US" w:eastAsia="zh-CN" w:bidi="ar-SA"/>
    </w:rPr>
  </w:style>
  <w:style w:type="paragraph" w:customStyle="1" w:styleId="241">
    <w:name w:val="Default"/>
    <w:unhideWhenUsed/>
    <w:qFormat/>
    <w:uiPriority w:val="99"/>
    <w:pPr>
      <w:widowControl w:val="0"/>
      <w:autoSpaceDE w:val="0"/>
      <w:autoSpaceDN w:val="0"/>
      <w:adjustRightInd w:val="0"/>
    </w:pPr>
    <w:rPr>
      <w:rFonts w:ascii="宋体" w:hAnsi="宋体" w:eastAsia="宋体" w:cs="Times New Roman"/>
      <w:color w:val="000000"/>
      <w:sz w:val="24"/>
      <w:lang w:val="en-US" w:eastAsia="zh-CN" w:bidi="ar-SA"/>
    </w:rPr>
  </w:style>
  <w:style w:type="paragraph" w:customStyle="1" w:styleId="242">
    <w:name w:val="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243">
    <w:name w:val="中文1"/>
    <w:basedOn w:val="212"/>
    <w:qFormat/>
    <w:uiPriority w:val="99"/>
    <w:pPr>
      <w:ind w:firstLine="371" w:firstLineChars="206"/>
    </w:pPr>
    <w:rPr>
      <w:rFonts w:ascii="宋体" w:hAnsi="宋体"/>
    </w:rPr>
  </w:style>
  <w:style w:type="paragraph" w:customStyle="1" w:styleId="244">
    <w:name w:val="xl74"/>
    <w:basedOn w:val="1"/>
    <w:qFormat/>
    <w:uiPriority w:val="99"/>
    <w:pPr>
      <w:widowControl/>
      <w:spacing w:before="100" w:beforeAutospacing="1" w:after="100" w:afterAutospacing="1"/>
      <w:jc w:val="left"/>
    </w:pPr>
    <w:rPr>
      <w:rFonts w:ascii="宋体" w:hAnsi="宋体" w:cs="宋体"/>
      <w:kern w:val="0"/>
      <w:sz w:val="20"/>
      <w:szCs w:val="20"/>
    </w:rPr>
  </w:style>
  <w:style w:type="paragraph" w:customStyle="1" w:styleId="245">
    <w:name w:val="bn"/>
    <w:basedOn w:val="1"/>
    <w:qFormat/>
    <w:uiPriority w:val="99"/>
    <w:pPr>
      <w:topLinePunct/>
      <w:snapToGrid w:val="0"/>
      <w:ind w:left="20" w:leftChars="20" w:right="20" w:rightChars="20"/>
      <w:jc w:val="center"/>
    </w:pPr>
    <w:rPr>
      <w:color w:val="000000"/>
      <w:kern w:val="18"/>
      <w:sz w:val="18"/>
      <w:szCs w:val="18"/>
    </w:rPr>
  </w:style>
  <w:style w:type="paragraph" w:customStyle="1" w:styleId="246">
    <w:name w:val="xl72"/>
    <w:basedOn w:val="1"/>
    <w:qFormat/>
    <w:uiPriority w:val="99"/>
    <w:pPr>
      <w:widowControl/>
      <w:pBdr>
        <w:right w:val="single" w:color="auto" w:sz="8" w:space="0"/>
      </w:pBdr>
      <w:spacing w:before="100" w:beforeAutospacing="1" w:after="100" w:afterAutospacing="1"/>
      <w:jc w:val="left"/>
    </w:pPr>
    <w:rPr>
      <w:rFonts w:ascii="宋体" w:hAnsi="宋体" w:cs="宋体"/>
      <w:kern w:val="0"/>
      <w:sz w:val="20"/>
      <w:szCs w:val="20"/>
    </w:rPr>
  </w:style>
  <w:style w:type="paragraph" w:customStyle="1" w:styleId="247">
    <w:name w:val="样式2"/>
    <w:basedOn w:val="5"/>
    <w:qFormat/>
    <w:uiPriority w:val="0"/>
    <w:pPr>
      <w:spacing w:line="415" w:lineRule="auto"/>
      <w:ind w:firstLine="137"/>
    </w:pPr>
    <w:rPr>
      <w:rFonts w:hAnsi="Times New Roman"/>
      <w:bCs/>
      <w:i/>
      <w:szCs w:val="28"/>
    </w:rPr>
  </w:style>
  <w:style w:type="paragraph" w:customStyle="1" w:styleId="248">
    <w:name w:val="样式 标题 1 + 黑体 三号 非加粗 居中 段前: 6 磅 段后: 6 磅 行距: 固定值 20 磅"/>
    <w:basedOn w:val="3"/>
    <w:qFormat/>
    <w:uiPriority w:val="0"/>
    <w:pPr>
      <w:spacing w:before="120" w:after="120" w:line="400" w:lineRule="exact"/>
      <w:jc w:val="center"/>
    </w:pPr>
    <w:rPr>
      <w:rFonts w:ascii="黑体" w:hAnsi="黑体" w:eastAsia="黑体" w:cs="宋体"/>
      <w:b w:val="0"/>
      <w:sz w:val="32"/>
    </w:rPr>
  </w:style>
  <w:style w:type="paragraph" w:customStyle="1" w:styleId="249">
    <w:name w:val="我的正文"/>
    <w:basedOn w:val="1"/>
    <w:qFormat/>
    <w:uiPriority w:val="0"/>
    <w:rPr>
      <w:rFonts w:ascii="宋体" w:hAnsi="宋体"/>
      <w:sz w:val="24"/>
      <w:szCs w:val="24"/>
    </w:rPr>
  </w:style>
  <w:style w:type="paragraph" w:customStyle="1" w:styleId="250">
    <w:name w:val="样式 样式 样式1 + 段后: 0.5 行 + 段后: 0.5 行"/>
    <w:basedOn w:val="1"/>
    <w:qFormat/>
    <w:uiPriority w:val="99"/>
    <w:pPr>
      <w:numPr>
        <w:ilvl w:val="0"/>
        <w:numId w:val="1"/>
      </w:numPr>
      <w:tabs>
        <w:tab w:val="left" w:pos="720"/>
      </w:tabs>
      <w:adjustRightInd w:val="0"/>
      <w:snapToGrid w:val="0"/>
      <w:jc w:val="left"/>
      <w:outlineLvl w:val="0"/>
    </w:pPr>
    <w:rPr>
      <w:rFonts w:ascii="宋体" w:hAnsi="Arial" w:cs="宋体"/>
      <w:sz w:val="24"/>
      <w:szCs w:val="20"/>
    </w:rPr>
  </w:style>
  <w:style w:type="paragraph" w:customStyle="1" w:styleId="251">
    <w:name w:val="修订1"/>
    <w:qFormat/>
    <w:uiPriority w:val="0"/>
    <w:rPr>
      <w:rFonts w:ascii="Times New Roman" w:hAnsi="Times New Roman" w:eastAsia="宋体" w:cs="Times New Roman"/>
      <w:kern w:val="2"/>
      <w:sz w:val="21"/>
      <w:lang w:val="en-US" w:eastAsia="zh-CN" w:bidi="ar-SA"/>
    </w:rPr>
  </w:style>
  <w:style w:type="paragraph" w:customStyle="1" w:styleId="252">
    <w:name w:val="p16"/>
    <w:basedOn w:val="1"/>
    <w:qFormat/>
    <w:uiPriority w:val="99"/>
    <w:pPr>
      <w:widowControl/>
    </w:pPr>
    <w:rPr>
      <w:rFonts w:ascii="宋体" w:hAnsi="宋体" w:cs="宋体"/>
      <w:kern w:val="0"/>
      <w:szCs w:val="21"/>
    </w:rPr>
  </w:style>
  <w:style w:type="paragraph" w:customStyle="1" w:styleId="253">
    <w:name w:val="第二级"/>
    <w:basedOn w:val="1"/>
    <w:qFormat/>
    <w:uiPriority w:val="99"/>
    <w:pPr>
      <w:numPr>
        <w:ilvl w:val="1"/>
        <w:numId w:val="2"/>
      </w:numPr>
      <w:tabs>
        <w:tab w:val="left" w:pos="567"/>
      </w:tabs>
      <w:adjustRightInd w:val="0"/>
      <w:snapToGrid w:val="0"/>
      <w:ind w:left="0" w:firstLine="0"/>
      <w:jc w:val="left"/>
      <w:outlineLvl w:val="1"/>
    </w:pPr>
    <w:rPr>
      <w:rFonts w:ascii="宋体" w:hAnsi="Arial"/>
      <w:sz w:val="24"/>
      <w:szCs w:val="20"/>
    </w:rPr>
  </w:style>
  <w:style w:type="paragraph" w:customStyle="1" w:styleId="254">
    <w:name w:val="xl76"/>
    <w:basedOn w:val="1"/>
    <w:qFormat/>
    <w:uiPriority w:val="99"/>
    <w:pPr>
      <w:widowControl/>
      <w:spacing w:before="100" w:beforeAutospacing="1" w:after="100" w:afterAutospacing="1"/>
      <w:jc w:val="left"/>
    </w:pPr>
    <w:rPr>
      <w:rFonts w:ascii="宋体" w:hAnsi="宋体" w:cs="宋体"/>
      <w:kern w:val="0"/>
      <w:sz w:val="20"/>
      <w:szCs w:val="20"/>
    </w:rPr>
  </w:style>
  <w:style w:type="paragraph" w:customStyle="1" w:styleId="255">
    <w:name w:val="1"/>
    <w:basedOn w:val="1"/>
    <w:qFormat/>
    <w:uiPriority w:val="0"/>
    <w:rPr>
      <w:rFonts w:ascii="Times New Roman" w:hAnsi="Times New Roman"/>
      <w:szCs w:val="20"/>
    </w:rPr>
  </w:style>
  <w:style w:type="paragraph" w:customStyle="1" w:styleId="256">
    <w:name w:val="样式1"/>
    <w:basedOn w:val="1"/>
    <w:next w:val="6"/>
    <w:qFormat/>
    <w:uiPriority w:val="0"/>
    <w:pPr>
      <w:spacing w:line="360" w:lineRule="auto"/>
      <w:ind w:firstLine="420" w:firstLineChars="200"/>
    </w:pPr>
    <w:rPr>
      <w:rFonts w:ascii="宋体" w:hAnsi="宋体"/>
      <w:szCs w:val="21"/>
    </w:rPr>
  </w:style>
  <w:style w:type="paragraph" w:customStyle="1" w:styleId="257">
    <w:name w:val="纯文本1"/>
    <w:basedOn w:val="1"/>
    <w:qFormat/>
    <w:uiPriority w:val="99"/>
    <w:pPr>
      <w:adjustRightInd w:val="0"/>
      <w:jc w:val="left"/>
    </w:pPr>
    <w:rPr>
      <w:rFonts w:ascii="宋体" w:hAnsi="Courier New"/>
      <w:sz w:val="24"/>
      <w:szCs w:val="20"/>
    </w:rPr>
  </w:style>
  <w:style w:type="paragraph" w:customStyle="1" w:styleId="258">
    <w:name w:val="xl73"/>
    <w:basedOn w:val="1"/>
    <w:qFormat/>
    <w:uiPriority w:val="99"/>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cs="宋体"/>
      <w:kern w:val="0"/>
      <w:sz w:val="20"/>
      <w:szCs w:val="20"/>
    </w:rPr>
  </w:style>
  <w:style w:type="paragraph" w:customStyle="1" w:styleId="259">
    <w:name w:val="formtable1"/>
    <w:basedOn w:val="1"/>
    <w:qFormat/>
    <w:uiPriority w:val="99"/>
    <w:pPr>
      <w:widowControl/>
      <w:pBdr>
        <w:left w:val="single" w:color="CCCCCC" w:sz="6" w:space="0"/>
      </w:pBdr>
      <w:spacing w:before="100" w:beforeAutospacing="1" w:after="100" w:afterAutospacing="1"/>
      <w:jc w:val="left"/>
    </w:pPr>
    <w:rPr>
      <w:rFonts w:ascii="宋体" w:hAnsi="宋体" w:cs="宋体"/>
      <w:kern w:val="0"/>
      <w:sz w:val="24"/>
      <w:szCs w:val="24"/>
    </w:rPr>
  </w:style>
  <w:style w:type="paragraph" w:customStyle="1" w:styleId="260">
    <w:name w:val="样式 第二级 + 段后: 0.5 行"/>
    <w:basedOn w:val="253"/>
    <w:qFormat/>
    <w:uiPriority w:val="99"/>
    <w:pPr>
      <w:ind w:left="567" w:hanging="567"/>
    </w:pPr>
    <w:rPr>
      <w:rFonts w:cs="宋体"/>
    </w:rPr>
  </w:style>
  <w:style w:type="paragraph" w:customStyle="1" w:styleId="261">
    <w:name w:val="样式 标题 2 + Times New Roman 四号 非加粗 段前: 5 磅 段后: 0 磅 行距: 固定值 20..."/>
    <w:basedOn w:val="4"/>
    <w:qFormat/>
    <w:uiPriority w:val="99"/>
    <w:pPr>
      <w:spacing w:before="100" w:after="0" w:line="400" w:lineRule="exact"/>
    </w:pPr>
    <w:rPr>
      <w:rFonts w:ascii="Times New Roman" w:hAnsi="Times New Roman" w:cs="宋体"/>
      <w:b w:val="0"/>
      <w:sz w:val="28"/>
    </w:rPr>
  </w:style>
  <w:style w:type="paragraph" w:customStyle="1" w:styleId="262">
    <w:name w:val="font7"/>
    <w:basedOn w:val="1"/>
    <w:qFormat/>
    <w:uiPriority w:val="99"/>
    <w:pPr>
      <w:widowControl/>
      <w:spacing w:before="100" w:beforeAutospacing="1" w:after="100" w:afterAutospacing="1"/>
      <w:jc w:val="left"/>
    </w:pPr>
    <w:rPr>
      <w:rFonts w:ascii="宋体" w:hAnsi="宋体" w:cs="宋体"/>
      <w:color w:val="333333"/>
      <w:kern w:val="0"/>
      <w:sz w:val="20"/>
      <w:szCs w:val="20"/>
    </w:rPr>
  </w:style>
  <w:style w:type="paragraph" w:customStyle="1" w:styleId="263">
    <w:name w:val="默认段落字体 Para Char Char Char Char Char Char Char Char Char Char Char Char Char Char"/>
    <w:basedOn w:val="14"/>
    <w:qFormat/>
    <w:uiPriority w:val="99"/>
    <w:pPr>
      <w:shd w:val="clear" w:color="auto" w:fill="000080"/>
    </w:pPr>
    <w:rPr>
      <w:rFonts w:ascii="Calibri"/>
      <w:sz w:val="21"/>
      <w:szCs w:val="20"/>
    </w:rPr>
  </w:style>
  <w:style w:type="paragraph" w:customStyle="1" w:styleId="264">
    <w:name w:val="修订2"/>
    <w:qFormat/>
    <w:uiPriority w:val="0"/>
    <w:rPr>
      <w:rFonts w:ascii="Times New Roman" w:hAnsi="Times New Roman" w:eastAsia="宋体" w:cs="Times New Roman"/>
      <w:kern w:val="2"/>
      <w:sz w:val="21"/>
      <w:szCs w:val="24"/>
      <w:lang w:val="en-US" w:eastAsia="zh-CN" w:bidi="ar-SA"/>
    </w:rPr>
  </w:style>
  <w:style w:type="paragraph" w:customStyle="1" w:styleId="265">
    <w:name w:val="样式 标题 3 + (中文) 黑体 小四 非加粗 段前: 7.8 磅 段后: 0 磅 行距: 固定值 20 磅"/>
    <w:basedOn w:val="5"/>
    <w:qFormat/>
    <w:uiPriority w:val="99"/>
    <w:pPr>
      <w:spacing w:before="0" w:after="0" w:line="400" w:lineRule="exact"/>
      <w:ind w:firstLine="137"/>
    </w:pPr>
    <w:rPr>
      <w:rFonts w:hAnsi="Times New Roman" w:cs="宋体"/>
      <w:sz w:val="24"/>
    </w:rPr>
  </w:style>
  <w:style w:type="paragraph" w:customStyle="1" w:styleId="266">
    <w:name w:val="Char Char Char Char"/>
    <w:basedOn w:val="1"/>
    <w:qFormat/>
    <w:uiPriority w:val="99"/>
    <w:pPr>
      <w:tabs>
        <w:tab w:val="left" w:pos="425"/>
      </w:tabs>
      <w:ind w:left="425" w:hanging="425"/>
    </w:pPr>
    <w:rPr>
      <w:rFonts w:ascii="仿宋_GB2312" w:hAnsi="宋体" w:eastAsia="仿宋_GB2312"/>
      <w:b/>
      <w:kern w:val="24"/>
      <w:sz w:val="32"/>
      <w:szCs w:val="32"/>
    </w:rPr>
  </w:style>
  <w:style w:type="paragraph" w:customStyle="1" w:styleId="267">
    <w:name w:val="Char1"/>
    <w:basedOn w:val="1"/>
    <w:qFormat/>
    <w:uiPriority w:val="99"/>
    <w:pPr>
      <w:tabs>
        <w:tab w:val="left" w:pos="360"/>
      </w:tabs>
    </w:pPr>
    <w:rPr>
      <w:rFonts w:ascii="Times New Roman" w:hAnsi="Times New Roman"/>
      <w:sz w:val="24"/>
      <w:szCs w:val="20"/>
    </w:rPr>
  </w:style>
  <w:style w:type="paragraph" w:customStyle="1" w:styleId="268">
    <w:name w:val="_Style 75"/>
    <w:next w:val="1"/>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269">
    <w:name w:val="xl68"/>
    <w:basedOn w:val="1"/>
    <w:qFormat/>
    <w:uiPriority w:val="99"/>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0"/>
      <w:szCs w:val="20"/>
    </w:rPr>
  </w:style>
  <w:style w:type="table" w:customStyle="1" w:styleId="270">
    <w:name w:val="TableGrid"/>
    <w:qFormat/>
    <w:uiPriority w:val="0"/>
    <w:rPr>
      <w:lang w:val="en-US" w:eastAsia="zh-CN" w:bidi="ar-SA"/>
    </w:rPr>
    <w:tblPr>
      <w:tblCellMar>
        <w:top w:w="0" w:type="dxa"/>
        <w:left w:w="0" w:type="dxa"/>
        <w:bottom w:w="0" w:type="dxa"/>
        <w:right w:w="0" w:type="dxa"/>
      </w:tblCellMar>
    </w:tblPr>
  </w:style>
  <w:style w:type="paragraph" w:customStyle="1" w:styleId="271">
    <w:name w:val="样式 宋体 行距: 1.5 倍行距"/>
    <w:basedOn w:val="1"/>
    <w:qFormat/>
    <w:uiPriority w:val="0"/>
    <w:pPr>
      <w:jc w:val="center"/>
    </w:pPr>
    <w:rPr>
      <w:rFonts w:ascii="Times New Roman" w:hAnsi="Times New Roman"/>
      <w:b/>
    </w:rPr>
  </w:style>
  <w:style w:type="paragraph" w:customStyle="1" w:styleId="272">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73">
    <w:name w:val="xl44"/>
    <w:basedOn w:val="1"/>
    <w:qFormat/>
    <w:uiPriority w:val="0"/>
    <w:pPr>
      <w:widowControl/>
      <w:pBdr>
        <w:left w:val="single" w:color="auto" w:sz="4" w:space="0"/>
        <w:right w:val="single" w:color="auto" w:sz="4" w:space="0"/>
      </w:pBdr>
      <w:spacing w:before="100" w:beforeAutospacing="1" w:after="100" w:afterAutospacing="1" w:line="360" w:lineRule="auto"/>
      <w:jc w:val="center"/>
    </w:pPr>
    <w:rPr>
      <w:rFonts w:hint="eastAsia" w:ascii="宋体" w:hAnsi="宋体"/>
      <w:kern w:val="0"/>
      <w:sz w:val="24"/>
      <w:szCs w:val="24"/>
    </w:rPr>
  </w:style>
  <w:style w:type="paragraph" w:styleId="274">
    <w:name w:val="List Paragraph"/>
    <w:basedOn w:val="1"/>
    <w:qFormat/>
    <w:uiPriority w:val="0"/>
    <w:pPr>
      <w:ind w:firstLine="420" w:firstLineChars="200"/>
    </w:pPr>
    <w:rPr>
      <w:rFonts w:ascii="Calibri" w:hAnsi="Calibri"/>
      <w:szCs w:val="22"/>
    </w:rPr>
  </w:style>
  <w:style w:type="paragraph" w:customStyle="1" w:styleId="275">
    <w:name w:val="_Style 6"/>
    <w:basedOn w:val="3"/>
    <w:next w:val="1"/>
    <w:qFormat/>
    <w:uiPriority w:val="0"/>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111</Pages>
  <Words>44177</Words>
  <Characters>48094</Characters>
  <Lines>403</Lines>
  <Paragraphs>113</Paragraphs>
  <TotalTime>158</TotalTime>
  <ScaleCrop>false</ScaleCrop>
  <LinksUpToDate>false</LinksUpToDate>
  <CharactersWithSpaces>51723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2019-09-30T03:20:00Z</dcterms:created>
  <dc:creator>袁静</dc:creator>
  <cp:lastModifiedBy>WAM</cp:lastModifiedBy>
  <cp:lastPrinted>2023-07-03T15:28:00Z</cp:lastPrinted>
  <dcterms:modified xsi:type="dcterms:W3CDTF">2023-07-06T08:05:13Z</dcterms:modified>
  <dc:title>中华人民共和国</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ED5162526DEC4E348642EC5BEA955615</vt:lpwstr>
  </property>
</Properties>
</file>