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960" w:firstLineChars="300"/>
        <w:rPr>
          <w:rStyle w:val="84"/>
          <w:rFonts w:ascii="宋体" w:hAnsi="宋体"/>
          <w:color w:val="auto"/>
          <w:sz w:val="32"/>
          <w:highlight w:val="none"/>
        </w:rPr>
      </w:pPr>
      <w:bookmarkStart w:id="36" w:name="_GoBack"/>
    </w:p>
    <w:p>
      <w:pPr>
        <w:widowControl w:val="0"/>
        <w:spacing w:line="360" w:lineRule="auto"/>
        <w:jc w:val="center"/>
        <w:textAlignment w:val="auto"/>
        <w:rPr>
          <w:rFonts w:ascii="宋体" w:hAnsi="宋体"/>
          <w:b/>
          <w:bCs/>
          <w:color w:val="auto"/>
          <w:spacing w:val="26"/>
          <w:sz w:val="44"/>
          <w:szCs w:val="72"/>
          <w:highlight w:val="none"/>
        </w:rPr>
      </w:pPr>
      <w:r>
        <w:rPr>
          <w:rFonts w:hint="eastAsia" w:ascii="宋体" w:hAnsi="宋体"/>
          <w:b/>
          <w:bCs/>
          <w:color w:val="auto"/>
          <w:spacing w:val="26"/>
          <w:sz w:val="44"/>
          <w:szCs w:val="72"/>
          <w:highlight w:val="none"/>
        </w:rPr>
        <w:t>广州市海珠区广船机械厂出让地块配套小学校园环境工程</w:t>
      </w:r>
    </w:p>
    <w:p>
      <w:pPr>
        <w:spacing w:line="360" w:lineRule="auto"/>
        <w:rPr>
          <w:rFonts w:ascii="宋体" w:hAnsi="宋体"/>
          <w:b/>
          <w:bCs/>
          <w:color w:val="auto"/>
          <w:spacing w:val="26"/>
          <w:sz w:val="52"/>
          <w:szCs w:val="110"/>
          <w:highlight w:val="none"/>
        </w:rPr>
      </w:pPr>
    </w:p>
    <w:p>
      <w:pPr>
        <w:spacing w:line="360" w:lineRule="auto"/>
        <w:rPr>
          <w:rFonts w:ascii="宋体" w:hAnsi="宋体"/>
          <w:b/>
          <w:bCs/>
          <w:color w:val="auto"/>
          <w:spacing w:val="26"/>
          <w:sz w:val="52"/>
          <w:szCs w:val="110"/>
          <w:highlight w:val="none"/>
        </w:rPr>
      </w:pPr>
    </w:p>
    <w:p>
      <w:pPr>
        <w:spacing w:line="360" w:lineRule="auto"/>
        <w:rPr>
          <w:rFonts w:ascii="宋体" w:hAnsi="宋体"/>
          <w:b/>
          <w:bCs/>
          <w:color w:val="auto"/>
          <w:spacing w:val="26"/>
          <w:sz w:val="52"/>
          <w:szCs w:val="110"/>
          <w:highlight w:val="none"/>
        </w:rPr>
      </w:pPr>
    </w:p>
    <w:p>
      <w:pPr>
        <w:spacing w:line="360" w:lineRule="auto"/>
        <w:rPr>
          <w:rFonts w:ascii="宋体" w:hAnsi="宋体"/>
          <w:b/>
          <w:bCs/>
          <w:color w:val="auto"/>
          <w:spacing w:val="26"/>
          <w:sz w:val="44"/>
          <w:szCs w:val="110"/>
          <w:highlight w:val="none"/>
        </w:rPr>
      </w:pPr>
    </w:p>
    <w:p>
      <w:pPr>
        <w:spacing w:line="360" w:lineRule="auto"/>
        <w:jc w:val="center"/>
        <w:rPr>
          <w:rFonts w:ascii="宋体" w:hAnsi="宋体"/>
          <w:b/>
          <w:bCs/>
          <w:color w:val="auto"/>
          <w:spacing w:val="26"/>
          <w:sz w:val="110"/>
          <w:szCs w:val="110"/>
          <w:highlight w:val="none"/>
        </w:rPr>
      </w:pPr>
      <w:r>
        <w:rPr>
          <w:rFonts w:hint="eastAsia" w:ascii="宋体" w:hAnsi="宋体"/>
          <w:b/>
          <w:bCs/>
          <w:color w:val="auto"/>
          <w:spacing w:val="26"/>
          <w:sz w:val="110"/>
          <w:szCs w:val="110"/>
          <w:highlight w:val="none"/>
        </w:rPr>
        <w:t>招标文件</w:t>
      </w:r>
    </w:p>
    <w:p>
      <w:pPr>
        <w:spacing w:line="360" w:lineRule="auto"/>
        <w:ind w:firstLine="2560" w:firstLineChars="800"/>
        <w:rPr>
          <w:rFonts w:ascii="宋体" w:hAnsi="宋体"/>
          <w:color w:val="auto"/>
          <w:sz w:val="32"/>
          <w:highlight w:val="none"/>
        </w:rPr>
      </w:pPr>
    </w:p>
    <w:p>
      <w:pPr>
        <w:spacing w:line="360" w:lineRule="auto"/>
        <w:rPr>
          <w:rFonts w:ascii="宋体" w:hAnsi="宋体"/>
          <w:color w:val="auto"/>
          <w:sz w:val="52"/>
          <w:highlight w:val="none"/>
        </w:rPr>
      </w:pPr>
    </w:p>
    <w:p>
      <w:pPr>
        <w:spacing w:line="360" w:lineRule="auto"/>
        <w:rPr>
          <w:rFonts w:ascii="宋体" w:hAnsi="宋体"/>
          <w:color w:val="auto"/>
          <w:sz w:val="52"/>
          <w:highlight w:val="none"/>
        </w:rPr>
      </w:pPr>
    </w:p>
    <w:p>
      <w:pPr>
        <w:spacing w:line="360" w:lineRule="auto"/>
        <w:rPr>
          <w:rFonts w:ascii="宋体" w:hAnsi="宋体"/>
          <w:color w:val="auto"/>
          <w:sz w:val="52"/>
          <w:highlight w:val="none"/>
        </w:rPr>
      </w:pPr>
    </w:p>
    <w:p>
      <w:pPr>
        <w:autoSpaceDE w:val="0"/>
        <w:autoSpaceDN w:val="0"/>
        <w:adjustRightInd w:val="0"/>
        <w:spacing w:line="360" w:lineRule="auto"/>
        <w:jc w:val="left"/>
        <w:rPr>
          <w:rFonts w:ascii="宋体" w:hAnsi="宋体"/>
          <w:b/>
          <w:bCs/>
          <w:color w:val="auto"/>
          <w:sz w:val="32"/>
          <w:szCs w:val="32"/>
          <w:highlight w:val="none"/>
        </w:rPr>
      </w:pPr>
      <w:r>
        <w:rPr>
          <w:rFonts w:hint="eastAsia" w:ascii="宋体" w:hAnsi="宋体" w:cs="宋体"/>
          <w:b/>
          <w:bCs/>
          <w:color w:val="auto"/>
          <w:sz w:val="32"/>
          <w:szCs w:val="30"/>
          <w:highlight w:val="none"/>
          <w:lang w:val="zh-CN"/>
        </w:rPr>
        <w:t>招标人：</w:t>
      </w:r>
      <w:r>
        <w:rPr>
          <w:rFonts w:hint="eastAsia" w:ascii="宋体" w:hAnsi="宋体" w:cs="宋体"/>
          <w:b/>
          <w:bCs/>
          <w:color w:val="auto"/>
          <w:sz w:val="32"/>
          <w:szCs w:val="30"/>
          <w:highlight w:val="none"/>
        </w:rPr>
        <w:t>广州市海珠区重点工程项目建设中心</w:t>
      </w:r>
    </w:p>
    <w:p>
      <w:pPr>
        <w:autoSpaceDE w:val="0"/>
        <w:autoSpaceDN w:val="0"/>
        <w:adjustRightInd w:val="0"/>
        <w:spacing w:line="360" w:lineRule="auto"/>
        <w:jc w:val="left"/>
        <w:rPr>
          <w:rFonts w:ascii="宋体" w:hAnsi="宋体" w:cs="宋体"/>
          <w:b/>
          <w:bCs/>
          <w:color w:val="auto"/>
          <w:sz w:val="32"/>
          <w:szCs w:val="30"/>
          <w:highlight w:val="none"/>
        </w:rPr>
      </w:pPr>
      <w:r>
        <w:rPr>
          <w:rFonts w:hint="eastAsia" w:ascii="宋体" w:hAnsi="宋体" w:cs="宋体"/>
          <w:b/>
          <w:bCs/>
          <w:color w:val="auto"/>
          <w:sz w:val="32"/>
          <w:szCs w:val="30"/>
          <w:highlight w:val="none"/>
          <w:lang w:val="zh-CN"/>
        </w:rPr>
        <w:t>招标代理机构：</w:t>
      </w:r>
      <w:r>
        <w:rPr>
          <w:rFonts w:hint="eastAsia" w:ascii="宋体" w:hAnsi="宋体" w:cs="宋体"/>
          <w:b/>
          <w:bCs/>
          <w:color w:val="auto"/>
          <w:sz w:val="32"/>
          <w:szCs w:val="30"/>
          <w:highlight w:val="none"/>
        </w:rPr>
        <w:t>广东省国际工程咨询有限公司</w:t>
      </w:r>
    </w:p>
    <w:p>
      <w:pPr>
        <w:spacing w:line="360" w:lineRule="auto"/>
        <w:rPr>
          <w:rFonts w:ascii="宋体" w:hAnsi="宋体"/>
          <w:color w:val="auto"/>
          <w:sz w:val="32"/>
          <w:highlight w:val="none"/>
        </w:rPr>
      </w:pPr>
      <w:r>
        <w:rPr>
          <w:rFonts w:hint="eastAsia" w:ascii="宋体" w:hAnsi="宋体" w:cs="宋体"/>
          <w:b/>
          <w:bCs/>
          <w:color w:val="auto"/>
          <w:sz w:val="32"/>
          <w:szCs w:val="30"/>
          <w:highlight w:val="none"/>
          <w:lang w:val="zh-CN"/>
        </w:rPr>
        <w:t>日期：</w:t>
      </w:r>
      <w:r>
        <w:rPr>
          <w:rFonts w:hint="eastAsia" w:ascii="宋体" w:hAnsi="宋体" w:cs="宋体"/>
          <w:b/>
          <w:bCs/>
          <w:color w:val="auto"/>
          <w:sz w:val="32"/>
          <w:szCs w:val="30"/>
          <w:highlight w:val="none"/>
          <w:u w:val="single"/>
          <w:lang w:val="zh-CN"/>
        </w:rPr>
        <w:t>202</w:t>
      </w:r>
      <w:r>
        <w:rPr>
          <w:rFonts w:hint="eastAsia" w:ascii="宋体" w:hAnsi="宋体" w:cs="宋体"/>
          <w:b/>
          <w:bCs/>
          <w:color w:val="auto"/>
          <w:sz w:val="32"/>
          <w:szCs w:val="30"/>
          <w:highlight w:val="none"/>
          <w:u w:val="single"/>
        </w:rPr>
        <w:t>3</w:t>
      </w:r>
      <w:r>
        <w:rPr>
          <w:rFonts w:hint="eastAsia" w:ascii="宋体" w:hAnsi="宋体" w:cs="宋体"/>
          <w:b/>
          <w:bCs/>
          <w:color w:val="auto"/>
          <w:sz w:val="32"/>
          <w:szCs w:val="30"/>
          <w:highlight w:val="none"/>
          <w:lang w:val="zh-CN"/>
        </w:rPr>
        <w:t>年</w:t>
      </w:r>
      <w:r>
        <w:rPr>
          <w:rFonts w:hint="eastAsia" w:ascii="宋体" w:hAnsi="宋体" w:cs="宋体"/>
          <w:b/>
          <w:bCs/>
          <w:color w:val="auto"/>
          <w:sz w:val="32"/>
          <w:szCs w:val="30"/>
          <w:highlight w:val="none"/>
          <w:u w:val="single"/>
        </w:rPr>
        <w:t>7</w:t>
      </w:r>
      <w:r>
        <w:rPr>
          <w:rFonts w:hint="eastAsia" w:ascii="宋体" w:hAnsi="宋体" w:cs="宋体"/>
          <w:b/>
          <w:bCs/>
          <w:color w:val="auto"/>
          <w:sz w:val="32"/>
          <w:szCs w:val="30"/>
          <w:highlight w:val="none"/>
          <w:lang w:val="zh-CN"/>
        </w:rPr>
        <w:t>月</w:t>
      </w:r>
    </w:p>
    <w:p>
      <w:pPr>
        <w:spacing w:line="360" w:lineRule="auto"/>
        <w:ind w:firstLine="960" w:firstLineChars="300"/>
        <w:rPr>
          <w:rStyle w:val="84"/>
          <w:rFonts w:ascii="宋体" w:hAnsi="宋体"/>
          <w:color w:val="auto"/>
          <w:sz w:val="32"/>
          <w:highlight w:val="none"/>
        </w:rPr>
      </w:pPr>
    </w:p>
    <w:p>
      <w:pPr>
        <w:spacing w:line="360" w:lineRule="auto"/>
        <w:ind w:firstLine="632" w:firstLineChars="300"/>
        <w:jc w:val="center"/>
        <w:rPr>
          <w:rStyle w:val="29"/>
          <w:rFonts w:ascii="宋体" w:hAnsi="宋体" w:eastAsia="宋体" w:cs="微软雅黑"/>
          <w:b/>
          <w:bCs/>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8" w:right="1701" w:bottom="1418" w:left="1701" w:header="851" w:footer="907" w:gutter="0"/>
          <w:pgNumType w:start="0"/>
          <w:cols w:space="720" w:num="1"/>
          <w:titlePg/>
          <w:docGrid w:type="lines" w:linePitch="312" w:charSpace="0"/>
        </w:sectPr>
      </w:pPr>
    </w:p>
    <w:p>
      <w:pPr>
        <w:spacing w:line="360" w:lineRule="auto"/>
        <w:ind w:firstLine="632" w:firstLineChars="300"/>
        <w:jc w:val="center"/>
        <w:rPr>
          <w:rStyle w:val="29"/>
          <w:rFonts w:ascii="宋体" w:hAnsi="宋体" w:eastAsia="宋体" w:cs="微软雅黑"/>
          <w:b/>
          <w:bCs/>
          <w:color w:val="auto"/>
          <w:highlight w:val="none"/>
        </w:rPr>
      </w:pPr>
    </w:p>
    <w:p>
      <w:pPr>
        <w:spacing w:line="480" w:lineRule="auto"/>
        <w:jc w:val="center"/>
        <w:rPr>
          <w:rStyle w:val="29"/>
          <w:rFonts w:ascii="宋体" w:hAnsi="宋体" w:eastAsia="宋体" w:cs="宋体"/>
          <w:b/>
          <w:bCs/>
          <w:color w:val="auto"/>
          <w:sz w:val="28"/>
          <w:szCs w:val="28"/>
          <w:highlight w:val="none"/>
        </w:rPr>
      </w:pPr>
      <w:r>
        <w:rPr>
          <w:rStyle w:val="29"/>
          <w:rFonts w:ascii="宋体" w:hAnsi="宋体" w:eastAsia="宋体" w:cs="宋体"/>
          <w:b/>
          <w:bCs/>
          <w:color w:val="auto"/>
          <w:sz w:val="28"/>
          <w:szCs w:val="28"/>
          <w:highlight w:val="none"/>
        </w:rPr>
        <w:t>目录</w:t>
      </w:r>
    </w:p>
    <w:p>
      <w:pPr>
        <w:pStyle w:val="17"/>
        <w:tabs>
          <w:tab w:val="right" w:leader="dot" w:pos="9060"/>
        </w:tabs>
        <w:spacing w:line="480" w:lineRule="auto"/>
        <w:rPr>
          <w:rFonts w:ascii="宋体" w:hAnsi="宋体"/>
          <w:color w:val="auto"/>
          <w:highlight w:val="none"/>
        </w:rPr>
      </w:pPr>
      <w:r>
        <w:rPr>
          <w:rFonts w:ascii="宋体" w:hAnsi="宋体"/>
          <w:color w:val="auto"/>
          <w:sz w:val="32"/>
          <w:highlight w:val="none"/>
        </w:rPr>
        <w:fldChar w:fldCharType="begin"/>
      </w:r>
      <w:r>
        <w:rPr>
          <w:rFonts w:ascii="宋体" w:hAnsi="宋体"/>
          <w:color w:val="auto"/>
          <w:sz w:val="32"/>
          <w:highlight w:val="none"/>
        </w:rPr>
        <w:instrText xml:space="preserve"> TOC \o "1-3" \h \z \u </w:instrText>
      </w:r>
      <w:r>
        <w:rPr>
          <w:rFonts w:ascii="宋体" w:hAnsi="宋体"/>
          <w:color w:val="auto"/>
          <w:sz w:val="32"/>
          <w:highlight w:val="none"/>
        </w:rPr>
        <w:fldChar w:fldCharType="separate"/>
      </w:r>
      <w:r>
        <w:rPr>
          <w:color w:val="auto"/>
          <w:highlight w:val="none"/>
        </w:rPr>
        <w:fldChar w:fldCharType="begin"/>
      </w:r>
      <w:r>
        <w:rPr>
          <w:color w:val="auto"/>
          <w:highlight w:val="none"/>
        </w:rPr>
        <w:instrText xml:space="preserve"> HYPERLINK \l "_Toc105014619" </w:instrText>
      </w:r>
      <w:r>
        <w:rPr>
          <w:color w:val="auto"/>
          <w:highlight w:val="none"/>
        </w:rPr>
        <w:fldChar w:fldCharType="separate"/>
      </w:r>
      <w:r>
        <w:rPr>
          <w:rStyle w:val="29"/>
          <w:rFonts w:hint="eastAsia" w:ascii="宋体" w:hAnsi="宋体" w:eastAsia="宋体"/>
          <w:color w:val="auto"/>
          <w:highlight w:val="none"/>
        </w:rPr>
        <w:t>第一章投标须知</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_Toc105014619 \h </w:instrText>
      </w:r>
      <w:r>
        <w:rPr>
          <w:rFonts w:ascii="宋体" w:hAnsi="宋体"/>
          <w:color w:val="auto"/>
          <w:highlight w:val="none"/>
        </w:rPr>
        <w:fldChar w:fldCharType="separate"/>
      </w:r>
      <w:r>
        <w:rPr>
          <w:rFonts w:ascii="宋体" w:hAnsi="宋体"/>
          <w:color w:val="auto"/>
          <w:highlight w:val="none"/>
        </w:rPr>
        <w:t>2</w:t>
      </w:r>
      <w:r>
        <w:rPr>
          <w:rFonts w:ascii="宋体" w:hAnsi="宋体"/>
          <w:color w:val="auto"/>
          <w:highlight w:val="none"/>
        </w:rPr>
        <w:fldChar w:fldCharType="end"/>
      </w:r>
      <w:r>
        <w:rPr>
          <w:rFonts w:ascii="宋体" w:hAnsi="宋体"/>
          <w:color w:val="auto"/>
          <w:highlight w:val="none"/>
        </w:rPr>
        <w:fldChar w:fldCharType="end"/>
      </w:r>
    </w:p>
    <w:p>
      <w:pPr>
        <w:pStyle w:val="18"/>
        <w:tabs>
          <w:tab w:val="right" w:leader="dot" w:pos="9060"/>
        </w:tabs>
        <w:spacing w:line="480" w:lineRule="auto"/>
        <w:rPr>
          <w:rFonts w:ascii="宋体" w:hAnsi="宋体"/>
          <w:color w:val="auto"/>
          <w:highlight w:val="none"/>
        </w:rPr>
      </w:pPr>
      <w:r>
        <w:rPr>
          <w:color w:val="auto"/>
          <w:highlight w:val="none"/>
        </w:rPr>
        <w:fldChar w:fldCharType="begin"/>
      </w:r>
      <w:r>
        <w:rPr>
          <w:color w:val="auto"/>
          <w:highlight w:val="none"/>
        </w:rPr>
        <w:instrText xml:space="preserve"> HYPERLINK \l "_Toc105014620" </w:instrText>
      </w:r>
      <w:r>
        <w:rPr>
          <w:color w:val="auto"/>
          <w:highlight w:val="none"/>
        </w:rPr>
        <w:fldChar w:fldCharType="separate"/>
      </w:r>
      <w:r>
        <w:rPr>
          <w:rStyle w:val="29"/>
          <w:rFonts w:hint="eastAsia" w:ascii="宋体" w:hAnsi="宋体" w:eastAsia="宋体"/>
          <w:b/>
          <w:color w:val="auto"/>
          <w:highlight w:val="none"/>
        </w:rPr>
        <w:t>一、投标须知前附表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_Toc105014620 \h </w:instrText>
      </w:r>
      <w:r>
        <w:rPr>
          <w:rFonts w:ascii="宋体" w:hAnsi="宋体"/>
          <w:color w:val="auto"/>
          <w:highlight w:val="none"/>
        </w:rPr>
        <w:fldChar w:fldCharType="separate"/>
      </w:r>
      <w:r>
        <w:rPr>
          <w:rFonts w:ascii="宋体" w:hAnsi="宋体"/>
          <w:color w:val="auto"/>
          <w:highlight w:val="none"/>
        </w:rPr>
        <w:t>2</w:t>
      </w:r>
      <w:r>
        <w:rPr>
          <w:rFonts w:ascii="宋体" w:hAnsi="宋体"/>
          <w:color w:val="auto"/>
          <w:highlight w:val="none"/>
        </w:rPr>
        <w:fldChar w:fldCharType="end"/>
      </w:r>
      <w:r>
        <w:rPr>
          <w:rFonts w:ascii="宋体" w:hAnsi="宋体"/>
          <w:color w:val="auto"/>
          <w:highlight w:val="none"/>
        </w:rPr>
        <w:fldChar w:fldCharType="end"/>
      </w:r>
    </w:p>
    <w:p>
      <w:pPr>
        <w:pStyle w:val="18"/>
        <w:tabs>
          <w:tab w:val="right" w:leader="dot" w:pos="9060"/>
        </w:tabs>
        <w:spacing w:line="480" w:lineRule="auto"/>
        <w:rPr>
          <w:rFonts w:ascii="宋体" w:hAnsi="宋体"/>
          <w:color w:val="auto"/>
          <w:highlight w:val="none"/>
        </w:rPr>
      </w:pPr>
      <w:r>
        <w:rPr>
          <w:color w:val="auto"/>
          <w:highlight w:val="none"/>
        </w:rPr>
        <w:fldChar w:fldCharType="begin"/>
      </w:r>
      <w:r>
        <w:rPr>
          <w:color w:val="auto"/>
          <w:highlight w:val="none"/>
        </w:rPr>
        <w:instrText xml:space="preserve"> HYPERLINK \l "_Toc105014622" </w:instrText>
      </w:r>
      <w:r>
        <w:rPr>
          <w:color w:val="auto"/>
          <w:highlight w:val="none"/>
        </w:rPr>
        <w:fldChar w:fldCharType="separate"/>
      </w:r>
      <w:r>
        <w:rPr>
          <w:rStyle w:val="29"/>
          <w:rFonts w:hint="eastAsia" w:ascii="宋体" w:hAnsi="宋体" w:eastAsia="宋体"/>
          <w:b/>
          <w:color w:val="auto"/>
          <w:highlight w:val="none"/>
        </w:rPr>
        <w:t>二、投标须知修改表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_Toc105014622 \h </w:instrText>
      </w:r>
      <w:r>
        <w:rPr>
          <w:rFonts w:ascii="宋体" w:hAnsi="宋体"/>
          <w:color w:val="auto"/>
          <w:highlight w:val="none"/>
        </w:rPr>
        <w:fldChar w:fldCharType="separate"/>
      </w:r>
      <w:r>
        <w:rPr>
          <w:rFonts w:ascii="宋体" w:hAnsi="宋体"/>
          <w:color w:val="auto"/>
          <w:highlight w:val="none"/>
        </w:rPr>
        <w:t>7</w:t>
      </w:r>
      <w:r>
        <w:rPr>
          <w:rFonts w:ascii="宋体" w:hAnsi="宋体"/>
          <w:color w:val="auto"/>
          <w:highlight w:val="none"/>
        </w:rPr>
        <w:fldChar w:fldCharType="end"/>
      </w:r>
      <w:r>
        <w:rPr>
          <w:rFonts w:ascii="宋体" w:hAnsi="宋体"/>
          <w:color w:val="auto"/>
          <w:highlight w:val="none"/>
        </w:rPr>
        <w:fldChar w:fldCharType="end"/>
      </w:r>
    </w:p>
    <w:p>
      <w:pPr>
        <w:pStyle w:val="18"/>
        <w:tabs>
          <w:tab w:val="right" w:leader="dot" w:pos="9060"/>
        </w:tabs>
        <w:spacing w:line="480" w:lineRule="auto"/>
        <w:rPr>
          <w:rFonts w:ascii="宋体" w:hAnsi="宋体"/>
          <w:color w:val="auto"/>
          <w:highlight w:val="none"/>
        </w:rPr>
      </w:pPr>
      <w:r>
        <w:rPr>
          <w:color w:val="auto"/>
          <w:highlight w:val="none"/>
        </w:rPr>
        <w:fldChar w:fldCharType="begin"/>
      </w:r>
      <w:r>
        <w:rPr>
          <w:color w:val="auto"/>
          <w:highlight w:val="none"/>
        </w:rPr>
        <w:instrText xml:space="preserve"> HYPERLINK \l "_Toc105014623" </w:instrText>
      </w:r>
      <w:r>
        <w:rPr>
          <w:color w:val="auto"/>
          <w:highlight w:val="none"/>
        </w:rPr>
        <w:fldChar w:fldCharType="separate"/>
      </w:r>
      <w:r>
        <w:rPr>
          <w:rStyle w:val="29"/>
          <w:rFonts w:hint="eastAsia" w:ascii="宋体" w:hAnsi="宋体" w:eastAsia="宋体"/>
          <w:b/>
          <w:color w:val="auto"/>
          <w:highlight w:val="none"/>
        </w:rPr>
        <w:t>三、投标须知通用条款</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_Toc105014623 \h </w:instrText>
      </w:r>
      <w:r>
        <w:rPr>
          <w:rFonts w:ascii="宋体" w:hAnsi="宋体"/>
          <w:color w:val="auto"/>
          <w:highlight w:val="none"/>
        </w:rPr>
        <w:fldChar w:fldCharType="separate"/>
      </w:r>
      <w:r>
        <w:rPr>
          <w:rFonts w:ascii="宋体" w:hAnsi="宋体"/>
          <w:color w:val="auto"/>
          <w:highlight w:val="none"/>
        </w:rPr>
        <w:t>17</w:t>
      </w:r>
      <w:r>
        <w:rPr>
          <w:rFonts w:ascii="宋体" w:hAnsi="宋体"/>
          <w:color w:val="auto"/>
          <w:highlight w:val="none"/>
        </w:rPr>
        <w:fldChar w:fldCharType="end"/>
      </w:r>
      <w:r>
        <w:rPr>
          <w:rFonts w:ascii="宋体" w:hAnsi="宋体"/>
          <w:color w:val="auto"/>
          <w:highlight w:val="none"/>
        </w:rPr>
        <w:fldChar w:fldCharType="end"/>
      </w:r>
    </w:p>
    <w:p>
      <w:pPr>
        <w:pStyle w:val="17"/>
        <w:tabs>
          <w:tab w:val="right" w:leader="dot" w:pos="9060"/>
        </w:tabs>
        <w:spacing w:line="480" w:lineRule="auto"/>
        <w:rPr>
          <w:rFonts w:ascii="宋体" w:hAnsi="宋体"/>
          <w:color w:val="auto"/>
          <w:highlight w:val="none"/>
        </w:rPr>
      </w:pPr>
      <w:r>
        <w:rPr>
          <w:color w:val="auto"/>
          <w:highlight w:val="none"/>
        </w:rPr>
        <w:fldChar w:fldCharType="begin"/>
      </w:r>
      <w:r>
        <w:rPr>
          <w:color w:val="auto"/>
          <w:highlight w:val="none"/>
        </w:rPr>
        <w:instrText xml:space="preserve"> HYPERLINK \l "_Toc105014629" </w:instrText>
      </w:r>
      <w:r>
        <w:rPr>
          <w:color w:val="auto"/>
          <w:highlight w:val="none"/>
        </w:rPr>
        <w:fldChar w:fldCharType="separate"/>
      </w:r>
      <w:r>
        <w:rPr>
          <w:rStyle w:val="29"/>
          <w:rFonts w:hint="eastAsia" w:ascii="宋体" w:hAnsi="宋体" w:eastAsia="宋体"/>
          <w:color w:val="auto"/>
          <w:highlight w:val="none"/>
        </w:rPr>
        <w:t>第二章开标、评标及定标办法</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_Toc105014629 \h </w:instrText>
      </w:r>
      <w:r>
        <w:rPr>
          <w:rFonts w:ascii="宋体" w:hAnsi="宋体"/>
          <w:color w:val="auto"/>
          <w:highlight w:val="none"/>
        </w:rPr>
        <w:fldChar w:fldCharType="separate"/>
      </w:r>
      <w:r>
        <w:rPr>
          <w:rFonts w:ascii="宋体" w:hAnsi="宋体"/>
          <w:color w:val="auto"/>
          <w:highlight w:val="none"/>
        </w:rPr>
        <w:t>27</w:t>
      </w:r>
      <w:r>
        <w:rPr>
          <w:rFonts w:ascii="宋体" w:hAnsi="宋体"/>
          <w:color w:val="auto"/>
          <w:highlight w:val="none"/>
        </w:rPr>
        <w:fldChar w:fldCharType="end"/>
      </w:r>
      <w:r>
        <w:rPr>
          <w:rFonts w:ascii="宋体" w:hAnsi="宋体"/>
          <w:color w:val="auto"/>
          <w:highlight w:val="none"/>
        </w:rPr>
        <w:fldChar w:fldCharType="end"/>
      </w:r>
    </w:p>
    <w:p>
      <w:pPr>
        <w:pStyle w:val="18"/>
        <w:tabs>
          <w:tab w:val="right" w:leader="dot" w:pos="9060"/>
        </w:tabs>
        <w:spacing w:line="480" w:lineRule="auto"/>
        <w:rPr>
          <w:rFonts w:ascii="宋体" w:hAnsi="宋体"/>
          <w:color w:val="auto"/>
          <w:highlight w:val="none"/>
        </w:rPr>
      </w:pPr>
      <w:r>
        <w:rPr>
          <w:color w:val="auto"/>
          <w:highlight w:val="none"/>
        </w:rPr>
        <w:fldChar w:fldCharType="begin"/>
      </w:r>
      <w:r>
        <w:rPr>
          <w:color w:val="auto"/>
          <w:highlight w:val="none"/>
        </w:rPr>
        <w:instrText xml:space="preserve"> HYPERLINK \l "_Toc105014630" </w:instrText>
      </w:r>
      <w:r>
        <w:rPr>
          <w:color w:val="auto"/>
          <w:highlight w:val="none"/>
        </w:rPr>
        <w:fldChar w:fldCharType="separate"/>
      </w:r>
      <w:r>
        <w:rPr>
          <w:rStyle w:val="29"/>
          <w:rFonts w:hint="eastAsia" w:ascii="宋体" w:hAnsi="宋体" w:eastAsia="宋体"/>
          <w:b/>
          <w:color w:val="auto"/>
          <w:highlight w:val="none"/>
        </w:rPr>
        <w:t>一、开标、评标及定标办法修改表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_Toc105014630 \h </w:instrText>
      </w:r>
      <w:r>
        <w:rPr>
          <w:rFonts w:ascii="宋体" w:hAnsi="宋体"/>
          <w:color w:val="auto"/>
          <w:highlight w:val="none"/>
        </w:rPr>
        <w:fldChar w:fldCharType="separate"/>
      </w:r>
      <w:r>
        <w:rPr>
          <w:rFonts w:ascii="宋体" w:hAnsi="宋体"/>
          <w:color w:val="auto"/>
          <w:highlight w:val="none"/>
        </w:rPr>
        <w:t>27</w:t>
      </w:r>
      <w:r>
        <w:rPr>
          <w:rFonts w:ascii="宋体" w:hAnsi="宋体"/>
          <w:color w:val="auto"/>
          <w:highlight w:val="none"/>
        </w:rPr>
        <w:fldChar w:fldCharType="end"/>
      </w:r>
      <w:r>
        <w:rPr>
          <w:rFonts w:ascii="宋体" w:hAnsi="宋体"/>
          <w:color w:val="auto"/>
          <w:highlight w:val="none"/>
        </w:rPr>
        <w:fldChar w:fldCharType="end"/>
      </w:r>
    </w:p>
    <w:p>
      <w:pPr>
        <w:pStyle w:val="18"/>
        <w:tabs>
          <w:tab w:val="right" w:leader="dot" w:pos="9060"/>
        </w:tabs>
        <w:spacing w:line="480" w:lineRule="auto"/>
        <w:rPr>
          <w:rFonts w:ascii="宋体" w:hAnsi="宋体"/>
          <w:color w:val="auto"/>
          <w:highlight w:val="none"/>
        </w:rPr>
      </w:pPr>
      <w:r>
        <w:rPr>
          <w:color w:val="auto"/>
          <w:highlight w:val="none"/>
        </w:rPr>
        <w:fldChar w:fldCharType="begin"/>
      </w:r>
      <w:r>
        <w:rPr>
          <w:color w:val="auto"/>
          <w:highlight w:val="none"/>
        </w:rPr>
        <w:instrText xml:space="preserve"> HYPERLINK \l "_Toc105014631" </w:instrText>
      </w:r>
      <w:r>
        <w:rPr>
          <w:color w:val="auto"/>
          <w:highlight w:val="none"/>
        </w:rPr>
        <w:fldChar w:fldCharType="separate"/>
      </w:r>
      <w:r>
        <w:rPr>
          <w:rStyle w:val="29"/>
          <w:rFonts w:hint="eastAsia" w:ascii="宋体" w:hAnsi="宋体" w:eastAsia="宋体"/>
          <w:b/>
          <w:color w:val="auto"/>
          <w:highlight w:val="none"/>
        </w:rPr>
        <w:t>二、开标、评标及定标办法通用条款</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_Toc105014631 \h </w:instrText>
      </w:r>
      <w:r>
        <w:rPr>
          <w:rFonts w:ascii="宋体" w:hAnsi="宋体"/>
          <w:color w:val="auto"/>
          <w:highlight w:val="none"/>
        </w:rPr>
        <w:fldChar w:fldCharType="separate"/>
      </w:r>
      <w:r>
        <w:rPr>
          <w:rFonts w:ascii="宋体" w:hAnsi="宋体"/>
          <w:color w:val="auto"/>
          <w:highlight w:val="none"/>
        </w:rPr>
        <w:t>34</w:t>
      </w:r>
      <w:r>
        <w:rPr>
          <w:rFonts w:ascii="宋体" w:hAnsi="宋体"/>
          <w:color w:val="auto"/>
          <w:highlight w:val="none"/>
        </w:rPr>
        <w:fldChar w:fldCharType="end"/>
      </w:r>
      <w:r>
        <w:rPr>
          <w:rFonts w:ascii="宋体" w:hAnsi="宋体"/>
          <w:color w:val="auto"/>
          <w:highlight w:val="none"/>
        </w:rPr>
        <w:fldChar w:fldCharType="end"/>
      </w:r>
    </w:p>
    <w:p>
      <w:pPr>
        <w:pStyle w:val="12"/>
        <w:tabs>
          <w:tab w:val="right" w:leader="dot" w:pos="9060"/>
        </w:tabs>
        <w:spacing w:line="480" w:lineRule="auto"/>
        <w:rPr>
          <w:rFonts w:ascii="宋体" w:hAnsi="宋体"/>
          <w:color w:val="auto"/>
          <w:highlight w:val="none"/>
        </w:rPr>
      </w:pPr>
      <w:r>
        <w:rPr>
          <w:color w:val="auto"/>
          <w:highlight w:val="none"/>
        </w:rPr>
        <w:fldChar w:fldCharType="begin"/>
      </w:r>
      <w:r>
        <w:rPr>
          <w:color w:val="auto"/>
          <w:highlight w:val="none"/>
        </w:rPr>
        <w:instrText xml:space="preserve"> HYPERLINK \l "_Toc105014634" </w:instrText>
      </w:r>
      <w:r>
        <w:rPr>
          <w:color w:val="auto"/>
          <w:highlight w:val="none"/>
        </w:rPr>
        <w:fldChar w:fldCharType="separate"/>
      </w:r>
      <w:r>
        <w:rPr>
          <w:rStyle w:val="29"/>
          <w:rFonts w:hint="eastAsia" w:ascii="宋体" w:hAnsi="宋体" w:eastAsia="宋体"/>
          <w:b/>
          <w:bCs/>
          <w:color w:val="auto"/>
          <w:highlight w:val="none"/>
        </w:rPr>
        <w:t>可选办法七（适合综合评分法四，技术标与经济标同时开启）</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_Toc105014631 \h </w:instrText>
      </w:r>
      <w:r>
        <w:rPr>
          <w:rFonts w:ascii="宋体" w:hAnsi="宋体"/>
          <w:color w:val="auto"/>
          <w:highlight w:val="none"/>
        </w:rPr>
        <w:fldChar w:fldCharType="separate"/>
      </w:r>
      <w:r>
        <w:rPr>
          <w:rFonts w:ascii="宋体" w:hAnsi="宋体"/>
          <w:color w:val="auto"/>
          <w:highlight w:val="none"/>
        </w:rPr>
        <w:t>34</w:t>
      </w:r>
      <w:r>
        <w:rPr>
          <w:rFonts w:ascii="宋体" w:hAnsi="宋体"/>
          <w:color w:val="auto"/>
          <w:highlight w:val="none"/>
        </w:rPr>
        <w:fldChar w:fldCharType="end"/>
      </w:r>
      <w:r>
        <w:rPr>
          <w:rFonts w:ascii="宋体" w:hAnsi="宋体"/>
          <w:color w:val="auto"/>
          <w:highlight w:val="none"/>
        </w:rPr>
        <w:fldChar w:fldCharType="end"/>
      </w:r>
    </w:p>
    <w:p>
      <w:pPr>
        <w:pStyle w:val="17"/>
        <w:tabs>
          <w:tab w:val="right" w:leader="dot" w:pos="9060"/>
        </w:tabs>
        <w:spacing w:line="480" w:lineRule="auto"/>
        <w:rPr>
          <w:rFonts w:ascii="宋体" w:hAnsi="宋体"/>
          <w:color w:val="auto"/>
          <w:highlight w:val="none"/>
        </w:rPr>
      </w:pPr>
      <w:r>
        <w:rPr>
          <w:color w:val="auto"/>
          <w:highlight w:val="none"/>
        </w:rPr>
        <w:fldChar w:fldCharType="begin"/>
      </w:r>
      <w:r>
        <w:rPr>
          <w:color w:val="auto"/>
          <w:highlight w:val="none"/>
        </w:rPr>
        <w:instrText xml:space="preserve"> HYPERLINK \l "_Toc105014636" </w:instrText>
      </w:r>
      <w:r>
        <w:rPr>
          <w:color w:val="auto"/>
          <w:highlight w:val="none"/>
        </w:rPr>
        <w:fldChar w:fldCharType="separate"/>
      </w:r>
      <w:r>
        <w:rPr>
          <w:rStyle w:val="29"/>
          <w:rFonts w:hint="eastAsia" w:ascii="宋体" w:hAnsi="宋体" w:eastAsia="宋体"/>
          <w:color w:val="auto"/>
          <w:highlight w:val="none"/>
        </w:rPr>
        <w:t>第三章合同条款</w:t>
      </w:r>
      <w:r>
        <w:rPr>
          <w:rFonts w:ascii="宋体" w:hAnsi="宋体"/>
          <w:color w:val="auto"/>
          <w:highlight w:val="none"/>
        </w:rPr>
        <w:tab/>
      </w:r>
      <w:r>
        <w:rPr>
          <w:rFonts w:hint="eastAsia" w:ascii="宋体" w:hAnsi="宋体"/>
          <w:color w:val="auto"/>
          <w:highlight w:val="none"/>
          <w:lang w:val="en-US" w:eastAsia="zh-CN"/>
        </w:rPr>
        <w:t>.</w:t>
      </w:r>
      <w:r>
        <w:rPr>
          <w:rFonts w:hint="eastAsia" w:ascii="宋体" w:hAnsi="宋体"/>
          <w:color w:val="auto"/>
          <w:highlight w:val="none"/>
        </w:rPr>
        <w:t>52</w:t>
      </w:r>
      <w:r>
        <w:rPr>
          <w:rFonts w:hint="eastAsia" w:ascii="宋体" w:hAnsi="宋体"/>
          <w:color w:val="auto"/>
          <w:highlight w:val="none"/>
        </w:rPr>
        <w:fldChar w:fldCharType="end"/>
      </w:r>
    </w:p>
    <w:p>
      <w:pPr>
        <w:pStyle w:val="17"/>
        <w:tabs>
          <w:tab w:val="right" w:leader="dot" w:pos="9060"/>
        </w:tabs>
        <w:spacing w:line="480" w:lineRule="auto"/>
        <w:rPr>
          <w:rFonts w:ascii="宋体" w:hAnsi="宋体"/>
          <w:color w:val="auto"/>
          <w:highlight w:val="none"/>
        </w:rPr>
      </w:pPr>
      <w:r>
        <w:rPr>
          <w:color w:val="auto"/>
          <w:highlight w:val="none"/>
        </w:rPr>
        <w:fldChar w:fldCharType="begin"/>
      </w:r>
      <w:r>
        <w:rPr>
          <w:color w:val="auto"/>
          <w:highlight w:val="none"/>
        </w:rPr>
        <w:instrText xml:space="preserve"> HYPERLINK \l "_Toc105014637" </w:instrText>
      </w:r>
      <w:r>
        <w:rPr>
          <w:color w:val="auto"/>
          <w:highlight w:val="none"/>
        </w:rPr>
        <w:fldChar w:fldCharType="separate"/>
      </w:r>
      <w:r>
        <w:rPr>
          <w:rStyle w:val="29"/>
          <w:rFonts w:hint="eastAsia" w:ascii="宋体" w:hAnsi="宋体" w:eastAsia="宋体"/>
          <w:color w:val="auto"/>
          <w:highlight w:val="none"/>
        </w:rPr>
        <w:t>第四章投标文件格式</w:t>
      </w:r>
      <w:r>
        <w:rPr>
          <w:rFonts w:ascii="宋体" w:hAnsi="宋体"/>
          <w:color w:val="auto"/>
          <w:highlight w:val="none"/>
        </w:rPr>
        <w:tab/>
      </w:r>
      <w:r>
        <w:rPr>
          <w:rFonts w:hint="eastAsia" w:ascii="宋体" w:hAnsi="宋体"/>
          <w:color w:val="auto"/>
          <w:highlight w:val="none"/>
        </w:rPr>
        <w:t>53</w:t>
      </w:r>
      <w:r>
        <w:rPr>
          <w:rFonts w:hint="eastAsia" w:ascii="宋体" w:hAnsi="宋体"/>
          <w:color w:val="auto"/>
          <w:highlight w:val="none"/>
        </w:rPr>
        <w:fldChar w:fldCharType="end"/>
      </w:r>
    </w:p>
    <w:p>
      <w:pPr>
        <w:pStyle w:val="17"/>
        <w:tabs>
          <w:tab w:val="right" w:leader="dot" w:pos="9060"/>
        </w:tabs>
        <w:spacing w:line="480" w:lineRule="auto"/>
        <w:rPr>
          <w:rFonts w:ascii="宋体" w:hAnsi="宋体"/>
          <w:color w:val="auto"/>
          <w:highlight w:val="none"/>
        </w:rPr>
      </w:pPr>
      <w:r>
        <w:rPr>
          <w:color w:val="auto"/>
          <w:highlight w:val="none"/>
        </w:rPr>
        <w:fldChar w:fldCharType="begin"/>
      </w:r>
      <w:r>
        <w:rPr>
          <w:color w:val="auto"/>
          <w:highlight w:val="none"/>
        </w:rPr>
        <w:instrText xml:space="preserve"> HYPERLINK \l "_Toc105014638" </w:instrText>
      </w:r>
      <w:r>
        <w:rPr>
          <w:color w:val="auto"/>
          <w:highlight w:val="none"/>
        </w:rPr>
        <w:fldChar w:fldCharType="separate"/>
      </w:r>
      <w:r>
        <w:rPr>
          <w:rStyle w:val="29"/>
          <w:rFonts w:hint="eastAsia" w:ascii="宋体" w:hAnsi="宋体" w:eastAsia="宋体"/>
          <w:color w:val="auto"/>
          <w:highlight w:val="none"/>
        </w:rPr>
        <w:t>第五章技术条件（工程建设标准）</w:t>
      </w:r>
      <w:r>
        <w:rPr>
          <w:rFonts w:ascii="宋体" w:hAnsi="宋体"/>
          <w:color w:val="auto"/>
          <w:highlight w:val="none"/>
        </w:rPr>
        <w:tab/>
      </w:r>
      <w:r>
        <w:rPr>
          <w:rFonts w:hint="eastAsia" w:ascii="宋体" w:hAnsi="宋体"/>
          <w:color w:val="auto"/>
          <w:highlight w:val="none"/>
        </w:rPr>
        <w:t>65</w:t>
      </w:r>
      <w:r>
        <w:rPr>
          <w:rFonts w:hint="eastAsia" w:ascii="宋体" w:hAnsi="宋体"/>
          <w:color w:val="auto"/>
          <w:highlight w:val="none"/>
        </w:rPr>
        <w:fldChar w:fldCharType="end"/>
      </w:r>
    </w:p>
    <w:p>
      <w:pPr>
        <w:pStyle w:val="17"/>
        <w:tabs>
          <w:tab w:val="right" w:leader="dot" w:pos="9060"/>
        </w:tabs>
        <w:spacing w:line="480" w:lineRule="auto"/>
        <w:rPr>
          <w:rFonts w:ascii="宋体" w:hAnsi="宋体"/>
          <w:color w:val="auto"/>
          <w:highlight w:val="none"/>
        </w:rPr>
      </w:pPr>
      <w:r>
        <w:rPr>
          <w:color w:val="auto"/>
          <w:highlight w:val="none"/>
        </w:rPr>
        <w:fldChar w:fldCharType="begin"/>
      </w:r>
      <w:r>
        <w:rPr>
          <w:color w:val="auto"/>
          <w:highlight w:val="none"/>
        </w:rPr>
        <w:instrText xml:space="preserve"> HYPERLINK \l "_Toc105014639" </w:instrText>
      </w:r>
      <w:r>
        <w:rPr>
          <w:color w:val="auto"/>
          <w:highlight w:val="none"/>
        </w:rPr>
        <w:fldChar w:fldCharType="separate"/>
      </w:r>
      <w:r>
        <w:rPr>
          <w:rStyle w:val="29"/>
          <w:rFonts w:hint="eastAsia" w:ascii="宋体" w:hAnsi="宋体" w:eastAsia="宋体"/>
          <w:color w:val="auto"/>
          <w:highlight w:val="none"/>
        </w:rPr>
        <w:t>第六章图纸及勘察资料</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_Toc105014639 \h </w:instrText>
      </w:r>
      <w:r>
        <w:rPr>
          <w:rFonts w:ascii="宋体" w:hAnsi="宋体"/>
          <w:color w:val="auto"/>
          <w:highlight w:val="none"/>
        </w:rPr>
        <w:fldChar w:fldCharType="separate"/>
      </w:r>
      <w:r>
        <w:rPr>
          <w:rFonts w:ascii="宋体" w:hAnsi="宋体"/>
          <w:color w:val="auto"/>
          <w:highlight w:val="none"/>
        </w:rPr>
        <w:t>60</w:t>
      </w:r>
      <w:r>
        <w:rPr>
          <w:rFonts w:ascii="宋体" w:hAnsi="宋体"/>
          <w:color w:val="auto"/>
          <w:highlight w:val="none"/>
        </w:rPr>
        <w:fldChar w:fldCharType="end"/>
      </w:r>
      <w:r>
        <w:rPr>
          <w:rFonts w:ascii="宋体" w:hAnsi="宋体"/>
          <w:color w:val="auto"/>
          <w:highlight w:val="none"/>
        </w:rPr>
        <w:fldChar w:fldCharType="end"/>
      </w:r>
    </w:p>
    <w:p>
      <w:pPr>
        <w:pStyle w:val="17"/>
        <w:tabs>
          <w:tab w:val="right" w:leader="dot" w:pos="9060"/>
        </w:tabs>
        <w:spacing w:line="480" w:lineRule="auto"/>
        <w:rPr>
          <w:rFonts w:ascii="宋体" w:hAnsi="宋体"/>
          <w:color w:val="auto"/>
          <w:highlight w:val="none"/>
        </w:rPr>
      </w:pPr>
      <w:r>
        <w:rPr>
          <w:color w:val="auto"/>
          <w:highlight w:val="none"/>
        </w:rPr>
        <w:fldChar w:fldCharType="begin"/>
      </w:r>
      <w:r>
        <w:rPr>
          <w:color w:val="auto"/>
          <w:highlight w:val="none"/>
        </w:rPr>
        <w:instrText xml:space="preserve"> HYPERLINK \l "_Toc105014640" </w:instrText>
      </w:r>
      <w:r>
        <w:rPr>
          <w:color w:val="auto"/>
          <w:highlight w:val="none"/>
        </w:rPr>
        <w:fldChar w:fldCharType="separate"/>
      </w:r>
      <w:r>
        <w:rPr>
          <w:rStyle w:val="29"/>
          <w:rFonts w:hint="eastAsia" w:ascii="宋体" w:hAnsi="宋体" w:eastAsia="宋体"/>
          <w:color w:val="auto"/>
          <w:highlight w:val="none"/>
        </w:rPr>
        <w:t>第七章工程量清单</w:t>
      </w:r>
      <w:r>
        <w:rPr>
          <w:rFonts w:ascii="宋体" w:hAnsi="宋体"/>
          <w:color w:val="auto"/>
          <w:highlight w:val="none"/>
        </w:rPr>
        <w:tab/>
      </w:r>
      <w:r>
        <w:rPr>
          <w:rFonts w:hint="eastAsia" w:ascii="宋体" w:hAnsi="宋体"/>
          <w:color w:val="auto"/>
          <w:highlight w:val="none"/>
        </w:rPr>
        <w:t>67</w:t>
      </w:r>
      <w:r>
        <w:rPr>
          <w:rFonts w:hint="eastAsia" w:ascii="宋体" w:hAnsi="宋体"/>
          <w:color w:val="auto"/>
          <w:highlight w:val="none"/>
        </w:rPr>
        <w:fldChar w:fldCharType="end"/>
      </w:r>
    </w:p>
    <w:p>
      <w:pPr>
        <w:pStyle w:val="17"/>
        <w:tabs>
          <w:tab w:val="right" w:leader="dot" w:pos="9060"/>
        </w:tabs>
        <w:spacing w:line="480" w:lineRule="auto"/>
        <w:rPr>
          <w:color w:val="auto"/>
          <w:highlight w:val="none"/>
        </w:rPr>
      </w:pPr>
      <w:r>
        <w:rPr>
          <w:color w:val="auto"/>
          <w:highlight w:val="none"/>
        </w:rPr>
        <w:fldChar w:fldCharType="begin"/>
      </w:r>
      <w:r>
        <w:rPr>
          <w:color w:val="auto"/>
          <w:highlight w:val="none"/>
        </w:rPr>
        <w:instrText xml:space="preserve"> HYPERLINK \l "_Toc105014641" </w:instrText>
      </w:r>
      <w:r>
        <w:rPr>
          <w:color w:val="auto"/>
          <w:highlight w:val="none"/>
        </w:rPr>
        <w:fldChar w:fldCharType="separate"/>
      </w:r>
      <w:r>
        <w:rPr>
          <w:rStyle w:val="29"/>
          <w:rFonts w:hint="eastAsia" w:ascii="宋体" w:hAnsi="宋体" w:eastAsia="宋体"/>
          <w:color w:val="auto"/>
          <w:highlight w:val="none"/>
        </w:rPr>
        <w:t>第八章最高投标限价</w:t>
      </w:r>
      <w:r>
        <w:rPr>
          <w:rFonts w:ascii="宋体" w:hAnsi="宋体"/>
          <w:color w:val="auto"/>
          <w:highlight w:val="none"/>
        </w:rPr>
        <w:tab/>
      </w:r>
      <w:r>
        <w:rPr>
          <w:rFonts w:hint="eastAsia" w:ascii="宋体" w:hAnsi="宋体"/>
          <w:color w:val="auto"/>
          <w:highlight w:val="none"/>
        </w:rPr>
        <w:t>68</w:t>
      </w:r>
      <w:r>
        <w:rPr>
          <w:rFonts w:hint="eastAsia" w:ascii="宋体" w:hAnsi="宋体"/>
          <w:color w:val="auto"/>
          <w:highlight w:val="none"/>
        </w:rPr>
        <w:fldChar w:fldCharType="end"/>
      </w:r>
    </w:p>
    <w:p>
      <w:pPr>
        <w:pStyle w:val="136"/>
        <w:spacing w:line="480" w:lineRule="auto"/>
        <w:rPr>
          <w:rFonts w:ascii="宋体" w:hAnsi="宋体"/>
          <w:color w:val="auto"/>
          <w:highlight w:val="none"/>
        </w:rPr>
      </w:pPr>
      <w:r>
        <w:rPr>
          <w:rFonts w:ascii="宋体" w:hAnsi="宋体"/>
          <w:color w:val="auto"/>
          <w:sz w:val="32"/>
          <w:highlight w:val="none"/>
        </w:rPr>
        <w:fldChar w:fldCharType="end"/>
      </w:r>
    </w:p>
    <w:p>
      <w:pPr>
        <w:pStyle w:val="140"/>
        <w:spacing w:line="276" w:lineRule="auto"/>
        <w:outlineLvl w:val="0"/>
        <w:rPr>
          <w:rStyle w:val="84"/>
          <w:rFonts w:ascii="宋体" w:hAnsi="宋体"/>
          <w:bCs/>
          <w:color w:val="auto"/>
          <w:highlight w:val="none"/>
        </w:rPr>
      </w:pPr>
      <w:r>
        <w:rPr>
          <w:rStyle w:val="84"/>
          <w:rFonts w:ascii="宋体" w:hAnsi="宋体"/>
          <w:b w:val="0"/>
          <w:color w:val="auto"/>
          <w:highlight w:val="none"/>
        </w:rPr>
        <w:br w:type="page"/>
      </w:r>
      <w:bookmarkStart w:id="0" w:name="_Toc105014619"/>
      <w:r>
        <w:rPr>
          <w:rStyle w:val="84"/>
          <w:rFonts w:ascii="宋体" w:hAnsi="宋体"/>
          <w:bCs/>
          <w:color w:val="auto"/>
          <w:highlight w:val="none"/>
        </w:rPr>
        <w:t>第一章  投标须知</w:t>
      </w:r>
      <w:bookmarkEnd w:id="0"/>
    </w:p>
    <w:p>
      <w:pPr>
        <w:pStyle w:val="146"/>
        <w:spacing w:line="276" w:lineRule="auto"/>
        <w:outlineLvl w:val="1"/>
        <w:rPr>
          <w:rStyle w:val="84"/>
          <w:rFonts w:ascii="宋体" w:hAnsi="宋体"/>
          <w:b/>
          <w:color w:val="auto"/>
          <w:sz w:val="21"/>
          <w:szCs w:val="21"/>
          <w:highlight w:val="none"/>
        </w:rPr>
      </w:pPr>
      <w:bookmarkStart w:id="1" w:name="_Toc105014620"/>
      <w:r>
        <w:rPr>
          <w:rStyle w:val="84"/>
          <w:rFonts w:ascii="宋体" w:hAnsi="宋体"/>
          <w:b/>
          <w:color w:val="auto"/>
          <w:sz w:val="21"/>
          <w:szCs w:val="21"/>
          <w:highlight w:val="none"/>
        </w:rPr>
        <w:t>一、投标须知前附表</w:t>
      </w:r>
      <w:bookmarkEnd w:id="1"/>
    </w:p>
    <w:p>
      <w:pPr>
        <w:pStyle w:val="109"/>
        <w:spacing w:line="276" w:lineRule="auto"/>
        <w:ind w:firstLine="0"/>
        <w:rPr>
          <w:rStyle w:val="84"/>
          <w:rFonts w:ascii="宋体" w:hAnsi="宋体"/>
          <w:b/>
          <w:color w:val="auto"/>
          <w:szCs w:val="21"/>
          <w:highlight w:val="none"/>
        </w:rPr>
      </w:pPr>
      <w:r>
        <w:rPr>
          <w:rStyle w:val="84"/>
          <w:rFonts w:ascii="宋体" w:hAnsi="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4"/>
        <w:tblW w:w="876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33"/>
        <w:gridCol w:w="944"/>
        <w:gridCol w:w="1494"/>
        <w:gridCol w:w="568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b/>
                <w:color w:val="auto"/>
                <w:szCs w:val="21"/>
                <w:highlight w:val="none"/>
              </w:rPr>
            </w:pPr>
            <w:r>
              <w:rPr>
                <w:rStyle w:val="84"/>
                <w:rFonts w:ascii="宋体" w:hAnsi="宋体"/>
                <w:b/>
                <w:color w:val="auto"/>
                <w:szCs w:val="21"/>
                <w:highlight w:val="none"/>
              </w:rPr>
              <w:t>项目</w:t>
            </w:r>
          </w:p>
        </w:tc>
        <w:tc>
          <w:tcPr>
            <w:tcW w:w="944" w:type="dxa"/>
            <w:vAlign w:val="center"/>
          </w:tcPr>
          <w:p>
            <w:pPr>
              <w:spacing w:line="276" w:lineRule="auto"/>
              <w:jc w:val="center"/>
              <w:rPr>
                <w:rStyle w:val="84"/>
                <w:rFonts w:ascii="宋体" w:hAnsi="宋体"/>
                <w:b/>
                <w:color w:val="auto"/>
                <w:szCs w:val="21"/>
                <w:highlight w:val="none"/>
              </w:rPr>
            </w:pPr>
            <w:r>
              <w:rPr>
                <w:rStyle w:val="84"/>
                <w:rFonts w:ascii="宋体" w:hAnsi="宋体"/>
                <w:b/>
                <w:color w:val="auto"/>
                <w:szCs w:val="21"/>
                <w:highlight w:val="none"/>
              </w:rPr>
              <w:t>条款号</w:t>
            </w:r>
          </w:p>
        </w:tc>
        <w:tc>
          <w:tcPr>
            <w:tcW w:w="1494" w:type="dxa"/>
            <w:vAlign w:val="center"/>
          </w:tcPr>
          <w:p>
            <w:pPr>
              <w:spacing w:line="276" w:lineRule="auto"/>
              <w:jc w:val="center"/>
              <w:rPr>
                <w:rStyle w:val="84"/>
                <w:rFonts w:ascii="宋体" w:hAnsi="宋体"/>
                <w:b/>
                <w:color w:val="auto"/>
                <w:szCs w:val="21"/>
                <w:highlight w:val="none"/>
              </w:rPr>
            </w:pPr>
            <w:r>
              <w:rPr>
                <w:rStyle w:val="84"/>
                <w:rFonts w:ascii="宋体" w:hAnsi="宋体"/>
                <w:b/>
                <w:color w:val="auto"/>
                <w:szCs w:val="21"/>
                <w:highlight w:val="none"/>
              </w:rPr>
              <w:t>内容</w:t>
            </w:r>
          </w:p>
        </w:tc>
        <w:tc>
          <w:tcPr>
            <w:tcW w:w="5689" w:type="dxa"/>
            <w:vAlign w:val="center"/>
          </w:tcPr>
          <w:p>
            <w:pPr>
              <w:pStyle w:val="13"/>
              <w:spacing w:line="276" w:lineRule="auto"/>
              <w:ind w:firstLine="17"/>
              <w:jc w:val="center"/>
              <w:rPr>
                <w:rStyle w:val="84"/>
                <w:rFonts w:ascii="宋体" w:hAnsi="宋体"/>
                <w:b/>
                <w:color w:val="auto"/>
                <w:kern w:val="2"/>
                <w:sz w:val="21"/>
                <w:szCs w:val="21"/>
                <w:highlight w:val="none"/>
              </w:rPr>
            </w:pPr>
            <w:r>
              <w:rPr>
                <w:rStyle w:val="84"/>
                <w:rFonts w:ascii="宋体" w:hAnsi="宋体"/>
                <w:b/>
                <w:color w:val="auto"/>
                <w:kern w:val="2"/>
                <w:sz w:val="21"/>
                <w:szCs w:val="21"/>
                <w:highlight w:val="none"/>
              </w:rPr>
              <w:t>说明与要求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定义</w:t>
            </w:r>
          </w:p>
        </w:tc>
        <w:tc>
          <w:tcPr>
            <w:tcW w:w="5689" w:type="dxa"/>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招标人：</w:t>
            </w:r>
            <w:r>
              <w:rPr>
                <w:rStyle w:val="84"/>
                <w:rFonts w:hint="eastAsia"/>
                <w:color w:val="auto"/>
                <w:highlight w:val="none"/>
              </w:rPr>
              <w:t>广州市海珠区重点工程项目建设中心</w:t>
            </w:r>
          </w:p>
          <w:p>
            <w:pPr>
              <w:spacing w:line="276" w:lineRule="auto"/>
              <w:rPr>
                <w:rStyle w:val="84"/>
                <w:rFonts w:ascii="宋体" w:hAnsi="宋体"/>
                <w:color w:val="auto"/>
                <w:szCs w:val="21"/>
                <w:highlight w:val="none"/>
              </w:rPr>
            </w:pPr>
            <w:r>
              <w:rPr>
                <w:rStyle w:val="84"/>
                <w:rFonts w:ascii="宋体" w:hAnsi="宋体"/>
                <w:color w:val="auto"/>
                <w:szCs w:val="21"/>
                <w:highlight w:val="none"/>
              </w:rPr>
              <w:t>招标代理：</w:t>
            </w:r>
            <w:r>
              <w:rPr>
                <w:rStyle w:val="84"/>
                <w:rFonts w:hint="eastAsia"/>
                <w:color w:val="auto"/>
                <w:highlight w:val="none"/>
              </w:rPr>
              <w:t>广东省国际工程咨询有限公司</w:t>
            </w:r>
          </w:p>
          <w:p>
            <w:pPr>
              <w:spacing w:line="276" w:lineRule="auto"/>
              <w:rPr>
                <w:rStyle w:val="84"/>
                <w:rFonts w:ascii="宋体" w:hAnsi="宋体"/>
                <w:color w:val="auto"/>
                <w:szCs w:val="21"/>
                <w:highlight w:val="none"/>
              </w:rPr>
            </w:pPr>
            <w:r>
              <w:rPr>
                <w:rStyle w:val="84"/>
                <w:rFonts w:ascii="宋体" w:hAnsi="宋体"/>
                <w:color w:val="auto"/>
                <w:szCs w:val="21"/>
                <w:highlight w:val="none"/>
              </w:rPr>
              <w:t>设计单位</w:t>
            </w:r>
            <w:r>
              <w:rPr>
                <w:rStyle w:val="84"/>
                <w:rFonts w:hint="eastAsia" w:ascii="宋体" w:hAnsi="宋体"/>
                <w:color w:val="auto"/>
                <w:szCs w:val="21"/>
                <w:highlight w:val="none"/>
              </w:rPr>
              <w:t>：广州市城市更新规划设计研究院有限公司</w:t>
            </w:r>
          </w:p>
          <w:p>
            <w:pPr>
              <w:spacing w:line="276" w:lineRule="auto"/>
              <w:rPr>
                <w:rStyle w:val="84"/>
                <w:rFonts w:ascii="Times New Roman" w:hAnsi="Times New Roman"/>
                <w:color w:val="auto"/>
                <w:highlight w:val="none"/>
              </w:rPr>
            </w:pPr>
            <w:r>
              <w:rPr>
                <w:rStyle w:val="84"/>
                <w:rFonts w:hint="eastAsia" w:ascii="Times New Roman" w:hAnsi="Times New Roman"/>
                <w:color w:val="auto"/>
                <w:highlight w:val="none"/>
              </w:rPr>
              <w:t>监理单位：/</w:t>
            </w:r>
          </w:p>
          <w:p>
            <w:pPr>
              <w:pStyle w:val="136"/>
              <w:spacing w:line="276" w:lineRule="auto"/>
              <w:rPr>
                <w:rStyle w:val="84"/>
                <w:color w:val="auto"/>
                <w:highlight w:val="none"/>
              </w:rPr>
            </w:pPr>
            <w:r>
              <w:rPr>
                <w:rStyle w:val="84"/>
                <w:rFonts w:hint="eastAsia"/>
                <w:color w:val="auto"/>
                <w:highlight w:val="none"/>
              </w:rPr>
              <w:t>检测机构：/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2.2</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工程名称</w:t>
            </w:r>
          </w:p>
        </w:tc>
        <w:tc>
          <w:tcPr>
            <w:tcW w:w="5689" w:type="dxa"/>
            <w:vAlign w:val="center"/>
          </w:tcPr>
          <w:p>
            <w:pPr>
              <w:spacing w:line="276" w:lineRule="auto"/>
              <w:rPr>
                <w:rStyle w:val="84"/>
                <w:rFonts w:ascii="宋体" w:hAnsi="宋体"/>
                <w:color w:val="auto"/>
                <w:szCs w:val="21"/>
                <w:highlight w:val="none"/>
              </w:rPr>
            </w:pPr>
            <w:r>
              <w:rPr>
                <w:rStyle w:val="84"/>
                <w:rFonts w:hint="eastAsia"/>
                <w:color w:val="auto"/>
                <w:highlight w:val="none"/>
              </w:rPr>
              <w:t>广州市海珠区广船机械厂出让地块配套小学校园环境工程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3</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2.2</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建设地点</w:t>
            </w:r>
          </w:p>
        </w:tc>
        <w:tc>
          <w:tcPr>
            <w:tcW w:w="5689" w:type="dxa"/>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4</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2.2</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建设规模</w:t>
            </w:r>
          </w:p>
        </w:tc>
        <w:tc>
          <w:tcPr>
            <w:tcW w:w="5689" w:type="dxa"/>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5</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2.2</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承包方式</w:t>
            </w:r>
          </w:p>
        </w:tc>
        <w:tc>
          <w:tcPr>
            <w:tcW w:w="5689" w:type="dxa"/>
            <w:vAlign w:val="center"/>
          </w:tcPr>
          <w:p>
            <w:pPr>
              <w:spacing w:line="276" w:lineRule="auto"/>
              <w:rPr>
                <w:rStyle w:val="84"/>
                <w:rFonts w:ascii="宋体" w:hAnsi="宋体"/>
                <w:color w:val="auto"/>
                <w:szCs w:val="21"/>
                <w:highlight w:val="none"/>
              </w:rPr>
            </w:pPr>
            <w:r>
              <w:rPr>
                <w:rFonts w:hint="eastAsia" w:ascii="宋体" w:hAnsi="宋体" w:cs="宋体"/>
                <w:color w:val="auto"/>
                <w:kern w:val="0"/>
                <w:szCs w:val="21"/>
                <w:highlight w:val="none"/>
              </w:rPr>
              <w:t>投标人根据招标人的招标文件、施工图纸及工程量清单等规定的范围内的工程内容，结合现场实际情况进行投标报价，由承包人按照合同约定范围和图纸内容实行工程施工总承包，包括但不限于包工、包料、包质量、包安全生产、包文明施工、包工期、包各系统调试及联合调试、包承包范围内工程验收通过、包移交、包结算、</w:t>
            </w:r>
            <w:r>
              <w:rPr>
                <w:rFonts w:hint="eastAsia" w:ascii="宋体" w:hAnsi="宋体" w:cs="宋体"/>
                <w:bCs/>
                <w:snapToGrid w:val="0"/>
                <w:color w:val="auto"/>
                <w:kern w:val="0"/>
                <w:szCs w:val="21"/>
                <w:highlight w:val="none"/>
              </w:rPr>
              <w:t>包运行维护管理及相关部门报建</w:t>
            </w:r>
            <w:r>
              <w:rPr>
                <w:rFonts w:ascii="宋体" w:hAnsi="宋体" w:cs="宋体"/>
                <w:bCs/>
                <w:snapToGrid w:val="0"/>
                <w:color w:val="auto"/>
                <w:kern w:val="0"/>
                <w:szCs w:val="21"/>
                <w:highlight w:val="none"/>
              </w:rPr>
              <w:t>/报批手续、包创优工程的组织实施工作和资料整理</w:t>
            </w:r>
            <w:r>
              <w:rPr>
                <w:rFonts w:hint="eastAsia" w:ascii="宋体" w:hAnsi="宋体" w:cs="宋体"/>
                <w:color w:val="auto"/>
                <w:kern w:val="0"/>
                <w:szCs w:val="21"/>
                <w:highlight w:val="none"/>
              </w:rPr>
              <w:t>、</w:t>
            </w:r>
            <w:r>
              <w:rPr>
                <w:rFonts w:hint="eastAsia" w:ascii="宋体" w:hAnsi="宋体" w:cs="宋体"/>
                <w:bCs/>
                <w:snapToGrid w:val="0"/>
                <w:color w:val="auto"/>
                <w:kern w:val="0"/>
                <w:szCs w:val="21"/>
                <w:highlight w:val="none"/>
              </w:rPr>
              <w:t>包施工总承包管理和现场整体组织、包专业协调及配合</w:t>
            </w:r>
            <w:r>
              <w:rPr>
                <w:rFonts w:hint="eastAsia" w:ascii="宋体" w:hAnsi="宋体" w:cs="宋体"/>
                <w:color w:val="auto"/>
                <w:kern w:val="0"/>
                <w:szCs w:val="21"/>
                <w:highlight w:val="none"/>
              </w:rPr>
              <w:t>、包工程保险</w:t>
            </w:r>
            <w:r>
              <w:rPr>
                <w:rFonts w:hint="eastAsia" w:ascii="宋体" w:hAnsi="宋体" w:cs="宋体"/>
                <w:b/>
                <w:bCs/>
                <w:color w:val="auto"/>
                <w:szCs w:val="21"/>
                <w:highlight w:val="none"/>
              </w:rPr>
              <w:t>（含建筑（安装）工程一切险、附加第三者责任险及其他保险）、</w:t>
            </w:r>
            <w:r>
              <w:rPr>
                <w:rFonts w:hint="eastAsia" w:ascii="宋体" w:hAnsi="宋体" w:cs="宋体"/>
                <w:color w:val="auto"/>
                <w:kern w:val="0"/>
                <w:szCs w:val="21"/>
                <w:highlight w:val="none"/>
              </w:rPr>
              <w:t>包竣工图编制（须满足规划等各专项验收要求）等，</w:t>
            </w:r>
            <w:r>
              <w:rPr>
                <w:rStyle w:val="30"/>
                <w:rFonts w:hint="eastAsia" w:ascii="宋体" w:hAnsi="宋体" w:cs="宋体"/>
                <w:b/>
                <w:bCs/>
                <w:color w:val="auto"/>
                <w:highlight w:val="none"/>
              </w:rPr>
              <w:t>综合单价包干、项目措施费包干。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6</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2.2</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质量标准</w:t>
            </w:r>
          </w:p>
        </w:tc>
        <w:tc>
          <w:tcPr>
            <w:tcW w:w="5689" w:type="dxa"/>
            <w:vAlign w:val="center"/>
          </w:tcPr>
          <w:p>
            <w:pPr>
              <w:spacing w:line="276" w:lineRule="auto"/>
              <w:rPr>
                <w:rStyle w:val="84"/>
                <w:rFonts w:ascii="宋体" w:hAnsi="宋体"/>
                <w:color w:val="auto"/>
                <w:szCs w:val="21"/>
                <w:highlight w:val="none"/>
                <w:u w:val="single"/>
              </w:rPr>
            </w:pPr>
            <w:r>
              <w:rPr>
                <w:rStyle w:val="84"/>
                <w:rFonts w:hint="eastAsia"/>
                <w:color w:val="auto"/>
                <w:highlight w:val="none"/>
              </w:rPr>
              <w:t>合格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7</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2.2</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招标范围</w:t>
            </w:r>
          </w:p>
        </w:tc>
        <w:tc>
          <w:tcPr>
            <w:tcW w:w="5689" w:type="dxa"/>
            <w:vAlign w:val="center"/>
          </w:tcPr>
          <w:p>
            <w:pPr>
              <w:spacing w:line="276" w:lineRule="auto"/>
              <w:rPr>
                <w:rStyle w:val="84"/>
                <w:rFonts w:ascii="宋体" w:hAnsi="宋体"/>
                <w:color w:val="auto"/>
                <w:szCs w:val="21"/>
                <w:highlight w:val="none"/>
                <w:u w:val="single"/>
              </w:rPr>
            </w:pPr>
            <w:r>
              <w:rPr>
                <w:rStyle w:val="84"/>
                <w:rFonts w:ascii="宋体" w:hAnsi="宋体"/>
                <w:color w:val="auto"/>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8</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2.2</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工期要求</w:t>
            </w:r>
          </w:p>
        </w:tc>
        <w:tc>
          <w:tcPr>
            <w:tcW w:w="5689" w:type="dxa"/>
            <w:vAlign w:val="center"/>
          </w:tcPr>
          <w:p>
            <w:pPr>
              <w:spacing w:line="276" w:lineRule="auto"/>
              <w:rPr>
                <w:rStyle w:val="84"/>
                <w:rFonts w:ascii="宋体" w:hAnsi="宋体"/>
                <w:color w:val="auto"/>
                <w:szCs w:val="21"/>
                <w:highlight w:val="none"/>
              </w:rPr>
            </w:pPr>
            <w:r>
              <w:rPr>
                <w:rFonts w:hint="eastAsia" w:ascii="宋体" w:hAnsi="宋体" w:cs="宋体"/>
                <w:color w:val="auto"/>
                <w:szCs w:val="21"/>
                <w:highlight w:val="none"/>
              </w:rPr>
              <w:t>施工总工期：</w:t>
            </w:r>
            <w:r>
              <w:rPr>
                <w:rFonts w:hint="eastAsia" w:ascii="宋体" w:hAnsi="宋体" w:cs="宋体"/>
                <w:color w:val="auto"/>
                <w:szCs w:val="21"/>
                <w:highlight w:val="none"/>
                <w:u w:val="single"/>
                <w:lang w:val="en-US" w:eastAsia="zh-CN"/>
              </w:rPr>
              <w:t>90</w:t>
            </w:r>
            <w:r>
              <w:rPr>
                <w:rFonts w:hint="eastAsia" w:ascii="宋体" w:hAnsi="宋体" w:cs="宋体"/>
                <w:color w:val="auto"/>
                <w:szCs w:val="21"/>
                <w:highlight w:val="none"/>
                <w:u w:val="single"/>
              </w:rPr>
              <w:t>个日历天（</w:t>
            </w:r>
            <w:r>
              <w:rPr>
                <w:rFonts w:hint="eastAsia" w:ascii="宋体" w:hAnsi="宋体" w:cs="宋体"/>
                <w:color w:val="auto"/>
                <w:szCs w:val="21"/>
                <w:highlight w:val="none"/>
              </w:rPr>
              <w:t>计划开工日期：2023年月 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9</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3.1</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资金来源</w:t>
            </w:r>
          </w:p>
        </w:tc>
        <w:tc>
          <w:tcPr>
            <w:tcW w:w="5689" w:type="dxa"/>
            <w:vAlign w:val="center"/>
          </w:tcPr>
          <w:p>
            <w:pPr>
              <w:spacing w:line="276" w:lineRule="auto"/>
              <w:rPr>
                <w:rStyle w:val="84"/>
                <w:rFonts w:ascii="宋体" w:hAnsi="宋体"/>
                <w:color w:val="auto"/>
                <w:szCs w:val="21"/>
                <w:highlight w:val="none"/>
                <w:u w:val="single"/>
              </w:rPr>
            </w:pPr>
            <w:r>
              <w:rPr>
                <w:rStyle w:val="84"/>
                <w:rFonts w:ascii="宋体" w:hAnsi="宋体"/>
                <w:color w:val="auto"/>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10</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4.1</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投标人资质等级及项目负责人等级要求</w:t>
            </w:r>
          </w:p>
        </w:tc>
        <w:tc>
          <w:tcPr>
            <w:tcW w:w="5689" w:type="dxa"/>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11</w:t>
            </w:r>
          </w:p>
        </w:tc>
        <w:tc>
          <w:tcPr>
            <w:tcW w:w="944" w:type="dxa"/>
            <w:vAlign w:val="center"/>
          </w:tcPr>
          <w:p>
            <w:pPr>
              <w:spacing w:line="276" w:lineRule="auto"/>
              <w:ind w:firstLine="458"/>
              <w:jc w:val="center"/>
              <w:rPr>
                <w:rStyle w:val="84"/>
                <w:rFonts w:ascii="宋体" w:hAnsi="宋体"/>
                <w:color w:val="auto"/>
                <w:szCs w:val="21"/>
                <w:highlight w:val="none"/>
              </w:rPr>
            </w:pP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资格审查方式</w:t>
            </w:r>
          </w:p>
        </w:tc>
        <w:tc>
          <w:tcPr>
            <w:tcW w:w="5689" w:type="dxa"/>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12</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13.1</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报价以及单价和总价计算方式</w:t>
            </w:r>
          </w:p>
        </w:tc>
        <w:tc>
          <w:tcPr>
            <w:tcW w:w="5689" w:type="dxa"/>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工程量清单计价。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13</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15.1</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投标有效期</w:t>
            </w:r>
          </w:p>
        </w:tc>
        <w:tc>
          <w:tcPr>
            <w:tcW w:w="5689" w:type="dxa"/>
            <w:vAlign w:val="center"/>
          </w:tcPr>
          <w:p>
            <w:pPr>
              <w:spacing w:line="276" w:lineRule="auto"/>
              <w:rPr>
                <w:rStyle w:val="84"/>
                <w:rFonts w:ascii="宋体" w:hAnsi="宋体"/>
                <w:color w:val="auto"/>
                <w:szCs w:val="21"/>
                <w:highlight w:val="none"/>
                <w:u w:val="single"/>
              </w:rPr>
            </w:pPr>
            <w:r>
              <w:rPr>
                <w:rStyle w:val="84"/>
                <w:rFonts w:hint="eastAsia" w:ascii="宋体" w:hAnsi="宋体"/>
                <w:color w:val="auto"/>
                <w:szCs w:val="21"/>
                <w:highlight w:val="none"/>
                <w:u w:val="single"/>
              </w:rPr>
              <w:t>120</w:t>
            </w:r>
            <w:r>
              <w:rPr>
                <w:rStyle w:val="84"/>
                <w:rFonts w:ascii="宋体" w:hAnsi="宋体"/>
                <w:color w:val="auto"/>
                <w:szCs w:val="21"/>
                <w:highlight w:val="none"/>
              </w:rPr>
              <w:t>日历天。（从投标截止之日计起）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14</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16.1</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投标保证金</w:t>
            </w:r>
          </w:p>
        </w:tc>
        <w:tc>
          <w:tcPr>
            <w:tcW w:w="5689" w:type="dxa"/>
            <w:vAlign w:val="center"/>
          </w:tcPr>
          <w:p>
            <w:pPr>
              <w:spacing w:line="276" w:lineRule="auto"/>
              <w:rPr>
                <w:rFonts w:ascii="宋体" w:hAnsi="宋体" w:cs="宋体"/>
                <w:color w:val="auto"/>
                <w:szCs w:val="21"/>
                <w:highlight w:val="none"/>
                <w:u w:val="single"/>
              </w:rPr>
            </w:pPr>
            <w:r>
              <w:rPr>
                <w:rFonts w:hint="eastAsia" w:ascii="宋体" w:hAnsi="宋体"/>
                <w:color w:val="auto"/>
                <w:szCs w:val="21"/>
                <w:highlight w:val="none"/>
                <w:u w:val="single"/>
              </w:rPr>
              <w:t>人民币</w:t>
            </w:r>
            <w:r>
              <w:rPr>
                <w:rFonts w:ascii="宋体" w:hAnsi="宋体"/>
                <w:color w:val="auto"/>
                <w:szCs w:val="21"/>
                <w:highlight w:val="none"/>
                <w:u w:val="single"/>
              </w:rPr>
              <w:t>5万元整</w:t>
            </w:r>
            <w:r>
              <w:rPr>
                <w:rFonts w:hint="eastAsia" w:ascii="宋体" w:hAnsi="宋体"/>
                <w:color w:val="auto"/>
                <w:szCs w:val="21"/>
                <w:highlight w:val="none"/>
              </w:rPr>
              <w:t>，缴纳时间在</w:t>
            </w:r>
            <w:r>
              <w:rPr>
                <w:rFonts w:hint="eastAsia" w:ascii="宋体" w:hAnsi="宋体"/>
                <w:color w:val="auto"/>
                <w:szCs w:val="21"/>
                <w:highlight w:val="none"/>
                <w:u w:val="single"/>
              </w:rPr>
              <w:t>开标</w:t>
            </w:r>
            <w:r>
              <w:rPr>
                <w:rFonts w:hint="eastAsia" w:ascii="宋体" w:hAnsi="宋体"/>
                <w:color w:val="auto"/>
                <w:szCs w:val="21"/>
                <w:highlight w:val="none"/>
              </w:rPr>
              <w:t>之前。</w:t>
            </w:r>
          </w:p>
          <w:p>
            <w:pPr>
              <w:pStyle w:val="136"/>
              <w:spacing w:line="276" w:lineRule="auto"/>
              <w:textAlignment w:val="baseline"/>
              <w:rPr>
                <w:rFonts w:ascii="宋体" w:hAnsi="宋体"/>
                <w:bCs/>
                <w:color w:val="auto"/>
                <w:szCs w:val="21"/>
                <w:highlight w:val="none"/>
              </w:rPr>
            </w:pPr>
            <w:r>
              <w:rPr>
                <w:rStyle w:val="84"/>
                <w:rFonts w:hint="eastAsia" w:ascii="Times New Roman" w:hAnsi="Times New Roman"/>
                <w:color w:val="auto"/>
                <w:highlight w:val="none"/>
              </w:rPr>
              <w:t>注：</w:t>
            </w:r>
            <w:r>
              <w:rPr>
                <w:rStyle w:val="84"/>
                <w:rFonts w:ascii="Times New Roman" w:hAnsi="Times New Roman"/>
                <w:color w:val="auto"/>
                <w:highlight w:val="none"/>
              </w:rPr>
              <w:t>1.</w:t>
            </w:r>
            <w:r>
              <w:rPr>
                <w:rStyle w:val="84"/>
                <w:rFonts w:hint="eastAsia" w:ascii="Times New Roman" w:hAnsi="Times New Roman"/>
                <w:color w:val="auto"/>
                <w:highlight w:val="none"/>
              </w:rPr>
              <w:t>投标保证金不得超过招标项目估算价的</w:t>
            </w:r>
            <w:r>
              <w:rPr>
                <w:rStyle w:val="84"/>
                <w:rFonts w:ascii="Times New Roman" w:hAnsi="Times New Roman"/>
                <w:color w:val="auto"/>
                <w:highlight w:val="none"/>
              </w:rPr>
              <w:t>2%</w:t>
            </w:r>
            <w:r>
              <w:rPr>
                <w:rStyle w:val="84"/>
                <w:rFonts w:hint="eastAsia" w:ascii="Times New Roman" w:hAnsi="Times New Roman"/>
                <w:color w:val="auto"/>
                <w:highlight w:val="none"/>
              </w:rPr>
              <w:t>，投标保证金有效期应当与投标文件有效期一致。根据《房屋建筑和市政基础设施工程施工招标投标管理</w:t>
            </w:r>
            <w:r>
              <w:rPr>
                <w:rFonts w:hint="eastAsia" w:ascii="宋体" w:hAnsi="宋体"/>
                <w:bCs/>
                <w:color w:val="auto"/>
                <w:szCs w:val="21"/>
                <w:highlight w:val="none"/>
              </w:rPr>
              <w:t>办法》（建设部令第</w:t>
            </w:r>
            <w:r>
              <w:rPr>
                <w:rFonts w:ascii="宋体" w:hAnsi="宋体"/>
                <w:bCs/>
                <w:color w:val="auto"/>
                <w:szCs w:val="21"/>
                <w:highlight w:val="none"/>
              </w:rPr>
              <w:t>89号）第二十六条的规定，投标保证金最高不得超过50万元。</w:t>
            </w:r>
          </w:p>
          <w:p>
            <w:pPr>
              <w:pStyle w:val="136"/>
              <w:spacing w:line="276" w:lineRule="auto"/>
              <w:textAlignment w:val="baseline"/>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鼓励招标人对简单小额项目不要求提供投标担保，对中小企业投标人免除投标担保。</w:t>
            </w:r>
          </w:p>
          <w:p>
            <w:pPr>
              <w:pStyle w:val="136"/>
              <w:spacing w:line="276" w:lineRule="auto"/>
              <w:textAlignment w:val="baseline"/>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招标人在免收投标保证金的同时，应约定免交投标保证金的投标人</w:t>
            </w:r>
            <w:r>
              <w:rPr>
                <w:rFonts w:hint="eastAsia" w:ascii="宋体" w:hAnsi="宋体"/>
                <w:color w:val="auto"/>
                <w:szCs w:val="21"/>
                <w:highlight w:val="none"/>
              </w:rPr>
              <w:t>存在</w:t>
            </w:r>
            <w:r>
              <w:rPr>
                <w:rFonts w:ascii="宋体" w:hAnsi="宋体"/>
                <w:color w:val="auto"/>
                <w:szCs w:val="21"/>
                <w:highlight w:val="none"/>
              </w:rPr>
              <w:t>16.4条款所列情形的</w:t>
            </w:r>
            <w:r>
              <w:rPr>
                <w:rFonts w:hint="eastAsia" w:ascii="宋体" w:hAnsi="宋体"/>
                <w:bCs/>
                <w:color w:val="auto"/>
                <w:szCs w:val="21"/>
                <w:highlight w:val="none"/>
              </w:rPr>
              <w:t>后续处理措施。</w:t>
            </w:r>
          </w:p>
          <w:p>
            <w:pPr>
              <w:rPr>
                <w:rFonts w:ascii="宋体" w:hAnsi="宋体"/>
                <w:color w:val="auto"/>
                <w:szCs w:val="21"/>
                <w:highlight w:val="none"/>
                <w:u w:val="single"/>
              </w:rPr>
            </w:pPr>
            <w:r>
              <w:rPr>
                <w:rFonts w:ascii="宋体" w:hAnsi="宋体"/>
                <w:color w:val="auto"/>
                <w:szCs w:val="21"/>
                <w:highlight w:val="none"/>
                <w:u w:val="single"/>
              </w:rPr>
              <w:t>4.</w:t>
            </w:r>
            <w:r>
              <w:rPr>
                <w:rFonts w:hint="eastAsia" w:ascii="宋体" w:hAnsi="宋体"/>
                <w:color w:val="auto"/>
                <w:szCs w:val="21"/>
                <w:highlight w:val="none"/>
                <w:u w:val="single"/>
              </w:rPr>
              <w:t>投标保证金可采用现金、支票、银行保函、保证保险、专业工程担保公司担保的形式递交，须在递交投标文件截止时间前完成缴纳。</w:t>
            </w:r>
            <w:r>
              <w:rPr>
                <w:rFonts w:ascii="宋体" w:hAnsi="宋体"/>
                <w:color w:val="auto"/>
                <w:szCs w:val="21"/>
                <w:highlight w:val="none"/>
                <w:u w:val="single"/>
              </w:rPr>
              <w:t xml:space="preserve"> </w:t>
            </w:r>
          </w:p>
          <w:p>
            <w:pPr>
              <w:ind w:firstLine="420" w:firstLineChars="200"/>
              <w:rPr>
                <w:rFonts w:ascii="宋体" w:hAnsi="宋体"/>
                <w:color w:val="auto"/>
                <w:szCs w:val="21"/>
                <w:highlight w:val="none"/>
                <w:u w:val="single"/>
              </w:rPr>
            </w:pPr>
            <w:r>
              <w:rPr>
                <w:rFonts w:hint="eastAsia" w:ascii="宋体" w:hAnsi="宋体"/>
                <w:color w:val="auto"/>
                <w:szCs w:val="21"/>
                <w:highlight w:val="none"/>
                <w:u w:val="single"/>
              </w:rPr>
              <w:t>①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r>
              <w:rPr>
                <w:rFonts w:ascii="宋体" w:hAnsi="宋体"/>
                <w:color w:val="auto"/>
                <w:szCs w:val="21"/>
                <w:highlight w:val="none"/>
                <w:u w:val="single"/>
              </w:rPr>
              <w:t xml:space="preserve"> </w:t>
            </w:r>
          </w:p>
          <w:p>
            <w:pPr>
              <w:ind w:firstLine="420" w:firstLineChars="200"/>
              <w:rPr>
                <w:rFonts w:ascii="宋体" w:hAnsi="宋体"/>
                <w:color w:val="auto"/>
                <w:szCs w:val="21"/>
                <w:highlight w:val="none"/>
                <w:u w:val="single"/>
              </w:rPr>
            </w:pPr>
            <w:r>
              <w:rPr>
                <w:rFonts w:hint="eastAsia" w:ascii="宋体" w:hAnsi="宋体"/>
                <w:color w:val="auto"/>
                <w:szCs w:val="21"/>
                <w:highlight w:val="none"/>
                <w:u w:val="single"/>
              </w:rPr>
              <w:t>收款单位：广州交易集团有限公司</w:t>
            </w:r>
          </w:p>
          <w:p>
            <w:pPr>
              <w:ind w:firstLine="420" w:firstLineChars="200"/>
              <w:rPr>
                <w:rFonts w:ascii="宋体" w:hAnsi="宋体"/>
                <w:color w:val="auto"/>
                <w:szCs w:val="21"/>
                <w:highlight w:val="none"/>
                <w:u w:val="single"/>
              </w:rPr>
            </w:pPr>
            <w:r>
              <w:rPr>
                <w:rFonts w:hint="eastAsia" w:ascii="宋体" w:hAnsi="宋体"/>
                <w:color w:val="auto"/>
                <w:szCs w:val="21"/>
                <w:highlight w:val="none"/>
                <w:u w:val="single"/>
              </w:rPr>
              <w:t>开户银行：中国建设银行广州天润路支行</w:t>
            </w:r>
          </w:p>
          <w:p>
            <w:pPr>
              <w:ind w:firstLine="420" w:firstLineChars="200"/>
              <w:rPr>
                <w:rFonts w:ascii="宋体" w:hAnsi="宋体"/>
                <w:color w:val="auto"/>
                <w:szCs w:val="21"/>
                <w:highlight w:val="none"/>
                <w:u w:val="single"/>
              </w:rPr>
            </w:pPr>
            <w:r>
              <w:rPr>
                <w:rFonts w:hint="eastAsia" w:ascii="宋体" w:hAnsi="宋体"/>
                <w:color w:val="auto"/>
                <w:szCs w:val="21"/>
                <w:highlight w:val="none"/>
                <w:u w:val="single"/>
              </w:rPr>
              <w:t>银行账号：</w:t>
            </w:r>
            <w:r>
              <w:rPr>
                <w:rFonts w:ascii="宋体" w:hAnsi="宋体"/>
                <w:color w:val="auto"/>
                <w:szCs w:val="21"/>
                <w:highlight w:val="none"/>
                <w:u w:val="single"/>
              </w:rPr>
              <w:t>44001583404059333333</w:t>
            </w:r>
          </w:p>
          <w:p>
            <w:pPr>
              <w:ind w:firstLine="420" w:firstLineChars="200"/>
              <w:rPr>
                <w:rFonts w:ascii="宋体" w:hAnsi="宋体"/>
                <w:color w:val="auto"/>
                <w:szCs w:val="21"/>
                <w:highlight w:val="none"/>
                <w:u w:val="single"/>
              </w:rPr>
            </w:pPr>
            <w:r>
              <w:rPr>
                <w:rFonts w:hint="eastAsia" w:ascii="宋体" w:hAnsi="宋体"/>
                <w:color w:val="auto"/>
                <w:szCs w:val="21"/>
                <w:highlight w:val="none"/>
                <w:u w:val="single"/>
              </w:rPr>
              <w:t>②依法必须招标的房屋建筑工程如采用非电子形式的投标保函或投标保证保险或专业工程担保公司担保的形式递交提交投标保证金的，在开标前不强制要求投标人提交纸质原件，由中标候选人在中标候选人公示前提交并在网上公示，投标人应在投标文件中提交</w:t>
            </w:r>
            <w:r>
              <w:rPr>
                <w:rFonts w:hint="eastAsia" w:ascii="宋体" w:hAnsi="宋体"/>
                <w:color w:val="auto"/>
                <w:szCs w:val="21"/>
                <w:highlight w:val="none"/>
              </w:rPr>
              <w:t>保函、担保或保证保险</w:t>
            </w:r>
            <w:r>
              <w:rPr>
                <w:rFonts w:hint="eastAsia" w:ascii="宋体" w:hAnsi="宋体"/>
                <w:color w:val="auto"/>
                <w:szCs w:val="21"/>
                <w:highlight w:val="none"/>
                <w:u w:val="single"/>
              </w:rPr>
              <w:t>扫描件并加盖投标人电子印章。</w:t>
            </w:r>
            <w:r>
              <w:rPr>
                <w:rFonts w:ascii="宋体" w:hAnsi="宋体"/>
                <w:color w:val="auto"/>
                <w:szCs w:val="21"/>
                <w:highlight w:val="none"/>
                <w:u w:val="single"/>
              </w:rPr>
              <w:t xml:space="preserve"> </w:t>
            </w:r>
          </w:p>
          <w:p>
            <w:pPr>
              <w:pStyle w:val="136"/>
              <w:spacing w:line="276" w:lineRule="auto"/>
              <w:textAlignment w:val="baseline"/>
              <w:rPr>
                <w:rFonts w:ascii="宋体" w:hAnsi="宋体"/>
                <w:bCs/>
                <w:color w:val="auto"/>
                <w:szCs w:val="21"/>
                <w:highlight w:val="none"/>
              </w:rPr>
            </w:pPr>
            <w:r>
              <w:rPr>
                <w:rFonts w:hint="eastAsia" w:ascii="宋体" w:hAnsi="宋体"/>
                <w:color w:val="auto"/>
                <w:szCs w:val="21"/>
                <w:highlight w:val="none"/>
                <w:u w:val="single"/>
              </w:rPr>
              <w:t>③如采用电子保函形式提交的，具体操作要求详见广州公共资源交易中心有关指引，递交事宜请自行咨询交易中心；递交情况以开标时广州公共资源交易中心数据库查询信息为准。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15</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5</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踏勘现场</w:t>
            </w:r>
          </w:p>
        </w:tc>
        <w:tc>
          <w:tcPr>
            <w:tcW w:w="5689" w:type="dxa"/>
            <w:vAlign w:val="center"/>
          </w:tcPr>
          <w:p>
            <w:pPr>
              <w:pStyle w:val="13"/>
              <w:spacing w:line="276" w:lineRule="auto"/>
              <w:rPr>
                <w:rStyle w:val="84"/>
                <w:rFonts w:ascii="宋体" w:hAnsi="宋体"/>
                <w:color w:val="auto"/>
                <w:kern w:val="2"/>
                <w:sz w:val="21"/>
                <w:szCs w:val="21"/>
                <w:highlight w:val="none"/>
              </w:rPr>
            </w:pPr>
            <w:r>
              <w:rPr>
                <w:rStyle w:val="84"/>
                <w:rFonts w:ascii="宋体" w:hAnsi="宋体"/>
                <w:color w:val="auto"/>
                <w:kern w:val="2"/>
                <w:sz w:val="21"/>
                <w:szCs w:val="21"/>
                <w:highlight w:val="none"/>
              </w:rPr>
              <w:t>招标人不集中组织，由投标人自行踏勘。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16</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8</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投标答疑</w:t>
            </w:r>
          </w:p>
        </w:tc>
        <w:tc>
          <w:tcPr>
            <w:tcW w:w="5689" w:type="dxa"/>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疑问提交时间：202</w:t>
            </w:r>
            <w:r>
              <w:rPr>
                <w:rStyle w:val="84"/>
                <w:rFonts w:hint="eastAsia" w:ascii="宋体" w:hAnsi="宋体"/>
                <w:color w:val="auto"/>
                <w:szCs w:val="21"/>
                <w:highlight w:val="none"/>
              </w:rPr>
              <w:t>3</w:t>
            </w:r>
            <w:r>
              <w:rPr>
                <w:rStyle w:val="84"/>
                <w:rFonts w:ascii="宋体" w:hAnsi="宋体"/>
                <w:color w:val="auto"/>
                <w:szCs w:val="21"/>
                <w:highlight w:val="none"/>
              </w:rPr>
              <w:t>年月日时前；</w:t>
            </w:r>
          </w:p>
          <w:p>
            <w:pPr>
              <w:spacing w:line="276" w:lineRule="auto"/>
              <w:rPr>
                <w:rStyle w:val="84"/>
                <w:bCs/>
                <w:color w:val="auto"/>
                <w:highlight w:val="none"/>
              </w:rPr>
            </w:pPr>
            <w:r>
              <w:rPr>
                <w:rStyle w:val="84"/>
                <w:rFonts w:ascii="宋体" w:hAnsi="宋体"/>
                <w:color w:val="auto"/>
                <w:szCs w:val="21"/>
                <w:highlight w:val="none"/>
              </w:rPr>
              <w:t>形式：投标人的疑问通过</w:t>
            </w:r>
            <w:r>
              <w:rPr>
                <w:rStyle w:val="84"/>
                <w:rFonts w:ascii="宋体" w:hAnsi="宋体"/>
                <w:color w:val="auto"/>
                <w:szCs w:val="21"/>
                <w:highlight w:val="none"/>
                <w:u w:val="single"/>
              </w:rPr>
              <w:t>广州公共资源交易中心</w:t>
            </w:r>
            <w:r>
              <w:rPr>
                <w:rStyle w:val="84"/>
                <w:rFonts w:ascii="宋体" w:hAnsi="宋体"/>
                <w:color w:val="auto"/>
                <w:szCs w:val="21"/>
                <w:highlight w:val="none"/>
              </w:rPr>
              <w:t>交易平台提交。</w:t>
            </w:r>
          </w:p>
          <w:p>
            <w:pPr>
              <w:spacing w:line="276" w:lineRule="auto"/>
              <w:rPr>
                <w:rFonts w:ascii="宋体" w:hAnsi="宋体"/>
                <w:color w:val="auto"/>
                <w:szCs w:val="21"/>
                <w:highlight w:val="none"/>
              </w:rPr>
            </w:pPr>
            <w:r>
              <w:rPr>
                <w:rStyle w:val="84"/>
                <w:rFonts w:ascii="宋体" w:hAnsi="宋体"/>
                <w:color w:val="auto"/>
                <w:szCs w:val="21"/>
                <w:highlight w:val="none"/>
              </w:rPr>
              <w:t>具体要求：</w:t>
            </w:r>
            <w:r>
              <w:rPr>
                <w:rFonts w:hint="eastAsia" w:ascii="宋体" w:hAnsi="宋体"/>
                <w:color w:val="auto"/>
                <w:szCs w:val="21"/>
                <w:highlight w:val="none"/>
              </w:rPr>
              <w:t>按照交易平台关于全流程电子化项目的相关指南进行操作，详见：</w:t>
            </w:r>
            <w:r>
              <w:rPr>
                <w:rFonts w:hint="eastAsia" w:ascii="宋体" w:hAnsi="宋体"/>
                <w:color w:val="auto"/>
                <w:szCs w:val="21"/>
                <w:highlight w:val="none"/>
                <w:u w:val="single"/>
              </w:rPr>
              <w:t>广州公共资源交易中心网站（http:/ www.gzggzy.cn）服务指南栏目</w:t>
            </w:r>
            <w:r>
              <w:rPr>
                <w:rFonts w:hint="eastAsia" w:ascii="宋体" w:hAnsi="宋体"/>
                <w:color w:val="auto"/>
                <w:szCs w:val="21"/>
                <w:highlight w:val="none"/>
              </w:rPr>
              <w:t>。提问一律不得署名。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17</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20.1</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投标截止时间</w:t>
            </w:r>
          </w:p>
        </w:tc>
        <w:tc>
          <w:tcPr>
            <w:tcW w:w="5689" w:type="dxa"/>
            <w:vAlign w:val="center"/>
          </w:tcPr>
          <w:p>
            <w:pPr>
              <w:spacing w:line="276" w:lineRule="auto"/>
              <w:rPr>
                <w:rStyle w:val="84"/>
                <w:rFonts w:ascii="宋体" w:hAnsi="宋体"/>
                <w:strike/>
                <w:color w:val="auto"/>
                <w:szCs w:val="21"/>
                <w:highlight w:val="none"/>
              </w:rPr>
            </w:pPr>
            <w:r>
              <w:rPr>
                <w:rStyle w:val="84"/>
                <w:rFonts w:ascii="宋体" w:hAnsi="宋体"/>
                <w:color w:val="auto"/>
                <w:szCs w:val="21"/>
                <w:highlight w:val="none"/>
                <w:u w:val="single"/>
              </w:rPr>
              <w:t>202</w:t>
            </w:r>
            <w:r>
              <w:rPr>
                <w:rStyle w:val="84"/>
                <w:rFonts w:hint="eastAsia" w:ascii="宋体" w:hAnsi="宋体"/>
                <w:color w:val="auto"/>
                <w:szCs w:val="21"/>
                <w:highlight w:val="none"/>
                <w:u w:val="single"/>
              </w:rPr>
              <w:t>3</w:t>
            </w:r>
            <w:r>
              <w:rPr>
                <w:rStyle w:val="84"/>
                <w:rFonts w:ascii="宋体" w:hAnsi="宋体"/>
                <w:color w:val="auto"/>
                <w:szCs w:val="21"/>
                <w:highlight w:val="none"/>
              </w:rPr>
              <w:t>年月日时（北京时间）。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18</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20.1</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开标开始时间和地点</w:t>
            </w:r>
          </w:p>
        </w:tc>
        <w:tc>
          <w:tcPr>
            <w:tcW w:w="5689" w:type="dxa"/>
            <w:vAlign w:val="center"/>
          </w:tcPr>
          <w:p>
            <w:pPr>
              <w:spacing w:line="276" w:lineRule="auto"/>
              <w:rPr>
                <w:rStyle w:val="84"/>
                <w:rFonts w:ascii="宋体" w:hAnsi="宋体"/>
                <w:color w:val="auto"/>
                <w:szCs w:val="21"/>
                <w:highlight w:val="none"/>
              </w:rPr>
            </w:pPr>
            <w:r>
              <w:rPr>
                <w:rStyle w:val="84"/>
                <w:rFonts w:hint="eastAsia" w:ascii="宋体" w:hAnsi="宋体"/>
                <w:color w:val="auto"/>
                <w:szCs w:val="21"/>
                <w:highlight w:val="none"/>
              </w:rPr>
              <w:t>（技术标和经济标同时开标）</w:t>
            </w:r>
          </w:p>
          <w:p>
            <w:pPr>
              <w:spacing w:line="276" w:lineRule="auto"/>
              <w:rPr>
                <w:rStyle w:val="84"/>
                <w:rFonts w:ascii="宋体" w:hAnsi="宋体"/>
                <w:b/>
                <w:bCs/>
                <w:color w:val="auto"/>
                <w:szCs w:val="21"/>
                <w:highlight w:val="none"/>
              </w:rPr>
            </w:pPr>
            <w:r>
              <w:rPr>
                <w:rStyle w:val="84"/>
                <w:rFonts w:hint="eastAsia" w:ascii="宋体" w:hAnsi="宋体"/>
                <w:color w:val="auto"/>
                <w:szCs w:val="21"/>
                <w:highlight w:val="none"/>
              </w:rPr>
              <w:t>1、开标开始时间：</w:t>
            </w:r>
            <w:r>
              <w:rPr>
                <w:rStyle w:val="84"/>
                <w:rFonts w:ascii="宋体" w:hAnsi="宋体"/>
                <w:color w:val="auto"/>
                <w:szCs w:val="21"/>
                <w:highlight w:val="none"/>
                <w:u w:val="single"/>
              </w:rPr>
              <w:t>202</w:t>
            </w:r>
            <w:r>
              <w:rPr>
                <w:rStyle w:val="84"/>
                <w:rFonts w:hint="eastAsia" w:ascii="宋体" w:hAnsi="宋体"/>
                <w:color w:val="auto"/>
                <w:szCs w:val="21"/>
                <w:highlight w:val="none"/>
                <w:u w:val="single"/>
              </w:rPr>
              <w:t>3</w:t>
            </w:r>
            <w:r>
              <w:rPr>
                <w:rStyle w:val="84"/>
                <w:rFonts w:ascii="宋体" w:hAnsi="宋体"/>
                <w:color w:val="auto"/>
                <w:szCs w:val="21"/>
                <w:highlight w:val="none"/>
              </w:rPr>
              <w:t>年月日时分</w:t>
            </w:r>
            <w:r>
              <w:rPr>
                <w:rStyle w:val="84"/>
                <w:rFonts w:hint="eastAsia" w:ascii="宋体" w:hAnsi="宋体"/>
                <w:color w:val="auto"/>
                <w:szCs w:val="21"/>
                <w:highlight w:val="none"/>
              </w:rPr>
              <w:t>（与投标截止时间为同一时间），地点：</w:t>
            </w:r>
            <w:r>
              <w:rPr>
                <w:rStyle w:val="84"/>
                <w:rFonts w:ascii="宋体" w:hAnsi="宋体"/>
                <w:color w:val="auto"/>
                <w:szCs w:val="21"/>
                <w:highlight w:val="none"/>
                <w:u w:val="single"/>
              </w:rPr>
              <w:t>广州公共资源交易中心  开标室</w:t>
            </w:r>
            <w:r>
              <w:rPr>
                <w:rStyle w:val="84"/>
                <w:rFonts w:hint="eastAsia" w:ascii="宋体" w:hAnsi="宋体"/>
                <w:color w:val="auto"/>
                <w:szCs w:val="21"/>
                <w:highlight w:val="none"/>
              </w:rPr>
              <w:t>。</w:t>
            </w:r>
            <w:r>
              <w:rPr>
                <w:rStyle w:val="84"/>
                <w:rFonts w:hint="eastAsia" w:ascii="宋体" w:hAnsi="宋体"/>
                <w:b/>
                <w:bCs/>
                <w:color w:val="auto"/>
                <w:szCs w:val="21"/>
                <w:highlight w:val="none"/>
              </w:rPr>
              <w:t>投标人也可选择参加在线开标，具体按照交易平台相关指南进行操作。详见：</w:t>
            </w:r>
            <w:r>
              <w:rPr>
                <w:rFonts w:hint="eastAsia" w:ascii="宋体" w:hAnsi="宋体"/>
                <w:b/>
                <w:bCs/>
                <w:color w:val="auto"/>
                <w:szCs w:val="21"/>
                <w:highlight w:val="none"/>
                <w:u w:val="single"/>
              </w:rPr>
              <w:t>广州公共资源交易中心网站（http:/ www.gzggzy.cn）服务指南栏目</w:t>
            </w:r>
            <w:r>
              <w:rPr>
                <w:rStyle w:val="84"/>
                <w:rFonts w:hint="eastAsia" w:ascii="宋体" w:hAnsi="宋体"/>
                <w:b/>
                <w:bCs/>
                <w:color w:val="auto"/>
                <w:szCs w:val="21"/>
                <w:highlight w:val="none"/>
              </w:rPr>
              <w:t>。</w:t>
            </w:r>
          </w:p>
          <w:p>
            <w:pPr>
              <w:spacing w:line="276" w:lineRule="auto"/>
              <w:rPr>
                <w:rStyle w:val="84"/>
                <w:rFonts w:ascii="宋体" w:hAnsi="宋体"/>
                <w:color w:val="auto"/>
                <w:szCs w:val="21"/>
                <w:highlight w:val="none"/>
              </w:rPr>
            </w:pPr>
            <w:r>
              <w:rPr>
                <w:rStyle w:val="84"/>
                <w:rFonts w:hint="eastAsia" w:ascii="宋体" w:hAnsi="宋体"/>
                <w:color w:val="auto"/>
                <w:szCs w:val="21"/>
                <w:highlight w:val="none"/>
              </w:rPr>
              <w:t>注：投标文件解密问题。投标人只用执行一次解密，招标人执行解密次数根据招标文件开标次数确定。</w:t>
            </w:r>
          </w:p>
          <w:p>
            <w:pPr>
              <w:spacing w:line="276" w:lineRule="auto"/>
              <w:rPr>
                <w:rStyle w:val="84"/>
                <w:rFonts w:ascii="宋体" w:hAnsi="宋体"/>
                <w:color w:val="auto"/>
                <w:szCs w:val="21"/>
                <w:highlight w:val="none"/>
              </w:rPr>
            </w:pPr>
            <w:r>
              <w:rPr>
                <w:rStyle w:val="84"/>
                <w:rFonts w:hint="eastAsia" w:ascii="宋体" w:hAnsi="宋体"/>
                <w:color w:val="auto"/>
                <w:szCs w:val="21"/>
                <w:highlight w:val="none"/>
              </w:rPr>
              <w:t>2、递交投标文件备用光盘时间：</w:t>
            </w:r>
            <w:r>
              <w:rPr>
                <w:rStyle w:val="84"/>
                <w:rFonts w:ascii="宋体" w:hAnsi="宋体"/>
                <w:color w:val="auto"/>
                <w:szCs w:val="21"/>
                <w:highlight w:val="none"/>
                <w:u w:val="single"/>
              </w:rPr>
              <w:t>202</w:t>
            </w:r>
            <w:r>
              <w:rPr>
                <w:rStyle w:val="84"/>
                <w:rFonts w:hint="eastAsia" w:ascii="宋体" w:hAnsi="宋体"/>
                <w:color w:val="auto"/>
                <w:szCs w:val="21"/>
                <w:highlight w:val="none"/>
                <w:u w:val="single"/>
              </w:rPr>
              <w:t>3</w:t>
            </w:r>
            <w:r>
              <w:rPr>
                <w:rStyle w:val="84"/>
                <w:rFonts w:ascii="宋体" w:hAnsi="宋体"/>
                <w:color w:val="auto"/>
                <w:szCs w:val="21"/>
                <w:highlight w:val="none"/>
              </w:rPr>
              <w:t>年月日时分至</w:t>
            </w:r>
            <w:r>
              <w:rPr>
                <w:rStyle w:val="84"/>
                <w:rFonts w:ascii="宋体" w:hAnsi="宋体"/>
                <w:color w:val="auto"/>
                <w:szCs w:val="21"/>
                <w:highlight w:val="none"/>
                <w:u w:val="single"/>
              </w:rPr>
              <w:t>202</w:t>
            </w:r>
            <w:r>
              <w:rPr>
                <w:rStyle w:val="84"/>
                <w:rFonts w:hint="eastAsia" w:ascii="宋体" w:hAnsi="宋体"/>
                <w:color w:val="auto"/>
                <w:szCs w:val="21"/>
                <w:highlight w:val="none"/>
                <w:u w:val="single"/>
              </w:rPr>
              <w:t>3</w:t>
            </w:r>
            <w:r>
              <w:rPr>
                <w:rStyle w:val="84"/>
                <w:rFonts w:ascii="宋体" w:hAnsi="宋体"/>
                <w:color w:val="auto"/>
                <w:szCs w:val="21"/>
                <w:highlight w:val="none"/>
              </w:rPr>
              <w:t>年月日时分</w:t>
            </w:r>
            <w:r>
              <w:rPr>
                <w:rStyle w:val="84"/>
                <w:rFonts w:hint="eastAsia" w:ascii="宋体" w:hAnsi="宋体"/>
                <w:color w:val="auto"/>
                <w:szCs w:val="21"/>
                <w:highlight w:val="none"/>
              </w:rPr>
              <w:t>；递交地点：</w:t>
            </w:r>
            <w:r>
              <w:rPr>
                <w:rStyle w:val="84"/>
                <w:rFonts w:ascii="宋体" w:hAnsi="宋体"/>
                <w:color w:val="auto"/>
                <w:szCs w:val="21"/>
                <w:highlight w:val="none"/>
                <w:u w:val="single"/>
              </w:rPr>
              <w:t>广州公共资源交易中心  开标室</w:t>
            </w:r>
            <w:r>
              <w:rPr>
                <w:rFonts w:hint="eastAsia" w:ascii="宋体" w:hAnsi="宋体"/>
                <w:color w:val="auto"/>
                <w:szCs w:val="21"/>
                <w:highlight w:val="none"/>
                <w:u w:val="single"/>
              </w:rPr>
              <w:t>（广州市天河区天润路333号）</w:t>
            </w:r>
            <w:r>
              <w:rPr>
                <w:rStyle w:val="84"/>
                <w:rFonts w:hint="eastAsia" w:ascii="宋体" w:hAnsi="宋体"/>
                <w:color w:val="auto"/>
                <w:szCs w:val="21"/>
                <w:highlight w:val="none"/>
              </w:rPr>
              <w:t>。(建议安排在投标文件截止时间前15分钟至投标文件截止时间）</w:t>
            </w:r>
          </w:p>
          <w:p>
            <w:pPr>
              <w:spacing w:line="276" w:lineRule="auto"/>
              <w:rPr>
                <w:rStyle w:val="84"/>
                <w:rFonts w:ascii="宋体" w:hAnsi="宋体"/>
                <w:color w:val="auto"/>
                <w:szCs w:val="21"/>
                <w:highlight w:val="none"/>
              </w:rPr>
            </w:pPr>
            <w:r>
              <w:rPr>
                <w:rStyle w:val="84"/>
                <w:rFonts w:hint="eastAsia" w:ascii="宋体" w:hAnsi="宋体"/>
                <w:color w:val="auto"/>
                <w:szCs w:val="21"/>
                <w:highlight w:val="none"/>
              </w:rPr>
              <w:t>上述时间及地点是否有改变，请密切留意补充公告和招标答疑纪要的相关信息。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19</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26</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开标评标办法</w:t>
            </w:r>
          </w:p>
        </w:tc>
        <w:tc>
          <w:tcPr>
            <w:tcW w:w="5689" w:type="dxa"/>
            <w:vAlign w:val="center"/>
          </w:tcPr>
          <w:p>
            <w:pPr>
              <w:spacing w:line="276" w:lineRule="auto"/>
              <w:rPr>
                <w:rStyle w:val="84"/>
                <w:rFonts w:ascii="宋体" w:hAnsi="宋体"/>
                <w:color w:val="auto"/>
                <w:szCs w:val="21"/>
                <w:highlight w:val="none"/>
              </w:rPr>
            </w:pPr>
            <w:r>
              <w:rPr>
                <w:rFonts w:hint="eastAsia" w:ascii="宋体" w:hAnsi="宋体"/>
                <w:color w:val="auto"/>
                <w:szCs w:val="21"/>
                <w:highlight w:val="none"/>
              </w:rPr>
              <w:t>方式一：选取办法七（适合综合评分法四，技术标与经济标同时开启）；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20</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29.1</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履约担保</w:t>
            </w:r>
          </w:p>
        </w:tc>
        <w:tc>
          <w:tcPr>
            <w:tcW w:w="5689" w:type="dxa"/>
            <w:vAlign w:val="center"/>
          </w:tcPr>
          <w:p>
            <w:pPr>
              <w:pStyle w:val="7"/>
              <w:topLinePunct/>
              <w:adjustRightInd w:val="0"/>
              <w:spacing w:after="0" w:line="276" w:lineRule="auto"/>
              <w:rPr>
                <w:rFonts w:ascii="宋体" w:hAnsi="宋体"/>
                <w:color w:val="auto"/>
                <w:sz w:val="21"/>
                <w:szCs w:val="21"/>
                <w:highlight w:val="none"/>
              </w:rPr>
            </w:pPr>
            <w:r>
              <w:rPr>
                <w:rStyle w:val="84"/>
                <w:rFonts w:ascii="宋体" w:hAnsi="宋体"/>
                <w:color w:val="auto"/>
                <w:sz w:val="21"/>
                <w:szCs w:val="21"/>
                <w:highlight w:val="none"/>
              </w:rPr>
              <w:t>方式一：中标人提供的履约保证金为中标价款的10%。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21</w:t>
            </w:r>
          </w:p>
        </w:tc>
        <w:tc>
          <w:tcPr>
            <w:tcW w:w="944" w:type="dxa"/>
            <w:vAlign w:val="center"/>
          </w:tcPr>
          <w:p>
            <w:pPr>
              <w:spacing w:line="276" w:lineRule="auto"/>
              <w:jc w:val="center"/>
              <w:rPr>
                <w:rStyle w:val="84"/>
                <w:rFonts w:ascii="宋体" w:hAnsi="宋体"/>
                <w:color w:val="auto"/>
                <w:szCs w:val="21"/>
                <w:highlight w:val="none"/>
              </w:rPr>
            </w:pP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最高投标限价</w:t>
            </w:r>
          </w:p>
        </w:tc>
        <w:tc>
          <w:tcPr>
            <w:tcW w:w="5689" w:type="dxa"/>
            <w:vAlign w:val="center"/>
          </w:tcPr>
          <w:p>
            <w:pPr>
              <w:spacing w:line="276" w:lineRule="auto"/>
              <w:rPr>
                <w:rStyle w:val="84"/>
                <w:rFonts w:ascii="宋体" w:hAnsi="宋体"/>
                <w:color w:val="auto"/>
                <w:sz w:val="21"/>
                <w:szCs w:val="21"/>
                <w:highlight w:val="none"/>
              </w:rPr>
            </w:pPr>
            <w:r>
              <w:rPr>
                <w:rStyle w:val="84"/>
                <w:rFonts w:ascii="宋体" w:hAnsi="宋体"/>
                <w:color w:val="auto"/>
                <w:szCs w:val="21"/>
                <w:highlight w:val="none"/>
              </w:rPr>
              <w:t>本项目最高投标限价为人民币</w:t>
            </w:r>
            <w:r>
              <w:rPr>
                <w:rFonts w:ascii="宋体" w:hAnsi="宋体" w:cs="宋体"/>
                <w:color w:val="auto"/>
                <w:highlight w:val="none"/>
                <w:u w:val="single"/>
              </w:rPr>
              <w:t>4717149.13</w:t>
            </w:r>
            <w:r>
              <w:rPr>
                <w:rStyle w:val="84"/>
                <w:rFonts w:ascii="宋体" w:hAnsi="宋体"/>
                <w:color w:val="auto"/>
                <w:szCs w:val="21"/>
                <w:highlight w:val="none"/>
              </w:rPr>
              <w:t>元</w:t>
            </w:r>
            <w:r>
              <w:rPr>
                <w:rFonts w:hint="eastAsia" w:ascii="宋体" w:hAnsi="宋体"/>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22</w:t>
            </w:r>
          </w:p>
        </w:tc>
        <w:tc>
          <w:tcPr>
            <w:tcW w:w="944" w:type="dxa"/>
            <w:vAlign w:val="center"/>
          </w:tcPr>
          <w:p>
            <w:pPr>
              <w:spacing w:line="276" w:lineRule="auto"/>
              <w:jc w:val="center"/>
              <w:rPr>
                <w:rStyle w:val="84"/>
                <w:rFonts w:ascii="宋体" w:hAnsi="宋体"/>
                <w:color w:val="auto"/>
                <w:szCs w:val="21"/>
                <w:highlight w:val="none"/>
              </w:rPr>
            </w:pP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非竞争费用</w:t>
            </w:r>
          </w:p>
        </w:tc>
        <w:tc>
          <w:tcPr>
            <w:tcW w:w="5689" w:type="dxa"/>
            <w:vAlign w:val="center"/>
          </w:tcPr>
          <w:p>
            <w:pPr>
              <w:spacing w:line="276" w:lineRule="auto"/>
              <w:rPr>
                <w:rStyle w:val="84"/>
                <w:rFonts w:ascii="宋体" w:hAnsi="宋体"/>
                <w:color w:val="auto"/>
                <w:szCs w:val="21"/>
                <w:highlight w:val="none"/>
              </w:rPr>
            </w:pPr>
            <w:r>
              <w:rPr>
                <w:rFonts w:hint="eastAsia" w:ascii="宋体" w:hAnsi="宋体" w:cs="宋体"/>
                <w:color w:val="auto"/>
                <w:highlight w:val="none"/>
              </w:rPr>
              <w:t>本项目绿色施工安全防护措施费为</w:t>
            </w:r>
            <w:r>
              <w:rPr>
                <w:rFonts w:ascii="宋体" w:hAnsi="宋体" w:cs="宋体"/>
                <w:color w:val="auto"/>
                <w:highlight w:val="none"/>
                <w:u w:val="single"/>
              </w:rPr>
              <w:t xml:space="preserve"> 161966.85 </w:t>
            </w:r>
            <w:r>
              <w:rPr>
                <w:rFonts w:hint="eastAsia" w:ascii="宋体" w:hAnsi="宋体" w:cs="宋体"/>
                <w:color w:val="auto"/>
                <w:highlight w:val="none"/>
              </w:rPr>
              <w:t>元，暂列金额为</w:t>
            </w:r>
            <w:r>
              <w:rPr>
                <w:rFonts w:ascii="宋体" w:hAnsi="宋体" w:cs="宋体"/>
                <w:color w:val="auto"/>
                <w:highlight w:val="none"/>
                <w:u w:val="single"/>
              </w:rPr>
              <w:t xml:space="preserve"> 355960.04 </w:t>
            </w:r>
            <w:r>
              <w:rPr>
                <w:rFonts w:hint="eastAsia" w:ascii="宋体" w:hAnsi="宋体" w:cs="宋体"/>
                <w:color w:val="auto"/>
                <w:highlight w:val="none"/>
              </w:rPr>
              <w:t>元，暂估价为</w:t>
            </w:r>
            <w:r>
              <w:rPr>
                <w:rFonts w:ascii="宋体" w:hAnsi="宋体" w:cs="宋体"/>
                <w:color w:val="auto"/>
                <w:highlight w:val="none"/>
                <w:u w:val="single"/>
              </w:rPr>
              <w:t>0</w:t>
            </w:r>
            <w:r>
              <w:rPr>
                <w:rFonts w:hint="eastAsia" w:ascii="宋体" w:hAnsi="宋体" w:cs="宋体"/>
                <w:color w:val="auto"/>
                <w:highlight w:val="none"/>
              </w:rPr>
              <w:t>元。（未按招标文件规定的金额填写的，由评标委员会按照招标文件规定的金额进行修正）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23</w:t>
            </w:r>
          </w:p>
        </w:tc>
        <w:tc>
          <w:tcPr>
            <w:tcW w:w="944" w:type="dxa"/>
            <w:vAlign w:val="center"/>
          </w:tcPr>
          <w:p>
            <w:pPr>
              <w:spacing w:line="276" w:lineRule="auto"/>
              <w:jc w:val="center"/>
              <w:rPr>
                <w:rStyle w:val="84"/>
                <w:rFonts w:ascii="宋体" w:hAnsi="宋体"/>
                <w:color w:val="auto"/>
                <w:szCs w:val="21"/>
                <w:highlight w:val="none"/>
              </w:rPr>
            </w:pPr>
          </w:p>
        </w:tc>
        <w:tc>
          <w:tcPr>
            <w:tcW w:w="1494" w:type="dxa"/>
            <w:vAlign w:val="center"/>
          </w:tcPr>
          <w:p>
            <w:pPr>
              <w:pStyle w:val="118"/>
              <w:spacing w:after="0" w:line="276" w:lineRule="auto"/>
              <w:ind w:firstLine="0"/>
              <w:jc w:val="center"/>
              <w:rPr>
                <w:rStyle w:val="84"/>
                <w:rFonts w:ascii="宋体" w:hAnsi="宋体"/>
                <w:color w:val="auto"/>
                <w:kern w:val="2"/>
                <w:sz w:val="21"/>
                <w:szCs w:val="21"/>
                <w:highlight w:val="none"/>
              </w:rPr>
            </w:pPr>
            <w:r>
              <w:rPr>
                <w:rStyle w:val="84"/>
                <w:rFonts w:ascii="宋体" w:hAnsi="宋体"/>
                <w:color w:val="auto"/>
                <w:kern w:val="2"/>
                <w:sz w:val="21"/>
                <w:szCs w:val="21"/>
                <w:highlight w:val="none"/>
              </w:rPr>
              <w:t>保修期</w:t>
            </w:r>
          </w:p>
        </w:tc>
        <w:tc>
          <w:tcPr>
            <w:tcW w:w="5689" w:type="dxa"/>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按照《建设工程质量管理条例》规定。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24</w:t>
            </w:r>
          </w:p>
        </w:tc>
        <w:tc>
          <w:tcPr>
            <w:tcW w:w="944" w:type="dxa"/>
            <w:vAlign w:val="center"/>
          </w:tcPr>
          <w:p>
            <w:pPr>
              <w:spacing w:line="276" w:lineRule="auto"/>
              <w:jc w:val="center"/>
              <w:rPr>
                <w:rStyle w:val="84"/>
                <w:rFonts w:ascii="宋体" w:hAnsi="宋体"/>
                <w:color w:val="auto"/>
                <w:szCs w:val="21"/>
                <w:highlight w:val="none"/>
              </w:rPr>
            </w:pP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计算评标参考价的等分点值</w:t>
            </w:r>
          </w:p>
        </w:tc>
        <w:tc>
          <w:tcPr>
            <w:tcW w:w="5689" w:type="dxa"/>
            <w:vAlign w:val="center"/>
          </w:tcPr>
          <w:p>
            <w:pPr>
              <w:spacing w:line="276" w:lineRule="auto"/>
              <w:rPr>
                <w:rStyle w:val="84"/>
                <w:rFonts w:ascii="宋体" w:hAnsi="宋体"/>
                <w:color w:val="auto"/>
                <w:szCs w:val="21"/>
                <w:highlight w:val="none"/>
              </w:rPr>
            </w:pPr>
            <w:r>
              <w:rPr>
                <w:rStyle w:val="84"/>
                <w:rFonts w:hint="eastAsia"/>
                <w:color w:val="auto"/>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25</w:t>
            </w:r>
          </w:p>
        </w:tc>
        <w:tc>
          <w:tcPr>
            <w:tcW w:w="944" w:type="dxa"/>
            <w:vAlign w:val="center"/>
          </w:tcPr>
          <w:p>
            <w:pPr>
              <w:spacing w:line="276" w:lineRule="auto"/>
              <w:ind w:firstLine="458"/>
              <w:jc w:val="center"/>
              <w:rPr>
                <w:rStyle w:val="84"/>
                <w:rFonts w:ascii="宋体" w:hAnsi="宋体"/>
                <w:color w:val="auto"/>
                <w:szCs w:val="21"/>
                <w:highlight w:val="none"/>
              </w:rPr>
            </w:pP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进入第二阶段评审的家数</w:t>
            </w:r>
          </w:p>
        </w:tc>
        <w:tc>
          <w:tcPr>
            <w:tcW w:w="5689" w:type="dxa"/>
            <w:vAlign w:val="center"/>
          </w:tcPr>
          <w:p>
            <w:pPr>
              <w:spacing w:line="276" w:lineRule="auto"/>
              <w:rPr>
                <w:rStyle w:val="84"/>
                <w:rFonts w:ascii="宋体" w:hAnsi="宋体"/>
                <w:color w:val="auto"/>
                <w:szCs w:val="21"/>
                <w:highlight w:val="none"/>
              </w:rPr>
            </w:pPr>
            <w:r>
              <w:rPr>
                <w:rStyle w:val="84"/>
                <w:rFonts w:hint="eastAsia"/>
                <w:color w:val="auto"/>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26</w:t>
            </w:r>
          </w:p>
        </w:tc>
        <w:tc>
          <w:tcPr>
            <w:tcW w:w="944" w:type="dxa"/>
            <w:vAlign w:val="center"/>
          </w:tcPr>
          <w:p>
            <w:pPr>
              <w:spacing w:line="276" w:lineRule="auto"/>
              <w:jc w:val="center"/>
              <w:rPr>
                <w:rStyle w:val="84"/>
                <w:rFonts w:ascii="宋体" w:hAnsi="宋体"/>
                <w:color w:val="auto"/>
                <w:szCs w:val="21"/>
                <w:highlight w:val="none"/>
              </w:rPr>
            </w:pP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工程成本警戒价</w:t>
            </w:r>
          </w:p>
        </w:tc>
        <w:tc>
          <w:tcPr>
            <w:tcW w:w="5689" w:type="dxa"/>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工程成本警戒价为</w:t>
            </w:r>
            <w:r>
              <w:rPr>
                <w:rFonts w:ascii="宋体" w:hAnsi="宋体" w:cs="宋体"/>
                <w:color w:val="auto"/>
                <w:highlight w:val="none"/>
                <w:u w:val="single"/>
              </w:rPr>
              <w:t>4245434.22</w:t>
            </w:r>
            <w:r>
              <w:rPr>
                <w:rStyle w:val="84"/>
                <w:rFonts w:ascii="宋体" w:hAnsi="宋体"/>
                <w:color w:val="auto"/>
                <w:szCs w:val="21"/>
                <w:highlight w:val="none"/>
              </w:rPr>
              <w:t>元（招标控制价的</w:t>
            </w:r>
            <w:r>
              <w:rPr>
                <w:rStyle w:val="84"/>
                <w:rFonts w:hint="eastAsia" w:ascii="宋体" w:hAnsi="宋体"/>
                <w:color w:val="auto"/>
                <w:szCs w:val="21"/>
                <w:highlight w:val="none"/>
              </w:rPr>
              <w:t>90</w:t>
            </w:r>
            <w:r>
              <w:rPr>
                <w:rStyle w:val="84"/>
                <w:rFonts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276" w:lineRule="auto"/>
              <w:rPr>
                <w:rStyle w:val="84"/>
                <w:rFonts w:ascii="宋体" w:hAnsi="宋体"/>
                <w:color w:val="auto"/>
                <w:szCs w:val="21"/>
                <w:highlight w:val="none"/>
                <w:u w:val="single"/>
              </w:rPr>
            </w:pPr>
            <w:r>
              <w:rPr>
                <w:rStyle w:val="84"/>
                <w:rFonts w:ascii="宋体" w:hAnsi="宋体"/>
                <w:color w:val="auto"/>
                <w:szCs w:val="21"/>
                <w:highlight w:val="none"/>
              </w:rPr>
              <w:t>注：为充分体现招标人意愿及落实项目招标人负责制，警戒价由招标人决定。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27</w:t>
            </w:r>
          </w:p>
        </w:tc>
        <w:tc>
          <w:tcPr>
            <w:tcW w:w="944" w:type="dxa"/>
            <w:vAlign w:val="center"/>
          </w:tcPr>
          <w:p>
            <w:pPr>
              <w:spacing w:line="276" w:lineRule="auto"/>
              <w:jc w:val="center"/>
              <w:rPr>
                <w:rStyle w:val="84"/>
                <w:rFonts w:ascii="宋体" w:hAnsi="宋体"/>
                <w:color w:val="auto"/>
                <w:szCs w:val="21"/>
                <w:highlight w:val="none"/>
              </w:rPr>
            </w:pP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第一阶段各分值的权重</w:t>
            </w:r>
          </w:p>
        </w:tc>
        <w:tc>
          <w:tcPr>
            <w:tcW w:w="5689" w:type="dxa"/>
            <w:vAlign w:val="center"/>
          </w:tcPr>
          <w:p>
            <w:pPr>
              <w:pStyle w:val="11"/>
              <w:ind w:left="0" w:leftChars="0"/>
              <w:rPr>
                <w:rFonts w:ascii="宋体" w:hAnsi="宋体" w:cs="宋体"/>
                <w:color w:val="auto"/>
                <w:highlight w:val="none"/>
              </w:rPr>
            </w:pPr>
            <w:r>
              <w:rPr>
                <w:rStyle w:val="84"/>
                <w:rFonts w:hint="eastAsia"/>
                <w:color w:val="auto"/>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28</w:t>
            </w:r>
          </w:p>
        </w:tc>
        <w:tc>
          <w:tcPr>
            <w:tcW w:w="944" w:type="dxa"/>
            <w:vAlign w:val="center"/>
          </w:tcPr>
          <w:p>
            <w:pPr>
              <w:spacing w:line="276" w:lineRule="auto"/>
              <w:jc w:val="center"/>
              <w:rPr>
                <w:rStyle w:val="84"/>
                <w:rFonts w:ascii="宋体" w:hAnsi="宋体"/>
                <w:color w:val="auto"/>
                <w:szCs w:val="21"/>
                <w:highlight w:val="none"/>
              </w:rPr>
            </w:pP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评标委员会人数</w:t>
            </w:r>
          </w:p>
        </w:tc>
        <w:tc>
          <w:tcPr>
            <w:tcW w:w="5689" w:type="dxa"/>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评标委员会由招标人依法组建。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29</w:t>
            </w:r>
          </w:p>
        </w:tc>
        <w:tc>
          <w:tcPr>
            <w:tcW w:w="944" w:type="dxa"/>
            <w:vAlign w:val="center"/>
          </w:tcPr>
          <w:p>
            <w:pPr>
              <w:spacing w:line="276" w:lineRule="auto"/>
              <w:jc w:val="center"/>
              <w:rPr>
                <w:rStyle w:val="84"/>
                <w:rFonts w:ascii="宋体" w:hAnsi="宋体"/>
                <w:color w:val="auto"/>
                <w:szCs w:val="21"/>
                <w:highlight w:val="none"/>
              </w:rPr>
            </w:pP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企业综合诚信评价分数</w:t>
            </w:r>
          </w:p>
        </w:tc>
        <w:tc>
          <w:tcPr>
            <w:tcW w:w="5689" w:type="dxa"/>
            <w:vAlign w:val="center"/>
          </w:tcPr>
          <w:p>
            <w:pPr>
              <w:spacing w:line="380" w:lineRule="exact"/>
              <w:rPr>
                <w:color w:val="auto"/>
                <w:highlight w:val="none"/>
              </w:rPr>
            </w:pPr>
            <w:r>
              <w:rPr>
                <w:rFonts w:hint="eastAsia" w:ascii="宋体" w:hAnsi="宋体"/>
                <w:color w:val="auto"/>
                <w:szCs w:val="21"/>
                <w:highlight w:val="none"/>
              </w:rPr>
              <w:t>本项目的企业综合诚信评价分数，以</w:t>
            </w:r>
            <w:r>
              <w:rPr>
                <w:rFonts w:hint="eastAsia" w:ascii="宋体" w:hAnsi="宋体"/>
                <w:color w:val="auto"/>
                <w:szCs w:val="21"/>
                <w:highlight w:val="none"/>
                <w:u w:val="single"/>
              </w:rPr>
              <w:t xml:space="preserve"> 施工企业房建诚信评价  </w:t>
            </w:r>
            <w:r>
              <w:rPr>
                <w:rFonts w:hint="eastAsia" w:ascii="宋体" w:hAnsi="宋体"/>
                <w:color w:val="auto"/>
                <w:szCs w:val="21"/>
                <w:highlight w:val="none"/>
              </w:rPr>
              <w:t>排名为准。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30</w:t>
            </w:r>
          </w:p>
        </w:tc>
        <w:tc>
          <w:tcPr>
            <w:tcW w:w="944" w:type="dxa"/>
            <w:vAlign w:val="center"/>
          </w:tcPr>
          <w:p>
            <w:pPr>
              <w:spacing w:line="276" w:lineRule="auto"/>
              <w:ind w:firstLine="458"/>
              <w:jc w:val="center"/>
              <w:rPr>
                <w:rStyle w:val="84"/>
                <w:rFonts w:ascii="宋体" w:hAnsi="宋体"/>
                <w:strike/>
                <w:color w:val="auto"/>
                <w:szCs w:val="21"/>
                <w:highlight w:val="none"/>
              </w:rPr>
            </w:pP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第二阶段投标人名次的排序方法（适用于办法一、办法二）</w:t>
            </w:r>
          </w:p>
        </w:tc>
        <w:tc>
          <w:tcPr>
            <w:tcW w:w="5689" w:type="dxa"/>
            <w:vAlign w:val="center"/>
          </w:tcPr>
          <w:p>
            <w:pPr>
              <w:spacing w:line="276" w:lineRule="auto"/>
              <w:rPr>
                <w:rStyle w:val="84"/>
                <w:rFonts w:ascii="宋体" w:hAnsi="宋体"/>
                <w:color w:val="auto"/>
                <w:szCs w:val="21"/>
                <w:highlight w:val="none"/>
              </w:rPr>
            </w:pPr>
            <w:r>
              <w:rPr>
                <w:rFonts w:hint="eastAsia" w:ascii="宋体" w:hAnsi="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31</w:t>
            </w:r>
          </w:p>
        </w:tc>
        <w:tc>
          <w:tcPr>
            <w:tcW w:w="944" w:type="dxa"/>
            <w:vAlign w:val="center"/>
          </w:tcPr>
          <w:p>
            <w:pPr>
              <w:spacing w:line="276" w:lineRule="auto"/>
              <w:ind w:firstLine="458"/>
              <w:jc w:val="center"/>
              <w:rPr>
                <w:rStyle w:val="84"/>
                <w:rFonts w:ascii="宋体" w:hAnsi="宋体"/>
                <w:strike/>
                <w:color w:val="auto"/>
                <w:szCs w:val="21"/>
                <w:highlight w:val="none"/>
              </w:rPr>
            </w:pP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经济分相同情况下的排序方法（适用于办法三、办法四）</w:t>
            </w:r>
          </w:p>
        </w:tc>
        <w:tc>
          <w:tcPr>
            <w:tcW w:w="5689" w:type="dxa"/>
            <w:vAlign w:val="center"/>
          </w:tcPr>
          <w:p>
            <w:pPr>
              <w:spacing w:line="276" w:lineRule="auto"/>
              <w:rPr>
                <w:rStyle w:val="84"/>
                <w:rFonts w:ascii="宋体" w:hAnsi="宋体"/>
                <w:color w:val="auto"/>
                <w:szCs w:val="21"/>
                <w:highlight w:val="none"/>
              </w:rPr>
            </w:pPr>
            <w:r>
              <w:rPr>
                <w:rFonts w:hint="eastAsia" w:ascii="宋体" w:hAnsi="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32</w:t>
            </w:r>
          </w:p>
        </w:tc>
        <w:tc>
          <w:tcPr>
            <w:tcW w:w="944" w:type="dxa"/>
            <w:vAlign w:val="center"/>
          </w:tcPr>
          <w:p>
            <w:pPr>
              <w:spacing w:line="276" w:lineRule="auto"/>
              <w:ind w:firstLine="458"/>
              <w:jc w:val="center"/>
              <w:rPr>
                <w:rStyle w:val="84"/>
                <w:rFonts w:ascii="宋体" w:hAnsi="宋体"/>
                <w:color w:val="auto"/>
                <w:szCs w:val="21"/>
                <w:highlight w:val="none"/>
              </w:rPr>
            </w:pP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第二阶段投标人名次的排序方法（适用于办法五、办法六）</w:t>
            </w:r>
          </w:p>
        </w:tc>
        <w:tc>
          <w:tcPr>
            <w:tcW w:w="5689" w:type="dxa"/>
            <w:vAlign w:val="center"/>
          </w:tcPr>
          <w:p>
            <w:pPr>
              <w:spacing w:line="276" w:lineRule="auto"/>
              <w:rPr>
                <w:rStyle w:val="84"/>
                <w:rFonts w:ascii="宋体" w:hAnsi="宋体"/>
                <w:color w:val="auto"/>
                <w:szCs w:val="21"/>
                <w:highlight w:val="none"/>
              </w:rPr>
            </w:pPr>
            <w:r>
              <w:rPr>
                <w:rStyle w:val="84"/>
                <w:rFonts w:hint="eastAsia"/>
                <w:color w:val="auto"/>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33</w:t>
            </w:r>
          </w:p>
        </w:tc>
        <w:tc>
          <w:tcPr>
            <w:tcW w:w="94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13.4、13.5.2</w:t>
            </w: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合同价款的调整办法</w:t>
            </w:r>
          </w:p>
        </w:tc>
        <w:tc>
          <w:tcPr>
            <w:tcW w:w="5689" w:type="dxa"/>
            <w:vAlign w:val="center"/>
          </w:tcPr>
          <w:p>
            <w:pPr>
              <w:spacing w:line="276" w:lineRule="auto"/>
              <w:rPr>
                <w:rStyle w:val="84"/>
                <w:rFonts w:ascii="宋体" w:hAnsi="宋体"/>
                <w:color w:val="auto"/>
                <w:szCs w:val="21"/>
                <w:highlight w:val="none"/>
                <w:u w:val="single"/>
              </w:rPr>
            </w:pPr>
            <w:r>
              <w:rPr>
                <w:color w:val="auto"/>
                <w:highlight w:val="none"/>
              </w:rPr>
              <w:t>按合同条款相关约定调整。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34</w:t>
            </w:r>
          </w:p>
        </w:tc>
        <w:tc>
          <w:tcPr>
            <w:tcW w:w="944" w:type="dxa"/>
            <w:vAlign w:val="center"/>
          </w:tcPr>
          <w:p>
            <w:pPr>
              <w:spacing w:line="276" w:lineRule="auto"/>
              <w:jc w:val="center"/>
              <w:rPr>
                <w:rStyle w:val="84"/>
                <w:rFonts w:ascii="宋体" w:hAnsi="宋体"/>
                <w:color w:val="auto"/>
                <w:szCs w:val="21"/>
                <w:highlight w:val="none"/>
              </w:rPr>
            </w:pPr>
          </w:p>
        </w:tc>
        <w:tc>
          <w:tcPr>
            <w:tcW w:w="1494" w:type="dxa"/>
            <w:vAlign w:val="center"/>
          </w:tcPr>
          <w:p>
            <w:pPr>
              <w:spacing w:line="276" w:lineRule="auto"/>
              <w:jc w:val="center"/>
              <w:rPr>
                <w:rStyle w:val="84"/>
                <w:rFonts w:ascii="宋体" w:hAnsi="宋体"/>
                <w:color w:val="auto"/>
                <w:szCs w:val="21"/>
                <w:highlight w:val="none"/>
              </w:rPr>
            </w:pPr>
            <w:r>
              <w:rPr>
                <w:rStyle w:val="84"/>
                <w:rFonts w:ascii="宋体" w:hAnsi="宋体"/>
                <w:color w:val="auto"/>
                <w:kern w:val="0"/>
                <w:szCs w:val="21"/>
                <w:highlight w:val="none"/>
                <w:lang w:val="zh-CN"/>
              </w:rPr>
              <w:t>建设工程质量检测</w:t>
            </w:r>
            <w:r>
              <w:rPr>
                <w:rStyle w:val="84"/>
                <w:rFonts w:hint="eastAsia" w:ascii="宋体" w:hAnsi="宋体"/>
                <w:color w:val="auto"/>
                <w:kern w:val="0"/>
                <w:szCs w:val="21"/>
                <w:highlight w:val="none"/>
                <w:lang w:val="zh-CN"/>
              </w:rPr>
              <w:t>单位</w:t>
            </w:r>
          </w:p>
        </w:tc>
        <w:tc>
          <w:tcPr>
            <w:tcW w:w="5689" w:type="dxa"/>
            <w:vAlign w:val="center"/>
          </w:tcPr>
          <w:p>
            <w:pPr>
              <w:spacing w:line="276" w:lineRule="auto"/>
              <w:rPr>
                <w:rStyle w:val="84"/>
                <w:rFonts w:ascii="宋体" w:hAnsi="宋体"/>
                <w:color w:val="auto"/>
                <w:kern w:val="0"/>
                <w:szCs w:val="21"/>
                <w:highlight w:val="none"/>
                <w:lang w:val="zh-CN"/>
              </w:rPr>
            </w:pPr>
            <w:r>
              <w:rPr>
                <w:rFonts w:hint="eastAsia" w:ascii="仿宋" w:hAnsi="仿宋" w:eastAsia="仿宋" w:cs="宋体"/>
                <w:bCs/>
                <w:color w:val="auto"/>
                <w:kern w:val="0"/>
                <w:sz w:val="22"/>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35</w:t>
            </w:r>
          </w:p>
        </w:tc>
        <w:tc>
          <w:tcPr>
            <w:tcW w:w="944" w:type="dxa"/>
            <w:vAlign w:val="center"/>
          </w:tcPr>
          <w:p>
            <w:pPr>
              <w:spacing w:line="276" w:lineRule="auto"/>
              <w:jc w:val="center"/>
              <w:rPr>
                <w:rStyle w:val="84"/>
                <w:rFonts w:ascii="宋体" w:hAnsi="宋体"/>
                <w:color w:val="auto"/>
                <w:szCs w:val="21"/>
                <w:highlight w:val="none"/>
              </w:rPr>
            </w:pPr>
          </w:p>
        </w:tc>
        <w:tc>
          <w:tcPr>
            <w:tcW w:w="1494" w:type="dxa"/>
            <w:vAlign w:val="center"/>
          </w:tcPr>
          <w:p>
            <w:pPr>
              <w:spacing w:line="276" w:lineRule="auto"/>
              <w:jc w:val="center"/>
              <w:rPr>
                <w:rStyle w:val="84"/>
                <w:rFonts w:ascii="宋体" w:hAnsi="宋体"/>
                <w:color w:val="auto"/>
                <w:kern w:val="0"/>
                <w:szCs w:val="21"/>
                <w:highlight w:val="none"/>
                <w:lang w:val="zh-CN"/>
              </w:rPr>
            </w:pPr>
            <w:r>
              <w:rPr>
                <w:rStyle w:val="84"/>
                <w:rFonts w:ascii="宋体" w:hAnsi="宋体"/>
                <w:color w:val="auto"/>
                <w:kern w:val="0"/>
                <w:szCs w:val="21"/>
                <w:highlight w:val="none"/>
                <w:lang w:val="zh-CN"/>
              </w:rPr>
              <w:t>分包</w:t>
            </w:r>
          </w:p>
        </w:tc>
        <w:tc>
          <w:tcPr>
            <w:tcW w:w="5689" w:type="dxa"/>
            <w:vAlign w:val="center"/>
          </w:tcPr>
          <w:p>
            <w:pPr>
              <w:spacing w:line="276" w:lineRule="auto"/>
              <w:rPr>
                <w:rStyle w:val="84"/>
                <w:rFonts w:ascii="宋体" w:hAnsi="宋体"/>
                <w:color w:val="auto"/>
                <w:kern w:val="0"/>
                <w:szCs w:val="21"/>
                <w:highlight w:val="none"/>
                <w:lang w:val="zh-CN"/>
              </w:rPr>
            </w:pPr>
            <w:r>
              <w:rPr>
                <w:rStyle w:val="84"/>
                <w:rFonts w:ascii="宋体" w:hAnsi="宋体"/>
                <w:color w:val="auto"/>
                <w:kern w:val="0"/>
                <w:szCs w:val="21"/>
                <w:highlight w:val="none"/>
                <w:lang w:val="zh-CN"/>
              </w:rPr>
              <w:t>□不允许；</w:t>
            </w:r>
          </w:p>
          <w:p>
            <w:pPr>
              <w:spacing w:line="276" w:lineRule="auto"/>
              <w:rPr>
                <w:rStyle w:val="84"/>
                <w:rFonts w:ascii="宋体" w:hAnsi="宋体"/>
                <w:color w:val="auto"/>
                <w:kern w:val="0"/>
                <w:szCs w:val="21"/>
                <w:highlight w:val="none"/>
                <w:lang w:val="zh-CN"/>
              </w:rPr>
            </w:pPr>
            <w:r>
              <w:rPr>
                <w:rStyle w:val="84"/>
                <w:rFonts w:hint="eastAsia" w:ascii="宋体" w:hAnsi="宋体"/>
                <w:color w:val="auto"/>
                <w:kern w:val="0"/>
                <w:szCs w:val="21"/>
                <w:highlight w:val="none"/>
                <w:lang w:val="zh-CN"/>
              </w:rPr>
              <w:t>■</w:t>
            </w:r>
            <w:r>
              <w:rPr>
                <w:rStyle w:val="84"/>
                <w:rFonts w:ascii="宋体" w:hAnsi="宋体"/>
                <w:color w:val="auto"/>
                <w:kern w:val="0"/>
                <w:szCs w:val="21"/>
                <w:highlight w:val="none"/>
                <w:lang w:val="zh-CN"/>
              </w:rPr>
              <w:t>允许：分包内容要要求：</w:t>
            </w:r>
            <w:r>
              <w:rPr>
                <w:rFonts w:hint="eastAsia" w:ascii="宋体" w:hAnsi="宋体" w:cs="宋体"/>
                <w:color w:val="auto"/>
                <w:kern w:val="0"/>
                <w:szCs w:val="21"/>
                <w:highlight w:val="none"/>
                <w:u w:val="single"/>
                <w:lang w:val="zh-CN"/>
              </w:rPr>
              <w:t>非主体的工程、非关键性的工作。</w:t>
            </w:r>
          </w:p>
          <w:p>
            <w:pPr>
              <w:spacing w:line="276" w:lineRule="auto"/>
              <w:rPr>
                <w:rStyle w:val="84"/>
                <w:rFonts w:ascii="宋体" w:hAnsi="宋体"/>
                <w:color w:val="auto"/>
                <w:kern w:val="0"/>
                <w:szCs w:val="21"/>
                <w:highlight w:val="none"/>
                <w:lang w:val="zh-CN"/>
              </w:rPr>
            </w:pPr>
            <w:r>
              <w:rPr>
                <w:rStyle w:val="84"/>
                <w:rFonts w:ascii="宋体" w:hAnsi="宋体"/>
                <w:color w:val="auto"/>
                <w:kern w:val="0"/>
                <w:szCs w:val="21"/>
                <w:highlight w:val="none"/>
                <w:lang w:val="zh-CN"/>
              </w:rPr>
              <w:t xml:space="preserve">        分包金额要求：</w:t>
            </w:r>
            <w:r>
              <w:rPr>
                <w:rFonts w:hint="eastAsia" w:ascii="宋体" w:hAnsi="宋体" w:cs="宋体"/>
                <w:color w:val="auto"/>
                <w:kern w:val="0"/>
                <w:szCs w:val="21"/>
                <w:highlight w:val="none"/>
                <w:u w:val="single"/>
              </w:rPr>
              <w:t>/。</w:t>
            </w:r>
          </w:p>
          <w:p>
            <w:pPr>
              <w:spacing w:line="276" w:lineRule="auto"/>
              <w:rPr>
                <w:rStyle w:val="84"/>
                <w:rFonts w:ascii="宋体" w:hAnsi="宋体"/>
                <w:color w:val="auto"/>
                <w:kern w:val="0"/>
                <w:szCs w:val="21"/>
                <w:highlight w:val="none"/>
                <w:lang w:val="zh-CN"/>
              </w:rPr>
            </w:pPr>
            <w:r>
              <w:rPr>
                <w:rStyle w:val="84"/>
                <w:rFonts w:ascii="宋体" w:hAnsi="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rPr>
              <w:t>相对应的资质。</w:t>
            </w:r>
          </w:p>
          <w:p>
            <w:pPr>
              <w:spacing w:line="276" w:lineRule="auto"/>
              <w:rPr>
                <w:rStyle w:val="84"/>
                <w:rFonts w:ascii="宋体" w:hAnsi="宋体"/>
                <w:color w:val="auto"/>
                <w:kern w:val="0"/>
                <w:szCs w:val="21"/>
                <w:highlight w:val="none"/>
                <w:lang w:val="zh-CN"/>
              </w:rPr>
            </w:pPr>
            <w:r>
              <w:rPr>
                <w:rStyle w:val="84"/>
                <w:rFonts w:ascii="宋体" w:hAnsi="宋体"/>
                <w:color w:val="auto"/>
                <w:kern w:val="0"/>
                <w:szCs w:val="21"/>
                <w:highlight w:val="none"/>
                <w:lang w:val="zh-CN"/>
              </w:rPr>
              <w:t xml:space="preserve">        对分包人的其他要求：</w:t>
            </w:r>
            <w:r>
              <w:rPr>
                <w:rFonts w:hint="eastAsia" w:ascii="宋体" w:hAnsi="宋体" w:cs="宋体"/>
                <w:color w:val="auto"/>
                <w:kern w:val="0"/>
                <w:szCs w:val="21"/>
                <w:highlight w:val="none"/>
                <w:u w:val="single"/>
                <w:lang w:val="zh-CN"/>
              </w:rPr>
              <w:t>未在以往工程中因不诚信行为或不充分履约行为被本项目招标人书面拒绝投标的，或未被纳入联合惩戒范围的。</w:t>
            </w:r>
            <w:r>
              <w:rPr>
                <w:rFonts w:hint="eastAsia" w:ascii="宋体" w:hAnsi="宋体" w:cs="宋体"/>
                <w:color w:val="auto"/>
                <w:kern w:val="0"/>
                <w:szCs w:val="21"/>
                <w:highlight w:val="none"/>
                <w:u w:val="single"/>
              </w:rPr>
              <w:t>须经发包人和总监理工程师书面同意。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36</w:t>
            </w:r>
          </w:p>
        </w:tc>
        <w:tc>
          <w:tcPr>
            <w:tcW w:w="944" w:type="dxa"/>
            <w:vAlign w:val="center"/>
          </w:tcPr>
          <w:p>
            <w:pPr>
              <w:spacing w:line="276" w:lineRule="auto"/>
              <w:jc w:val="center"/>
              <w:rPr>
                <w:rStyle w:val="84"/>
                <w:rFonts w:ascii="宋体" w:hAnsi="宋体"/>
                <w:color w:val="auto"/>
                <w:szCs w:val="21"/>
                <w:highlight w:val="none"/>
              </w:rPr>
            </w:pPr>
          </w:p>
        </w:tc>
        <w:tc>
          <w:tcPr>
            <w:tcW w:w="1494" w:type="dxa"/>
            <w:vAlign w:val="center"/>
          </w:tcPr>
          <w:p>
            <w:pPr>
              <w:spacing w:line="276" w:lineRule="auto"/>
              <w:jc w:val="center"/>
              <w:rPr>
                <w:rStyle w:val="84"/>
                <w:rFonts w:ascii="宋体" w:hAnsi="宋体"/>
                <w:color w:val="auto"/>
                <w:kern w:val="0"/>
                <w:szCs w:val="21"/>
                <w:highlight w:val="none"/>
                <w:lang w:val="zh-CN"/>
              </w:rPr>
            </w:pPr>
            <w:r>
              <w:rPr>
                <w:rStyle w:val="84"/>
                <w:rFonts w:ascii="宋体" w:hAnsi="宋体"/>
                <w:color w:val="auto"/>
                <w:szCs w:val="21"/>
                <w:highlight w:val="none"/>
              </w:rPr>
              <w:t>电子招标投标解密失败及突发情况的补救</w:t>
            </w:r>
          </w:p>
        </w:tc>
        <w:tc>
          <w:tcPr>
            <w:tcW w:w="5689" w:type="dxa"/>
            <w:vAlign w:val="center"/>
          </w:tcPr>
          <w:p>
            <w:pPr>
              <w:spacing w:line="276" w:lineRule="auto"/>
              <w:rPr>
                <w:rStyle w:val="84"/>
                <w:rFonts w:ascii="宋体" w:hAnsi="宋体"/>
                <w:color w:val="auto"/>
                <w:szCs w:val="21"/>
                <w:highlight w:val="none"/>
              </w:rPr>
            </w:pPr>
            <w:r>
              <w:rPr>
                <w:rStyle w:val="84"/>
                <w:rFonts w:hint="eastAsia" w:ascii="宋体" w:hAnsi="宋体"/>
                <w:color w:val="auto"/>
                <w:szCs w:val="21"/>
                <w:highlight w:val="none"/>
              </w:rPr>
              <w:t>1</w:t>
            </w:r>
            <w:r>
              <w:rPr>
                <w:rStyle w:val="84"/>
                <w:rFonts w:ascii="宋体" w:hAnsi="宋体"/>
                <w:color w:val="auto"/>
                <w:szCs w:val="21"/>
                <w:highlight w:val="none"/>
              </w:rPr>
              <w:t>.按照交易平台关于全流程电子化项目的相关指南进行操作。详见：</w:t>
            </w:r>
            <w:r>
              <w:rPr>
                <w:rStyle w:val="84"/>
                <w:rFonts w:hint="eastAsia" w:ascii="宋体" w:hAnsi="宋体"/>
                <w:color w:val="auto"/>
                <w:szCs w:val="21"/>
                <w:highlight w:val="none"/>
                <w:u w:val="single"/>
              </w:rPr>
              <w:t>广州公共资源交易中心网站最新指引</w:t>
            </w:r>
            <w:r>
              <w:rPr>
                <w:rStyle w:val="84"/>
                <w:rFonts w:ascii="宋体" w:hAnsi="宋体"/>
                <w:color w:val="auto"/>
                <w:szCs w:val="21"/>
                <w:highlight w:val="none"/>
              </w:rPr>
              <w:t>。</w:t>
            </w:r>
          </w:p>
          <w:p>
            <w:pPr>
              <w:spacing w:line="276" w:lineRule="auto"/>
              <w:rPr>
                <w:rStyle w:val="84"/>
                <w:rFonts w:ascii="宋体" w:hAnsi="宋体"/>
                <w:color w:val="auto"/>
                <w:szCs w:val="21"/>
                <w:highlight w:val="none"/>
              </w:rPr>
            </w:pPr>
            <w:r>
              <w:rPr>
                <w:rStyle w:val="84"/>
                <w:rFonts w:hint="eastAsia" w:ascii="宋体" w:hAnsi="宋体"/>
                <w:color w:val="auto"/>
                <w:szCs w:val="21"/>
                <w:highlight w:val="none"/>
              </w:rPr>
              <w:t>2</w:t>
            </w:r>
            <w:r>
              <w:rPr>
                <w:rStyle w:val="84"/>
                <w:rFonts w:ascii="宋体" w:hAnsi="宋体"/>
                <w:color w:val="auto"/>
                <w:szCs w:val="21"/>
                <w:highlight w:val="none"/>
              </w:rPr>
              <w:t>.提交投标文件光盘备用</w:t>
            </w:r>
          </w:p>
          <w:p>
            <w:pPr>
              <w:spacing w:line="276" w:lineRule="auto"/>
              <w:rPr>
                <w:rStyle w:val="84"/>
                <w:rFonts w:ascii="宋体" w:hAnsi="宋体"/>
                <w:color w:val="auto"/>
                <w:szCs w:val="21"/>
                <w:highlight w:val="none"/>
              </w:rPr>
            </w:pPr>
            <w:r>
              <w:rPr>
                <w:rStyle w:val="84"/>
                <w:rFonts w:ascii="宋体" w:hAnsi="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r>
              <w:rPr>
                <w:rStyle w:val="84"/>
                <w:rFonts w:hint="eastAsia" w:ascii="宋体" w:hAnsi="宋体"/>
                <w:color w:val="auto"/>
                <w:szCs w:val="21"/>
                <w:highlight w:val="none"/>
              </w:rPr>
              <w:t>。</w:t>
            </w:r>
          </w:p>
          <w:p>
            <w:pPr>
              <w:spacing w:line="276" w:lineRule="auto"/>
              <w:rPr>
                <w:rStyle w:val="84"/>
                <w:rFonts w:ascii="宋体" w:hAnsi="宋体"/>
                <w:color w:val="auto"/>
                <w:szCs w:val="21"/>
                <w:highlight w:val="none"/>
              </w:rPr>
            </w:pPr>
            <w:r>
              <w:rPr>
                <w:rStyle w:val="84"/>
                <w:rFonts w:hint="eastAsia" w:ascii="宋体" w:hAnsi="宋体"/>
                <w:color w:val="auto"/>
                <w:szCs w:val="21"/>
                <w:highlight w:val="none"/>
              </w:rPr>
              <w:t>3</w:t>
            </w:r>
            <w:r>
              <w:rPr>
                <w:rStyle w:val="84"/>
                <w:rFonts w:ascii="宋体" w:hAnsi="宋体"/>
                <w:color w:val="auto"/>
                <w:szCs w:val="21"/>
                <w:highlight w:val="none"/>
              </w:rPr>
              <w:t>.补救方案</w:t>
            </w:r>
          </w:p>
          <w:p>
            <w:pPr>
              <w:spacing w:line="276" w:lineRule="auto"/>
              <w:rPr>
                <w:rStyle w:val="84"/>
                <w:rFonts w:ascii="宋体" w:hAnsi="宋体"/>
                <w:color w:val="auto"/>
                <w:szCs w:val="21"/>
                <w:highlight w:val="none"/>
              </w:rPr>
            </w:pPr>
            <w:r>
              <w:rPr>
                <w:rStyle w:val="84"/>
                <w:rFonts w:ascii="宋体" w:hAnsi="宋体"/>
                <w:color w:val="auto"/>
                <w:szCs w:val="21"/>
                <w:highlight w:val="none"/>
              </w:rPr>
              <w:t>（1）投标文件解密失败的补救方案：</w:t>
            </w:r>
          </w:p>
          <w:p>
            <w:pPr>
              <w:spacing w:line="276" w:lineRule="auto"/>
              <w:rPr>
                <w:rStyle w:val="84"/>
                <w:rFonts w:ascii="宋体" w:hAnsi="宋体"/>
                <w:color w:val="auto"/>
                <w:szCs w:val="21"/>
                <w:highlight w:val="none"/>
              </w:rPr>
            </w:pPr>
            <w:r>
              <w:rPr>
                <w:rStyle w:val="84"/>
                <w:rFonts w:ascii="宋体" w:hAnsi="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276" w:lineRule="auto"/>
              <w:rPr>
                <w:rStyle w:val="84"/>
                <w:rFonts w:ascii="宋体" w:hAnsi="宋体"/>
                <w:color w:val="auto"/>
                <w:szCs w:val="21"/>
                <w:highlight w:val="none"/>
              </w:rPr>
            </w:pPr>
            <w:r>
              <w:rPr>
                <w:rStyle w:val="84"/>
                <w:rFonts w:ascii="宋体" w:hAnsi="宋体"/>
                <w:color w:val="auto"/>
                <w:szCs w:val="21"/>
                <w:highlight w:val="none"/>
              </w:rPr>
              <w:t>（2）评标时突发情况的补救方案</w:t>
            </w:r>
          </w:p>
          <w:p>
            <w:pPr>
              <w:spacing w:line="276" w:lineRule="auto"/>
              <w:rPr>
                <w:rStyle w:val="84"/>
                <w:rFonts w:ascii="宋体" w:hAnsi="宋体"/>
                <w:color w:val="auto"/>
                <w:szCs w:val="21"/>
                <w:highlight w:val="none"/>
              </w:rPr>
            </w:pPr>
            <w:r>
              <w:rPr>
                <w:rStyle w:val="84"/>
                <w:rFonts w:ascii="宋体" w:hAnsi="宋体"/>
                <w:color w:val="auto"/>
                <w:szCs w:val="21"/>
                <w:highlight w:val="none"/>
              </w:rPr>
              <w:t>若遇不可抗力发生（指网络瘫痪、服务器损坏、交易系统故障短期无法恢复等因素），由评标委员会开启投标人递交的全部投标文件光盘，并按光盘内容进行评审。</w:t>
            </w:r>
          </w:p>
          <w:p>
            <w:pPr>
              <w:spacing w:line="276" w:lineRule="auto"/>
              <w:rPr>
                <w:rStyle w:val="84"/>
                <w:rFonts w:ascii="宋体" w:hAnsi="宋体"/>
                <w:color w:val="auto"/>
                <w:kern w:val="0"/>
                <w:szCs w:val="21"/>
                <w:highlight w:val="none"/>
                <w:lang w:val="zh-CN"/>
              </w:rPr>
            </w:pPr>
            <w:r>
              <w:rPr>
                <w:rStyle w:val="84"/>
                <w:rFonts w:ascii="宋体" w:hAnsi="宋体"/>
                <w:color w:val="auto"/>
                <w:szCs w:val="21"/>
                <w:highlight w:val="none"/>
              </w:rPr>
              <w:t>（3）除发生上述情况外，开标评标均以投标人通过交易平台网上递交的电子投标文件为准。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0" w:hRule="atLeast"/>
        </w:trPr>
        <w:tc>
          <w:tcPr>
            <w:tcW w:w="633" w:type="dxa"/>
            <w:vAlign w:val="center"/>
          </w:tcPr>
          <w:p>
            <w:pPr>
              <w:spacing w:line="276" w:lineRule="auto"/>
              <w:jc w:val="center"/>
              <w:rPr>
                <w:rStyle w:val="84"/>
                <w:rFonts w:ascii="宋体" w:hAnsi="宋体"/>
                <w:color w:val="auto"/>
                <w:szCs w:val="21"/>
                <w:highlight w:val="none"/>
              </w:rPr>
            </w:pPr>
            <w:r>
              <w:rPr>
                <w:rStyle w:val="84"/>
                <w:rFonts w:hint="eastAsia" w:ascii="宋体" w:hAnsi="宋体"/>
                <w:color w:val="auto"/>
                <w:szCs w:val="21"/>
                <w:highlight w:val="none"/>
              </w:rPr>
              <w:t>37</w:t>
            </w:r>
          </w:p>
        </w:tc>
        <w:tc>
          <w:tcPr>
            <w:tcW w:w="944" w:type="dxa"/>
            <w:vAlign w:val="center"/>
          </w:tcPr>
          <w:p>
            <w:pPr>
              <w:spacing w:line="276" w:lineRule="auto"/>
              <w:jc w:val="center"/>
              <w:rPr>
                <w:rStyle w:val="84"/>
                <w:rFonts w:ascii="宋体" w:hAnsi="宋体"/>
                <w:color w:val="auto"/>
                <w:szCs w:val="21"/>
                <w:highlight w:val="none"/>
              </w:rPr>
            </w:pPr>
          </w:p>
        </w:tc>
        <w:tc>
          <w:tcPr>
            <w:tcW w:w="1494" w:type="dxa"/>
            <w:vAlign w:val="center"/>
          </w:tcPr>
          <w:p>
            <w:pPr>
              <w:spacing w:line="276" w:lineRule="auto"/>
              <w:jc w:val="center"/>
              <w:rPr>
                <w:rStyle w:val="84"/>
                <w:rFonts w:ascii="宋体" w:hAnsi="宋体"/>
                <w:color w:val="auto"/>
                <w:szCs w:val="21"/>
                <w:highlight w:val="none"/>
              </w:rPr>
            </w:pPr>
            <w:r>
              <w:rPr>
                <w:rFonts w:hint="eastAsia" w:ascii="宋体" w:hAnsi="宋体"/>
                <w:color w:val="auto"/>
                <w:highlight w:val="none"/>
              </w:rPr>
              <w:t>其他</w:t>
            </w:r>
          </w:p>
        </w:tc>
        <w:tc>
          <w:tcPr>
            <w:tcW w:w="5689" w:type="dxa"/>
            <w:vAlign w:val="center"/>
          </w:tcPr>
          <w:p>
            <w:pPr>
              <w:spacing w:line="276" w:lineRule="auto"/>
              <w:rPr>
                <w:color w:val="auto"/>
                <w:highlight w:val="none"/>
              </w:rPr>
            </w:pPr>
            <w:r>
              <w:rPr>
                <w:rFonts w:hint="eastAsia"/>
                <w:color w:val="auto"/>
                <w:highlight w:val="none"/>
              </w:rPr>
              <w:t>中标单位中标后须提供一正二副的纸质投标文件和电子光盘给招标人（纸质投标文件内容须与投标时一致，并加盖投标单位公章）。</w:t>
            </w:r>
          </w:p>
        </w:tc>
      </w:tr>
    </w:tbl>
    <w:p>
      <w:pPr>
        <w:pStyle w:val="146"/>
        <w:spacing w:line="276" w:lineRule="auto"/>
        <w:ind w:left="0"/>
        <w:jc w:val="left"/>
        <w:outlineLvl w:val="1"/>
        <w:rPr>
          <w:rFonts w:ascii="宋体" w:hAnsi="宋体" w:cs="Courier New"/>
          <w:color w:val="auto"/>
          <w:sz w:val="21"/>
          <w:szCs w:val="21"/>
          <w:highlight w:val="none"/>
        </w:rPr>
      </w:pPr>
      <w:bookmarkStart w:id="2" w:name="_Toc105014621"/>
      <w:bookmarkStart w:id="3" w:name="_Toc105005587"/>
      <w:r>
        <w:rPr>
          <w:rFonts w:hint="eastAsia" w:ascii="宋体" w:hAnsi="宋体" w:cs="Courier New"/>
          <w:color w:val="auto"/>
          <w:sz w:val="21"/>
          <w:szCs w:val="21"/>
          <w:highlight w:val="none"/>
        </w:rPr>
        <w:t>注：企业综合诚信评价得分即企业综合诚信评价60日诚信分，以下同。</w:t>
      </w:r>
      <w:bookmarkEnd w:id="2"/>
      <w:bookmarkEnd w:id="3"/>
    </w:p>
    <w:p>
      <w:pPr>
        <w:pStyle w:val="146"/>
        <w:spacing w:line="360" w:lineRule="auto"/>
        <w:outlineLvl w:val="1"/>
        <w:rPr>
          <w:rStyle w:val="84"/>
          <w:rFonts w:ascii="宋体" w:hAnsi="宋体"/>
          <w:b/>
          <w:color w:val="auto"/>
          <w:highlight w:val="none"/>
        </w:rPr>
      </w:pPr>
      <w:r>
        <w:rPr>
          <w:rStyle w:val="84"/>
          <w:rFonts w:ascii="宋体" w:hAnsi="宋体"/>
          <w:b/>
          <w:color w:val="auto"/>
          <w:highlight w:val="none"/>
        </w:rPr>
        <w:br w:type="page"/>
      </w:r>
      <w:bookmarkStart w:id="4" w:name="_Toc105014622"/>
      <w:r>
        <w:rPr>
          <w:rStyle w:val="84"/>
          <w:rFonts w:ascii="宋体" w:hAnsi="宋体"/>
          <w:b/>
          <w:color w:val="auto"/>
          <w:highlight w:val="none"/>
        </w:rPr>
        <w:t>二、投标须知修改表</w:t>
      </w:r>
      <w:bookmarkEnd w:id="4"/>
    </w:p>
    <w:p>
      <w:pPr>
        <w:pStyle w:val="118"/>
        <w:spacing w:line="360" w:lineRule="auto"/>
        <w:rPr>
          <w:rStyle w:val="84"/>
          <w:rFonts w:ascii="宋体" w:hAnsi="宋体"/>
          <w:b/>
          <w:color w:val="auto"/>
          <w:sz w:val="21"/>
          <w:szCs w:val="21"/>
          <w:highlight w:val="none"/>
        </w:rPr>
      </w:pPr>
      <w:r>
        <w:rPr>
          <w:rStyle w:val="84"/>
          <w:rFonts w:ascii="宋体" w:hAnsi="宋体"/>
          <w:b/>
          <w:color w:val="auto"/>
          <w:sz w:val="21"/>
          <w:szCs w:val="21"/>
          <w:highlight w:val="none"/>
        </w:rPr>
        <w:t>声明：</w:t>
      </w:r>
      <w:r>
        <w:rPr>
          <w:rStyle w:val="84"/>
          <w:rFonts w:hint="eastAsia" w:ascii="宋体" w:hAnsi="宋体"/>
          <w:b/>
          <w:color w:val="auto"/>
          <w:sz w:val="21"/>
          <w:szCs w:val="21"/>
          <w:highlight w:val="none"/>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r>
        <w:rPr>
          <w:rStyle w:val="84"/>
          <w:rFonts w:ascii="宋体" w:hAnsi="宋体"/>
          <w:b/>
          <w:color w:val="auto"/>
          <w:sz w:val="21"/>
          <w:szCs w:val="21"/>
          <w:highlight w:val="none"/>
        </w:rPr>
        <w:t>。</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条款号：8.1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hint="eastAsia" w:ascii="宋体" w:hAnsi="宋体"/>
          <w:b/>
          <w:color w:val="auto"/>
          <w:szCs w:val="21"/>
          <w:highlight w:val="none"/>
        </w:rPr>
        <w:t>：</w:t>
      </w:r>
      <w:r>
        <w:rPr>
          <w:rStyle w:val="84"/>
          <w:rFonts w:ascii="宋体" w:hAnsi="宋体"/>
          <w:color w:val="auto"/>
          <w:szCs w:val="21"/>
          <w:highlight w:val="none"/>
        </w:rPr>
        <w:t>8.1投标人若对招标文件（包括招标图纸）中有疑问，可以书面形式通过交易平台提交给招标人或招标代理人，提交形式见本须知前附表第16项。</w:t>
      </w:r>
    </w:p>
    <w:p>
      <w:pPr>
        <w:pBdr>
          <w:bottom w:val="single" w:color="000000" w:sz="6" w:space="1"/>
        </w:pBdr>
        <w:spacing w:line="360" w:lineRule="auto"/>
        <w:ind w:firstLine="422" w:firstLineChars="200"/>
        <w:rPr>
          <w:rStyle w:val="84"/>
          <w:rFonts w:ascii="宋体" w:hAnsi="宋体"/>
          <w:color w:val="auto"/>
          <w:szCs w:val="21"/>
          <w:highlight w:val="none"/>
        </w:rPr>
      </w:pPr>
      <w:r>
        <w:rPr>
          <w:rStyle w:val="84"/>
          <w:rFonts w:ascii="宋体" w:hAnsi="宋体"/>
          <w:b/>
          <w:color w:val="auto"/>
          <w:szCs w:val="21"/>
          <w:highlight w:val="none"/>
        </w:rPr>
        <w:t>现文：</w:t>
      </w:r>
      <w:r>
        <w:rPr>
          <w:rStyle w:val="84"/>
          <w:rFonts w:ascii="宋体" w:hAnsi="宋体"/>
          <w:color w:val="auto"/>
          <w:szCs w:val="21"/>
          <w:highlight w:val="none"/>
        </w:rPr>
        <w:t>8.1投标人若对招标文件</w:t>
      </w:r>
      <w:r>
        <w:rPr>
          <w:rStyle w:val="84"/>
          <w:rFonts w:ascii="宋体" w:hAnsi="宋体"/>
          <w:color w:val="auto"/>
          <w:szCs w:val="21"/>
          <w:highlight w:val="none"/>
          <w:u w:val="single"/>
        </w:rPr>
        <w:t>（包括招标图纸、</w:t>
      </w:r>
      <w:r>
        <w:rPr>
          <w:rStyle w:val="84"/>
          <w:rFonts w:hint="eastAsia" w:ascii="宋体" w:hAnsi="宋体"/>
          <w:color w:val="auto"/>
          <w:szCs w:val="21"/>
          <w:highlight w:val="none"/>
          <w:u w:val="single"/>
        </w:rPr>
        <w:t>招标工程量</w:t>
      </w:r>
      <w:r>
        <w:rPr>
          <w:rStyle w:val="84"/>
          <w:rFonts w:ascii="宋体" w:hAnsi="宋体"/>
          <w:color w:val="auto"/>
          <w:szCs w:val="21"/>
          <w:highlight w:val="none"/>
          <w:u w:val="single"/>
        </w:rPr>
        <w:t>清单、合同条款等）</w:t>
      </w:r>
      <w:r>
        <w:rPr>
          <w:rStyle w:val="84"/>
          <w:rFonts w:ascii="宋体" w:hAnsi="宋体"/>
          <w:color w:val="auto"/>
          <w:szCs w:val="21"/>
          <w:highlight w:val="none"/>
        </w:rPr>
        <w:t>中有疑问，可以书面形式通过</w:t>
      </w:r>
      <w:r>
        <w:rPr>
          <w:rStyle w:val="84"/>
          <w:rFonts w:ascii="宋体" w:hAnsi="宋体"/>
          <w:color w:val="auto"/>
          <w:szCs w:val="21"/>
          <w:highlight w:val="none"/>
          <w:u w:val="single"/>
        </w:rPr>
        <w:t>广州公共资源交易中心</w:t>
      </w:r>
      <w:r>
        <w:rPr>
          <w:rStyle w:val="84"/>
          <w:rFonts w:ascii="宋体" w:hAnsi="宋体"/>
          <w:color w:val="auto"/>
          <w:szCs w:val="21"/>
          <w:highlight w:val="none"/>
        </w:rPr>
        <w:t>交易平台提交给招标人或招标代理人，提交形式见本须知前附表第16项。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条款号：8.2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8.2招标答疑会会议纪要将在提交投标文件截止时间15日前在交易平台 “项目答疑纪要”专区公开发布。答疑纪要一经在交易平台发布，视作已发放给所有投标人。</w:t>
      </w:r>
    </w:p>
    <w:p>
      <w:pPr>
        <w:pBdr>
          <w:bottom w:val="single" w:color="000000" w:sz="6" w:space="1"/>
        </w:pBdr>
        <w:spacing w:line="360" w:lineRule="auto"/>
        <w:ind w:firstLine="422" w:firstLineChars="200"/>
        <w:rPr>
          <w:rStyle w:val="84"/>
          <w:rFonts w:ascii="宋体" w:hAnsi="宋体"/>
          <w:color w:val="auto"/>
          <w:szCs w:val="21"/>
          <w:highlight w:val="none"/>
        </w:rPr>
      </w:pPr>
      <w:r>
        <w:rPr>
          <w:rStyle w:val="84"/>
          <w:rFonts w:ascii="宋体" w:hAnsi="宋体"/>
          <w:b/>
          <w:color w:val="auto"/>
          <w:szCs w:val="21"/>
          <w:highlight w:val="none"/>
        </w:rPr>
        <w:t>现文：</w:t>
      </w:r>
      <w:r>
        <w:rPr>
          <w:rStyle w:val="84"/>
          <w:rFonts w:ascii="宋体" w:hAnsi="宋体"/>
          <w:color w:val="auto"/>
          <w:szCs w:val="21"/>
          <w:highlight w:val="none"/>
        </w:rPr>
        <w:t>8.2招标答疑会会议纪要将在提交投标文件截止时间15日前在</w:t>
      </w:r>
      <w:r>
        <w:rPr>
          <w:rStyle w:val="84"/>
          <w:rFonts w:ascii="宋体" w:hAnsi="宋体"/>
          <w:color w:val="auto"/>
          <w:szCs w:val="21"/>
          <w:highlight w:val="none"/>
          <w:u w:val="single"/>
        </w:rPr>
        <w:t>广州公共资源交易中心</w:t>
      </w:r>
      <w:r>
        <w:rPr>
          <w:rStyle w:val="84"/>
          <w:rFonts w:ascii="宋体" w:hAnsi="宋体"/>
          <w:color w:val="auto"/>
          <w:szCs w:val="21"/>
          <w:highlight w:val="none"/>
        </w:rPr>
        <w:t>交易平台“项目答疑纪要”专区公开发布。答疑纪要一经在</w:t>
      </w:r>
      <w:r>
        <w:rPr>
          <w:rStyle w:val="84"/>
          <w:rFonts w:ascii="宋体" w:hAnsi="宋体"/>
          <w:color w:val="auto"/>
          <w:szCs w:val="21"/>
          <w:highlight w:val="none"/>
          <w:u w:val="single"/>
        </w:rPr>
        <w:t>广州公共资源交易中心</w:t>
      </w:r>
      <w:r>
        <w:rPr>
          <w:rStyle w:val="84"/>
          <w:rFonts w:ascii="宋体" w:hAnsi="宋体"/>
          <w:color w:val="auto"/>
          <w:szCs w:val="21"/>
          <w:highlight w:val="none"/>
        </w:rPr>
        <w:t>交易平台发布，视作已发放给所有投标人。</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条款号：9.2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9.2招标文件的澄清或修改将在交易平台“项目答疑纪要”专区公开发布。答疑纪要一经在交易平台发布，视作已发放给所有投标人，以交易平台上网发布时间作为送达时间。</w:t>
      </w:r>
    </w:p>
    <w:p>
      <w:pPr>
        <w:pBdr>
          <w:bottom w:val="single" w:color="000000" w:sz="6" w:space="1"/>
        </w:pBdr>
        <w:spacing w:line="360" w:lineRule="auto"/>
        <w:ind w:firstLine="422" w:firstLineChars="200"/>
        <w:rPr>
          <w:rStyle w:val="84"/>
          <w:rFonts w:ascii="宋体" w:hAnsi="宋体"/>
          <w:color w:val="auto"/>
          <w:szCs w:val="21"/>
          <w:highlight w:val="none"/>
        </w:rPr>
      </w:pPr>
      <w:r>
        <w:rPr>
          <w:rStyle w:val="84"/>
          <w:rFonts w:ascii="宋体" w:hAnsi="宋体"/>
          <w:b/>
          <w:color w:val="auto"/>
          <w:szCs w:val="21"/>
          <w:highlight w:val="none"/>
        </w:rPr>
        <w:t>现文：</w:t>
      </w:r>
      <w:r>
        <w:rPr>
          <w:rStyle w:val="84"/>
          <w:rFonts w:ascii="宋体" w:hAnsi="宋体"/>
          <w:color w:val="auto"/>
          <w:szCs w:val="21"/>
          <w:highlight w:val="none"/>
        </w:rPr>
        <w:t>9.2招标文件的澄清或修改将在</w:t>
      </w:r>
      <w:r>
        <w:rPr>
          <w:rStyle w:val="84"/>
          <w:rFonts w:ascii="宋体" w:hAnsi="宋体"/>
          <w:color w:val="auto"/>
          <w:szCs w:val="21"/>
          <w:highlight w:val="none"/>
          <w:u w:val="single"/>
        </w:rPr>
        <w:t>广州公共资源交易中心</w:t>
      </w:r>
      <w:r>
        <w:rPr>
          <w:rStyle w:val="84"/>
          <w:rFonts w:ascii="宋体" w:hAnsi="宋体"/>
          <w:color w:val="auto"/>
          <w:szCs w:val="21"/>
          <w:highlight w:val="none"/>
        </w:rPr>
        <w:t>交易平台“项目答疑纪要”专区公开发布。答疑纪要一经在</w:t>
      </w:r>
      <w:r>
        <w:rPr>
          <w:rStyle w:val="84"/>
          <w:rFonts w:ascii="宋体" w:hAnsi="宋体"/>
          <w:color w:val="auto"/>
          <w:szCs w:val="21"/>
          <w:highlight w:val="none"/>
          <w:u w:val="single"/>
        </w:rPr>
        <w:t>广州公共资源交易中心</w:t>
      </w:r>
      <w:r>
        <w:rPr>
          <w:rStyle w:val="84"/>
          <w:rFonts w:ascii="宋体" w:hAnsi="宋体"/>
          <w:color w:val="auto"/>
          <w:szCs w:val="21"/>
          <w:highlight w:val="none"/>
        </w:rPr>
        <w:t>交易平台发布，视作已发放给所有投标人，以</w:t>
      </w:r>
      <w:r>
        <w:rPr>
          <w:rStyle w:val="84"/>
          <w:rFonts w:ascii="宋体" w:hAnsi="宋体"/>
          <w:color w:val="auto"/>
          <w:szCs w:val="21"/>
          <w:highlight w:val="none"/>
          <w:u w:val="single"/>
        </w:rPr>
        <w:t>广州公共资源交易中心</w:t>
      </w:r>
      <w:r>
        <w:rPr>
          <w:rStyle w:val="84"/>
          <w:rFonts w:ascii="宋体" w:hAnsi="宋体"/>
          <w:color w:val="auto"/>
          <w:szCs w:val="21"/>
          <w:highlight w:val="none"/>
        </w:rPr>
        <w:t>交易平台上网发布时间作为送达时间。</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条款号：11.2          修改类型：修改</w:t>
      </w:r>
    </w:p>
    <w:p>
      <w:pPr>
        <w:spacing w:line="360" w:lineRule="auto"/>
        <w:ind w:firstLine="422" w:firstLineChars="200"/>
        <w:rPr>
          <w:rStyle w:val="84"/>
          <w:rFonts w:ascii="宋体" w:hAnsi="宋体"/>
          <w:bCs/>
          <w:color w:val="auto"/>
          <w:szCs w:val="21"/>
          <w:highlight w:val="none"/>
        </w:rPr>
      </w:pPr>
      <w:r>
        <w:rPr>
          <w:rStyle w:val="84"/>
          <w:rFonts w:ascii="宋体" w:hAnsi="宋体"/>
          <w:b/>
          <w:color w:val="auto"/>
          <w:szCs w:val="21"/>
          <w:highlight w:val="none"/>
        </w:rPr>
        <w:t>原文：</w:t>
      </w:r>
      <w:r>
        <w:rPr>
          <w:rStyle w:val="84"/>
          <w:rFonts w:ascii="宋体" w:hAnsi="宋体"/>
          <w:bCs/>
          <w:color w:val="auto"/>
          <w:szCs w:val="21"/>
          <w:highlight w:val="none"/>
        </w:rPr>
        <w:t>11.2投标文件技术标部分主要包括下列内容</w:t>
      </w:r>
      <w:r>
        <w:rPr>
          <w:rStyle w:val="84"/>
          <w:rFonts w:hint="eastAsia" w:ascii="宋体" w:hAnsi="宋体"/>
          <w:bCs/>
          <w:color w:val="auto"/>
          <w:szCs w:val="21"/>
          <w:highlight w:val="none"/>
        </w:rPr>
        <w:t>：</w:t>
      </w:r>
    </w:p>
    <w:p>
      <w:pPr>
        <w:spacing w:line="360" w:lineRule="auto"/>
        <w:ind w:firstLine="420" w:firstLineChars="200"/>
        <w:rPr>
          <w:rStyle w:val="84"/>
          <w:rFonts w:ascii="宋体" w:hAnsi="宋体"/>
          <w:bCs/>
          <w:color w:val="auto"/>
          <w:szCs w:val="21"/>
          <w:highlight w:val="none"/>
        </w:rPr>
      </w:pPr>
      <w:r>
        <w:rPr>
          <w:rStyle w:val="84"/>
          <w:rFonts w:ascii="宋体" w:hAnsi="宋体"/>
          <w:bCs/>
          <w:color w:val="auto"/>
          <w:szCs w:val="21"/>
          <w:highlight w:val="none"/>
        </w:rPr>
        <w:t>11.2.1 技术投标文件</w:t>
      </w:r>
      <w:r>
        <w:rPr>
          <w:rStyle w:val="84"/>
          <w:rFonts w:ascii="宋体" w:hAnsi="宋体"/>
          <w:color w:val="auto"/>
          <w:szCs w:val="21"/>
          <w:highlight w:val="none"/>
        </w:rPr>
        <w:t>(按招标文件的要求填写)</w:t>
      </w:r>
      <w:r>
        <w:rPr>
          <w:rStyle w:val="84"/>
          <w:rFonts w:ascii="宋体" w:hAnsi="宋体"/>
          <w:bCs/>
          <w:color w:val="auto"/>
          <w:szCs w:val="21"/>
          <w:highlight w:val="none"/>
        </w:rPr>
        <w:t>；</w:t>
      </w:r>
    </w:p>
    <w:p>
      <w:pPr>
        <w:spacing w:line="360" w:lineRule="auto"/>
        <w:ind w:firstLine="420" w:firstLineChars="200"/>
        <w:rPr>
          <w:rStyle w:val="84"/>
          <w:rFonts w:ascii="宋体" w:hAnsi="宋体"/>
          <w:bCs/>
          <w:color w:val="auto"/>
          <w:szCs w:val="21"/>
          <w:highlight w:val="none"/>
        </w:rPr>
      </w:pPr>
      <w:r>
        <w:rPr>
          <w:rStyle w:val="84"/>
          <w:rFonts w:ascii="宋体" w:hAnsi="宋体"/>
          <w:bCs/>
          <w:color w:val="auto"/>
          <w:szCs w:val="21"/>
          <w:highlight w:val="none"/>
        </w:rPr>
        <w:t>11.2.2 资格审查文件：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（1）投标人声明；</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（3）企业营业执照（取自平台内上传件）；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（4）企业资质证书（取自平台内上传件）；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（5）建筑施工企业安全生产许可证（取自平台内上传件）；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（6）项目负责人（按网上投标登记时选择拟投标的项目负责人）；</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（7）专职安全员（按网上投标登记时选择拟投标的专职安全员）；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（9）拟委派项目负责人的建造师注册证书或小型项目负责人相关证明（取自平台内上传件）；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（12）用于资格审查的业绩（设置业绩要求时选择此项，投标人</w:t>
      </w:r>
      <w:r>
        <w:rPr>
          <w:rFonts w:hint="eastAsia" w:ascii="宋体" w:hAnsi="宋体"/>
          <w:color w:val="auto"/>
          <w:szCs w:val="21"/>
          <w:highlight w:val="none"/>
        </w:rPr>
        <w:t>须提供类似工程业绩的项目名称及项目编号，具体格式由招标人自定</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olor w:val="auto"/>
          <w:szCs w:val="21"/>
          <w:highlight w:val="none"/>
        </w:rPr>
        <w:t>联合体工作协议应明确约定各方拟承担的工作和责任</w:t>
      </w:r>
      <w:r>
        <w:rPr>
          <w:rFonts w:hint="eastAsia" w:ascii="宋体" w:hAnsi="宋体"/>
          <w:bCs/>
          <w:color w:val="auto"/>
          <w:szCs w:val="21"/>
          <w:highlight w:val="none"/>
        </w:rPr>
        <w:t xml:space="preserve">）； </w:t>
      </w:r>
    </w:p>
    <w:p>
      <w:pPr>
        <w:spacing w:line="360" w:lineRule="auto"/>
        <w:ind w:firstLine="420" w:firstLineChars="200"/>
        <w:rPr>
          <w:rStyle w:val="84"/>
          <w:rFonts w:ascii="宋体" w:hAnsi="宋体"/>
          <w:bCs/>
          <w:color w:val="auto"/>
          <w:szCs w:val="21"/>
          <w:highlight w:val="none"/>
        </w:rPr>
      </w:pPr>
      <w:r>
        <w:rPr>
          <w:rFonts w:hint="eastAsia" w:ascii="宋体" w:hAnsi="宋体"/>
          <w:bCs/>
          <w:color w:val="auto"/>
          <w:szCs w:val="21"/>
          <w:highlight w:val="none"/>
        </w:rPr>
        <w:t>（15）</w:t>
      </w:r>
      <w:r>
        <w:rPr>
          <w:rFonts w:hint="eastAsia" w:ascii="宋体" w:hAnsi="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Style w:val="84"/>
          <w:rFonts w:ascii="宋体" w:hAnsi="宋体"/>
          <w:bCs/>
          <w:color w:val="auto"/>
          <w:szCs w:val="21"/>
          <w:highlight w:val="none"/>
        </w:rPr>
      </w:pPr>
      <w:r>
        <w:rPr>
          <w:rStyle w:val="84"/>
          <w:rFonts w:ascii="宋体" w:hAnsi="宋体"/>
          <w:color w:val="auto"/>
          <w:szCs w:val="21"/>
          <w:highlight w:val="none"/>
        </w:rPr>
        <w:t>11.2.3项目管理机构配备。</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（1）投标人应列出该项目工程的施工组织机构构成和画出机构框架图及其负责人；</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Style w:val="84"/>
          <w:rFonts w:ascii="宋体" w:hAnsi="宋体"/>
          <w:bCs/>
          <w:color w:val="auto"/>
          <w:szCs w:val="21"/>
          <w:highlight w:val="none"/>
        </w:rPr>
      </w:pPr>
      <w:r>
        <w:rPr>
          <w:rFonts w:hint="eastAsia" w:ascii="宋体" w:hAnsi="宋体"/>
          <w:color w:val="auto"/>
          <w:szCs w:val="21"/>
          <w:highlight w:val="none"/>
        </w:rPr>
        <w:t>（3）其他辅助说明资料。</w:t>
      </w:r>
    </w:p>
    <w:p>
      <w:pPr>
        <w:spacing w:line="360" w:lineRule="auto"/>
        <w:ind w:firstLine="420" w:firstLineChars="200"/>
        <w:rPr>
          <w:rStyle w:val="84"/>
          <w:rFonts w:ascii="宋体" w:hAnsi="宋体"/>
          <w:bCs/>
          <w:color w:val="auto"/>
          <w:szCs w:val="21"/>
          <w:highlight w:val="none"/>
        </w:rPr>
      </w:pPr>
      <w:r>
        <w:rPr>
          <w:rStyle w:val="84"/>
          <w:rFonts w:ascii="宋体" w:hAnsi="宋体"/>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Style w:val="84"/>
          <w:rFonts w:ascii="宋体" w:hAnsi="宋体"/>
          <w:bCs/>
          <w:color w:val="auto"/>
          <w:szCs w:val="21"/>
          <w:highlight w:val="none"/>
        </w:rPr>
      </w:pPr>
      <w:r>
        <w:rPr>
          <w:rStyle w:val="84"/>
          <w:rFonts w:ascii="宋体" w:hAnsi="宋体"/>
          <w:color w:val="auto"/>
          <w:szCs w:val="21"/>
          <w:highlight w:val="none"/>
        </w:rPr>
        <w:t>11.2.5施工组织设计或施工方案。</w:t>
      </w:r>
    </w:p>
    <w:p>
      <w:pPr>
        <w:spacing w:line="360" w:lineRule="auto"/>
        <w:ind w:firstLine="420" w:firstLineChars="200"/>
        <w:rPr>
          <w:rStyle w:val="84"/>
          <w:rFonts w:ascii="宋体" w:hAnsi="宋体"/>
          <w:bCs/>
          <w:color w:val="auto"/>
          <w:szCs w:val="21"/>
          <w:highlight w:val="none"/>
        </w:rPr>
      </w:pPr>
      <w:r>
        <w:rPr>
          <w:rStyle w:val="84"/>
          <w:rFonts w:ascii="宋体" w:hAnsi="宋体"/>
          <w:color w:val="auto"/>
          <w:szCs w:val="21"/>
          <w:highlight w:val="none"/>
        </w:rPr>
        <w:t>11.2.6按照</w:t>
      </w:r>
      <w:r>
        <w:rPr>
          <w:rStyle w:val="84"/>
          <w:rFonts w:ascii="宋体" w:hAnsi="宋体"/>
          <w:bCs/>
          <w:color w:val="auto"/>
          <w:szCs w:val="21"/>
          <w:highlight w:val="none"/>
        </w:rPr>
        <w:t>招标文件要求</w:t>
      </w:r>
      <w:r>
        <w:rPr>
          <w:rStyle w:val="84"/>
          <w:rFonts w:ascii="宋体" w:hAnsi="宋体"/>
          <w:color w:val="auto"/>
          <w:szCs w:val="21"/>
          <w:highlight w:val="none"/>
        </w:rPr>
        <w:t>填写的《参与编制技术标投标文件人员名单》。</w:t>
      </w:r>
    </w:p>
    <w:p>
      <w:pPr>
        <w:spacing w:line="360" w:lineRule="auto"/>
        <w:ind w:firstLine="422" w:firstLineChars="200"/>
        <w:rPr>
          <w:rStyle w:val="84"/>
          <w:rFonts w:ascii="宋体" w:hAnsi="宋体"/>
          <w:bCs/>
          <w:color w:val="auto"/>
          <w:szCs w:val="21"/>
          <w:highlight w:val="none"/>
        </w:rPr>
      </w:pPr>
      <w:r>
        <w:rPr>
          <w:rStyle w:val="84"/>
          <w:rFonts w:ascii="宋体" w:hAnsi="宋体"/>
          <w:b/>
          <w:color w:val="auto"/>
          <w:szCs w:val="21"/>
          <w:highlight w:val="none"/>
        </w:rPr>
        <w:t>现文：</w:t>
      </w:r>
      <w:r>
        <w:rPr>
          <w:rStyle w:val="84"/>
          <w:rFonts w:ascii="宋体" w:hAnsi="宋体"/>
          <w:bCs/>
          <w:color w:val="auto"/>
          <w:szCs w:val="21"/>
          <w:highlight w:val="none"/>
        </w:rPr>
        <w:t>11.2投标文件技术标部分主要包括下列内容:</w:t>
      </w:r>
    </w:p>
    <w:p>
      <w:pPr>
        <w:spacing w:line="360" w:lineRule="auto"/>
        <w:ind w:firstLine="420" w:firstLineChars="200"/>
        <w:rPr>
          <w:rStyle w:val="84"/>
          <w:rFonts w:ascii="宋体" w:hAnsi="宋体"/>
          <w:bCs/>
          <w:color w:val="auto"/>
          <w:szCs w:val="21"/>
          <w:highlight w:val="none"/>
        </w:rPr>
      </w:pPr>
      <w:r>
        <w:rPr>
          <w:rStyle w:val="84"/>
          <w:rFonts w:ascii="宋体" w:hAnsi="宋体"/>
          <w:bCs/>
          <w:color w:val="auto"/>
          <w:szCs w:val="21"/>
          <w:highlight w:val="none"/>
        </w:rPr>
        <w:t>11.2.1 技术投标文件</w:t>
      </w:r>
      <w:r>
        <w:rPr>
          <w:rStyle w:val="84"/>
          <w:rFonts w:ascii="宋体" w:hAnsi="宋体"/>
          <w:color w:val="auto"/>
          <w:szCs w:val="21"/>
          <w:highlight w:val="none"/>
        </w:rPr>
        <w:t>(按招标文件的要求填写)</w:t>
      </w:r>
      <w:r>
        <w:rPr>
          <w:rStyle w:val="84"/>
          <w:rFonts w:ascii="宋体" w:hAnsi="宋体"/>
          <w:bCs/>
          <w:color w:val="auto"/>
          <w:szCs w:val="21"/>
          <w:highlight w:val="none"/>
        </w:rPr>
        <w:t>；</w:t>
      </w:r>
    </w:p>
    <w:p>
      <w:pPr>
        <w:spacing w:line="360" w:lineRule="auto"/>
        <w:ind w:firstLine="420" w:firstLineChars="200"/>
        <w:rPr>
          <w:rStyle w:val="84"/>
          <w:rFonts w:ascii="宋体" w:hAnsi="宋体"/>
          <w:bCs/>
          <w:color w:val="auto"/>
          <w:szCs w:val="21"/>
          <w:highlight w:val="none"/>
          <w:u w:val="single"/>
        </w:rPr>
      </w:pPr>
      <w:r>
        <w:rPr>
          <w:rStyle w:val="84"/>
          <w:rFonts w:ascii="宋体" w:hAnsi="宋体"/>
          <w:bCs/>
          <w:color w:val="auto"/>
          <w:szCs w:val="21"/>
          <w:highlight w:val="none"/>
          <w:u w:val="single"/>
        </w:rPr>
        <w:t>（1）广州建设工程施工招标投标书</w:t>
      </w:r>
      <w:r>
        <w:rPr>
          <w:rStyle w:val="84"/>
          <w:rFonts w:hint="eastAsia" w:ascii="宋体" w:hAnsi="宋体"/>
          <w:bCs/>
          <w:color w:val="auto"/>
          <w:szCs w:val="21"/>
          <w:highlight w:val="none"/>
          <w:u w:val="single"/>
        </w:rPr>
        <w:t>（技术标）</w:t>
      </w:r>
      <w:r>
        <w:rPr>
          <w:rStyle w:val="84"/>
          <w:rFonts w:hint="eastAsia"/>
          <w:color w:val="auto"/>
          <w:highlight w:val="none"/>
          <w:u w:val="single"/>
        </w:rPr>
        <w:t>（按招标文件第四章技术标投标文件格式）</w:t>
      </w:r>
      <w:r>
        <w:rPr>
          <w:rStyle w:val="84"/>
          <w:rFonts w:ascii="宋体" w:hAnsi="宋体"/>
          <w:bCs/>
          <w:color w:val="auto"/>
          <w:szCs w:val="21"/>
          <w:highlight w:val="none"/>
          <w:u w:val="single"/>
        </w:rPr>
        <w:t>；</w:t>
      </w:r>
    </w:p>
    <w:p>
      <w:pPr>
        <w:spacing w:line="360" w:lineRule="auto"/>
        <w:ind w:firstLine="420" w:firstLineChars="200"/>
        <w:rPr>
          <w:rStyle w:val="84"/>
          <w:rFonts w:ascii="宋体" w:hAnsi="宋体"/>
          <w:bCs/>
          <w:color w:val="auto"/>
          <w:szCs w:val="21"/>
          <w:highlight w:val="none"/>
        </w:rPr>
      </w:pPr>
      <w:r>
        <w:rPr>
          <w:rStyle w:val="84"/>
          <w:rFonts w:ascii="宋体" w:hAnsi="宋体"/>
          <w:bCs/>
          <w:color w:val="auto"/>
          <w:szCs w:val="21"/>
          <w:highlight w:val="none"/>
        </w:rPr>
        <w:t>11.2.2 资格审查文件：</w:t>
      </w:r>
    </w:p>
    <w:p>
      <w:pPr>
        <w:spacing w:line="360" w:lineRule="auto"/>
        <w:ind w:firstLine="420" w:firstLineChars="200"/>
        <w:rPr>
          <w:rStyle w:val="84"/>
          <w:color w:val="auto"/>
          <w:highlight w:val="none"/>
        </w:rPr>
      </w:pPr>
      <w:r>
        <w:rPr>
          <w:rStyle w:val="84"/>
          <w:rFonts w:ascii="宋体" w:hAnsi="宋体"/>
          <w:bCs/>
          <w:color w:val="auto"/>
          <w:szCs w:val="21"/>
          <w:highlight w:val="none"/>
        </w:rPr>
        <w:t>（1）投标人声</w:t>
      </w:r>
      <w:r>
        <w:rPr>
          <w:rStyle w:val="84"/>
          <w:color w:val="auto"/>
          <w:highlight w:val="none"/>
        </w:rPr>
        <w:t>明</w:t>
      </w:r>
      <w:r>
        <w:rPr>
          <w:rStyle w:val="84"/>
          <w:rFonts w:hint="eastAsia"/>
          <w:color w:val="auto"/>
          <w:highlight w:val="none"/>
          <w:u w:val="single"/>
        </w:rPr>
        <w:t>（按招标公告附件一的格式及内容提交）</w:t>
      </w:r>
      <w:r>
        <w:rPr>
          <w:rStyle w:val="84"/>
          <w:color w:val="auto"/>
          <w:highlight w:val="none"/>
          <w:u w:val="single"/>
        </w:rPr>
        <w:t>；</w:t>
      </w:r>
    </w:p>
    <w:p>
      <w:pPr>
        <w:spacing w:line="360" w:lineRule="auto"/>
        <w:ind w:firstLine="420" w:firstLineChars="200"/>
        <w:rPr>
          <w:rStyle w:val="84"/>
          <w:color w:val="auto"/>
          <w:highlight w:val="none"/>
        </w:rPr>
      </w:pPr>
      <w:r>
        <w:rPr>
          <w:rStyle w:val="84"/>
          <w:color w:val="auto"/>
          <w:highlight w:val="none"/>
        </w:rPr>
        <w:t>（2）法定代表人证明书、法定代表人签字或盖章的本投标文件授权委托证明书；</w:t>
      </w:r>
    </w:p>
    <w:p>
      <w:pPr>
        <w:spacing w:line="360" w:lineRule="auto"/>
        <w:ind w:firstLine="420" w:firstLineChars="200"/>
        <w:rPr>
          <w:rStyle w:val="84"/>
          <w:color w:val="auto"/>
          <w:highlight w:val="none"/>
        </w:rPr>
      </w:pPr>
      <w:r>
        <w:rPr>
          <w:rStyle w:val="84"/>
          <w:color w:val="auto"/>
          <w:highlight w:val="none"/>
        </w:rPr>
        <w:t>（3）企业营业执照（取自</w:t>
      </w:r>
      <w:r>
        <w:rPr>
          <w:rStyle w:val="84"/>
          <w:rFonts w:hint="eastAsia"/>
          <w:color w:val="auto"/>
          <w:highlight w:val="none"/>
        </w:rPr>
        <w:t>平台内</w:t>
      </w:r>
      <w:r>
        <w:rPr>
          <w:rStyle w:val="84"/>
          <w:color w:val="auto"/>
          <w:highlight w:val="none"/>
        </w:rPr>
        <w:t>上传件）；</w:t>
      </w:r>
    </w:p>
    <w:p>
      <w:pPr>
        <w:spacing w:line="360" w:lineRule="auto"/>
        <w:ind w:firstLine="420" w:firstLineChars="200"/>
        <w:rPr>
          <w:rStyle w:val="84"/>
          <w:color w:val="auto"/>
          <w:highlight w:val="none"/>
        </w:rPr>
      </w:pPr>
      <w:r>
        <w:rPr>
          <w:rStyle w:val="84"/>
          <w:color w:val="auto"/>
          <w:highlight w:val="none"/>
        </w:rPr>
        <w:t>（4）企业资质证书（取自</w:t>
      </w:r>
      <w:r>
        <w:rPr>
          <w:rStyle w:val="84"/>
          <w:rFonts w:hint="eastAsia"/>
          <w:color w:val="auto"/>
          <w:highlight w:val="none"/>
        </w:rPr>
        <w:t>平台内</w:t>
      </w:r>
      <w:r>
        <w:rPr>
          <w:rStyle w:val="84"/>
          <w:color w:val="auto"/>
          <w:highlight w:val="none"/>
        </w:rPr>
        <w:t>上传件）；</w:t>
      </w:r>
    </w:p>
    <w:p>
      <w:pPr>
        <w:spacing w:line="360" w:lineRule="auto"/>
        <w:ind w:firstLine="420" w:firstLineChars="200"/>
        <w:rPr>
          <w:rStyle w:val="84"/>
          <w:color w:val="auto"/>
          <w:highlight w:val="none"/>
        </w:rPr>
      </w:pPr>
      <w:r>
        <w:rPr>
          <w:rStyle w:val="84"/>
          <w:color w:val="auto"/>
          <w:highlight w:val="none"/>
        </w:rPr>
        <w:t>（5）建筑施工企业安全生产许可证（取自</w:t>
      </w:r>
      <w:r>
        <w:rPr>
          <w:rStyle w:val="84"/>
          <w:rFonts w:hint="eastAsia"/>
          <w:color w:val="auto"/>
          <w:highlight w:val="none"/>
        </w:rPr>
        <w:t>平台内</w:t>
      </w:r>
      <w:r>
        <w:rPr>
          <w:rStyle w:val="84"/>
          <w:color w:val="auto"/>
          <w:highlight w:val="none"/>
        </w:rPr>
        <w:t>上传件）；</w:t>
      </w:r>
    </w:p>
    <w:p>
      <w:pPr>
        <w:spacing w:line="360" w:lineRule="auto"/>
        <w:ind w:firstLine="420" w:firstLineChars="200"/>
        <w:rPr>
          <w:rStyle w:val="84"/>
          <w:color w:val="auto"/>
          <w:highlight w:val="none"/>
        </w:rPr>
      </w:pPr>
      <w:r>
        <w:rPr>
          <w:rStyle w:val="84"/>
          <w:color w:val="auto"/>
          <w:highlight w:val="none"/>
        </w:rPr>
        <w:t>（6）项目负责人（按网上投标登记时选择拟投标的项目负责人）；</w:t>
      </w:r>
    </w:p>
    <w:p>
      <w:pPr>
        <w:spacing w:line="360" w:lineRule="auto"/>
        <w:ind w:firstLine="420" w:firstLineChars="200"/>
        <w:rPr>
          <w:rStyle w:val="84"/>
          <w:color w:val="auto"/>
          <w:highlight w:val="none"/>
        </w:rPr>
      </w:pPr>
      <w:r>
        <w:rPr>
          <w:rStyle w:val="84"/>
          <w:color w:val="auto"/>
          <w:highlight w:val="none"/>
        </w:rPr>
        <w:t>（7）专职安全员（按网上投标登记时选择拟投标的专职安全员）；</w:t>
      </w:r>
    </w:p>
    <w:p>
      <w:pPr>
        <w:spacing w:line="360" w:lineRule="auto"/>
        <w:ind w:firstLine="420" w:firstLineChars="200"/>
        <w:rPr>
          <w:rStyle w:val="84"/>
          <w:color w:val="auto"/>
          <w:highlight w:val="none"/>
        </w:rPr>
      </w:pPr>
      <w:r>
        <w:rPr>
          <w:rStyle w:val="84"/>
          <w:color w:val="auto"/>
          <w:highlight w:val="none"/>
        </w:rPr>
        <w:t>（8）拟委托技术负责人的相关证书、资料</w:t>
      </w:r>
      <w:r>
        <w:rPr>
          <w:rStyle w:val="84"/>
          <w:rFonts w:hint="eastAsia"/>
          <w:color w:val="auto"/>
          <w:highlight w:val="none"/>
          <w:u w:val="single"/>
        </w:rPr>
        <w:t>（按招标公告要求，原件扫描件）</w:t>
      </w:r>
      <w:r>
        <w:rPr>
          <w:rStyle w:val="84"/>
          <w:color w:val="auto"/>
          <w:highlight w:val="none"/>
        </w:rPr>
        <w:t>；</w:t>
      </w:r>
    </w:p>
    <w:p>
      <w:pPr>
        <w:spacing w:line="360" w:lineRule="auto"/>
        <w:ind w:firstLine="420" w:firstLineChars="200"/>
        <w:rPr>
          <w:rStyle w:val="84"/>
          <w:rFonts w:ascii="宋体" w:hAnsi="宋体"/>
          <w:bCs/>
          <w:color w:val="auto"/>
          <w:szCs w:val="21"/>
          <w:highlight w:val="none"/>
        </w:rPr>
      </w:pPr>
      <w:r>
        <w:rPr>
          <w:rStyle w:val="84"/>
          <w:rFonts w:ascii="宋体" w:hAnsi="宋体"/>
          <w:bCs/>
          <w:color w:val="auto"/>
          <w:szCs w:val="21"/>
          <w:highlight w:val="none"/>
        </w:rPr>
        <w:t>（9）</w:t>
      </w:r>
      <w:r>
        <w:rPr>
          <w:rStyle w:val="84"/>
          <w:rFonts w:hint="eastAsia" w:ascii="宋体" w:hAnsi="宋体"/>
          <w:bCs/>
          <w:color w:val="auto"/>
          <w:szCs w:val="21"/>
          <w:highlight w:val="none"/>
        </w:rPr>
        <w:t>拟委派项目负责人的</w:t>
      </w:r>
      <w:r>
        <w:rPr>
          <w:rStyle w:val="84"/>
          <w:rFonts w:hint="eastAsia"/>
          <w:color w:val="auto"/>
          <w:highlight w:val="none"/>
        </w:rPr>
        <w:t>建造师注册证书</w:t>
      </w:r>
      <w:r>
        <w:rPr>
          <w:rStyle w:val="84"/>
          <w:rFonts w:hint="eastAsia" w:ascii="宋体" w:hAnsi="宋体"/>
          <w:bCs/>
          <w:color w:val="auto"/>
          <w:szCs w:val="21"/>
          <w:highlight w:val="none"/>
          <w:u w:val="single"/>
        </w:rPr>
        <w:t>（取自平台内上传件）</w:t>
      </w:r>
      <w:r>
        <w:rPr>
          <w:rStyle w:val="84"/>
          <w:rFonts w:ascii="宋体" w:hAnsi="宋体"/>
          <w:bCs/>
          <w:color w:val="auto"/>
          <w:szCs w:val="21"/>
          <w:highlight w:val="none"/>
        </w:rPr>
        <w:t xml:space="preserve">； </w:t>
      </w:r>
    </w:p>
    <w:p>
      <w:pPr>
        <w:spacing w:line="360" w:lineRule="auto"/>
        <w:ind w:firstLine="420" w:firstLineChars="200"/>
        <w:rPr>
          <w:rStyle w:val="84"/>
          <w:rFonts w:ascii="宋体" w:hAnsi="宋体"/>
          <w:bCs/>
          <w:color w:val="auto"/>
          <w:szCs w:val="21"/>
          <w:highlight w:val="none"/>
        </w:rPr>
      </w:pPr>
      <w:r>
        <w:rPr>
          <w:rStyle w:val="84"/>
          <w:rFonts w:ascii="宋体" w:hAnsi="宋体"/>
          <w:bCs/>
          <w:color w:val="auto"/>
          <w:szCs w:val="21"/>
          <w:highlight w:val="none"/>
        </w:rPr>
        <w:t>（10）</w:t>
      </w:r>
      <w:r>
        <w:rPr>
          <w:rStyle w:val="84"/>
          <w:rFonts w:hint="eastAsia" w:ascii="宋体" w:hAnsi="宋体"/>
          <w:bCs/>
          <w:color w:val="auto"/>
          <w:szCs w:val="21"/>
          <w:highlight w:val="none"/>
        </w:rPr>
        <w:t>项目负责人安全</w:t>
      </w:r>
      <w:r>
        <w:rPr>
          <w:rStyle w:val="84"/>
          <w:rFonts w:hint="eastAsia" w:ascii="宋体" w:hAnsi="宋体"/>
          <w:b/>
          <w:color w:val="auto"/>
          <w:szCs w:val="21"/>
          <w:highlight w:val="none"/>
        </w:rPr>
        <w:t>生产</w:t>
      </w:r>
      <w:r>
        <w:rPr>
          <w:rStyle w:val="84"/>
          <w:rFonts w:hint="eastAsia" w:ascii="宋体" w:hAnsi="宋体"/>
          <w:bCs/>
          <w:color w:val="auto"/>
          <w:szCs w:val="21"/>
          <w:highlight w:val="none"/>
        </w:rPr>
        <w:t>考核合格证明或在有效期内的安全考核合格证书（B类）或建筑施工企业项目负责人安全生产考核合格证书（取自平台内上传件）</w:t>
      </w:r>
      <w:r>
        <w:rPr>
          <w:rStyle w:val="84"/>
          <w:rFonts w:ascii="宋体" w:hAnsi="宋体"/>
          <w:bCs/>
          <w:color w:val="auto"/>
          <w:szCs w:val="21"/>
          <w:highlight w:val="none"/>
        </w:rPr>
        <w:t>；</w:t>
      </w:r>
    </w:p>
    <w:p>
      <w:pPr>
        <w:spacing w:line="360" w:lineRule="auto"/>
        <w:ind w:firstLine="420" w:firstLineChars="200"/>
        <w:rPr>
          <w:rStyle w:val="84"/>
          <w:rFonts w:ascii="宋体" w:hAnsi="宋体"/>
          <w:bCs/>
          <w:color w:val="auto"/>
          <w:szCs w:val="21"/>
          <w:highlight w:val="none"/>
          <w:u w:val="single"/>
        </w:rPr>
      </w:pPr>
      <w:r>
        <w:rPr>
          <w:rStyle w:val="84"/>
          <w:rFonts w:ascii="宋体" w:hAnsi="宋体"/>
          <w:bCs/>
          <w:color w:val="auto"/>
          <w:szCs w:val="21"/>
          <w:highlight w:val="none"/>
        </w:rPr>
        <w:t>（11）</w:t>
      </w:r>
      <w:r>
        <w:rPr>
          <w:rStyle w:val="84"/>
          <w:rFonts w:hint="eastAsia" w:ascii="宋体" w:hAnsi="宋体"/>
          <w:bCs/>
          <w:color w:val="auto"/>
          <w:szCs w:val="21"/>
          <w:highlight w:val="none"/>
          <w:u w:val="single"/>
        </w:rPr>
        <w:t>专职安全员须具有在有效期内的安全生产考核合格证书（C类）或建筑施工企业专职安全生产管理人员安全生产考核合格证书（C3）（取自平台内上传件）</w:t>
      </w:r>
      <w:r>
        <w:rPr>
          <w:rStyle w:val="84"/>
          <w:rFonts w:ascii="宋体" w:hAnsi="宋体"/>
          <w:bCs/>
          <w:color w:val="auto"/>
          <w:szCs w:val="21"/>
          <w:highlight w:val="none"/>
          <w:u w:val="single"/>
        </w:rPr>
        <w:t>；</w:t>
      </w:r>
    </w:p>
    <w:p>
      <w:pPr>
        <w:spacing w:line="360" w:lineRule="auto"/>
        <w:ind w:firstLine="420" w:firstLineChars="200"/>
        <w:rPr>
          <w:rStyle w:val="84"/>
          <w:rFonts w:ascii="宋体" w:hAnsi="宋体"/>
          <w:bCs/>
          <w:color w:val="auto"/>
          <w:szCs w:val="21"/>
          <w:highlight w:val="none"/>
        </w:rPr>
      </w:pPr>
      <w:r>
        <w:rPr>
          <w:rStyle w:val="84"/>
          <w:rFonts w:ascii="宋体" w:hAnsi="宋体"/>
          <w:bCs/>
          <w:color w:val="auto"/>
          <w:szCs w:val="21"/>
          <w:highlight w:val="none"/>
        </w:rPr>
        <w:t>（12）</w:t>
      </w:r>
      <w:r>
        <w:rPr>
          <w:rStyle w:val="84"/>
          <w:rFonts w:hint="eastAsia" w:ascii="宋体" w:hAnsi="宋体"/>
          <w:bCs/>
          <w:color w:val="auto"/>
          <w:szCs w:val="21"/>
          <w:highlight w:val="none"/>
        </w:rPr>
        <w:t>资格审查前，投标人须在广州市住房和城乡建设局建立企业信用档案，拟担任本工程项目负责人、专职安全员须是本企业信用档案中的在册人员；</w:t>
      </w:r>
    </w:p>
    <w:p>
      <w:pPr>
        <w:spacing w:line="360" w:lineRule="auto"/>
        <w:ind w:firstLine="420" w:firstLineChars="200"/>
        <w:rPr>
          <w:rStyle w:val="84"/>
          <w:rFonts w:ascii="宋体" w:hAnsi="宋体"/>
          <w:bCs/>
          <w:color w:val="auto"/>
          <w:szCs w:val="21"/>
          <w:highlight w:val="none"/>
        </w:rPr>
      </w:pPr>
      <w:r>
        <w:rPr>
          <w:rStyle w:val="84"/>
          <w:rFonts w:ascii="宋体" w:hAnsi="宋体"/>
          <w:bCs/>
          <w:color w:val="auto"/>
          <w:szCs w:val="21"/>
          <w:highlight w:val="none"/>
        </w:rPr>
        <w:t>（</w:t>
      </w:r>
      <w:r>
        <w:rPr>
          <w:rStyle w:val="84"/>
          <w:rFonts w:hint="eastAsia" w:ascii="宋体" w:hAnsi="宋体"/>
          <w:bCs/>
          <w:color w:val="auto"/>
          <w:szCs w:val="21"/>
          <w:highlight w:val="none"/>
        </w:rPr>
        <w:t>13</w:t>
      </w:r>
      <w:r>
        <w:rPr>
          <w:rStyle w:val="84"/>
          <w:rFonts w:ascii="宋体" w:hAnsi="宋体"/>
          <w:bCs/>
          <w:color w:val="auto"/>
          <w:szCs w:val="21"/>
          <w:highlight w:val="none"/>
        </w:rPr>
        <w:t>）投标人认为应提供的其他资料。</w:t>
      </w:r>
    </w:p>
    <w:p>
      <w:pPr>
        <w:spacing w:line="360" w:lineRule="auto"/>
        <w:ind w:firstLine="420" w:firstLineChars="200"/>
        <w:rPr>
          <w:rStyle w:val="84"/>
          <w:rFonts w:ascii="宋体" w:hAnsi="宋体"/>
          <w:color w:val="auto"/>
          <w:szCs w:val="21"/>
          <w:highlight w:val="none"/>
          <w:u w:val="single"/>
        </w:rPr>
      </w:pPr>
      <w:r>
        <w:rPr>
          <w:rStyle w:val="84"/>
          <w:rFonts w:ascii="宋体" w:hAnsi="宋体"/>
          <w:color w:val="auto"/>
          <w:szCs w:val="21"/>
          <w:highlight w:val="none"/>
          <w:u w:val="single"/>
        </w:rPr>
        <w:t>11.2.3</w:t>
      </w:r>
      <w:r>
        <w:rPr>
          <w:rStyle w:val="84"/>
          <w:rFonts w:hint="eastAsia" w:ascii="宋体" w:hAnsi="宋体"/>
          <w:color w:val="auto"/>
          <w:szCs w:val="21"/>
          <w:highlight w:val="none"/>
          <w:u w:val="single"/>
        </w:rPr>
        <w:t>按照招标文件要求填写的《参与编制技术标投标文件人员名单》（格式按招标文件第四章技术标投标文件格式）；</w:t>
      </w:r>
    </w:p>
    <w:p>
      <w:pPr>
        <w:spacing w:line="360" w:lineRule="auto"/>
        <w:ind w:firstLine="420" w:firstLineChars="200"/>
        <w:rPr>
          <w:rStyle w:val="84"/>
          <w:rFonts w:ascii="宋体" w:hAnsi="宋体"/>
          <w:color w:val="auto"/>
          <w:szCs w:val="21"/>
          <w:highlight w:val="none"/>
          <w:u w:val="single"/>
        </w:rPr>
      </w:pPr>
      <w:r>
        <w:rPr>
          <w:rStyle w:val="84"/>
          <w:rFonts w:hint="eastAsia" w:ascii="宋体" w:hAnsi="宋体"/>
          <w:color w:val="auto"/>
          <w:szCs w:val="21"/>
          <w:highlight w:val="none"/>
          <w:u w:val="single"/>
        </w:rPr>
        <w:t>11.2.</w:t>
      </w:r>
      <w:r>
        <w:rPr>
          <w:rStyle w:val="84"/>
          <w:rFonts w:ascii="宋体" w:hAnsi="宋体"/>
          <w:color w:val="auto"/>
          <w:szCs w:val="21"/>
          <w:highlight w:val="none"/>
          <w:u w:val="single"/>
        </w:rPr>
        <w:t>4</w:t>
      </w:r>
      <w:r>
        <w:rPr>
          <w:rStyle w:val="84"/>
          <w:rFonts w:hint="eastAsia" w:ascii="宋体" w:hAnsi="宋体"/>
          <w:color w:val="auto"/>
          <w:szCs w:val="21"/>
          <w:highlight w:val="none"/>
          <w:u w:val="single"/>
        </w:rPr>
        <w:t>《项目管理机构人员配备表》；</w:t>
      </w:r>
    </w:p>
    <w:p>
      <w:pPr>
        <w:spacing w:line="360" w:lineRule="auto"/>
        <w:ind w:firstLine="420" w:firstLineChars="200"/>
        <w:rPr>
          <w:color w:val="auto"/>
          <w:highlight w:val="none"/>
          <w:u w:val="single"/>
        </w:rPr>
      </w:pPr>
      <w:r>
        <w:rPr>
          <w:rStyle w:val="84"/>
          <w:rFonts w:ascii="宋体" w:hAnsi="宋体"/>
          <w:color w:val="auto"/>
          <w:szCs w:val="21"/>
          <w:highlight w:val="none"/>
          <w:u w:val="single"/>
        </w:rPr>
        <w:t>11.2.5</w:t>
      </w:r>
      <w:r>
        <w:rPr>
          <w:rFonts w:hint="eastAsia"/>
          <w:color w:val="auto"/>
          <w:highlight w:val="none"/>
          <w:u w:val="single"/>
        </w:rPr>
        <w:t>按照招标文件《技术标详细审查评分表》提供的相关证明材料（如有）；</w:t>
      </w:r>
    </w:p>
    <w:p>
      <w:pPr>
        <w:pBdr>
          <w:bottom w:val="none" w:color="auto" w:sz="0" w:space="0"/>
        </w:pBdr>
        <w:spacing w:line="360" w:lineRule="auto"/>
        <w:ind w:firstLine="420" w:firstLineChars="200"/>
        <w:rPr>
          <w:rFonts w:ascii="宋体" w:hAnsi="宋体" w:cs="宋体"/>
          <w:color w:val="auto"/>
          <w:szCs w:val="21"/>
          <w:highlight w:val="none"/>
          <w:u w:val="single"/>
        </w:rPr>
      </w:pPr>
      <w:r>
        <w:rPr>
          <w:rStyle w:val="84"/>
          <w:rFonts w:ascii="宋体" w:hAnsi="宋体"/>
          <w:color w:val="auto"/>
          <w:szCs w:val="21"/>
          <w:highlight w:val="none"/>
          <w:u w:val="single"/>
        </w:rPr>
        <w:t>11.2.</w:t>
      </w:r>
      <w:r>
        <w:rPr>
          <w:rStyle w:val="84"/>
          <w:rFonts w:hint="eastAsia" w:ascii="宋体" w:hAnsi="宋体"/>
          <w:color w:val="auto"/>
          <w:szCs w:val="21"/>
          <w:highlight w:val="none"/>
          <w:u w:val="single"/>
        </w:rPr>
        <w:t>6</w:t>
      </w:r>
      <w:r>
        <w:rPr>
          <w:rFonts w:hint="eastAsia"/>
          <w:color w:val="auto"/>
          <w:highlight w:val="none"/>
          <w:u w:val="single"/>
        </w:rPr>
        <w:t>《</w:t>
      </w:r>
      <w:r>
        <w:rPr>
          <w:rFonts w:hint="eastAsia" w:ascii="宋体" w:hAnsi="宋体" w:cs="宋体"/>
          <w:color w:val="auto"/>
          <w:szCs w:val="21"/>
          <w:highlight w:val="none"/>
          <w:u w:val="single"/>
        </w:rPr>
        <w:t>拟选用的《材料、设备品牌一览表》（格式自定）；</w:t>
      </w:r>
    </w:p>
    <w:p>
      <w:pPr>
        <w:pBdr>
          <w:bottom w:val="single" w:color="000000" w:sz="6" w:space="1"/>
        </w:pBdr>
        <w:spacing w:line="360" w:lineRule="auto"/>
        <w:ind w:firstLine="420" w:firstLineChars="200"/>
        <w:rPr>
          <w:color w:val="auto"/>
          <w:highlight w:val="none"/>
        </w:rPr>
      </w:pPr>
      <w:r>
        <w:rPr>
          <w:rFonts w:hint="eastAsia" w:ascii="宋体" w:hAnsi="宋体" w:cs="宋体"/>
          <w:color w:val="auto"/>
          <w:szCs w:val="21"/>
          <w:highlight w:val="none"/>
          <w:u w:val="single"/>
        </w:rPr>
        <w:t xml:space="preserve">11.2.7 </w:t>
      </w:r>
      <w:r>
        <w:rPr>
          <w:rStyle w:val="84"/>
          <w:rFonts w:hint="eastAsia" w:ascii="宋体" w:hAnsi="宋体"/>
          <w:color w:val="auto"/>
          <w:szCs w:val="21"/>
          <w:highlight w:val="none"/>
          <w:u w:val="single"/>
        </w:rPr>
        <w:t>其他投</w:t>
      </w:r>
      <w:r>
        <w:rPr>
          <w:rFonts w:hint="eastAsia"/>
          <w:color w:val="auto"/>
          <w:highlight w:val="none"/>
          <w:u w:val="single"/>
        </w:rPr>
        <w:t>标人认为应该提供的资料。</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条款号：11.3.3       修改类型：修改</w:t>
      </w:r>
    </w:p>
    <w:p>
      <w:pPr>
        <w:pBdr>
          <w:bottom w:val="single" w:color="auto" w:sz="6" w:space="1"/>
        </w:pBdr>
        <w:tabs>
          <w:tab w:val="left" w:pos="6329"/>
        </w:tabs>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11.3.3按照招标文件要求填写的《参与编制经济标投标文件人员名单》。</w:t>
      </w:r>
    </w:p>
    <w:p>
      <w:pPr>
        <w:pBdr>
          <w:bottom w:val="single" w:color="auto" w:sz="6" w:space="1"/>
        </w:pBdr>
        <w:tabs>
          <w:tab w:val="left" w:pos="6329"/>
        </w:tabs>
        <w:spacing w:line="360" w:lineRule="auto"/>
        <w:ind w:firstLine="422" w:firstLineChars="200"/>
        <w:rPr>
          <w:rFonts w:ascii="宋体" w:hAnsi="宋体"/>
          <w:bCs/>
          <w:color w:val="auto"/>
          <w:szCs w:val="21"/>
          <w:highlight w:val="none"/>
          <w:u w:val="single"/>
        </w:rPr>
      </w:pPr>
      <w:r>
        <w:rPr>
          <w:rFonts w:hint="eastAsia" w:ascii="宋体" w:hAnsi="宋体"/>
          <w:b/>
          <w:color w:val="auto"/>
          <w:szCs w:val="21"/>
          <w:highlight w:val="none"/>
        </w:rPr>
        <w:t>现文：</w:t>
      </w:r>
      <w:r>
        <w:rPr>
          <w:rFonts w:hint="eastAsia" w:ascii="宋体" w:hAnsi="宋体"/>
          <w:bCs/>
          <w:color w:val="auto"/>
          <w:szCs w:val="21"/>
          <w:highlight w:val="none"/>
        </w:rPr>
        <w:t>11.3.3按照招标文件要求填写的《参与编制经济标投标文件人员名单》</w:t>
      </w:r>
      <w:r>
        <w:rPr>
          <w:rFonts w:hint="eastAsia" w:ascii="宋体" w:hAnsi="宋体"/>
          <w:bCs/>
          <w:color w:val="auto"/>
          <w:szCs w:val="21"/>
          <w:highlight w:val="none"/>
          <w:u w:val="single"/>
        </w:rPr>
        <w:t>、《对投标文件编制的承诺》、</w:t>
      </w:r>
      <w:r>
        <w:rPr>
          <w:rFonts w:hint="eastAsia"/>
          <w:color w:val="auto"/>
          <w:highlight w:val="none"/>
          <w:u w:val="single"/>
        </w:rPr>
        <w:t>《</w:t>
      </w:r>
      <w:r>
        <w:rPr>
          <w:color w:val="auto"/>
          <w:highlight w:val="none"/>
          <w:u w:val="single"/>
        </w:rPr>
        <w:t>广州建设工程施工招标投标书</w:t>
      </w:r>
      <w:r>
        <w:rPr>
          <w:rFonts w:hint="eastAsia"/>
          <w:color w:val="auto"/>
          <w:highlight w:val="none"/>
          <w:u w:val="single"/>
        </w:rPr>
        <w:t>（经济标）》</w:t>
      </w:r>
      <w:r>
        <w:rPr>
          <w:rFonts w:hint="eastAsia" w:ascii="宋体" w:hAnsi="宋体"/>
          <w:bCs/>
          <w:color w:val="auto"/>
          <w:szCs w:val="21"/>
          <w:highlight w:val="none"/>
          <w:u w:val="single"/>
        </w:rPr>
        <w:t>（按招标文件第四章经济标投标文件格式）。</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条款号：11.3.5         修改类型：增加</w:t>
      </w:r>
    </w:p>
    <w:p>
      <w:pPr>
        <w:pBdr>
          <w:bottom w:val="single" w:color="auto" w:sz="6" w:space="1"/>
        </w:pBdr>
        <w:tabs>
          <w:tab w:val="left" w:pos="6329"/>
        </w:tabs>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11.3.5其他投标人认为应该提供的资料。</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条款号：1</w:t>
      </w:r>
      <w:r>
        <w:rPr>
          <w:rFonts w:ascii="宋体" w:hAnsi="宋体"/>
          <w:b/>
          <w:color w:val="auto"/>
          <w:szCs w:val="21"/>
          <w:highlight w:val="none"/>
        </w:rPr>
        <w:t xml:space="preserve">2.2          </w:t>
      </w:r>
      <w:r>
        <w:rPr>
          <w:rFonts w:hint="eastAsia" w:ascii="宋体" w:hAnsi="宋体"/>
          <w:b/>
          <w:color w:val="auto"/>
          <w:szCs w:val="21"/>
          <w:highlight w:val="none"/>
        </w:rPr>
        <w:t>修改类型：</w:t>
      </w:r>
      <w:r>
        <w:rPr>
          <w:rStyle w:val="84"/>
          <w:rFonts w:ascii="宋体" w:hAnsi="宋体"/>
          <w:b/>
          <w:color w:val="auto"/>
          <w:szCs w:val="21"/>
          <w:highlight w:val="none"/>
        </w:rPr>
        <w:t>修改</w:t>
      </w:r>
    </w:p>
    <w:p>
      <w:pPr>
        <w:pBdr>
          <w:bottom w:val="single" w:color="auto" w:sz="6" w:space="1"/>
        </w:pBdr>
        <w:tabs>
          <w:tab w:val="left" w:pos="6329"/>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ascii="宋体" w:hAnsi="宋体"/>
          <w:bCs/>
          <w:color w:val="auto"/>
          <w:szCs w:val="21"/>
          <w:highlight w:val="none"/>
        </w:rPr>
        <w:t xml:space="preserve">12.2 </w:t>
      </w:r>
      <w:r>
        <w:rPr>
          <w:rFonts w:hint="eastAsia" w:ascii="宋体" w:hAnsi="宋体"/>
          <w:color w:val="auto"/>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bCs/>
          <w:color w:val="auto"/>
          <w:szCs w:val="21"/>
          <w:highlight w:val="none"/>
        </w:rPr>
        <w:t>。</w:t>
      </w:r>
    </w:p>
    <w:p>
      <w:pPr>
        <w:pBdr>
          <w:bottom w:val="single" w:color="auto" w:sz="6" w:space="1"/>
        </w:pBdr>
        <w:tabs>
          <w:tab w:val="left" w:pos="6329"/>
        </w:tabs>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1</w:t>
      </w:r>
      <w:r>
        <w:rPr>
          <w:rFonts w:ascii="宋体" w:hAnsi="宋体" w:cs="宋体"/>
          <w:color w:val="auto"/>
          <w:szCs w:val="21"/>
          <w:highlight w:val="none"/>
        </w:rPr>
        <w:t xml:space="preserve">2.2 </w:t>
      </w:r>
      <w:r>
        <w:rPr>
          <w:rFonts w:hint="eastAsia" w:ascii="宋体" w:hAnsi="宋体" w:cs="宋体"/>
          <w:color w:val="auto"/>
          <w:szCs w:val="21"/>
          <w:highlight w:val="none"/>
        </w:rPr>
        <w:t>投标文件全部采用电子文档，投标文件所附证书证件均为原件</w:t>
      </w:r>
      <w:r>
        <w:rPr>
          <w:rFonts w:hint="eastAsia" w:ascii="宋体" w:hAnsi="宋体" w:cs="宋体"/>
          <w:color w:val="auto"/>
          <w:szCs w:val="21"/>
          <w:highlight w:val="none"/>
          <w:u w:val="single"/>
        </w:rPr>
        <w:t>清晰</w:t>
      </w:r>
      <w:r>
        <w:rPr>
          <w:rFonts w:hint="eastAsia" w:ascii="宋体" w:hAnsi="宋体" w:cs="宋体"/>
          <w:color w:val="auto"/>
          <w:szCs w:val="21"/>
          <w:highlight w:val="none"/>
        </w:rPr>
        <w:t>扫描件，并采用单位数字证书，按招标文件要求在相应位置加盖电子印章。投标文件中需个人签字或盖章的，</w:t>
      </w:r>
      <w:r>
        <w:rPr>
          <w:rFonts w:hint="eastAsia" w:ascii="宋体" w:hAnsi="宋体"/>
          <w:color w:val="auto"/>
          <w:szCs w:val="21"/>
          <w:highlight w:val="none"/>
        </w:rPr>
        <w:t>应加盖个人电子印章或在线下完成后扫描上传</w:t>
      </w:r>
      <w:r>
        <w:rPr>
          <w:rFonts w:hint="eastAsia" w:ascii="宋体" w:hAnsi="宋体" w:cs="宋体"/>
          <w:color w:val="auto"/>
          <w:szCs w:val="21"/>
          <w:highlight w:val="none"/>
        </w:rPr>
        <w:t>。按照广州公共资源交易中心交易平台关于全流程电子化项目的相关指南进行操作。详见：</w:t>
      </w:r>
      <w:r>
        <w:rPr>
          <w:rFonts w:hint="eastAsia" w:ascii="宋体" w:hAnsi="宋体" w:cs="宋体"/>
          <w:color w:val="auto"/>
          <w:szCs w:val="21"/>
          <w:highlight w:val="none"/>
          <w:u w:val="single"/>
        </w:rPr>
        <w:t>广州公共资源交易中心网站最新指引。</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 xml:space="preserve">条款号：12.3          </w:t>
      </w:r>
      <w:r>
        <w:rPr>
          <w:rStyle w:val="84"/>
          <w:rFonts w:hint="eastAsia" w:ascii="宋体" w:hAnsi="宋体"/>
          <w:b/>
          <w:color w:val="auto"/>
          <w:szCs w:val="21"/>
          <w:highlight w:val="none"/>
        </w:rPr>
        <w:t>修</w:t>
      </w:r>
      <w:r>
        <w:rPr>
          <w:rStyle w:val="84"/>
          <w:rFonts w:ascii="宋体" w:hAnsi="宋体"/>
          <w:b/>
          <w:color w:val="auto"/>
          <w:szCs w:val="21"/>
          <w:highlight w:val="none"/>
        </w:rPr>
        <w:t>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12.3</w:t>
      </w:r>
      <w:r>
        <w:rPr>
          <w:rStyle w:val="84"/>
          <w:rFonts w:ascii="宋体" w:hAnsi="宋体"/>
          <w:bCs/>
          <w:color w:val="auto"/>
          <w:szCs w:val="21"/>
          <w:highlight w:val="none"/>
        </w:rPr>
        <w:t>投标文件应按</w:t>
      </w:r>
      <w:r>
        <w:rPr>
          <w:rStyle w:val="84"/>
          <w:rFonts w:ascii="宋体" w:hAnsi="宋体"/>
          <w:color w:val="auto"/>
          <w:szCs w:val="21"/>
          <w:highlight w:val="none"/>
        </w:rPr>
        <w:t>照交易平台关于全流程电子化项目的相关指南进行编制，详见：。</w:t>
      </w:r>
    </w:p>
    <w:p>
      <w:pPr>
        <w:pBdr>
          <w:bottom w:val="single" w:color="000000" w:sz="6" w:space="1"/>
        </w:pBdr>
        <w:spacing w:line="360" w:lineRule="auto"/>
        <w:ind w:firstLine="422" w:firstLineChars="200"/>
        <w:rPr>
          <w:rFonts w:cs="宋体"/>
          <w:color w:val="auto"/>
          <w:highlight w:val="none"/>
        </w:rPr>
      </w:pPr>
      <w:r>
        <w:rPr>
          <w:rStyle w:val="84"/>
          <w:rFonts w:ascii="宋体" w:hAnsi="宋体"/>
          <w:b/>
          <w:color w:val="auto"/>
          <w:szCs w:val="21"/>
          <w:highlight w:val="none"/>
        </w:rPr>
        <w:t>现文：</w:t>
      </w:r>
      <w:r>
        <w:rPr>
          <w:rStyle w:val="84"/>
          <w:rFonts w:ascii="宋体" w:hAnsi="宋体"/>
          <w:color w:val="auto"/>
          <w:szCs w:val="21"/>
          <w:highlight w:val="none"/>
        </w:rPr>
        <w:t xml:space="preserve">12.3 </w:t>
      </w:r>
      <w:r>
        <w:rPr>
          <w:rStyle w:val="84"/>
          <w:rFonts w:ascii="宋体" w:hAnsi="宋体"/>
          <w:bCs/>
          <w:color w:val="auto"/>
          <w:szCs w:val="21"/>
          <w:highlight w:val="none"/>
        </w:rPr>
        <w:t>投标文件应按</w:t>
      </w:r>
      <w:r>
        <w:rPr>
          <w:rStyle w:val="84"/>
          <w:rFonts w:ascii="宋体" w:hAnsi="宋体"/>
          <w:color w:val="auto"/>
          <w:szCs w:val="21"/>
          <w:highlight w:val="none"/>
        </w:rPr>
        <w:t>照交易平台关于全流程电子化项目的相关指南进</w:t>
      </w:r>
      <w:r>
        <w:rPr>
          <w:rFonts w:cs="宋体"/>
          <w:color w:val="auto"/>
          <w:highlight w:val="none"/>
        </w:rPr>
        <w:t>行编制，详见：</w:t>
      </w:r>
      <w:r>
        <w:rPr>
          <w:rFonts w:hint="eastAsia" w:cs="宋体"/>
          <w:color w:val="auto"/>
          <w:highlight w:val="none"/>
          <w:u w:val="single"/>
        </w:rPr>
        <w:t>广州公共资源交易中心网站最新指引</w:t>
      </w:r>
      <w:r>
        <w:rPr>
          <w:rFonts w:cs="宋体"/>
          <w:color w:val="auto"/>
          <w:highlight w:val="none"/>
          <w:u w:val="single"/>
        </w:rPr>
        <w:t>。</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条款号：13.1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13.1本工程的投标报价采用投标须知前附表第12项所规定的方式。投标报价（含单价及总价）精确到“分”。</w:t>
      </w:r>
    </w:p>
    <w:p>
      <w:pPr>
        <w:pBdr>
          <w:bottom w:val="single" w:color="000000" w:sz="6" w:space="1"/>
        </w:pBdr>
        <w:spacing w:line="360" w:lineRule="auto"/>
        <w:ind w:firstLine="422" w:firstLineChars="200"/>
        <w:rPr>
          <w:rStyle w:val="84"/>
          <w:rFonts w:ascii="宋体" w:hAnsi="宋体"/>
          <w:color w:val="auto"/>
          <w:szCs w:val="21"/>
          <w:highlight w:val="none"/>
          <w:u w:val="single"/>
        </w:rPr>
      </w:pPr>
      <w:r>
        <w:rPr>
          <w:rStyle w:val="84"/>
          <w:rFonts w:ascii="宋体" w:hAnsi="宋体"/>
          <w:b/>
          <w:color w:val="auto"/>
          <w:szCs w:val="21"/>
          <w:highlight w:val="none"/>
        </w:rPr>
        <w:t>现文：</w:t>
      </w:r>
      <w:r>
        <w:rPr>
          <w:rStyle w:val="84"/>
          <w:rFonts w:ascii="宋体" w:hAnsi="宋体"/>
          <w:color w:val="auto"/>
          <w:szCs w:val="21"/>
          <w:highlight w:val="none"/>
        </w:rPr>
        <w:t>13.1本工程的投标报价采用投标须知前附表第12项所规定的方式。投标报价（含单价及总价）精确到“分”。</w:t>
      </w:r>
      <w:r>
        <w:rPr>
          <w:rStyle w:val="84"/>
          <w:rFonts w:ascii="宋体" w:hAnsi="宋体"/>
          <w:color w:val="auto"/>
          <w:szCs w:val="21"/>
          <w:highlight w:val="none"/>
          <w:u w:val="single"/>
        </w:rPr>
        <w:t>投标文件中的大写金额和小写金额不一致的，以大写金额为准。</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条款号：13.3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13.3</w:t>
      </w:r>
      <w:r>
        <w:rPr>
          <w:rStyle w:val="84"/>
          <w:rFonts w:hint="eastAsia" w:ascii="宋体" w:hAnsi="宋体"/>
          <w:color w:val="auto"/>
          <w:szCs w:val="21"/>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000000" w:sz="6" w:space="1"/>
        </w:pBdr>
        <w:spacing w:line="360" w:lineRule="auto"/>
        <w:ind w:firstLine="422" w:firstLineChars="200"/>
        <w:rPr>
          <w:rStyle w:val="84"/>
          <w:rFonts w:ascii="宋体" w:hAnsi="宋体"/>
          <w:color w:val="auto"/>
          <w:szCs w:val="21"/>
          <w:highlight w:val="none"/>
        </w:rPr>
      </w:pPr>
      <w:r>
        <w:rPr>
          <w:rStyle w:val="84"/>
          <w:rFonts w:ascii="宋体" w:hAnsi="宋体"/>
          <w:b/>
          <w:color w:val="auto"/>
          <w:szCs w:val="21"/>
          <w:highlight w:val="none"/>
        </w:rPr>
        <w:t>现文：</w:t>
      </w:r>
      <w:r>
        <w:rPr>
          <w:rStyle w:val="84"/>
          <w:rFonts w:ascii="宋体" w:hAnsi="宋体"/>
          <w:color w:val="auto"/>
          <w:szCs w:val="21"/>
          <w:highlight w:val="none"/>
        </w:rPr>
        <w:t>13.3</w:t>
      </w:r>
      <w:r>
        <w:rPr>
          <w:rFonts w:hint="eastAsia" w:ascii="宋体" w:hAnsi="宋体" w:cs="宋体"/>
          <w:color w:val="auto"/>
          <w:szCs w:val="21"/>
          <w:highlight w:val="none"/>
        </w:rPr>
        <w:t>投标人的投标报价，应是按照投标须知前附表第8项的工期要求，在投标须知前附表第3项的建设地点，完成投标须知前附表第7项的招标范围内已由招标</w:t>
      </w:r>
      <w:r>
        <w:rPr>
          <w:rStyle w:val="84"/>
          <w:rFonts w:hint="eastAsia"/>
          <w:color w:val="auto"/>
          <w:highlight w:val="none"/>
        </w:rPr>
        <w:t>人</w:t>
      </w:r>
      <w:r>
        <w:rPr>
          <w:rStyle w:val="84"/>
          <w:rFonts w:hint="eastAsia"/>
          <w:color w:val="auto"/>
          <w:highlight w:val="none"/>
          <w:u w:val="single"/>
        </w:rPr>
        <w:t>提供的招标图纸（包括有关于本项目招标的相关资料）及制定的工程量清单列明工作的全部费用</w:t>
      </w:r>
      <w:r>
        <w:rPr>
          <w:rStyle w:val="84"/>
          <w:rFonts w:hint="eastAsia"/>
          <w:color w:val="auto"/>
          <w:highlight w:val="none"/>
        </w:rPr>
        <w:t>，包括但不限于完成工作的成本、利润、税金、技术措施费、大型机械进出场费、风险费以及政策性</w:t>
      </w:r>
      <w:r>
        <w:rPr>
          <w:rFonts w:hint="eastAsia" w:ascii="宋体" w:hAnsi="宋体" w:cs="宋体"/>
          <w:color w:val="auto"/>
          <w:szCs w:val="21"/>
          <w:highlight w:val="none"/>
        </w:rPr>
        <w:t>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条款号：13.4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13.4</w:t>
      </w:r>
      <w:r>
        <w:rPr>
          <w:rStyle w:val="84"/>
          <w:rFonts w:hint="eastAsia" w:ascii="宋体" w:hAnsi="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000000" w:sz="6" w:space="1"/>
        </w:pBdr>
        <w:spacing w:line="360" w:lineRule="auto"/>
        <w:ind w:firstLine="422" w:firstLineChars="200"/>
        <w:rPr>
          <w:rStyle w:val="84"/>
          <w:rFonts w:ascii="宋体" w:hAnsi="宋体"/>
          <w:color w:val="auto"/>
          <w:szCs w:val="21"/>
          <w:highlight w:val="none"/>
          <w:u w:val="single"/>
        </w:rPr>
      </w:pPr>
      <w:r>
        <w:rPr>
          <w:rStyle w:val="84"/>
          <w:rFonts w:ascii="宋体" w:hAnsi="宋体"/>
          <w:b/>
          <w:color w:val="auto"/>
          <w:szCs w:val="21"/>
          <w:highlight w:val="none"/>
        </w:rPr>
        <w:t>现文：</w:t>
      </w:r>
      <w:r>
        <w:rPr>
          <w:rStyle w:val="84"/>
          <w:rFonts w:ascii="宋体" w:hAnsi="宋体"/>
          <w:color w:val="auto"/>
          <w:szCs w:val="21"/>
          <w:highlight w:val="none"/>
        </w:rPr>
        <w:t>13.4</w:t>
      </w:r>
      <w:r>
        <w:rPr>
          <w:rFonts w:hint="eastAsia" w:ascii="宋体" w:hAnsi="宋体" w:cs="宋体"/>
          <w:color w:val="auto"/>
          <w:szCs w:val="21"/>
          <w:highlight w:val="none"/>
        </w:rPr>
        <w:t>投标人</w:t>
      </w:r>
      <w:r>
        <w:rPr>
          <w:rStyle w:val="84"/>
          <w:rFonts w:hint="eastAsia"/>
          <w:color w:val="auto"/>
          <w:highlight w:val="none"/>
        </w:rPr>
        <w:t>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Style w:val="84"/>
          <w:rFonts w:hint="eastAsia"/>
          <w:color w:val="auto"/>
          <w:highlight w:val="none"/>
          <w:u w:val="single"/>
        </w:rPr>
        <w:t>按合同条款相关约定调整。</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条款号：13.5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bCs/>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420" w:firstLineChars="200"/>
        <w:rPr>
          <w:rStyle w:val="84"/>
          <w:rFonts w:ascii="宋体" w:hAnsi="宋体"/>
          <w:b/>
          <w:color w:val="auto"/>
          <w:szCs w:val="21"/>
          <w:highlight w:val="none"/>
        </w:rPr>
      </w:pPr>
      <w:r>
        <w:rPr>
          <w:rStyle w:val="84"/>
          <w:rFonts w:ascii="宋体" w:hAnsi="宋体"/>
          <w:bCs/>
          <w:color w:val="auto"/>
          <w:szCs w:val="21"/>
          <w:highlight w:val="none"/>
        </w:rPr>
        <w:t>13.5.1中标的投标文件工程量清单中已有相同项目的适用综合单价，则沿用；</w:t>
      </w:r>
    </w:p>
    <w:p>
      <w:pPr>
        <w:spacing w:line="360" w:lineRule="auto"/>
        <w:ind w:firstLine="420" w:firstLineChars="200"/>
        <w:rPr>
          <w:rStyle w:val="84"/>
          <w:rFonts w:ascii="宋体" w:hAnsi="宋体"/>
          <w:b/>
          <w:color w:val="auto"/>
          <w:szCs w:val="21"/>
          <w:highlight w:val="none"/>
        </w:rPr>
      </w:pPr>
      <w:r>
        <w:rPr>
          <w:rStyle w:val="84"/>
          <w:rFonts w:ascii="宋体" w:hAnsi="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r>
        <w:rPr>
          <w:rStyle w:val="84"/>
          <w:rFonts w:hint="eastAsia" w:ascii="宋体" w:hAnsi="宋体"/>
          <w:bCs/>
          <w:color w:val="auto"/>
          <w:szCs w:val="21"/>
          <w:highlight w:val="none"/>
        </w:rPr>
        <w:t>；</w:t>
      </w:r>
    </w:p>
    <w:p>
      <w:pPr>
        <w:spacing w:line="360" w:lineRule="auto"/>
        <w:ind w:firstLine="420" w:firstLineChars="200"/>
        <w:rPr>
          <w:rStyle w:val="84"/>
          <w:rFonts w:ascii="宋体" w:hAnsi="宋体"/>
          <w:bCs/>
          <w:color w:val="auto"/>
          <w:szCs w:val="21"/>
          <w:highlight w:val="none"/>
        </w:rPr>
      </w:pPr>
      <w:r>
        <w:rPr>
          <w:rStyle w:val="84"/>
          <w:rFonts w:ascii="宋体" w:hAnsi="宋体"/>
          <w:bCs/>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r>
        <w:rPr>
          <w:rStyle w:val="84"/>
          <w:rFonts w:hint="eastAsia" w:ascii="宋体" w:hAnsi="宋体"/>
          <w:bCs/>
          <w:color w:val="auto"/>
          <w:szCs w:val="21"/>
          <w:highlight w:val="none"/>
        </w:rPr>
        <w:t>；</w:t>
      </w:r>
    </w:p>
    <w:p>
      <w:pPr>
        <w:spacing w:line="360" w:lineRule="auto"/>
        <w:ind w:firstLine="420" w:firstLineChars="200"/>
        <w:rPr>
          <w:rStyle w:val="84"/>
          <w:rFonts w:ascii="宋体" w:hAnsi="宋体"/>
          <w:b/>
          <w:color w:val="auto"/>
          <w:szCs w:val="21"/>
          <w:highlight w:val="none"/>
        </w:rPr>
      </w:pPr>
      <w:r>
        <w:rPr>
          <w:rStyle w:val="84"/>
          <w:rFonts w:ascii="宋体" w:hAnsi="宋体"/>
          <w:bCs/>
          <w:color w:val="auto"/>
          <w:szCs w:val="21"/>
          <w:highlight w:val="none"/>
        </w:rPr>
        <w:t>13.5.4 如相关定额没有相应子目的，其计价方式由招标人在本招标文件第三章中另行规定。未规定的，中标后双方协商约定。</w:t>
      </w:r>
    </w:p>
    <w:p>
      <w:pPr>
        <w:pBdr>
          <w:bottom w:val="single" w:color="000000" w:sz="6" w:space="1"/>
        </w:pBdr>
        <w:spacing w:line="360" w:lineRule="auto"/>
        <w:ind w:firstLine="422" w:firstLineChars="200"/>
        <w:rPr>
          <w:rStyle w:val="84"/>
          <w:rFonts w:ascii="宋体" w:hAnsi="宋体"/>
          <w:bCs/>
          <w:color w:val="auto"/>
          <w:szCs w:val="21"/>
          <w:highlight w:val="none"/>
          <w:u w:val="single"/>
        </w:rPr>
      </w:pPr>
      <w:r>
        <w:rPr>
          <w:rStyle w:val="84"/>
          <w:rFonts w:ascii="宋体" w:hAnsi="宋体"/>
          <w:b/>
          <w:color w:val="auto"/>
          <w:szCs w:val="21"/>
          <w:highlight w:val="none"/>
        </w:rPr>
        <w:t>现文：</w:t>
      </w:r>
      <w:r>
        <w:rPr>
          <w:rStyle w:val="84"/>
          <w:rFonts w:hint="eastAsia" w:ascii="宋体" w:hAnsi="宋体"/>
          <w:bCs/>
          <w:color w:val="auto"/>
          <w:szCs w:val="21"/>
          <w:highlight w:val="none"/>
          <w:u w:val="single"/>
        </w:rPr>
        <w:t>13.5 变更结算方式按招标文件及施工合同相关规定执行。</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条款号：16.</w:t>
      </w:r>
      <w:r>
        <w:rPr>
          <w:rStyle w:val="84"/>
          <w:rFonts w:hint="eastAsia" w:ascii="宋体" w:hAnsi="宋体"/>
          <w:b/>
          <w:color w:val="auto"/>
          <w:szCs w:val="21"/>
          <w:highlight w:val="none"/>
        </w:rPr>
        <w:t>1.3</w:t>
      </w:r>
      <w:r>
        <w:rPr>
          <w:rStyle w:val="84"/>
          <w:rFonts w:ascii="宋体" w:hAnsi="宋体"/>
          <w:b/>
          <w:color w:val="auto"/>
          <w:szCs w:val="21"/>
          <w:highlight w:val="none"/>
        </w:rPr>
        <w:t xml:space="preserve">          修改类型：修改</w:t>
      </w:r>
    </w:p>
    <w:p>
      <w:pPr>
        <w:pBdr>
          <w:bottom w:val="single" w:color="000000" w:sz="6" w:space="1"/>
        </w:pBdr>
        <w:spacing w:line="360" w:lineRule="auto"/>
        <w:ind w:firstLine="422" w:firstLineChars="200"/>
        <w:rPr>
          <w:rStyle w:val="84"/>
          <w:rFonts w:ascii="宋体" w:hAnsi="宋体"/>
          <w:bCs/>
          <w:color w:val="auto"/>
          <w:szCs w:val="21"/>
          <w:highlight w:val="none"/>
        </w:rPr>
      </w:pPr>
      <w:r>
        <w:rPr>
          <w:rStyle w:val="84"/>
          <w:rFonts w:ascii="宋体" w:hAnsi="宋体"/>
          <w:b/>
          <w:color w:val="auto"/>
          <w:szCs w:val="21"/>
          <w:highlight w:val="none"/>
        </w:rPr>
        <w:t>原文：</w:t>
      </w:r>
      <w:r>
        <w:rPr>
          <w:rFonts w:hint="eastAsia" w:ascii="宋体" w:hAnsi="宋体"/>
          <w:color w:val="auto"/>
          <w:szCs w:val="21"/>
          <w:highlight w:val="none"/>
        </w:rPr>
        <w:t>16.1.3采用电子形式的保函、担保或保证保险提交投标保证金的，应在招标文件中明确电子递交途径。</w:t>
      </w:r>
    </w:p>
    <w:p>
      <w:pPr>
        <w:pBdr>
          <w:bottom w:val="single" w:color="000000" w:sz="6" w:space="1"/>
        </w:pBdr>
        <w:spacing w:line="360" w:lineRule="auto"/>
        <w:ind w:firstLine="422" w:firstLineChars="200"/>
        <w:rPr>
          <w:rFonts w:ascii="宋体" w:hAnsi="宋体"/>
          <w:bCs/>
          <w:color w:val="auto"/>
          <w:szCs w:val="21"/>
          <w:highlight w:val="none"/>
        </w:rPr>
      </w:pPr>
      <w:r>
        <w:rPr>
          <w:rStyle w:val="84"/>
          <w:rFonts w:ascii="宋体" w:hAnsi="宋体"/>
          <w:b/>
          <w:color w:val="auto"/>
          <w:szCs w:val="21"/>
          <w:highlight w:val="none"/>
        </w:rPr>
        <w:t>现文：</w:t>
      </w:r>
      <w:r>
        <w:rPr>
          <w:rFonts w:hint="eastAsia" w:ascii="宋体" w:hAnsi="宋体"/>
          <w:bCs/>
          <w:color w:val="auto"/>
          <w:szCs w:val="21"/>
          <w:highlight w:val="none"/>
        </w:rPr>
        <w:t>16.1.3采用电子形式的保函、担保或保证保险提交投标保证金的，</w:t>
      </w:r>
      <w:r>
        <w:rPr>
          <w:rFonts w:hint="eastAsia" w:ascii="宋体" w:hAnsi="宋体"/>
          <w:bCs/>
          <w:color w:val="auto"/>
          <w:szCs w:val="21"/>
          <w:highlight w:val="none"/>
          <w:u w:val="single"/>
        </w:rPr>
        <w:t>具体操作要求详见广州公共资源交易中心有关指引，递交事宜请自行咨询广州公共资源交易中心。</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条款号：16.</w:t>
      </w:r>
      <w:r>
        <w:rPr>
          <w:rStyle w:val="84"/>
          <w:rFonts w:hint="eastAsia" w:ascii="宋体" w:hAnsi="宋体"/>
          <w:b/>
          <w:color w:val="auto"/>
          <w:szCs w:val="21"/>
          <w:highlight w:val="none"/>
        </w:rPr>
        <w:t>4</w:t>
      </w:r>
      <w:r>
        <w:rPr>
          <w:rStyle w:val="84"/>
          <w:rFonts w:ascii="宋体" w:hAnsi="宋体"/>
          <w:b/>
          <w:color w:val="auto"/>
          <w:szCs w:val="21"/>
          <w:highlight w:val="none"/>
        </w:rPr>
        <w:t xml:space="preserve">          修改类型：修改</w:t>
      </w:r>
    </w:p>
    <w:p>
      <w:pPr>
        <w:spacing w:line="360" w:lineRule="auto"/>
        <w:ind w:firstLine="422" w:firstLineChars="200"/>
        <w:rPr>
          <w:rStyle w:val="84"/>
          <w:rFonts w:ascii="宋体" w:hAnsi="宋体"/>
          <w:color w:val="auto"/>
          <w:szCs w:val="21"/>
          <w:highlight w:val="none"/>
        </w:rPr>
      </w:pPr>
      <w:r>
        <w:rPr>
          <w:rStyle w:val="84"/>
          <w:rFonts w:ascii="宋体" w:hAnsi="宋体"/>
          <w:b/>
          <w:color w:val="auto"/>
          <w:szCs w:val="21"/>
          <w:highlight w:val="none"/>
        </w:rPr>
        <w:t>原文：</w:t>
      </w:r>
      <w:r>
        <w:rPr>
          <w:rStyle w:val="84"/>
          <w:rFonts w:hint="eastAsia" w:ascii="宋体" w:hAnsi="宋体"/>
          <w:color w:val="auto"/>
          <w:szCs w:val="21"/>
          <w:highlight w:val="none"/>
        </w:rPr>
        <w:t>16.4如有下列情况之一的，招标人可以不予退还投标保证金（是否退还投标保证金由招标人在招标文件中规定）：</w:t>
      </w:r>
    </w:p>
    <w:p>
      <w:pPr>
        <w:spacing w:line="360" w:lineRule="auto"/>
        <w:ind w:firstLine="420" w:firstLineChars="200"/>
        <w:rPr>
          <w:rStyle w:val="84"/>
          <w:rFonts w:ascii="宋体" w:hAnsi="宋体"/>
          <w:color w:val="auto"/>
          <w:szCs w:val="21"/>
          <w:highlight w:val="none"/>
        </w:rPr>
      </w:pPr>
      <w:r>
        <w:rPr>
          <w:rStyle w:val="84"/>
          <w:rFonts w:hint="eastAsia" w:ascii="宋体" w:hAnsi="宋体"/>
          <w:color w:val="auto"/>
          <w:szCs w:val="21"/>
          <w:highlight w:val="none"/>
        </w:rPr>
        <w:t>16.4.1因投标人原因造成投标文件未解密的；</w:t>
      </w:r>
    </w:p>
    <w:p>
      <w:pPr>
        <w:spacing w:line="360" w:lineRule="auto"/>
        <w:ind w:firstLine="420" w:firstLineChars="200"/>
        <w:rPr>
          <w:rStyle w:val="84"/>
          <w:rFonts w:ascii="宋体" w:hAnsi="宋体"/>
          <w:color w:val="auto"/>
          <w:szCs w:val="21"/>
          <w:highlight w:val="none"/>
        </w:rPr>
      </w:pPr>
      <w:r>
        <w:rPr>
          <w:rStyle w:val="84"/>
          <w:rFonts w:hint="eastAsia" w:ascii="宋体" w:hAnsi="宋体"/>
          <w:color w:val="auto"/>
          <w:szCs w:val="21"/>
          <w:highlight w:val="none"/>
        </w:rPr>
        <w:t>16.4.2投标人在投标有效期内撤销投标文件；</w:t>
      </w:r>
    </w:p>
    <w:p>
      <w:pPr>
        <w:spacing w:line="360" w:lineRule="auto"/>
        <w:ind w:firstLine="420" w:firstLineChars="200"/>
        <w:rPr>
          <w:rStyle w:val="84"/>
          <w:rFonts w:ascii="宋体" w:hAnsi="宋体"/>
          <w:color w:val="auto"/>
          <w:szCs w:val="21"/>
          <w:highlight w:val="none"/>
        </w:rPr>
      </w:pPr>
      <w:r>
        <w:rPr>
          <w:rStyle w:val="84"/>
          <w:rFonts w:hint="eastAsia" w:ascii="宋体" w:hAnsi="宋体"/>
          <w:color w:val="auto"/>
          <w:szCs w:val="21"/>
          <w:highlight w:val="none"/>
        </w:rPr>
        <w:t>16.4.3中标人未能在规定期限内按要求提交履约担保；</w:t>
      </w:r>
    </w:p>
    <w:p>
      <w:pPr>
        <w:spacing w:line="360" w:lineRule="auto"/>
        <w:ind w:firstLine="420" w:firstLineChars="200"/>
        <w:rPr>
          <w:rStyle w:val="84"/>
          <w:rFonts w:ascii="宋体" w:hAnsi="宋体"/>
          <w:color w:val="auto"/>
          <w:szCs w:val="21"/>
          <w:highlight w:val="none"/>
        </w:rPr>
      </w:pPr>
      <w:r>
        <w:rPr>
          <w:rStyle w:val="84"/>
          <w:rFonts w:hint="eastAsia" w:ascii="宋体" w:hAnsi="宋体"/>
          <w:color w:val="auto"/>
          <w:szCs w:val="21"/>
          <w:highlight w:val="none"/>
        </w:rPr>
        <w:t>16.4.4中标人未能在规定期限内签署合同协议。</w:t>
      </w:r>
    </w:p>
    <w:p>
      <w:pPr>
        <w:pBdr>
          <w:bottom w:val="single" w:color="000000" w:sz="6" w:space="1"/>
        </w:pBdr>
        <w:spacing w:line="360" w:lineRule="auto"/>
        <w:ind w:firstLine="422" w:firstLineChars="200"/>
        <w:rPr>
          <w:rFonts w:ascii="宋体" w:hAnsi="宋体"/>
          <w:bCs/>
          <w:color w:val="auto"/>
          <w:szCs w:val="21"/>
          <w:highlight w:val="none"/>
          <w:u w:val="single"/>
        </w:rPr>
      </w:pPr>
      <w:r>
        <w:rPr>
          <w:rStyle w:val="84"/>
          <w:rFonts w:ascii="宋体" w:hAnsi="宋体"/>
          <w:b/>
          <w:color w:val="auto"/>
          <w:szCs w:val="21"/>
          <w:highlight w:val="none"/>
        </w:rPr>
        <w:t>现文：</w:t>
      </w:r>
      <w:r>
        <w:rPr>
          <w:rFonts w:hint="eastAsia" w:ascii="宋体" w:hAnsi="宋体"/>
          <w:bCs/>
          <w:color w:val="auto"/>
          <w:szCs w:val="21"/>
          <w:highlight w:val="none"/>
          <w:u w:val="single"/>
        </w:rPr>
        <w:t>16.4如有下列情况之一的，招标人可以不予退还投标保证金：</w:t>
      </w:r>
    </w:p>
    <w:p>
      <w:pPr>
        <w:pBdr>
          <w:bottom w:val="single" w:color="000000" w:sz="6" w:space="1"/>
        </w:pBd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16.4.1因投标人原因造成投标文件未解密的；</w:t>
      </w:r>
    </w:p>
    <w:p>
      <w:pPr>
        <w:pBdr>
          <w:bottom w:val="single" w:color="000000" w:sz="6" w:space="1"/>
        </w:pBd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16.4.2投标人在投标有效期内撤销投标文件；</w:t>
      </w:r>
    </w:p>
    <w:p>
      <w:pPr>
        <w:pBdr>
          <w:bottom w:val="single" w:color="000000" w:sz="6" w:space="1"/>
        </w:pBd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16.4.3中标人未能在规定期限内按要求提交履约担保；</w:t>
      </w:r>
    </w:p>
    <w:p>
      <w:pPr>
        <w:pBdr>
          <w:bottom w:val="single" w:color="000000" w:sz="6" w:space="1"/>
        </w:pBd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16.4.4中标人未能在规定期限内签署合同协议。</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条款号：16.</w:t>
      </w:r>
      <w:r>
        <w:rPr>
          <w:rStyle w:val="84"/>
          <w:rFonts w:hint="eastAsia" w:ascii="宋体" w:hAnsi="宋体"/>
          <w:b/>
          <w:color w:val="auto"/>
          <w:szCs w:val="21"/>
          <w:highlight w:val="none"/>
        </w:rPr>
        <w:t>5</w:t>
      </w:r>
      <w:r>
        <w:rPr>
          <w:rStyle w:val="84"/>
          <w:rFonts w:ascii="宋体" w:hAnsi="宋体"/>
          <w:b/>
          <w:color w:val="auto"/>
          <w:szCs w:val="21"/>
          <w:highlight w:val="none"/>
        </w:rPr>
        <w:t xml:space="preserve">          修改类型：修改</w:t>
      </w:r>
    </w:p>
    <w:p>
      <w:pPr>
        <w:spacing w:line="360" w:lineRule="auto"/>
        <w:ind w:firstLine="422" w:firstLineChars="200"/>
        <w:rPr>
          <w:rFonts w:ascii="宋体" w:hAnsi="宋体"/>
          <w:b/>
          <w:color w:val="auto"/>
          <w:szCs w:val="21"/>
          <w:highlight w:val="none"/>
        </w:rPr>
      </w:pPr>
      <w:r>
        <w:rPr>
          <w:rStyle w:val="84"/>
          <w:rFonts w:ascii="宋体" w:hAnsi="宋体"/>
          <w:b/>
          <w:color w:val="auto"/>
          <w:szCs w:val="21"/>
          <w:highlight w:val="none"/>
        </w:rPr>
        <w:t>原文：</w:t>
      </w:r>
      <w:r>
        <w:rPr>
          <w:rFonts w:hint="eastAsia" w:ascii="宋体" w:hAnsi="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16.5.3按招标文件要求免于提供投标保证金的投标人存在16.4条款所列情形的。</w:t>
      </w:r>
    </w:p>
    <w:p>
      <w:pPr>
        <w:spacing w:line="360" w:lineRule="auto"/>
        <w:ind w:firstLine="420" w:firstLineChars="200"/>
        <w:rPr>
          <w:rStyle w:val="84"/>
          <w:rFonts w:ascii="宋体" w:hAnsi="宋体"/>
          <w:b/>
          <w:color w:val="auto"/>
          <w:szCs w:val="21"/>
          <w:highlight w:val="none"/>
        </w:rPr>
      </w:pPr>
      <w:r>
        <w:rPr>
          <w:rFonts w:hint="eastAsia" w:ascii="宋体" w:hAnsi="宋体"/>
          <w:color w:val="auto"/>
          <w:szCs w:val="21"/>
          <w:highlight w:val="none"/>
        </w:rPr>
        <w:t>注：16.5.3款由招标人二选一，需在招标文件中明确。</w:t>
      </w:r>
    </w:p>
    <w:p>
      <w:pPr>
        <w:spacing w:line="360" w:lineRule="auto"/>
        <w:ind w:firstLine="422" w:firstLineChars="200"/>
        <w:rPr>
          <w:rFonts w:ascii="宋体" w:hAnsi="宋体"/>
          <w:color w:val="auto"/>
          <w:szCs w:val="21"/>
          <w:highlight w:val="none"/>
        </w:rPr>
      </w:pPr>
      <w:r>
        <w:rPr>
          <w:rStyle w:val="84"/>
          <w:rFonts w:ascii="宋体" w:hAnsi="宋体"/>
          <w:b/>
          <w:color w:val="auto"/>
          <w:szCs w:val="21"/>
          <w:highlight w:val="none"/>
        </w:rPr>
        <w:t>现文：</w:t>
      </w:r>
      <w:r>
        <w:rPr>
          <w:rFonts w:hint="eastAsia" w:ascii="宋体" w:hAnsi="宋体"/>
          <w:bCs/>
          <w:color w:val="auto"/>
          <w:szCs w:val="21"/>
          <w:highlight w:val="none"/>
          <w:u w:val="single"/>
        </w:rPr>
        <w:t>16.5投标人如存在下列情况之一的，将被</w:t>
      </w:r>
      <w:r>
        <w:rPr>
          <w:rFonts w:hint="eastAsia" w:ascii="宋体" w:hAnsi="宋体"/>
          <w:color w:val="auto"/>
          <w:szCs w:val="21"/>
          <w:highlight w:val="none"/>
          <w:u w:val="single"/>
        </w:rPr>
        <w:t>拒绝在一</w:t>
      </w:r>
      <w:r>
        <w:rPr>
          <w:rFonts w:ascii="宋体" w:hAnsi="宋体"/>
          <w:color w:val="auto"/>
          <w:szCs w:val="21"/>
          <w:highlight w:val="none"/>
          <w:u w:val="single"/>
        </w:rPr>
        <w:t>年</w:t>
      </w:r>
      <w:r>
        <w:rPr>
          <w:rFonts w:hint="eastAsia" w:ascii="宋体" w:hAnsi="宋体"/>
          <w:color w:val="auto"/>
          <w:szCs w:val="21"/>
          <w:highlight w:val="none"/>
          <w:u w:val="single"/>
        </w:rPr>
        <w:t>内参与招标人后续工程投标：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000000" w:sz="6" w:space="1"/>
        </w:pBd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16.5.3按招标文件要求免于提供投标保证金的投标人存在16.4条款所列情形，且未按招标人要求，</w:t>
      </w:r>
      <w:r>
        <w:rPr>
          <w:rFonts w:hint="eastAsia" w:ascii="宋体" w:hAnsi="宋体"/>
          <w:color w:val="auto"/>
          <w:szCs w:val="21"/>
          <w:highlight w:val="none"/>
          <w:u w:val="single"/>
        </w:rPr>
        <w:t>在规定的时间内向招标人足额补交投标保证金的。</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条款号：17.1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Fonts w:hint="eastAsia" w:ascii="宋体" w:hAnsi="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Bdr>
          <w:bottom w:val="single" w:color="000000" w:sz="6" w:space="1"/>
        </w:pBdr>
        <w:spacing w:line="360" w:lineRule="auto"/>
        <w:ind w:firstLine="422" w:firstLineChars="200"/>
        <w:rPr>
          <w:rStyle w:val="84"/>
          <w:rFonts w:ascii="宋体" w:hAnsi="宋体"/>
          <w:color w:val="auto"/>
          <w:szCs w:val="21"/>
          <w:highlight w:val="none"/>
          <w:u w:val="single"/>
        </w:rPr>
      </w:pPr>
      <w:r>
        <w:rPr>
          <w:rStyle w:val="84"/>
          <w:rFonts w:ascii="宋体" w:hAnsi="宋体"/>
          <w:b/>
          <w:color w:val="auto"/>
          <w:szCs w:val="21"/>
          <w:highlight w:val="none"/>
        </w:rPr>
        <w:t>现文：</w:t>
      </w:r>
      <w:r>
        <w:rPr>
          <w:rStyle w:val="84"/>
          <w:rFonts w:ascii="宋体" w:hAnsi="宋体"/>
          <w:color w:val="auto"/>
          <w:szCs w:val="21"/>
          <w:highlight w:val="none"/>
        </w:rPr>
        <w:t>17.1投标人应采用单位数字证书，按招标文件要求在相应位置加盖电子印章。投标文件中需个人签字或盖章的，</w:t>
      </w:r>
      <w:r>
        <w:rPr>
          <w:rStyle w:val="84"/>
          <w:rFonts w:hint="eastAsia" w:ascii="宋体" w:hAnsi="宋体"/>
          <w:color w:val="auto"/>
          <w:szCs w:val="21"/>
          <w:highlight w:val="none"/>
        </w:rPr>
        <w:t>应加盖个人电子印章或在线下完成后扫描上传</w:t>
      </w:r>
      <w:r>
        <w:rPr>
          <w:rStyle w:val="84"/>
          <w:rFonts w:ascii="宋体" w:hAnsi="宋体"/>
          <w:color w:val="auto"/>
          <w:szCs w:val="21"/>
          <w:highlight w:val="none"/>
        </w:rPr>
        <w:t>。按照</w:t>
      </w:r>
      <w:r>
        <w:rPr>
          <w:rStyle w:val="84"/>
          <w:rFonts w:hint="eastAsia"/>
          <w:color w:val="auto"/>
          <w:highlight w:val="none"/>
          <w:u w:val="single"/>
        </w:rPr>
        <w:t>广州公共资源交易中心</w:t>
      </w:r>
      <w:r>
        <w:rPr>
          <w:rStyle w:val="84"/>
          <w:rFonts w:ascii="宋体" w:hAnsi="宋体"/>
          <w:color w:val="auto"/>
          <w:szCs w:val="21"/>
          <w:highlight w:val="none"/>
        </w:rPr>
        <w:t>交易平台关于全流程电子化项目的相关指南进行操作。详见：</w:t>
      </w:r>
      <w:r>
        <w:rPr>
          <w:rStyle w:val="84"/>
          <w:rFonts w:hint="eastAsia"/>
          <w:color w:val="auto"/>
          <w:highlight w:val="none"/>
          <w:u w:val="single"/>
        </w:rPr>
        <w:t>广州公共资源交易中心网站最新指引</w:t>
      </w:r>
      <w:r>
        <w:rPr>
          <w:rStyle w:val="84"/>
          <w:rFonts w:ascii="宋体" w:hAnsi="宋体"/>
          <w:color w:val="auto"/>
          <w:szCs w:val="21"/>
          <w:highlight w:val="none"/>
          <w:u w:val="single"/>
        </w:rPr>
        <w:t>。</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条款号：18.1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18.1</w:t>
      </w:r>
      <w:r>
        <w:rPr>
          <w:rStyle w:val="84"/>
          <w:rFonts w:ascii="宋体" w:hAnsi="宋体"/>
          <w:bCs/>
          <w:color w:val="auto"/>
          <w:szCs w:val="21"/>
          <w:highlight w:val="none"/>
        </w:rPr>
        <w:t>递交的电子投标文件（不含备用光盘）必须进行加密。按照交易平台关于</w:t>
      </w:r>
      <w:r>
        <w:rPr>
          <w:rStyle w:val="84"/>
          <w:rFonts w:ascii="宋体" w:hAnsi="宋体"/>
          <w:color w:val="auto"/>
          <w:szCs w:val="21"/>
          <w:highlight w:val="none"/>
        </w:rPr>
        <w:t>全流程电子化项目的相关指南进行操作。详见： 。</w:t>
      </w:r>
    </w:p>
    <w:p>
      <w:pPr>
        <w:pBdr>
          <w:bottom w:val="single" w:color="000000" w:sz="6" w:space="1"/>
        </w:pBdr>
        <w:spacing w:line="360" w:lineRule="auto"/>
        <w:ind w:firstLine="422" w:firstLineChars="200"/>
        <w:rPr>
          <w:rStyle w:val="84"/>
          <w:rFonts w:ascii="宋体" w:hAnsi="宋体"/>
          <w:color w:val="auto"/>
          <w:szCs w:val="21"/>
          <w:highlight w:val="none"/>
          <w:u w:val="single"/>
        </w:rPr>
      </w:pPr>
      <w:r>
        <w:rPr>
          <w:rStyle w:val="84"/>
          <w:rFonts w:ascii="宋体" w:hAnsi="宋体"/>
          <w:b/>
          <w:color w:val="auto"/>
          <w:szCs w:val="21"/>
          <w:highlight w:val="none"/>
        </w:rPr>
        <w:t>现文：</w:t>
      </w:r>
      <w:r>
        <w:rPr>
          <w:rStyle w:val="84"/>
          <w:rFonts w:ascii="宋体" w:hAnsi="宋体"/>
          <w:color w:val="auto"/>
          <w:szCs w:val="21"/>
          <w:highlight w:val="none"/>
        </w:rPr>
        <w:t>18.1</w:t>
      </w:r>
      <w:r>
        <w:rPr>
          <w:rStyle w:val="84"/>
          <w:rFonts w:ascii="宋体" w:hAnsi="宋体"/>
          <w:bCs/>
          <w:color w:val="auto"/>
          <w:szCs w:val="21"/>
          <w:highlight w:val="none"/>
        </w:rPr>
        <w:t>递交的电子投标文件（不含备用光盘）必须进行加密。按照</w:t>
      </w:r>
      <w:r>
        <w:rPr>
          <w:rStyle w:val="84"/>
          <w:rFonts w:hint="eastAsia"/>
          <w:color w:val="auto"/>
          <w:highlight w:val="none"/>
          <w:u w:val="single"/>
        </w:rPr>
        <w:t>广州公共资源交易中心</w:t>
      </w:r>
      <w:r>
        <w:rPr>
          <w:rStyle w:val="84"/>
          <w:rFonts w:ascii="宋体" w:hAnsi="宋体"/>
          <w:bCs/>
          <w:color w:val="auto"/>
          <w:szCs w:val="21"/>
          <w:highlight w:val="none"/>
        </w:rPr>
        <w:t>交易平台关于</w:t>
      </w:r>
      <w:r>
        <w:rPr>
          <w:rStyle w:val="84"/>
          <w:rFonts w:ascii="宋体" w:hAnsi="宋体"/>
          <w:color w:val="auto"/>
          <w:szCs w:val="21"/>
          <w:highlight w:val="none"/>
        </w:rPr>
        <w:t>全流程电子化项目的相关指南进行操作。详见：</w:t>
      </w:r>
      <w:r>
        <w:rPr>
          <w:rStyle w:val="84"/>
          <w:rFonts w:hint="eastAsia"/>
          <w:color w:val="auto"/>
          <w:highlight w:val="none"/>
          <w:u w:val="single"/>
        </w:rPr>
        <w:t>广州公共资源交易中心网站最新指引</w:t>
      </w:r>
      <w:r>
        <w:rPr>
          <w:rStyle w:val="84"/>
          <w:rFonts w:ascii="宋体" w:hAnsi="宋体"/>
          <w:color w:val="auto"/>
          <w:szCs w:val="21"/>
          <w:highlight w:val="none"/>
          <w:u w:val="single"/>
        </w:rPr>
        <w:t>。</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条款号：18.2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18.2</w:t>
      </w:r>
      <w:r>
        <w:rPr>
          <w:rStyle w:val="84"/>
          <w:rFonts w:ascii="宋体" w:hAnsi="宋体"/>
          <w:bCs/>
          <w:color w:val="auto"/>
          <w:szCs w:val="21"/>
          <w:highlight w:val="none"/>
        </w:rPr>
        <w:t>未按要求加密的投标文件，</w:t>
      </w:r>
      <w:r>
        <w:rPr>
          <w:rStyle w:val="84"/>
          <w:rFonts w:ascii="宋体" w:hAnsi="宋体"/>
          <w:color w:val="auto"/>
          <w:szCs w:val="21"/>
          <w:highlight w:val="none"/>
        </w:rPr>
        <w:t>交易平台</w:t>
      </w:r>
      <w:r>
        <w:rPr>
          <w:rStyle w:val="84"/>
          <w:rFonts w:ascii="宋体" w:hAnsi="宋体"/>
          <w:bCs/>
          <w:color w:val="auto"/>
          <w:szCs w:val="21"/>
          <w:highlight w:val="none"/>
        </w:rPr>
        <w:t>将予以拒收。</w:t>
      </w:r>
    </w:p>
    <w:p>
      <w:pPr>
        <w:pBdr>
          <w:bottom w:val="single" w:color="000000" w:sz="6" w:space="1"/>
        </w:pBdr>
        <w:spacing w:line="360" w:lineRule="auto"/>
        <w:ind w:firstLine="422" w:firstLineChars="200"/>
        <w:rPr>
          <w:rStyle w:val="84"/>
          <w:rFonts w:ascii="宋体" w:hAnsi="宋体"/>
          <w:color w:val="auto"/>
          <w:szCs w:val="21"/>
          <w:highlight w:val="none"/>
        </w:rPr>
      </w:pPr>
      <w:r>
        <w:rPr>
          <w:rStyle w:val="84"/>
          <w:rFonts w:ascii="宋体" w:hAnsi="宋体"/>
          <w:b/>
          <w:color w:val="auto"/>
          <w:szCs w:val="21"/>
          <w:highlight w:val="none"/>
        </w:rPr>
        <w:t>现文：</w:t>
      </w:r>
      <w:r>
        <w:rPr>
          <w:rStyle w:val="84"/>
          <w:rFonts w:ascii="宋体" w:hAnsi="宋体"/>
          <w:color w:val="auto"/>
          <w:szCs w:val="21"/>
          <w:highlight w:val="none"/>
        </w:rPr>
        <w:t>18.2</w:t>
      </w:r>
      <w:r>
        <w:rPr>
          <w:rStyle w:val="84"/>
          <w:rFonts w:ascii="宋体" w:hAnsi="宋体"/>
          <w:bCs/>
          <w:color w:val="auto"/>
          <w:szCs w:val="21"/>
          <w:highlight w:val="none"/>
        </w:rPr>
        <w:t>未按要求加密的投标文件，</w:t>
      </w:r>
      <w:r>
        <w:rPr>
          <w:rStyle w:val="84"/>
          <w:rFonts w:ascii="宋体" w:hAnsi="宋体"/>
          <w:bCs/>
          <w:color w:val="auto"/>
          <w:szCs w:val="21"/>
          <w:highlight w:val="none"/>
          <w:u w:val="single"/>
        </w:rPr>
        <w:t>广州公共资源交易中心</w:t>
      </w:r>
      <w:r>
        <w:rPr>
          <w:rStyle w:val="84"/>
          <w:rFonts w:ascii="宋体" w:hAnsi="宋体"/>
          <w:bCs/>
          <w:color w:val="auto"/>
          <w:szCs w:val="21"/>
          <w:highlight w:val="none"/>
        </w:rPr>
        <w:t>交易平</w:t>
      </w:r>
      <w:r>
        <w:rPr>
          <w:rStyle w:val="84"/>
          <w:rFonts w:ascii="宋体" w:hAnsi="宋体"/>
          <w:color w:val="auto"/>
          <w:szCs w:val="21"/>
          <w:highlight w:val="none"/>
        </w:rPr>
        <w:t>台</w:t>
      </w:r>
      <w:r>
        <w:rPr>
          <w:rStyle w:val="84"/>
          <w:rFonts w:ascii="宋体" w:hAnsi="宋体"/>
          <w:bCs/>
          <w:color w:val="auto"/>
          <w:szCs w:val="21"/>
          <w:highlight w:val="none"/>
        </w:rPr>
        <w:t>将予以拒收。</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条款号：19.1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19.1</w:t>
      </w:r>
      <w:r>
        <w:rPr>
          <w:rStyle w:val="84"/>
          <w:rFonts w:ascii="宋体" w:hAnsi="宋体"/>
          <w:bCs/>
          <w:color w:val="auto"/>
          <w:szCs w:val="21"/>
          <w:highlight w:val="none"/>
        </w:rPr>
        <w:t>投标人通过</w:t>
      </w:r>
      <w:r>
        <w:rPr>
          <w:rStyle w:val="84"/>
          <w:rFonts w:ascii="宋体" w:hAnsi="宋体"/>
          <w:color w:val="auto"/>
          <w:szCs w:val="21"/>
          <w:highlight w:val="none"/>
        </w:rPr>
        <w:t>交易平台递交电子投标文件。</w:t>
      </w:r>
    </w:p>
    <w:p>
      <w:pPr>
        <w:pBdr>
          <w:bottom w:val="single" w:color="000000" w:sz="6" w:space="1"/>
        </w:pBdr>
        <w:spacing w:line="360" w:lineRule="auto"/>
        <w:ind w:firstLine="422" w:firstLineChars="200"/>
        <w:rPr>
          <w:rStyle w:val="84"/>
          <w:rFonts w:ascii="宋体" w:hAnsi="宋体"/>
          <w:color w:val="auto"/>
          <w:szCs w:val="21"/>
          <w:highlight w:val="none"/>
        </w:rPr>
      </w:pPr>
      <w:r>
        <w:rPr>
          <w:rStyle w:val="84"/>
          <w:rFonts w:ascii="宋体" w:hAnsi="宋体"/>
          <w:b/>
          <w:color w:val="auto"/>
          <w:szCs w:val="21"/>
          <w:highlight w:val="none"/>
        </w:rPr>
        <w:t>现文：</w:t>
      </w:r>
      <w:r>
        <w:rPr>
          <w:rStyle w:val="84"/>
          <w:rFonts w:ascii="宋体" w:hAnsi="宋体"/>
          <w:color w:val="auto"/>
          <w:szCs w:val="21"/>
          <w:highlight w:val="none"/>
        </w:rPr>
        <w:t>19.1</w:t>
      </w:r>
      <w:r>
        <w:rPr>
          <w:rStyle w:val="84"/>
          <w:rFonts w:ascii="宋体" w:hAnsi="宋体"/>
          <w:bCs/>
          <w:color w:val="auto"/>
          <w:szCs w:val="21"/>
          <w:highlight w:val="none"/>
        </w:rPr>
        <w:t>投标人通过</w:t>
      </w:r>
      <w:r>
        <w:rPr>
          <w:rStyle w:val="84"/>
          <w:rFonts w:ascii="宋体" w:hAnsi="宋体"/>
          <w:bCs/>
          <w:color w:val="auto"/>
          <w:szCs w:val="21"/>
          <w:highlight w:val="none"/>
          <w:u w:val="single"/>
        </w:rPr>
        <w:t>广州公共资源交易中心</w:t>
      </w:r>
      <w:r>
        <w:rPr>
          <w:rStyle w:val="84"/>
          <w:rFonts w:ascii="宋体" w:hAnsi="宋体"/>
          <w:bCs/>
          <w:color w:val="auto"/>
          <w:szCs w:val="21"/>
          <w:highlight w:val="none"/>
        </w:rPr>
        <w:t>交易平</w:t>
      </w:r>
      <w:r>
        <w:rPr>
          <w:rStyle w:val="84"/>
          <w:rFonts w:ascii="宋体" w:hAnsi="宋体"/>
          <w:color w:val="auto"/>
          <w:szCs w:val="21"/>
          <w:highlight w:val="none"/>
        </w:rPr>
        <w:t>台递交电子投标文件。</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条款号：19.2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19.2</w:t>
      </w:r>
      <w:r>
        <w:rPr>
          <w:rStyle w:val="84"/>
          <w:rFonts w:ascii="宋体" w:hAnsi="宋体"/>
          <w:bCs/>
          <w:color w:val="auto"/>
          <w:szCs w:val="21"/>
          <w:highlight w:val="none"/>
        </w:rPr>
        <w:t>投标人完成电子</w:t>
      </w:r>
      <w:r>
        <w:rPr>
          <w:rStyle w:val="84"/>
          <w:rFonts w:ascii="宋体" w:hAnsi="宋体"/>
          <w:color w:val="auto"/>
          <w:szCs w:val="21"/>
          <w:highlight w:val="none"/>
        </w:rPr>
        <w:t>投标文件</w:t>
      </w:r>
      <w:r>
        <w:rPr>
          <w:rStyle w:val="84"/>
          <w:rFonts w:ascii="宋体" w:hAnsi="宋体"/>
          <w:bCs/>
          <w:color w:val="auto"/>
          <w:szCs w:val="21"/>
          <w:highlight w:val="none"/>
        </w:rPr>
        <w:t>上传后，</w:t>
      </w:r>
      <w:r>
        <w:rPr>
          <w:rStyle w:val="84"/>
          <w:rFonts w:ascii="宋体" w:hAnsi="宋体"/>
          <w:color w:val="auto"/>
          <w:szCs w:val="21"/>
          <w:highlight w:val="none"/>
        </w:rPr>
        <w:t>交易平台即时向投标人发出递交回执通知。递交时间以递交回执通知载明的传输完成时间为准。</w:t>
      </w:r>
    </w:p>
    <w:p>
      <w:pPr>
        <w:pBdr>
          <w:bottom w:val="single" w:color="000000" w:sz="6" w:space="1"/>
        </w:pBdr>
        <w:spacing w:line="360" w:lineRule="auto"/>
        <w:ind w:firstLine="422" w:firstLineChars="200"/>
        <w:rPr>
          <w:rStyle w:val="84"/>
          <w:rFonts w:ascii="宋体" w:hAnsi="宋体"/>
          <w:color w:val="auto"/>
          <w:szCs w:val="21"/>
          <w:highlight w:val="none"/>
        </w:rPr>
      </w:pPr>
      <w:r>
        <w:rPr>
          <w:rStyle w:val="84"/>
          <w:rFonts w:ascii="宋体" w:hAnsi="宋体"/>
          <w:b/>
          <w:color w:val="auto"/>
          <w:szCs w:val="21"/>
          <w:highlight w:val="none"/>
        </w:rPr>
        <w:t>现文：</w:t>
      </w:r>
      <w:r>
        <w:rPr>
          <w:rStyle w:val="84"/>
          <w:rFonts w:ascii="宋体" w:hAnsi="宋体"/>
          <w:color w:val="auto"/>
          <w:szCs w:val="21"/>
          <w:highlight w:val="none"/>
        </w:rPr>
        <w:t>19.2</w:t>
      </w:r>
      <w:r>
        <w:rPr>
          <w:rStyle w:val="84"/>
          <w:rFonts w:ascii="宋体" w:hAnsi="宋体"/>
          <w:bCs/>
          <w:color w:val="auto"/>
          <w:szCs w:val="21"/>
          <w:highlight w:val="none"/>
        </w:rPr>
        <w:t>投标人完成电子</w:t>
      </w:r>
      <w:r>
        <w:rPr>
          <w:rStyle w:val="84"/>
          <w:rFonts w:ascii="宋体" w:hAnsi="宋体"/>
          <w:color w:val="auto"/>
          <w:szCs w:val="21"/>
          <w:highlight w:val="none"/>
        </w:rPr>
        <w:t>投标文件</w:t>
      </w:r>
      <w:r>
        <w:rPr>
          <w:rStyle w:val="84"/>
          <w:rFonts w:ascii="宋体" w:hAnsi="宋体"/>
          <w:bCs/>
          <w:color w:val="auto"/>
          <w:szCs w:val="21"/>
          <w:highlight w:val="none"/>
        </w:rPr>
        <w:t>上传后，</w:t>
      </w:r>
      <w:r>
        <w:rPr>
          <w:rStyle w:val="84"/>
          <w:rFonts w:ascii="宋体" w:hAnsi="宋体"/>
          <w:color w:val="auto"/>
          <w:szCs w:val="21"/>
          <w:highlight w:val="none"/>
          <w:u w:val="single"/>
        </w:rPr>
        <w:t>广州公共资源交易中心</w:t>
      </w:r>
      <w:r>
        <w:rPr>
          <w:rStyle w:val="84"/>
          <w:rFonts w:ascii="宋体" w:hAnsi="宋体"/>
          <w:color w:val="auto"/>
          <w:szCs w:val="21"/>
          <w:highlight w:val="none"/>
        </w:rPr>
        <w:t>交易平台即时向投标人发出递交回执通知。递交时间以递交回执通知载明的传输完成时间为准。</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条款号：19.3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bCs/>
          <w:color w:val="auto"/>
          <w:szCs w:val="21"/>
          <w:highlight w:val="none"/>
        </w:rPr>
        <w:t>逾期送达的电子投标文件，</w:t>
      </w:r>
      <w:r>
        <w:rPr>
          <w:rStyle w:val="84"/>
          <w:rFonts w:ascii="宋体" w:hAnsi="宋体"/>
          <w:color w:val="auto"/>
          <w:szCs w:val="21"/>
          <w:highlight w:val="none"/>
        </w:rPr>
        <w:t>交易平台将予以拒收。</w:t>
      </w:r>
    </w:p>
    <w:p>
      <w:pPr>
        <w:pBdr>
          <w:bottom w:val="single" w:color="000000" w:sz="6" w:space="1"/>
        </w:pBdr>
        <w:spacing w:line="360" w:lineRule="auto"/>
        <w:ind w:firstLine="422" w:firstLineChars="200"/>
        <w:rPr>
          <w:rStyle w:val="84"/>
          <w:rFonts w:ascii="宋体" w:hAnsi="宋体"/>
          <w:color w:val="auto"/>
          <w:szCs w:val="21"/>
          <w:highlight w:val="none"/>
        </w:rPr>
      </w:pPr>
      <w:r>
        <w:rPr>
          <w:rStyle w:val="84"/>
          <w:rFonts w:ascii="宋体" w:hAnsi="宋体"/>
          <w:b/>
          <w:color w:val="auto"/>
          <w:szCs w:val="21"/>
          <w:highlight w:val="none"/>
        </w:rPr>
        <w:t>现文：</w:t>
      </w:r>
      <w:r>
        <w:rPr>
          <w:rStyle w:val="84"/>
          <w:rFonts w:ascii="宋体" w:hAnsi="宋体"/>
          <w:bCs/>
          <w:color w:val="auto"/>
          <w:szCs w:val="21"/>
          <w:highlight w:val="none"/>
        </w:rPr>
        <w:t>逾期送达的电子投标文件，</w:t>
      </w:r>
      <w:r>
        <w:rPr>
          <w:rStyle w:val="84"/>
          <w:rFonts w:ascii="宋体" w:hAnsi="宋体"/>
          <w:color w:val="auto"/>
          <w:szCs w:val="21"/>
          <w:highlight w:val="none"/>
          <w:u w:val="single"/>
        </w:rPr>
        <w:t>广州公共资源交易中心</w:t>
      </w:r>
      <w:r>
        <w:rPr>
          <w:rStyle w:val="84"/>
          <w:rFonts w:ascii="宋体" w:hAnsi="宋体"/>
          <w:color w:val="auto"/>
          <w:szCs w:val="21"/>
          <w:highlight w:val="none"/>
        </w:rPr>
        <w:t>交易平台将予以拒收。</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条款号：19.5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19.5如技术标和经济标先后分别开启，交易平台将按招标文件规定的时间分别开启技术标和经济标。</w:t>
      </w:r>
    </w:p>
    <w:p>
      <w:pPr>
        <w:pBdr>
          <w:bottom w:val="single" w:color="000000" w:sz="6" w:space="1"/>
        </w:pBdr>
        <w:spacing w:line="360" w:lineRule="auto"/>
        <w:ind w:firstLine="422" w:firstLineChars="200"/>
        <w:rPr>
          <w:rStyle w:val="84"/>
          <w:rFonts w:ascii="宋体" w:hAnsi="宋体"/>
          <w:color w:val="auto"/>
          <w:szCs w:val="21"/>
          <w:highlight w:val="none"/>
        </w:rPr>
      </w:pPr>
      <w:r>
        <w:rPr>
          <w:rStyle w:val="84"/>
          <w:rFonts w:ascii="宋体" w:hAnsi="宋体"/>
          <w:b/>
          <w:color w:val="auto"/>
          <w:szCs w:val="21"/>
          <w:highlight w:val="none"/>
        </w:rPr>
        <w:t>现文：</w:t>
      </w:r>
      <w:r>
        <w:rPr>
          <w:rStyle w:val="84"/>
          <w:rFonts w:ascii="宋体" w:hAnsi="宋体"/>
          <w:color w:val="auto"/>
          <w:szCs w:val="21"/>
          <w:highlight w:val="none"/>
        </w:rPr>
        <w:t>19.5如技术标和经济标先后分别开启，</w:t>
      </w:r>
      <w:r>
        <w:rPr>
          <w:rStyle w:val="84"/>
          <w:rFonts w:ascii="宋体" w:hAnsi="宋体"/>
          <w:color w:val="auto"/>
          <w:szCs w:val="21"/>
          <w:highlight w:val="none"/>
          <w:u w:val="single"/>
        </w:rPr>
        <w:t>广州公共资源交易中心</w:t>
      </w:r>
      <w:r>
        <w:rPr>
          <w:rStyle w:val="84"/>
          <w:rFonts w:ascii="宋体" w:hAnsi="宋体"/>
          <w:color w:val="auto"/>
          <w:szCs w:val="21"/>
          <w:highlight w:val="none"/>
        </w:rPr>
        <w:t>交易平台将按招标文件规定的时间分别开启技术标和经济标。</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条款号：19.6          修改类型：删除</w:t>
      </w:r>
    </w:p>
    <w:p>
      <w:pPr>
        <w:pBdr>
          <w:bottom w:val="single" w:color="000000" w:sz="6" w:space="1"/>
        </w:pBdr>
        <w:spacing w:line="360" w:lineRule="auto"/>
        <w:ind w:firstLine="422" w:firstLineChars="200"/>
        <w:rPr>
          <w:rStyle w:val="84"/>
          <w:rFonts w:ascii="宋体" w:hAnsi="宋体"/>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条款号：21.1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21.1本须知前附表第17项规定的投标截止时间</w:t>
      </w:r>
      <w:r>
        <w:rPr>
          <w:rStyle w:val="84"/>
          <w:rFonts w:ascii="宋体" w:hAnsi="宋体"/>
          <w:bCs/>
          <w:color w:val="auto"/>
          <w:szCs w:val="21"/>
          <w:highlight w:val="none"/>
        </w:rPr>
        <w:t>后送达的电子投标文件，</w:t>
      </w:r>
      <w:r>
        <w:rPr>
          <w:rStyle w:val="84"/>
          <w:rFonts w:ascii="宋体" w:hAnsi="宋体"/>
          <w:color w:val="auto"/>
          <w:szCs w:val="21"/>
          <w:highlight w:val="none"/>
        </w:rPr>
        <w:t>交易平台将予以拒收。</w:t>
      </w:r>
    </w:p>
    <w:p>
      <w:pPr>
        <w:pBdr>
          <w:bottom w:val="single" w:color="000000" w:sz="6" w:space="1"/>
        </w:pBdr>
        <w:spacing w:line="360" w:lineRule="auto"/>
        <w:ind w:firstLine="422" w:firstLineChars="200"/>
        <w:rPr>
          <w:rStyle w:val="84"/>
          <w:rFonts w:ascii="宋体" w:hAnsi="宋体"/>
          <w:bCs/>
          <w:color w:val="auto"/>
          <w:szCs w:val="21"/>
          <w:highlight w:val="none"/>
        </w:rPr>
      </w:pPr>
      <w:r>
        <w:rPr>
          <w:rStyle w:val="84"/>
          <w:rFonts w:ascii="宋体" w:hAnsi="宋体"/>
          <w:b/>
          <w:color w:val="auto"/>
          <w:szCs w:val="21"/>
          <w:highlight w:val="none"/>
        </w:rPr>
        <w:t>现文：</w:t>
      </w:r>
      <w:r>
        <w:rPr>
          <w:rStyle w:val="84"/>
          <w:rFonts w:ascii="宋体" w:hAnsi="宋体"/>
          <w:color w:val="auto"/>
          <w:szCs w:val="21"/>
          <w:highlight w:val="none"/>
        </w:rPr>
        <w:t>21.1本须知前附表第17项规定的投标截止时间</w:t>
      </w:r>
      <w:r>
        <w:rPr>
          <w:rStyle w:val="84"/>
          <w:rFonts w:ascii="宋体" w:hAnsi="宋体"/>
          <w:bCs/>
          <w:color w:val="auto"/>
          <w:szCs w:val="21"/>
          <w:highlight w:val="none"/>
        </w:rPr>
        <w:t>后送达的电子投标文件，</w:t>
      </w:r>
      <w:r>
        <w:rPr>
          <w:rStyle w:val="84"/>
          <w:rFonts w:ascii="宋体" w:hAnsi="宋体"/>
          <w:bCs/>
          <w:color w:val="auto"/>
          <w:szCs w:val="21"/>
          <w:highlight w:val="none"/>
          <w:u w:val="single"/>
        </w:rPr>
        <w:t>广州公共资源交易中心</w:t>
      </w:r>
      <w:r>
        <w:rPr>
          <w:rStyle w:val="84"/>
          <w:rFonts w:ascii="宋体" w:hAnsi="宋体"/>
          <w:bCs/>
          <w:color w:val="auto"/>
          <w:szCs w:val="21"/>
          <w:highlight w:val="none"/>
        </w:rPr>
        <w:t>交易平台将予以拒收。</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条款号：27.1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27.1招标人将在交易平台、广东省招标投标监管网和中国招标投标公共服务平台公示中标候选人，公示期为三天。</w:t>
      </w:r>
    </w:p>
    <w:p>
      <w:pPr>
        <w:pBdr>
          <w:bottom w:val="single" w:color="000000" w:sz="6" w:space="1"/>
        </w:pBdr>
        <w:spacing w:line="360" w:lineRule="auto"/>
        <w:ind w:firstLine="422" w:firstLineChars="200"/>
        <w:rPr>
          <w:rStyle w:val="84"/>
          <w:rFonts w:ascii="宋体" w:hAnsi="宋体"/>
          <w:b/>
          <w:bCs/>
          <w:color w:val="auto"/>
          <w:szCs w:val="21"/>
          <w:highlight w:val="none"/>
        </w:rPr>
      </w:pPr>
      <w:r>
        <w:rPr>
          <w:rStyle w:val="84"/>
          <w:rFonts w:ascii="宋体" w:hAnsi="宋体"/>
          <w:b/>
          <w:color w:val="auto"/>
          <w:szCs w:val="21"/>
          <w:highlight w:val="none"/>
        </w:rPr>
        <w:t>现文：</w:t>
      </w:r>
      <w:r>
        <w:rPr>
          <w:rStyle w:val="84"/>
          <w:rFonts w:ascii="宋体" w:hAnsi="宋体"/>
          <w:color w:val="auto"/>
          <w:szCs w:val="21"/>
          <w:highlight w:val="none"/>
        </w:rPr>
        <w:t>27.1</w:t>
      </w:r>
      <w:r>
        <w:rPr>
          <w:rStyle w:val="84"/>
          <w:rFonts w:hint="eastAsia" w:ascii="宋体" w:hAnsi="宋体"/>
          <w:color w:val="auto"/>
          <w:szCs w:val="21"/>
          <w:highlight w:val="none"/>
        </w:rPr>
        <w:t>招标人将在</w:t>
      </w:r>
      <w:r>
        <w:rPr>
          <w:rStyle w:val="84"/>
          <w:rFonts w:ascii="宋体" w:hAnsi="宋体"/>
          <w:color w:val="auto"/>
          <w:szCs w:val="21"/>
          <w:highlight w:val="none"/>
          <w:u w:val="single"/>
        </w:rPr>
        <w:t>广州公共资源交易中心</w:t>
      </w:r>
      <w:r>
        <w:rPr>
          <w:rStyle w:val="84"/>
          <w:rFonts w:hint="eastAsia" w:ascii="宋体" w:hAnsi="宋体"/>
          <w:color w:val="auto"/>
          <w:szCs w:val="21"/>
          <w:highlight w:val="none"/>
        </w:rPr>
        <w:t>交易平台、广东省招标投标监管网和中国招标投标公共服务平台公示中标候选人，公示期为三天。</w:t>
      </w:r>
      <w:r>
        <w:rPr>
          <w:rStyle w:val="84"/>
          <w:rFonts w:hint="eastAsia" w:ascii="宋体" w:hAnsi="宋体"/>
          <w:b/>
          <w:bCs/>
          <w:color w:val="auto"/>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条款号：27.4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27.4招在产生中标候选人后，招标人将中标候选人的投标文件商务部分文件的所有内容（包括报价清单、人员、业绩、奖项等资料）在交易平台和广东省招标投标监管网公开。</w:t>
      </w:r>
    </w:p>
    <w:p>
      <w:pPr>
        <w:pBdr>
          <w:bottom w:val="single" w:color="000000" w:sz="6" w:space="1"/>
        </w:pBdr>
        <w:spacing w:line="360" w:lineRule="auto"/>
        <w:ind w:firstLine="422" w:firstLineChars="200"/>
        <w:rPr>
          <w:rStyle w:val="84"/>
          <w:rFonts w:ascii="宋体" w:hAnsi="宋体"/>
          <w:color w:val="auto"/>
          <w:szCs w:val="21"/>
          <w:highlight w:val="none"/>
        </w:rPr>
      </w:pPr>
      <w:r>
        <w:rPr>
          <w:rStyle w:val="84"/>
          <w:rFonts w:ascii="宋体" w:hAnsi="宋体"/>
          <w:b/>
          <w:color w:val="auto"/>
          <w:szCs w:val="21"/>
          <w:highlight w:val="none"/>
        </w:rPr>
        <w:t>现文：</w:t>
      </w:r>
      <w:r>
        <w:rPr>
          <w:rStyle w:val="84"/>
          <w:rFonts w:ascii="宋体" w:hAnsi="宋体"/>
          <w:color w:val="auto"/>
          <w:szCs w:val="21"/>
          <w:highlight w:val="none"/>
        </w:rPr>
        <w:t>27.4</w:t>
      </w:r>
      <w:r>
        <w:rPr>
          <w:rStyle w:val="84"/>
          <w:rFonts w:hint="eastAsia" w:ascii="宋体" w:hAnsi="宋体"/>
          <w:color w:val="auto"/>
          <w:szCs w:val="21"/>
          <w:highlight w:val="none"/>
        </w:rPr>
        <w:t>在产生中标候选人后，招标人将中标候选人的投标文件商务部分文件的</w:t>
      </w:r>
      <w:r>
        <w:rPr>
          <w:rStyle w:val="84"/>
          <w:rFonts w:hint="eastAsia" w:ascii="宋体" w:hAnsi="宋体"/>
          <w:color w:val="auto"/>
          <w:szCs w:val="21"/>
          <w:highlight w:val="none"/>
          <w:u w:val="single"/>
        </w:rPr>
        <w:t>人员、业绩、奖项等资料</w:t>
      </w:r>
      <w:r>
        <w:rPr>
          <w:rStyle w:val="84"/>
          <w:rFonts w:hint="eastAsia" w:ascii="宋体" w:hAnsi="宋体"/>
          <w:color w:val="auto"/>
          <w:szCs w:val="21"/>
          <w:highlight w:val="none"/>
        </w:rPr>
        <w:t>在</w:t>
      </w:r>
      <w:r>
        <w:rPr>
          <w:rFonts w:ascii="宋体" w:hAnsi="宋体"/>
          <w:color w:val="auto"/>
          <w:szCs w:val="21"/>
          <w:highlight w:val="none"/>
          <w:u w:val="single"/>
        </w:rPr>
        <w:t>广州公共资源交易中心</w:t>
      </w:r>
      <w:r>
        <w:rPr>
          <w:rStyle w:val="84"/>
          <w:rFonts w:hint="eastAsia" w:ascii="宋体" w:hAnsi="宋体"/>
          <w:color w:val="auto"/>
          <w:szCs w:val="21"/>
          <w:highlight w:val="none"/>
        </w:rPr>
        <w:t>交易平台和广东省招标投标监管网公开。</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条款号：2</w:t>
      </w:r>
      <w:r>
        <w:rPr>
          <w:rStyle w:val="84"/>
          <w:rFonts w:hint="eastAsia" w:ascii="宋体" w:hAnsi="宋体"/>
          <w:b/>
          <w:color w:val="auto"/>
          <w:szCs w:val="21"/>
          <w:highlight w:val="none"/>
        </w:rPr>
        <w:t>9</w:t>
      </w:r>
      <w:r>
        <w:rPr>
          <w:rStyle w:val="84"/>
          <w:rFonts w:ascii="宋体" w:hAnsi="宋体"/>
          <w:b/>
          <w:color w:val="auto"/>
          <w:szCs w:val="21"/>
          <w:highlight w:val="none"/>
        </w:rPr>
        <w:t>.</w:t>
      </w:r>
      <w:r>
        <w:rPr>
          <w:rStyle w:val="84"/>
          <w:rFonts w:hint="eastAsia" w:ascii="宋体" w:hAnsi="宋体"/>
          <w:b/>
          <w:color w:val="auto"/>
          <w:szCs w:val="21"/>
          <w:highlight w:val="none"/>
        </w:rPr>
        <w:t>1</w:t>
      </w:r>
      <w:r>
        <w:rPr>
          <w:rStyle w:val="84"/>
          <w:rFonts w:ascii="宋体" w:hAnsi="宋体"/>
          <w:b/>
          <w:color w:val="auto"/>
          <w:szCs w:val="21"/>
          <w:highlight w:val="none"/>
        </w:rPr>
        <w:t xml:space="preserve">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2</w:t>
      </w:r>
      <w:r>
        <w:rPr>
          <w:rStyle w:val="84"/>
          <w:rFonts w:hint="eastAsia" w:ascii="宋体" w:hAnsi="宋体"/>
          <w:color w:val="auto"/>
          <w:szCs w:val="21"/>
          <w:highlight w:val="none"/>
        </w:rPr>
        <w:t>9</w:t>
      </w:r>
      <w:r>
        <w:rPr>
          <w:rStyle w:val="84"/>
          <w:rFonts w:ascii="宋体" w:hAnsi="宋体"/>
          <w:color w:val="auto"/>
          <w:szCs w:val="21"/>
          <w:highlight w:val="none"/>
        </w:rPr>
        <w:t>.</w:t>
      </w:r>
      <w:r>
        <w:rPr>
          <w:rStyle w:val="84"/>
          <w:rFonts w:hint="eastAsia" w:ascii="宋体" w:hAnsi="宋体"/>
          <w:color w:val="auto"/>
          <w:szCs w:val="21"/>
          <w:highlight w:val="none"/>
        </w:rPr>
        <w:t>1</w:t>
      </w:r>
      <w:r>
        <w:rPr>
          <w:rFonts w:hint="eastAsia" w:ascii="宋体" w:hAnsi="宋体"/>
          <w:color w:val="auto"/>
          <w:szCs w:val="21"/>
          <w:highlight w:val="none"/>
        </w:rPr>
        <w:t>在收到中标通知书后的15日内，中标人应按本须知前附表第20项的规定向招标人提交履约担保。</w:t>
      </w:r>
    </w:p>
    <w:p>
      <w:pPr>
        <w:pBdr>
          <w:bottom w:val="single" w:color="000000" w:sz="6" w:space="1"/>
        </w:pBdr>
        <w:spacing w:line="360" w:lineRule="auto"/>
        <w:ind w:firstLine="422" w:firstLineChars="200"/>
        <w:rPr>
          <w:rStyle w:val="84"/>
          <w:rFonts w:ascii="宋体" w:hAnsi="宋体"/>
          <w:color w:val="auto"/>
          <w:szCs w:val="21"/>
          <w:highlight w:val="none"/>
        </w:rPr>
      </w:pPr>
      <w:r>
        <w:rPr>
          <w:rStyle w:val="84"/>
          <w:rFonts w:ascii="宋体" w:hAnsi="宋体"/>
          <w:b/>
          <w:color w:val="auto"/>
          <w:szCs w:val="21"/>
          <w:highlight w:val="none"/>
        </w:rPr>
        <w:t>现文：</w:t>
      </w:r>
      <w:r>
        <w:rPr>
          <w:rStyle w:val="84"/>
          <w:rFonts w:hint="eastAsia" w:ascii="宋体" w:hAnsi="宋体"/>
          <w:color w:val="auto"/>
          <w:szCs w:val="21"/>
          <w:highlight w:val="none"/>
        </w:rPr>
        <w:t>29</w:t>
      </w:r>
      <w:r>
        <w:rPr>
          <w:rStyle w:val="84"/>
          <w:rFonts w:ascii="宋体" w:hAnsi="宋体"/>
          <w:color w:val="auto"/>
          <w:szCs w:val="21"/>
          <w:highlight w:val="none"/>
        </w:rPr>
        <w:t>.</w:t>
      </w:r>
      <w:r>
        <w:rPr>
          <w:rStyle w:val="84"/>
          <w:rFonts w:hint="eastAsia" w:ascii="宋体" w:hAnsi="宋体"/>
          <w:color w:val="auto"/>
          <w:szCs w:val="21"/>
          <w:highlight w:val="none"/>
        </w:rPr>
        <w:t>1</w:t>
      </w:r>
      <w:r>
        <w:rPr>
          <w:rFonts w:hint="eastAsia" w:ascii="宋体" w:hAnsi="宋体" w:cs="宋体"/>
          <w:color w:val="auto"/>
          <w:szCs w:val="21"/>
          <w:highlight w:val="none"/>
        </w:rPr>
        <w:t>在</w:t>
      </w:r>
      <w:r>
        <w:rPr>
          <w:rFonts w:hint="eastAsia" w:ascii="宋体" w:hAnsi="宋体" w:cs="宋体"/>
          <w:color w:val="auto"/>
          <w:szCs w:val="21"/>
          <w:highlight w:val="none"/>
          <w:u w:val="single"/>
        </w:rPr>
        <w:t>签订合同</w:t>
      </w:r>
      <w:r>
        <w:rPr>
          <w:rFonts w:hint="eastAsia" w:ascii="宋体" w:hAnsi="宋体" w:cs="宋体"/>
          <w:color w:val="auto"/>
          <w:szCs w:val="21"/>
          <w:highlight w:val="none"/>
        </w:rPr>
        <w:t>后</w:t>
      </w:r>
      <w:r>
        <w:rPr>
          <w:rFonts w:hint="eastAsia" w:ascii="宋体" w:hAnsi="宋体" w:cs="宋体"/>
          <w:color w:val="auto"/>
          <w:szCs w:val="21"/>
          <w:highlight w:val="none"/>
          <w:u w:val="single"/>
        </w:rPr>
        <w:t>按合同约定时间</w:t>
      </w:r>
      <w:r>
        <w:rPr>
          <w:rFonts w:hint="eastAsia" w:ascii="宋体" w:hAnsi="宋体" w:cs="宋体"/>
          <w:color w:val="auto"/>
          <w:szCs w:val="21"/>
          <w:highlight w:val="none"/>
        </w:rPr>
        <w:t>，</w:t>
      </w:r>
      <w:r>
        <w:rPr>
          <w:rFonts w:hint="eastAsia" w:ascii="宋体" w:hAnsi="宋体"/>
          <w:color w:val="auto"/>
          <w:szCs w:val="21"/>
          <w:highlight w:val="none"/>
        </w:rPr>
        <w:t>中标人应按本须知前附表第20项的规定向招标人提交履约担保。</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条款号：2</w:t>
      </w:r>
      <w:r>
        <w:rPr>
          <w:rStyle w:val="84"/>
          <w:rFonts w:hint="eastAsia" w:ascii="宋体" w:hAnsi="宋体"/>
          <w:b/>
          <w:color w:val="auto"/>
          <w:szCs w:val="21"/>
          <w:highlight w:val="none"/>
        </w:rPr>
        <w:t>9</w:t>
      </w:r>
      <w:r>
        <w:rPr>
          <w:rStyle w:val="84"/>
          <w:rFonts w:ascii="宋体" w:hAnsi="宋体"/>
          <w:b/>
          <w:color w:val="auto"/>
          <w:szCs w:val="21"/>
          <w:highlight w:val="none"/>
        </w:rPr>
        <w:t>.</w:t>
      </w:r>
      <w:r>
        <w:rPr>
          <w:rStyle w:val="84"/>
          <w:rFonts w:hint="eastAsia" w:ascii="宋体" w:hAnsi="宋体"/>
          <w:b/>
          <w:color w:val="auto"/>
          <w:szCs w:val="21"/>
          <w:highlight w:val="none"/>
        </w:rPr>
        <w:t>2</w:t>
      </w:r>
      <w:r>
        <w:rPr>
          <w:rStyle w:val="84"/>
          <w:rFonts w:ascii="宋体" w:hAnsi="宋体"/>
          <w:b/>
          <w:color w:val="auto"/>
          <w:szCs w:val="21"/>
          <w:highlight w:val="none"/>
        </w:rPr>
        <w:t xml:space="preserve">          修改类型：修改</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2</w:t>
      </w:r>
      <w:r>
        <w:rPr>
          <w:rStyle w:val="84"/>
          <w:rFonts w:hint="eastAsia" w:ascii="宋体" w:hAnsi="宋体"/>
          <w:color w:val="auto"/>
          <w:szCs w:val="21"/>
          <w:highlight w:val="none"/>
        </w:rPr>
        <w:t>9</w:t>
      </w:r>
      <w:r>
        <w:rPr>
          <w:rStyle w:val="84"/>
          <w:rFonts w:ascii="宋体" w:hAnsi="宋体"/>
          <w:color w:val="auto"/>
          <w:szCs w:val="21"/>
          <w:highlight w:val="none"/>
        </w:rPr>
        <w:t>.</w:t>
      </w:r>
      <w:r>
        <w:rPr>
          <w:rStyle w:val="84"/>
          <w:rFonts w:hint="eastAsia" w:ascii="宋体" w:hAnsi="宋体"/>
          <w:color w:val="auto"/>
          <w:szCs w:val="21"/>
          <w:highlight w:val="none"/>
        </w:rPr>
        <w:t>2</w:t>
      </w:r>
      <w:r>
        <w:rPr>
          <w:rFonts w:hint="eastAsia" w:ascii="宋体" w:hAnsi="宋体"/>
          <w:color w:val="auto"/>
          <w:szCs w:val="21"/>
          <w:highlight w:val="none"/>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000000" w:sz="6" w:space="1"/>
        </w:pBdr>
        <w:spacing w:line="360" w:lineRule="auto"/>
        <w:ind w:firstLine="422" w:firstLineChars="200"/>
        <w:rPr>
          <w:rStyle w:val="84"/>
          <w:rFonts w:ascii="宋体" w:hAnsi="宋体"/>
          <w:color w:val="auto"/>
          <w:szCs w:val="21"/>
          <w:highlight w:val="none"/>
        </w:rPr>
      </w:pPr>
      <w:r>
        <w:rPr>
          <w:rStyle w:val="84"/>
          <w:rFonts w:ascii="宋体" w:hAnsi="宋体"/>
          <w:b/>
          <w:color w:val="auto"/>
          <w:szCs w:val="21"/>
          <w:highlight w:val="none"/>
        </w:rPr>
        <w:t>现文：</w:t>
      </w:r>
      <w:r>
        <w:rPr>
          <w:rStyle w:val="84"/>
          <w:rFonts w:hint="eastAsia" w:ascii="宋体" w:hAnsi="宋体"/>
          <w:color w:val="auto"/>
          <w:szCs w:val="21"/>
          <w:highlight w:val="none"/>
        </w:rPr>
        <w:t>29</w:t>
      </w:r>
      <w:r>
        <w:rPr>
          <w:rStyle w:val="84"/>
          <w:rFonts w:ascii="宋体" w:hAnsi="宋体"/>
          <w:color w:val="auto"/>
          <w:szCs w:val="21"/>
          <w:highlight w:val="none"/>
        </w:rPr>
        <w:t>.</w:t>
      </w:r>
      <w:r>
        <w:rPr>
          <w:rStyle w:val="84"/>
          <w:rFonts w:hint="eastAsia" w:ascii="宋体" w:hAnsi="宋体"/>
          <w:color w:val="auto"/>
          <w:szCs w:val="21"/>
          <w:highlight w:val="none"/>
        </w:rPr>
        <w:t>2</w:t>
      </w:r>
      <w:r>
        <w:rPr>
          <w:rFonts w:hint="eastAsia" w:ascii="宋体" w:hAnsi="宋体" w:cs="宋体"/>
          <w:color w:val="auto"/>
          <w:szCs w:val="21"/>
          <w:highlight w:val="none"/>
          <w:u w:val="single"/>
        </w:rPr>
        <w:t>在签订合同后，根据合同约定时间</w:t>
      </w:r>
      <w:r>
        <w:rPr>
          <w:rFonts w:hint="eastAsia" w:ascii="宋体" w:hAnsi="宋体" w:cs="宋体"/>
          <w:color w:val="auto"/>
          <w:szCs w:val="21"/>
          <w:highlight w:val="none"/>
        </w:rPr>
        <w:t>，</w:t>
      </w:r>
      <w:r>
        <w:rPr>
          <w:rFonts w:hint="eastAsia" w:ascii="宋体" w:hAnsi="宋体"/>
          <w:color w:val="auto"/>
          <w:szCs w:val="21"/>
          <w:highlight w:val="none"/>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条款号：31.1          修改类型：增加</w:t>
      </w:r>
    </w:p>
    <w:p>
      <w:pPr>
        <w:pBdr>
          <w:bottom w:val="single" w:color="000000" w:sz="6" w:space="1"/>
        </w:pBdr>
        <w:spacing w:line="360" w:lineRule="auto"/>
        <w:ind w:firstLine="422" w:firstLineChars="200"/>
        <w:rPr>
          <w:rStyle w:val="84"/>
          <w:rFonts w:ascii="宋体" w:hAnsi="宋体"/>
          <w:color w:val="auto"/>
          <w:szCs w:val="21"/>
          <w:highlight w:val="none"/>
          <w:u w:val="single"/>
        </w:rPr>
      </w:pPr>
      <w:r>
        <w:rPr>
          <w:rStyle w:val="84"/>
          <w:rFonts w:ascii="宋体" w:hAnsi="宋体"/>
          <w:b/>
          <w:color w:val="auto"/>
          <w:szCs w:val="21"/>
          <w:highlight w:val="none"/>
        </w:rPr>
        <w:t>现文：</w:t>
      </w:r>
      <w:r>
        <w:rPr>
          <w:rStyle w:val="84"/>
          <w:rFonts w:hint="eastAsia" w:ascii="宋体" w:hAnsi="宋体"/>
          <w:color w:val="auto"/>
          <w:szCs w:val="21"/>
          <w:highlight w:val="none"/>
          <w:u w:val="single"/>
        </w:rPr>
        <w:t>中标人向</w:t>
      </w:r>
      <w:r>
        <w:rPr>
          <w:rStyle w:val="84"/>
          <w:rFonts w:ascii="宋体" w:hAnsi="宋体"/>
          <w:color w:val="auto"/>
          <w:szCs w:val="21"/>
          <w:highlight w:val="none"/>
          <w:u w:val="single"/>
        </w:rPr>
        <w:t>广州公共资源交易中心交纳交易服务费</w:t>
      </w:r>
      <w:r>
        <w:rPr>
          <w:rStyle w:val="84"/>
          <w:rFonts w:hint="eastAsia" w:ascii="宋体" w:hAnsi="宋体"/>
          <w:color w:val="auto"/>
          <w:szCs w:val="21"/>
          <w:highlight w:val="none"/>
          <w:u w:val="single"/>
        </w:rPr>
        <w:t>。</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w:t>
      </w:r>
      <w:r>
        <w:rPr>
          <w:rStyle w:val="84"/>
          <w:rFonts w:hint="eastAsia" w:ascii="宋体" w:hAnsi="宋体"/>
          <w:b/>
          <w:color w:val="auto"/>
          <w:szCs w:val="21"/>
          <w:highlight w:val="none"/>
        </w:rPr>
        <w:t>32.3</w:t>
      </w:r>
      <w:r>
        <w:rPr>
          <w:rStyle w:val="84"/>
          <w:rFonts w:ascii="宋体" w:hAnsi="宋体"/>
          <w:b/>
          <w:color w:val="auto"/>
          <w:szCs w:val="21"/>
          <w:highlight w:val="none"/>
        </w:rPr>
        <w:t xml:space="preserve">          修改类型：修改</w:t>
      </w:r>
    </w:p>
    <w:p>
      <w:pPr>
        <w:pBdr>
          <w:bottom w:val="single" w:color="000000" w:sz="6" w:space="1"/>
        </w:pBd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hint="eastAsia" w:ascii="宋体" w:hAnsi="宋体"/>
          <w:bCs/>
          <w:color w:val="auto"/>
          <w:szCs w:val="21"/>
          <w:highlight w:val="none"/>
        </w:rPr>
        <w:t>32.3 投标人如在本项目中存在串通投标、弄虚作假、行贿情形的，中标无效，行政监督部门将对其违法行为进行政处罚并通报。该投标人将被招标人列入黑名单并限制其参与招标人后续项目的投标</w:t>
      </w:r>
      <w:r>
        <w:rPr>
          <w:rStyle w:val="84"/>
          <w:rFonts w:hint="eastAsia" w:ascii="宋体" w:hAnsi="宋体"/>
          <w:b/>
          <w:color w:val="auto"/>
          <w:szCs w:val="21"/>
          <w:highlight w:val="none"/>
        </w:rPr>
        <w:t>。</w:t>
      </w:r>
    </w:p>
    <w:p>
      <w:pPr>
        <w:pBdr>
          <w:bottom w:val="single" w:color="000000" w:sz="6" w:space="1"/>
        </w:pBdr>
        <w:spacing w:line="360" w:lineRule="auto"/>
        <w:ind w:firstLine="422" w:firstLineChars="200"/>
        <w:rPr>
          <w:rFonts w:ascii="仿宋" w:hAnsi="仿宋" w:eastAsia="仿宋" w:cs="宋体"/>
          <w:b/>
          <w:color w:val="auto"/>
          <w:kern w:val="0"/>
          <w:sz w:val="22"/>
          <w:highlight w:val="none"/>
        </w:rPr>
      </w:pPr>
      <w:r>
        <w:rPr>
          <w:rStyle w:val="84"/>
          <w:rFonts w:ascii="宋体" w:hAnsi="宋体"/>
          <w:b/>
          <w:color w:val="auto"/>
          <w:szCs w:val="21"/>
          <w:highlight w:val="none"/>
        </w:rPr>
        <w:t>现文：</w:t>
      </w:r>
      <w:r>
        <w:rPr>
          <w:rStyle w:val="84"/>
          <w:rFonts w:hint="eastAsia" w:ascii="宋体" w:hAnsi="宋体"/>
          <w:bCs/>
          <w:color w:val="auto"/>
          <w:szCs w:val="21"/>
          <w:highlight w:val="none"/>
        </w:rPr>
        <w:t>32.3 投标人如在本项目中存在串通投标、弄虚作假</w:t>
      </w:r>
      <w:r>
        <w:rPr>
          <w:rStyle w:val="84"/>
          <w:rFonts w:hint="eastAsia" w:ascii="宋体" w:hAnsi="宋体"/>
          <w:b/>
          <w:color w:val="auto"/>
          <w:szCs w:val="21"/>
          <w:highlight w:val="none"/>
        </w:rPr>
        <w:t>骗取中标</w:t>
      </w:r>
      <w:r>
        <w:rPr>
          <w:rStyle w:val="84"/>
          <w:rFonts w:hint="eastAsia" w:ascii="宋体" w:hAnsi="宋体"/>
          <w:bCs/>
          <w:color w:val="auto"/>
          <w:szCs w:val="21"/>
          <w:highlight w:val="none"/>
        </w:rPr>
        <w:t>、行贿情形的，中标无效，行政监督部门将对其违法行为进行政处罚。</w:t>
      </w:r>
      <w:r>
        <w:rPr>
          <w:rStyle w:val="84"/>
          <w:rFonts w:hint="eastAsia" w:ascii="宋体" w:hAnsi="宋体"/>
          <w:b/>
          <w:color w:val="auto"/>
          <w:szCs w:val="21"/>
          <w:highlight w:val="none"/>
        </w:rPr>
        <w:t>该投标人将被招标人列入黑名单并限制其参与招标人后续项目的投标。</w:t>
      </w:r>
    </w:p>
    <w:p>
      <w:pPr>
        <w:spacing w:line="360"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w:t>
      </w:r>
      <w:r>
        <w:rPr>
          <w:rStyle w:val="84"/>
          <w:rFonts w:hint="eastAsia" w:ascii="宋体" w:hAnsi="宋体"/>
          <w:b/>
          <w:color w:val="auto"/>
          <w:szCs w:val="21"/>
          <w:highlight w:val="none"/>
        </w:rPr>
        <w:t>33</w:t>
      </w:r>
      <w:r>
        <w:rPr>
          <w:rStyle w:val="84"/>
          <w:rFonts w:ascii="宋体" w:hAnsi="宋体"/>
          <w:b/>
          <w:color w:val="auto"/>
          <w:szCs w:val="21"/>
          <w:highlight w:val="none"/>
        </w:rPr>
        <w:t xml:space="preserve">          修改类型：删除</w:t>
      </w:r>
    </w:p>
    <w:p>
      <w:pPr>
        <w:spacing w:line="360" w:lineRule="auto"/>
        <w:ind w:firstLine="422" w:firstLineChars="200"/>
        <w:rPr>
          <w:rStyle w:val="84"/>
          <w:rFonts w:ascii="宋体" w:hAnsi="宋体"/>
          <w:color w:val="auto"/>
          <w:szCs w:val="21"/>
          <w:highlight w:val="none"/>
        </w:rPr>
      </w:pPr>
      <w:r>
        <w:rPr>
          <w:rStyle w:val="84"/>
          <w:rFonts w:ascii="宋体" w:hAnsi="宋体"/>
          <w:b/>
          <w:color w:val="auto"/>
          <w:szCs w:val="21"/>
          <w:highlight w:val="none"/>
        </w:rPr>
        <w:t>原文：</w:t>
      </w:r>
      <w:r>
        <w:rPr>
          <w:rStyle w:val="84"/>
          <w:rFonts w:hint="eastAsia" w:ascii="宋体" w:hAnsi="宋体"/>
          <w:color w:val="auto"/>
          <w:szCs w:val="21"/>
          <w:highlight w:val="none"/>
        </w:rPr>
        <w:t>33 投标人信誉的要求</w:t>
      </w:r>
    </w:p>
    <w:p>
      <w:pPr>
        <w:spacing w:line="360" w:lineRule="auto"/>
        <w:ind w:firstLine="420" w:firstLineChars="200"/>
        <w:rPr>
          <w:rStyle w:val="84"/>
          <w:rFonts w:ascii="宋体" w:hAnsi="宋体"/>
          <w:color w:val="auto"/>
          <w:szCs w:val="21"/>
          <w:highlight w:val="none"/>
        </w:rPr>
      </w:pPr>
      <w:r>
        <w:rPr>
          <w:rStyle w:val="84"/>
          <w:rFonts w:hint="eastAsia" w:ascii="宋体" w:hAnsi="宋体"/>
          <w:color w:val="auto"/>
          <w:szCs w:val="21"/>
          <w:highlight w:val="none"/>
        </w:rPr>
        <w:t>存在下列情形之一的，招标人可以限制其投标（需在招标文件中明确评定方法）</w:t>
      </w:r>
    </w:p>
    <w:p>
      <w:pPr>
        <w:spacing w:line="360" w:lineRule="auto"/>
        <w:ind w:firstLine="420" w:firstLineChars="200"/>
        <w:rPr>
          <w:rStyle w:val="84"/>
          <w:rFonts w:ascii="宋体" w:hAnsi="宋体"/>
          <w:color w:val="auto"/>
          <w:szCs w:val="21"/>
          <w:highlight w:val="none"/>
        </w:rPr>
      </w:pPr>
      <w:r>
        <w:rPr>
          <w:rStyle w:val="84"/>
          <w:rFonts w:hint="eastAsia" w:ascii="宋体" w:hAnsi="宋体"/>
          <w:color w:val="auto"/>
          <w:szCs w:val="21"/>
          <w:highlight w:val="none"/>
        </w:rPr>
        <w:t>（1）被住房城乡建设行政主管部门在全国建筑市场监管一体化工作平台列入建筑市场主体“黑名单”；</w:t>
      </w:r>
    </w:p>
    <w:p>
      <w:pPr>
        <w:pBdr>
          <w:bottom w:val="single" w:color="000000" w:sz="6" w:space="1"/>
        </w:pBdr>
        <w:spacing w:line="360" w:lineRule="auto"/>
        <w:ind w:firstLine="420" w:firstLineChars="200"/>
        <w:rPr>
          <w:rStyle w:val="84"/>
          <w:rFonts w:ascii="宋体" w:hAnsi="宋体"/>
          <w:color w:val="auto"/>
          <w:szCs w:val="21"/>
          <w:highlight w:val="none"/>
        </w:rPr>
      </w:pPr>
      <w:r>
        <w:rPr>
          <w:rStyle w:val="84"/>
          <w:rFonts w:hint="eastAsia" w:ascii="宋体" w:hAnsi="宋体"/>
          <w:color w:val="auto"/>
          <w:szCs w:val="21"/>
          <w:highlight w:val="none"/>
        </w:rPr>
        <w:t>（2）被发改委、人力资源社会保障、质检总局等有关部门、单位在“信用中国”网站中列入联合惩戒失信黑名单。</w:t>
      </w:r>
    </w:p>
    <w:p>
      <w:pPr>
        <w:spacing w:line="360" w:lineRule="auto"/>
        <w:ind w:firstLine="211" w:firstLineChars="100"/>
        <w:rPr>
          <w:rStyle w:val="84"/>
          <w:rFonts w:ascii="宋体" w:hAnsi="宋体"/>
          <w:b/>
          <w:color w:val="auto"/>
          <w:szCs w:val="21"/>
          <w:highlight w:val="none"/>
        </w:rPr>
      </w:pPr>
      <w:r>
        <w:rPr>
          <w:rStyle w:val="84"/>
          <w:rFonts w:ascii="宋体" w:hAnsi="宋体"/>
          <w:b/>
          <w:color w:val="auto"/>
          <w:szCs w:val="21"/>
          <w:highlight w:val="none"/>
        </w:rPr>
        <w:t>注：以上修改，仅限于本范本中有可供选择条款的情形。</w:t>
      </w:r>
    </w:p>
    <w:p>
      <w:pPr>
        <w:spacing w:line="360" w:lineRule="auto"/>
        <w:rPr>
          <w:rStyle w:val="84"/>
          <w:rFonts w:ascii="宋体" w:hAnsi="宋体"/>
          <w:color w:val="auto"/>
          <w:szCs w:val="21"/>
          <w:highlight w:val="none"/>
        </w:rPr>
      </w:pPr>
      <w:r>
        <w:rPr>
          <w:rStyle w:val="84"/>
          <w:rFonts w:ascii="宋体" w:hAnsi="宋体"/>
          <w:b/>
          <w:color w:val="auto"/>
          <w:szCs w:val="21"/>
          <w:highlight w:val="none"/>
        </w:rPr>
        <w:t>（以下无正文）</w:t>
      </w:r>
    </w:p>
    <w:p>
      <w:pPr>
        <w:pStyle w:val="146"/>
        <w:spacing w:line="276" w:lineRule="auto"/>
        <w:outlineLvl w:val="1"/>
        <w:rPr>
          <w:rStyle w:val="84"/>
          <w:rFonts w:ascii="宋体" w:hAnsi="宋体"/>
          <w:b/>
          <w:color w:val="auto"/>
          <w:highlight w:val="none"/>
        </w:rPr>
      </w:pPr>
      <w:r>
        <w:rPr>
          <w:rStyle w:val="84"/>
          <w:rFonts w:ascii="宋体" w:hAnsi="宋体"/>
          <w:b/>
          <w:color w:val="auto"/>
          <w:highlight w:val="none"/>
        </w:rPr>
        <w:br w:type="page"/>
      </w:r>
      <w:bookmarkStart w:id="5" w:name="_Toc105014623"/>
      <w:r>
        <w:rPr>
          <w:rStyle w:val="84"/>
          <w:rFonts w:ascii="宋体" w:hAnsi="宋体"/>
          <w:b/>
          <w:color w:val="auto"/>
          <w:highlight w:val="none"/>
        </w:rPr>
        <w:t>三、投标须知通用条款</w:t>
      </w:r>
      <w:bookmarkEnd w:id="5"/>
    </w:p>
    <w:p>
      <w:pPr>
        <w:pStyle w:val="3"/>
        <w:spacing w:before="156" w:beforeAutospacing="0" w:after="156" w:afterAutospacing="0" w:line="276" w:lineRule="auto"/>
        <w:rPr>
          <w:b/>
          <w:bCs/>
          <w:color w:val="auto"/>
          <w:sz w:val="21"/>
          <w:szCs w:val="21"/>
          <w:highlight w:val="none"/>
        </w:rPr>
      </w:pPr>
      <w:bookmarkStart w:id="6" w:name="_Toc105014624"/>
      <w:r>
        <w:rPr>
          <w:rFonts w:hint="eastAsia"/>
          <w:b/>
          <w:bCs/>
          <w:color w:val="auto"/>
          <w:sz w:val="21"/>
          <w:szCs w:val="21"/>
          <w:highlight w:val="none"/>
        </w:rPr>
        <w:t>（一）总则</w:t>
      </w:r>
      <w:bookmarkEnd w:id="6"/>
    </w:p>
    <w:p>
      <w:pPr>
        <w:pStyle w:val="22"/>
        <w:spacing w:after="0" w:line="276" w:lineRule="auto"/>
        <w:ind w:firstLine="422" w:firstLineChars="200"/>
        <w:rPr>
          <w:rFonts w:ascii="宋体" w:hAnsi="宋体"/>
          <w:b/>
          <w:bCs/>
          <w:color w:val="auto"/>
          <w:sz w:val="21"/>
          <w:szCs w:val="21"/>
          <w:highlight w:val="none"/>
        </w:rPr>
      </w:pPr>
      <w:r>
        <w:rPr>
          <w:rFonts w:ascii="宋体" w:hAnsi="宋体"/>
          <w:b/>
          <w:bCs/>
          <w:color w:val="auto"/>
          <w:sz w:val="21"/>
          <w:szCs w:val="21"/>
          <w:highlight w:val="none"/>
        </w:rPr>
        <w:t xml:space="preserve">1. </w:t>
      </w:r>
      <w:r>
        <w:rPr>
          <w:rFonts w:hint="eastAsia" w:ascii="宋体" w:hAnsi="宋体"/>
          <w:b/>
          <w:bCs/>
          <w:color w:val="auto"/>
          <w:sz w:val="21"/>
          <w:szCs w:val="21"/>
          <w:highlight w:val="none"/>
        </w:rPr>
        <w:t>定义</w:t>
      </w:r>
    </w:p>
    <w:p>
      <w:pPr>
        <w:pStyle w:val="22"/>
        <w:spacing w:after="0" w:line="276" w:lineRule="auto"/>
        <w:ind w:firstLineChars="200"/>
        <w:rPr>
          <w:rFonts w:ascii="宋体" w:hAnsi="宋体"/>
          <w:b/>
          <w:bCs/>
          <w:color w:val="auto"/>
          <w:sz w:val="21"/>
          <w:szCs w:val="21"/>
          <w:highlight w:val="none"/>
        </w:rPr>
      </w:pPr>
      <w:r>
        <w:rPr>
          <w:rFonts w:hint="eastAsia" w:ascii="宋体" w:hAnsi="宋体"/>
          <w:color w:val="auto"/>
          <w:sz w:val="21"/>
          <w:szCs w:val="21"/>
          <w:highlight w:val="none"/>
        </w:rPr>
        <w:t>本招标文件使用的下列词语具有如下规定的意义：</w:t>
      </w:r>
    </w:p>
    <w:p>
      <w:pPr>
        <w:pStyle w:val="22"/>
        <w:spacing w:after="0" w:line="276" w:lineRule="auto"/>
        <w:ind w:firstLineChars="200"/>
        <w:rPr>
          <w:rFonts w:ascii="宋体" w:hAnsi="宋体"/>
          <w:b/>
          <w:bCs/>
          <w:color w:val="auto"/>
          <w:sz w:val="21"/>
          <w:szCs w:val="21"/>
          <w:highlight w:val="none"/>
          <w:u w:val="single"/>
        </w:rPr>
      </w:pPr>
      <w:r>
        <w:rPr>
          <w:rFonts w:hint="eastAsia" w:ascii="宋体" w:hAnsi="宋体"/>
          <w:color w:val="auto"/>
          <w:sz w:val="21"/>
          <w:szCs w:val="21"/>
          <w:highlight w:val="none"/>
        </w:rPr>
        <w:t>（1）“招标人”（即发包人）、“项目建设管理单位”（或称“项目代建单位”）、“招标代理”、“设计单位”、“监理单位”均已在投标须知前附表中列明。</w:t>
      </w:r>
    </w:p>
    <w:p>
      <w:pPr>
        <w:pStyle w:val="22"/>
        <w:spacing w:after="0" w:line="276" w:lineRule="auto"/>
        <w:ind w:firstLineChars="200"/>
        <w:rPr>
          <w:rFonts w:ascii="宋体" w:hAnsi="宋体"/>
          <w:color w:val="auto"/>
          <w:sz w:val="21"/>
          <w:szCs w:val="21"/>
          <w:highlight w:val="none"/>
          <w:u w:val="single"/>
        </w:rPr>
      </w:pPr>
      <w:r>
        <w:rPr>
          <w:rFonts w:hint="eastAsia" w:ascii="宋体" w:hAnsi="宋体"/>
          <w:color w:val="auto"/>
          <w:sz w:val="21"/>
          <w:szCs w:val="21"/>
          <w:highlight w:val="none"/>
        </w:rPr>
        <w:t xml:space="preserve">（2）“投标人”指向招标人提交投标文件的当事人。   </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（3）“承包人”指其投标被招标人接受并与其签订承包合同的当事人。</w:t>
      </w:r>
    </w:p>
    <w:p>
      <w:pPr>
        <w:pStyle w:val="22"/>
        <w:spacing w:after="0" w:line="276" w:lineRule="auto"/>
        <w:ind w:firstLineChars="200"/>
        <w:rPr>
          <w:rFonts w:ascii="宋体" w:hAnsi="宋体"/>
          <w:color w:val="auto"/>
          <w:sz w:val="21"/>
          <w:szCs w:val="21"/>
          <w:highlight w:val="none"/>
          <w:u w:val="single"/>
        </w:rPr>
      </w:pPr>
      <w:r>
        <w:rPr>
          <w:rFonts w:hint="eastAsia" w:ascii="宋体" w:hAnsi="宋体"/>
          <w:color w:val="auto"/>
          <w:sz w:val="21"/>
          <w:szCs w:val="21"/>
          <w:highlight w:val="none"/>
        </w:rPr>
        <w:t>（4）“招标文件”指由招标代理发出的本文件（包括全部章节、附件）及招标答疑会会议纪要和</w:t>
      </w:r>
      <w:r>
        <w:rPr>
          <w:rFonts w:hint="eastAsia" w:ascii="宋体" w:hAnsi="宋体"/>
          <w:bCs/>
          <w:color w:val="auto"/>
          <w:sz w:val="21"/>
          <w:szCs w:val="21"/>
          <w:highlight w:val="none"/>
        </w:rPr>
        <w:t>招标文件的澄清与修改</w:t>
      </w:r>
      <w:r>
        <w:rPr>
          <w:rFonts w:hint="eastAsia" w:ascii="宋体" w:hAnsi="宋体"/>
          <w:color w:val="auto"/>
          <w:sz w:val="21"/>
          <w:szCs w:val="21"/>
          <w:highlight w:val="none"/>
        </w:rPr>
        <w:t>文件。</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（5）“投标文件”指投标人根据本项目招标文件向招标人提交的全部文件。</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（6）“书面形式”指打字或印刷的文件和数据电文（包括电报、电传、传真、电子数据交换和电子邮件）。</w:t>
      </w:r>
    </w:p>
    <w:p>
      <w:pPr>
        <w:spacing w:line="276" w:lineRule="auto"/>
        <w:ind w:firstLine="422" w:firstLineChars="200"/>
        <w:rPr>
          <w:rFonts w:ascii="宋体" w:hAnsi="宋体"/>
          <w:b/>
          <w:color w:val="auto"/>
          <w:szCs w:val="21"/>
          <w:highlight w:val="none"/>
        </w:rPr>
      </w:pPr>
      <w:r>
        <w:rPr>
          <w:rFonts w:ascii="宋体" w:hAnsi="宋体"/>
          <w:b/>
          <w:color w:val="auto"/>
          <w:szCs w:val="21"/>
          <w:highlight w:val="none"/>
        </w:rPr>
        <w:t xml:space="preserve">2. </w:t>
      </w:r>
      <w:r>
        <w:rPr>
          <w:rFonts w:hint="eastAsia" w:ascii="宋体" w:hAnsi="宋体"/>
          <w:b/>
          <w:color w:val="auto"/>
          <w:szCs w:val="21"/>
          <w:highlight w:val="none"/>
        </w:rPr>
        <w:t>招标说明</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2.1本招标工程项目按照《中华人民共和国招标投标法》等有关法律、行政法规、规章和规范性文件，通过招标方式选定承包人。</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2.2工程名称、建设地点、建设规模、承包方式、质量标准、招标范围、工期要求等均在投标须知前附表中列明。</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2.3设计说明：详见招标图纸。</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2.4工程施工特点：详见招标图纸。</w:t>
      </w:r>
    </w:p>
    <w:p>
      <w:pPr>
        <w:spacing w:line="276" w:lineRule="auto"/>
        <w:ind w:firstLine="422" w:firstLineChars="200"/>
        <w:rPr>
          <w:rFonts w:ascii="宋体" w:hAnsi="宋体"/>
          <w:b/>
          <w:color w:val="auto"/>
          <w:szCs w:val="21"/>
          <w:highlight w:val="none"/>
        </w:rPr>
      </w:pPr>
      <w:r>
        <w:rPr>
          <w:rFonts w:ascii="宋体" w:hAnsi="宋体"/>
          <w:b/>
          <w:color w:val="auto"/>
          <w:szCs w:val="21"/>
          <w:highlight w:val="none"/>
        </w:rPr>
        <w:t xml:space="preserve">3. </w:t>
      </w:r>
      <w:r>
        <w:rPr>
          <w:rFonts w:hint="eastAsia" w:ascii="宋体" w:hAnsi="宋体"/>
          <w:b/>
          <w:color w:val="auto"/>
          <w:szCs w:val="21"/>
          <w:highlight w:val="none"/>
        </w:rPr>
        <w:t>资金来源</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3.1本招标工程项目资金来源见投标须知前附表第9项。</w:t>
      </w:r>
    </w:p>
    <w:p>
      <w:pPr>
        <w:spacing w:line="276" w:lineRule="auto"/>
        <w:ind w:firstLine="422" w:firstLineChars="200"/>
        <w:rPr>
          <w:rFonts w:ascii="宋体" w:hAnsi="宋体"/>
          <w:b/>
          <w:color w:val="auto"/>
          <w:szCs w:val="21"/>
          <w:highlight w:val="none"/>
        </w:rPr>
      </w:pPr>
      <w:r>
        <w:rPr>
          <w:rFonts w:ascii="宋体" w:hAnsi="宋体"/>
          <w:b/>
          <w:color w:val="auto"/>
          <w:szCs w:val="21"/>
          <w:highlight w:val="none"/>
        </w:rPr>
        <w:t xml:space="preserve">4. </w:t>
      </w:r>
      <w:r>
        <w:rPr>
          <w:rFonts w:hint="eastAsia" w:ascii="宋体" w:hAnsi="宋体"/>
          <w:b/>
          <w:color w:val="auto"/>
          <w:szCs w:val="21"/>
          <w:highlight w:val="none"/>
        </w:rPr>
        <w:t>合格投标人的条件</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4.1详见本项目招标公告</w:t>
      </w:r>
    </w:p>
    <w:p>
      <w:pPr>
        <w:spacing w:line="276" w:lineRule="auto"/>
        <w:ind w:firstLine="422" w:firstLineChars="200"/>
        <w:rPr>
          <w:rFonts w:ascii="宋体" w:hAnsi="宋体"/>
          <w:b/>
          <w:color w:val="auto"/>
          <w:szCs w:val="21"/>
          <w:highlight w:val="none"/>
        </w:rPr>
      </w:pPr>
      <w:r>
        <w:rPr>
          <w:rFonts w:hint="eastAsia" w:ascii="宋体" w:hAnsi="宋体"/>
          <w:b/>
          <w:color w:val="auto"/>
          <w:szCs w:val="21"/>
          <w:highlight w:val="none"/>
        </w:rPr>
        <w:t>5．踏勘现场</w:t>
      </w:r>
    </w:p>
    <w:p>
      <w:pPr>
        <w:spacing w:line="276"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rPr>
        <w:t>5.1 投标人应按本投标须知前附表第15项所述时间和要求对工程现场及周围环境进行踏勘，</w:t>
      </w:r>
      <w:r>
        <w:rPr>
          <w:rFonts w:hint="eastAsia" w:ascii="宋体" w:hAnsi="宋体"/>
          <w:color w:val="auto"/>
          <w:szCs w:val="21"/>
          <w:highlight w:val="none"/>
        </w:rPr>
        <w:t>投标人应充分重视和仔细地进行这种考察，</w:t>
      </w:r>
      <w:r>
        <w:rPr>
          <w:rFonts w:hint="eastAsia" w:ascii="宋体" w:hAnsi="宋体"/>
          <w:bCs/>
          <w:color w:val="auto"/>
          <w:szCs w:val="21"/>
          <w:highlight w:val="none"/>
        </w:rPr>
        <w:t>以便投标人获取</w:t>
      </w:r>
      <w:r>
        <w:rPr>
          <w:rFonts w:hint="eastAsia" w:ascii="宋体" w:hAnsi="宋体"/>
          <w:color w:val="auto"/>
          <w:szCs w:val="21"/>
          <w:highlight w:val="none"/>
        </w:rPr>
        <w:t>那些须投标人自己负责的</w:t>
      </w:r>
      <w:r>
        <w:rPr>
          <w:rFonts w:hint="eastAsia" w:ascii="宋体" w:hAnsi="宋体"/>
          <w:bCs/>
          <w:color w:val="auto"/>
          <w:szCs w:val="21"/>
          <w:highlight w:val="none"/>
        </w:rPr>
        <w:t>有关编制投标文件和签署合同所涉及现场所有的资料。</w:t>
      </w:r>
      <w:r>
        <w:rPr>
          <w:rFonts w:hint="eastAsia" w:ascii="宋体" w:hAnsi="宋体"/>
          <w:color w:val="auto"/>
          <w:szCs w:val="21"/>
          <w:highlight w:val="none"/>
        </w:rPr>
        <w:t>一旦中标，这种考察即被认为其结果已在中标文件中得到充分反映。考察现场的费用由投标人自己承担。</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5.2 招标人向投标人提供的有关现场的数据和资料，是招标人现有的能被投标人利用的资料，招标人对投标人做出的任何推论、理解和结论均不负责任。</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5.3 经招标人允许，投标人可为踏勘目的进入招标人的项目现场。</w:t>
      </w:r>
      <w:r>
        <w:rPr>
          <w:rFonts w:hint="eastAsia" w:ascii="宋体" w:hAnsi="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Cs w:val="21"/>
          <w:highlight w:val="none"/>
        </w:rPr>
        <w:t>投标人不得因此使招标人承担有关的责任和蒙受损失。</w:t>
      </w:r>
    </w:p>
    <w:p>
      <w:pPr>
        <w:spacing w:line="276" w:lineRule="auto"/>
        <w:ind w:firstLine="422" w:firstLineChars="200"/>
        <w:rPr>
          <w:rFonts w:ascii="宋体" w:hAnsi="宋体"/>
          <w:b/>
          <w:color w:val="auto"/>
          <w:szCs w:val="21"/>
          <w:highlight w:val="none"/>
        </w:rPr>
      </w:pPr>
      <w:r>
        <w:rPr>
          <w:rFonts w:hint="eastAsia" w:ascii="宋体" w:hAnsi="宋体"/>
          <w:b/>
          <w:color w:val="auto"/>
          <w:szCs w:val="21"/>
          <w:highlight w:val="none"/>
        </w:rPr>
        <w:t>6．投标费用</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6.1</w:t>
      </w:r>
      <w:r>
        <w:rPr>
          <w:rFonts w:hint="eastAsia" w:ascii="宋体" w:hAnsi="宋体"/>
          <w:color w:val="auto"/>
          <w:szCs w:val="21"/>
          <w:highlight w:val="none"/>
        </w:rPr>
        <w:t>不论投标结果如何，投标人应承担</w:t>
      </w:r>
      <w:r>
        <w:rPr>
          <w:rFonts w:hint="eastAsia" w:ascii="宋体" w:hAnsi="宋体"/>
          <w:bCs/>
          <w:color w:val="auto"/>
          <w:szCs w:val="21"/>
          <w:highlight w:val="none"/>
        </w:rPr>
        <w:t>自身</w:t>
      </w:r>
      <w:r>
        <w:rPr>
          <w:rFonts w:hint="eastAsia" w:ascii="宋体" w:hAnsi="宋体"/>
          <w:color w:val="auto"/>
          <w:szCs w:val="21"/>
          <w:highlight w:val="none"/>
        </w:rPr>
        <w:t>因投标文件编制、递交及其他</w:t>
      </w:r>
      <w:r>
        <w:rPr>
          <w:rFonts w:hint="eastAsia" w:ascii="宋体" w:hAnsi="宋体"/>
          <w:bCs/>
          <w:color w:val="auto"/>
          <w:szCs w:val="21"/>
          <w:highlight w:val="none"/>
        </w:rPr>
        <w:t>参加本招标活动</w:t>
      </w:r>
      <w:r>
        <w:rPr>
          <w:rFonts w:hint="eastAsia" w:ascii="宋体" w:hAnsi="宋体"/>
          <w:color w:val="auto"/>
          <w:szCs w:val="21"/>
          <w:highlight w:val="none"/>
        </w:rPr>
        <w:t>所涉及的一切费用，招标人对上述费用不负任何责任。</w:t>
      </w:r>
    </w:p>
    <w:p>
      <w:pPr>
        <w:pStyle w:val="3"/>
        <w:spacing w:before="156" w:beforeAutospacing="0" w:after="156" w:afterAutospacing="0" w:line="276" w:lineRule="auto"/>
        <w:rPr>
          <w:b/>
          <w:bCs/>
          <w:color w:val="auto"/>
          <w:sz w:val="21"/>
          <w:szCs w:val="21"/>
          <w:highlight w:val="none"/>
        </w:rPr>
      </w:pPr>
      <w:bookmarkStart w:id="7" w:name="_Toc105014625"/>
      <w:r>
        <w:rPr>
          <w:rFonts w:hint="eastAsia"/>
          <w:b/>
          <w:bCs/>
          <w:color w:val="auto"/>
          <w:sz w:val="21"/>
          <w:szCs w:val="21"/>
          <w:highlight w:val="none"/>
        </w:rPr>
        <w:t>（二）招标文件</w:t>
      </w:r>
      <w:bookmarkEnd w:id="7"/>
    </w:p>
    <w:p>
      <w:pPr>
        <w:spacing w:line="276" w:lineRule="auto"/>
        <w:ind w:firstLine="422" w:firstLineChars="200"/>
        <w:rPr>
          <w:rFonts w:ascii="宋体" w:hAnsi="宋体"/>
          <w:b/>
          <w:color w:val="auto"/>
          <w:szCs w:val="21"/>
          <w:highlight w:val="none"/>
        </w:rPr>
      </w:pPr>
      <w:r>
        <w:rPr>
          <w:rFonts w:hint="eastAsia" w:ascii="宋体" w:hAnsi="宋体"/>
          <w:b/>
          <w:color w:val="auto"/>
          <w:szCs w:val="21"/>
          <w:highlight w:val="none"/>
        </w:rPr>
        <w:t>7.招标文件的组成</w:t>
      </w:r>
    </w:p>
    <w:p>
      <w:pPr>
        <w:pStyle w:val="22"/>
        <w:spacing w:after="0" w:line="276" w:lineRule="auto"/>
        <w:ind w:left="-2" w:firstLineChars="200"/>
        <w:rPr>
          <w:rFonts w:hint="eastAsia" w:ascii="宋体" w:hAnsi="宋体"/>
          <w:bCs/>
          <w:color w:val="auto"/>
          <w:szCs w:val="21"/>
          <w:highlight w:val="none"/>
        </w:rPr>
      </w:pPr>
      <w:r>
        <w:rPr>
          <w:rFonts w:hint="eastAsia" w:ascii="宋体" w:hAnsi="宋体"/>
          <w:bCs/>
          <w:color w:val="auto"/>
          <w:szCs w:val="21"/>
          <w:highlight w:val="none"/>
        </w:rPr>
        <w:t>7.1本招标文件包括下列文件，以及所有按本须知第8条发出的招标答疑会会议纪要和按本须知第9条发出的澄清或修改：</w:t>
      </w:r>
    </w:p>
    <w:p>
      <w:pPr>
        <w:pStyle w:val="22"/>
        <w:spacing w:after="0" w:line="276" w:lineRule="auto"/>
        <w:ind w:left="-2" w:firstLineChars="200"/>
        <w:rPr>
          <w:rFonts w:hint="eastAsia" w:ascii="宋体" w:hAnsi="宋体"/>
          <w:bCs/>
          <w:color w:val="auto"/>
          <w:szCs w:val="21"/>
          <w:highlight w:val="none"/>
        </w:rPr>
      </w:pPr>
      <w:r>
        <w:rPr>
          <w:rFonts w:hint="eastAsia" w:ascii="宋体" w:hAnsi="宋体"/>
          <w:bCs/>
          <w:color w:val="auto"/>
          <w:szCs w:val="21"/>
          <w:highlight w:val="none"/>
        </w:rPr>
        <w:t>第一章  投标须知</w:t>
      </w:r>
    </w:p>
    <w:p>
      <w:pPr>
        <w:pStyle w:val="22"/>
        <w:spacing w:after="0" w:line="276" w:lineRule="auto"/>
        <w:ind w:left="-2" w:firstLineChars="200"/>
        <w:rPr>
          <w:rFonts w:hint="eastAsia" w:ascii="宋体" w:hAnsi="宋体"/>
          <w:bCs/>
          <w:color w:val="auto"/>
          <w:szCs w:val="21"/>
          <w:highlight w:val="none"/>
        </w:rPr>
      </w:pPr>
      <w:r>
        <w:rPr>
          <w:rFonts w:hint="eastAsia" w:ascii="宋体" w:hAnsi="宋体"/>
          <w:bCs/>
          <w:color w:val="auto"/>
          <w:szCs w:val="21"/>
          <w:highlight w:val="none"/>
        </w:rPr>
        <w:t>第二章  开标、评标及定标办法</w:t>
      </w:r>
    </w:p>
    <w:p>
      <w:pPr>
        <w:pStyle w:val="22"/>
        <w:spacing w:after="0" w:line="276" w:lineRule="auto"/>
        <w:ind w:left="-2" w:firstLineChars="200"/>
        <w:rPr>
          <w:rFonts w:hint="eastAsia" w:ascii="宋体" w:hAnsi="宋体"/>
          <w:bCs/>
          <w:color w:val="auto"/>
          <w:szCs w:val="21"/>
          <w:highlight w:val="none"/>
        </w:rPr>
      </w:pPr>
      <w:r>
        <w:rPr>
          <w:rFonts w:hint="eastAsia" w:ascii="宋体" w:hAnsi="宋体"/>
          <w:bCs/>
          <w:color w:val="auto"/>
          <w:szCs w:val="21"/>
          <w:highlight w:val="none"/>
        </w:rPr>
        <w:t>第三章  合同条款</w:t>
      </w:r>
    </w:p>
    <w:p>
      <w:pPr>
        <w:pStyle w:val="22"/>
        <w:spacing w:after="0" w:line="276" w:lineRule="auto"/>
        <w:ind w:left="-2" w:firstLineChars="200"/>
        <w:rPr>
          <w:rFonts w:hint="eastAsia" w:ascii="宋体" w:hAnsi="宋体"/>
          <w:bCs/>
          <w:color w:val="auto"/>
          <w:szCs w:val="21"/>
          <w:highlight w:val="none"/>
        </w:rPr>
      </w:pPr>
      <w:r>
        <w:rPr>
          <w:rFonts w:hint="eastAsia" w:ascii="宋体" w:hAnsi="宋体"/>
          <w:bCs/>
          <w:color w:val="auto"/>
          <w:szCs w:val="21"/>
          <w:highlight w:val="none"/>
        </w:rPr>
        <w:t>第四章  投标文件格式</w:t>
      </w:r>
    </w:p>
    <w:p>
      <w:pPr>
        <w:pStyle w:val="22"/>
        <w:spacing w:after="0" w:line="276" w:lineRule="auto"/>
        <w:ind w:left="-2" w:firstLineChars="200"/>
        <w:rPr>
          <w:rFonts w:hint="eastAsia" w:ascii="宋体" w:hAnsi="宋体"/>
          <w:bCs/>
          <w:color w:val="auto"/>
          <w:szCs w:val="21"/>
          <w:highlight w:val="none"/>
        </w:rPr>
      </w:pPr>
      <w:r>
        <w:rPr>
          <w:rFonts w:hint="eastAsia" w:ascii="宋体" w:hAnsi="宋体"/>
          <w:bCs/>
          <w:color w:val="auto"/>
          <w:szCs w:val="21"/>
          <w:highlight w:val="none"/>
        </w:rPr>
        <w:t>第五章  技术条件（工程建设标准）（另册）</w:t>
      </w:r>
    </w:p>
    <w:p>
      <w:pPr>
        <w:pStyle w:val="22"/>
        <w:spacing w:after="0" w:line="276" w:lineRule="auto"/>
        <w:ind w:left="-2" w:firstLineChars="200"/>
        <w:rPr>
          <w:rFonts w:hint="eastAsia" w:ascii="宋体" w:hAnsi="宋体"/>
          <w:bCs/>
          <w:color w:val="auto"/>
          <w:szCs w:val="21"/>
          <w:highlight w:val="none"/>
        </w:rPr>
      </w:pPr>
      <w:r>
        <w:rPr>
          <w:rFonts w:hint="eastAsia" w:ascii="宋体" w:hAnsi="宋体"/>
          <w:bCs/>
          <w:color w:val="auto"/>
          <w:szCs w:val="21"/>
          <w:highlight w:val="none"/>
        </w:rPr>
        <w:t>第六章  图纸及勘察资料（另册）</w:t>
      </w:r>
    </w:p>
    <w:p>
      <w:pPr>
        <w:pStyle w:val="22"/>
        <w:spacing w:after="0" w:line="276" w:lineRule="auto"/>
        <w:ind w:left="-2" w:firstLineChars="200"/>
        <w:rPr>
          <w:rFonts w:hint="eastAsia" w:ascii="宋体" w:hAnsi="宋体"/>
          <w:bCs/>
          <w:color w:val="auto"/>
          <w:szCs w:val="21"/>
          <w:highlight w:val="none"/>
        </w:rPr>
      </w:pPr>
      <w:r>
        <w:rPr>
          <w:rFonts w:hint="eastAsia" w:ascii="宋体" w:hAnsi="宋体"/>
          <w:bCs/>
          <w:color w:val="auto"/>
          <w:szCs w:val="21"/>
          <w:highlight w:val="none"/>
        </w:rPr>
        <w:t>第七章  招标工程量清单（另册）</w:t>
      </w:r>
    </w:p>
    <w:p>
      <w:pPr>
        <w:pStyle w:val="22"/>
        <w:spacing w:after="0" w:line="276" w:lineRule="auto"/>
        <w:ind w:left="-2" w:firstLineChars="200"/>
        <w:rPr>
          <w:rFonts w:hint="eastAsia" w:ascii="宋体" w:hAnsi="宋体"/>
          <w:bCs/>
          <w:color w:val="auto"/>
          <w:szCs w:val="21"/>
          <w:highlight w:val="none"/>
        </w:rPr>
      </w:pPr>
      <w:r>
        <w:rPr>
          <w:rFonts w:hint="eastAsia" w:ascii="宋体" w:hAnsi="宋体"/>
          <w:bCs/>
          <w:color w:val="auto"/>
          <w:szCs w:val="21"/>
          <w:highlight w:val="none"/>
        </w:rPr>
        <w:t>第八章  最高投标限价</w:t>
      </w:r>
    </w:p>
    <w:p>
      <w:pPr>
        <w:pStyle w:val="22"/>
        <w:spacing w:after="0" w:line="276" w:lineRule="auto"/>
        <w:ind w:left="-2" w:firstLineChars="200"/>
        <w:rPr>
          <w:rFonts w:ascii="宋体" w:hAnsi="宋体"/>
          <w:color w:val="auto"/>
          <w:sz w:val="21"/>
          <w:szCs w:val="21"/>
          <w:highlight w:val="none"/>
        </w:rPr>
      </w:pPr>
      <w:r>
        <w:rPr>
          <w:rFonts w:hint="eastAsia" w:ascii="宋体" w:hAnsi="宋体"/>
          <w:bCs/>
          <w:color w:val="auto"/>
          <w:szCs w:val="21"/>
          <w:highlight w:val="none"/>
        </w:rPr>
        <w:t>注：招标人应在技术条件（工程建设标准）中明确施工现场建筑垃圾源头减量的具体要求和建筑垃圾综合利用产品的使用要求。</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7.3 投标人一旦中标，招标文件的内容对招标人和中标人双方均有约束力。</w:t>
      </w:r>
    </w:p>
    <w:p>
      <w:pPr>
        <w:pStyle w:val="22"/>
        <w:spacing w:after="0" w:line="276"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8．招标答疑</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8.1 投标人若对招标文件（包括招标图纸）中有疑问，可以书面形式通过交易平台提交给招标人或招标代理人，提交形式见本须知前附表第16项。</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8.2招标答疑会会议纪要将在提交投标文件截止时间15日前在交易平台 “项目答疑纪要”专区公开发布。答疑纪要一经在交易平台发布，视作已发放给所有投标人。</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8.3答疑会会议纪要为招标文件的一部分。</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8.4若招标答疑会会议纪要与招标文件有矛盾，以答疑会议纪要最后发出的书面形式的文件为准。</w:t>
      </w:r>
    </w:p>
    <w:p>
      <w:pPr>
        <w:pStyle w:val="22"/>
        <w:spacing w:after="0" w:line="276"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9.招标文件的澄清与修改</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9.1招标文件发出后,在提交投标文件截止时间15日前，招标人可对招标文件进行必要的澄清或修改。</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9.2招标文件的澄清或修改将在交易平台“项目答疑纪要”专区公开发布。答疑纪要一经在交易平台发布，视作已发放给所有投标人，以交易平台上网发布时间作为送达时间。</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9.3招标文件的修改内容为招标文件的组成部分。</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9.4招标文件的澄清或修改均以书面形式明确的内容为准。当招标文件的澄清、修改、补充等在同一内容的表述不一致时，以最后发出的书面形式的文件为准。</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3"/>
        <w:spacing w:before="156" w:beforeAutospacing="0" w:after="156" w:afterAutospacing="0" w:line="276" w:lineRule="auto"/>
        <w:rPr>
          <w:b/>
          <w:bCs/>
          <w:color w:val="auto"/>
          <w:sz w:val="21"/>
          <w:szCs w:val="21"/>
          <w:highlight w:val="none"/>
        </w:rPr>
      </w:pPr>
      <w:bookmarkStart w:id="8" w:name="_Toc105014626"/>
      <w:r>
        <w:rPr>
          <w:rFonts w:hint="eastAsia"/>
          <w:b/>
          <w:bCs/>
          <w:color w:val="auto"/>
          <w:sz w:val="21"/>
          <w:szCs w:val="21"/>
          <w:highlight w:val="none"/>
        </w:rPr>
        <w:t>（三）投标文件的编制</w:t>
      </w:r>
      <w:bookmarkEnd w:id="8"/>
    </w:p>
    <w:p>
      <w:pPr>
        <w:pStyle w:val="22"/>
        <w:spacing w:after="0" w:line="276"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10．投标文件的语言及度量衡单位</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10.1 投标文件和与投标有关的所有文件均应使用中文。</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10.2 除工程规范另有规定外，投标文件使用的度量衡单位，均采用中华人民共和国法定计量单位。</w:t>
      </w:r>
    </w:p>
    <w:p>
      <w:pPr>
        <w:pStyle w:val="22"/>
        <w:spacing w:after="0" w:line="276"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11．投标文件的组成</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11.1 投标文件由技术部分（含资格审查文件）和经济部分两部分投标文件组成。</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11.2投标文件技术标部分主要包括下列内容：</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11.2.1 技术投标文件</w:t>
      </w:r>
      <w:r>
        <w:rPr>
          <w:rFonts w:hint="eastAsia" w:ascii="宋体" w:hAnsi="宋体"/>
          <w:color w:val="auto"/>
          <w:szCs w:val="21"/>
          <w:highlight w:val="none"/>
        </w:rPr>
        <w:t>(按招标文件的要求填写)</w:t>
      </w:r>
      <w:r>
        <w:rPr>
          <w:rFonts w:hint="eastAsia" w:ascii="宋体" w:hAnsi="宋体"/>
          <w:bCs/>
          <w:color w:val="auto"/>
          <w:szCs w:val="21"/>
          <w:highlight w:val="none"/>
        </w:rPr>
        <w:t>；</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11.2.2 资格审查文件：</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（1）投标人声明； </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（3）企业营业执照（取自平台内上传件）；</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（4）企业资质证书（取自平台内上传件）；</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（5）建筑施工企业安全生产许可证（取自平台内上传件）；</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（6）项目负责人（按网上投标登记时选择拟投标的项目负责人）；</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（7）专职安全员（按网上投标登记时选择拟投标的专职安全员）；</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（9）拟委派项目负责人的建造师注册证书或小型项目负责人相关证明（取自平台内上传件）； </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（10）项目负责人安全培训考核合格证明或在有效期内的安全考核合格证书（B类）或建筑施工企业项目负责人安全生产考核合格证书（取自平台内上传件）；</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（11）专职安全员须具有在有效期内的安全考核合格证书（C类）或建筑施工企业专职安全生产管理人员安全生产考核合格证书（取自平台内上传件）；</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（12）用于资格审查的业绩（设置业绩要求时选择此项，投标人</w:t>
      </w:r>
      <w:r>
        <w:rPr>
          <w:rFonts w:hint="eastAsia" w:ascii="宋体" w:hAnsi="宋体"/>
          <w:color w:val="auto"/>
          <w:szCs w:val="21"/>
          <w:highlight w:val="none"/>
        </w:rPr>
        <w:t>须提供类似工程业绩的项目名称及项目编号，具体格式由招标人自定</w:t>
      </w:r>
      <w:r>
        <w:rPr>
          <w:rFonts w:hint="eastAsia" w:ascii="宋体" w:hAnsi="宋体"/>
          <w:bCs/>
          <w:color w:val="auto"/>
          <w:szCs w:val="21"/>
          <w:highlight w:val="none"/>
        </w:rPr>
        <w:t>）；</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olor w:val="auto"/>
          <w:szCs w:val="21"/>
          <w:highlight w:val="none"/>
        </w:rPr>
        <w:t>联合体工作协议应明确约定各方拟承担的工作和责任</w:t>
      </w:r>
      <w:r>
        <w:rPr>
          <w:rFonts w:hint="eastAsia" w:ascii="宋体" w:hAnsi="宋体"/>
          <w:bCs/>
          <w:color w:val="auto"/>
          <w:szCs w:val="21"/>
          <w:highlight w:val="none"/>
        </w:rPr>
        <w:t xml:space="preserve">）； </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（15）</w:t>
      </w:r>
      <w:r>
        <w:rPr>
          <w:rFonts w:hint="eastAsia" w:ascii="宋体" w:hAnsi="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11.2.3项目管理机构配备。</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（1）投标人应列出该项目工程的施工组织机构构成和画出机构框架图及其负责人；</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（3）其他辅助说明资料。</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11.2.4投标人在广州市可使用适合本工程的机械设备（附：机械设备为自有或租赁的说明；及承诺机械设备如属于租赁的，其租赁是不属于重复租赁）。</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11.2.5施工组织设计或施工方案。（投标人在编制施工组织设计或施工方案时应按照招标人提出的施工现场建筑垃圾源头减量的具体要求以及建筑垃圾综合利用产品的使用要求提供相应措施。）。</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11.2.6按照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填写的《参与编制技术标投标文件人员名单》。</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11.3 经济部分投标文件主要包括下列内容：</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11.3.1 经济投标文件(按招标文件的要求填写)。</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276" w:lineRule="auto"/>
        <w:ind w:firstLine="495" w:firstLineChars="236"/>
        <w:rPr>
          <w:rFonts w:ascii="宋体" w:hAnsi="宋体"/>
          <w:color w:val="auto"/>
          <w:szCs w:val="21"/>
          <w:highlight w:val="none"/>
        </w:rPr>
      </w:pPr>
      <w:r>
        <w:rPr>
          <w:rFonts w:hint="eastAsia" w:ascii="宋体" w:hAnsi="宋体"/>
          <w:color w:val="auto"/>
          <w:szCs w:val="21"/>
          <w:highlight w:val="none"/>
        </w:rPr>
        <w:t>（1）投标总价封面、扉页；</w:t>
      </w:r>
    </w:p>
    <w:p>
      <w:pPr>
        <w:spacing w:line="276" w:lineRule="auto"/>
        <w:ind w:firstLine="495" w:firstLineChars="236"/>
        <w:rPr>
          <w:rFonts w:ascii="宋体" w:hAnsi="宋体"/>
          <w:color w:val="auto"/>
          <w:szCs w:val="21"/>
          <w:highlight w:val="none"/>
        </w:rPr>
      </w:pPr>
      <w:r>
        <w:rPr>
          <w:rFonts w:hint="eastAsia" w:ascii="宋体" w:hAnsi="宋体"/>
          <w:color w:val="auto"/>
          <w:szCs w:val="21"/>
          <w:highlight w:val="none"/>
        </w:rPr>
        <w:t>（2）总说明；</w:t>
      </w:r>
    </w:p>
    <w:p>
      <w:pPr>
        <w:spacing w:line="276" w:lineRule="auto"/>
        <w:ind w:firstLine="495" w:firstLineChars="236"/>
        <w:rPr>
          <w:rFonts w:ascii="宋体" w:hAnsi="宋体"/>
          <w:color w:val="auto"/>
          <w:szCs w:val="21"/>
          <w:highlight w:val="none"/>
        </w:rPr>
      </w:pPr>
      <w:r>
        <w:rPr>
          <w:rFonts w:hint="eastAsia" w:ascii="宋体" w:hAnsi="宋体"/>
          <w:color w:val="auto"/>
          <w:szCs w:val="21"/>
          <w:highlight w:val="none"/>
        </w:rPr>
        <w:t>（3）工程项目投标报价汇总表；</w:t>
      </w:r>
    </w:p>
    <w:p>
      <w:pPr>
        <w:spacing w:line="276" w:lineRule="auto"/>
        <w:ind w:firstLine="495" w:firstLineChars="236"/>
        <w:rPr>
          <w:rFonts w:ascii="宋体" w:hAnsi="宋体"/>
          <w:color w:val="auto"/>
          <w:szCs w:val="21"/>
          <w:highlight w:val="none"/>
        </w:rPr>
      </w:pPr>
      <w:r>
        <w:rPr>
          <w:rFonts w:hint="eastAsia" w:ascii="宋体" w:hAnsi="宋体"/>
          <w:color w:val="auto"/>
          <w:szCs w:val="21"/>
          <w:highlight w:val="none"/>
        </w:rPr>
        <w:t>（4）单项工程投标报价汇总表；</w:t>
      </w:r>
    </w:p>
    <w:p>
      <w:pPr>
        <w:spacing w:line="276" w:lineRule="auto"/>
        <w:ind w:firstLine="495" w:firstLineChars="236"/>
        <w:rPr>
          <w:rFonts w:ascii="宋体" w:hAnsi="宋体"/>
          <w:color w:val="auto"/>
          <w:szCs w:val="21"/>
          <w:highlight w:val="none"/>
        </w:rPr>
      </w:pPr>
      <w:r>
        <w:rPr>
          <w:rFonts w:hint="eastAsia" w:ascii="宋体" w:hAnsi="宋体"/>
          <w:color w:val="auto"/>
          <w:szCs w:val="21"/>
          <w:highlight w:val="none"/>
        </w:rPr>
        <w:t>（5）单位工程投标报价汇总表；</w:t>
      </w:r>
    </w:p>
    <w:p>
      <w:pPr>
        <w:spacing w:line="276" w:lineRule="auto"/>
        <w:ind w:firstLine="495" w:firstLineChars="236"/>
        <w:rPr>
          <w:rFonts w:ascii="宋体" w:hAnsi="宋体"/>
          <w:color w:val="auto"/>
          <w:szCs w:val="21"/>
          <w:highlight w:val="none"/>
        </w:rPr>
      </w:pPr>
      <w:r>
        <w:rPr>
          <w:rFonts w:hint="eastAsia" w:ascii="宋体" w:hAnsi="宋体"/>
          <w:color w:val="auto"/>
          <w:szCs w:val="21"/>
          <w:highlight w:val="none"/>
        </w:rPr>
        <w:t>（6）分部分项工程清单与计价表；</w:t>
      </w:r>
    </w:p>
    <w:p>
      <w:pPr>
        <w:spacing w:line="276" w:lineRule="auto"/>
        <w:ind w:firstLine="495" w:firstLineChars="236"/>
        <w:rPr>
          <w:rFonts w:ascii="宋体" w:hAnsi="宋体"/>
          <w:color w:val="auto"/>
          <w:szCs w:val="21"/>
          <w:highlight w:val="none"/>
        </w:rPr>
      </w:pPr>
      <w:r>
        <w:rPr>
          <w:rFonts w:hint="eastAsia" w:ascii="宋体" w:hAnsi="宋体"/>
          <w:color w:val="auto"/>
          <w:szCs w:val="21"/>
          <w:highlight w:val="none"/>
        </w:rPr>
        <w:t>（7）单价措施项目清单与计价表；</w:t>
      </w:r>
    </w:p>
    <w:p>
      <w:pPr>
        <w:spacing w:line="276" w:lineRule="auto"/>
        <w:ind w:firstLine="495" w:firstLineChars="236"/>
        <w:rPr>
          <w:rFonts w:ascii="宋体" w:hAnsi="宋体"/>
          <w:color w:val="auto"/>
          <w:szCs w:val="21"/>
          <w:highlight w:val="none"/>
        </w:rPr>
      </w:pPr>
      <w:r>
        <w:rPr>
          <w:rFonts w:hint="eastAsia" w:ascii="宋体" w:hAnsi="宋体"/>
          <w:color w:val="auto"/>
          <w:szCs w:val="21"/>
          <w:highlight w:val="none"/>
        </w:rPr>
        <w:t>（8）总价措施项目清单与计价表；</w:t>
      </w:r>
    </w:p>
    <w:p>
      <w:pPr>
        <w:spacing w:line="276" w:lineRule="auto"/>
        <w:ind w:firstLine="495" w:firstLineChars="236"/>
        <w:rPr>
          <w:rFonts w:ascii="宋体" w:hAnsi="宋体"/>
          <w:color w:val="auto"/>
          <w:szCs w:val="21"/>
          <w:highlight w:val="none"/>
        </w:rPr>
      </w:pPr>
      <w:r>
        <w:rPr>
          <w:rFonts w:hint="eastAsia" w:ascii="宋体" w:hAnsi="宋体"/>
          <w:color w:val="auto"/>
          <w:szCs w:val="21"/>
          <w:highlight w:val="none"/>
        </w:rPr>
        <w:t>（9）综合单价分析表；</w:t>
      </w:r>
    </w:p>
    <w:p>
      <w:pPr>
        <w:spacing w:line="276" w:lineRule="auto"/>
        <w:ind w:firstLine="495" w:firstLineChars="236"/>
        <w:rPr>
          <w:rFonts w:ascii="宋体" w:hAnsi="宋体"/>
          <w:color w:val="auto"/>
          <w:szCs w:val="21"/>
          <w:highlight w:val="none"/>
        </w:rPr>
      </w:pPr>
      <w:r>
        <w:rPr>
          <w:rFonts w:hint="eastAsia" w:ascii="宋体" w:hAnsi="宋体"/>
          <w:color w:val="auto"/>
          <w:szCs w:val="21"/>
          <w:highlight w:val="none"/>
        </w:rPr>
        <w:t>（10）其他项目清单与计价汇总表；</w:t>
      </w:r>
    </w:p>
    <w:p>
      <w:pPr>
        <w:spacing w:line="276" w:lineRule="auto"/>
        <w:ind w:firstLine="495" w:firstLineChars="236"/>
        <w:rPr>
          <w:rFonts w:ascii="宋体" w:hAnsi="宋体"/>
          <w:color w:val="auto"/>
          <w:szCs w:val="21"/>
          <w:highlight w:val="none"/>
        </w:rPr>
      </w:pPr>
      <w:r>
        <w:rPr>
          <w:rFonts w:hint="eastAsia" w:ascii="宋体" w:hAnsi="宋体"/>
          <w:color w:val="auto"/>
          <w:szCs w:val="21"/>
          <w:highlight w:val="none"/>
        </w:rPr>
        <w:t>（11）暂列金额明细表；</w:t>
      </w:r>
    </w:p>
    <w:p>
      <w:pPr>
        <w:spacing w:line="276" w:lineRule="auto"/>
        <w:ind w:firstLine="495" w:firstLineChars="236"/>
        <w:rPr>
          <w:rFonts w:ascii="宋体" w:hAnsi="宋体"/>
          <w:color w:val="auto"/>
          <w:szCs w:val="21"/>
          <w:highlight w:val="none"/>
        </w:rPr>
      </w:pPr>
      <w:r>
        <w:rPr>
          <w:rFonts w:hint="eastAsia" w:ascii="宋体" w:hAnsi="宋体"/>
          <w:color w:val="auto"/>
          <w:szCs w:val="21"/>
          <w:highlight w:val="none"/>
        </w:rPr>
        <w:t>（12）材料（工程设备）暂估价明细表；</w:t>
      </w:r>
    </w:p>
    <w:p>
      <w:pPr>
        <w:spacing w:line="276" w:lineRule="auto"/>
        <w:ind w:firstLine="495" w:firstLineChars="236"/>
        <w:rPr>
          <w:rFonts w:ascii="宋体" w:hAnsi="宋体"/>
          <w:color w:val="auto"/>
          <w:szCs w:val="21"/>
          <w:highlight w:val="none"/>
        </w:rPr>
      </w:pPr>
      <w:r>
        <w:rPr>
          <w:rFonts w:hint="eastAsia" w:ascii="宋体" w:hAnsi="宋体"/>
          <w:color w:val="auto"/>
          <w:szCs w:val="21"/>
          <w:highlight w:val="none"/>
        </w:rPr>
        <w:t>（13）专业工程暂估价明细表；</w:t>
      </w:r>
    </w:p>
    <w:p>
      <w:pPr>
        <w:spacing w:line="276" w:lineRule="auto"/>
        <w:ind w:firstLine="495" w:firstLineChars="236"/>
        <w:rPr>
          <w:rFonts w:ascii="宋体" w:hAnsi="宋体"/>
          <w:color w:val="auto"/>
          <w:szCs w:val="21"/>
          <w:highlight w:val="none"/>
        </w:rPr>
      </w:pPr>
      <w:r>
        <w:rPr>
          <w:rFonts w:hint="eastAsia" w:ascii="宋体" w:hAnsi="宋体"/>
          <w:color w:val="auto"/>
          <w:szCs w:val="21"/>
          <w:highlight w:val="none"/>
        </w:rPr>
        <w:t>（14）计日工表；</w:t>
      </w:r>
    </w:p>
    <w:p>
      <w:pPr>
        <w:spacing w:line="276" w:lineRule="auto"/>
        <w:ind w:firstLine="495" w:firstLineChars="236"/>
        <w:rPr>
          <w:rFonts w:ascii="宋体" w:hAnsi="宋体"/>
          <w:color w:val="auto"/>
          <w:szCs w:val="21"/>
          <w:highlight w:val="none"/>
        </w:rPr>
      </w:pPr>
      <w:r>
        <w:rPr>
          <w:rFonts w:hint="eastAsia" w:ascii="宋体" w:hAnsi="宋体"/>
          <w:color w:val="auto"/>
          <w:szCs w:val="21"/>
          <w:highlight w:val="none"/>
        </w:rPr>
        <w:t>（15）总承包服务计价表；</w:t>
      </w:r>
    </w:p>
    <w:p>
      <w:pPr>
        <w:spacing w:line="276" w:lineRule="auto"/>
        <w:ind w:firstLine="495" w:firstLineChars="236"/>
        <w:rPr>
          <w:rFonts w:ascii="宋体" w:hAnsi="宋体"/>
          <w:color w:val="auto"/>
          <w:szCs w:val="21"/>
          <w:highlight w:val="none"/>
        </w:rPr>
      </w:pPr>
      <w:r>
        <w:rPr>
          <w:rFonts w:hint="eastAsia" w:ascii="宋体" w:hAnsi="宋体"/>
          <w:color w:val="auto"/>
          <w:szCs w:val="21"/>
          <w:highlight w:val="none"/>
        </w:rPr>
        <w:t>（16）规费和税金项目计价表；</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（17）人工、主要材料和设备一览表。</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11.3.3按照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填写的《参与编制经济标投标文件人员名单》。</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Style w:val="22"/>
        <w:spacing w:after="0" w:line="276"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12．投标文件格式</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12.1 投标文件包括本须知第11条中规定的内容，投标人提交的投标文件应当使用招标文件所提供的投标文件全部格式（表格可以按同样格式扩展）。</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 xml:space="preserve">12.3 </w:t>
      </w:r>
      <w:r>
        <w:rPr>
          <w:rFonts w:hint="eastAsia" w:ascii="宋体" w:hAnsi="宋体"/>
          <w:bCs/>
          <w:color w:val="auto"/>
          <w:sz w:val="21"/>
          <w:szCs w:val="21"/>
          <w:highlight w:val="none"/>
        </w:rPr>
        <w:t>投标文件应按</w:t>
      </w:r>
      <w:r>
        <w:rPr>
          <w:rFonts w:hint="eastAsia" w:ascii="宋体" w:hAnsi="宋体"/>
          <w:color w:val="auto"/>
          <w:sz w:val="21"/>
          <w:szCs w:val="21"/>
          <w:highlight w:val="none"/>
        </w:rPr>
        <w:t xml:space="preserve">照交易平台关于全流程电子化项目的相关指南进行编制，详见：。  </w:t>
      </w:r>
    </w:p>
    <w:p>
      <w:pPr>
        <w:pStyle w:val="22"/>
        <w:spacing w:after="0" w:line="276" w:lineRule="auto"/>
        <w:ind w:firstLineChars="200"/>
        <w:rPr>
          <w:rFonts w:ascii="宋体" w:hAnsi="宋体"/>
          <w:color w:val="auto"/>
          <w:sz w:val="21"/>
          <w:szCs w:val="21"/>
          <w:highlight w:val="none"/>
        </w:rPr>
      </w:pPr>
      <w:r>
        <w:rPr>
          <w:rFonts w:hint="eastAsia" w:ascii="宋体" w:hAnsi="宋体"/>
          <w:bCs/>
          <w:color w:val="auto"/>
          <w:sz w:val="21"/>
          <w:szCs w:val="21"/>
          <w:highlight w:val="none"/>
        </w:rPr>
        <w:t>如不按上述要求编制引起系统无法检索、读取相关信息的，其后果由投标人承担。</w:t>
      </w:r>
    </w:p>
    <w:p>
      <w:pPr>
        <w:pStyle w:val="22"/>
        <w:spacing w:after="0" w:line="276"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13．投标报价及造价承包和变更结算方式</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13.1 本工程的投标报价采用投标须知前附表第12项所规定的方式。投标报价（含单价及总价）精确到“分”。</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13.5.1中标的投标文件工程量清单中已有相同项目的适用综合单价，则沿用；</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13.5.4 如相关定额没有相应子目的，其计价方式由招标人在本招标文件第三章中另行规定。未规定的，中标后双方协商约定。</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13.6暂列金额、暂估价</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暂估价是指招标人在工程量清单中提供的用于支付必然发生但暂时不能确定价格的材料的单价以及专业工程的金额。</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22"/>
        <w:spacing w:after="0" w:line="276"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14．投标货币</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14.1 本工程投标报价采用的币种为人民币。</w:t>
      </w:r>
    </w:p>
    <w:p>
      <w:pPr>
        <w:pStyle w:val="22"/>
        <w:spacing w:after="0" w:line="276" w:lineRule="auto"/>
        <w:ind w:firstLine="422" w:firstLineChars="200"/>
        <w:rPr>
          <w:rFonts w:ascii="宋体" w:hAnsi="宋体"/>
          <w:color w:val="auto"/>
          <w:sz w:val="21"/>
          <w:szCs w:val="21"/>
          <w:highlight w:val="none"/>
        </w:rPr>
      </w:pPr>
      <w:r>
        <w:rPr>
          <w:rFonts w:hint="eastAsia" w:ascii="宋体" w:hAnsi="宋体"/>
          <w:b/>
          <w:bCs/>
          <w:color w:val="auto"/>
          <w:sz w:val="21"/>
          <w:szCs w:val="21"/>
          <w:highlight w:val="none"/>
        </w:rPr>
        <w:t>15．投标有效期</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15.1 投标有效期见投标须知前附表第13项所规定的期限，在此期限内，凡符合本招标文件要求的投标文件均保持有效。</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22"/>
        <w:spacing w:after="0" w:line="276"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16．投标保证金</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16.1投标人应按投标须知前附表第14项所述金额和时间递交</w:t>
      </w:r>
      <w:r>
        <w:rPr>
          <w:rFonts w:hint="eastAsia" w:ascii="宋体" w:hAnsi="宋体"/>
          <w:bCs/>
          <w:color w:val="auto"/>
          <w:szCs w:val="21"/>
          <w:highlight w:val="none"/>
        </w:rPr>
        <w:t>投标保证金</w:t>
      </w:r>
      <w:r>
        <w:rPr>
          <w:rFonts w:hint="eastAsia" w:ascii="宋体" w:hAnsi="宋体"/>
          <w:color w:val="auto"/>
          <w:szCs w:val="21"/>
          <w:highlight w:val="none"/>
        </w:rPr>
        <w:t>。招标人应当允许投标人自主选择现金、银行保函、保证保险、专业工程担保公司担保等方式缴纳投标保证金。</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16.1.1 采用现金或者支票形式提交的，投标保证金须从投标人的银行基本账户转出。</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16.1.3 采用电子形式的保函、担保或保证保险提交投标保证金的，应在招标文件中明确电子递交途径。</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16.3投标保证金应依据法律法规的相关规定退还。</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16.4如有下列情况之一的，招标人可以不予退还投标保证金（是否退还投标保证金由招标人在招标文件中规定）：</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16.4.1因投标人原因造成投标文件未解密的；</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16.4.2投标人在投标有效期内撤销投标文件；</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16.4.3中标人未能在规定期限内按要求提交履约担保；</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16.4.4中标人未能在规定期限内签署合同协议。</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16.5投标人如存在下列情况之一的，将被拒绝在一定时期内参与招标人后续工程投标（拒绝时限需在招标文件中明确）：</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注：16.5.3款由招标人二选一，需在招标文件中明确。</w:t>
      </w:r>
    </w:p>
    <w:p>
      <w:pPr>
        <w:pStyle w:val="22"/>
        <w:spacing w:after="0" w:line="276"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17．投标文件的签署</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Style w:val="3"/>
        <w:spacing w:before="156" w:beforeAutospacing="0" w:after="156" w:afterAutospacing="0" w:line="276" w:lineRule="auto"/>
        <w:rPr>
          <w:b/>
          <w:bCs/>
          <w:color w:val="auto"/>
          <w:sz w:val="21"/>
          <w:szCs w:val="21"/>
          <w:highlight w:val="none"/>
        </w:rPr>
      </w:pPr>
      <w:bookmarkStart w:id="9" w:name="_Toc105014627"/>
      <w:r>
        <w:rPr>
          <w:rFonts w:hint="eastAsia"/>
          <w:b/>
          <w:bCs/>
          <w:color w:val="auto"/>
          <w:sz w:val="21"/>
          <w:szCs w:val="21"/>
          <w:highlight w:val="none"/>
        </w:rPr>
        <w:t>（四）投标文件的提交</w:t>
      </w:r>
      <w:bookmarkEnd w:id="9"/>
    </w:p>
    <w:p>
      <w:pPr>
        <w:pStyle w:val="22"/>
        <w:spacing w:after="0" w:line="276"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18．</w:t>
      </w:r>
      <w:r>
        <w:rPr>
          <w:rFonts w:hint="eastAsia" w:ascii="宋体" w:hAnsi="宋体"/>
          <w:b/>
          <w:color w:val="auto"/>
          <w:sz w:val="21"/>
          <w:szCs w:val="21"/>
          <w:highlight w:val="none"/>
        </w:rPr>
        <w:t>投标文件的密封和标记</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18.1递交的电子投标文件（不含备用光盘）必须进行加密。按照交易平台关于</w:t>
      </w:r>
      <w:r>
        <w:rPr>
          <w:rFonts w:hint="eastAsia" w:ascii="宋体" w:hAnsi="宋体"/>
          <w:color w:val="auto"/>
          <w:szCs w:val="21"/>
          <w:highlight w:val="none"/>
        </w:rPr>
        <w:t>全流程电子化项目的相关指南进行操作。详见： 。</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18.2 未按要求加密的投标文件，</w:t>
      </w:r>
      <w:r>
        <w:rPr>
          <w:rFonts w:hint="eastAsia" w:ascii="宋体" w:hAnsi="宋体"/>
          <w:color w:val="auto"/>
          <w:szCs w:val="21"/>
          <w:highlight w:val="none"/>
        </w:rPr>
        <w:t>交易平台</w:t>
      </w:r>
      <w:r>
        <w:rPr>
          <w:rFonts w:hint="eastAsia" w:ascii="宋体" w:hAnsi="宋体"/>
          <w:bCs/>
          <w:color w:val="auto"/>
          <w:szCs w:val="21"/>
          <w:highlight w:val="none"/>
        </w:rPr>
        <w:t>将予以拒收。</w:t>
      </w:r>
    </w:p>
    <w:p>
      <w:pPr>
        <w:spacing w:line="276"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19．投标文件的递交和接收</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19.1投标人通过</w:t>
      </w:r>
      <w:r>
        <w:rPr>
          <w:rFonts w:hint="eastAsia" w:ascii="宋体" w:hAnsi="宋体"/>
          <w:color w:val="auto"/>
          <w:szCs w:val="21"/>
          <w:highlight w:val="none"/>
        </w:rPr>
        <w:t>交易平台递交电子投标文件。</w:t>
      </w:r>
    </w:p>
    <w:p>
      <w:pPr>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19.2投标人完成电子</w:t>
      </w:r>
      <w:r>
        <w:rPr>
          <w:rFonts w:hint="eastAsia" w:ascii="宋体" w:hAnsi="宋体"/>
          <w:color w:val="auto"/>
          <w:szCs w:val="21"/>
          <w:highlight w:val="none"/>
        </w:rPr>
        <w:t>投标文件</w:t>
      </w:r>
      <w:r>
        <w:rPr>
          <w:rFonts w:hint="eastAsia" w:ascii="宋体" w:hAnsi="宋体"/>
          <w:bCs/>
          <w:color w:val="auto"/>
          <w:szCs w:val="21"/>
          <w:highlight w:val="none"/>
        </w:rPr>
        <w:t>上传后，</w:t>
      </w:r>
      <w:r>
        <w:rPr>
          <w:rFonts w:hint="eastAsia" w:ascii="宋体" w:hAnsi="宋体"/>
          <w:color w:val="auto"/>
          <w:szCs w:val="21"/>
          <w:highlight w:val="none"/>
        </w:rPr>
        <w:t>交易平台即时向投标人发出递交回执通知。递交时间以递交回执通知载明的传输完成时间为准。</w:t>
      </w:r>
    </w:p>
    <w:p>
      <w:pPr>
        <w:spacing w:line="276" w:lineRule="auto"/>
        <w:ind w:firstLine="420" w:firstLineChars="200"/>
        <w:rPr>
          <w:rFonts w:ascii="宋体" w:hAnsi="宋体"/>
          <w:color w:val="auto"/>
          <w:szCs w:val="21"/>
          <w:highlight w:val="none"/>
        </w:rPr>
      </w:pPr>
      <w:r>
        <w:rPr>
          <w:rFonts w:hint="eastAsia" w:ascii="宋体" w:hAnsi="宋体"/>
          <w:bCs/>
          <w:color w:val="auto"/>
          <w:szCs w:val="21"/>
          <w:highlight w:val="none"/>
        </w:rPr>
        <w:t>19.3逾期送达的电子投标文件，</w:t>
      </w:r>
      <w:r>
        <w:rPr>
          <w:rFonts w:hint="eastAsia" w:ascii="宋体" w:hAnsi="宋体"/>
          <w:color w:val="auto"/>
          <w:szCs w:val="21"/>
          <w:highlight w:val="none"/>
        </w:rPr>
        <w:t>交易平台将予以拒收。</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19.4 投标截止前，招标人拒绝接收符合条件的投标文件，投标人可向招标投标监督机构投诉。</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19.5如技术标和经济标先后分别开启，交易平台将按招标文件规定的时间分别开启技术标和经济标。</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276"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20．投标文件提交的截止时间</w:t>
      </w:r>
    </w:p>
    <w:p>
      <w:pPr>
        <w:spacing w:line="276" w:lineRule="auto"/>
        <w:ind w:firstLine="420" w:firstLineChars="200"/>
        <w:rPr>
          <w:rFonts w:ascii="宋体" w:hAnsi="宋体"/>
          <w:b/>
          <w:bCs/>
          <w:color w:val="auto"/>
          <w:szCs w:val="21"/>
          <w:highlight w:val="none"/>
        </w:rPr>
      </w:pPr>
      <w:r>
        <w:rPr>
          <w:rFonts w:hint="eastAsia" w:ascii="宋体" w:hAnsi="宋体"/>
          <w:color w:val="auto"/>
          <w:szCs w:val="21"/>
          <w:highlight w:val="none"/>
        </w:rPr>
        <w:t>20.1投标人应在投标须知前附表第17项所述的时间前提交投标文件。</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20.3 到投标截止时间止，招标人收到的投标文件少于3家的，招标人将重新组织招标（当N个标段同时招标且不允许兼中时，若有效投标人不足N+2家，则重新组织招标）。</w:t>
      </w:r>
    </w:p>
    <w:p>
      <w:pPr>
        <w:spacing w:line="276"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21．迟交的投标文件</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21.1 本须知前附表第17项规定的投标截止时间</w:t>
      </w:r>
      <w:r>
        <w:rPr>
          <w:rFonts w:hint="eastAsia" w:ascii="宋体" w:hAnsi="宋体"/>
          <w:bCs/>
          <w:color w:val="auto"/>
          <w:szCs w:val="21"/>
          <w:highlight w:val="none"/>
        </w:rPr>
        <w:t>后送达的电子投标文件，</w:t>
      </w:r>
      <w:r>
        <w:rPr>
          <w:rFonts w:hint="eastAsia" w:ascii="宋体" w:hAnsi="宋体"/>
          <w:color w:val="auto"/>
          <w:szCs w:val="21"/>
          <w:highlight w:val="none"/>
        </w:rPr>
        <w:t>交易平台将予以拒收。</w:t>
      </w:r>
    </w:p>
    <w:p>
      <w:pPr>
        <w:spacing w:line="276"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22．投标文件的修改与撤回</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22.1在规定的投标截止时间前，投标人可以修改或撤回已递交的投标文件，但应以书面形式通知招标人。</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22.2</w:t>
      </w:r>
      <w:r>
        <w:rPr>
          <w:rFonts w:ascii="宋体" w:hAnsi="宋体"/>
          <w:color w:val="auto"/>
          <w:szCs w:val="21"/>
          <w:highlight w:val="none"/>
        </w:rPr>
        <w:t>投标人修改或撤回已递交</w:t>
      </w:r>
      <w:r>
        <w:rPr>
          <w:rFonts w:hint="eastAsia" w:ascii="宋体" w:hAnsi="宋体"/>
          <w:color w:val="auto"/>
          <w:szCs w:val="21"/>
          <w:highlight w:val="none"/>
        </w:rPr>
        <w:t>的</w:t>
      </w:r>
      <w:r>
        <w:rPr>
          <w:rFonts w:ascii="宋体" w:hAnsi="宋体"/>
          <w:color w:val="auto"/>
          <w:szCs w:val="21"/>
          <w:highlight w:val="none"/>
        </w:rPr>
        <w:t>投标文件</w:t>
      </w:r>
      <w:r>
        <w:rPr>
          <w:rFonts w:hint="eastAsia" w:ascii="宋体" w:hAnsi="宋体"/>
          <w:color w:val="auto"/>
          <w:szCs w:val="21"/>
          <w:highlight w:val="none"/>
        </w:rPr>
        <w:t>，需在交易平台发出修改或撤回</w:t>
      </w:r>
      <w:r>
        <w:rPr>
          <w:rFonts w:ascii="宋体" w:hAnsi="宋体"/>
          <w:color w:val="auto"/>
          <w:szCs w:val="21"/>
          <w:highlight w:val="none"/>
        </w:rPr>
        <w:t>通知，</w:t>
      </w:r>
      <w:r>
        <w:rPr>
          <w:rFonts w:hint="eastAsia" w:ascii="宋体" w:hAnsi="宋体"/>
          <w:color w:val="auto"/>
          <w:szCs w:val="21"/>
          <w:highlight w:val="none"/>
        </w:rPr>
        <w:t>并按</w:t>
      </w:r>
      <w:r>
        <w:rPr>
          <w:rFonts w:ascii="宋体" w:hAnsi="宋体"/>
          <w:color w:val="auto"/>
          <w:szCs w:val="21"/>
          <w:highlight w:val="none"/>
        </w:rPr>
        <w:t>要求加盖电子印章。</w:t>
      </w:r>
      <w:r>
        <w:rPr>
          <w:rFonts w:ascii="宋体" w:hAnsi="宋体"/>
          <w:bCs/>
          <w:iCs/>
          <w:color w:val="auto"/>
          <w:szCs w:val="21"/>
          <w:highlight w:val="none"/>
        </w:rPr>
        <w:t>电子招标投标交易平台收到通知后，</w:t>
      </w:r>
      <w:r>
        <w:rPr>
          <w:rFonts w:ascii="宋体" w:hAnsi="宋体"/>
          <w:color w:val="auto"/>
          <w:szCs w:val="21"/>
          <w:highlight w:val="none"/>
        </w:rPr>
        <w:t>即时向投标人发出确认回执通知。</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22.3修改后再次递交的，按19点的规定执行。</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22.4 在投标截止时间之后，投标人不得补充、修改和更换投标文件。</w:t>
      </w:r>
    </w:p>
    <w:p>
      <w:pPr>
        <w:pStyle w:val="3"/>
        <w:spacing w:before="156" w:beforeAutospacing="0" w:after="156" w:afterAutospacing="0" w:line="276" w:lineRule="auto"/>
        <w:rPr>
          <w:b/>
          <w:bCs/>
          <w:color w:val="auto"/>
          <w:sz w:val="21"/>
          <w:szCs w:val="21"/>
          <w:highlight w:val="none"/>
        </w:rPr>
      </w:pPr>
      <w:bookmarkStart w:id="10" w:name="_Toc105014628"/>
      <w:r>
        <w:rPr>
          <w:rFonts w:hint="eastAsia"/>
          <w:b/>
          <w:bCs/>
          <w:color w:val="auto"/>
          <w:sz w:val="21"/>
          <w:szCs w:val="21"/>
          <w:highlight w:val="none"/>
        </w:rPr>
        <w:t>（五）开标、评标、定标及合同签定</w:t>
      </w:r>
      <w:bookmarkEnd w:id="10"/>
    </w:p>
    <w:p>
      <w:pPr>
        <w:spacing w:line="276"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 xml:space="preserve">3. </w:t>
      </w:r>
      <w:r>
        <w:rPr>
          <w:rFonts w:hint="eastAsia" w:ascii="宋体" w:hAnsi="宋体"/>
          <w:b/>
          <w:bCs/>
          <w:color w:val="auto"/>
          <w:szCs w:val="21"/>
          <w:highlight w:val="none"/>
        </w:rPr>
        <w:t>开标</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详见第二章开标、评标及定标办法。</w:t>
      </w:r>
    </w:p>
    <w:p>
      <w:pPr>
        <w:spacing w:line="276"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24．评标过程的保密</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24.1 开标后，直至中标公示为止，凡属于对投标文件的审查、澄清、评价和比较有关的资料以及中标候选人的推荐情况，与评标有关的其他任何情况均严格保密。</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24.2 在投标文件的评审和比较、中标候选人推荐以及授予合同的过程中，投标人向招标人和评标委员会施加不公正影响的任何行为，都将会导致其投标被拒绝。</w:t>
      </w:r>
    </w:p>
    <w:p>
      <w:pPr>
        <w:spacing w:line="276"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25．投标文件的澄清，计算错误的修正</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详见招标文件第二章开标、评标及定标办法。</w:t>
      </w:r>
    </w:p>
    <w:p>
      <w:pPr>
        <w:spacing w:line="276"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26．投标文件的评审、比较和否决</w:t>
      </w:r>
    </w:p>
    <w:p>
      <w:pPr>
        <w:spacing w:line="276" w:lineRule="auto"/>
        <w:ind w:firstLine="420" w:firstLineChars="200"/>
        <w:rPr>
          <w:rFonts w:ascii="宋体" w:hAnsi="宋体"/>
          <w:bCs/>
          <w:color w:val="auto"/>
          <w:szCs w:val="21"/>
          <w:highlight w:val="none"/>
        </w:rPr>
      </w:pPr>
      <w:r>
        <w:rPr>
          <w:rFonts w:hint="eastAsia" w:ascii="宋体" w:hAnsi="宋体"/>
          <w:color w:val="auto"/>
          <w:szCs w:val="21"/>
          <w:highlight w:val="none"/>
        </w:rPr>
        <w:t>详见招标文件第二章开标、评标及定标办法。</w:t>
      </w:r>
    </w:p>
    <w:p>
      <w:pPr>
        <w:spacing w:line="276"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27．中标通知书</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27.1招标人将在交易平台、广东省招标投标监管网和中国招标投标公共服务平台公示中标候选人，公示期为三天。</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27.3中标人必须在收到中标通知书后24小时之内以书面形式回复招标人，确认收到。</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27.4在产生中标候选人后，招标人将中标候选人的投标文件商务部分文件的所有内容（包括报价清单、人员、业绩、奖项等资料）在交易平台和广东省招标投标监管网公开。</w:t>
      </w:r>
    </w:p>
    <w:p>
      <w:pPr>
        <w:spacing w:line="276"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28．合同协议书的签订</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28.4招标人支付工程款时，中标人应按规定开具发票。</w:t>
      </w:r>
    </w:p>
    <w:p>
      <w:pPr>
        <w:spacing w:line="276"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29．履约担保</w:t>
      </w:r>
    </w:p>
    <w:p>
      <w:pPr>
        <w:snapToGrid w:val="0"/>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29.1 在收到中标通知书后的15日内，中标人应按本须知前附表第20项的规定向招标人提交履约担保。</w:t>
      </w:r>
    </w:p>
    <w:p>
      <w:pPr>
        <w:snapToGrid w:val="0"/>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276" w:lineRule="auto"/>
        <w:ind w:firstLine="422" w:firstLineChars="200"/>
        <w:rPr>
          <w:rFonts w:ascii="宋体" w:hAnsi="宋体"/>
          <w:b/>
          <w:bCs/>
          <w:color w:val="auto"/>
          <w:szCs w:val="21"/>
          <w:highlight w:val="none"/>
        </w:rPr>
      </w:pPr>
      <w:r>
        <w:rPr>
          <w:rFonts w:hint="eastAsia" w:ascii="宋体" w:hAnsi="宋体"/>
          <w:b/>
          <w:bCs/>
          <w:color w:val="auto"/>
          <w:szCs w:val="21"/>
          <w:highlight w:val="none"/>
        </w:rPr>
        <w:t>30．合同生效</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30.1在合同双方全权代表在合同协议书上签字，并分别加盖双方单位的公章后，合同正式生效。</w:t>
      </w:r>
    </w:p>
    <w:p>
      <w:pPr>
        <w:spacing w:line="276" w:lineRule="auto"/>
        <w:ind w:firstLine="422" w:firstLineChars="200"/>
        <w:rPr>
          <w:rFonts w:ascii="宋体" w:hAnsi="宋体"/>
          <w:b/>
          <w:bCs/>
          <w:color w:val="auto"/>
          <w:szCs w:val="21"/>
          <w:highlight w:val="none"/>
        </w:rPr>
      </w:pPr>
      <w:r>
        <w:rPr>
          <w:rFonts w:hint="eastAsia" w:ascii="宋体" w:hAnsi="宋体"/>
          <w:b/>
          <w:bCs/>
          <w:color w:val="auto"/>
          <w:szCs w:val="21"/>
          <w:highlight w:val="none"/>
        </w:rPr>
        <w:t>31．其它费用</w:t>
      </w:r>
    </w:p>
    <w:p>
      <w:pPr>
        <w:pStyle w:val="22"/>
        <w:spacing w:after="0" w:line="276"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32．腐败与欺诈行为</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在招标和合同实施期间，招标人要求投标人和承包人遵守最高的道德标准。</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32．1对本条款的规定，特定义如下词汇：</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1）“腐败行为”是指在招标或合同执行期间，通过提供、给予、接受或索要任何有价值的东西，从而影响招标人有关人员工作的行为；</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22"/>
        <w:spacing w:after="0" w:line="276" w:lineRule="auto"/>
        <w:ind w:firstLineChars="200"/>
        <w:rPr>
          <w:rFonts w:ascii="宋体" w:hAnsi="宋体"/>
          <w:color w:val="auto"/>
          <w:sz w:val="21"/>
          <w:szCs w:val="21"/>
          <w:highlight w:val="none"/>
        </w:rPr>
      </w:pPr>
      <w:r>
        <w:rPr>
          <w:rFonts w:ascii="宋体" w:hAnsi="宋体"/>
          <w:color w:val="auto"/>
          <w:sz w:val="21"/>
          <w:szCs w:val="21"/>
          <w:highlight w:val="none"/>
        </w:rPr>
        <w:t xml:space="preserve">32.2 </w:t>
      </w:r>
      <w:r>
        <w:rPr>
          <w:rFonts w:hint="eastAsia" w:ascii="宋体" w:hAnsi="宋体"/>
          <w:color w:val="auto"/>
          <w:sz w:val="21"/>
          <w:szCs w:val="21"/>
          <w:highlight w:val="none"/>
        </w:rPr>
        <w:t>如果投标人被认定在本招标的竞争中有腐败或欺诈行为，则会被取消投标资格。</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276" w:lineRule="auto"/>
        <w:ind w:firstLine="472" w:firstLineChars="224"/>
        <w:rPr>
          <w:rFonts w:ascii="宋体" w:hAnsi="宋体"/>
          <w:b/>
          <w:color w:val="auto"/>
          <w:szCs w:val="21"/>
          <w:highlight w:val="none"/>
        </w:rPr>
      </w:pPr>
      <w:r>
        <w:rPr>
          <w:rFonts w:hint="eastAsia" w:ascii="宋体" w:hAnsi="宋体"/>
          <w:b/>
          <w:color w:val="auto"/>
          <w:szCs w:val="21"/>
          <w:highlight w:val="none"/>
        </w:rPr>
        <w:t>33. 投标人信誉的要求</w:t>
      </w:r>
    </w:p>
    <w:p>
      <w:pPr>
        <w:spacing w:line="276" w:lineRule="auto"/>
        <w:ind w:firstLine="470" w:firstLineChars="224"/>
        <w:rPr>
          <w:rFonts w:ascii="宋体" w:hAnsi="宋体"/>
          <w:color w:val="auto"/>
          <w:szCs w:val="21"/>
          <w:highlight w:val="none"/>
        </w:rPr>
      </w:pPr>
      <w:r>
        <w:rPr>
          <w:rFonts w:hint="eastAsia" w:ascii="宋体" w:hAnsi="宋体"/>
          <w:color w:val="auto"/>
          <w:szCs w:val="21"/>
          <w:highlight w:val="none"/>
        </w:rPr>
        <w:t>存在下列情形之一的，招标人可以限制其投标（需在招标文件中明确评定方法）</w:t>
      </w:r>
    </w:p>
    <w:p>
      <w:pPr>
        <w:spacing w:line="276" w:lineRule="auto"/>
        <w:ind w:firstLine="470" w:firstLineChars="224"/>
        <w:rPr>
          <w:rFonts w:ascii="宋体" w:hAnsi="宋体"/>
          <w:color w:val="auto"/>
          <w:szCs w:val="21"/>
          <w:highlight w:val="none"/>
        </w:rPr>
      </w:pPr>
      <w:r>
        <w:rPr>
          <w:rFonts w:hint="eastAsia" w:ascii="宋体" w:hAnsi="宋体"/>
          <w:color w:val="auto"/>
          <w:szCs w:val="21"/>
          <w:highlight w:val="none"/>
        </w:rPr>
        <w:t>（1）被住房城乡建设行政主管部门在全国建筑市场监管一体化工作平台列入建筑市场主体“黑名单”；</w:t>
      </w:r>
    </w:p>
    <w:p>
      <w:pPr>
        <w:pStyle w:val="22"/>
        <w:spacing w:after="0" w:line="276" w:lineRule="auto"/>
        <w:ind w:firstLineChars="200"/>
        <w:rPr>
          <w:rFonts w:ascii="宋体" w:hAnsi="宋体"/>
          <w:color w:val="auto"/>
          <w:sz w:val="21"/>
          <w:szCs w:val="21"/>
          <w:highlight w:val="none"/>
        </w:rPr>
      </w:pPr>
      <w:r>
        <w:rPr>
          <w:rFonts w:hint="eastAsia" w:ascii="宋体" w:hAnsi="宋体"/>
          <w:color w:val="auto"/>
          <w:sz w:val="21"/>
          <w:szCs w:val="21"/>
          <w:highlight w:val="none"/>
        </w:rPr>
        <w:t>（2）被发改委、人力资源社会保障、质检总局等有关部门、单位在“信用中国”网站中列入联合惩戒失信黑名单。</w:t>
      </w:r>
    </w:p>
    <w:p>
      <w:pPr>
        <w:pStyle w:val="118"/>
        <w:spacing w:after="0" w:line="276" w:lineRule="auto"/>
        <w:ind w:firstLineChars="200"/>
        <w:rPr>
          <w:rStyle w:val="84"/>
          <w:rFonts w:ascii="宋体" w:hAnsi="宋体"/>
          <w:color w:val="auto"/>
          <w:sz w:val="21"/>
          <w:szCs w:val="21"/>
          <w:highlight w:val="none"/>
        </w:rPr>
      </w:pPr>
    </w:p>
    <w:p>
      <w:pPr>
        <w:pStyle w:val="140"/>
        <w:spacing w:line="460" w:lineRule="exact"/>
        <w:outlineLvl w:val="0"/>
        <w:rPr>
          <w:rStyle w:val="84"/>
          <w:rFonts w:ascii="宋体" w:hAnsi="宋体"/>
          <w:bCs/>
          <w:color w:val="auto"/>
          <w:highlight w:val="none"/>
        </w:rPr>
      </w:pPr>
      <w:r>
        <w:rPr>
          <w:rStyle w:val="84"/>
          <w:rFonts w:ascii="宋体" w:hAnsi="宋体"/>
          <w:b w:val="0"/>
          <w:color w:val="auto"/>
          <w:sz w:val="24"/>
          <w:highlight w:val="none"/>
        </w:rPr>
        <w:br w:type="page"/>
      </w:r>
      <w:bookmarkStart w:id="11" w:name="_Toc105014629"/>
      <w:r>
        <w:rPr>
          <w:rStyle w:val="84"/>
          <w:rFonts w:ascii="宋体" w:hAnsi="宋体"/>
          <w:bCs/>
          <w:color w:val="auto"/>
          <w:highlight w:val="none"/>
        </w:rPr>
        <w:t>第二章  开标、评标及定标办法</w:t>
      </w:r>
      <w:bookmarkEnd w:id="11"/>
    </w:p>
    <w:p>
      <w:pPr>
        <w:pStyle w:val="146"/>
        <w:spacing w:line="460" w:lineRule="exact"/>
        <w:outlineLvl w:val="1"/>
        <w:rPr>
          <w:rStyle w:val="84"/>
          <w:rFonts w:ascii="宋体" w:hAnsi="宋体"/>
          <w:b/>
          <w:color w:val="auto"/>
          <w:highlight w:val="none"/>
        </w:rPr>
      </w:pPr>
      <w:bookmarkStart w:id="12" w:name="_Toc105014630"/>
      <w:r>
        <w:rPr>
          <w:rStyle w:val="84"/>
          <w:rFonts w:ascii="宋体" w:hAnsi="宋体"/>
          <w:b/>
          <w:color w:val="auto"/>
          <w:highlight w:val="none"/>
        </w:rPr>
        <w:t>一、开标、评标及定标办法修改表</w:t>
      </w:r>
      <w:bookmarkEnd w:id="12"/>
    </w:p>
    <w:p>
      <w:pPr>
        <w:pStyle w:val="118"/>
        <w:spacing w:after="0" w:line="460" w:lineRule="exact"/>
        <w:rPr>
          <w:rStyle w:val="84"/>
          <w:rFonts w:ascii="宋体" w:hAnsi="宋体"/>
          <w:b/>
          <w:color w:val="auto"/>
          <w:sz w:val="21"/>
          <w:szCs w:val="21"/>
          <w:highlight w:val="none"/>
        </w:rPr>
      </w:pPr>
      <w:r>
        <w:rPr>
          <w:rStyle w:val="84"/>
          <w:rFonts w:ascii="宋体" w:hAnsi="宋体"/>
          <w:b/>
          <w:color w:val="auto"/>
          <w:sz w:val="21"/>
          <w:szCs w:val="21"/>
          <w:highlight w:val="none"/>
        </w:rPr>
        <w:t>声明：</w:t>
      </w:r>
      <w:r>
        <w:rPr>
          <w:rStyle w:val="84"/>
          <w:rFonts w:hint="eastAsia" w:ascii="宋体" w:hAnsi="宋体"/>
          <w:b/>
          <w:color w:val="auto"/>
          <w:sz w:val="21"/>
          <w:szCs w:val="21"/>
          <w:highlight w:val="none"/>
        </w:rPr>
        <w:t>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r>
        <w:rPr>
          <w:rStyle w:val="84"/>
          <w:rFonts w:ascii="宋体" w:hAnsi="宋体"/>
          <w:b/>
          <w:color w:val="auto"/>
          <w:sz w:val="21"/>
          <w:szCs w:val="21"/>
          <w:highlight w:val="none"/>
        </w:rPr>
        <w:t>。</w:t>
      </w:r>
    </w:p>
    <w:p>
      <w:pPr>
        <w:spacing w:line="460" w:lineRule="exact"/>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w:t>
      </w:r>
      <w:r>
        <w:rPr>
          <w:rStyle w:val="84"/>
          <w:rFonts w:ascii="宋体" w:hAnsi="宋体"/>
          <w:color w:val="auto"/>
          <w:szCs w:val="21"/>
          <w:highlight w:val="none"/>
        </w:rPr>
        <w:t>36.1</w:t>
      </w:r>
      <w:r>
        <w:rPr>
          <w:rStyle w:val="84"/>
          <w:rFonts w:ascii="宋体" w:hAnsi="宋体"/>
          <w:b/>
          <w:color w:val="auto"/>
          <w:szCs w:val="21"/>
          <w:highlight w:val="none"/>
        </w:rPr>
        <w:t xml:space="preserve">          修改类型：修改</w:t>
      </w:r>
    </w:p>
    <w:p>
      <w:pPr>
        <w:spacing w:line="460" w:lineRule="exact"/>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000000" w:sz="6" w:space="1"/>
        </w:pBdr>
        <w:spacing w:line="460" w:lineRule="exact"/>
        <w:ind w:firstLine="422" w:firstLineChars="200"/>
        <w:rPr>
          <w:rStyle w:val="84"/>
          <w:rFonts w:ascii="宋体" w:hAnsi="宋体"/>
          <w:color w:val="auto"/>
          <w:szCs w:val="21"/>
          <w:highlight w:val="none"/>
        </w:rPr>
      </w:pPr>
      <w:r>
        <w:rPr>
          <w:rStyle w:val="84"/>
          <w:rFonts w:ascii="宋体" w:hAnsi="宋体"/>
          <w:b/>
          <w:color w:val="auto"/>
          <w:szCs w:val="21"/>
          <w:highlight w:val="none"/>
        </w:rPr>
        <w:t>现文：</w:t>
      </w:r>
      <w:r>
        <w:rPr>
          <w:rStyle w:val="84"/>
          <w:rFonts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Style w:val="84"/>
          <w:rFonts w:ascii="宋体" w:hAnsi="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60" w:lineRule="exact"/>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w:t>
      </w:r>
      <w:r>
        <w:rPr>
          <w:rStyle w:val="84"/>
          <w:rFonts w:ascii="宋体" w:hAnsi="宋体"/>
          <w:color w:val="auto"/>
          <w:szCs w:val="21"/>
          <w:highlight w:val="none"/>
        </w:rPr>
        <w:t>36.3</w:t>
      </w:r>
      <w:r>
        <w:rPr>
          <w:rStyle w:val="84"/>
          <w:rFonts w:ascii="宋体" w:hAnsi="宋体"/>
          <w:b/>
          <w:color w:val="auto"/>
          <w:szCs w:val="21"/>
          <w:highlight w:val="none"/>
        </w:rPr>
        <w:t xml:space="preserve">          修改类型：删除</w:t>
      </w:r>
    </w:p>
    <w:p>
      <w:pPr>
        <w:pBdr>
          <w:bottom w:val="single" w:color="000000" w:sz="6" w:space="1"/>
        </w:pBdr>
        <w:spacing w:line="460" w:lineRule="exact"/>
        <w:ind w:firstLine="422" w:firstLineChars="200"/>
        <w:rPr>
          <w:rStyle w:val="84"/>
          <w:rFonts w:ascii="宋体" w:hAnsi="宋体"/>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60" w:lineRule="exact"/>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条款号：36.5.1          修改类型：修改</w:t>
      </w:r>
    </w:p>
    <w:p>
      <w:pPr>
        <w:spacing w:line="460" w:lineRule="exact"/>
        <w:ind w:firstLine="422" w:firstLineChars="200"/>
        <w:rPr>
          <w:rStyle w:val="84"/>
          <w:rFonts w:ascii="宋体" w:hAnsi="宋体"/>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000000" w:sz="6" w:space="1"/>
        </w:pBdr>
        <w:spacing w:line="460" w:lineRule="exact"/>
        <w:ind w:firstLine="422" w:firstLineChars="200"/>
        <w:rPr>
          <w:rStyle w:val="84"/>
          <w:rFonts w:ascii="宋体" w:hAnsi="宋体"/>
          <w:color w:val="auto"/>
          <w:szCs w:val="21"/>
          <w:highlight w:val="none"/>
        </w:rPr>
      </w:pPr>
      <w:r>
        <w:rPr>
          <w:rStyle w:val="84"/>
          <w:rFonts w:ascii="宋体" w:hAnsi="宋体"/>
          <w:b/>
          <w:color w:val="auto"/>
          <w:szCs w:val="21"/>
          <w:highlight w:val="none"/>
        </w:rPr>
        <w:t>现文：</w:t>
      </w:r>
      <w:r>
        <w:rPr>
          <w:rStyle w:val="84"/>
          <w:rFonts w:ascii="宋体" w:hAnsi="宋体"/>
          <w:color w:val="auto"/>
          <w:szCs w:val="21"/>
          <w:highlight w:val="none"/>
        </w:rPr>
        <w:t>36.5.1</w:t>
      </w:r>
      <w:r>
        <w:rPr>
          <w:rStyle w:val="84"/>
          <w:rFonts w:hint="eastAsia" w:ascii="宋体" w:hAnsi="宋体"/>
          <w:color w:val="auto"/>
          <w:szCs w:val="21"/>
          <w:highlight w:val="none"/>
        </w:rPr>
        <w:t>在投标截止时间后半小时内，投标人通过</w:t>
      </w:r>
      <w:r>
        <w:rPr>
          <w:rFonts w:hint="eastAsia" w:ascii="宋体" w:hAnsi="宋体" w:cs="宋体"/>
          <w:color w:val="auto"/>
          <w:szCs w:val="21"/>
          <w:highlight w:val="none"/>
          <w:u w:val="single"/>
        </w:rPr>
        <w:t>广州公共资源交易中心</w:t>
      </w:r>
      <w:r>
        <w:rPr>
          <w:rStyle w:val="84"/>
          <w:rFonts w:hint="eastAsia" w:ascii="宋体" w:hAnsi="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r>
        <w:rPr>
          <w:rStyle w:val="84"/>
          <w:rFonts w:ascii="宋体" w:hAnsi="宋体"/>
          <w:color w:val="auto"/>
          <w:szCs w:val="21"/>
          <w:highlight w:val="none"/>
        </w:rPr>
        <w:t>；</w:t>
      </w:r>
    </w:p>
    <w:p>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 xml:space="preserve">36.5.3           </w:t>
      </w:r>
      <w:r>
        <w:rPr>
          <w:rFonts w:hint="eastAsia" w:ascii="宋体" w:hAnsi="宋体"/>
          <w:b/>
          <w:color w:val="auto"/>
          <w:szCs w:val="21"/>
          <w:highlight w:val="none"/>
        </w:rPr>
        <w:t>修改类型：修改</w:t>
      </w:r>
    </w:p>
    <w:p>
      <w:pPr>
        <w:spacing w:line="460" w:lineRule="exact"/>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36.5.3投标人代表、招标人代表、监标人、记录人等有关人员在开标记录上签字确认；若有关人员不签字的，不影响开标程序；</w:t>
      </w:r>
    </w:p>
    <w:p>
      <w:pPr>
        <w:pBdr>
          <w:bottom w:val="single" w:color="auto" w:sz="6" w:space="1"/>
        </w:pBdr>
        <w:spacing w:line="460" w:lineRule="exact"/>
        <w:ind w:firstLine="422" w:firstLineChars="20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36.5.3投标人代表、招标人代表、监标人、记录人等有关人员在开标记录上签字确认；若有关人员不签字的，不影响开标程序；</w:t>
      </w:r>
      <w:r>
        <w:rPr>
          <w:rFonts w:hint="eastAsia" w:ascii="宋体" w:hAnsi="宋体"/>
          <w:color w:val="auto"/>
          <w:szCs w:val="21"/>
          <w:highlight w:val="none"/>
          <w:u w:val="single"/>
        </w:rPr>
        <w:t>若投标人不参加开标会的，或不签字确认的，视同该投标人认可开标结果。</w:t>
      </w:r>
    </w:p>
    <w:p>
      <w:pPr>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条款号：38.1         修改类型：修改</w:t>
      </w:r>
    </w:p>
    <w:p>
      <w:pPr>
        <w:spacing w:line="4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4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38.1为有助于投标文件的审查、评价和比较，评标期间，经评标委员会或评标委员会专业评审组中两人以上（含两人）的成员以书面形式提出动议，评标委员会或评标委员会专业评审组应当书面发出澄清通知，</w:t>
      </w:r>
      <w:r>
        <w:rPr>
          <w:rFonts w:hint="eastAsia" w:ascii="宋体" w:hAnsi="宋体" w:cs="宋体"/>
          <w:color w:val="auto"/>
          <w:szCs w:val="21"/>
          <w:highlight w:val="none"/>
          <w:u w:val="single"/>
        </w:rPr>
        <w:t>要求投标人对投标文件含义不明确、对同类问题表述不一致、有明显文字和计算错误的内容以及细微偏差的内容作出澄清。</w:t>
      </w:r>
    </w:p>
    <w:p>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条款号：</w:t>
      </w:r>
      <w:r>
        <w:rPr>
          <w:rFonts w:hint="eastAsia" w:ascii="宋体" w:hAnsi="宋体"/>
          <w:b/>
          <w:color w:val="auto"/>
          <w:szCs w:val="21"/>
          <w:highlight w:val="none"/>
        </w:rPr>
        <w:t xml:space="preserve">39.3         </w:t>
      </w:r>
      <w:r>
        <w:rPr>
          <w:rFonts w:hint="eastAsia" w:ascii="宋体" w:hAnsi="宋体"/>
          <w:b/>
          <w:bCs/>
          <w:color w:val="auto"/>
          <w:szCs w:val="21"/>
          <w:highlight w:val="none"/>
        </w:rPr>
        <w:t>修改类型：修改</w:t>
      </w:r>
    </w:p>
    <w:p>
      <w:pPr>
        <w:spacing w:line="460" w:lineRule="exact"/>
        <w:ind w:firstLine="422" w:firstLineChars="200"/>
        <w:rPr>
          <w:rFonts w:ascii="宋体" w:hAnsi="宋体"/>
          <w:color w:val="auto"/>
          <w:szCs w:val="21"/>
          <w:highlight w:val="none"/>
        </w:rPr>
      </w:pPr>
      <w:r>
        <w:rPr>
          <w:rFonts w:hint="eastAsia" w:ascii="宋体" w:hAnsi="宋体"/>
          <w:b/>
          <w:bCs/>
          <w:color w:val="auto"/>
          <w:szCs w:val="21"/>
          <w:highlight w:val="none"/>
        </w:rPr>
        <w:t>原文：</w:t>
      </w:r>
      <w:r>
        <w:rPr>
          <w:rFonts w:hint="eastAsia" w:ascii="宋体" w:hAnsi="宋体"/>
          <w:color w:val="auto"/>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000000" w:sz="6" w:space="1"/>
        </w:pBdr>
        <w:spacing w:line="460" w:lineRule="exact"/>
        <w:ind w:firstLine="422" w:firstLineChars="200"/>
        <w:rPr>
          <w:rStyle w:val="84"/>
          <w:rFonts w:ascii="宋体" w:hAnsi="宋体"/>
          <w:b/>
          <w:color w:val="auto"/>
          <w:szCs w:val="21"/>
          <w:highlight w:val="none"/>
        </w:rPr>
      </w:pPr>
      <w:r>
        <w:rPr>
          <w:rFonts w:hint="eastAsia" w:ascii="宋体" w:hAnsi="宋体"/>
          <w:b/>
          <w:bCs/>
          <w:color w:val="auto"/>
          <w:szCs w:val="21"/>
          <w:highlight w:val="none"/>
        </w:rPr>
        <w:t>现文：</w:t>
      </w:r>
      <w:r>
        <w:rPr>
          <w:rFonts w:hint="eastAsia" w:ascii="宋体" w:hAnsi="宋体"/>
          <w:color w:val="auto"/>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w:t>
      </w:r>
      <w:r>
        <w:rPr>
          <w:rFonts w:hint="eastAsia" w:ascii="宋体" w:hAnsi="宋体"/>
          <w:color w:val="auto"/>
          <w:szCs w:val="21"/>
          <w:highlight w:val="none"/>
          <w:u w:val="single"/>
        </w:rPr>
        <w:t>，或经核查发现委派的项目负责人已在其他在建项目中任职的，或者被查实存在影响中标结果的违法行为等情形，不符合中标条件的，</w:t>
      </w:r>
      <w:r>
        <w:rPr>
          <w:rFonts w:hint="eastAsia" w:ascii="宋体" w:hAnsi="宋体"/>
          <w:color w:val="auto"/>
          <w:szCs w:val="21"/>
          <w:highlight w:val="none"/>
        </w:rPr>
        <w:t>招标人可以确定排名第二的中标候选人为中标人。</w:t>
      </w:r>
    </w:p>
    <w:p>
      <w:pPr>
        <w:spacing w:line="460" w:lineRule="exact"/>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条款号：40.2          修改类型：修改</w:t>
      </w:r>
    </w:p>
    <w:p>
      <w:pPr>
        <w:spacing w:line="460" w:lineRule="exact"/>
        <w:ind w:firstLine="422" w:firstLineChars="200"/>
        <w:rPr>
          <w:rStyle w:val="84"/>
          <w:rFonts w:ascii="宋体" w:hAnsi="宋体"/>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40.2</w:t>
      </w:r>
      <w:r>
        <w:rPr>
          <w:rFonts w:hint="eastAsia" w:ascii="宋体" w:hAnsi="宋体" w:cs="宋体"/>
          <w:color w:val="auto"/>
          <w:szCs w:val="21"/>
          <w:highlight w:val="none"/>
        </w:rPr>
        <w:t>由评标委员会对所有已公开开标的投标人进行资格审查</w:t>
      </w:r>
      <w:r>
        <w:rPr>
          <w:rStyle w:val="84"/>
          <w:rFonts w:ascii="宋体" w:hAnsi="宋体"/>
          <w:color w:val="auto"/>
          <w:szCs w:val="21"/>
          <w:highlight w:val="none"/>
        </w:rPr>
        <w:t>；</w:t>
      </w:r>
    </w:p>
    <w:p>
      <w:pPr>
        <w:pBdr>
          <w:bottom w:val="single" w:color="000000" w:sz="6" w:space="1"/>
        </w:pBdr>
        <w:spacing w:line="460" w:lineRule="exact"/>
        <w:ind w:firstLine="422" w:firstLineChars="200"/>
        <w:rPr>
          <w:rStyle w:val="84"/>
          <w:rFonts w:ascii="宋体" w:hAnsi="宋体"/>
          <w:color w:val="auto"/>
          <w:szCs w:val="21"/>
          <w:highlight w:val="none"/>
          <w:u w:val="single"/>
        </w:rPr>
      </w:pPr>
      <w:r>
        <w:rPr>
          <w:rStyle w:val="84"/>
          <w:rFonts w:ascii="宋体" w:hAnsi="宋体"/>
          <w:b/>
          <w:color w:val="auto"/>
          <w:szCs w:val="21"/>
          <w:highlight w:val="none"/>
        </w:rPr>
        <w:t>现文：</w:t>
      </w:r>
      <w:r>
        <w:rPr>
          <w:rStyle w:val="84"/>
          <w:rFonts w:hint="eastAsia" w:ascii="宋体" w:hAnsi="宋体"/>
          <w:color w:val="auto"/>
          <w:szCs w:val="21"/>
          <w:highlight w:val="none"/>
        </w:rPr>
        <w:t>4</w:t>
      </w:r>
      <w:r>
        <w:rPr>
          <w:rStyle w:val="84"/>
          <w:rFonts w:ascii="宋体" w:hAnsi="宋体"/>
          <w:color w:val="auto"/>
          <w:szCs w:val="21"/>
          <w:highlight w:val="none"/>
        </w:rPr>
        <w:t>0.2</w:t>
      </w:r>
      <w:r>
        <w:rPr>
          <w:rStyle w:val="84"/>
          <w:rFonts w:hint="eastAsia" w:ascii="宋体" w:hAnsi="宋体"/>
          <w:color w:val="auto"/>
          <w:szCs w:val="21"/>
          <w:highlight w:val="none"/>
        </w:rPr>
        <w:t>由评标委员会对所有已公开开标的投标人进行资格审查，</w:t>
      </w:r>
      <w:r>
        <w:rPr>
          <w:rStyle w:val="84"/>
          <w:rFonts w:hint="eastAsia" w:ascii="宋体" w:hAnsi="宋体"/>
          <w:color w:val="auto"/>
          <w:szCs w:val="21"/>
          <w:highlight w:val="none"/>
          <w:u w:val="single"/>
        </w:rPr>
        <w:t>并编写资格审查报告</w:t>
      </w:r>
      <w:r>
        <w:rPr>
          <w:rStyle w:val="84"/>
          <w:rFonts w:ascii="宋体" w:hAnsi="宋体"/>
          <w:color w:val="auto"/>
          <w:szCs w:val="21"/>
          <w:highlight w:val="none"/>
          <w:u w:val="single"/>
        </w:rPr>
        <w:t>；</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 评标办法        修改类型：删除</w:t>
      </w:r>
    </w:p>
    <w:p>
      <w:pPr>
        <w:pBdr>
          <w:bottom w:val="single" w:color="auto" w:sz="6" w:space="1"/>
        </w:pBdr>
        <w:spacing w:line="360" w:lineRule="auto"/>
        <w:ind w:firstLine="422" w:firstLineChars="200"/>
        <w:rPr>
          <w:color w:val="auto"/>
          <w:szCs w:val="24"/>
          <w:highlight w:val="none"/>
        </w:rPr>
      </w:pPr>
      <w:r>
        <w:rPr>
          <w:rFonts w:hint="eastAsia" w:cs="宋体"/>
          <w:b/>
          <w:color w:val="auto"/>
          <w:szCs w:val="24"/>
          <w:highlight w:val="none"/>
        </w:rPr>
        <w:t>原文：</w:t>
      </w:r>
      <w:r>
        <w:rPr>
          <w:rFonts w:hint="eastAsia"/>
          <w:color w:val="auto"/>
          <w:highlight w:val="none"/>
        </w:rPr>
        <w:t>可选</w:t>
      </w:r>
      <w:r>
        <w:rPr>
          <w:rFonts w:hint="eastAsia" w:cs="宋体"/>
          <w:color w:val="auto"/>
          <w:szCs w:val="24"/>
          <w:highlight w:val="none"/>
        </w:rPr>
        <w:t>办法</w:t>
      </w:r>
      <w:r>
        <w:rPr>
          <w:rFonts w:hint="eastAsia"/>
          <w:color w:val="auto"/>
          <w:highlight w:val="none"/>
        </w:rPr>
        <w:t>一（适合综合评分法一，技术标与经济标先后分别开启）</w:t>
      </w:r>
    </w:p>
    <w:p>
      <w:pPr>
        <w:pBdr>
          <w:bottom w:val="single" w:color="auto" w:sz="6" w:space="1"/>
        </w:pBdr>
        <w:spacing w:line="360" w:lineRule="auto"/>
        <w:ind w:firstLine="1155" w:firstLineChars="550"/>
        <w:rPr>
          <w:color w:val="auto"/>
          <w:highlight w:val="none"/>
        </w:rPr>
      </w:pPr>
      <w:r>
        <w:rPr>
          <w:rFonts w:hint="eastAsia"/>
          <w:color w:val="auto"/>
          <w:highlight w:val="none"/>
        </w:rPr>
        <w:t>可选</w:t>
      </w:r>
      <w:r>
        <w:rPr>
          <w:rFonts w:hint="eastAsia" w:cs="宋体"/>
          <w:color w:val="auto"/>
          <w:szCs w:val="24"/>
          <w:highlight w:val="none"/>
        </w:rPr>
        <w:t>办法</w:t>
      </w:r>
      <w:r>
        <w:rPr>
          <w:rFonts w:hint="eastAsia"/>
          <w:color w:val="auto"/>
          <w:highlight w:val="none"/>
        </w:rPr>
        <w:t>二（适合综合评分法一，技术标与经济标同时开启）</w:t>
      </w:r>
    </w:p>
    <w:p>
      <w:pPr>
        <w:pBdr>
          <w:bottom w:val="single" w:color="auto" w:sz="6" w:space="1"/>
        </w:pBdr>
        <w:spacing w:line="360" w:lineRule="auto"/>
        <w:ind w:firstLine="1155" w:firstLineChars="550"/>
        <w:rPr>
          <w:color w:val="auto"/>
          <w:highlight w:val="none"/>
        </w:rPr>
      </w:pPr>
      <w:r>
        <w:rPr>
          <w:rFonts w:hint="eastAsia"/>
          <w:color w:val="auto"/>
          <w:highlight w:val="none"/>
        </w:rPr>
        <w:t>可选办法三（适合综合评分法二，技术标与经济标先后分别开启）</w:t>
      </w:r>
    </w:p>
    <w:p>
      <w:pPr>
        <w:pBdr>
          <w:bottom w:val="single" w:color="auto" w:sz="6" w:space="1"/>
        </w:pBdr>
        <w:spacing w:line="360" w:lineRule="auto"/>
        <w:ind w:firstLine="1155" w:firstLineChars="550"/>
        <w:rPr>
          <w:color w:val="auto"/>
          <w:highlight w:val="none"/>
        </w:rPr>
      </w:pPr>
      <w:r>
        <w:rPr>
          <w:rFonts w:hint="eastAsia"/>
          <w:color w:val="auto"/>
          <w:highlight w:val="none"/>
        </w:rPr>
        <w:t>可选办法四（适合综合评分法二，技术标与经济标同时开启）</w:t>
      </w:r>
    </w:p>
    <w:p>
      <w:pPr>
        <w:pBdr>
          <w:bottom w:val="single" w:color="auto" w:sz="6" w:space="1"/>
        </w:pBdr>
        <w:spacing w:line="360" w:lineRule="auto"/>
        <w:ind w:firstLine="1155" w:firstLineChars="550"/>
        <w:rPr>
          <w:color w:val="auto"/>
          <w:highlight w:val="none"/>
        </w:rPr>
      </w:pPr>
      <w:r>
        <w:rPr>
          <w:rFonts w:hint="eastAsia"/>
          <w:color w:val="auto"/>
          <w:highlight w:val="none"/>
        </w:rPr>
        <w:t>可选办法五（适合综合评分法三，技术标与经济标先后分别开启）</w:t>
      </w:r>
    </w:p>
    <w:p>
      <w:pPr>
        <w:pBdr>
          <w:bottom w:val="single" w:color="auto" w:sz="6" w:space="1"/>
        </w:pBdr>
        <w:spacing w:line="360" w:lineRule="auto"/>
        <w:ind w:firstLine="1155" w:firstLineChars="550"/>
        <w:rPr>
          <w:color w:val="auto"/>
          <w:highlight w:val="none"/>
        </w:rPr>
      </w:pPr>
      <w:r>
        <w:rPr>
          <w:rFonts w:hint="eastAsia"/>
          <w:color w:val="auto"/>
          <w:highlight w:val="none"/>
        </w:rPr>
        <w:t>可选办法六（适合综合评分法三，技术标与经济标同时开启）</w:t>
      </w:r>
    </w:p>
    <w:p>
      <w:pPr>
        <w:pBdr>
          <w:bottom w:val="single" w:color="auto" w:sz="6" w:space="1"/>
        </w:pBdr>
        <w:spacing w:line="360" w:lineRule="auto"/>
        <w:ind w:firstLine="1155" w:firstLineChars="550"/>
        <w:rPr>
          <w:rFonts w:cs="宋体"/>
          <w:color w:val="auto"/>
          <w:szCs w:val="24"/>
          <w:highlight w:val="none"/>
        </w:rPr>
      </w:pPr>
      <w:r>
        <w:rPr>
          <w:rFonts w:hint="eastAsia"/>
          <w:color w:val="auto"/>
          <w:highlight w:val="none"/>
        </w:rPr>
        <w:t>可选办法八（适合经评审的最低投标价法，技术标与经济标同时开启）</w:t>
      </w:r>
    </w:p>
    <w:p>
      <w:pPr>
        <w:spacing w:line="460" w:lineRule="exact"/>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条款号：41.1          修改类型：修改</w:t>
      </w:r>
    </w:p>
    <w:p>
      <w:pPr>
        <w:spacing w:line="460" w:lineRule="exact"/>
        <w:ind w:firstLine="422" w:firstLineChars="200"/>
        <w:rPr>
          <w:rStyle w:val="84"/>
          <w:rFonts w:ascii="宋体" w:hAnsi="宋体"/>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41.1开标由招标人主持；</w:t>
      </w:r>
    </w:p>
    <w:p>
      <w:pPr>
        <w:pBdr>
          <w:bottom w:val="single" w:color="000000" w:sz="6" w:space="1"/>
        </w:pBdr>
        <w:spacing w:line="460" w:lineRule="exact"/>
        <w:ind w:firstLine="422" w:firstLineChars="200"/>
        <w:rPr>
          <w:rStyle w:val="84"/>
          <w:rFonts w:ascii="宋体" w:hAnsi="宋体"/>
          <w:color w:val="auto"/>
          <w:szCs w:val="21"/>
          <w:highlight w:val="none"/>
          <w:u w:val="single"/>
        </w:rPr>
      </w:pPr>
      <w:r>
        <w:rPr>
          <w:rStyle w:val="84"/>
          <w:rFonts w:ascii="宋体" w:hAnsi="宋体"/>
          <w:b/>
          <w:color w:val="auto"/>
          <w:szCs w:val="21"/>
          <w:highlight w:val="none"/>
        </w:rPr>
        <w:t>现文：</w:t>
      </w:r>
      <w:r>
        <w:rPr>
          <w:rStyle w:val="84"/>
          <w:rFonts w:ascii="宋体" w:hAnsi="宋体"/>
          <w:color w:val="auto"/>
          <w:szCs w:val="21"/>
          <w:highlight w:val="none"/>
        </w:rPr>
        <w:t>41.1</w:t>
      </w:r>
      <w:r>
        <w:rPr>
          <w:rStyle w:val="84"/>
          <w:rFonts w:ascii="宋体" w:hAnsi="宋体"/>
          <w:color w:val="auto"/>
          <w:szCs w:val="21"/>
          <w:highlight w:val="none"/>
          <w:u w:val="single"/>
        </w:rPr>
        <w:t>开标由招标人或招标代理主持；</w:t>
      </w:r>
    </w:p>
    <w:p>
      <w:pPr>
        <w:spacing w:line="460" w:lineRule="exact"/>
        <w:ind w:firstLine="422" w:firstLineChars="200"/>
        <w:rPr>
          <w:rStyle w:val="84"/>
          <w:rFonts w:ascii="宋体" w:hAnsi="宋体"/>
          <w:b/>
          <w:color w:val="auto"/>
          <w:szCs w:val="21"/>
          <w:highlight w:val="none"/>
        </w:rPr>
      </w:pPr>
      <w:r>
        <w:rPr>
          <w:rStyle w:val="84"/>
          <w:rFonts w:ascii="宋体" w:hAnsi="宋体"/>
          <w:b/>
          <w:color w:val="auto"/>
          <w:szCs w:val="21"/>
          <w:highlight w:val="none"/>
        </w:rPr>
        <w:t>条款号：41.2.1          修改类型：修改</w:t>
      </w:r>
    </w:p>
    <w:p>
      <w:pPr>
        <w:spacing w:line="460" w:lineRule="exact"/>
        <w:ind w:firstLine="422" w:firstLineChars="200"/>
        <w:rPr>
          <w:rStyle w:val="84"/>
          <w:rFonts w:ascii="宋体" w:hAnsi="宋体"/>
          <w:b/>
          <w:color w:val="auto"/>
          <w:szCs w:val="21"/>
          <w:highlight w:val="none"/>
        </w:rPr>
      </w:pPr>
      <w:r>
        <w:rPr>
          <w:rStyle w:val="84"/>
          <w:rFonts w:ascii="宋体" w:hAnsi="宋体"/>
          <w:b/>
          <w:color w:val="auto"/>
          <w:szCs w:val="21"/>
          <w:highlight w:val="none"/>
        </w:rPr>
        <w:t>原文：</w:t>
      </w:r>
      <w:r>
        <w:rPr>
          <w:rStyle w:val="84"/>
          <w:rFonts w:ascii="宋体" w:hAnsi="宋体"/>
          <w:color w:val="auto"/>
          <w:szCs w:val="21"/>
          <w:highlight w:val="none"/>
        </w:rPr>
        <w:t>41.2.1投标截止期前，各投标人递交投标文件（包括技术标投标文件、经济标投标文件）至交易平台。有关投标文件提交的事项详见第一章投标须知。</w:t>
      </w:r>
    </w:p>
    <w:p>
      <w:pPr>
        <w:pBdr>
          <w:bottom w:val="single" w:color="000000" w:sz="6" w:space="1"/>
        </w:pBdr>
        <w:spacing w:line="460" w:lineRule="exact"/>
        <w:ind w:firstLine="422" w:firstLineChars="200"/>
        <w:rPr>
          <w:rStyle w:val="84"/>
          <w:rFonts w:ascii="宋体" w:hAnsi="宋体"/>
          <w:color w:val="auto"/>
          <w:szCs w:val="21"/>
          <w:highlight w:val="none"/>
        </w:rPr>
      </w:pPr>
      <w:r>
        <w:rPr>
          <w:rStyle w:val="84"/>
          <w:rFonts w:ascii="宋体" w:hAnsi="宋体"/>
          <w:b/>
          <w:color w:val="auto"/>
          <w:szCs w:val="21"/>
          <w:highlight w:val="none"/>
        </w:rPr>
        <w:t>现文：</w:t>
      </w:r>
      <w:r>
        <w:rPr>
          <w:rStyle w:val="84"/>
          <w:rFonts w:ascii="宋体" w:hAnsi="宋体"/>
          <w:color w:val="auto"/>
          <w:szCs w:val="21"/>
          <w:highlight w:val="none"/>
        </w:rPr>
        <w:t>41.2.1投标截止期前，各投标人递交投标文件（包括技术标投标文件</w:t>
      </w:r>
      <w:r>
        <w:rPr>
          <w:rStyle w:val="84"/>
          <w:rFonts w:hint="eastAsia" w:ascii="宋体" w:hAnsi="宋体"/>
          <w:color w:val="auto"/>
          <w:szCs w:val="21"/>
          <w:highlight w:val="none"/>
          <w:u w:val="single"/>
        </w:rPr>
        <w:t>（含资格审查文件）</w:t>
      </w:r>
      <w:r>
        <w:rPr>
          <w:rStyle w:val="84"/>
          <w:rFonts w:ascii="宋体" w:hAnsi="宋体"/>
          <w:color w:val="auto"/>
          <w:szCs w:val="21"/>
          <w:highlight w:val="none"/>
          <w:u w:val="single"/>
        </w:rPr>
        <w:t>、</w:t>
      </w:r>
      <w:r>
        <w:rPr>
          <w:rStyle w:val="84"/>
          <w:rFonts w:ascii="宋体" w:hAnsi="宋体"/>
          <w:color w:val="auto"/>
          <w:szCs w:val="21"/>
          <w:highlight w:val="none"/>
        </w:rPr>
        <w:t>经济标投标文件）至</w:t>
      </w:r>
      <w:r>
        <w:rPr>
          <w:rStyle w:val="84"/>
          <w:rFonts w:ascii="宋体" w:hAnsi="宋体"/>
          <w:color w:val="auto"/>
          <w:szCs w:val="21"/>
          <w:highlight w:val="none"/>
          <w:u w:val="single"/>
        </w:rPr>
        <w:t>广州公共资源交易中心</w:t>
      </w:r>
      <w:r>
        <w:rPr>
          <w:rStyle w:val="84"/>
          <w:rFonts w:ascii="宋体" w:hAnsi="宋体"/>
          <w:color w:val="auto"/>
          <w:szCs w:val="21"/>
          <w:highlight w:val="none"/>
        </w:rPr>
        <w:t>交易平台。有关投标文件提交的事项详见第一章投标须知。</w:t>
      </w:r>
    </w:p>
    <w:p>
      <w:pPr>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条款号：41.2.2           修改类型：删除</w:t>
      </w:r>
    </w:p>
    <w:p>
      <w:pPr>
        <w:pBdr>
          <w:bottom w:val="single" w:color="000000" w:sz="6" w:space="1"/>
        </w:pBdr>
        <w:spacing w:line="460" w:lineRule="exact"/>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条款号：41.2.3           修改类型：修改</w:t>
      </w:r>
    </w:p>
    <w:p>
      <w:pPr>
        <w:spacing w:line="460" w:lineRule="exact"/>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41.2.3开标时，投标人代表有权出席开标会，也可以自主决定不参加开标会，若投标人代表对开标过程提出异议，该投标人代表须同时出示本人身份证原件。</w:t>
      </w:r>
    </w:p>
    <w:p>
      <w:pPr>
        <w:pBdr>
          <w:bottom w:val="single" w:color="000000" w:sz="6" w:space="1"/>
        </w:pBdr>
        <w:spacing w:line="460" w:lineRule="exact"/>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41.2.3开标时，投标人代表有权参加现场开标或</w:t>
      </w:r>
      <w:r>
        <w:rPr>
          <w:rFonts w:hint="eastAsia" w:ascii="宋体" w:hAnsi="宋体" w:cs="宋体"/>
          <w:bCs/>
          <w:color w:val="auto"/>
          <w:szCs w:val="21"/>
          <w:highlight w:val="none"/>
          <w:u w:val="single"/>
        </w:rPr>
        <w:t>在线开标</w:t>
      </w:r>
      <w:r>
        <w:rPr>
          <w:rFonts w:hint="eastAsia" w:ascii="宋体" w:hAnsi="宋体" w:cs="宋体"/>
          <w:bCs/>
          <w:color w:val="auto"/>
          <w:szCs w:val="21"/>
          <w:highlight w:val="none"/>
        </w:rPr>
        <w:t>，也可以自主决定不参加开标，若投标人代表对开标过程有异议的，</w:t>
      </w:r>
      <w:r>
        <w:rPr>
          <w:rFonts w:hint="eastAsia" w:ascii="宋体" w:hAnsi="宋体" w:cs="宋体"/>
          <w:bCs/>
          <w:color w:val="auto"/>
          <w:szCs w:val="21"/>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42.</w:t>
      </w:r>
      <w:r>
        <w:rPr>
          <w:rFonts w:hint="eastAsia" w:ascii="宋体" w:hAnsi="宋体" w:cs="宋体"/>
          <w:b/>
          <w:color w:val="auto"/>
          <w:szCs w:val="21"/>
          <w:highlight w:val="none"/>
        </w:rPr>
        <w:t>2             修改类型：修改</w:t>
      </w:r>
    </w:p>
    <w:p>
      <w:pPr>
        <w:spacing w:line="460" w:lineRule="exact"/>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p>
    <w:p>
      <w:pPr>
        <w:spacing w:line="4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4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000000" w:sz="6" w:space="1"/>
        </w:pBdr>
        <w:spacing w:line="46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ascii="宋体" w:hAnsi="宋体" w:cs="宋体"/>
          <w:color w:val="auto"/>
          <w:szCs w:val="21"/>
          <w:highlight w:val="none"/>
        </w:rPr>
        <w:t>42.2</w:t>
      </w:r>
      <w:r>
        <w:rPr>
          <w:rFonts w:hint="eastAsia" w:ascii="宋体" w:hAnsi="宋体" w:cs="宋体"/>
          <w:color w:val="auto"/>
          <w:szCs w:val="21"/>
          <w:highlight w:val="none"/>
        </w:rPr>
        <w:t>评标委员会的组成：</w:t>
      </w:r>
      <w:r>
        <w:rPr>
          <w:rFonts w:hint="eastAsia" w:ascii="宋体" w:hAnsi="宋体" w:cs="宋体"/>
          <w:color w:val="auto"/>
          <w:szCs w:val="21"/>
          <w:highlight w:val="none"/>
          <w:u w:val="single"/>
        </w:rPr>
        <w:t>方式一</w:t>
      </w:r>
    </w:p>
    <w:p>
      <w:pPr>
        <w:pBdr>
          <w:bottom w:val="single" w:color="000000" w:sz="6" w:space="1"/>
        </w:pBdr>
        <w:spacing w:line="4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方式一：评标委员会为综合评标委员会，负责资格审查及评标工作。</w:t>
      </w:r>
    </w:p>
    <w:p>
      <w:pPr>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w:t>
      </w:r>
      <w:r>
        <w:rPr>
          <w:rFonts w:hint="eastAsia" w:ascii="宋体" w:hAnsi="宋体" w:cs="宋体"/>
          <w:b/>
          <w:color w:val="auto"/>
          <w:szCs w:val="21"/>
          <w:highlight w:val="none"/>
        </w:rPr>
        <w:t>3</w:t>
      </w:r>
      <w:r>
        <w:rPr>
          <w:rFonts w:ascii="宋体" w:hAnsi="宋体" w:cs="宋体"/>
          <w:b/>
          <w:color w:val="auto"/>
          <w:szCs w:val="21"/>
          <w:highlight w:val="none"/>
        </w:rPr>
        <w:t>.</w:t>
      </w:r>
      <w:r>
        <w:rPr>
          <w:rFonts w:hint="eastAsia" w:ascii="宋体" w:hAnsi="宋体" w:cs="宋体"/>
          <w:b/>
          <w:color w:val="auto"/>
          <w:szCs w:val="21"/>
          <w:highlight w:val="none"/>
        </w:rPr>
        <w:t>1              修改类型：修改</w:t>
      </w:r>
    </w:p>
    <w:p>
      <w:pPr>
        <w:pBdr>
          <w:bottom w:val="single" w:color="000000" w:sz="6" w:space="1"/>
        </w:pBdr>
        <w:spacing w:line="4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43.1</w:t>
      </w:r>
      <w:r>
        <w:rPr>
          <w:rFonts w:hint="eastAsia" w:ascii="宋体" w:hAnsi="宋体" w:cs="宋体"/>
          <w:bCs/>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000000" w:sz="6" w:space="1"/>
        </w:pBdr>
        <w:spacing w:line="460" w:lineRule="exact"/>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43.1</w:t>
      </w:r>
      <w:r>
        <w:rPr>
          <w:rFonts w:hint="eastAsia" w:ascii="宋体" w:hAnsi="宋体" w:cs="宋体"/>
          <w:bCs/>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Cs/>
          <w:color w:val="auto"/>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条款号：44.1              修改类型：修改</w:t>
      </w:r>
    </w:p>
    <w:p>
      <w:pPr>
        <w:pBdr>
          <w:bottom w:val="single" w:color="000000" w:sz="6" w:space="1"/>
        </w:pBdr>
        <w:spacing w:line="4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44.1</w:t>
      </w:r>
      <w:r>
        <w:rPr>
          <w:rFonts w:hint="eastAsia" w:ascii="宋体" w:hAnsi="宋体" w:cs="宋体"/>
          <w:bCs/>
          <w:color w:val="auto"/>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w:t>
      </w:r>
      <w:r>
        <w:rPr>
          <w:rFonts w:ascii="宋体" w:hAnsi="宋体" w:cs="宋体"/>
          <w:bCs/>
          <w:color w:val="auto"/>
          <w:kern w:val="0"/>
          <w:szCs w:val="21"/>
          <w:highlight w:val="none"/>
        </w:rPr>
        <w:t>3名（当N个标段同时招标且不允许兼中时，若通过技术标有效性审查投标人不足N+2名），则本项目招标失败。</w:t>
      </w:r>
    </w:p>
    <w:p>
      <w:pPr>
        <w:pBdr>
          <w:bottom w:val="single" w:color="000000" w:sz="6" w:space="1"/>
        </w:pBdr>
        <w:spacing w:line="460" w:lineRule="exact"/>
        <w:ind w:firstLine="422" w:firstLineChars="200"/>
        <w:rPr>
          <w:rFonts w:ascii="仿宋" w:hAnsi="仿宋" w:eastAsia="仿宋" w:cs="宋体"/>
          <w:b/>
          <w:bCs/>
          <w:color w:val="auto"/>
          <w:kern w:val="0"/>
          <w:sz w:val="22"/>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cs="宋体"/>
          <w:color w:val="auto"/>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w:t>
      </w:r>
      <w:r>
        <w:rPr>
          <w:rFonts w:hint="eastAsia" w:ascii="宋体" w:hAnsi="宋体" w:cs="宋体"/>
          <w:b/>
          <w:color w:val="auto"/>
          <w:szCs w:val="21"/>
          <w:highlight w:val="none"/>
        </w:rPr>
        <w:t>5</w:t>
      </w:r>
      <w:r>
        <w:rPr>
          <w:rFonts w:ascii="宋体" w:hAnsi="宋体" w:cs="宋体"/>
          <w:b/>
          <w:color w:val="auto"/>
          <w:szCs w:val="21"/>
          <w:highlight w:val="none"/>
        </w:rPr>
        <w:t>.</w:t>
      </w:r>
      <w:r>
        <w:rPr>
          <w:rFonts w:hint="eastAsia" w:ascii="宋体" w:hAnsi="宋体" w:cs="宋体"/>
          <w:b/>
          <w:color w:val="auto"/>
          <w:szCs w:val="21"/>
          <w:highlight w:val="none"/>
        </w:rPr>
        <w:t>1               修改类型：修改</w:t>
      </w:r>
    </w:p>
    <w:p>
      <w:pPr>
        <w:pStyle w:val="22"/>
        <w:tabs>
          <w:tab w:val="left" w:pos="7380"/>
        </w:tabs>
        <w:spacing w:after="0" w:line="400" w:lineRule="exact"/>
        <w:ind w:firstLine="422" w:firstLineChars="200"/>
        <w:rPr>
          <w:rFonts w:ascii="宋体" w:hAnsi="宋体" w:cs="宋体"/>
          <w:color w:val="auto"/>
          <w:kern w:val="2"/>
          <w:sz w:val="21"/>
          <w:szCs w:val="21"/>
          <w:highlight w:val="none"/>
        </w:rPr>
      </w:pPr>
      <w:r>
        <w:rPr>
          <w:rFonts w:hint="eastAsia" w:ascii="宋体" w:hAnsi="宋体" w:cs="宋体"/>
          <w:b/>
          <w:color w:val="auto"/>
          <w:sz w:val="21"/>
          <w:szCs w:val="21"/>
          <w:highlight w:val="none"/>
        </w:rPr>
        <w:t>原文：</w:t>
      </w:r>
      <w:r>
        <w:rPr>
          <w:rFonts w:hint="eastAsia" w:ascii="宋体" w:hAnsi="宋体"/>
          <w:color w:val="auto"/>
          <w:kern w:val="2"/>
          <w:sz w:val="21"/>
          <w:szCs w:val="21"/>
          <w:highlight w:val="none"/>
        </w:rPr>
        <w:t>45.1</w:t>
      </w:r>
      <w:r>
        <w:rPr>
          <w:rFonts w:hint="eastAsia" w:ascii="宋体" w:hAnsi="宋体" w:cs="宋体"/>
          <w:color w:val="auto"/>
          <w:kern w:val="2"/>
          <w:sz w:val="21"/>
          <w:szCs w:val="21"/>
          <w:highlight w:val="none"/>
        </w:rPr>
        <w:t>若通过技术标有效性审查的投标人中所有投标报价均大于等于最高投标限价*D%（D的取值范围为[94,100],由招标人自主确定）的（具体金额为：元），则本项目招标失败，由招标人依法重新招标。</w:t>
      </w:r>
    </w:p>
    <w:p>
      <w:pPr>
        <w:pBdr>
          <w:bottom w:val="single" w:color="000000" w:sz="6" w:space="1"/>
        </w:pBdr>
        <w:spacing w:line="460" w:lineRule="exact"/>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45.1若通过技术标有效性审查的投标人中所有投标报价均大于等于最高投标限价</w:t>
      </w:r>
      <w:r>
        <w:rPr>
          <w:rFonts w:ascii="宋体" w:hAnsi="宋体" w:cs="宋体"/>
          <w:color w:val="auto"/>
          <w:szCs w:val="21"/>
          <w:highlight w:val="none"/>
        </w:rPr>
        <w:t>*</w:t>
      </w:r>
      <w:r>
        <w:rPr>
          <w:rFonts w:ascii="宋体" w:hAnsi="宋体" w:cs="宋体"/>
          <w:color w:val="auto"/>
          <w:szCs w:val="21"/>
          <w:highlight w:val="none"/>
          <w:u w:val="single"/>
        </w:rPr>
        <w:t>97</w:t>
      </w:r>
      <w:r>
        <w:rPr>
          <w:rFonts w:ascii="宋体" w:hAnsi="宋体" w:cs="宋体"/>
          <w:color w:val="auto"/>
          <w:szCs w:val="21"/>
          <w:highlight w:val="none"/>
        </w:rPr>
        <w:t>%的（具体金额为：</w:t>
      </w:r>
      <w:r>
        <w:rPr>
          <w:rFonts w:ascii="宋体" w:hAnsi="宋体" w:cs="宋体"/>
          <w:color w:val="auto"/>
          <w:szCs w:val="21"/>
          <w:highlight w:val="none"/>
          <w:u w:val="single"/>
        </w:rPr>
        <w:t>4575634.66</w:t>
      </w:r>
      <w:r>
        <w:rPr>
          <w:rFonts w:hint="eastAsia" w:ascii="宋体" w:hAnsi="宋体" w:cs="宋体"/>
          <w:color w:val="auto"/>
          <w:szCs w:val="21"/>
          <w:highlight w:val="none"/>
        </w:rPr>
        <w:t>元</w:t>
      </w:r>
      <w:r>
        <w:rPr>
          <w:rFonts w:hint="eastAsia" w:ascii="宋体" w:hAnsi="宋体" w:cs="宋体"/>
          <w:color w:val="auto"/>
          <w:szCs w:val="21"/>
          <w:highlight w:val="none"/>
        </w:rPr>
        <w:t>），则本项目招标失败，由招标人依法重新招标。</w:t>
      </w:r>
    </w:p>
    <w:p>
      <w:pPr>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条款号：45.2       修改类型：修改</w:t>
      </w:r>
    </w:p>
    <w:p>
      <w:pPr>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45.2按方法计算评标参考价：</w:t>
      </w:r>
    </w:p>
    <w:p>
      <w:pPr>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方法一：加权平均法</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技术标或技术标加诚信得分（具体由招标人自定）前</w:t>
      </w:r>
      <w:r>
        <w:rPr>
          <w:rFonts w:ascii="宋体" w:hAnsi="宋体" w:cs="仿宋"/>
          <w:color w:val="auto"/>
          <w:szCs w:val="21"/>
          <w:highlight w:val="none"/>
        </w:rPr>
        <w:t>N</w:t>
      </w:r>
      <w:r>
        <w:rPr>
          <w:rFonts w:hint="eastAsia" w:ascii="宋体" w:hAnsi="宋体" w:cs="仿宋"/>
          <w:color w:val="auto"/>
          <w:szCs w:val="21"/>
          <w:highlight w:val="none"/>
        </w:rPr>
        <w:t>名（N≥5，具体由招标人自定）的经济报价加权平均，计算评标参考价。公式如下：</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评标参考价</w:t>
      </w:r>
      <w:r>
        <w:rPr>
          <w:rFonts w:ascii="宋体" w:hAnsi="宋体" w:cs="仿宋"/>
          <w:color w:val="auto"/>
          <w:szCs w:val="21"/>
          <w:highlight w:val="none"/>
        </w:rPr>
        <w:t>=</w:t>
      </w:r>
      <w:r>
        <w:rPr>
          <w:rFonts w:hint="eastAsia" w:ascii="宋体" w:hAnsi="宋体" w:cs="仿宋"/>
          <w:color w:val="auto"/>
          <w:szCs w:val="21"/>
          <w:highlight w:val="none"/>
        </w:rPr>
        <w:t>Σ（投标人的投标报价</w:t>
      </w:r>
      <w:r>
        <w:rPr>
          <w:rFonts w:ascii="宋体" w:hAnsi="宋体" w:cs="仿宋"/>
          <w:color w:val="auto"/>
          <w:szCs w:val="21"/>
          <w:highlight w:val="none"/>
        </w:rPr>
        <w:t>*</w:t>
      </w:r>
      <w:r>
        <w:rPr>
          <w:rFonts w:hint="eastAsia" w:ascii="宋体" w:hAnsi="宋体" w:cs="仿宋"/>
          <w:color w:val="auto"/>
          <w:szCs w:val="21"/>
          <w:highlight w:val="none"/>
        </w:rPr>
        <w:t>报价权重）。</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1000" cy="447675"/>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1000" cy="44767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方法二：区间抽取法</w:t>
      </w:r>
    </w:p>
    <w:p>
      <w:pPr>
        <w:snapToGrid w:val="0"/>
        <w:spacing w:line="360" w:lineRule="auto"/>
        <w:ind w:firstLine="420" w:firstLineChars="200"/>
        <w:rPr>
          <w:rFonts w:ascii="宋体" w:hAnsi="宋体"/>
          <w:color w:val="auto"/>
          <w:kern w:val="0"/>
          <w:szCs w:val="21"/>
          <w:highlight w:val="none"/>
        </w:rPr>
      </w:pPr>
      <w:r>
        <w:rPr>
          <w:rFonts w:hint="eastAsia" w:ascii="宋体" w:hAnsi="宋体" w:cs="仿宋"/>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napToGrid w:val="0"/>
        <w:spacing w:line="360" w:lineRule="auto"/>
        <w:ind w:firstLine="420" w:firstLineChars="200"/>
        <w:rPr>
          <w:rFonts w:ascii="宋体" w:hAnsi="宋体"/>
          <w:color w:val="auto"/>
          <w:kern w:val="0"/>
          <w:szCs w:val="21"/>
          <w:highlight w:val="none"/>
          <w:vertAlign w:val="subscript"/>
        </w:rPr>
      </w:pPr>
      <w:r>
        <w:rPr>
          <w:rFonts w:hint="eastAsia" w:ascii="宋体" w:hAnsi="宋体" w:cs="仿宋"/>
          <w:color w:val="auto"/>
          <w:kern w:val="0"/>
          <w:szCs w:val="21"/>
          <w:highlight w:val="none"/>
        </w:rPr>
        <w:t>评标参考价</w:t>
      </w:r>
      <w:r>
        <w:rPr>
          <w:rFonts w:ascii="宋体" w:hAnsi="宋体" w:cs="仿宋"/>
          <w:color w:val="auto"/>
          <w:kern w:val="0"/>
          <w:szCs w:val="21"/>
          <w:highlight w:val="none"/>
        </w:rPr>
        <w:t>=</w:t>
      </w:r>
      <w:r>
        <w:rPr>
          <w:rFonts w:hint="eastAsia" w:ascii="宋体" w:hAnsi="宋体" w:cs="仿宋"/>
          <w:color w:val="auto"/>
          <w:kern w:val="0"/>
          <w:szCs w:val="21"/>
          <w:highlight w:val="none"/>
        </w:rPr>
        <w:t>（</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r>
        <w:rPr>
          <w:rFonts w:hint="eastAsia" w:ascii="宋体" w:hAnsi="宋体" w:cs="仿宋"/>
          <w:color w:val="auto"/>
          <w:kern w:val="0"/>
          <w:szCs w:val="21"/>
          <w:highlight w:val="none"/>
        </w:rPr>
        <w:t>）</w:t>
      </w:r>
      <w:r>
        <w:rPr>
          <w:rFonts w:ascii="宋体" w:hAnsi="宋体" w:cs="仿宋"/>
          <w:color w:val="auto"/>
          <w:kern w:val="0"/>
          <w:szCs w:val="21"/>
          <w:highlight w:val="none"/>
        </w:rPr>
        <w:t>/100*</w:t>
      </w:r>
      <w:r>
        <w:rPr>
          <w:rFonts w:hint="eastAsia" w:ascii="宋体" w:hAnsi="宋体" w:cs="仿宋"/>
          <w:color w:val="auto"/>
          <w:kern w:val="0"/>
          <w:szCs w:val="21"/>
          <w:highlight w:val="none"/>
        </w:rPr>
        <w:t>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p>
    <w:p>
      <w:pPr>
        <w:snapToGrid w:val="0"/>
        <w:spacing w:line="360" w:lineRule="auto"/>
        <w:ind w:firstLine="420" w:firstLineChars="200"/>
        <w:rPr>
          <w:rFonts w:ascii="宋体" w:hAnsi="宋体"/>
          <w:color w:val="auto"/>
          <w:szCs w:val="21"/>
          <w:highlight w:val="none"/>
        </w:rPr>
      </w:pPr>
      <w:r>
        <w:rPr>
          <w:rFonts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仿宋"/>
          <w:color w:val="auto"/>
          <w:szCs w:val="21"/>
          <w:highlight w:val="none"/>
        </w:rPr>
      </w:pP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hint="eastAsia" w:ascii="宋体" w:hAnsi="宋体" w:cs="仿宋"/>
          <w:color w:val="auto"/>
          <w:szCs w:val="21"/>
          <w:highlight w:val="none"/>
        </w:rPr>
        <w:t>：为（最高投标限价</w:t>
      </w:r>
      <w:r>
        <w:rPr>
          <w:rFonts w:ascii="宋体" w:hAnsi="宋体" w:cs="仿宋"/>
          <w:color w:val="auto"/>
          <w:szCs w:val="21"/>
          <w:highlight w:val="none"/>
        </w:rPr>
        <w:t>*D%</w:t>
      </w:r>
      <w:r>
        <w:rPr>
          <w:rFonts w:hint="eastAsia" w:ascii="宋体" w:hAnsi="宋体" w:cs="仿宋"/>
          <w:color w:val="auto"/>
          <w:szCs w:val="21"/>
          <w:highlight w:val="none"/>
        </w:rPr>
        <w:t>）（</w:t>
      </w:r>
      <w:r>
        <w:rPr>
          <w:rFonts w:ascii="宋体" w:hAnsi="宋体" w:cs="仿宋"/>
          <w:color w:val="auto"/>
          <w:szCs w:val="21"/>
          <w:highlight w:val="none"/>
        </w:rPr>
        <w:t>D</w:t>
      </w:r>
      <w:r>
        <w:rPr>
          <w:rFonts w:hint="eastAsia" w:ascii="宋体" w:hAnsi="宋体" w:cs="仿宋"/>
          <w:color w:val="auto"/>
          <w:szCs w:val="21"/>
          <w:highlight w:val="none"/>
        </w:rPr>
        <w:t>的取值范围为</w:t>
      </w:r>
      <w:r>
        <w:rPr>
          <w:rFonts w:ascii="宋体" w:hAnsi="宋体" w:cs="仿宋"/>
          <w:color w:val="auto"/>
          <w:szCs w:val="21"/>
          <w:highlight w:val="none"/>
        </w:rPr>
        <w:t>[94,100],</w:t>
      </w:r>
      <w:r>
        <w:rPr>
          <w:rFonts w:hint="eastAsia" w:ascii="宋体" w:hAnsi="宋体" w:cs="仿宋"/>
          <w:color w:val="auto"/>
          <w:szCs w:val="21"/>
          <w:highlight w:val="none"/>
        </w:rPr>
        <w:t>由招标人自定）</w:t>
      </w:r>
    </w:p>
    <w:p>
      <w:pPr>
        <w:spacing w:line="460" w:lineRule="exact"/>
        <w:ind w:firstLine="420" w:firstLineChars="200"/>
        <w:rPr>
          <w:rFonts w:ascii="宋体" w:hAnsi="宋体" w:cs="宋体"/>
          <w:color w:val="auto"/>
          <w:szCs w:val="21"/>
          <w:highlight w:val="none"/>
        </w:rPr>
      </w:pPr>
      <w:r>
        <w:rPr>
          <w:rFonts w:ascii="宋体" w:hAnsi="宋体" w:cs="仿宋"/>
          <w:color w:val="auto"/>
          <w:szCs w:val="21"/>
          <w:highlight w:val="none"/>
        </w:rPr>
        <w:t>X:</w:t>
      </w:r>
      <w:r>
        <w:rPr>
          <w:rFonts w:hint="eastAsia" w:ascii="宋体" w:hAnsi="宋体" w:cs="仿宋"/>
          <w:color w:val="auto"/>
          <w:szCs w:val="21"/>
          <w:highlight w:val="none"/>
        </w:rPr>
        <w:t>为等分点值，在开标前从</w:t>
      </w:r>
      <w:r>
        <w:rPr>
          <w:rFonts w:ascii="宋体" w:hAnsi="宋体" w:cs="仿宋"/>
          <w:color w:val="auto"/>
          <w:szCs w:val="21"/>
          <w:highlight w:val="none"/>
        </w:rPr>
        <w:t>[0,100]</w:t>
      </w:r>
      <w:r>
        <w:rPr>
          <w:rFonts w:hint="eastAsia" w:ascii="宋体" w:hAnsi="宋体" w:cs="仿宋"/>
          <w:color w:val="auto"/>
          <w:szCs w:val="21"/>
          <w:highlight w:val="none"/>
        </w:rPr>
        <w:t>整数中随机抽取</w:t>
      </w:r>
    </w:p>
    <w:p>
      <w:pPr>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45.2按方法</w:t>
      </w:r>
      <w:r>
        <w:rPr>
          <w:rFonts w:hint="eastAsia" w:ascii="宋体" w:hAnsi="宋体"/>
          <w:color w:val="auto"/>
          <w:szCs w:val="21"/>
          <w:highlight w:val="none"/>
          <w:u w:val="single"/>
        </w:rPr>
        <w:t xml:space="preserve"> 一 </w:t>
      </w:r>
      <w:r>
        <w:rPr>
          <w:rFonts w:hint="eastAsia" w:ascii="宋体" w:hAnsi="宋体"/>
          <w:color w:val="auto"/>
          <w:szCs w:val="21"/>
          <w:highlight w:val="none"/>
        </w:rPr>
        <w:t>计算评标参考价：</w:t>
      </w:r>
    </w:p>
    <w:p>
      <w:pPr>
        <w:widowControl w:val="0"/>
        <w:spacing w:line="460" w:lineRule="exact"/>
        <w:ind w:firstLine="422" w:firstLineChars="201"/>
        <w:textAlignment w:val="auto"/>
        <w:rPr>
          <w:rFonts w:ascii="宋体" w:hAnsi="宋体" w:cs="宋体"/>
          <w:color w:val="auto"/>
          <w:szCs w:val="21"/>
          <w:highlight w:val="none"/>
        </w:rPr>
      </w:pPr>
      <w:r>
        <w:rPr>
          <w:rFonts w:hint="eastAsia" w:ascii="宋体" w:hAnsi="宋体" w:cs="宋体"/>
          <w:color w:val="auto"/>
          <w:szCs w:val="21"/>
          <w:highlight w:val="none"/>
        </w:rPr>
        <w:t>方法一：加权平均法</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技术得分前N名（若通过技术标有效性审查的投标人大于等于5家时，N=5；若通过技术标有效性审查的投标人小于5家时，N=通过技术标有效性审查的投标人家数；若技术分相同</w:t>
      </w:r>
      <w:r>
        <w:rPr>
          <w:rFonts w:ascii="宋体" w:hAnsi="宋体" w:cs="宋体"/>
          <w:color w:val="auto"/>
          <w:szCs w:val="21"/>
          <w:highlight w:val="none"/>
          <w:u w:val="single"/>
        </w:rPr>
        <w:t>,</w:t>
      </w:r>
      <w:r>
        <w:rPr>
          <w:rFonts w:hint="eastAsia" w:ascii="宋体" w:hAnsi="宋体" w:cs="宋体"/>
          <w:color w:val="auto"/>
          <w:szCs w:val="21"/>
          <w:highlight w:val="none"/>
          <w:u w:val="single"/>
        </w:rPr>
        <w:t>则以报价较低的排前</w:t>
      </w:r>
      <w:r>
        <w:rPr>
          <w:rFonts w:hint="eastAsia"/>
          <w:color w:val="auto"/>
          <w:highlight w:val="none"/>
          <w:u w:val="single"/>
        </w:rPr>
        <w:t>，如仍存在相同情况，则对具有相同情况的投标人，通过随机抽取方式确定投标人的排序。随机方式确定排序的具体操作步骤为：由评标委员会对出现该情况的投标人进行编号，然后通过摇珠的方式依次摇出投标人的排序</w:t>
      </w:r>
      <w:r>
        <w:rPr>
          <w:rFonts w:hint="eastAsia" w:ascii="宋体" w:hAnsi="宋体" w:cs="宋体"/>
          <w:color w:val="auto"/>
          <w:szCs w:val="21"/>
          <w:highlight w:val="none"/>
          <w:u w:val="single"/>
        </w:rPr>
        <w:t>）</w:t>
      </w:r>
      <w:r>
        <w:rPr>
          <w:rFonts w:hint="eastAsia" w:ascii="宋体" w:hAnsi="宋体" w:cs="宋体"/>
          <w:color w:val="auto"/>
          <w:szCs w:val="21"/>
          <w:highlight w:val="none"/>
        </w:rPr>
        <w:t>的经济报价加权平均，计算评标参考价。公式如下：</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w:t>
      </w:r>
      <w:r>
        <w:rPr>
          <w:rFonts w:ascii="宋体" w:hAnsi="宋体" w:cs="宋体"/>
          <w:color w:val="auto"/>
          <w:szCs w:val="21"/>
          <w:highlight w:val="none"/>
        </w:rPr>
        <w:t>=</w:t>
      </w:r>
      <w:r>
        <w:rPr>
          <w:rFonts w:hint="eastAsia" w:ascii="宋体" w:hAnsi="宋体" w:cs="宋体"/>
          <w:color w:val="auto"/>
          <w:szCs w:val="21"/>
          <w:highlight w:val="none"/>
        </w:rPr>
        <w:t>Σ（投标人的投标报价</w:t>
      </w:r>
      <w:r>
        <w:rPr>
          <w:rFonts w:ascii="宋体" w:hAnsi="宋体" w:cs="宋体"/>
          <w:color w:val="auto"/>
          <w:szCs w:val="21"/>
          <w:highlight w:val="none"/>
        </w:rPr>
        <w:t>*</w:t>
      </w:r>
      <w:r>
        <w:rPr>
          <w:rFonts w:hint="eastAsia" w:ascii="宋体" w:hAnsi="宋体" w:cs="宋体"/>
          <w:color w:val="auto"/>
          <w:szCs w:val="21"/>
          <w:highlight w:val="none"/>
        </w:rPr>
        <w:t>报价权重）。</w:t>
      </w:r>
    </w:p>
    <w:p>
      <w:pPr>
        <w:spacing w:line="360" w:lineRule="auto"/>
        <w:ind w:firstLine="420" w:firstLineChars="200"/>
        <w:rPr>
          <w:rFonts w:ascii="宋体" w:hAnsi="宋体" w:cs="宋体"/>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1000" cy="447675"/>
            <wp:effectExtent l="0" t="0" r="0" b="889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1000" cy="447675"/>
            <wp:effectExtent l="0" t="0" r="0" b="889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pBdr>
          <w:bottom w:val="single" w:color="000000" w:sz="6" w:space="1"/>
        </w:pBdr>
        <w:spacing w:line="460" w:lineRule="exact"/>
        <w:rPr>
          <w:rFonts w:ascii="宋体" w:hAnsi="宋体" w:cs="宋体"/>
          <w:bCs/>
          <w:color w:val="auto"/>
          <w:szCs w:val="21"/>
          <w:highlight w:val="none"/>
          <w:u w:val="single"/>
        </w:rPr>
      </w:pP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条款号：45.3             修改类型：修改</w:t>
      </w:r>
    </w:p>
    <w:p>
      <w:pPr>
        <w:spacing w:line="380" w:lineRule="exact"/>
        <w:ind w:firstLine="422" w:firstLineChars="200"/>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45.3</w:t>
      </w:r>
      <w:r>
        <w:rPr>
          <w:rFonts w:hint="eastAsia" w:ascii="宋体" w:hAnsi="宋体"/>
          <w:color w:val="auto"/>
          <w:szCs w:val="21"/>
          <w:highlight w:val="none"/>
        </w:rPr>
        <w:t>当标价等于评标参考价时得</w:t>
      </w:r>
      <w:r>
        <w:rPr>
          <w:rFonts w:ascii="宋体" w:hAnsi="宋体"/>
          <w:color w:val="auto"/>
          <w:szCs w:val="21"/>
          <w:highlight w:val="none"/>
        </w:rPr>
        <w:t>100</w:t>
      </w:r>
      <w:r>
        <w:rPr>
          <w:rFonts w:hint="eastAsia" w:ascii="宋体" w:hAnsi="宋体"/>
          <w:color w:val="auto"/>
          <w:szCs w:val="21"/>
          <w:highlight w:val="none"/>
        </w:rPr>
        <w:t>分，标价每高于评标参考价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1.5</w:t>
      </w:r>
      <w:r>
        <w:rPr>
          <w:rFonts w:hint="eastAsia" w:ascii="宋体" w:hAnsi="宋体"/>
          <w:color w:val="auto"/>
          <w:szCs w:val="21"/>
          <w:highlight w:val="none"/>
        </w:rPr>
        <w:t>分，每低于评标参考价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w:t>
      </w:r>
      <w:r>
        <w:rPr>
          <w:rFonts w:hint="eastAsia" w:ascii="宋体" w:hAnsi="宋体"/>
          <w:color w:val="auto"/>
          <w:szCs w:val="21"/>
          <w:highlight w:val="none"/>
        </w:rPr>
        <w:t>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pPr>
        <w:pBdr>
          <w:bottom w:val="single" w:color="auto" w:sz="6" w:space="1"/>
        </w:pBdr>
        <w:spacing w:line="500" w:lineRule="exact"/>
        <w:ind w:firstLine="422" w:firstLineChars="200"/>
        <w:rPr>
          <w:rFonts w:ascii="宋体" w:hAnsi="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kern w:val="0"/>
          <w:szCs w:val="21"/>
          <w:highlight w:val="none"/>
        </w:rPr>
        <w:t>45.3</w:t>
      </w:r>
      <w:r>
        <w:rPr>
          <w:rFonts w:hint="eastAsia" w:ascii="宋体" w:hAnsi="宋体"/>
          <w:color w:val="auto"/>
          <w:szCs w:val="21"/>
          <w:highlight w:val="none"/>
        </w:rPr>
        <w:t>当标价等于评标参考价时得</w:t>
      </w:r>
      <w:r>
        <w:rPr>
          <w:rFonts w:ascii="宋体" w:hAnsi="宋体"/>
          <w:color w:val="auto"/>
          <w:szCs w:val="21"/>
          <w:highlight w:val="none"/>
        </w:rPr>
        <w:t>100</w:t>
      </w:r>
      <w:r>
        <w:rPr>
          <w:rFonts w:hint="eastAsia" w:ascii="宋体" w:hAnsi="宋体"/>
          <w:color w:val="auto"/>
          <w:szCs w:val="21"/>
          <w:highlight w:val="none"/>
        </w:rPr>
        <w:t>分，标价每高于评标参考价</w:t>
      </w:r>
      <w:r>
        <w:rPr>
          <w:rFonts w:ascii="宋体" w:hAnsi="宋体"/>
          <w:color w:val="auto"/>
          <w:szCs w:val="21"/>
          <w:highlight w:val="none"/>
        </w:rPr>
        <w:t>1%</w:t>
      </w:r>
      <w:r>
        <w:rPr>
          <w:rFonts w:hint="eastAsia" w:ascii="宋体" w:hAnsi="宋体"/>
          <w:color w:val="auto"/>
          <w:szCs w:val="21"/>
          <w:highlight w:val="none"/>
        </w:rPr>
        <w:t>，扣</w:t>
      </w:r>
      <w:r>
        <w:rPr>
          <w:rFonts w:hint="eastAsia" w:ascii="宋体" w:hAnsi="宋体"/>
          <w:color w:val="auto"/>
          <w:szCs w:val="21"/>
          <w:highlight w:val="none"/>
          <w:u w:val="single"/>
        </w:rPr>
        <w:t>0.5</w:t>
      </w:r>
      <w:r>
        <w:rPr>
          <w:rFonts w:hint="eastAsia" w:ascii="宋体" w:hAnsi="宋体"/>
          <w:color w:val="auto"/>
          <w:szCs w:val="21"/>
          <w:highlight w:val="none"/>
        </w:rPr>
        <w:t>分，每低于评标参考价</w:t>
      </w:r>
      <w:r>
        <w:rPr>
          <w:rFonts w:ascii="宋体" w:hAnsi="宋体"/>
          <w:color w:val="auto"/>
          <w:szCs w:val="21"/>
          <w:highlight w:val="none"/>
        </w:rPr>
        <w:t>1%</w:t>
      </w:r>
      <w:r>
        <w:rPr>
          <w:rFonts w:hint="eastAsia" w:ascii="宋体" w:hAnsi="宋体"/>
          <w:color w:val="auto"/>
          <w:szCs w:val="21"/>
          <w:highlight w:val="none"/>
        </w:rPr>
        <w:t>，扣</w:t>
      </w:r>
      <w:r>
        <w:rPr>
          <w:rFonts w:hint="eastAsia" w:ascii="宋体" w:hAnsi="宋体"/>
          <w:color w:val="auto"/>
          <w:szCs w:val="21"/>
          <w:highlight w:val="none"/>
          <w:u w:val="single"/>
        </w:rPr>
        <w:t>0.3</w:t>
      </w:r>
      <w:r>
        <w:rPr>
          <w:rFonts w:hint="eastAsia" w:ascii="宋体" w:hAnsi="宋体"/>
          <w:color w:val="auto"/>
          <w:szCs w:val="21"/>
          <w:highlight w:val="none"/>
        </w:rPr>
        <w:t>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条款号：45.4             修改类型：修改</w:t>
      </w:r>
    </w:p>
    <w:p>
      <w:pPr>
        <w:spacing w:line="380" w:lineRule="exact"/>
        <w:ind w:firstLine="422" w:firstLineChars="200"/>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45.4</w:t>
      </w:r>
      <w:r>
        <w:rPr>
          <w:rFonts w:hint="eastAsia" w:ascii="宋体" w:hAnsi="宋体"/>
          <w:color w:val="auto"/>
          <w:szCs w:val="21"/>
          <w:highlight w:val="none"/>
          <w:u w:val="single"/>
        </w:rPr>
        <w:t>计算通过技术标有效性审查的投标人总得分。</w:t>
      </w:r>
      <w:r>
        <w:rPr>
          <w:rFonts w:hint="eastAsia" w:ascii="宋体" w:hAnsi="宋体"/>
          <w:color w:val="auto"/>
          <w:szCs w:val="21"/>
          <w:highlight w:val="none"/>
          <w:u w:val="single"/>
        </w:rPr>
        <w:t>投标人总得分=[技术得分（满分100分）×技术得分权重（20%）＋经济得分（满分100分）×经济得分权重（80%）]×90%+综合诚信评价排名得分×综合诚信评价分数权重（10%）</w:t>
      </w:r>
      <w:r>
        <w:rPr>
          <w:rFonts w:hint="eastAsia" w:ascii="宋体" w:hAnsi="宋体"/>
          <w:color w:val="auto"/>
          <w:szCs w:val="21"/>
          <w:highlight w:val="none"/>
          <w:u w:val="single"/>
        </w:rPr>
        <w:t>。总得分四舍五入保留两位小数，并按照总得分从高到低排序。总得分相同的投标文件，以技术得分较高的排前；总得分与技术得分均相同的投标文件，</w:t>
      </w:r>
      <w:r>
        <w:rPr>
          <w:rFonts w:hint="eastAsia" w:ascii="宋体" w:hAnsi="宋体"/>
          <w:color w:val="auto"/>
          <w:szCs w:val="21"/>
          <w:highlight w:val="none"/>
          <w:u w:val="single"/>
        </w:rPr>
        <w:t>以综合诚信评价排名得分高的排前；总得分与技术得分、综合诚信评价排名得分均相同的投标文件，</w:t>
      </w:r>
      <w:r>
        <w:rPr>
          <w:rFonts w:hint="eastAsia" w:ascii="宋体" w:hAnsi="宋体"/>
          <w:color w:val="auto"/>
          <w:szCs w:val="21"/>
          <w:highlight w:val="none"/>
          <w:u w:val="single"/>
        </w:rPr>
        <w:t>以投标</w:t>
      </w:r>
      <w:r>
        <w:rPr>
          <w:rFonts w:hint="eastAsia" w:ascii="宋体" w:hAnsi="宋体"/>
          <w:color w:val="auto"/>
          <w:szCs w:val="21"/>
          <w:highlight w:val="none"/>
          <w:u w:val="single"/>
        </w:rPr>
        <w:t>总</w:t>
      </w:r>
      <w:r>
        <w:rPr>
          <w:rFonts w:hint="eastAsia" w:ascii="宋体" w:hAnsi="宋体"/>
          <w:color w:val="auto"/>
          <w:szCs w:val="21"/>
          <w:highlight w:val="none"/>
          <w:u w:val="single"/>
        </w:rPr>
        <w:t>报价较低的排前；如仍存在相同情况，则对具有相同情况的投标人，由评标委员会采用记名投票方式，确定投标人的排序</w:t>
      </w:r>
      <w:r>
        <w:rPr>
          <w:rFonts w:hint="eastAsia" w:ascii="宋体" w:hAnsi="宋体" w:cs="宋体"/>
          <w:color w:val="auto"/>
          <w:szCs w:val="21"/>
          <w:highlight w:val="none"/>
          <w:u w:val="single"/>
        </w:rPr>
        <w:t>。</w:t>
      </w:r>
    </w:p>
    <w:p>
      <w:pPr>
        <w:widowControl w:val="0"/>
        <w:spacing w:line="46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w:t>
      </w:r>
      <w:r>
        <w:rPr>
          <w:rFonts w:hint="eastAsia" w:ascii="宋体" w:hAnsi="宋体" w:cs="宋体"/>
          <w:b/>
          <w:color w:val="auto"/>
          <w:szCs w:val="21"/>
          <w:highlight w:val="none"/>
        </w:rPr>
        <w:t>6</w:t>
      </w:r>
      <w:r>
        <w:rPr>
          <w:rFonts w:ascii="宋体" w:hAnsi="宋体" w:cs="宋体"/>
          <w:b/>
          <w:color w:val="auto"/>
          <w:szCs w:val="21"/>
          <w:highlight w:val="none"/>
        </w:rPr>
        <w:t>.</w:t>
      </w:r>
      <w:r>
        <w:rPr>
          <w:rFonts w:hint="eastAsia" w:ascii="宋体" w:hAnsi="宋体" w:cs="宋体"/>
          <w:b/>
          <w:color w:val="auto"/>
          <w:szCs w:val="21"/>
          <w:highlight w:val="none"/>
        </w:rPr>
        <w:t>1             修改类型：修改</w:t>
      </w:r>
    </w:p>
    <w:p>
      <w:pPr>
        <w:widowControl w:val="0"/>
        <w:spacing w:line="460" w:lineRule="exact"/>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widowControl w:val="0"/>
        <w:pBdr>
          <w:bottom w:val="single" w:color="auto" w:sz="6" w:space="1"/>
        </w:pBdr>
        <w:spacing w:line="460" w:lineRule="exact"/>
        <w:ind w:firstLine="422" w:firstLineChars="200"/>
        <w:textAlignment w:val="auto"/>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color w:val="auto"/>
          <w:szCs w:val="21"/>
          <w:highlight w:val="none"/>
          <w:u w:val="single"/>
        </w:rPr>
        <w:t>评委</w:t>
      </w:r>
      <w:r>
        <w:rPr>
          <w:rFonts w:ascii="宋体" w:hAnsi="宋体" w:cs="宋体"/>
          <w:color w:val="auto"/>
          <w:szCs w:val="21"/>
          <w:highlight w:val="none"/>
          <w:u w:val="single"/>
        </w:rPr>
        <w:t>发现投标</w:t>
      </w:r>
      <w:r>
        <w:rPr>
          <w:rFonts w:hint="eastAsia" w:ascii="宋体" w:hAnsi="宋体" w:cs="宋体"/>
          <w:color w:val="auto"/>
          <w:szCs w:val="21"/>
          <w:highlight w:val="none"/>
          <w:u w:val="single"/>
        </w:rPr>
        <w:t>文件</w:t>
      </w:r>
      <w:r>
        <w:rPr>
          <w:rFonts w:ascii="宋体" w:hAnsi="宋体" w:cs="宋体"/>
          <w:color w:val="auto"/>
          <w:szCs w:val="21"/>
          <w:highlight w:val="none"/>
          <w:u w:val="single"/>
        </w:rPr>
        <w:t>中</w:t>
      </w:r>
      <w:r>
        <w:rPr>
          <w:rFonts w:hint="eastAsia" w:ascii="宋体" w:hAnsi="宋体" w:cs="宋体"/>
          <w:color w:val="auto"/>
          <w:szCs w:val="21"/>
          <w:highlight w:val="none"/>
          <w:u w:val="single"/>
        </w:rPr>
        <w:t>含义不明确</w:t>
      </w:r>
      <w:r>
        <w:rPr>
          <w:rFonts w:ascii="宋体" w:hAnsi="宋体" w:cs="宋体"/>
          <w:color w:val="auto"/>
          <w:szCs w:val="21"/>
          <w:highlight w:val="none"/>
          <w:u w:val="single"/>
        </w:rPr>
        <w:t>、对同类问题表述不一致、有明显</w:t>
      </w:r>
      <w:r>
        <w:rPr>
          <w:rFonts w:hint="eastAsia" w:ascii="宋体" w:hAnsi="宋体" w:cs="宋体"/>
          <w:color w:val="auto"/>
          <w:szCs w:val="21"/>
          <w:highlight w:val="none"/>
          <w:u w:val="single"/>
        </w:rPr>
        <w:t>文字</w:t>
      </w:r>
      <w:r>
        <w:rPr>
          <w:rFonts w:ascii="宋体" w:hAnsi="宋体" w:cs="宋体"/>
          <w:color w:val="auto"/>
          <w:szCs w:val="21"/>
          <w:highlight w:val="none"/>
          <w:u w:val="single"/>
        </w:rPr>
        <w:t>和计算错误</w:t>
      </w:r>
      <w:r>
        <w:rPr>
          <w:rFonts w:hint="eastAsia" w:ascii="宋体" w:hAnsi="宋体" w:cs="宋体"/>
          <w:color w:val="auto"/>
          <w:szCs w:val="21"/>
          <w:highlight w:val="none"/>
          <w:u w:val="single"/>
        </w:rPr>
        <w:t>、</w:t>
      </w:r>
      <w:r>
        <w:rPr>
          <w:rFonts w:ascii="宋体" w:hAnsi="宋体" w:cs="宋体"/>
          <w:color w:val="auto"/>
          <w:szCs w:val="21"/>
          <w:highlight w:val="none"/>
          <w:u w:val="single"/>
        </w:rPr>
        <w:t>投标报价可能低于成本影响履约的，应当</w:t>
      </w:r>
      <w:r>
        <w:rPr>
          <w:rFonts w:hint="eastAsia" w:ascii="宋体" w:hAnsi="宋体" w:cs="宋体"/>
          <w:color w:val="auto"/>
          <w:szCs w:val="21"/>
          <w:highlight w:val="none"/>
          <w:u w:val="single"/>
        </w:rPr>
        <w:t>要求</w:t>
      </w:r>
      <w:r>
        <w:rPr>
          <w:rFonts w:ascii="宋体" w:hAnsi="宋体" w:cs="宋体"/>
          <w:color w:val="auto"/>
          <w:szCs w:val="21"/>
          <w:highlight w:val="none"/>
          <w:u w:val="single"/>
        </w:rPr>
        <w:t>投标人作必要的澄清、说明</w:t>
      </w:r>
      <w:r>
        <w:rPr>
          <w:rFonts w:hint="eastAsia" w:ascii="宋体" w:hAnsi="宋体" w:cs="宋体"/>
          <w:color w:val="auto"/>
          <w:szCs w:val="21"/>
          <w:highlight w:val="none"/>
          <w:u w:val="single"/>
        </w:rPr>
        <w:t>后再判定投标人是否通过有效性审查</w:t>
      </w:r>
      <w:r>
        <w:rPr>
          <w:rFonts w:ascii="宋体" w:hAnsi="宋体" w:cs="宋体"/>
          <w:color w:val="auto"/>
          <w:szCs w:val="21"/>
          <w:highlight w:val="none"/>
          <w:u w:val="single"/>
        </w:rPr>
        <w:t>，不得直接否决投标</w:t>
      </w:r>
      <w:r>
        <w:rPr>
          <w:rFonts w:hint="eastAsia" w:ascii="宋体" w:hAnsi="宋体" w:cs="宋体"/>
          <w:color w:val="auto"/>
          <w:szCs w:val="21"/>
          <w:highlight w:val="none"/>
          <w:u w:val="single"/>
        </w:rPr>
        <w:t>。</w:t>
      </w:r>
    </w:p>
    <w:p>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条款号：附表一       修改类型：修改</w:t>
      </w:r>
    </w:p>
    <w:p>
      <w:pPr>
        <w:pBdr>
          <w:bottom w:val="single" w:color="auto" w:sz="6" w:space="1"/>
        </w:pBdr>
        <w:spacing w:line="460" w:lineRule="exact"/>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w:t>
      </w:r>
      <w:r>
        <w:rPr>
          <w:rFonts w:ascii="宋体" w:hAnsi="宋体"/>
          <w:color w:val="auto"/>
          <w:szCs w:val="21"/>
          <w:highlight w:val="none"/>
        </w:rPr>
        <w:t>GZZB2018-3</w:t>
      </w:r>
      <w:r>
        <w:rPr>
          <w:rFonts w:hint="eastAsia" w:ascii="宋体" w:hAnsi="宋体"/>
          <w:color w:val="auto"/>
          <w:szCs w:val="21"/>
          <w:highlight w:val="none"/>
        </w:rPr>
        <w:t>《资格审查表》</w:t>
      </w:r>
    </w:p>
    <w:p>
      <w:pPr>
        <w:pBdr>
          <w:bottom w:val="single" w:color="auto" w:sz="6" w:space="1"/>
        </w:pBdr>
        <w:spacing w:line="460" w:lineRule="exact"/>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本招标文件《资格审查表》</w:t>
      </w:r>
    </w:p>
    <w:p>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条款号：附表二       修改类型：修改</w:t>
      </w:r>
    </w:p>
    <w:p>
      <w:pPr>
        <w:pBdr>
          <w:bottom w:val="single" w:color="auto" w:sz="6" w:space="1"/>
        </w:pBdr>
        <w:spacing w:line="460" w:lineRule="exact"/>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w:t>
      </w:r>
      <w:r>
        <w:rPr>
          <w:rFonts w:ascii="宋体" w:hAnsi="宋体"/>
          <w:color w:val="auto"/>
          <w:szCs w:val="21"/>
          <w:highlight w:val="none"/>
        </w:rPr>
        <w:t>GZZB2018-3</w:t>
      </w:r>
      <w:r>
        <w:rPr>
          <w:rFonts w:hint="eastAsia" w:ascii="宋体" w:hAnsi="宋体"/>
          <w:color w:val="auto"/>
          <w:szCs w:val="21"/>
          <w:highlight w:val="none"/>
        </w:rPr>
        <w:t>《技术标有效性审查表》</w:t>
      </w:r>
    </w:p>
    <w:p>
      <w:pPr>
        <w:pBdr>
          <w:bottom w:val="single" w:color="auto" w:sz="6" w:space="1"/>
        </w:pBdr>
        <w:spacing w:line="460" w:lineRule="exact"/>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本招标文件《技术标有效性审查表》</w:t>
      </w:r>
    </w:p>
    <w:p>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条款号：附表三          修改类型：修改</w:t>
      </w:r>
    </w:p>
    <w:p>
      <w:pPr>
        <w:pBdr>
          <w:bottom w:val="single" w:color="auto" w:sz="6" w:space="1"/>
        </w:pBdr>
        <w:spacing w:line="460" w:lineRule="exact"/>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w:t>
      </w:r>
      <w:r>
        <w:rPr>
          <w:rFonts w:ascii="宋体" w:hAnsi="宋体"/>
          <w:color w:val="auto"/>
          <w:szCs w:val="21"/>
          <w:highlight w:val="none"/>
        </w:rPr>
        <w:t>GZZB2018-3</w:t>
      </w:r>
      <w:r>
        <w:rPr>
          <w:rFonts w:hint="eastAsia" w:ascii="宋体" w:hAnsi="宋体"/>
          <w:color w:val="auto"/>
          <w:szCs w:val="21"/>
          <w:highlight w:val="none"/>
        </w:rPr>
        <w:t>《经济标有效性审查表》</w:t>
      </w:r>
    </w:p>
    <w:p>
      <w:pPr>
        <w:pBdr>
          <w:bottom w:val="single" w:color="auto" w:sz="6" w:space="1"/>
        </w:pBdr>
        <w:spacing w:line="460" w:lineRule="exact"/>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本招标文件《经济标有效性审查表》</w:t>
      </w:r>
    </w:p>
    <w:p>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条款号：附表四          修改类型：修改</w:t>
      </w:r>
    </w:p>
    <w:p>
      <w:pPr>
        <w:pBdr>
          <w:bottom w:val="single" w:color="auto" w:sz="6" w:space="1"/>
        </w:pBdr>
        <w:spacing w:line="460" w:lineRule="exact"/>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w:t>
      </w:r>
      <w:r>
        <w:rPr>
          <w:rFonts w:ascii="宋体" w:hAnsi="宋体"/>
          <w:color w:val="auto"/>
          <w:szCs w:val="21"/>
          <w:highlight w:val="none"/>
        </w:rPr>
        <w:t>GZZB2018-3</w:t>
      </w:r>
      <w:r>
        <w:rPr>
          <w:rFonts w:hint="eastAsia" w:ascii="宋体" w:hAnsi="宋体"/>
          <w:color w:val="auto"/>
          <w:szCs w:val="21"/>
          <w:highlight w:val="none"/>
        </w:rPr>
        <w:t>《技术标详细审查评分表》</w:t>
      </w:r>
    </w:p>
    <w:p>
      <w:pPr>
        <w:pBdr>
          <w:bottom w:val="single" w:color="auto" w:sz="6" w:space="1"/>
        </w:pBdr>
        <w:spacing w:line="460" w:lineRule="exact"/>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本招标文件《技术标详细审查评分表》</w:t>
      </w:r>
    </w:p>
    <w:p>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条款号：附表五（适用于区间抽取法）   修改类型：删除</w:t>
      </w:r>
    </w:p>
    <w:p>
      <w:pPr>
        <w:pBdr>
          <w:bottom w:val="single" w:color="auto" w:sz="6" w:space="1"/>
        </w:pBdr>
        <w:spacing w:line="460" w:lineRule="exact"/>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w:t>
      </w:r>
      <w:r>
        <w:rPr>
          <w:rFonts w:ascii="宋体" w:hAnsi="宋体"/>
          <w:color w:val="auto"/>
          <w:szCs w:val="21"/>
          <w:highlight w:val="none"/>
        </w:rPr>
        <w:t>GZZB2018-3</w:t>
      </w:r>
      <w:r>
        <w:rPr>
          <w:rFonts w:hint="eastAsia" w:ascii="宋体" w:hAnsi="宋体"/>
          <w:color w:val="auto"/>
          <w:szCs w:val="21"/>
          <w:highlight w:val="none"/>
        </w:rPr>
        <w:t>《经济标评分表》</w:t>
      </w:r>
    </w:p>
    <w:p>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条款号：第四章  投标文件格式     修改类型：修改</w:t>
      </w:r>
    </w:p>
    <w:p>
      <w:pPr>
        <w:pBdr>
          <w:bottom w:val="single" w:color="auto" w:sz="6" w:space="1"/>
        </w:pBd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w:t>
      </w:r>
      <w:r>
        <w:rPr>
          <w:rFonts w:ascii="宋体" w:hAnsi="宋体"/>
          <w:color w:val="auto"/>
          <w:szCs w:val="21"/>
          <w:highlight w:val="none"/>
        </w:rPr>
        <w:t>GZZB2018-3</w:t>
      </w:r>
      <w:r>
        <w:rPr>
          <w:rFonts w:hint="eastAsia" w:ascii="宋体" w:hAnsi="宋体"/>
          <w:color w:val="auto"/>
          <w:szCs w:val="21"/>
          <w:highlight w:val="none"/>
        </w:rPr>
        <w:t xml:space="preserve"> 第四章投标文件格式</w:t>
      </w:r>
    </w:p>
    <w:p>
      <w:pPr>
        <w:pBdr>
          <w:bottom w:val="single" w:color="auto" w:sz="6" w:space="1"/>
        </w:pBd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 第四章投标文件格式</w:t>
      </w:r>
    </w:p>
    <w:p>
      <w:pPr>
        <w:spacing w:line="276" w:lineRule="auto"/>
        <w:ind w:firstLine="422" w:firstLineChars="200"/>
        <w:rPr>
          <w:rStyle w:val="84"/>
          <w:rFonts w:ascii="宋体" w:hAnsi="宋体"/>
          <w:b/>
          <w:color w:val="auto"/>
          <w:szCs w:val="21"/>
          <w:highlight w:val="none"/>
        </w:rPr>
      </w:pPr>
      <w:r>
        <w:rPr>
          <w:rStyle w:val="84"/>
          <w:rFonts w:ascii="宋体" w:hAnsi="宋体"/>
          <w:b/>
          <w:color w:val="auto"/>
          <w:szCs w:val="21"/>
          <w:highlight w:val="none"/>
        </w:rPr>
        <w:t>注：以上修改，仅限于本范本中有可供选择条款的情形。</w:t>
      </w:r>
    </w:p>
    <w:p>
      <w:pPr>
        <w:spacing w:line="276" w:lineRule="auto"/>
        <w:ind w:firstLine="422" w:firstLineChars="200"/>
        <w:rPr>
          <w:color w:val="auto"/>
          <w:highlight w:val="none"/>
        </w:rPr>
      </w:pPr>
      <w:r>
        <w:rPr>
          <w:rStyle w:val="84"/>
          <w:rFonts w:ascii="宋体" w:hAnsi="宋体"/>
          <w:b/>
          <w:color w:val="auto"/>
          <w:szCs w:val="21"/>
          <w:highlight w:val="none"/>
        </w:rPr>
        <w:t>（以下无正文）</w:t>
      </w:r>
    </w:p>
    <w:p>
      <w:pPr>
        <w:pStyle w:val="146"/>
        <w:spacing w:line="460" w:lineRule="exact"/>
        <w:outlineLvl w:val="1"/>
        <w:rPr>
          <w:rStyle w:val="84"/>
          <w:rFonts w:ascii="宋体" w:hAnsi="宋体"/>
          <w:b/>
          <w:color w:val="auto"/>
          <w:highlight w:val="none"/>
        </w:rPr>
      </w:pPr>
      <w:bookmarkStart w:id="13" w:name="_Toc105014631"/>
    </w:p>
    <w:p>
      <w:pPr>
        <w:pStyle w:val="109"/>
        <w:rPr>
          <w:color w:val="auto"/>
          <w:highlight w:val="none"/>
        </w:rPr>
      </w:pPr>
    </w:p>
    <w:p>
      <w:pPr>
        <w:jc w:val="left"/>
        <w:textAlignment w:val="auto"/>
        <w:rPr>
          <w:rStyle w:val="84"/>
          <w:rFonts w:ascii="宋体" w:hAnsi="宋体"/>
          <w:b/>
          <w:color w:val="auto"/>
          <w:sz w:val="24"/>
          <w:szCs w:val="24"/>
          <w:highlight w:val="none"/>
        </w:rPr>
      </w:pPr>
      <w:r>
        <w:rPr>
          <w:rStyle w:val="84"/>
          <w:rFonts w:ascii="宋体" w:hAnsi="宋体"/>
          <w:b/>
          <w:color w:val="auto"/>
          <w:highlight w:val="none"/>
        </w:rPr>
        <w:br w:type="page"/>
      </w:r>
    </w:p>
    <w:p>
      <w:pPr>
        <w:pStyle w:val="146"/>
        <w:spacing w:line="460" w:lineRule="exact"/>
        <w:outlineLvl w:val="1"/>
        <w:rPr>
          <w:rStyle w:val="84"/>
          <w:rFonts w:ascii="宋体" w:hAnsi="宋体"/>
          <w:b/>
          <w:color w:val="auto"/>
          <w:highlight w:val="none"/>
        </w:rPr>
      </w:pPr>
      <w:r>
        <w:rPr>
          <w:rStyle w:val="84"/>
          <w:rFonts w:ascii="宋体" w:hAnsi="宋体"/>
          <w:b/>
          <w:color w:val="auto"/>
          <w:highlight w:val="none"/>
        </w:rPr>
        <w:t>二、开标、评标及定标办法通用条款</w:t>
      </w:r>
      <w:bookmarkEnd w:id="13"/>
    </w:p>
    <w:p>
      <w:pPr>
        <w:pStyle w:val="3"/>
        <w:spacing w:before="156" w:beforeAutospacing="0" w:after="156" w:afterAutospacing="0" w:line="460" w:lineRule="exact"/>
        <w:ind w:firstLine="422" w:firstLineChars="200"/>
        <w:rPr>
          <w:b/>
          <w:bCs/>
          <w:color w:val="auto"/>
          <w:sz w:val="21"/>
          <w:szCs w:val="21"/>
          <w:highlight w:val="none"/>
        </w:rPr>
      </w:pPr>
      <w:bookmarkStart w:id="14" w:name="_Toc21525501"/>
      <w:bookmarkEnd w:id="14"/>
      <w:bookmarkStart w:id="15" w:name="_Toc105014632"/>
      <w:bookmarkStart w:id="16" w:name="_Toc2272557"/>
      <w:r>
        <w:rPr>
          <w:rFonts w:hint="eastAsia"/>
          <w:b/>
          <w:bCs/>
          <w:color w:val="auto"/>
          <w:sz w:val="21"/>
          <w:szCs w:val="21"/>
          <w:highlight w:val="none"/>
        </w:rPr>
        <w:t>（一）总则</w:t>
      </w:r>
      <w:bookmarkEnd w:id="15"/>
      <w:bookmarkEnd w:id="16"/>
    </w:p>
    <w:p>
      <w:pPr>
        <w:spacing w:line="460" w:lineRule="exact"/>
        <w:ind w:firstLine="422" w:firstLineChars="200"/>
        <w:rPr>
          <w:rFonts w:ascii="宋体" w:hAnsi="宋体"/>
          <w:b/>
          <w:bCs/>
          <w:color w:val="auto"/>
          <w:szCs w:val="21"/>
          <w:highlight w:val="none"/>
        </w:rPr>
      </w:pPr>
      <w:r>
        <w:rPr>
          <w:rFonts w:ascii="宋体" w:hAnsi="宋体"/>
          <w:b/>
          <w:bCs/>
          <w:color w:val="auto"/>
          <w:szCs w:val="21"/>
          <w:highlight w:val="none"/>
        </w:rPr>
        <w:t>35.</w:t>
      </w:r>
      <w:r>
        <w:rPr>
          <w:rFonts w:hint="eastAsia" w:ascii="宋体" w:hAnsi="宋体"/>
          <w:b/>
          <w:bCs/>
          <w:color w:val="auto"/>
          <w:szCs w:val="21"/>
          <w:highlight w:val="none"/>
        </w:rPr>
        <w:t>开标、评标及定标所依据的规则</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35.1《中华人民共和国招标投标法》；</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35.2《中华人民共和国招标投标法实施条例》；</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35.3《评标委员会和评标方法暂行规定》（七部委第12号令）；</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35.4《工程建设项目施工招标投标办法》（七部委2003年第30号令）；</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35.5《广东省实施〈中华人民共和国招标投标法〉办法》；</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35.6《房屋建筑和市政基础设施工程施工招标投标管理办法》（建设部令第89号）；</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35.7《广东省加强建设工程招标投标监督管理的若干规定》（粤发[2004]4号）；</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35.8《广州市工程建设项目招标投标管理办法》（穗府办规〔2017〕5号）。</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35.9本项目招标文件。</w:t>
      </w:r>
    </w:p>
    <w:p>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3</w:t>
      </w:r>
      <w:r>
        <w:rPr>
          <w:rFonts w:ascii="宋体" w:hAnsi="宋体"/>
          <w:b/>
          <w:bCs/>
          <w:color w:val="auto"/>
          <w:szCs w:val="21"/>
          <w:highlight w:val="none"/>
        </w:rPr>
        <w:t>6.</w:t>
      </w:r>
      <w:r>
        <w:rPr>
          <w:rFonts w:hint="eastAsia" w:ascii="宋体" w:hAnsi="宋体"/>
          <w:b/>
          <w:bCs/>
          <w:color w:val="auto"/>
          <w:szCs w:val="21"/>
          <w:highlight w:val="none"/>
        </w:rPr>
        <w:t>开标</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36.2 招标人在招标文件要求提交投标文件的截止时间前收到的投标文件，开标时都当众予以解密、公布。</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36.4若递交投标文件的投标人不足3家，则重新组织招标。（当N个标段同时招标且不允许兼中时，若有效投标人不足N+2家，则重新组织招标）</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36.5按下列程序进行开标：</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36.5.2备用光盘的读取按投标须知前附表第36项的规定执行；</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36.5.3投标人代表、招标人代表、监标人、记录人等有关人员在开标记录上签字确认；若有关人员不签字的，不影响开标程序；</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36.5.4开标结束。</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36.7开标时，两个（含两个）以上的投标人加密打包投标文件电脑机器特征码一致的，不参与下一程序，并由评标委员会否决其投标。</w:t>
      </w:r>
    </w:p>
    <w:p>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37．评标</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37.1评标委员会由招标人依法组建。</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37.2评标委员会的职责及守则：</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37.2.1根据评标细则，对投标文件进行认真评审，完成评审报告；</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37.2.2向招标人报告评审意见，推荐合格的中标候选人。</w:t>
      </w:r>
    </w:p>
    <w:p>
      <w:pPr>
        <w:spacing w:line="460" w:lineRule="exact"/>
        <w:ind w:firstLine="420" w:firstLineChars="200"/>
        <w:rPr>
          <w:rFonts w:ascii="宋体" w:hAnsi="宋体"/>
          <w:color w:val="auto"/>
          <w:szCs w:val="21"/>
          <w:highlight w:val="none"/>
        </w:rPr>
      </w:pPr>
      <w:r>
        <w:rPr>
          <w:rFonts w:hint="eastAsia" w:ascii="宋体" w:hAnsi="宋体"/>
          <w:bCs/>
          <w:color w:val="auto"/>
          <w:szCs w:val="21"/>
          <w:highlight w:val="none"/>
        </w:rPr>
        <w:t>37.2.3</w:t>
      </w:r>
      <w:r>
        <w:rPr>
          <w:rFonts w:hint="eastAsia" w:ascii="宋体" w:hAnsi="宋体"/>
          <w:color w:val="auto"/>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37.2.4全体参与评标人员：</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37.2.4.1 必须遵守评标纪律、不得泄密；</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37.2.4.2 必须公正、不得循私；</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37.2.4.3 必须科学、不得草率；</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37.2.4.4 必须客观、不得带有成见；</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37.2.4.5 必须平等、不得强加于人；</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37.2.4.6 必须严谨、不得随意马虎。</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37.3 评标结束后，评标委员会递交评标报告并依法推荐中标候选人。 </w:t>
      </w:r>
    </w:p>
    <w:p>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38．投标文件的澄清</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38.3 评标委员会或评标委员会专业评审组成员均应当阅读投标人的澄清，但应独立参考澄清对投标文件进行评审。</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39．定标</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39.1 招标人根据评标委员会递交的评标报告，最终审定中标人。</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39.2 依法必须进行公开招标的项目，招标人应当确定排名第一的中标候选人为中标人。</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bookmarkStart w:id="17" w:name="_Toc2272558"/>
      <w:bookmarkEnd w:id="17"/>
      <w:bookmarkStart w:id="18" w:name="_Toc21525502"/>
      <w:bookmarkStart w:id="19" w:name="_Toc105014633"/>
    </w:p>
    <w:p>
      <w:pPr>
        <w:spacing w:line="460" w:lineRule="exact"/>
        <w:ind w:firstLine="422" w:firstLineChars="200"/>
        <w:rPr>
          <w:rFonts w:ascii="宋体" w:hAnsi="宋体"/>
          <w:color w:val="auto"/>
          <w:szCs w:val="21"/>
          <w:highlight w:val="none"/>
        </w:rPr>
      </w:pPr>
      <w:r>
        <w:rPr>
          <w:rFonts w:hint="eastAsia"/>
          <w:b/>
          <w:bCs/>
          <w:color w:val="auto"/>
          <w:szCs w:val="21"/>
          <w:highlight w:val="none"/>
        </w:rPr>
        <w:t>（二）开标评标办法程序和细则</w:t>
      </w:r>
      <w:bookmarkEnd w:id="18"/>
      <w:bookmarkEnd w:id="19"/>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注：以下七种评标办法所述企业综合诚信评价分数即投标截止当日广州市工程招标代理行业协会网站上公布的企业综合诚信评价60日诚信分。</w:t>
      </w:r>
      <w:bookmarkStart w:id="20" w:name="_Toc2272563"/>
      <w:bookmarkEnd w:id="20"/>
      <w:bookmarkStart w:id="21" w:name="_Toc2272559"/>
      <w:bookmarkEnd w:id="21"/>
      <w:bookmarkStart w:id="22" w:name="_Toc100130481"/>
      <w:bookmarkStart w:id="23" w:name="_Toc71617140"/>
    </w:p>
    <w:bookmarkEnd w:id="22"/>
    <w:bookmarkEnd w:id="23"/>
    <w:p>
      <w:pPr>
        <w:pStyle w:val="3"/>
        <w:spacing w:before="156" w:after="156"/>
        <w:ind w:firstLine="420" w:firstLineChars="200"/>
        <w:rPr>
          <w:color w:val="auto"/>
          <w:sz w:val="21"/>
          <w:szCs w:val="21"/>
          <w:highlight w:val="none"/>
        </w:rPr>
      </w:pPr>
      <w:bookmarkStart w:id="24" w:name="_Toc21525509"/>
      <w:bookmarkStart w:id="25" w:name="_Toc24831"/>
      <w:r>
        <w:rPr>
          <w:rFonts w:hint="eastAsia"/>
          <w:color w:val="auto"/>
          <w:sz w:val="21"/>
          <w:szCs w:val="21"/>
          <w:highlight w:val="none"/>
        </w:rPr>
        <w:t>可选办法七（适合综合评分法四，技术标与经济标同时开启）</w:t>
      </w:r>
      <w:bookmarkEnd w:id="24"/>
      <w:bookmarkEnd w:id="25"/>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40．开标和评标程序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40.1技术标（含资格审查文件）与经济标投标文件同时公开开标；</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40.2由评标委员会对所有已公开开标的投标人进行资格审查；</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40.3技术标投标文件有效性审查；</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40.4技术标详细审查评分；</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40.5经济标详细审查评分；</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40.6评标委员会按照投标人总得分由高至低排序；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40.7经济标投标文件有效性审查；</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40.8评标委员会按排序向招标人推荐中标候选人名单，并递交资格审查报告及评标报告。</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41．开标细则</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41.1开标由招标人主持；</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 细则</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41.2.2开标前，首先由招标人随机抽取确定该工程计算评标参考价的等分点值X。</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41.2.4按36.5.1的规定完成解密后，公布下列内容，并予以记录，记录提交评标委员会评审： </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41.3招标人对开标过程进行记录，并存档备查，投标人在技术标开标记录上签字。</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41.4 招标人将上述符合要求的投标文件，送至评标委员会进行评审。</w:t>
      </w:r>
    </w:p>
    <w:p>
      <w:pPr>
        <w:pStyle w:val="22"/>
        <w:tabs>
          <w:tab w:val="left" w:pos="7380"/>
        </w:tabs>
        <w:snapToGrid w:val="0"/>
        <w:spacing w:after="0" w:line="360" w:lineRule="auto"/>
        <w:ind w:firstLineChars="200"/>
        <w:rPr>
          <w:rFonts w:ascii="宋体" w:hAnsi="宋体"/>
          <w:color w:val="auto"/>
          <w:kern w:val="2"/>
          <w:sz w:val="21"/>
          <w:szCs w:val="21"/>
          <w:highlight w:val="none"/>
        </w:rPr>
      </w:pPr>
      <w:r>
        <w:rPr>
          <w:rFonts w:hint="eastAsia" w:ascii="宋体" w:hAnsi="宋体"/>
          <w:color w:val="auto"/>
          <w:kern w:val="2"/>
          <w:sz w:val="21"/>
          <w:szCs w:val="21"/>
          <w:highlight w:val="none"/>
        </w:rPr>
        <w:t>42. 资格审查及评标细则</w:t>
      </w:r>
    </w:p>
    <w:p>
      <w:pPr>
        <w:pStyle w:val="22"/>
        <w:tabs>
          <w:tab w:val="left" w:pos="7380"/>
        </w:tabs>
        <w:snapToGrid w:val="0"/>
        <w:spacing w:after="0" w:line="360" w:lineRule="auto"/>
        <w:ind w:firstLineChars="200"/>
        <w:rPr>
          <w:rFonts w:ascii="宋体" w:hAnsi="宋体"/>
          <w:color w:val="auto"/>
          <w:kern w:val="2"/>
          <w:sz w:val="21"/>
          <w:szCs w:val="21"/>
          <w:highlight w:val="none"/>
        </w:rPr>
      </w:pPr>
      <w:r>
        <w:rPr>
          <w:rFonts w:hint="eastAsia" w:ascii="宋体" w:hAnsi="宋体"/>
          <w:color w:val="auto"/>
          <w:kern w:val="2"/>
          <w:sz w:val="21"/>
          <w:szCs w:val="21"/>
          <w:highlight w:val="none"/>
        </w:rPr>
        <w:t>42.1资格审查及评标均由招标人依法组建的评标委员会负责。</w:t>
      </w:r>
    </w:p>
    <w:p>
      <w:pPr>
        <w:pStyle w:val="22"/>
        <w:tabs>
          <w:tab w:val="left" w:pos="7380"/>
        </w:tabs>
        <w:snapToGrid w:val="0"/>
        <w:spacing w:after="0" w:line="360" w:lineRule="auto"/>
        <w:ind w:firstLineChars="200"/>
        <w:rPr>
          <w:rFonts w:ascii="宋体" w:hAnsi="宋体"/>
          <w:color w:val="auto"/>
          <w:sz w:val="21"/>
          <w:szCs w:val="21"/>
          <w:highlight w:val="none"/>
        </w:rPr>
      </w:pPr>
      <w:r>
        <w:rPr>
          <w:rFonts w:hint="eastAsia" w:ascii="宋体" w:hAnsi="宋体"/>
          <w:color w:val="auto"/>
          <w:kern w:val="2"/>
          <w:sz w:val="21"/>
          <w:szCs w:val="21"/>
          <w:highlight w:val="none"/>
        </w:rPr>
        <w:t xml:space="preserve">42.2评标委员会的组成：方式  </w:t>
      </w:r>
      <w:r>
        <w:rPr>
          <w:rFonts w:hint="eastAsia" w:ascii="宋体" w:hAnsi="宋体"/>
          <w:color w:val="auto"/>
          <w:sz w:val="21"/>
          <w:szCs w:val="21"/>
          <w:highlight w:val="none"/>
        </w:rPr>
        <w:t>。</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方式一：评标委员会为综合评标委员会，负责资格审查及评标工作。</w:t>
      </w:r>
    </w:p>
    <w:p>
      <w:pPr>
        <w:pStyle w:val="22"/>
        <w:tabs>
          <w:tab w:val="left" w:pos="7380"/>
        </w:tabs>
        <w:snapToGrid w:val="0"/>
        <w:spacing w:after="0" w:line="360" w:lineRule="auto"/>
        <w:rPr>
          <w:rFonts w:ascii="宋体" w:hAnsi="宋体"/>
          <w:color w:val="auto"/>
          <w:kern w:val="2"/>
          <w:sz w:val="21"/>
          <w:szCs w:val="21"/>
          <w:highlight w:val="none"/>
        </w:rPr>
      </w:pPr>
      <w:r>
        <w:rPr>
          <w:rFonts w:hint="eastAsia" w:ascii="宋体" w:hAnsi="宋体" w:cs="宋体"/>
          <w:color w:val="auto"/>
          <w:sz w:val="21"/>
          <w:szCs w:val="21"/>
          <w:highlight w:val="none"/>
        </w:rPr>
        <w:t>方式二：评标委员会由技术评审组和经济评审组组成。</w:t>
      </w:r>
      <w:r>
        <w:rPr>
          <w:rFonts w:hint="eastAsia" w:ascii="宋体" w:hAnsi="宋体"/>
          <w:color w:val="auto"/>
          <w:kern w:val="2"/>
          <w:sz w:val="21"/>
          <w:szCs w:val="21"/>
          <w:highlight w:val="none"/>
        </w:rPr>
        <w:t>其中：资格审查及技术评审由技术评标组负责，经济评审由经济评审组负责。</w:t>
      </w:r>
    </w:p>
    <w:p>
      <w:pPr>
        <w:pStyle w:val="22"/>
        <w:tabs>
          <w:tab w:val="left" w:pos="7380"/>
        </w:tabs>
        <w:snapToGrid w:val="0"/>
        <w:spacing w:after="0"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43．投标人资格审查</w:t>
      </w:r>
    </w:p>
    <w:p>
      <w:pPr>
        <w:pStyle w:val="22"/>
        <w:tabs>
          <w:tab w:val="left" w:pos="7380"/>
        </w:tabs>
        <w:snapToGrid w:val="0"/>
        <w:spacing w:after="0"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22"/>
        <w:tabs>
          <w:tab w:val="left" w:pos="7380"/>
        </w:tabs>
        <w:snapToGrid w:val="0"/>
        <w:spacing w:after="0"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43.2汇总资格审查情况，编写资格审查报告。</w:t>
      </w:r>
    </w:p>
    <w:p>
      <w:pPr>
        <w:pStyle w:val="22"/>
        <w:tabs>
          <w:tab w:val="left" w:pos="7380"/>
        </w:tabs>
        <w:snapToGrid w:val="0"/>
        <w:spacing w:after="0"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43.3资格审查不合格的投标文件不参加下一阶段的评标，不参与评标参考价的计算。</w:t>
      </w:r>
    </w:p>
    <w:p>
      <w:pPr>
        <w:pStyle w:val="22"/>
        <w:tabs>
          <w:tab w:val="left" w:pos="7380"/>
        </w:tabs>
        <w:snapToGrid w:val="0"/>
        <w:spacing w:after="0"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2"/>
        <w:tabs>
          <w:tab w:val="left" w:pos="7380"/>
        </w:tabs>
        <w:snapToGrid w:val="0"/>
        <w:spacing w:after="0"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43.5资审合格后，投标人的资格发生变化而不满足投标人合格条件，在发出中标通知书前，资格问题仍未解决的，招标人将取消其中标资格。</w:t>
      </w:r>
    </w:p>
    <w:p>
      <w:pPr>
        <w:pStyle w:val="22"/>
        <w:tabs>
          <w:tab w:val="left" w:pos="7380"/>
        </w:tabs>
        <w:snapToGrid w:val="0"/>
        <w:spacing w:after="0"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43.6资格审查合格的投标人少于3名的（当N个标段同时招标且不允许兼中时，资格审查合格的投标人少于N+2名），则本项目招标失败。</w:t>
      </w:r>
    </w:p>
    <w:p>
      <w:pPr>
        <w:pStyle w:val="22"/>
        <w:tabs>
          <w:tab w:val="left" w:pos="7380"/>
        </w:tabs>
        <w:snapToGrid w:val="0"/>
        <w:spacing w:after="0"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44．技术标评审</w:t>
      </w:r>
    </w:p>
    <w:p>
      <w:pPr>
        <w:pStyle w:val="22"/>
        <w:tabs>
          <w:tab w:val="left" w:pos="7380"/>
        </w:tabs>
        <w:snapToGrid w:val="0"/>
        <w:spacing w:after="0"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w:t>
      </w:r>
      <w:r>
        <w:rPr>
          <w:rFonts w:ascii="宋体" w:hAnsi="宋体"/>
          <w:color w:val="auto"/>
          <w:kern w:val="2"/>
          <w:sz w:val="21"/>
          <w:szCs w:val="21"/>
          <w:highlight w:val="none"/>
        </w:rPr>
        <w:t>3名（当N个标段同时招标且不允许兼中时，若通过技术标有效性审查投标人不足N+2名），则本项目招标失败。</w:t>
      </w:r>
    </w:p>
    <w:p>
      <w:pPr>
        <w:pStyle w:val="22"/>
        <w:tabs>
          <w:tab w:val="left" w:pos="7380"/>
        </w:tabs>
        <w:snapToGrid w:val="0"/>
        <w:spacing w:after="0"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22"/>
        <w:tabs>
          <w:tab w:val="left" w:pos="7380"/>
        </w:tabs>
        <w:snapToGrid w:val="0"/>
        <w:spacing w:after="0"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45．经济标评审和得分汇总</w:t>
      </w:r>
    </w:p>
    <w:p>
      <w:pPr>
        <w:pStyle w:val="22"/>
        <w:tabs>
          <w:tab w:val="left" w:pos="7380"/>
        </w:tabs>
        <w:snapToGrid w:val="0"/>
        <w:spacing w:after="0"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45.1若通过技术标有效性审查的投标人中所有投标报价均大于等于最高投标限价*D%（D的取值范围为[94,100],由招标人自主确定）的（具体金额为：元），则本项目招标失败，由招标人依法重新招标。</w:t>
      </w:r>
    </w:p>
    <w:p>
      <w:pPr>
        <w:pStyle w:val="22"/>
        <w:tabs>
          <w:tab w:val="left" w:pos="7380"/>
        </w:tabs>
        <w:snapToGrid w:val="0"/>
        <w:spacing w:after="0"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 xml:space="preserve"> 45.2按方法计算评标参考价：</w:t>
      </w:r>
    </w:p>
    <w:p>
      <w:pPr>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方法一：加权平均法</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技术标或技术标加诚信得分（具体由招标人自定）前</w:t>
      </w:r>
      <w:r>
        <w:rPr>
          <w:rFonts w:ascii="宋体" w:hAnsi="宋体" w:cs="仿宋"/>
          <w:color w:val="auto"/>
          <w:szCs w:val="21"/>
          <w:highlight w:val="none"/>
        </w:rPr>
        <w:t>N</w:t>
      </w:r>
      <w:r>
        <w:rPr>
          <w:rFonts w:hint="eastAsia" w:ascii="宋体" w:hAnsi="宋体" w:cs="仿宋"/>
          <w:color w:val="auto"/>
          <w:szCs w:val="21"/>
          <w:highlight w:val="none"/>
        </w:rPr>
        <w:t>名（N≥5，具体由招标人自定）的经济报价加权平均，计算评标参考价。公式如下：</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评标参考价</w:t>
      </w:r>
      <w:r>
        <w:rPr>
          <w:rFonts w:ascii="宋体" w:hAnsi="宋体" w:cs="仿宋"/>
          <w:color w:val="auto"/>
          <w:szCs w:val="21"/>
          <w:highlight w:val="none"/>
        </w:rPr>
        <w:t>=</w:t>
      </w:r>
      <w:r>
        <w:rPr>
          <w:rFonts w:hint="eastAsia" w:ascii="宋体" w:hAnsi="宋体" w:cs="仿宋"/>
          <w:color w:val="auto"/>
          <w:szCs w:val="21"/>
          <w:highlight w:val="none"/>
        </w:rPr>
        <w:t>Σ（投标人的投标报价</w:t>
      </w:r>
      <w:r>
        <w:rPr>
          <w:rFonts w:ascii="宋体" w:hAnsi="宋体" w:cs="仿宋"/>
          <w:color w:val="auto"/>
          <w:szCs w:val="21"/>
          <w:highlight w:val="none"/>
        </w:rPr>
        <w:t>*</w:t>
      </w:r>
      <w:r>
        <w:rPr>
          <w:rFonts w:hint="eastAsia" w:ascii="宋体" w:hAnsi="宋体" w:cs="仿宋"/>
          <w:color w:val="auto"/>
          <w:szCs w:val="21"/>
          <w:highlight w:val="none"/>
        </w:rPr>
        <w:t>报价权重）。</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1000" cy="447675"/>
            <wp:effectExtent l="0" t="0" r="0" b="889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1000" cy="447675"/>
            <wp:effectExtent l="0" t="0" r="0" b="889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方法二：区间抽取法</w:t>
      </w:r>
    </w:p>
    <w:p>
      <w:pPr>
        <w:snapToGrid w:val="0"/>
        <w:spacing w:line="360" w:lineRule="auto"/>
        <w:ind w:firstLine="420" w:firstLineChars="200"/>
        <w:rPr>
          <w:rFonts w:ascii="宋体" w:hAnsi="宋体"/>
          <w:color w:val="auto"/>
          <w:kern w:val="0"/>
          <w:szCs w:val="21"/>
          <w:highlight w:val="none"/>
        </w:rPr>
      </w:pPr>
      <w:r>
        <w:rPr>
          <w:rFonts w:hint="eastAsia" w:ascii="宋体" w:hAnsi="宋体" w:cs="仿宋"/>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napToGrid w:val="0"/>
        <w:spacing w:line="360" w:lineRule="auto"/>
        <w:ind w:firstLine="420" w:firstLineChars="200"/>
        <w:rPr>
          <w:rFonts w:ascii="宋体" w:hAnsi="宋体"/>
          <w:color w:val="auto"/>
          <w:kern w:val="0"/>
          <w:szCs w:val="21"/>
          <w:highlight w:val="none"/>
          <w:vertAlign w:val="subscript"/>
        </w:rPr>
      </w:pPr>
      <w:r>
        <w:rPr>
          <w:rFonts w:hint="eastAsia" w:ascii="宋体" w:hAnsi="宋体" w:cs="仿宋"/>
          <w:color w:val="auto"/>
          <w:kern w:val="0"/>
          <w:szCs w:val="21"/>
          <w:highlight w:val="none"/>
        </w:rPr>
        <w:t>评标参考价</w:t>
      </w:r>
      <w:r>
        <w:rPr>
          <w:rFonts w:ascii="宋体" w:hAnsi="宋体" w:cs="仿宋"/>
          <w:color w:val="auto"/>
          <w:kern w:val="0"/>
          <w:szCs w:val="21"/>
          <w:highlight w:val="none"/>
        </w:rPr>
        <w:t>=</w:t>
      </w:r>
      <w:r>
        <w:rPr>
          <w:rFonts w:hint="eastAsia" w:ascii="宋体" w:hAnsi="宋体" w:cs="仿宋"/>
          <w:color w:val="auto"/>
          <w:kern w:val="0"/>
          <w:szCs w:val="21"/>
          <w:highlight w:val="none"/>
        </w:rPr>
        <w:t>（</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r>
        <w:rPr>
          <w:rFonts w:hint="eastAsia" w:ascii="宋体" w:hAnsi="宋体" w:cs="仿宋"/>
          <w:color w:val="auto"/>
          <w:kern w:val="0"/>
          <w:szCs w:val="21"/>
          <w:highlight w:val="none"/>
        </w:rPr>
        <w:t>）</w:t>
      </w:r>
      <w:r>
        <w:rPr>
          <w:rFonts w:ascii="宋体" w:hAnsi="宋体" w:cs="仿宋"/>
          <w:color w:val="auto"/>
          <w:kern w:val="0"/>
          <w:szCs w:val="21"/>
          <w:highlight w:val="none"/>
        </w:rPr>
        <w:t>/100*</w:t>
      </w:r>
      <w:r>
        <w:rPr>
          <w:rFonts w:hint="eastAsia" w:ascii="宋体" w:hAnsi="宋体" w:cs="仿宋"/>
          <w:color w:val="auto"/>
          <w:kern w:val="0"/>
          <w:szCs w:val="21"/>
          <w:highlight w:val="none"/>
        </w:rPr>
        <w:t>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p>
    <w:p>
      <w:pPr>
        <w:snapToGrid w:val="0"/>
        <w:spacing w:line="360" w:lineRule="auto"/>
        <w:ind w:firstLine="420" w:firstLineChars="200"/>
        <w:rPr>
          <w:rFonts w:ascii="宋体" w:hAnsi="宋体"/>
          <w:color w:val="auto"/>
          <w:szCs w:val="21"/>
          <w:highlight w:val="none"/>
        </w:rPr>
      </w:pPr>
      <w:r>
        <w:rPr>
          <w:rFonts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仿宋"/>
          <w:color w:val="auto"/>
          <w:szCs w:val="21"/>
          <w:highlight w:val="none"/>
        </w:rPr>
      </w:pP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hint="eastAsia" w:ascii="宋体" w:hAnsi="宋体" w:cs="仿宋"/>
          <w:color w:val="auto"/>
          <w:szCs w:val="21"/>
          <w:highlight w:val="none"/>
        </w:rPr>
        <w:t>：为（最高投标限价</w:t>
      </w:r>
      <w:r>
        <w:rPr>
          <w:rFonts w:ascii="宋体" w:hAnsi="宋体" w:cs="仿宋"/>
          <w:color w:val="auto"/>
          <w:szCs w:val="21"/>
          <w:highlight w:val="none"/>
        </w:rPr>
        <w:t>*D%</w:t>
      </w:r>
      <w:r>
        <w:rPr>
          <w:rFonts w:hint="eastAsia" w:ascii="宋体" w:hAnsi="宋体" w:cs="仿宋"/>
          <w:color w:val="auto"/>
          <w:szCs w:val="21"/>
          <w:highlight w:val="none"/>
        </w:rPr>
        <w:t>）（</w:t>
      </w:r>
      <w:r>
        <w:rPr>
          <w:rFonts w:ascii="宋体" w:hAnsi="宋体" w:cs="仿宋"/>
          <w:color w:val="auto"/>
          <w:szCs w:val="21"/>
          <w:highlight w:val="none"/>
        </w:rPr>
        <w:t>D</w:t>
      </w:r>
      <w:r>
        <w:rPr>
          <w:rFonts w:hint="eastAsia" w:ascii="宋体" w:hAnsi="宋体" w:cs="仿宋"/>
          <w:color w:val="auto"/>
          <w:szCs w:val="21"/>
          <w:highlight w:val="none"/>
        </w:rPr>
        <w:t>的取值范围为</w:t>
      </w:r>
      <w:r>
        <w:rPr>
          <w:rFonts w:ascii="宋体" w:hAnsi="宋体" w:cs="仿宋"/>
          <w:color w:val="auto"/>
          <w:szCs w:val="21"/>
          <w:highlight w:val="none"/>
        </w:rPr>
        <w:t>[94,100],</w:t>
      </w:r>
      <w:r>
        <w:rPr>
          <w:rFonts w:hint="eastAsia" w:ascii="宋体" w:hAnsi="宋体" w:cs="仿宋"/>
          <w:color w:val="auto"/>
          <w:szCs w:val="21"/>
          <w:highlight w:val="none"/>
        </w:rPr>
        <w:t>由招标人自定）</w:t>
      </w:r>
    </w:p>
    <w:p>
      <w:pPr>
        <w:spacing w:line="360" w:lineRule="auto"/>
        <w:ind w:firstLine="420" w:firstLineChars="200"/>
        <w:rPr>
          <w:rFonts w:ascii="宋体" w:hAnsi="宋体"/>
          <w:color w:val="auto"/>
          <w:szCs w:val="21"/>
          <w:highlight w:val="none"/>
        </w:rPr>
      </w:pPr>
      <w:r>
        <w:rPr>
          <w:rFonts w:ascii="宋体" w:hAnsi="宋体" w:cs="仿宋"/>
          <w:color w:val="auto"/>
          <w:szCs w:val="21"/>
          <w:highlight w:val="none"/>
        </w:rPr>
        <w:t>X:</w:t>
      </w:r>
      <w:r>
        <w:rPr>
          <w:rFonts w:hint="eastAsia" w:ascii="宋体" w:hAnsi="宋体" w:cs="仿宋"/>
          <w:color w:val="auto"/>
          <w:szCs w:val="21"/>
          <w:highlight w:val="none"/>
        </w:rPr>
        <w:t>为等分点值，在开标前从</w:t>
      </w:r>
      <w:r>
        <w:rPr>
          <w:rFonts w:ascii="宋体" w:hAnsi="宋体" w:cs="仿宋"/>
          <w:color w:val="auto"/>
          <w:szCs w:val="21"/>
          <w:highlight w:val="none"/>
        </w:rPr>
        <w:t>[0,100]</w:t>
      </w:r>
      <w:r>
        <w:rPr>
          <w:rFonts w:hint="eastAsia" w:ascii="宋体" w:hAnsi="宋体" w:cs="仿宋"/>
          <w:color w:val="auto"/>
          <w:szCs w:val="21"/>
          <w:highlight w:val="none"/>
        </w:rPr>
        <w:t>整数中随机抽取</w:t>
      </w:r>
    </w:p>
    <w:p>
      <w:pPr>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45.3</w:t>
      </w:r>
      <w:r>
        <w:rPr>
          <w:rFonts w:hint="eastAsia" w:ascii="宋体" w:hAnsi="宋体"/>
          <w:color w:val="auto"/>
          <w:szCs w:val="21"/>
          <w:highlight w:val="none"/>
        </w:rPr>
        <w:t>当标价等于评标参考价时得</w:t>
      </w:r>
      <w:r>
        <w:rPr>
          <w:rFonts w:ascii="宋体" w:hAnsi="宋体"/>
          <w:color w:val="auto"/>
          <w:szCs w:val="21"/>
          <w:highlight w:val="none"/>
        </w:rPr>
        <w:t>100</w:t>
      </w:r>
      <w:r>
        <w:rPr>
          <w:rFonts w:hint="eastAsia" w:ascii="宋体" w:hAnsi="宋体"/>
          <w:color w:val="auto"/>
          <w:szCs w:val="21"/>
          <w:highlight w:val="none"/>
        </w:rPr>
        <w:t>分，标价每高于评标参考价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1.5</w:t>
      </w:r>
      <w:r>
        <w:rPr>
          <w:rFonts w:hint="eastAsia" w:ascii="宋体" w:hAnsi="宋体"/>
          <w:color w:val="auto"/>
          <w:szCs w:val="21"/>
          <w:highlight w:val="none"/>
        </w:rPr>
        <w:t>分，每低于评标参考价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w:t>
      </w:r>
      <w:r>
        <w:rPr>
          <w:rFonts w:hint="eastAsia" w:ascii="宋体" w:hAnsi="宋体"/>
          <w:color w:val="auto"/>
          <w:szCs w:val="21"/>
          <w:highlight w:val="none"/>
        </w:rPr>
        <w:t>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pPr>
        <w:pStyle w:val="22"/>
        <w:tabs>
          <w:tab w:val="left" w:pos="7380"/>
        </w:tabs>
        <w:snapToGrid w:val="0"/>
        <w:spacing w:after="0" w:line="360" w:lineRule="auto"/>
        <w:ind w:firstLineChars="200"/>
        <w:rPr>
          <w:rFonts w:ascii="宋体" w:hAnsi="宋体" w:cs="仿宋"/>
          <w:color w:val="auto"/>
          <w:kern w:val="2"/>
          <w:sz w:val="21"/>
          <w:szCs w:val="21"/>
          <w:highlight w:val="none"/>
        </w:rPr>
      </w:pPr>
      <w:r>
        <w:rPr>
          <w:rFonts w:hint="eastAsia" w:ascii="宋体" w:hAnsi="宋体"/>
          <w:color w:val="auto"/>
          <w:sz w:val="21"/>
          <w:szCs w:val="21"/>
          <w:highlight w:val="none"/>
        </w:rPr>
        <w:t>45.4</w:t>
      </w:r>
      <w:r>
        <w:rPr>
          <w:rFonts w:hint="eastAsia" w:ascii="宋体" w:hAnsi="宋体" w:cs="仿宋"/>
          <w:color w:val="auto"/>
          <w:kern w:val="2"/>
          <w:sz w:val="21"/>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22"/>
        <w:tabs>
          <w:tab w:val="left" w:pos="7380"/>
        </w:tabs>
        <w:snapToGrid w:val="0"/>
        <w:spacing w:after="0" w:line="360" w:lineRule="auto"/>
        <w:ind w:firstLineChars="200"/>
        <w:rPr>
          <w:rFonts w:ascii="宋体" w:hAnsi="宋体" w:cs="仿宋"/>
          <w:color w:val="auto"/>
          <w:kern w:val="2"/>
          <w:sz w:val="21"/>
          <w:szCs w:val="21"/>
          <w:highlight w:val="none"/>
        </w:rPr>
      </w:pPr>
      <w:r>
        <w:rPr>
          <w:rFonts w:hint="eastAsia" w:ascii="宋体" w:hAnsi="宋体" w:cs="仿宋"/>
          <w:color w:val="auto"/>
          <w:kern w:val="2"/>
          <w:sz w:val="21"/>
          <w:szCs w:val="21"/>
          <w:highlight w:val="none"/>
        </w:rPr>
        <w:t>46.经济标的有效性审查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6.2经济标的算术校核。评标委员会对进行经济标有效性审查的投标文件投标报价按照就低不就高的原则进行算术校核，具体标准如下：</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6.2.1如果数字表示的金额和用文字表示的金额不一致时，应以文字表示的金额为准；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6.2.2经算术复核的投标人报价与其投标报价不一致时，按就低不就高原则确定其最终报价；</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4</w:t>
      </w:r>
      <w:r>
        <w:rPr>
          <w:rFonts w:hint="eastAsia" w:ascii="宋体" w:hAnsi="宋体"/>
          <w:color w:val="auto"/>
          <w:szCs w:val="21"/>
          <w:highlight w:val="none"/>
        </w:rPr>
        <w:t>当合价、金额累加错误时，按就低不就高原则，如果累加修正值小于原累加值，则按累加修正值；如果累加修正值大于原累加值，则按原累加值；</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5</w:t>
      </w:r>
      <w:r>
        <w:rPr>
          <w:rFonts w:hint="eastAsia" w:ascii="宋体" w:hAnsi="宋体"/>
          <w:color w:val="auto"/>
          <w:szCs w:val="21"/>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6</w:t>
      </w:r>
      <w:r>
        <w:rPr>
          <w:rFonts w:hint="eastAsia" w:ascii="宋体" w:hAnsi="宋体"/>
          <w:color w:val="auto"/>
          <w:szCs w:val="21"/>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7</w:t>
      </w:r>
      <w:r>
        <w:rPr>
          <w:rFonts w:hint="eastAsia" w:ascii="宋体" w:hAnsi="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8</w:t>
      </w:r>
      <w:r>
        <w:rPr>
          <w:rFonts w:hint="eastAsia" w:ascii="宋体" w:hAnsi="宋体"/>
          <w:color w:val="auto"/>
          <w:szCs w:val="21"/>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8.评标委员会应在通过投标文件经济标有效性审查的投标人中，按步骤45.4确定的投标人第二阶段排序，推荐前</w:t>
      </w:r>
      <w:r>
        <w:rPr>
          <w:rFonts w:ascii="宋体" w:hAnsi="宋体"/>
          <w:color w:val="auto"/>
          <w:szCs w:val="21"/>
          <w:highlight w:val="none"/>
        </w:rPr>
        <w:t>3</w:t>
      </w:r>
      <w:r>
        <w:rPr>
          <w:rFonts w:hint="eastAsia" w:ascii="宋体" w:hAnsi="宋体"/>
          <w:color w:val="auto"/>
          <w:szCs w:val="21"/>
          <w:highlight w:val="none"/>
        </w:rPr>
        <w:t>名依次为第一中标候选人至第三中标候选人</w:t>
      </w:r>
      <w:r>
        <w:rPr>
          <w:rFonts w:ascii="宋体" w:hAnsi="宋体"/>
          <w:color w:val="auto"/>
          <w:szCs w:val="21"/>
          <w:highlight w:val="none"/>
        </w:rPr>
        <w:t>,</w:t>
      </w:r>
      <w:r>
        <w:rPr>
          <w:rFonts w:hint="eastAsia" w:ascii="宋体" w:hAnsi="宋体"/>
          <w:color w:val="auto"/>
          <w:szCs w:val="21"/>
          <w:highlight w:val="none"/>
        </w:rPr>
        <w:t>并编制评标报告。</w:t>
      </w:r>
    </w:p>
    <w:p>
      <w:pPr>
        <w:spacing w:line="46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9.若通过经济标有效性审查的投标人不足三家，应当依法重新招标。（当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N+2</w:t>
      </w:r>
      <w:r>
        <w:rPr>
          <w:rFonts w:hint="eastAsia" w:ascii="宋体" w:hAnsi="宋体"/>
          <w:color w:val="auto"/>
          <w:szCs w:val="21"/>
          <w:highlight w:val="none"/>
        </w:rPr>
        <w:t>家，应当依法重新招标）</w:t>
      </w:r>
    </w:p>
    <w:p>
      <w:pPr>
        <w:spacing w:line="276" w:lineRule="auto"/>
        <w:rPr>
          <w:rStyle w:val="84"/>
          <w:rFonts w:ascii="宋体" w:hAnsi="宋体"/>
          <w:b/>
          <w:bCs/>
          <w:color w:val="auto"/>
          <w:szCs w:val="21"/>
          <w:highlight w:val="none"/>
        </w:rPr>
      </w:pPr>
    </w:p>
    <w:p>
      <w:pPr>
        <w:spacing w:line="276" w:lineRule="auto"/>
        <w:rPr>
          <w:rStyle w:val="84"/>
          <w:rFonts w:ascii="宋体" w:hAnsi="宋体"/>
          <w:b/>
          <w:bCs/>
          <w:color w:val="auto"/>
          <w:szCs w:val="21"/>
          <w:highlight w:val="none"/>
        </w:rPr>
      </w:pPr>
    </w:p>
    <w:p>
      <w:pPr>
        <w:pStyle w:val="67"/>
        <w:rPr>
          <w:rStyle w:val="84"/>
          <w:rFonts w:hAnsi="宋体"/>
          <w:b/>
          <w:bCs/>
          <w:color w:val="auto"/>
          <w:szCs w:val="21"/>
          <w:highlight w:val="none"/>
        </w:rPr>
      </w:pPr>
    </w:p>
    <w:p>
      <w:pPr>
        <w:pStyle w:val="67"/>
        <w:rPr>
          <w:rStyle w:val="84"/>
          <w:rFonts w:hAnsi="宋体"/>
          <w:b/>
          <w:bCs/>
          <w:color w:val="auto"/>
          <w:szCs w:val="21"/>
          <w:highlight w:val="none"/>
        </w:rPr>
      </w:pPr>
    </w:p>
    <w:p>
      <w:pPr>
        <w:spacing w:line="276" w:lineRule="auto"/>
        <w:rPr>
          <w:rStyle w:val="84"/>
          <w:rFonts w:ascii="宋体" w:hAnsi="宋体"/>
          <w:b/>
          <w:bCs/>
          <w:color w:val="auto"/>
          <w:sz w:val="24"/>
          <w:szCs w:val="24"/>
          <w:highlight w:val="none"/>
        </w:rPr>
      </w:pPr>
      <w:r>
        <w:rPr>
          <w:rStyle w:val="84"/>
          <w:rFonts w:hAnsi="宋体"/>
          <w:b/>
          <w:bCs/>
          <w:color w:val="auto"/>
          <w:szCs w:val="21"/>
          <w:highlight w:val="none"/>
        </w:rPr>
        <w:br w:type="page"/>
      </w:r>
      <w:r>
        <w:rPr>
          <w:rStyle w:val="84"/>
          <w:rFonts w:ascii="宋体" w:hAnsi="宋体"/>
          <w:b/>
          <w:bCs/>
          <w:color w:val="auto"/>
          <w:szCs w:val="21"/>
          <w:highlight w:val="none"/>
        </w:rPr>
        <w:t>附表一：</w:t>
      </w:r>
    </w:p>
    <w:p>
      <w:pPr>
        <w:spacing w:line="276" w:lineRule="auto"/>
        <w:jc w:val="center"/>
        <w:rPr>
          <w:rStyle w:val="84"/>
          <w:rFonts w:ascii="宋体" w:hAnsi="宋体"/>
          <w:b/>
          <w:color w:val="auto"/>
          <w:sz w:val="32"/>
          <w:szCs w:val="32"/>
          <w:highlight w:val="none"/>
        </w:rPr>
      </w:pPr>
      <w:r>
        <w:rPr>
          <w:rStyle w:val="84"/>
          <w:rFonts w:ascii="宋体" w:hAnsi="宋体"/>
          <w:b/>
          <w:color w:val="auto"/>
          <w:sz w:val="32"/>
          <w:szCs w:val="32"/>
          <w:highlight w:val="none"/>
        </w:rPr>
        <w:t>资格审查表</w:t>
      </w:r>
    </w:p>
    <w:p>
      <w:pPr>
        <w:spacing w:line="276" w:lineRule="auto"/>
        <w:rPr>
          <w:rStyle w:val="84"/>
          <w:rFonts w:ascii="宋体" w:hAnsi="宋体"/>
          <w:color w:val="auto"/>
          <w:szCs w:val="21"/>
          <w:highlight w:val="none"/>
        </w:rPr>
      </w:pPr>
      <w:r>
        <w:rPr>
          <w:rStyle w:val="84"/>
          <w:rFonts w:ascii="宋体" w:hAnsi="宋体"/>
          <w:color w:val="auto"/>
          <w:szCs w:val="21"/>
          <w:highlight w:val="none"/>
        </w:rPr>
        <w:t>工程名称：</w:t>
      </w:r>
    </w:p>
    <w:p>
      <w:pPr>
        <w:spacing w:line="276" w:lineRule="auto"/>
        <w:rPr>
          <w:rStyle w:val="84"/>
          <w:rFonts w:ascii="宋体" w:hAnsi="宋体"/>
          <w:color w:val="auto"/>
          <w:szCs w:val="21"/>
          <w:highlight w:val="none"/>
        </w:rPr>
      </w:pPr>
      <w:r>
        <w:rPr>
          <w:rStyle w:val="84"/>
          <w:rFonts w:ascii="宋体" w:hAnsi="宋体"/>
          <w:color w:val="auto"/>
          <w:szCs w:val="21"/>
          <w:highlight w:val="none"/>
        </w:rPr>
        <w:t>投标人名称：</w:t>
      </w:r>
    </w:p>
    <w:tbl>
      <w:tblPr>
        <w:tblStyle w:val="24"/>
        <w:tblW w:w="87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3410"/>
        <w:gridCol w:w="3882"/>
        <w:gridCol w:w="8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b/>
                <w:color w:val="auto"/>
                <w:szCs w:val="21"/>
                <w:highlight w:val="none"/>
              </w:rPr>
            </w:pPr>
            <w:r>
              <w:rPr>
                <w:rStyle w:val="84"/>
                <w:rFonts w:ascii="宋体" w:hAnsi="宋体"/>
                <w:b/>
                <w:color w:val="auto"/>
                <w:szCs w:val="21"/>
                <w:highlight w:val="none"/>
              </w:rPr>
              <w:t>序号</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b/>
                <w:color w:val="auto"/>
                <w:szCs w:val="21"/>
                <w:highlight w:val="none"/>
              </w:rPr>
            </w:pPr>
            <w:r>
              <w:rPr>
                <w:rStyle w:val="84"/>
                <w:rFonts w:ascii="宋体" w:hAnsi="宋体"/>
                <w:b/>
                <w:color w:val="auto"/>
                <w:szCs w:val="21"/>
                <w:highlight w:val="none"/>
              </w:rPr>
              <w:t>审查项目</w:t>
            </w:r>
          </w:p>
        </w:tc>
        <w:tc>
          <w:tcPr>
            <w:tcW w:w="388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b/>
                <w:color w:val="auto"/>
                <w:szCs w:val="21"/>
                <w:highlight w:val="none"/>
              </w:rPr>
            </w:pPr>
            <w:r>
              <w:rPr>
                <w:rStyle w:val="84"/>
                <w:rFonts w:ascii="宋体" w:hAnsi="宋体"/>
                <w:b/>
                <w:color w:val="auto"/>
                <w:szCs w:val="21"/>
                <w:highlight w:val="none"/>
              </w:rPr>
              <w:t>须审查的资料</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b/>
                <w:color w:val="auto"/>
                <w:szCs w:val="21"/>
                <w:highlight w:val="none"/>
              </w:rPr>
            </w:pPr>
            <w:r>
              <w:rPr>
                <w:rStyle w:val="84"/>
                <w:rFonts w:ascii="宋体" w:hAnsi="宋体"/>
                <w:b/>
                <w:color w:val="auto"/>
                <w:szCs w:val="21"/>
                <w:highlight w:val="none"/>
              </w:rPr>
              <w:t>审查</w:t>
            </w:r>
          </w:p>
          <w:p>
            <w:pPr>
              <w:spacing w:before="120" w:after="60" w:line="276" w:lineRule="auto"/>
              <w:jc w:val="center"/>
              <w:rPr>
                <w:rStyle w:val="84"/>
                <w:rFonts w:ascii="宋体" w:hAnsi="宋体"/>
                <w:b/>
                <w:color w:val="auto"/>
                <w:szCs w:val="21"/>
                <w:highlight w:val="none"/>
              </w:rPr>
            </w:pPr>
            <w:r>
              <w:rPr>
                <w:rStyle w:val="84"/>
                <w:rFonts w:ascii="宋体" w:hAnsi="宋体"/>
                <w:b/>
                <w:color w:val="auto"/>
                <w:szCs w:val="21"/>
                <w:highlight w:val="none"/>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r>
              <w:rPr>
                <w:rStyle w:val="84"/>
                <w:rFonts w:ascii="宋体" w:hAnsi="宋体"/>
                <w:color w:val="auto"/>
                <w:szCs w:val="21"/>
                <w:highlight w:val="none"/>
              </w:rPr>
              <w:t>1</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ascii="宋体" w:hAnsi="宋体"/>
                <w:color w:val="auto"/>
                <w:szCs w:val="21"/>
                <w:highlight w:val="none"/>
              </w:rPr>
              <w:t>投标人参加投标的意思表达清楚，投标人代表被授权有效</w:t>
            </w:r>
          </w:p>
        </w:tc>
        <w:tc>
          <w:tcPr>
            <w:tcW w:w="388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ascii="宋体" w:hAnsi="宋体"/>
                <w:color w:val="auto"/>
                <w:szCs w:val="21"/>
                <w:highlight w:val="none"/>
              </w:rPr>
              <w:t>投标人声明、法定代表人证明书；委托投标的还应提供法人授权委托证明书</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r>
              <w:rPr>
                <w:rStyle w:val="84"/>
                <w:rFonts w:ascii="宋体" w:hAnsi="宋体"/>
                <w:color w:val="auto"/>
                <w:szCs w:val="21"/>
                <w:highlight w:val="none"/>
              </w:rPr>
              <w:t>2</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ascii="宋体" w:hAnsi="宋体"/>
                <w:color w:val="auto"/>
                <w:szCs w:val="21"/>
                <w:highlight w:val="none"/>
              </w:rPr>
              <w:t>投标人均具有独立法人资格，按国家法律经营</w:t>
            </w:r>
          </w:p>
        </w:tc>
        <w:tc>
          <w:tcPr>
            <w:tcW w:w="388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hint="eastAsia" w:ascii="宋体" w:hAnsi="宋体"/>
                <w:color w:val="auto"/>
                <w:szCs w:val="21"/>
                <w:highlight w:val="none"/>
              </w:rPr>
              <w:t>营业执照在广州市住建行业信用管理平台内上传件</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r>
              <w:rPr>
                <w:rStyle w:val="84"/>
                <w:rFonts w:ascii="宋体" w:hAnsi="宋体"/>
                <w:color w:val="auto"/>
                <w:szCs w:val="21"/>
                <w:highlight w:val="none"/>
              </w:rPr>
              <w:t>3</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ascii="宋体" w:hAnsi="宋体"/>
                <w:color w:val="auto"/>
                <w:szCs w:val="21"/>
                <w:highlight w:val="none"/>
              </w:rPr>
              <w:t>投标人均持有建设行政主管部门颁发的企业资质证书及安全生产许可证；投标人资质符合公告要求</w:t>
            </w:r>
          </w:p>
        </w:tc>
        <w:tc>
          <w:tcPr>
            <w:tcW w:w="388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hint="eastAsia" w:ascii="宋体" w:hAnsi="宋体"/>
                <w:color w:val="auto"/>
                <w:szCs w:val="21"/>
                <w:highlight w:val="none"/>
              </w:rPr>
              <w:t>资质证书及安全生产许可证在广州市住建行业信用管理平台内上传件</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r>
              <w:rPr>
                <w:rStyle w:val="84"/>
                <w:rFonts w:ascii="宋体" w:hAnsi="宋体"/>
                <w:color w:val="auto"/>
                <w:szCs w:val="21"/>
                <w:highlight w:val="none"/>
              </w:rPr>
              <w:t>4</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ascii="宋体" w:hAnsi="宋体"/>
                <w:color w:val="auto"/>
                <w:szCs w:val="21"/>
                <w:highlight w:val="none"/>
              </w:rPr>
              <w:t>投标人拟担任本工程项目负责人符合公告要求</w:t>
            </w:r>
          </w:p>
        </w:tc>
        <w:tc>
          <w:tcPr>
            <w:tcW w:w="388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color w:val="auto"/>
                <w:highlight w:val="none"/>
              </w:rPr>
            </w:pPr>
            <w:r>
              <w:rPr>
                <w:rStyle w:val="84"/>
                <w:rFonts w:hint="eastAsia"/>
                <w:color w:val="auto"/>
                <w:highlight w:val="none"/>
              </w:rPr>
              <w:t>使用有效期内的注册建造师注册证书在广州市住建行业信用平台内上传件。</w:t>
            </w:r>
          </w:p>
          <w:p>
            <w:pPr>
              <w:spacing w:before="120" w:after="60" w:line="276" w:lineRule="auto"/>
              <w:jc w:val="left"/>
              <w:rPr>
                <w:rStyle w:val="84"/>
                <w:rFonts w:ascii="宋体" w:hAnsi="宋体"/>
                <w:color w:val="auto"/>
                <w:szCs w:val="21"/>
                <w:highlight w:val="none"/>
                <w:u w:val="single"/>
              </w:rPr>
            </w:pPr>
            <w:r>
              <w:rPr>
                <w:rStyle w:val="84"/>
                <w:rFonts w:hint="eastAsia"/>
                <w:color w:val="auto"/>
                <w:highlight w:val="none"/>
              </w:rPr>
              <w:t>（注：打印建造师电子证书后，应在个人签名处手写本人签名再上传广州市住建行业信用平台，上传件未手写签名或与签名图像笔迹不一致的，该电子证书无效。）</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r>
              <w:rPr>
                <w:rStyle w:val="84"/>
                <w:rFonts w:ascii="宋体" w:hAnsi="宋体"/>
                <w:color w:val="auto"/>
                <w:szCs w:val="21"/>
                <w:highlight w:val="none"/>
              </w:rPr>
              <w:t>5</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hint="eastAsia" w:ascii="宋体" w:hAnsi="宋体"/>
                <w:color w:val="auto"/>
                <w:szCs w:val="21"/>
                <w:highlight w:val="none"/>
              </w:rPr>
              <w:t>持有项目负责人安全</w:t>
            </w:r>
            <w:r>
              <w:rPr>
                <w:rStyle w:val="84"/>
                <w:rFonts w:hint="eastAsia" w:ascii="宋体" w:hAnsi="宋体"/>
                <w:b/>
                <w:bCs/>
                <w:color w:val="auto"/>
                <w:szCs w:val="21"/>
                <w:highlight w:val="none"/>
              </w:rPr>
              <w:t>生产</w:t>
            </w:r>
            <w:r>
              <w:rPr>
                <w:rStyle w:val="84"/>
                <w:rFonts w:hint="eastAsia" w:ascii="宋体" w:hAnsi="宋体"/>
                <w:color w:val="auto"/>
                <w:szCs w:val="21"/>
                <w:highlight w:val="none"/>
              </w:rPr>
              <w:t>考核合格证（B类）或建筑施工企业项目负责人安全生产考核合格证</w:t>
            </w:r>
          </w:p>
        </w:tc>
        <w:tc>
          <w:tcPr>
            <w:tcW w:w="388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hint="eastAsia" w:ascii="宋体" w:hAnsi="宋体"/>
                <w:color w:val="auto"/>
                <w:szCs w:val="21"/>
                <w:highlight w:val="none"/>
              </w:rPr>
              <w:t>项目负责人安全</w:t>
            </w:r>
            <w:r>
              <w:rPr>
                <w:rStyle w:val="84"/>
                <w:rFonts w:hint="eastAsia" w:ascii="宋体" w:hAnsi="宋体"/>
                <w:b/>
                <w:bCs/>
                <w:color w:val="auto"/>
                <w:szCs w:val="21"/>
                <w:highlight w:val="none"/>
              </w:rPr>
              <w:t>生产</w:t>
            </w:r>
            <w:r>
              <w:rPr>
                <w:rStyle w:val="84"/>
                <w:rFonts w:hint="eastAsia" w:ascii="宋体" w:hAnsi="宋体"/>
                <w:color w:val="auto"/>
                <w:szCs w:val="21"/>
                <w:highlight w:val="none"/>
              </w:rPr>
              <w:t>考核合格证（</w:t>
            </w:r>
            <w:r>
              <w:rPr>
                <w:rStyle w:val="84"/>
                <w:rFonts w:hint="eastAsia" w:ascii="宋体" w:hAnsi="宋体"/>
                <w:b/>
                <w:bCs/>
                <w:color w:val="auto"/>
                <w:szCs w:val="21"/>
                <w:highlight w:val="none"/>
              </w:rPr>
              <w:t>B类</w:t>
            </w:r>
            <w:r>
              <w:rPr>
                <w:rStyle w:val="84"/>
                <w:rFonts w:hint="eastAsia" w:ascii="宋体" w:hAnsi="宋体"/>
                <w:color w:val="auto"/>
                <w:szCs w:val="21"/>
                <w:highlight w:val="none"/>
              </w:rPr>
              <w:t>）或建筑施工企业项目负责人安全生产考核合格证在广州市住建行业信用管理平台内上传件</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r>
              <w:rPr>
                <w:rStyle w:val="84"/>
                <w:rFonts w:ascii="宋体" w:hAnsi="宋体"/>
                <w:color w:val="auto"/>
                <w:szCs w:val="21"/>
                <w:highlight w:val="none"/>
              </w:rPr>
              <w:t>6</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ascii="宋体" w:hAnsi="宋体"/>
                <w:color w:val="auto"/>
                <w:szCs w:val="21"/>
                <w:highlight w:val="none"/>
              </w:rPr>
              <w:t>投标人拟担任本工程技术负责人符合公告要求</w:t>
            </w:r>
          </w:p>
        </w:tc>
        <w:tc>
          <w:tcPr>
            <w:tcW w:w="388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ascii="宋体" w:hAnsi="宋体"/>
                <w:color w:val="auto"/>
                <w:szCs w:val="21"/>
                <w:highlight w:val="none"/>
              </w:rPr>
              <w:t>拟委托技术负责人的</w:t>
            </w:r>
            <w:r>
              <w:rPr>
                <w:rStyle w:val="84"/>
                <w:rFonts w:hint="eastAsia" w:ascii="宋体" w:hAnsi="宋体"/>
                <w:color w:val="auto"/>
                <w:szCs w:val="21"/>
                <w:highlight w:val="none"/>
              </w:rPr>
              <w:t>职称</w:t>
            </w:r>
            <w:r>
              <w:rPr>
                <w:rStyle w:val="84"/>
                <w:rFonts w:ascii="宋体" w:hAnsi="宋体"/>
                <w:color w:val="auto"/>
                <w:szCs w:val="21"/>
                <w:highlight w:val="none"/>
              </w:rPr>
              <w:t>证书</w:t>
            </w:r>
            <w:r>
              <w:rPr>
                <w:rStyle w:val="84"/>
                <w:rFonts w:hint="eastAsia" w:ascii="宋体" w:hAnsi="宋体"/>
                <w:color w:val="auto"/>
                <w:szCs w:val="21"/>
                <w:highlight w:val="none"/>
              </w:rPr>
              <w:t>扫描件</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r>
              <w:rPr>
                <w:rStyle w:val="84"/>
                <w:rFonts w:ascii="宋体" w:hAnsi="宋体"/>
                <w:color w:val="auto"/>
                <w:szCs w:val="21"/>
                <w:highlight w:val="none"/>
              </w:rPr>
              <w:t>7</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hint="eastAsia" w:ascii="宋体" w:hAnsi="宋体"/>
                <w:color w:val="auto"/>
                <w:szCs w:val="21"/>
                <w:highlight w:val="none"/>
              </w:rPr>
              <w:t>专职安全员须具有在有效期内的安全生产考核合格证（C类）或建筑施工企业专职安全生产管理人员安全生产考核合格证（C3）</w:t>
            </w:r>
          </w:p>
        </w:tc>
        <w:tc>
          <w:tcPr>
            <w:tcW w:w="388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hint="eastAsia" w:ascii="宋体" w:hAnsi="宋体"/>
                <w:color w:val="auto"/>
                <w:highlight w:val="none"/>
              </w:rPr>
              <w:t>专职安全员的安全生产考核合格证（C类）或建筑施工企业专职安全生产管理人员安全生产考核合格证（C3）在广州市住建行业信用管理平台内上传件</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r>
              <w:rPr>
                <w:rStyle w:val="84"/>
                <w:rFonts w:ascii="宋体" w:hAnsi="宋体"/>
                <w:color w:val="auto"/>
                <w:szCs w:val="21"/>
                <w:highlight w:val="none"/>
              </w:rPr>
              <w:t>8</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ascii="宋体" w:hAnsi="宋体"/>
                <w:color w:val="auto"/>
                <w:szCs w:val="21"/>
                <w:highlight w:val="none"/>
              </w:rPr>
              <w:t>投标人提供的投标人声明符合公告要求</w:t>
            </w:r>
          </w:p>
        </w:tc>
        <w:tc>
          <w:tcPr>
            <w:tcW w:w="388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ascii="宋体" w:hAnsi="宋体"/>
                <w:color w:val="auto"/>
                <w:szCs w:val="21"/>
                <w:highlight w:val="none"/>
              </w:rPr>
              <w:t>投标人声明</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r>
              <w:rPr>
                <w:rStyle w:val="84"/>
                <w:rFonts w:ascii="宋体" w:hAnsi="宋体"/>
                <w:color w:val="auto"/>
                <w:szCs w:val="21"/>
                <w:highlight w:val="none"/>
              </w:rPr>
              <w:t>9</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ascii="宋体" w:hAnsi="宋体"/>
                <w:color w:val="auto"/>
                <w:szCs w:val="21"/>
                <w:highlight w:val="none"/>
              </w:rPr>
              <w:t>投标人声明中签字的项目负责人和技术负责人与本项目拟派的项目负责人和技术负责人一致</w:t>
            </w:r>
          </w:p>
        </w:tc>
        <w:tc>
          <w:tcPr>
            <w:tcW w:w="388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ascii="宋体" w:hAnsi="宋体"/>
                <w:color w:val="auto"/>
                <w:szCs w:val="21"/>
                <w:highlight w:val="none"/>
              </w:rPr>
              <w:t>网上投标时选择拟投标的项目负责人、资格审查文件中拟委派的技术负责人及投标人声明</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r>
              <w:rPr>
                <w:rStyle w:val="84"/>
                <w:rFonts w:ascii="宋体" w:hAnsi="宋体"/>
                <w:color w:val="auto"/>
                <w:szCs w:val="21"/>
                <w:highlight w:val="none"/>
              </w:rPr>
              <w:t>10</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Fonts w:hint="eastAsia" w:ascii="宋体" w:hAnsi="宋体"/>
                <w:color w:val="auto"/>
                <w:szCs w:val="21"/>
                <w:highlight w:val="none"/>
              </w:rPr>
              <w:t>关于联合体投标</w:t>
            </w:r>
          </w:p>
        </w:tc>
        <w:tc>
          <w:tcPr>
            <w:tcW w:w="388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hint="eastAsia" w:ascii="宋体" w:hAnsi="宋体"/>
                <w:color w:val="auto"/>
                <w:highlight w:val="none"/>
              </w:rPr>
              <w:t>/</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r>
              <w:rPr>
                <w:rStyle w:val="84"/>
                <w:rFonts w:ascii="宋体" w:hAnsi="宋体"/>
                <w:color w:val="auto"/>
                <w:szCs w:val="21"/>
                <w:highlight w:val="none"/>
              </w:rPr>
              <w:t>11</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hint="eastAsia" w:ascii="宋体" w:hAnsi="宋体"/>
                <w:color w:val="auto"/>
                <w:szCs w:val="21"/>
                <w:highlight w:val="none"/>
              </w:rPr>
              <w:t>资格审查前，投标人须在广州市住房和城乡建设局建立企业信用档案及拟担任本工程项目负责人、专职安全员须是本企业中的在册人员</w:t>
            </w:r>
          </w:p>
        </w:tc>
        <w:tc>
          <w:tcPr>
            <w:tcW w:w="388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hint="eastAsia" w:ascii="宋体" w:hAnsi="宋体"/>
                <w:color w:val="auto"/>
                <w:szCs w:val="21"/>
                <w:highlight w:val="none"/>
              </w:rPr>
              <w:t>投标人在广州市住建行业信用管理平台内企业信用档案的企业和人员信息</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r>
              <w:rPr>
                <w:rStyle w:val="84"/>
                <w:rFonts w:ascii="宋体" w:hAnsi="宋体"/>
                <w:color w:val="auto"/>
                <w:szCs w:val="21"/>
                <w:highlight w:val="none"/>
              </w:rPr>
              <w:t>12</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color w:val="auto"/>
                <w:highlight w:val="none"/>
              </w:rPr>
            </w:pPr>
            <w:r>
              <w:rPr>
                <w:rFonts w:hint="eastAsia" w:ascii="宋体" w:hAnsi="宋体"/>
                <w:color w:val="auto"/>
                <w:highlight w:val="none"/>
              </w:rPr>
              <w:t>投标人未出现以下情形：与其它投标人的单位负责人为同一人或者存在控股、管理关系的（按投标人提供的《投标人声明》第八条内容进行评审）。</w:t>
            </w:r>
          </w:p>
        </w:tc>
        <w:tc>
          <w:tcPr>
            <w:tcW w:w="388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hint="eastAsia" w:ascii="宋体" w:hAnsi="宋体"/>
                <w:color w:val="auto"/>
                <w:szCs w:val="21"/>
                <w:highlight w:val="none"/>
              </w:rPr>
              <w:t>投标人声明</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r>
              <w:rPr>
                <w:rStyle w:val="84"/>
                <w:rFonts w:hint="eastAsia" w:ascii="宋体" w:hAnsi="宋体"/>
                <w:color w:val="auto"/>
                <w:szCs w:val="21"/>
                <w:highlight w:val="none"/>
              </w:rPr>
              <w:t>13</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Style w:val="84"/>
                <w:rFonts w:hint="eastAsia" w:ascii="宋体" w:hAnsi="宋体"/>
                <w:color w:val="auto"/>
                <w:szCs w:val="21"/>
                <w:highlight w:val="none"/>
              </w:rPr>
              <w:t>未被列入拖欠农民工工资失信联合惩戒对象名单</w:t>
            </w:r>
          </w:p>
        </w:tc>
        <w:tc>
          <w:tcPr>
            <w:tcW w:w="388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84"/>
                <w:rFonts w:ascii="宋体" w:hAnsi="宋体"/>
                <w:color w:val="auto"/>
                <w:szCs w:val="21"/>
                <w:highlight w:val="none"/>
              </w:rPr>
            </w:pPr>
            <w:r>
              <w:rPr>
                <w:rFonts w:hint="eastAsia" w:ascii="宋体" w:hAnsi="宋体" w:cs="宋体"/>
                <w:color w:val="auto"/>
                <w:szCs w:val="21"/>
                <w:highlight w:val="none"/>
              </w:rPr>
              <w:t>投标人无需提供资料，按交易系统比对的结果进行评审</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84"/>
                <w:rFonts w:ascii="宋体" w:hAnsi="宋体"/>
                <w:color w:val="auto"/>
                <w:szCs w:val="21"/>
                <w:highlight w:val="none"/>
              </w:rPr>
            </w:pPr>
          </w:p>
        </w:tc>
      </w:tr>
    </w:tbl>
    <w:p>
      <w:pPr>
        <w:ind w:firstLine="89" w:firstLineChars="224"/>
        <w:rPr>
          <w:rStyle w:val="84"/>
          <w:rFonts w:ascii="宋体" w:hAnsi="宋体"/>
          <w:color w:val="auto"/>
          <w:sz w:val="4"/>
          <w:szCs w:val="4"/>
          <w:highlight w:val="none"/>
        </w:rPr>
      </w:pPr>
    </w:p>
    <w:p>
      <w:pPr>
        <w:spacing w:line="276" w:lineRule="auto"/>
        <w:ind w:firstLine="470" w:firstLineChars="224"/>
        <w:rPr>
          <w:rStyle w:val="84"/>
          <w:rFonts w:ascii="宋体" w:hAnsi="宋体"/>
          <w:color w:val="auto"/>
          <w:szCs w:val="21"/>
          <w:highlight w:val="none"/>
        </w:rPr>
      </w:pPr>
      <w:r>
        <w:rPr>
          <w:rStyle w:val="84"/>
          <w:rFonts w:hint="eastAsia" w:ascii="宋体" w:hAnsi="宋体"/>
          <w:color w:val="auto"/>
          <w:szCs w:val="21"/>
          <w:highlight w:val="none"/>
        </w:rPr>
        <w:t>备注：</w:t>
      </w:r>
    </w:p>
    <w:p>
      <w:pPr>
        <w:spacing w:line="276" w:lineRule="auto"/>
        <w:ind w:firstLine="470" w:firstLineChars="224"/>
        <w:rPr>
          <w:rStyle w:val="84"/>
          <w:rFonts w:ascii="宋体" w:hAnsi="宋体"/>
          <w:color w:val="auto"/>
          <w:szCs w:val="21"/>
          <w:highlight w:val="none"/>
        </w:rPr>
      </w:pPr>
      <w:r>
        <w:rPr>
          <w:rStyle w:val="84"/>
          <w:rFonts w:hint="eastAsia" w:ascii="宋体" w:hAnsi="宋体"/>
          <w:color w:val="auto"/>
          <w:szCs w:val="21"/>
          <w:highlight w:val="none"/>
        </w:rPr>
        <w:t xml:space="preserve">1、每一项目符合的打“○”，不符合的打“×”； </w:t>
      </w:r>
    </w:p>
    <w:p>
      <w:pPr>
        <w:spacing w:line="276" w:lineRule="auto"/>
        <w:ind w:firstLine="470" w:firstLineChars="224"/>
        <w:rPr>
          <w:rStyle w:val="84"/>
          <w:rFonts w:ascii="宋体" w:hAnsi="宋体"/>
          <w:color w:val="auto"/>
          <w:szCs w:val="21"/>
          <w:highlight w:val="none"/>
        </w:rPr>
      </w:pPr>
      <w:r>
        <w:rPr>
          <w:rStyle w:val="84"/>
          <w:rFonts w:hint="eastAsia" w:ascii="宋体" w:hAnsi="宋体"/>
          <w:color w:val="auto"/>
          <w:szCs w:val="21"/>
          <w:highlight w:val="none"/>
        </w:rPr>
        <w:t>2、若评委意见不一致时，则按少数服从多数的原则，作出评审结论。汇总后，出现一个“×”的结论为“不通过”。</w:t>
      </w:r>
    </w:p>
    <w:p>
      <w:pPr>
        <w:spacing w:line="276" w:lineRule="auto"/>
        <w:ind w:firstLine="470" w:firstLineChars="224"/>
        <w:rPr>
          <w:rStyle w:val="84"/>
          <w:rFonts w:ascii="宋体" w:hAnsi="宋体"/>
          <w:color w:val="auto"/>
          <w:szCs w:val="21"/>
          <w:highlight w:val="none"/>
        </w:rPr>
        <w:sectPr>
          <w:footerReference r:id="rId10" w:type="first"/>
          <w:footerReference r:id="rId9" w:type="default"/>
          <w:endnotePr>
            <w:numFmt w:val="decimal"/>
          </w:endnotePr>
          <w:pgSz w:w="11906" w:h="16838"/>
          <w:pgMar w:top="1418" w:right="1588" w:bottom="1418" w:left="1588" w:header="851" w:footer="907" w:gutter="0"/>
          <w:pgNumType w:start="1"/>
          <w:cols w:space="720" w:num="1"/>
          <w:docGrid w:type="lines" w:linePitch="312" w:charSpace="0"/>
        </w:sectPr>
      </w:pPr>
      <w:r>
        <w:rPr>
          <w:rStyle w:val="84"/>
          <w:rFonts w:hint="eastAsia" w:ascii="宋体" w:hAnsi="宋体"/>
          <w:color w:val="auto"/>
          <w:szCs w:val="21"/>
          <w:highlight w:val="none"/>
        </w:rPr>
        <w:t>3.</w:t>
      </w:r>
      <w:r>
        <w:rPr>
          <w:rStyle w:val="84"/>
          <w:rFonts w:ascii="宋体" w:hAnsi="宋体"/>
          <w:color w:val="auto"/>
          <w:szCs w:val="21"/>
          <w:highlight w:val="none"/>
        </w:rPr>
        <w:t>不得将</w:t>
      </w:r>
      <w:r>
        <w:rPr>
          <w:rStyle w:val="84"/>
          <w:rFonts w:hint="eastAsia" w:ascii="宋体" w:hAnsi="宋体"/>
          <w:color w:val="auto"/>
          <w:szCs w:val="21"/>
          <w:highlight w:val="none"/>
        </w:rPr>
        <w:t>文件顺序、</w:t>
      </w:r>
      <w:r>
        <w:rPr>
          <w:rStyle w:val="84"/>
          <w:rFonts w:ascii="宋体" w:hAnsi="宋体"/>
          <w:color w:val="auto"/>
          <w:szCs w:val="21"/>
          <w:highlight w:val="none"/>
        </w:rPr>
        <w:t>明显的文字错误等列为否</w:t>
      </w:r>
      <w:r>
        <w:rPr>
          <w:rStyle w:val="84"/>
          <w:rFonts w:hint="eastAsia" w:ascii="宋体" w:hAnsi="宋体"/>
          <w:color w:val="auto"/>
          <w:szCs w:val="21"/>
          <w:highlight w:val="none"/>
        </w:rPr>
        <w:t>决</w:t>
      </w:r>
      <w:r>
        <w:rPr>
          <w:rStyle w:val="84"/>
          <w:rFonts w:ascii="宋体" w:hAnsi="宋体"/>
          <w:color w:val="auto"/>
          <w:szCs w:val="21"/>
          <w:highlight w:val="none"/>
        </w:rPr>
        <w:t>投标的</w:t>
      </w:r>
      <w:r>
        <w:rPr>
          <w:rStyle w:val="84"/>
          <w:rFonts w:hint="eastAsia" w:ascii="宋体" w:hAnsi="宋体"/>
          <w:color w:val="auto"/>
          <w:szCs w:val="21"/>
          <w:highlight w:val="none"/>
        </w:rPr>
        <w:t>情形。评委</w:t>
      </w:r>
      <w:r>
        <w:rPr>
          <w:rStyle w:val="84"/>
          <w:rFonts w:ascii="宋体" w:hAnsi="宋体"/>
          <w:color w:val="auto"/>
          <w:szCs w:val="21"/>
          <w:highlight w:val="none"/>
        </w:rPr>
        <w:t>发现</w:t>
      </w:r>
      <w:r>
        <w:rPr>
          <w:rStyle w:val="84"/>
          <w:rFonts w:hint="eastAsia" w:ascii="宋体" w:hAnsi="宋体"/>
          <w:color w:val="auto"/>
          <w:szCs w:val="21"/>
          <w:highlight w:val="none"/>
        </w:rPr>
        <w:t>资格审查文件</w:t>
      </w:r>
      <w:r>
        <w:rPr>
          <w:rStyle w:val="84"/>
          <w:rFonts w:ascii="宋体" w:hAnsi="宋体"/>
          <w:color w:val="auto"/>
          <w:szCs w:val="21"/>
          <w:highlight w:val="none"/>
        </w:rPr>
        <w:t>中</w:t>
      </w:r>
      <w:r>
        <w:rPr>
          <w:rStyle w:val="84"/>
          <w:rFonts w:hint="eastAsia" w:ascii="宋体" w:hAnsi="宋体"/>
          <w:color w:val="auto"/>
          <w:szCs w:val="21"/>
          <w:highlight w:val="none"/>
        </w:rPr>
        <w:t>含义不明确</w:t>
      </w:r>
      <w:r>
        <w:rPr>
          <w:rStyle w:val="84"/>
          <w:rFonts w:ascii="宋体" w:hAnsi="宋体"/>
          <w:color w:val="auto"/>
          <w:szCs w:val="21"/>
          <w:highlight w:val="none"/>
        </w:rPr>
        <w:t>、对同类问题表述不一致、有明显</w:t>
      </w:r>
      <w:r>
        <w:rPr>
          <w:rStyle w:val="84"/>
          <w:rFonts w:hint="eastAsia" w:ascii="宋体" w:hAnsi="宋体"/>
          <w:color w:val="auto"/>
          <w:szCs w:val="21"/>
          <w:highlight w:val="none"/>
        </w:rPr>
        <w:t>文字</w:t>
      </w:r>
      <w:r>
        <w:rPr>
          <w:rStyle w:val="84"/>
          <w:rFonts w:ascii="宋体" w:hAnsi="宋体"/>
          <w:color w:val="auto"/>
          <w:szCs w:val="21"/>
          <w:highlight w:val="none"/>
        </w:rPr>
        <w:t>和计算错误的，应当</w:t>
      </w:r>
      <w:r>
        <w:rPr>
          <w:rStyle w:val="84"/>
          <w:rFonts w:hint="eastAsia" w:ascii="宋体" w:hAnsi="宋体"/>
          <w:color w:val="auto"/>
          <w:szCs w:val="21"/>
          <w:highlight w:val="none"/>
        </w:rPr>
        <w:t>要求</w:t>
      </w:r>
      <w:r>
        <w:rPr>
          <w:rStyle w:val="84"/>
          <w:rFonts w:ascii="宋体" w:hAnsi="宋体"/>
          <w:color w:val="auto"/>
          <w:szCs w:val="21"/>
          <w:highlight w:val="none"/>
        </w:rPr>
        <w:t>投标人作必要的澄清、说明</w:t>
      </w:r>
      <w:r>
        <w:rPr>
          <w:rStyle w:val="84"/>
          <w:rFonts w:hint="eastAsia" w:ascii="宋体" w:hAnsi="宋体"/>
          <w:color w:val="auto"/>
          <w:szCs w:val="21"/>
          <w:highlight w:val="none"/>
        </w:rPr>
        <w:t>后再判定投标人是否通过资格审查</w:t>
      </w:r>
      <w:r>
        <w:rPr>
          <w:rStyle w:val="84"/>
          <w:rFonts w:ascii="宋体" w:hAnsi="宋体"/>
          <w:color w:val="auto"/>
          <w:szCs w:val="21"/>
          <w:highlight w:val="none"/>
        </w:rPr>
        <w:t>，不得直接</w:t>
      </w:r>
      <w:r>
        <w:rPr>
          <w:rStyle w:val="84"/>
          <w:rFonts w:hint="eastAsia" w:ascii="宋体" w:hAnsi="宋体"/>
          <w:color w:val="auto"/>
          <w:szCs w:val="21"/>
          <w:highlight w:val="none"/>
        </w:rPr>
        <w:t>认定其不通过资格审查。</w:t>
      </w:r>
    </w:p>
    <w:p>
      <w:pPr>
        <w:spacing w:line="276" w:lineRule="auto"/>
        <w:rPr>
          <w:rStyle w:val="84"/>
          <w:rFonts w:ascii="宋体" w:hAnsi="宋体"/>
          <w:b/>
          <w:bCs/>
          <w:color w:val="auto"/>
          <w:szCs w:val="21"/>
          <w:highlight w:val="none"/>
        </w:rPr>
      </w:pPr>
      <w:r>
        <w:rPr>
          <w:rStyle w:val="84"/>
          <w:rFonts w:ascii="宋体" w:hAnsi="宋体"/>
          <w:b/>
          <w:bCs/>
          <w:color w:val="auto"/>
          <w:szCs w:val="21"/>
          <w:highlight w:val="none"/>
        </w:rPr>
        <w:t>附表二</w:t>
      </w:r>
    </w:p>
    <w:p>
      <w:pPr>
        <w:spacing w:line="276" w:lineRule="auto"/>
        <w:jc w:val="center"/>
        <w:rPr>
          <w:rStyle w:val="84"/>
          <w:rFonts w:ascii="宋体" w:hAnsi="宋体"/>
          <w:b/>
          <w:color w:val="auto"/>
          <w:sz w:val="36"/>
          <w:szCs w:val="36"/>
          <w:highlight w:val="none"/>
        </w:rPr>
      </w:pPr>
      <w:r>
        <w:rPr>
          <w:rStyle w:val="84"/>
          <w:rFonts w:ascii="宋体" w:hAnsi="宋体"/>
          <w:b/>
          <w:color w:val="auto"/>
          <w:sz w:val="36"/>
          <w:szCs w:val="36"/>
          <w:highlight w:val="none"/>
        </w:rPr>
        <w:t>技术标有效性审查表</w:t>
      </w:r>
    </w:p>
    <w:p>
      <w:pPr>
        <w:spacing w:line="276" w:lineRule="auto"/>
        <w:rPr>
          <w:rStyle w:val="84"/>
          <w:rFonts w:ascii="宋体" w:hAnsi="宋体"/>
          <w:color w:val="auto"/>
          <w:szCs w:val="21"/>
          <w:highlight w:val="none"/>
        </w:rPr>
      </w:pPr>
      <w:r>
        <w:rPr>
          <w:rStyle w:val="84"/>
          <w:rFonts w:ascii="宋体" w:hAnsi="宋体"/>
          <w:color w:val="auto"/>
          <w:szCs w:val="21"/>
          <w:highlight w:val="none"/>
        </w:rPr>
        <w:t>工程名称：</w:t>
      </w:r>
    </w:p>
    <w:tbl>
      <w:tblPr>
        <w:tblStyle w:val="24"/>
        <w:tblW w:w="134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11117"/>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序号</w:t>
            </w:r>
          </w:p>
        </w:tc>
        <w:tc>
          <w:tcPr>
            <w:tcW w:w="11117" w:type="dxa"/>
            <w:tcBorders>
              <w:top w:val="single" w:color="000000" w:sz="4" w:space="0"/>
              <w:left w:val="single" w:color="000000" w:sz="4" w:space="0"/>
              <w:bottom w:val="single" w:color="000000" w:sz="4" w:space="0"/>
              <w:right w:val="single" w:color="000000" w:sz="4" w:space="0"/>
              <w:tl2br w:val="single" w:color="auto" w:sz="4" w:space="0"/>
            </w:tcBorders>
          </w:tcPr>
          <w:p>
            <w:pPr>
              <w:spacing w:line="276" w:lineRule="auto"/>
              <w:ind w:firstLine="7035" w:firstLineChars="3350"/>
              <w:rPr>
                <w:rStyle w:val="84"/>
                <w:rFonts w:ascii="宋体" w:hAnsi="宋体"/>
                <w:color w:val="auto"/>
                <w:szCs w:val="21"/>
                <w:highlight w:val="none"/>
              </w:rPr>
            </w:pPr>
            <w:r>
              <w:rPr>
                <w:rStyle w:val="84"/>
                <w:rFonts w:ascii="宋体" w:hAnsi="宋体"/>
                <w:color w:val="auto"/>
                <w:szCs w:val="21"/>
                <w:highlight w:val="none"/>
              </w:rPr>
              <w:t>投标人</w:t>
            </w:r>
          </w:p>
          <w:p>
            <w:pPr>
              <w:spacing w:line="276" w:lineRule="auto"/>
              <w:rPr>
                <w:rStyle w:val="84"/>
                <w:rFonts w:ascii="宋体" w:hAnsi="宋体"/>
                <w:color w:val="auto"/>
                <w:szCs w:val="21"/>
                <w:highlight w:val="none"/>
              </w:rPr>
            </w:pPr>
            <w:r>
              <w:rPr>
                <w:rStyle w:val="84"/>
                <w:rFonts w:ascii="宋体" w:hAnsi="宋体"/>
                <w:color w:val="auto"/>
                <w:szCs w:val="21"/>
                <w:highlight w:val="none"/>
              </w:rPr>
              <w:t>评审内容</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不能满足完成投标项目工期的；</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不符合招标文件质量标准的；</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3</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投标文件中没有有效的法定代表人证明书，或由委托代理人签署或盖章的投标文件中没有法定代表人授权书；</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4</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color w:val="auto"/>
                <w:highlight w:val="none"/>
              </w:rPr>
            </w:pPr>
            <w:r>
              <w:rPr>
                <w:rFonts w:hint="eastAsia" w:ascii="宋体" w:hAnsi="宋体"/>
                <w:color w:val="auto"/>
                <w:highlight w:val="none"/>
              </w:rPr>
              <w:t>投标文件未按规定的格式（技术标投标文件</w:t>
            </w:r>
            <w:r>
              <w:rPr>
                <w:rFonts w:hint="eastAsia" w:ascii="宋体" w:hAnsi="宋体"/>
                <w:color w:val="auto"/>
                <w:highlight w:val="none"/>
                <w:u w:val="single"/>
              </w:rPr>
              <w:t>格式一、格式四</w:t>
            </w:r>
            <w:r>
              <w:rPr>
                <w:rFonts w:hint="eastAsia" w:ascii="宋体" w:hAnsi="宋体"/>
                <w:color w:val="auto"/>
                <w:highlight w:val="none"/>
              </w:rPr>
              <w:t>）填写，或主要内容不全，或关键字迹模糊、无法辨认的；</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5</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投标人之间存在《广东省实施&lt;中华人民共和国招标投标法&gt;》第十六条所禁止的情形的；</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6</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无《参与编制技术标投标文件人员名单》的</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shd w:val="pct10"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7</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投标人未按要求提交投标保证金的</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8</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投标人与</w:t>
            </w:r>
            <w:r>
              <w:rPr>
                <w:rStyle w:val="84"/>
                <w:rFonts w:hint="eastAsia" w:ascii="宋体" w:hAnsi="宋体"/>
                <w:color w:val="auto"/>
                <w:szCs w:val="21"/>
                <w:highlight w:val="none"/>
              </w:rPr>
              <w:t>本项目</w:t>
            </w:r>
            <w:r>
              <w:rPr>
                <w:rStyle w:val="84"/>
                <w:rFonts w:ascii="宋体" w:hAnsi="宋体"/>
                <w:color w:val="auto"/>
                <w:szCs w:val="21"/>
                <w:highlight w:val="none"/>
              </w:rPr>
              <w:t>其他投标人加密打包投标文件电脑机器特征码一致的</w:t>
            </w:r>
            <w:r>
              <w:rPr>
                <w:rStyle w:val="84"/>
                <w:rFonts w:hint="eastAsia" w:ascii="宋体" w:hAnsi="宋体"/>
                <w:color w:val="auto"/>
                <w:szCs w:val="21"/>
                <w:highlight w:val="none"/>
              </w:rPr>
              <w:t>（</w:t>
            </w:r>
            <w:r>
              <w:rPr>
                <w:rStyle w:val="84"/>
                <w:rFonts w:ascii="宋体" w:hAnsi="宋体"/>
                <w:color w:val="auto"/>
                <w:szCs w:val="21"/>
                <w:highlight w:val="none"/>
              </w:rPr>
              <w:t>以交易平台评标系统的检索信息为准</w:t>
            </w:r>
            <w:r>
              <w:rPr>
                <w:rStyle w:val="84"/>
                <w:rFonts w:hint="eastAsia" w:ascii="宋体" w:hAnsi="宋体"/>
                <w:color w:val="auto"/>
                <w:szCs w:val="21"/>
                <w:highlight w:val="none"/>
              </w:rPr>
              <w:t>）</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bl>
    <w:p>
      <w:pPr>
        <w:spacing w:line="276" w:lineRule="auto"/>
        <w:ind w:firstLine="420" w:firstLineChars="200"/>
        <w:rPr>
          <w:rStyle w:val="84"/>
          <w:rFonts w:ascii="宋体" w:hAnsi="宋体"/>
          <w:color w:val="auto"/>
          <w:szCs w:val="21"/>
          <w:highlight w:val="none"/>
        </w:rPr>
      </w:pPr>
    </w:p>
    <w:p>
      <w:pPr>
        <w:spacing w:line="276" w:lineRule="auto"/>
        <w:ind w:firstLine="420" w:firstLineChars="200"/>
        <w:rPr>
          <w:rStyle w:val="84"/>
          <w:rFonts w:ascii="宋体" w:hAnsi="宋体"/>
          <w:color w:val="auto"/>
          <w:szCs w:val="21"/>
          <w:highlight w:val="none"/>
        </w:rPr>
      </w:pPr>
      <w:r>
        <w:rPr>
          <w:rStyle w:val="84"/>
          <w:rFonts w:hint="eastAsia" w:ascii="宋体" w:hAnsi="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spacing w:line="276" w:lineRule="auto"/>
        <w:ind w:firstLine="420" w:firstLineChars="200"/>
        <w:rPr>
          <w:rStyle w:val="84"/>
          <w:rFonts w:ascii="宋体" w:hAnsi="宋体"/>
          <w:color w:val="auto"/>
          <w:szCs w:val="21"/>
          <w:highlight w:val="none"/>
        </w:rPr>
      </w:pPr>
      <w:r>
        <w:rPr>
          <w:rStyle w:val="84"/>
          <w:rFonts w:hint="eastAsia" w:ascii="宋体" w:hAnsi="宋体"/>
          <w:color w:val="auto"/>
          <w:szCs w:val="21"/>
          <w:highlight w:val="none"/>
        </w:rPr>
        <w:t>2.</w:t>
      </w:r>
      <w:r>
        <w:rPr>
          <w:rStyle w:val="84"/>
          <w:rFonts w:ascii="宋体" w:hAnsi="宋体"/>
          <w:color w:val="auto"/>
          <w:szCs w:val="21"/>
          <w:highlight w:val="none"/>
        </w:rPr>
        <w:t>不得将</w:t>
      </w:r>
      <w:r>
        <w:rPr>
          <w:rStyle w:val="84"/>
          <w:rFonts w:hint="eastAsia" w:ascii="宋体" w:hAnsi="宋体"/>
          <w:color w:val="auto"/>
          <w:szCs w:val="21"/>
          <w:highlight w:val="none"/>
        </w:rPr>
        <w:t>文件顺序、</w:t>
      </w:r>
      <w:r>
        <w:rPr>
          <w:rStyle w:val="84"/>
          <w:rFonts w:ascii="宋体" w:hAnsi="宋体"/>
          <w:color w:val="auto"/>
          <w:szCs w:val="21"/>
          <w:highlight w:val="none"/>
        </w:rPr>
        <w:t>明显的文字错误等列为否</w:t>
      </w:r>
      <w:r>
        <w:rPr>
          <w:rStyle w:val="84"/>
          <w:rFonts w:hint="eastAsia" w:ascii="宋体" w:hAnsi="宋体"/>
          <w:color w:val="auto"/>
          <w:szCs w:val="21"/>
          <w:highlight w:val="none"/>
        </w:rPr>
        <w:t>决</w:t>
      </w:r>
      <w:r>
        <w:rPr>
          <w:rStyle w:val="84"/>
          <w:rFonts w:ascii="宋体" w:hAnsi="宋体"/>
          <w:color w:val="auto"/>
          <w:szCs w:val="21"/>
          <w:highlight w:val="none"/>
        </w:rPr>
        <w:t>投标的</w:t>
      </w:r>
      <w:r>
        <w:rPr>
          <w:rStyle w:val="84"/>
          <w:rFonts w:hint="eastAsia" w:ascii="宋体" w:hAnsi="宋体"/>
          <w:color w:val="auto"/>
          <w:szCs w:val="21"/>
          <w:highlight w:val="none"/>
        </w:rPr>
        <w:t>情形。评委</w:t>
      </w:r>
      <w:r>
        <w:rPr>
          <w:rStyle w:val="84"/>
          <w:rFonts w:ascii="宋体" w:hAnsi="宋体"/>
          <w:color w:val="auto"/>
          <w:szCs w:val="21"/>
          <w:highlight w:val="none"/>
        </w:rPr>
        <w:t>发现投标</w:t>
      </w:r>
      <w:r>
        <w:rPr>
          <w:rStyle w:val="84"/>
          <w:rFonts w:hint="eastAsia" w:ascii="宋体" w:hAnsi="宋体"/>
          <w:color w:val="auto"/>
          <w:szCs w:val="21"/>
          <w:highlight w:val="none"/>
        </w:rPr>
        <w:t>文件</w:t>
      </w:r>
      <w:r>
        <w:rPr>
          <w:rStyle w:val="84"/>
          <w:rFonts w:ascii="宋体" w:hAnsi="宋体"/>
          <w:color w:val="auto"/>
          <w:szCs w:val="21"/>
          <w:highlight w:val="none"/>
        </w:rPr>
        <w:t>中</w:t>
      </w:r>
      <w:r>
        <w:rPr>
          <w:rStyle w:val="84"/>
          <w:rFonts w:hint="eastAsia" w:ascii="宋体" w:hAnsi="宋体"/>
          <w:color w:val="auto"/>
          <w:szCs w:val="21"/>
          <w:highlight w:val="none"/>
        </w:rPr>
        <w:t>含义不明确</w:t>
      </w:r>
      <w:r>
        <w:rPr>
          <w:rStyle w:val="84"/>
          <w:rFonts w:ascii="宋体" w:hAnsi="宋体"/>
          <w:color w:val="auto"/>
          <w:szCs w:val="21"/>
          <w:highlight w:val="none"/>
        </w:rPr>
        <w:t>、对同类问题表述不一致、有明显</w:t>
      </w:r>
      <w:r>
        <w:rPr>
          <w:rStyle w:val="84"/>
          <w:rFonts w:hint="eastAsia" w:ascii="宋体" w:hAnsi="宋体"/>
          <w:color w:val="auto"/>
          <w:szCs w:val="21"/>
          <w:highlight w:val="none"/>
        </w:rPr>
        <w:t>文字</w:t>
      </w:r>
      <w:r>
        <w:rPr>
          <w:rStyle w:val="84"/>
          <w:rFonts w:ascii="宋体" w:hAnsi="宋体"/>
          <w:color w:val="auto"/>
          <w:szCs w:val="21"/>
          <w:highlight w:val="none"/>
        </w:rPr>
        <w:t>和计算错误</w:t>
      </w:r>
      <w:r>
        <w:rPr>
          <w:rStyle w:val="84"/>
          <w:rFonts w:hint="eastAsia" w:ascii="宋体" w:hAnsi="宋体"/>
          <w:color w:val="auto"/>
          <w:szCs w:val="21"/>
          <w:highlight w:val="none"/>
        </w:rPr>
        <w:t>的，</w:t>
      </w:r>
      <w:r>
        <w:rPr>
          <w:rStyle w:val="84"/>
          <w:rFonts w:ascii="宋体" w:hAnsi="宋体"/>
          <w:color w:val="auto"/>
          <w:szCs w:val="21"/>
          <w:highlight w:val="none"/>
        </w:rPr>
        <w:t>应当</w:t>
      </w:r>
      <w:r>
        <w:rPr>
          <w:rStyle w:val="84"/>
          <w:rFonts w:hint="eastAsia" w:ascii="宋体" w:hAnsi="宋体"/>
          <w:color w:val="auto"/>
          <w:szCs w:val="21"/>
          <w:highlight w:val="none"/>
        </w:rPr>
        <w:t>要求</w:t>
      </w:r>
      <w:r>
        <w:rPr>
          <w:rStyle w:val="84"/>
          <w:rFonts w:ascii="宋体" w:hAnsi="宋体"/>
          <w:color w:val="auto"/>
          <w:szCs w:val="21"/>
          <w:highlight w:val="none"/>
        </w:rPr>
        <w:t>投标人作必要的澄清、说明</w:t>
      </w:r>
      <w:r>
        <w:rPr>
          <w:rStyle w:val="84"/>
          <w:rFonts w:hint="eastAsia" w:ascii="宋体" w:hAnsi="宋体"/>
          <w:color w:val="auto"/>
          <w:szCs w:val="21"/>
          <w:highlight w:val="none"/>
        </w:rPr>
        <w:t>后再判定投标人是否通过有效性审查</w:t>
      </w:r>
      <w:r>
        <w:rPr>
          <w:rStyle w:val="84"/>
          <w:rFonts w:ascii="宋体" w:hAnsi="宋体"/>
          <w:color w:val="auto"/>
          <w:szCs w:val="21"/>
          <w:highlight w:val="none"/>
        </w:rPr>
        <w:t>，不得直接否决投标</w:t>
      </w:r>
      <w:r>
        <w:rPr>
          <w:rStyle w:val="84"/>
          <w:rFonts w:hint="eastAsia" w:ascii="宋体" w:hAnsi="宋体"/>
          <w:color w:val="auto"/>
          <w:szCs w:val="21"/>
          <w:highlight w:val="none"/>
        </w:rPr>
        <w:t>，若出现评标委员会否决投标的，应在评标报告中载明否决投标的具体情形、原因；</w:t>
      </w:r>
    </w:p>
    <w:p>
      <w:pPr>
        <w:spacing w:line="276" w:lineRule="auto"/>
        <w:ind w:firstLine="420" w:firstLineChars="200"/>
        <w:rPr>
          <w:rStyle w:val="84"/>
          <w:rFonts w:ascii="宋体" w:hAnsi="宋体"/>
          <w:color w:val="auto"/>
          <w:szCs w:val="21"/>
          <w:highlight w:val="none"/>
        </w:rPr>
      </w:pPr>
      <w:r>
        <w:rPr>
          <w:rStyle w:val="84"/>
          <w:rFonts w:hint="eastAsia" w:ascii="宋体" w:hAnsi="宋体"/>
          <w:color w:val="auto"/>
          <w:szCs w:val="21"/>
          <w:highlight w:val="none"/>
        </w:rPr>
        <w:t>3.凡出现以上任何一项情形，结论均为无效，否则就为有效。</w:t>
      </w:r>
    </w:p>
    <w:p>
      <w:pPr>
        <w:spacing w:line="276" w:lineRule="auto"/>
        <w:ind w:firstLine="420" w:firstLineChars="200"/>
        <w:rPr>
          <w:rStyle w:val="84"/>
          <w:rFonts w:ascii="宋体" w:hAnsi="宋体"/>
          <w:color w:val="auto"/>
          <w:szCs w:val="21"/>
          <w:highlight w:val="none"/>
        </w:rPr>
      </w:pPr>
      <w:r>
        <w:rPr>
          <w:rStyle w:val="84"/>
          <w:rFonts w:hint="eastAsia" w:ascii="宋体" w:hAnsi="宋体"/>
          <w:color w:val="auto"/>
          <w:szCs w:val="21"/>
          <w:highlight w:val="none"/>
        </w:rPr>
        <w:t>4.如对本表中某种情形的评审意见不一致时，以评标委员会过半数成员的意见作为评标委员会对该情形的认定结论。</w:t>
      </w:r>
    </w:p>
    <w:p>
      <w:pPr>
        <w:spacing w:line="276" w:lineRule="auto"/>
        <w:ind w:firstLine="420" w:firstLineChars="200"/>
        <w:rPr>
          <w:rStyle w:val="84"/>
          <w:rFonts w:ascii="宋体" w:hAnsi="宋体"/>
          <w:color w:val="auto"/>
          <w:szCs w:val="21"/>
          <w:highlight w:val="none"/>
        </w:rPr>
      </w:pPr>
    </w:p>
    <w:p>
      <w:pPr>
        <w:spacing w:line="276" w:lineRule="auto"/>
        <w:ind w:firstLine="420" w:firstLineChars="200"/>
        <w:rPr>
          <w:rStyle w:val="84"/>
          <w:rFonts w:ascii="宋体" w:hAnsi="宋体"/>
          <w:color w:val="auto"/>
          <w:szCs w:val="21"/>
          <w:highlight w:val="none"/>
        </w:rPr>
      </w:pPr>
      <w:r>
        <w:rPr>
          <w:rStyle w:val="84"/>
          <w:rFonts w:ascii="宋体" w:hAnsi="宋体"/>
          <w:color w:val="auto"/>
          <w:szCs w:val="21"/>
          <w:highlight w:val="none"/>
        </w:rPr>
        <w:t>评委签名：</w:t>
      </w:r>
    </w:p>
    <w:p>
      <w:pPr>
        <w:spacing w:line="276" w:lineRule="auto"/>
        <w:rPr>
          <w:rStyle w:val="84"/>
          <w:rFonts w:ascii="宋体" w:hAnsi="宋体"/>
          <w:b/>
          <w:bCs/>
          <w:color w:val="auto"/>
          <w:szCs w:val="21"/>
          <w:highlight w:val="none"/>
        </w:rPr>
      </w:pPr>
      <w:r>
        <w:rPr>
          <w:rStyle w:val="84"/>
          <w:rFonts w:ascii="宋体" w:hAnsi="宋体"/>
          <w:color w:val="auto"/>
          <w:highlight w:val="none"/>
        </w:rPr>
        <w:br w:type="page"/>
      </w:r>
      <w:r>
        <w:rPr>
          <w:rFonts w:ascii="宋体" w:hAnsi="宋体"/>
          <w:color w:val="auto"/>
          <w:szCs w:val="21"/>
          <w:highlight w:val="none"/>
        </w:rPr>
        <w:pict>
          <v:shape id="自选图形 14" o:spid="_x0000_s2050" o:spt="32" type="#_x0000_t32" style="position:absolute;left:0pt;margin-left:55.2pt;margin-top:-125.9pt;height:33.4pt;width:549.8pt;z-index:251663360;mso-width-relative:page;mso-height-relative:page;" filled="f" coordsize="21600,21600" o:gfxdata="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10KiXZAAAADgEAAA8AAAAAAAAAAQAgAAAAIgAAAGRycy9k&#10;b3ducmV2LnhtbFBLAQIUABQAAAAIAIdO4kAvC8KFAQIAAPcDAAAOAAAAAAAAAAEAIAAAACgBAABk&#10;cnMvZTJvRG9jLnhtbFBLBQYAAAAABgAGAFkBAACbBQAAAAA=&#10;">
            <v:path arrowok="t"/>
            <v:fill on="f" focussize="0,0"/>
            <v:stroke/>
            <v:imagedata o:title=""/>
            <o:lock v:ext="edit"/>
          </v:shape>
        </w:pict>
      </w:r>
      <w:r>
        <w:rPr>
          <w:rStyle w:val="84"/>
          <w:rFonts w:ascii="宋体" w:hAnsi="宋体"/>
          <w:b/>
          <w:bCs/>
          <w:color w:val="auto"/>
          <w:szCs w:val="21"/>
          <w:highlight w:val="none"/>
        </w:rPr>
        <w:t>附表三</w:t>
      </w:r>
    </w:p>
    <w:p>
      <w:pPr>
        <w:spacing w:line="276" w:lineRule="auto"/>
        <w:jc w:val="center"/>
        <w:rPr>
          <w:rStyle w:val="84"/>
          <w:rFonts w:ascii="宋体" w:hAnsi="宋体"/>
          <w:b/>
          <w:color w:val="auto"/>
          <w:sz w:val="36"/>
          <w:szCs w:val="36"/>
          <w:highlight w:val="none"/>
        </w:rPr>
      </w:pPr>
      <w:r>
        <w:rPr>
          <w:rStyle w:val="84"/>
          <w:rFonts w:ascii="宋体" w:hAnsi="宋体"/>
          <w:b/>
          <w:color w:val="auto"/>
          <w:sz w:val="36"/>
          <w:szCs w:val="36"/>
          <w:highlight w:val="none"/>
        </w:rPr>
        <w:t>经济标有效性审查表</w:t>
      </w:r>
    </w:p>
    <w:p>
      <w:pPr>
        <w:spacing w:line="276" w:lineRule="auto"/>
        <w:rPr>
          <w:rStyle w:val="84"/>
          <w:rFonts w:ascii="宋体" w:hAnsi="宋体"/>
          <w:color w:val="auto"/>
          <w:szCs w:val="21"/>
          <w:highlight w:val="none"/>
        </w:rPr>
      </w:pPr>
      <w:r>
        <w:rPr>
          <w:rStyle w:val="84"/>
          <w:rFonts w:ascii="宋体" w:hAnsi="宋体"/>
          <w:color w:val="auto"/>
          <w:szCs w:val="21"/>
          <w:highlight w:val="none"/>
        </w:rPr>
        <w:t>工程名称：</w:t>
      </w:r>
    </w:p>
    <w:tbl>
      <w:tblPr>
        <w:tblStyle w:val="24"/>
        <w:tblW w:w="134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10738"/>
        <w:gridCol w:w="1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序号</w:t>
            </w:r>
          </w:p>
        </w:tc>
        <w:tc>
          <w:tcPr>
            <w:tcW w:w="10738" w:type="dxa"/>
            <w:tcBorders>
              <w:top w:val="single" w:color="000000" w:sz="4" w:space="0"/>
              <w:left w:val="single" w:color="000000" w:sz="4" w:space="0"/>
              <w:bottom w:val="single" w:color="000000" w:sz="4" w:space="0"/>
              <w:right w:val="single" w:color="000000" w:sz="4" w:space="0"/>
              <w:tl2br w:val="single" w:color="auto" w:sz="4" w:space="0"/>
            </w:tcBorders>
          </w:tcPr>
          <w:p>
            <w:pPr>
              <w:spacing w:line="276" w:lineRule="auto"/>
              <w:ind w:firstLine="7245" w:firstLineChars="3450"/>
              <w:rPr>
                <w:rStyle w:val="84"/>
                <w:rFonts w:ascii="宋体" w:hAnsi="宋体"/>
                <w:color w:val="auto"/>
                <w:szCs w:val="21"/>
                <w:highlight w:val="none"/>
              </w:rPr>
            </w:pPr>
            <w:r>
              <w:rPr>
                <w:rStyle w:val="84"/>
                <w:rFonts w:ascii="宋体" w:hAnsi="宋体"/>
                <w:color w:val="auto"/>
                <w:szCs w:val="21"/>
                <w:highlight w:val="none"/>
              </w:rPr>
              <w:t>投标人</w:t>
            </w:r>
          </w:p>
          <w:p>
            <w:pPr>
              <w:spacing w:line="276" w:lineRule="auto"/>
              <w:rPr>
                <w:rStyle w:val="84"/>
                <w:rFonts w:ascii="宋体" w:hAnsi="宋体"/>
                <w:color w:val="auto"/>
                <w:szCs w:val="21"/>
                <w:highlight w:val="none"/>
              </w:rPr>
            </w:pPr>
            <w:r>
              <w:rPr>
                <w:rStyle w:val="84"/>
                <w:rFonts w:ascii="宋体" w:hAnsi="宋体"/>
                <w:color w:val="auto"/>
                <w:szCs w:val="21"/>
                <w:highlight w:val="none"/>
              </w:rPr>
              <w:t>评审内容</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1</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对同一招标项目出现两个或以上的投标报价，且没有申明哪个有效；</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2</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投标报价高于最高投标限价的；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3</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leftChars="-1"/>
              <w:jc w:val="left"/>
              <w:rPr>
                <w:rStyle w:val="84"/>
                <w:rFonts w:ascii="宋体" w:hAnsi="宋体"/>
                <w:color w:val="auto"/>
                <w:szCs w:val="21"/>
                <w:highlight w:val="none"/>
              </w:rPr>
            </w:pPr>
            <w:r>
              <w:rPr>
                <w:rStyle w:val="84"/>
                <w:rFonts w:ascii="宋体" w:hAnsi="宋体"/>
                <w:color w:val="auto"/>
                <w:szCs w:val="21"/>
                <w:highlight w:val="none"/>
              </w:rPr>
              <w:t>投标报价低于成本的；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4</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算术复核后的投标报价与原投标报价相比存在1%或以上误差的；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5</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color w:val="auto"/>
                <w:highlight w:val="none"/>
              </w:rPr>
            </w:pPr>
            <w:r>
              <w:rPr>
                <w:rFonts w:hint="eastAsia" w:ascii="宋体" w:hAnsi="宋体"/>
                <w:color w:val="auto"/>
                <w:highlight w:val="none"/>
              </w:rPr>
              <w:t>投标文件未按规定的格式（</w:t>
            </w:r>
            <w:r>
              <w:rPr>
                <w:rFonts w:hint="eastAsia" w:ascii="宋体" w:hAnsi="宋体"/>
                <w:color w:val="auto"/>
                <w:highlight w:val="none"/>
                <w:u w:val="single"/>
              </w:rPr>
              <w:t>经济标投标文件格式一、格式二、格式三</w:t>
            </w:r>
            <w:r>
              <w:rPr>
                <w:rFonts w:hint="eastAsia" w:ascii="宋体" w:hAnsi="宋体"/>
                <w:color w:val="auto"/>
                <w:highlight w:val="none"/>
              </w:rPr>
              <w:t>）填写，或主要内容不全，或关键字迹模糊、无法辨认的；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6</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不同投标人的投标报价中分部分项工程量清单综合单价相似度达到80%及以上的</w:t>
            </w:r>
            <w:r>
              <w:rPr>
                <w:rStyle w:val="84"/>
                <w:rFonts w:hint="eastAsia" w:ascii="宋体" w:hAnsi="宋体"/>
                <w:color w:val="auto"/>
                <w:szCs w:val="21"/>
                <w:highlight w:val="none"/>
              </w:rPr>
              <w:t>（</w:t>
            </w:r>
            <w:r>
              <w:rPr>
                <w:rStyle w:val="84"/>
                <w:rFonts w:ascii="宋体" w:hAnsi="宋体"/>
                <w:color w:val="auto"/>
                <w:szCs w:val="21"/>
                <w:highlight w:val="none"/>
              </w:rPr>
              <w:t>以广州公共资源交易中心交易平台评标系统的检索信息为准</w:t>
            </w:r>
            <w:r>
              <w:rPr>
                <w:rStyle w:val="84"/>
                <w:rFonts w:hint="eastAsia" w:ascii="宋体" w:hAnsi="宋体"/>
                <w:color w:val="auto"/>
                <w:szCs w:val="21"/>
                <w:highlight w:val="none"/>
              </w:rPr>
              <w:t>）</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7</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投标人之间存在《广东省实施&lt;中华人民共和国招标投标法&gt;》第十六条所禁止的情形的；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8</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无《参与编制经济标投标文件人员名单》的；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ascii="宋体" w:hAnsi="宋体"/>
                <w:color w:val="auto"/>
                <w:szCs w:val="21"/>
                <w:highlight w:val="none"/>
              </w:rPr>
              <w:t>9</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rFonts w:ascii="宋体" w:hAnsi="宋体"/>
                <w:color w:val="auto"/>
                <w:szCs w:val="21"/>
                <w:highlight w:val="none"/>
              </w:rPr>
            </w:pPr>
            <w:r>
              <w:rPr>
                <w:rStyle w:val="84"/>
                <w:rFonts w:ascii="宋体" w:hAnsi="宋体"/>
                <w:color w:val="auto"/>
                <w:szCs w:val="21"/>
                <w:highlight w:val="none"/>
              </w:rPr>
              <w:t>无《对投标文件编制的承诺》</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84"/>
                <w:rFonts w:ascii="宋体" w:hAnsi="宋体"/>
                <w:color w:val="auto"/>
                <w:szCs w:val="21"/>
                <w:highlight w:val="none"/>
              </w:rPr>
            </w:pPr>
            <w:r>
              <w:rPr>
                <w:rStyle w:val="84"/>
                <w:rFonts w:hint="eastAsia" w:ascii="宋体" w:hAnsi="宋体"/>
                <w:color w:val="auto"/>
                <w:szCs w:val="21"/>
                <w:highlight w:val="none"/>
              </w:rPr>
              <w:t>10</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84"/>
                <w:rFonts w:ascii="宋体" w:hAnsi="宋体"/>
                <w:color w:val="auto"/>
                <w:szCs w:val="21"/>
                <w:highlight w:val="none"/>
              </w:rPr>
            </w:pPr>
            <w:r>
              <w:rPr>
                <w:rStyle w:val="84"/>
                <w:rFonts w:hint="eastAsia" w:ascii="宋体" w:hAnsi="宋体"/>
                <w:color w:val="auto"/>
                <w:szCs w:val="21"/>
                <w:highlight w:val="none"/>
              </w:rPr>
              <w:t>投标人与本项目其他投标人的投标文件工程量清单编制机器硬件信息一致的（以交易平台评标系统的检索信息为准）</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84"/>
                <w:rFonts w:ascii="宋体" w:hAnsi="宋体"/>
                <w:color w:val="auto"/>
                <w:szCs w:val="21"/>
                <w:highlight w:val="none"/>
              </w:rPr>
            </w:pPr>
          </w:p>
        </w:tc>
      </w:tr>
    </w:tbl>
    <w:p>
      <w:pPr>
        <w:spacing w:line="276" w:lineRule="auto"/>
        <w:ind w:firstLine="420" w:firstLineChars="200"/>
        <w:rPr>
          <w:rStyle w:val="84"/>
          <w:rFonts w:ascii="宋体" w:hAnsi="宋体"/>
          <w:color w:val="auto"/>
          <w:szCs w:val="21"/>
          <w:highlight w:val="none"/>
        </w:rPr>
      </w:pPr>
      <w:r>
        <w:rPr>
          <w:rStyle w:val="84"/>
          <w:rFonts w:hint="eastAsia" w:ascii="宋体" w:hAnsi="宋体"/>
          <w:color w:val="auto"/>
          <w:szCs w:val="21"/>
          <w:highlight w:val="none"/>
        </w:rPr>
        <w:t>注：1.本表使用GZZB2018-3招标文件范本，与范本内容不同之处均以下划线标明。</w:t>
      </w:r>
    </w:p>
    <w:p>
      <w:pPr>
        <w:spacing w:line="276" w:lineRule="auto"/>
        <w:ind w:firstLine="420" w:firstLineChars="200"/>
        <w:rPr>
          <w:rStyle w:val="84"/>
          <w:rFonts w:ascii="宋体" w:hAnsi="宋体"/>
          <w:color w:val="auto"/>
          <w:szCs w:val="21"/>
          <w:highlight w:val="none"/>
        </w:rPr>
      </w:pPr>
      <w:r>
        <w:rPr>
          <w:rStyle w:val="84"/>
          <w:rFonts w:hint="eastAsia" w:ascii="宋体" w:hAnsi="宋体"/>
          <w:color w:val="auto"/>
          <w:szCs w:val="21"/>
          <w:highlight w:val="none"/>
        </w:rPr>
        <w:t>2.凡出现以上任何一项情形，结论均为无效，否则就为有效。</w:t>
      </w:r>
    </w:p>
    <w:p>
      <w:pPr>
        <w:spacing w:line="276" w:lineRule="auto"/>
        <w:ind w:firstLine="420" w:firstLineChars="200"/>
        <w:rPr>
          <w:rStyle w:val="84"/>
          <w:rFonts w:ascii="宋体" w:hAnsi="宋体"/>
          <w:color w:val="auto"/>
          <w:szCs w:val="21"/>
          <w:highlight w:val="none"/>
        </w:rPr>
      </w:pPr>
      <w:r>
        <w:rPr>
          <w:rStyle w:val="84"/>
          <w:rFonts w:hint="eastAsia" w:ascii="宋体" w:hAnsi="宋体"/>
          <w:color w:val="auto"/>
          <w:szCs w:val="21"/>
          <w:highlight w:val="none"/>
        </w:rPr>
        <w:t>3.如对本表中某种情形的评审意见不一致时，以评标委员会过半数成员的意见作为评标委员会对该情形的认定结论。</w:t>
      </w:r>
    </w:p>
    <w:p>
      <w:pPr>
        <w:spacing w:line="276" w:lineRule="auto"/>
        <w:ind w:firstLine="420" w:firstLineChars="200"/>
        <w:rPr>
          <w:rStyle w:val="84"/>
          <w:rFonts w:ascii="宋体" w:hAnsi="宋体"/>
          <w:color w:val="auto"/>
          <w:szCs w:val="21"/>
          <w:highlight w:val="none"/>
        </w:rPr>
      </w:pPr>
      <w:r>
        <w:rPr>
          <w:rStyle w:val="84"/>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276" w:lineRule="auto"/>
        <w:ind w:firstLine="420" w:firstLineChars="200"/>
        <w:rPr>
          <w:rStyle w:val="84"/>
          <w:rFonts w:ascii="宋体" w:hAnsi="宋体"/>
          <w:color w:val="auto"/>
          <w:szCs w:val="21"/>
          <w:highlight w:val="none"/>
        </w:rPr>
        <w:sectPr>
          <w:endnotePr>
            <w:numFmt w:val="decimal"/>
          </w:endnotePr>
          <w:pgSz w:w="16838" w:h="11906"/>
          <w:pgMar w:top="1418" w:right="1701" w:bottom="1418" w:left="1701" w:header="851" w:footer="907" w:gutter="0"/>
          <w:cols w:space="720" w:num="1"/>
          <w:titlePg/>
          <w:docGrid w:type="lines" w:linePitch="312" w:charSpace="0"/>
        </w:sectPr>
      </w:pPr>
      <w:r>
        <w:rPr>
          <w:rStyle w:val="84"/>
          <w:rFonts w:ascii="宋体" w:hAnsi="宋体"/>
          <w:color w:val="auto"/>
          <w:szCs w:val="21"/>
          <w:highlight w:val="none"/>
        </w:rPr>
        <w:t>评委签名：</w:t>
      </w:r>
    </w:p>
    <w:p>
      <w:pPr>
        <w:widowControl w:val="0"/>
        <w:spacing w:line="276" w:lineRule="auto"/>
        <w:textAlignment w:val="auto"/>
        <w:rPr>
          <w:b/>
          <w:color w:val="auto"/>
          <w:szCs w:val="21"/>
          <w:highlight w:val="none"/>
        </w:rPr>
      </w:pPr>
      <w:r>
        <w:rPr>
          <w:rFonts w:hint="eastAsia" w:ascii="宋体" w:hAnsi="宋体"/>
          <w:b/>
          <w:color w:val="auto"/>
          <w:szCs w:val="21"/>
          <w:highlight w:val="none"/>
        </w:rPr>
        <w:t>附表四</w:t>
      </w:r>
    </w:p>
    <w:p>
      <w:pPr>
        <w:widowControl w:val="0"/>
        <w:spacing w:line="276" w:lineRule="auto"/>
        <w:jc w:val="center"/>
        <w:textAlignment w:val="auto"/>
        <w:rPr>
          <w:rFonts w:ascii="Times New Roman" w:hAnsi="Times New Roman"/>
          <w:b/>
          <w:color w:val="auto"/>
          <w:sz w:val="36"/>
          <w:szCs w:val="36"/>
          <w:highlight w:val="none"/>
        </w:rPr>
      </w:pPr>
      <w:r>
        <w:rPr>
          <w:rFonts w:hint="eastAsia" w:ascii="宋体" w:hAnsi="宋体"/>
          <w:b/>
          <w:color w:val="auto"/>
          <w:sz w:val="36"/>
          <w:szCs w:val="36"/>
          <w:highlight w:val="none"/>
        </w:rPr>
        <w:t>技术标详细审查评分表</w:t>
      </w:r>
    </w:p>
    <w:tbl>
      <w:tblPr>
        <w:tblStyle w:val="24"/>
        <w:tblW w:w="13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04"/>
        <w:gridCol w:w="735"/>
        <w:gridCol w:w="258"/>
        <w:gridCol w:w="1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1004" w:type="dxa"/>
            <w:shd w:val="clear" w:color="auto" w:fill="FFFFFF"/>
            <w:vAlign w:val="center"/>
          </w:tcPr>
          <w:p>
            <w:pPr>
              <w:spacing w:line="276" w:lineRule="auto"/>
              <w:jc w:val="center"/>
              <w:rPr>
                <w:rFonts w:ascii="宋体" w:hAnsi="宋体" w:cs="宋体"/>
                <w:color w:val="auto"/>
                <w:kern w:val="0"/>
                <w:szCs w:val="21"/>
                <w:highlight w:val="none"/>
                <w:shd w:val="clear" w:color="auto" w:fill="FFFFFF"/>
                <w:lang w:val="zh-TW"/>
              </w:rPr>
            </w:pPr>
            <w:r>
              <w:rPr>
                <w:rFonts w:hint="eastAsia" w:ascii="宋体" w:hAnsi="宋体" w:cs="宋体"/>
                <w:bCs/>
                <w:color w:val="auto"/>
                <w:kern w:val="0"/>
                <w:szCs w:val="21"/>
                <w:highlight w:val="none"/>
              </w:rPr>
              <w:t>评分项目</w:t>
            </w:r>
          </w:p>
        </w:tc>
        <w:tc>
          <w:tcPr>
            <w:tcW w:w="735" w:type="dxa"/>
            <w:shd w:val="clear" w:color="auto" w:fill="FFFFFF"/>
            <w:vAlign w:val="center"/>
          </w:tcPr>
          <w:p>
            <w:pPr>
              <w:spacing w:line="276" w:lineRule="auto"/>
              <w:jc w:val="center"/>
              <w:rPr>
                <w:rStyle w:val="179"/>
                <w:rFonts w:ascii="宋体" w:hAnsi="宋体" w:cs="宋体"/>
                <w:b/>
                <w:bCs/>
                <w:color w:val="auto"/>
                <w:szCs w:val="21"/>
                <w:highlight w:val="none"/>
              </w:rPr>
            </w:pPr>
            <w:r>
              <w:rPr>
                <w:rFonts w:hint="eastAsia" w:ascii="宋体" w:hAnsi="宋体" w:cs="宋体"/>
                <w:bCs/>
                <w:color w:val="auto"/>
                <w:kern w:val="0"/>
                <w:szCs w:val="21"/>
                <w:highlight w:val="none"/>
              </w:rPr>
              <w:t>评分内容</w:t>
            </w:r>
          </w:p>
        </w:tc>
        <w:tc>
          <w:tcPr>
            <w:tcW w:w="258" w:type="dxa"/>
            <w:shd w:val="clear" w:color="auto" w:fill="FFFFFF"/>
            <w:vAlign w:val="center"/>
          </w:tcPr>
          <w:p>
            <w:pPr>
              <w:spacing w:line="276"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分值</w:t>
            </w:r>
          </w:p>
        </w:tc>
        <w:tc>
          <w:tcPr>
            <w:tcW w:w="11459" w:type="dxa"/>
            <w:shd w:val="clear" w:color="auto" w:fill="FFFFFF"/>
            <w:vAlign w:val="center"/>
          </w:tcPr>
          <w:p>
            <w:pPr>
              <w:spacing w:line="276" w:lineRule="auto"/>
              <w:jc w:val="center"/>
              <w:rPr>
                <w:rFonts w:ascii="宋体" w:hAnsi="宋体" w:cs="宋体"/>
                <w:color w:val="auto"/>
                <w:szCs w:val="21"/>
                <w:highlight w:val="none"/>
              </w:rPr>
            </w:pPr>
            <w:r>
              <w:rPr>
                <w:rFonts w:hint="eastAsia" w:ascii="宋体" w:hAnsi="宋体" w:cs="宋体"/>
                <w:bCs/>
                <w:color w:val="auto"/>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1004" w:type="dxa"/>
            <w:vMerge w:val="restart"/>
            <w:shd w:val="clear" w:color="auto" w:fill="FFFFFF"/>
            <w:vAlign w:val="center"/>
          </w:tcPr>
          <w:p>
            <w:pPr>
              <w:snapToGrid w:val="0"/>
              <w:jc w:val="center"/>
              <w:rPr>
                <w:color w:val="auto"/>
                <w:highlight w:val="none"/>
              </w:rPr>
            </w:pPr>
            <w:r>
              <w:rPr>
                <w:rFonts w:hint="eastAsia"/>
                <w:color w:val="auto"/>
                <w:highlight w:val="none"/>
              </w:rPr>
              <w:t>项目管理</w:t>
            </w:r>
          </w:p>
          <w:p>
            <w:pPr>
              <w:snapToGrid w:val="0"/>
              <w:jc w:val="center"/>
              <w:rPr>
                <w:color w:val="auto"/>
                <w:highlight w:val="none"/>
              </w:rPr>
            </w:pPr>
            <w:r>
              <w:rPr>
                <w:rFonts w:hint="eastAsia"/>
                <w:color w:val="auto"/>
                <w:highlight w:val="none"/>
              </w:rPr>
              <w:t>架构能力</w:t>
            </w:r>
          </w:p>
          <w:p>
            <w:pPr>
              <w:pStyle w:val="4"/>
              <w:ind w:firstLine="0"/>
              <w:jc w:val="center"/>
              <w:rPr>
                <w:color w:val="auto"/>
                <w:highlight w:val="none"/>
              </w:rPr>
            </w:pPr>
            <w:r>
              <w:rPr>
                <w:rFonts w:hint="eastAsia" w:ascii="宋体" w:hAnsi="宋体" w:cs="宋体"/>
                <w:color w:val="auto"/>
                <w:kern w:val="0"/>
                <w:highlight w:val="none"/>
              </w:rPr>
              <w:t>（70分）</w:t>
            </w:r>
          </w:p>
        </w:tc>
        <w:tc>
          <w:tcPr>
            <w:tcW w:w="735" w:type="dxa"/>
            <w:shd w:val="clear" w:color="auto" w:fill="FFFFF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258" w:type="dxa"/>
            <w:shd w:val="clear" w:color="auto" w:fill="FFFFF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1459" w:type="dxa"/>
            <w:shd w:val="clear" w:color="auto" w:fill="FFFFFF"/>
          </w:tcPr>
          <w:p>
            <w:pPr>
              <w:jc w:val="left"/>
              <w:rPr>
                <w:rFonts w:ascii="宋体" w:hAnsi="宋体" w:cs="宋体"/>
                <w:color w:val="auto"/>
                <w:szCs w:val="21"/>
                <w:highlight w:val="none"/>
              </w:rPr>
            </w:pPr>
            <w:r>
              <w:rPr>
                <w:rFonts w:hint="eastAsia" w:ascii="宋体" w:hAnsi="宋体" w:cs="宋体"/>
                <w:color w:val="auto"/>
                <w:szCs w:val="21"/>
                <w:highlight w:val="none"/>
              </w:rPr>
              <w:t>具有建筑工程相关专业高级工程师或以上技术职称的，得15分。</w:t>
            </w:r>
          </w:p>
          <w:p>
            <w:pPr>
              <w:jc w:val="left"/>
              <w:rPr>
                <w:rFonts w:ascii="宋体" w:hAnsi="宋体" w:cs="宋体"/>
                <w:color w:val="auto"/>
                <w:szCs w:val="21"/>
                <w:highlight w:val="none"/>
              </w:rPr>
            </w:pPr>
            <w:r>
              <w:rPr>
                <w:rFonts w:hint="eastAsia" w:ascii="宋体" w:hAnsi="宋体" w:cs="宋体"/>
                <w:color w:val="auto"/>
                <w:szCs w:val="21"/>
                <w:highlight w:val="none"/>
              </w:rPr>
              <w:t>不满足上述情况的，不得分。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1004" w:type="dxa"/>
            <w:vMerge w:val="continue"/>
            <w:shd w:val="clear" w:color="auto" w:fill="FFFFFF"/>
            <w:vAlign w:val="center"/>
          </w:tcPr>
          <w:p>
            <w:pPr>
              <w:snapToGrid w:val="0"/>
              <w:jc w:val="center"/>
              <w:rPr>
                <w:rFonts w:ascii="宋体" w:hAnsi="宋体" w:cs="宋体"/>
                <w:color w:val="auto"/>
                <w:kern w:val="0"/>
                <w:szCs w:val="21"/>
                <w:highlight w:val="none"/>
                <w:shd w:val="clear" w:color="auto" w:fill="FFFFFF"/>
                <w:lang w:val="zh-TW"/>
              </w:rPr>
            </w:pPr>
          </w:p>
        </w:tc>
        <w:tc>
          <w:tcPr>
            <w:tcW w:w="735" w:type="dxa"/>
            <w:shd w:val="clear" w:color="auto" w:fill="FFFFF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质量负责人</w:t>
            </w:r>
          </w:p>
        </w:tc>
        <w:tc>
          <w:tcPr>
            <w:tcW w:w="258" w:type="dxa"/>
            <w:shd w:val="clear" w:color="auto" w:fill="FFFFF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1459" w:type="dxa"/>
            <w:shd w:val="clear" w:color="auto" w:fill="FFFFFF"/>
          </w:tcPr>
          <w:p>
            <w:pPr>
              <w:jc w:val="left"/>
              <w:rPr>
                <w:rFonts w:ascii="宋体" w:hAnsi="宋体" w:cs="宋体"/>
                <w:color w:val="auto"/>
                <w:szCs w:val="21"/>
                <w:highlight w:val="none"/>
              </w:rPr>
            </w:pPr>
            <w:r>
              <w:rPr>
                <w:rFonts w:hint="eastAsia" w:ascii="宋体" w:hAnsi="宋体" w:cs="宋体"/>
                <w:color w:val="auto"/>
                <w:szCs w:val="21"/>
                <w:highlight w:val="none"/>
              </w:rPr>
              <w:t>具有建筑工程相关专业高级工程师或以上技术职称的，得15分；具有建筑工程相关专业中级工程师技术职称的，得7分。</w:t>
            </w:r>
          </w:p>
          <w:p>
            <w:pPr>
              <w:jc w:val="left"/>
              <w:rPr>
                <w:rFonts w:ascii="宋体" w:hAnsi="宋体" w:cs="宋体"/>
                <w:color w:val="auto"/>
                <w:szCs w:val="21"/>
                <w:highlight w:val="none"/>
                <w:lang w:val="zh-TW"/>
              </w:rPr>
            </w:pPr>
            <w:r>
              <w:rPr>
                <w:rFonts w:hint="eastAsia" w:ascii="宋体" w:hAnsi="宋体" w:cs="宋体"/>
                <w:color w:val="auto"/>
                <w:szCs w:val="21"/>
                <w:highlight w:val="none"/>
              </w:rPr>
              <w:t>不满足上述情况的，不得分。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1004" w:type="dxa"/>
            <w:vMerge w:val="continue"/>
            <w:shd w:val="clear" w:color="auto" w:fill="FFFFFF"/>
            <w:vAlign w:val="center"/>
          </w:tcPr>
          <w:p>
            <w:pPr>
              <w:snapToGrid w:val="0"/>
              <w:jc w:val="center"/>
              <w:rPr>
                <w:rFonts w:ascii="宋体" w:hAnsi="宋体" w:cs="宋体"/>
                <w:color w:val="auto"/>
                <w:kern w:val="0"/>
                <w:szCs w:val="21"/>
                <w:highlight w:val="none"/>
                <w:shd w:val="clear" w:color="auto" w:fill="FFFFFF"/>
                <w:lang w:val="zh-TW"/>
              </w:rPr>
            </w:pPr>
          </w:p>
        </w:tc>
        <w:tc>
          <w:tcPr>
            <w:tcW w:w="735" w:type="dxa"/>
            <w:shd w:val="clear" w:color="auto" w:fill="FFFFF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安全负责人</w:t>
            </w:r>
          </w:p>
        </w:tc>
        <w:tc>
          <w:tcPr>
            <w:tcW w:w="258" w:type="dxa"/>
            <w:shd w:val="clear" w:color="auto" w:fill="FFFFF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20</w:t>
            </w:r>
          </w:p>
        </w:tc>
        <w:tc>
          <w:tcPr>
            <w:tcW w:w="11459" w:type="dxa"/>
            <w:shd w:val="clear" w:color="auto" w:fill="FFFFFF"/>
          </w:tcPr>
          <w:p>
            <w:pPr>
              <w:jc w:val="left"/>
              <w:rPr>
                <w:color w:val="auto"/>
                <w:highlight w:val="none"/>
              </w:rPr>
            </w:pPr>
            <w:r>
              <w:rPr>
                <w:rFonts w:hint="eastAsia"/>
                <w:color w:val="auto"/>
                <w:highlight w:val="none"/>
              </w:rPr>
              <w:t>1、具有建筑工程相关专业高级工程师或以上技术职称的，得10分；具有建筑工程相关专业中级工程师技术职称的，得5分；本小项最高得10分。</w:t>
            </w:r>
          </w:p>
          <w:p>
            <w:pPr>
              <w:pStyle w:val="4"/>
              <w:ind w:firstLine="0"/>
              <w:jc w:val="left"/>
              <w:rPr>
                <w:color w:val="auto"/>
                <w:szCs w:val="22"/>
                <w:highlight w:val="none"/>
              </w:rPr>
            </w:pPr>
            <w:r>
              <w:rPr>
                <w:rFonts w:hint="eastAsia"/>
                <w:color w:val="auto"/>
                <w:szCs w:val="22"/>
                <w:highlight w:val="none"/>
              </w:rPr>
              <w:t>2、具有有效期内的注册安全工程师执业</w:t>
            </w:r>
            <w:r>
              <w:rPr>
                <w:rFonts w:hint="eastAsia" w:hAnsi="宋体" w:cs="宋体"/>
                <w:color w:val="auto"/>
                <w:highlight w:val="none"/>
              </w:rPr>
              <w:t>资格</w:t>
            </w:r>
            <w:r>
              <w:rPr>
                <w:rFonts w:hint="eastAsia"/>
                <w:color w:val="auto"/>
                <w:szCs w:val="22"/>
                <w:highlight w:val="none"/>
              </w:rPr>
              <w:t>的，得10分；本小项最高得10分。</w:t>
            </w:r>
          </w:p>
          <w:p>
            <w:pPr>
              <w:jc w:val="left"/>
              <w:rPr>
                <w:color w:val="auto"/>
                <w:highlight w:val="none"/>
              </w:rPr>
            </w:pPr>
            <w:r>
              <w:rPr>
                <w:rFonts w:hint="eastAsia"/>
                <w:color w:val="auto"/>
                <w:highlight w:val="none"/>
              </w:rPr>
              <w:t>不满足上述情况的，不得分。</w:t>
            </w:r>
          </w:p>
          <w:p>
            <w:pPr>
              <w:pStyle w:val="2"/>
              <w:jc w:val="left"/>
              <w:rPr>
                <w:color w:val="auto"/>
                <w:highlight w:val="none"/>
              </w:rPr>
            </w:pPr>
            <w:r>
              <w:rPr>
                <w:rFonts w:hint="eastAsia" w:hAnsi="宋体" w:eastAsia="宋体" w:cs="宋体"/>
                <w:color w:val="auto"/>
                <w:szCs w:val="21"/>
                <w:highlight w:val="none"/>
              </w:rPr>
              <w:t>注：安全负责人与专职安全员不为同一人。注册安全工程师执业资格需提供注册安全工程师查询网站“https://zwfw.mem.gov.cn/zwthlw/pages/hlwmh/yyfw/zcaqgcscx/index.html”查询结果网页截图，不提供不计分。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1004" w:type="dxa"/>
            <w:vMerge w:val="continue"/>
            <w:shd w:val="clear" w:color="auto" w:fill="FFFFFF"/>
            <w:vAlign w:val="center"/>
          </w:tcPr>
          <w:p>
            <w:pPr>
              <w:snapToGrid w:val="0"/>
              <w:jc w:val="center"/>
              <w:rPr>
                <w:rFonts w:ascii="宋体" w:hAnsi="宋体" w:cs="宋体"/>
                <w:color w:val="auto"/>
                <w:szCs w:val="21"/>
                <w:highlight w:val="none"/>
              </w:rPr>
            </w:pPr>
          </w:p>
        </w:tc>
        <w:tc>
          <w:tcPr>
            <w:tcW w:w="735" w:type="dxa"/>
            <w:shd w:val="clear" w:color="auto" w:fill="FFFFF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造价负责人</w:t>
            </w:r>
          </w:p>
        </w:tc>
        <w:tc>
          <w:tcPr>
            <w:tcW w:w="258" w:type="dxa"/>
            <w:shd w:val="clear" w:color="auto" w:fill="FFFFF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20</w:t>
            </w:r>
          </w:p>
        </w:tc>
        <w:tc>
          <w:tcPr>
            <w:tcW w:w="11459" w:type="dxa"/>
            <w:shd w:val="clear" w:color="auto" w:fill="FFFFFF"/>
          </w:tcPr>
          <w:p>
            <w:pPr>
              <w:jc w:val="left"/>
              <w:rPr>
                <w:color w:val="auto"/>
                <w:highlight w:val="none"/>
              </w:rPr>
            </w:pPr>
            <w:r>
              <w:rPr>
                <w:rFonts w:hint="eastAsia"/>
                <w:color w:val="auto"/>
                <w:highlight w:val="none"/>
              </w:rPr>
              <w:t>1、具有建筑工程或造价相关专业高级工程师或以上技术职称的，得10分；具有建筑工程或造价相关专业中级工程师技术职称的，得5分；本小项最高得10分。</w:t>
            </w:r>
          </w:p>
          <w:p>
            <w:pPr>
              <w:jc w:val="left"/>
              <w:rPr>
                <w:color w:val="auto"/>
                <w:highlight w:val="none"/>
              </w:rPr>
            </w:pPr>
            <w:r>
              <w:rPr>
                <w:rFonts w:hint="eastAsia"/>
                <w:color w:val="auto"/>
                <w:highlight w:val="none"/>
              </w:rPr>
              <w:t>2、具有有效期内的一级注册造价工程师执业资格的，得10分；本小项最高得10分。</w:t>
            </w:r>
          </w:p>
          <w:p>
            <w:pPr>
              <w:jc w:val="left"/>
              <w:rPr>
                <w:color w:val="auto"/>
                <w:highlight w:val="none"/>
              </w:rPr>
            </w:pPr>
            <w:r>
              <w:rPr>
                <w:rFonts w:hint="eastAsia"/>
                <w:color w:val="auto"/>
                <w:highlight w:val="none"/>
              </w:rPr>
              <w:t>不满足上述情况的，不得分。</w:t>
            </w:r>
          </w:p>
          <w:p>
            <w:pPr>
              <w:pStyle w:val="2"/>
              <w:jc w:val="left"/>
              <w:rPr>
                <w:color w:val="auto"/>
                <w:highlight w:val="none"/>
              </w:rPr>
            </w:pPr>
            <w:r>
              <w:rPr>
                <w:rFonts w:hint="eastAsia" w:ascii="Calibri" w:hAnsi="Calibri" w:eastAsia="宋体"/>
                <w:color w:val="auto"/>
                <w:szCs w:val="22"/>
                <w:highlight w:val="none"/>
              </w:rPr>
              <w:t>注：注册造价工程师需提供注册造价工程师注册信息查询网站“http://zaojiasys.jianshe99.com/cecaopsys/queryAndSearch/view.do?op=queryUserInfoInit”查询结果网页截图，不提供不计分。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1004" w:type="dxa"/>
            <w:vMerge w:val="restart"/>
            <w:shd w:val="clear" w:color="auto" w:fill="FFFFFF"/>
            <w:vAlign w:val="center"/>
          </w:tcPr>
          <w:p>
            <w:pPr>
              <w:snapToGrid w:val="0"/>
              <w:jc w:val="center"/>
              <w:rPr>
                <w:color w:val="auto"/>
                <w:highlight w:val="none"/>
              </w:rPr>
            </w:pPr>
            <w:r>
              <w:rPr>
                <w:rFonts w:hint="eastAsia"/>
                <w:color w:val="auto"/>
                <w:highlight w:val="none"/>
              </w:rPr>
              <w:t>企业资信</w:t>
            </w:r>
            <w:r>
              <w:rPr>
                <w:rFonts w:hint="eastAsia" w:ascii="宋体" w:hAnsi="宋体" w:cs="宋体"/>
                <w:color w:val="auto"/>
                <w:kern w:val="0"/>
                <w:szCs w:val="21"/>
                <w:highlight w:val="none"/>
              </w:rPr>
              <w:t>（30分）</w:t>
            </w:r>
          </w:p>
        </w:tc>
        <w:tc>
          <w:tcPr>
            <w:tcW w:w="735" w:type="dxa"/>
            <w:shd w:val="clear" w:color="auto" w:fill="FFFFF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企业业绩</w:t>
            </w:r>
          </w:p>
        </w:tc>
        <w:tc>
          <w:tcPr>
            <w:tcW w:w="258" w:type="dxa"/>
            <w:shd w:val="clear" w:color="auto" w:fill="FFFFFF"/>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11459" w:type="dxa"/>
            <w:shd w:val="clear" w:color="auto" w:fill="FFFFFF"/>
            <w:vAlign w:val="center"/>
          </w:tcPr>
          <w:p>
            <w:pPr>
              <w:tabs>
                <w:tab w:val="left" w:pos="1526"/>
              </w:tabs>
              <w:adjustRightInd w:val="0"/>
              <w:snapToGrid w:val="0"/>
              <w:spacing w:line="360" w:lineRule="exact"/>
              <w:ind w:right="-50" w:rightChars="-24"/>
              <w:jc w:val="left"/>
              <w:rPr>
                <w:rFonts w:ascii="宋体" w:hAnsi="宋体" w:cs="宋体"/>
                <w:color w:val="auto"/>
                <w:szCs w:val="21"/>
                <w:highlight w:val="none"/>
              </w:rPr>
            </w:pPr>
            <w:r>
              <w:rPr>
                <w:rFonts w:hint="eastAsia"/>
                <w:color w:val="auto"/>
                <w:highlight w:val="none"/>
              </w:rPr>
              <w:t>投标人自2020年1月1日至今完成过质量合格且工程造价金额大于或等于400万元的建筑工程施工总承包业绩的，每项得1分；没有的不得分，本项累计最多得10分。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8" w:hRule="atLeast"/>
          <w:jc w:val="center"/>
        </w:trPr>
        <w:tc>
          <w:tcPr>
            <w:tcW w:w="1004" w:type="dxa"/>
            <w:vMerge w:val="continue"/>
            <w:shd w:val="clear" w:color="auto" w:fill="FFFFFF"/>
            <w:vAlign w:val="center"/>
          </w:tcPr>
          <w:p>
            <w:pPr>
              <w:snapToGrid w:val="0"/>
              <w:jc w:val="center"/>
              <w:rPr>
                <w:rFonts w:ascii="宋体" w:hAnsi="宋体" w:cs="宋体"/>
                <w:color w:val="auto"/>
                <w:kern w:val="0"/>
                <w:szCs w:val="21"/>
                <w:highlight w:val="none"/>
                <w:shd w:val="clear" w:color="auto" w:fill="FFFFFF"/>
                <w:lang w:val="zh-TW"/>
              </w:rPr>
            </w:pPr>
          </w:p>
        </w:tc>
        <w:tc>
          <w:tcPr>
            <w:tcW w:w="735" w:type="dxa"/>
            <w:shd w:val="clear" w:color="auto" w:fill="FFFFF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企业获奖</w:t>
            </w:r>
          </w:p>
        </w:tc>
        <w:tc>
          <w:tcPr>
            <w:tcW w:w="258" w:type="dxa"/>
            <w:shd w:val="clear" w:color="auto" w:fill="FFFFFF"/>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11459" w:type="dxa"/>
            <w:shd w:val="clear" w:color="auto" w:fill="FFFFFF"/>
            <w:vAlign w:val="center"/>
          </w:tcPr>
          <w:p>
            <w:pPr>
              <w:rPr>
                <w:color w:val="auto"/>
                <w:highlight w:val="none"/>
              </w:rPr>
            </w:pPr>
            <w:r>
              <w:rPr>
                <w:rFonts w:hint="eastAsia"/>
                <w:color w:val="auto"/>
                <w:highlight w:val="none"/>
              </w:rPr>
              <w:t>投标人自2020年1月1日至投标截止时间，投标人承接的建筑工程施工总承包项目获得过市级或以上工程质量奖的，每项得1分；没有的不得分，本项累计最多得10分。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52" w:hRule="atLeast"/>
          <w:jc w:val="center"/>
        </w:trPr>
        <w:tc>
          <w:tcPr>
            <w:tcW w:w="1004" w:type="dxa"/>
            <w:vMerge w:val="continue"/>
            <w:shd w:val="clear" w:color="auto" w:fill="FFFFFF"/>
            <w:vAlign w:val="center"/>
          </w:tcPr>
          <w:p>
            <w:pPr>
              <w:snapToGrid w:val="0"/>
              <w:jc w:val="center"/>
              <w:rPr>
                <w:rFonts w:ascii="宋体" w:hAnsi="宋体" w:cs="宋体"/>
                <w:color w:val="auto"/>
                <w:kern w:val="0"/>
                <w:szCs w:val="21"/>
                <w:highlight w:val="none"/>
                <w:shd w:val="clear" w:color="auto" w:fill="FFFFFF"/>
                <w:lang w:val="zh-TW"/>
              </w:rPr>
            </w:pPr>
          </w:p>
        </w:tc>
        <w:tc>
          <w:tcPr>
            <w:tcW w:w="735" w:type="dxa"/>
            <w:shd w:val="clear" w:color="auto" w:fill="FFFFFF"/>
            <w:vAlign w:val="center"/>
          </w:tcPr>
          <w:p>
            <w:pPr>
              <w:snapToGrid w:val="0"/>
              <w:jc w:val="center"/>
              <w:rPr>
                <w:rFonts w:ascii="宋体" w:hAnsi="宋体" w:cs="宋体"/>
                <w:b/>
                <w:bCs/>
                <w:color w:val="auto"/>
                <w:kern w:val="0"/>
                <w:szCs w:val="21"/>
                <w:highlight w:val="none"/>
              </w:rPr>
            </w:pPr>
            <w:r>
              <w:rPr>
                <w:rFonts w:hint="eastAsia" w:ascii="宋体" w:hAnsi="宋体" w:cs="宋体"/>
                <w:color w:val="auto"/>
                <w:szCs w:val="21"/>
                <w:highlight w:val="none"/>
              </w:rPr>
              <w:t>工程研发能力</w:t>
            </w:r>
          </w:p>
        </w:tc>
        <w:tc>
          <w:tcPr>
            <w:tcW w:w="258" w:type="dxa"/>
            <w:shd w:val="clear" w:color="auto" w:fill="FFFFFF"/>
            <w:vAlign w:val="center"/>
          </w:tcPr>
          <w:p>
            <w:pPr>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5</w:t>
            </w:r>
          </w:p>
        </w:tc>
        <w:tc>
          <w:tcPr>
            <w:tcW w:w="11459" w:type="dxa"/>
            <w:vAlign w:val="center"/>
          </w:tcPr>
          <w:p>
            <w:pPr>
              <w:adjustRightInd w:val="0"/>
              <w:ind w:right="134" w:rightChars="64"/>
              <w:jc w:val="left"/>
              <w:rPr>
                <w:color w:val="auto"/>
                <w:highlight w:val="none"/>
              </w:rPr>
            </w:pPr>
            <w:r>
              <w:rPr>
                <w:rFonts w:hint="eastAsia"/>
                <w:color w:val="auto"/>
                <w:highlight w:val="none"/>
              </w:rPr>
              <w:t>1、自2020年1月1日至投标截止时间，投标人作为主要完成单位获得过省级或以上工法证书奖项的：每项得0.5分，最高不超过3分。</w:t>
            </w:r>
          </w:p>
          <w:p>
            <w:pPr>
              <w:rPr>
                <w:rFonts w:ascii="宋体" w:hAnsi="宋体" w:cs="宋体"/>
                <w:color w:val="auto"/>
                <w:szCs w:val="21"/>
                <w:highlight w:val="none"/>
              </w:rPr>
            </w:pPr>
            <w:r>
              <w:rPr>
                <w:rFonts w:hint="eastAsia"/>
                <w:color w:val="auto"/>
                <w:highlight w:val="none"/>
              </w:rPr>
              <w:t>2、自2020年1月1日至投标截止时间，投标人承建的房建类项目获得技术创新QC成果（部优以上）的：每项得1分，最高不超过2分。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1004" w:type="dxa"/>
            <w:vMerge w:val="continue"/>
            <w:shd w:val="clear" w:color="auto" w:fill="FFFFFF"/>
            <w:vAlign w:val="center"/>
          </w:tcPr>
          <w:p>
            <w:pPr>
              <w:snapToGrid w:val="0"/>
              <w:jc w:val="center"/>
              <w:rPr>
                <w:rFonts w:ascii="宋体" w:hAnsi="宋体" w:cs="宋体"/>
                <w:color w:val="auto"/>
                <w:kern w:val="0"/>
                <w:szCs w:val="21"/>
                <w:highlight w:val="none"/>
                <w:shd w:val="clear" w:color="auto" w:fill="FFFFFF"/>
                <w:lang w:val="zh-TW"/>
              </w:rPr>
            </w:pPr>
          </w:p>
        </w:tc>
        <w:tc>
          <w:tcPr>
            <w:tcW w:w="735" w:type="dxa"/>
            <w:shd w:val="clear" w:color="auto" w:fill="FFFFFF"/>
            <w:vAlign w:val="center"/>
          </w:tcPr>
          <w:p>
            <w:pPr>
              <w:jc w:val="center"/>
              <w:rPr>
                <w:rFonts w:ascii="宋体" w:hAnsi="宋体" w:cs="宋体"/>
                <w:b/>
                <w:bCs/>
                <w:color w:val="auto"/>
                <w:kern w:val="0"/>
                <w:szCs w:val="21"/>
                <w:highlight w:val="none"/>
              </w:rPr>
            </w:pPr>
            <w:r>
              <w:rPr>
                <w:rFonts w:hint="eastAsia" w:ascii="宋体" w:hAnsi="宋体" w:cs="宋体"/>
                <w:color w:val="auto"/>
                <w:szCs w:val="21"/>
                <w:highlight w:val="none"/>
              </w:rPr>
              <w:t>第三方评价</w:t>
            </w:r>
          </w:p>
        </w:tc>
        <w:tc>
          <w:tcPr>
            <w:tcW w:w="258" w:type="dxa"/>
            <w:shd w:val="clear" w:color="auto" w:fill="FFFFFF"/>
            <w:vAlign w:val="center"/>
          </w:tcPr>
          <w:p>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5</w:t>
            </w:r>
          </w:p>
        </w:tc>
        <w:tc>
          <w:tcPr>
            <w:tcW w:w="11459" w:type="dxa"/>
            <w:shd w:val="clear" w:color="auto" w:fill="FFFFFF"/>
            <w:vAlign w:val="center"/>
          </w:tcPr>
          <w:p>
            <w:pPr>
              <w:adjustRightInd w:val="0"/>
              <w:ind w:right="134" w:rightChars="64"/>
              <w:jc w:val="left"/>
              <w:rPr>
                <w:rFonts w:ascii="宋体" w:hAnsi="宋体" w:cs="宋体"/>
                <w:color w:val="auto"/>
                <w:szCs w:val="21"/>
                <w:highlight w:val="none"/>
              </w:rPr>
            </w:pPr>
            <w:r>
              <w:rPr>
                <w:rFonts w:hint="eastAsia" w:ascii="宋体" w:hAnsi="宋体"/>
                <w:color w:val="auto"/>
                <w:highlight w:val="none"/>
              </w:rPr>
              <w:t>投标人至投标截止时间，连续获得“纳税信用A级纳税人”的年限（须包含2022年度）5年或以上的，得5分；连续3～4年的，得3分；连续1～2年的，得1分；没有的不得分。本项最高5分。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1739" w:type="dxa"/>
            <w:gridSpan w:val="2"/>
            <w:shd w:val="clear" w:color="auto" w:fill="FFFFFF"/>
            <w:vAlign w:val="center"/>
          </w:tcPr>
          <w:p>
            <w:pPr>
              <w:snapToGrid w:val="0"/>
              <w:jc w:val="center"/>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合计</w:t>
            </w:r>
          </w:p>
        </w:tc>
        <w:tc>
          <w:tcPr>
            <w:tcW w:w="258" w:type="dxa"/>
            <w:shd w:val="clear" w:color="auto" w:fill="FFFFFF"/>
            <w:vAlign w:val="center"/>
          </w:tcPr>
          <w:p>
            <w:pPr>
              <w:snapToGrid w:val="0"/>
              <w:jc w:val="center"/>
              <w:rPr>
                <w:rFonts w:ascii="宋体" w:hAnsi="宋体" w:cs="宋体"/>
                <w:color w:val="auto"/>
                <w:spacing w:val="10"/>
                <w:kern w:val="0"/>
                <w:szCs w:val="21"/>
                <w:highlight w:val="none"/>
                <w:shd w:val="clear" w:color="auto" w:fill="FFFFFF"/>
              </w:rPr>
            </w:pPr>
            <w:r>
              <w:rPr>
                <w:rFonts w:hint="eastAsia" w:ascii="宋体" w:hAnsi="宋体" w:cs="宋体"/>
                <w:color w:val="auto"/>
                <w:spacing w:val="10"/>
                <w:kern w:val="0"/>
                <w:szCs w:val="21"/>
                <w:highlight w:val="none"/>
                <w:shd w:val="clear" w:color="auto" w:fill="FFFFFF"/>
              </w:rPr>
              <w:t>100</w:t>
            </w:r>
          </w:p>
        </w:tc>
        <w:tc>
          <w:tcPr>
            <w:tcW w:w="11459" w:type="dxa"/>
            <w:shd w:val="clear" w:color="auto" w:fill="FFFFFF"/>
            <w:vAlign w:val="center"/>
          </w:tcPr>
          <w:p>
            <w:pPr>
              <w:snapToGrid w:val="0"/>
              <w:jc w:val="left"/>
              <w:rPr>
                <w:rFonts w:ascii="宋体" w:hAnsi="宋体" w:cs="宋体"/>
                <w:color w:val="auto"/>
                <w:kern w:val="0"/>
                <w:szCs w:val="21"/>
                <w:highlight w:val="none"/>
                <w:shd w:val="clear" w:color="auto" w:fill="FFFFFF"/>
                <w:lang w:val="zh-TW"/>
              </w:rPr>
            </w:pPr>
          </w:p>
        </w:tc>
      </w:tr>
    </w:tbl>
    <w:p>
      <w:pPr>
        <w:spacing w:line="360" w:lineRule="auto"/>
        <w:rPr>
          <w:rFonts w:ascii="宋体" w:hAnsi="宋体" w:cs="宋体"/>
          <w:color w:val="auto"/>
          <w:szCs w:val="21"/>
          <w:highlight w:val="none"/>
        </w:rPr>
      </w:pPr>
      <w:r>
        <w:rPr>
          <w:rFonts w:hint="eastAsia" w:ascii="宋体" w:hAnsi="宋体" w:cs="宋体"/>
          <w:color w:val="auto"/>
          <w:szCs w:val="21"/>
          <w:highlight w:val="none"/>
        </w:rPr>
        <w:t>注：</w:t>
      </w:r>
    </w:p>
    <w:p>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1、【项目管理机构能力】：</w:t>
      </w:r>
    </w:p>
    <w:p>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上述人员均不得兼任，除须提供职称证等相关证明资料扫描件并加盖投标人电子印章外，还须提供近一个月（即 2023年5月）在投标人单位（仅指投标人自身人员，含分公司，不含子、母公司。如投标申请人为集团公司，则不含集团下属子公司，专指集团本部人员，同样下属子公司也不得使用集团公司的人员。）的社保缴纳记录证明扫描件并加盖投标人电子印章，若当地政府部门允许企业在疫情期间缓缴社会保险费且投标人未缴纳的，投标人可提供当地政府部门允许缓缴社保的相关文件作为缴纳社保的证明。确定中标人后，招标人将核实后续中标人项目经理部组成人员的社保补缴情况。按照《造价工程师职业资格制度规定》的规定，根据原人事部、原建设部发布的《造价工程师执业资格制度暂行规定》（人发〔1996〕77号）取得的造价工程师执业资格，并经注册且在有效期内的，等同于一级注册造价工程师。未提供或所提供的证明资料不符合要求的，则该评分节点不予得分。</w:t>
      </w:r>
    </w:p>
    <w:p>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2、【企业业绩】：</w:t>
      </w:r>
    </w:p>
    <w:p>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业绩包含建筑工程施工总承包或建筑工程设计施工总承包（或建筑工程EPC项目）。业绩取自广州市住建行业信用管理平台。投标人须提供类似工程业绩的项目名称及业绩在广州市住建行业信用管理平台中项目编号（投标文件中可不需重复提交相关业绩上传件）。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用于本项目投标的类似业绩，在平台中“工程对应的企业资质”栏中须登记有与本项目要求相对应的资质（具体资质要求：建筑工程施工总承包（原房屋建筑工程施工总承包）资质）。评标委员会对业绩的评审以投标截止时间在平台内业绩上传件为依据。（1）金额以中标通知书为准，中标通知书上没有金额或免招标的，以施工合同（不含补充合同）为准。（2）完成时间以竣工验收文件为准。验收文件至少具有建设单位、设计、施工和监理单位盖章。（3）平台内业绩上传件不符合上述要求的或登记的工程资质内容与施工合同等业绩证明资料不相符的，该项业绩不予认定。</w:t>
      </w:r>
    </w:p>
    <w:p>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3、【企业获奖】：</w:t>
      </w:r>
    </w:p>
    <w:p>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可取自广州市住建行业信用管理平台或提供获奖证书原件扫描件：①国家级工程奖项是指中国建设工程鲁班奖、国家优质工程金质奖、国家优质工程奖（原国家优质工程银质奖）、中国土木工程詹天佑奖；省级、市级工程奖项是指省级、市级行政主管部门或行业协会（须在民政部门备案）颁发的工程质量方面的奖项，奖项不含安全文明、技术创新QC成果、装饰类及技术应用、以及“参建”类奖项；②取自平台的，须同时提交广州市住建行业信用管理平台中获奖业绩的网页信息截图（网页信息截图须能清晰显示带有“住建行业信用管理平台”名称，并至少包含“项目基本信息”、“奖项信息”等信息）和获奖证书上传件以供核对，项目类型以广州市住建行业信用管理平台上传的合同为准；不取自平台的，投标人须提供获奖证书原件扫描件，并同时提供获奖业绩的中标通知书（或免招标证明文件）、施工合同（不含补充合同）、竣工验收文件（验收文件至少具有建设单位、设计、施工和监理单位盖章），项目类型以提供的合同为准。不符合条件或提供的资料不齐全的获奖业绩不计分。③只计算</w:t>
      </w:r>
      <w:r>
        <w:rPr>
          <w:rFonts w:hint="eastAsia" w:ascii="宋体" w:hAnsi="宋体" w:cs="宋体"/>
          <w:color w:val="auto"/>
          <w:kern w:val="0"/>
          <w:szCs w:val="21"/>
          <w:highlight w:val="none"/>
        </w:rPr>
        <w:t>建筑工程施工总承包工程</w:t>
      </w:r>
      <w:r>
        <w:rPr>
          <w:rFonts w:hint="eastAsia" w:ascii="宋体" w:hAnsi="宋体" w:cs="宋体"/>
          <w:color w:val="auto"/>
          <w:kern w:val="0"/>
          <w:szCs w:val="21"/>
          <w:highlight w:val="none"/>
        </w:rPr>
        <w:t>业绩所获得的工程奖项，其他非房建项目，如：路桥、铁路、水利、电力、化工、冶金、市政等获奖不参与计分。④同一项目获得多个奖项的，该项目获奖只按最高等级计算一次，不得重复计算，时间以获奖证书颁发时间为准。</w:t>
      </w:r>
    </w:p>
    <w:p>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4、【工程研发能力】：</w:t>
      </w:r>
    </w:p>
    <w:p>
      <w:pPr>
        <w:spacing w:line="276" w:lineRule="auto"/>
        <w:rPr>
          <w:rFonts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hAnsi="宋体"/>
          <w:color w:val="auto"/>
          <w:highlight w:val="none"/>
        </w:rPr>
        <w:t>工法奖项：</w:t>
      </w:r>
      <w:r>
        <w:rPr>
          <w:rFonts w:hint="eastAsia" w:ascii="宋体" w:hAnsi="宋体" w:cs="宋体"/>
          <w:color w:val="auto"/>
          <w:kern w:val="0"/>
          <w:szCs w:val="21"/>
          <w:highlight w:val="none"/>
        </w:rPr>
        <w:t>投标人需提供省级或以上</w:t>
      </w:r>
      <w:r>
        <w:rPr>
          <w:rFonts w:hint="eastAsia" w:ascii="宋体" w:hAnsi="宋体" w:cs="宋体"/>
          <w:color w:val="auto"/>
          <w:kern w:val="0"/>
          <w:szCs w:val="21"/>
          <w:highlight w:val="none"/>
        </w:rPr>
        <w:t>行政主管部门</w:t>
      </w:r>
      <w:r>
        <w:rPr>
          <w:rFonts w:hint="eastAsia" w:ascii="宋体" w:hAnsi="宋体" w:cs="宋体"/>
          <w:color w:val="auto"/>
          <w:kern w:val="0"/>
          <w:szCs w:val="21"/>
          <w:highlight w:val="none"/>
        </w:rPr>
        <w:t>或行业协会（行业协会须在民政管理部门登记备案）颁发的获奖证书原件扫描件并加盖投标人电子印章。</w:t>
      </w:r>
      <w:r>
        <w:rPr>
          <w:rFonts w:hint="eastAsia" w:ascii="宋体" w:hAnsi="宋体" w:cs="宋体"/>
          <w:color w:val="auto"/>
          <w:kern w:val="0"/>
          <w:szCs w:val="21"/>
          <w:highlight w:val="none"/>
        </w:rPr>
        <w:t>同一工法按最高级别奖项只计一次得分，时间以发证时间为准，</w:t>
      </w:r>
      <w:r>
        <w:rPr>
          <w:rFonts w:hint="eastAsia" w:ascii="宋体" w:hAnsi="宋体" w:cs="宋体"/>
          <w:color w:val="auto"/>
          <w:kern w:val="0"/>
          <w:szCs w:val="21"/>
          <w:highlight w:val="none"/>
        </w:rPr>
        <w:t>不符合上述条件或提供的相关证明材料不完整的不得分。</w:t>
      </w:r>
    </w:p>
    <w:p>
      <w:pPr>
        <w:pStyle w:val="2"/>
        <w:rPr>
          <w:rFonts w:hAnsi="宋体" w:cs="宋体"/>
          <w:color w:val="auto"/>
          <w:kern w:val="0"/>
          <w:szCs w:val="21"/>
          <w:highlight w:val="none"/>
        </w:rPr>
      </w:pPr>
      <w:r>
        <w:rPr>
          <w:color w:val="auto"/>
          <w:highlight w:val="none"/>
        </w:rPr>
        <w:t>（</w:t>
      </w:r>
      <w:r>
        <w:rPr>
          <w:rFonts w:hint="eastAsia"/>
          <w:color w:val="auto"/>
          <w:highlight w:val="none"/>
        </w:rPr>
        <w:t>2</w:t>
      </w:r>
      <w:r>
        <w:rPr>
          <w:color w:val="auto"/>
          <w:highlight w:val="none"/>
        </w:rPr>
        <w:t>）</w:t>
      </w:r>
      <w:r>
        <w:rPr>
          <w:rFonts w:hint="eastAsia" w:hAnsi="宋体" w:eastAsia="宋体" w:cs="宋体"/>
          <w:color w:val="auto"/>
          <w:kern w:val="0"/>
          <w:szCs w:val="21"/>
          <w:highlight w:val="none"/>
        </w:rPr>
        <w:t>技术创新QC成果：取自广州市住建行业信用管理平台，须提供广州市住建行业信用管理平台信息截图及提供获奖证书上传件（网页信息截图须能清晰显示带有“住建行业信用管理平台”名称，并至少包含“项目基本信息”、“奖项信息”等信息），技术创新QC成果只计算房建类的项目，其他非房建项目，如：路桥、铁路、水利、电力、化工、冶金、市政等获奖不参与计分</w:t>
      </w:r>
      <w:r>
        <w:rPr>
          <w:rFonts w:hint="eastAsia" w:ascii="宋体" w:hAnsi="宋体" w:eastAsia="宋体" w:cs="宋体"/>
          <w:color w:val="auto"/>
          <w:kern w:val="0"/>
          <w:szCs w:val="21"/>
          <w:highlight w:val="none"/>
        </w:rPr>
        <w:t>。时间以获奖证书的发证时间为准。同一项目获得多个奖项，只按最高等级计算一次，</w:t>
      </w:r>
      <w:r>
        <w:rPr>
          <w:rFonts w:hint="eastAsia" w:hAnsi="宋体" w:eastAsia="宋体" w:cs="宋体"/>
          <w:color w:val="auto"/>
          <w:kern w:val="0"/>
          <w:szCs w:val="21"/>
          <w:highlight w:val="none"/>
        </w:rPr>
        <w:t>不重复计算；不符合上述条件或未提供上述资料的不得分。</w:t>
      </w:r>
    </w:p>
    <w:p>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5、【第三方评价】：</w:t>
      </w:r>
    </w:p>
    <w:p>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纳税信用A级”证书须包含2022年度，只计算投标人自身（不含投标人的子公司或分公司）。投标人须同时提供税务部门颁发的“纳税信用A级”证书扫描件以及提供省级或以上税务局网站查询结果网页截图加盖投标人电子印章；</w:t>
      </w:r>
      <w:r>
        <w:rPr>
          <w:rFonts w:hint="eastAsia" w:ascii="宋体" w:hAnsi="宋体" w:cs="宋体"/>
          <w:color w:val="auto"/>
          <w:kern w:val="0"/>
          <w:szCs w:val="21"/>
          <w:highlight w:val="none"/>
        </w:rPr>
        <w:t>评定时间以证书上注明的评价（评定）年度为准</w:t>
      </w:r>
      <w:r>
        <w:rPr>
          <w:rFonts w:hint="eastAsia" w:ascii="宋体" w:hAnsi="宋体" w:cs="宋体"/>
          <w:color w:val="auto"/>
          <w:kern w:val="0"/>
          <w:szCs w:val="21"/>
          <w:highlight w:val="none"/>
        </w:rPr>
        <w:t>。未提供或所提供的证明资料不符合要求的，则该评分节点不予得分。</w:t>
      </w:r>
    </w:p>
    <w:p>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6、投标人的技术标得分为各评标委员会成员的评分的算术平均值（若分数出现小数点时，保留小数点后二位，第三位小数四舍五入）。</w:t>
      </w:r>
    </w:p>
    <w:p>
      <w:pPr>
        <w:pStyle w:val="19"/>
        <w:topLinePunct/>
        <w:adjustRightInd w:val="0"/>
        <w:spacing w:line="276" w:lineRule="auto"/>
        <w:rPr>
          <w:rStyle w:val="84"/>
          <w:rFonts w:ascii="宋体" w:hAnsi="宋体" w:eastAsia="宋体"/>
          <w:b/>
          <w:bCs/>
          <w:color w:val="auto"/>
          <w:szCs w:val="21"/>
          <w:highlight w:val="none"/>
        </w:rPr>
      </w:pPr>
      <w:r>
        <w:rPr>
          <w:rStyle w:val="84"/>
          <w:rFonts w:hint="eastAsia" w:ascii="宋体" w:hAnsi="宋体" w:eastAsia="宋体"/>
          <w:b/>
          <w:bCs/>
          <w:color w:val="auto"/>
          <w:szCs w:val="21"/>
          <w:highlight w:val="none"/>
        </w:rPr>
        <w:br w:type="page"/>
      </w:r>
    </w:p>
    <w:p>
      <w:pPr>
        <w:pStyle w:val="19"/>
        <w:topLinePunct/>
        <w:adjustRightInd w:val="0"/>
        <w:spacing w:line="276" w:lineRule="auto"/>
        <w:rPr>
          <w:rStyle w:val="84"/>
          <w:rFonts w:ascii="宋体" w:hAnsi="宋体" w:eastAsia="宋体"/>
          <w:b/>
          <w:bCs/>
          <w:color w:val="auto"/>
          <w:szCs w:val="21"/>
          <w:highlight w:val="none"/>
        </w:rPr>
      </w:pPr>
      <w:r>
        <w:rPr>
          <w:rStyle w:val="84"/>
          <w:rFonts w:ascii="宋体" w:hAnsi="宋体" w:eastAsia="宋体"/>
          <w:b/>
          <w:bCs/>
          <w:color w:val="auto"/>
          <w:szCs w:val="21"/>
          <w:highlight w:val="none"/>
        </w:rPr>
        <w:t>附表五（适用于加权平均法）</w:t>
      </w:r>
    </w:p>
    <w:p>
      <w:pPr>
        <w:spacing w:line="360" w:lineRule="auto"/>
        <w:jc w:val="center"/>
        <w:rPr>
          <w:rStyle w:val="84"/>
          <w:rFonts w:ascii="宋体" w:hAnsi="宋体"/>
          <w:b/>
          <w:color w:val="auto"/>
          <w:sz w:val="36"/>
          <w:szCs w:val="36"/>
          <w:highlight w:val="none"/>
        </w:rPr>
      </w:pPr>
      <w:r>
        <w:rPr>
          <w:rStyle w:val="84"/>
          <w:rFonts w:ascii="宋体" w:hAnsi="宋体"/>
          <w:b/>
          <w:color w:val="auto"/>
          <w:sz w:val="36"/>
          <w:szCs w:val="36"/>
          <w:highlight w:val="none"/>
        </w:rPr>
        <w:t>经济标评分表</w:t>
      </w:r>
    </w:p>
    <w:p>
      <w:pPr>
        <w:spacing w:line="360" w:lineRule="auto"/>
        <w:rPr>
          <w:rStyle w:val="84"/>
          <w:rFonts w:ascii="宋体" w:hAnsi="宋体"/>
          <w:color w:val="auto"/>
          <w:szCs w:val="21"/>
          <w:highlight w:val="none"/>
        </w:rPr>
      </w:pPr>
      <w:r>
        <w:rPr>
          <w:rStyle w:val="84"/>
          <w:rFonts w:ascii="宋体" w:hAnsi="宋体"/>
          <w:color w:val="auto"/>
          <w:szCs w:val="21"/>
          <w:highlight w:val="none"/>
        </w:rPr>
        <w:t>工程名称：</w:t>
      </w:r>
    </w:p>
    <w:tbl>
      <w:tblPr>
        <w:tblStyle w:val="24"/>
        <w:tblW w:w="134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76"/>
        <w:gridCol w:w="1315"/>
        <w:gridCol w:w="13"/>
        <w:gridCol w:w="1350"/>
        <w:gridCol w:w="1350"/>
        <w:gridCol w:w="1350"/>
        <w:gridCol w:w="1350"/>
        <w:gridCol w:w="1350"/>
        <w:gridCol w:w="1350"/>
        <w:gridCol w:w="1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 w:hRule="atLeast"/>
          <w:jc w:val="center"/>
        </w:trPr>
        <w:tc>
          <w:tcPr>
            <w:tcW w:w="2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r>
              <w:rPr>
                <w:rStyle w:val="84"/>
                <w:rFonts w:ascii="宋体" w:hAnsi="宋体"/>
                <w:color w:val="auto"/>
                <w:szCs w:val="21"/>
                <w:highlight w:val="none"/>
              </w:rPr>
              <w:t>投标人名称</w:t>
            </w:r>
          </w:p>
        </w:tc>
        <w:tc>
          <w:tcPr>
            <w:tcW w:w="132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2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r>
              <w:rPr>
                <w:rStyle w:val="84"/>
                <w:rFonts w:ascii="宋体" w:hAnsi="宋体"/>
                <w:color w:val="auto"/>
                <w:szCs w:val="21"/>
                <w:highlight w:val="none"/>
              </w:rPr>
              <w:t>投标报价PT（元）</w:t>
            </w:r>
          </w:p>
        </w:tc>
        <w:tc>
          <w:tcPr>
            <w:tcW w:w="132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 w:hRule="atLeast"/>
          <w:jc w:val="center"/>
        </w:trPr>
        <w:tc>
          <w:tcPr>
            <w:tcW w:w="2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r>
              <w:rPr>
                <w:rStyle w:val="84"/>
                <w:rFonts w:ascii="宋体" w:hAnsi="宋体"/>
                <w:color w:val="auto"/>
                <w:szCs w:val="21"/>
                <w:highlight w:val="none"/>
              </w:rPr>
              <w:t>报价权重</w:t>
            </w:r>
          </w:p>
        </w:tc>
        <w:tc>
          <w:tcPr>
            <w:tcW w:w="13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63"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42"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2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r>
              <w:rPr>
                <w:rStyle w:val="84"/>
                <w:rFonts w:ascii="宋体" w:hAnsi="宋体"/>
                <w:color w:val="auto"/>
                <w:szCs w:val="21"/>
                <w:highlight w:val="none"/>
              </w:rPr>
              <w:t>评标参考价PC（元）</w:t>
            </w:r>
          </w:p>
        </w:tc>
        <w:tc>
          <w:tcPr>
            <w:tcW w:w="10770" w:type="dxa"/>
            <w:gridSpan w:val="9"/>
            <w:tcBorders>
              <w:top w:val="nil"/>
              <w:bottom w:val="nil"/>
              <w:right w:val="single" w:color="auto" w:sz="4" w:space="0"/>
            </w:tcBorders>
          </w:tcPr>
          <w:p>
            <w:pPr>
              <w:spacing w:line="360" w:lineRule="auto"/>
              <w:jc w:val="left"/>
              <w:textAlignment w:val="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2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r>
              <w:rPr>
                <w:rStyle w:val="84"/>
                <w:rFonts w:ascii="宋体" w:hAnsi="宋体"/>
                <w:color w:val="auto"/>
                <w:szCs w:val="21"/>
                <w:highlight w:val="none"/>
              </w:rPr>
              <w:t>偏差（（PT-PC）/PC）（%）</w:t>
            </w:r>
          </w:p>
        </w:tc>
        <w:tc>
          <w:tcPr>
            <w:tcW w:w="132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42"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2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r>
              <w:rPr>
                <w:rStyle w:val="84"/>
                <w:rFonts w:ascii="宋体" w:hAnsi="宋体"/>
                <w:color w:val="auto"/>
                <w:szCs w:val="21"/>
                <w:highlight w:val="none"/>
              </w:rPr>
              <w:t>减分（A）</w:t>
            </w:r>
          </w:p>
        </w:tc>
        <w:tc>
          <w:tcPr>
            <w:tcW w:w="132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2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r>
              <w:rPr>
                <w:rStyle w:val="84"/>
                <w:rFonts w:ascii="宋体" w:hAnsi="宋体"/>
                <w:color w:val="auto"/>
                <w:szCs w:val="21"/>
                <w:highlight w:val="none"/>
              </w:rPr>
              <w:t>得分(I=100-A)</w:t>
            </w:r>
          </w:p>
        </w:tc>
        <w:tc>
          <w:tcPr>
            <w:tcW w:w="132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2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r>
              <w:rPr>
                <w:rStyle w:val="84"/>
                <w:rFonts w:ascii="宋体" w:hAnsi="宋体"/>
                <w:color w:val="auto"/>
                <w:szCs w:val="21"/>
                <w:highlight w:val="none"/>
              </w:rPr>
              <w:t>得分排名次序</w:t>
            </w:r>
          </w:p>
        </w:tc>
        <w:tc>
          <w:tcPr>
            <w:tcW w:w="132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c>
          <w:tcPr>
            <w:tcW w:w="13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84"/>
                <w:rFonts w:ascii="宋体" w:hAnsi="宋体"/>
                <w:color w:val="auto"/>
                <w:szCs w:val="21"/>
                <w:highlight w:val="none"/>
              </w:rPr>
            </w:pPr>
          </w:p>
        </w:tc>
      </w:tr>
    </w:tbl>
    <w:p>
      <w:pPr>
        <w:spacing w:line="360" w:lineRule="auto"/>
        <w:rPr>
          <w:rStyle w:val="84"/>
          <w:rFonts w:ascii="宋体" w:hAnsi="宋体"/>
          <w:b/>
          <w:color w:val="auto"/>
          <w:sz w:val="36"/>
          <w:szCs w:val="36"/>
          <w:highlight w:val="none"/>
        </w:rPr>
      </w:pPr>
      <w:r>
        <w:rPr>
          <w:rStyle w:val="84"/>
          <w:rFonts w:ascii="宋体" w:hAnsi="宋体"/>
          <w:color w:val="auto"/>
          <w:szCs w:val="21"/>
          <w:highlight w:val="none"/>
        </w:rPr>
        <w:t>评委签名：</w:t>
      </w:r>
    </w:p>
    <w:p>
      <w:pPr>
        <w:spacing w:line="360" w:lineRule="auto"/>
        <w:rPr>
          <w:rStyle w:val="84"/>
          <w:rFonts w:ascii="宋体" w:hAnsi="宋体"/>
          <w:b/>
          <w:bCs/>
          <w:color w:val="auto"/>
          <w:szCs w:val="21"/>
          <w:highlight w:val="none"/>
        </w:rPr>
      </w:pPr>
      <w:r>
        <w:rPr>
          <w:rStyle w:val="84"/>
          <w:rFonts w:ascii="宋体" w:hAnsi="宋体"/>
          <w:color w:val="auto"/>
          <w:szCs w:val="21"/>
          <w:highlight w:val="none"/>
        </w:rPr>
        <w:br w:type="page"/>
      </w:r>
      <w:r>
        <w:rPr>
          <w:rStyle w:val="84"/>
          <w:rFonts w:ascii="宋体" w:hAnsi="宋体"/>
          <w:b/>
          <w:bCs/>
          <w:color w:val="auto"/>
          <w:sz w:val="24"/>
          <w:szCs w:val="21"/>
          <w:highlight w:val="none"/>
        </w:rPr>
        <w:t>附表六</w:t>
      </w:r>
    </w:p>
    <w:p>
      <w:pPr>
        <w:spacing w:line="360" w:lineRule="auto"/>
        <w:jc w:val="center"/>
        <w:rPr>
          <w:rStyle w:val="84"/>
          <w:rFonts w:ascii="宋体" w:hAnsi="宋体"/>
          <w:b/>
          <w:color w:val="auto"/>
          <w:sz w:val="36"/>
          <w:szCs w:val="36"/>
          <w:highlight w:val="none"/>
        </w:rPr>
      </w:pPr>
      <w:r>
        <w:rPr>
          <w:rStyle w:val="84"/>
          <w:rFonts w:ascii="宋体" w:hAnsi="宋体"/>
          <w:b/>
          <w:color w:val="auto"/>
          <w:sz w:val="36"/>
          <w:szCs w:val="36"/>
          <w:highlight w:val="none"/>
        </w:rPr>
        <w:t>算术复核表</w:t>
      </w:r>
    </w:p>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工程名称：                                           投标人:                                                  单位：元</w:t>
      </w:r>
    </w:p>
    <w:tbl>
      <w:tblPr>
        <w:tblStyle w:val="24"/>
        <w:tblW w:w="13446" w:type="dxa"/>
        <w:jc w:val="center"/>
        <w:tblLayout w:type="fixed"/>
        <w:tblCellMar>
          <w:top w:w="0" w:type="dxa"/>
          <w:left w:w="0" w:type="dxa"/>
          <w:bottom w:w="0" w:type="dxa"/>
          <w:right w:w="0" w:type="dxa"/>
        </w:tblCellMar>
      </w:tblPr>
      <w:tblGrid>
        <w:gridCol w:w="586"/>
        <w:gridCol w:w="2678"/>
        <w:gridCol w:w="1702"/>
        <w:gridCol w:w="1985"/>
        <w:gridCol w:w="1842"/>
        <w:gridCol w:w="1509"/>
        <w:gridCol w:w="3144"/>
      </w:tblGrid>
      <w:tr>
        <w:tblPrEx>
          <w:tblCellMar>
            <w:top w:w="0" w:type="dxa"/>
            <w:left w:w="0" w:type="dxa"/>
            <w:bottom w:w="0" w:type="dxa"/>
            <w:right w:w="0" w:type="dxa"/>
          </w:tblCellMar>
        </w:tblPrEx>
        <w:trPr>
          <w:trHeight w:val="222"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84"/>
                <w:rFonts w:ascii="宋体" w:hAnsi="宋体"/>
                <w:color w:val="auto"/>
                <w:kern w:val="0"/>
                <w:szCs w:val="21"/>
                <w:highlight w:val="none"/>
              </w:rPr>
            </w:pPr>
            <w:r>
              <w:rPr>
                <w:rStyle w:val="84"/>
                <w:rFonts w:ascii="宋体" w:hAnsi="宋体"/>
                <w:color w:val="auto"/>
                <w:kern w:val="0"/>
                <w:szCs w:val="21"/>
                <w:highlight w:val="none"/>
              </w:rPr>
              <w:t>编号</w:t>
            </w:r>
          </w:p>
        </w:tc>
        <w:tc>
          <w:tcPr>
            <w:tcW w:w="2678" w:type="dxa"/>
            <w:tcBorders>
              <w:top w:val="single" w:color="000000" w:sz="4" w:space="0"/>
              <w:left w:val="nil"/>
              <w:bottom w:val="single" w:color="000000" w:sz="4" w:space="0"/>
              <w:right w:val="single" w:color="000000" w:sz="4" w:space="0"/>
            </w:tcBorders>
            <w:vAlign w:val="center"/>
          </w:tcPr>
          <w:p>
            <w:pPr>
              <w:spacing w:line="360" w:lineRule="auto"/>
              <w:jc w:val="center"/>
              <w:rPr>
                <w:rStyle w:val="84"/>
                <w:rFonts w:ascii="宋体" w:hAnsi="宋体"/>
                <w:color w:val="auto"/>
                <w:kern w:val="0"/>
                <w:szCs w:val="21"/>
                <w:highlight w:val="none"/>
              </w:rPr>
            </w:pPr>
            <w:r>
              <w:rPr>
                <w:rStyle w:val="84"/>
                <w:rFonts w:ascii="宋体" w:hAnsi="宋体"/>
                <w:color w:val="auto"/>
                <w:kern w:val="0"/>
                <w:szCs w:val="21"/>
                <w:highlight w:val="none"/>
              </w:rPr>
              <w:t>算术校核项目</w:t>
            </w:r>
          </w:p>
        </w:tc>
        <w:tc>
          <w:tcPr>
            <w:tcW w:w="1702" w:type="dxa"/>
            <w:tcBorders>
              <w:top w:val="single" w:color="000000" w:sz="4" w:space="0"/>
              <w:left w:val="nil"/>
              <w:bottom w:val="single" w:color="000000" w:sz="4" w:space="0"/>
              <w:right w:val="single" w:color="000000" w:sz="4" w:space="0"/>
            </w:tcBorders>
            <w:vAlign w:val="center"/>
          </w:tcPr>
          <w:p>
            <w:pPr>
              <w:spacing w:line="360" w:lineRule="auto"/>
              <w:jc w:val="center"/>
              <w:rPr>
                <w:rStyle w:val="84"/>
                <w:rFonts w:ascii="宋体" w:hAnsi="宋体"/>
                <w:color w:val="auto"/>
                <w:kern w:val="0"/>
                <w:szCs w:val="21"/>
                <w:highlight w:val="none"/>
              </w:rPr>
            </w:pPr>
            <w:r>
              <w:rPr>
                <w:rStyle w:val="84"/>
                <w:rFonts w:ascii="宋体" w:hAnsi="宋体"/>
                <w:color w:val="auto"/>
                <w:kern w:val="0"/>
                <w:szCs w:val="21"/>
                <w:highlight w:val="none"/>
              </w:rPr>
              <w:t>修正前投标</w:t>
            </w:r>
          </w:p>
          <w:p>
            <w:pPr>
              <w:spacing w:line="360" w:lineRule="auto"/>
              <w:jc w:val="center"/>
              <w:rPr>
                <w:rStyle w:val="84"/>
                <w:rFonts w:ascii="宋体" w:hAnsi="宋体"/>
                <w:color w:val="auto"/>
                <w:kern w:val="0"/>
                <w:szCs w:val="21"/>
                <w:highlight w:val="none"/>
              </w:rPr>
            </w:pPr>
            <w:r>
              <w:rPr>
                <w:rStyle w:val="84"/>
                <w:rFonts w:ascii="宋体" w:hAnsi="宋体"/>
                <w:color w:val="auto"/>
                <w:kern w:val="0"/>
                <w:szCs w:val="21"/>
                <w:highlight w:val="none"/>
              </w:rPr>
              <w:t>报价A</w:t>
            </w:r>
          </w:p>
        </w:tc>
        <w:tc>
          <w:tcPr>
            <w:tcW w:w="1985" w:type="dxa"/>
            <w:tcBorders>
              <w:top w:val="single" w:color="000000" w:sz="4" w:space="0"/>
              <w:left w:val="nil"/>
              <w:bottom w:val="single" w:color="000000" w:sz="4" w:space="0"/>
              <w:right w:val="single" w:color="000000" w:sz="4" w:space="0"/>
            </w:tcBorders>
            <w:vAlign w:val="center"/>
          </w:tcPr>
          <w:p>
            <w:pPr>
              <w:spacing w:line="360" w:lineRule="auto"/>
              <w:jc w:val="center"/>
              <w:rPr>
                <w:rStyle w:val="84"/>
                <w:rFonts w:ascii="宋体" w:hAnsi="宋体"/>
                <w:color w:val="auto"/>
                <w:kern w:val="0"/>
                <w:szCs w:val="21"/>
                <w:highlight w:val="none"/>
              </w:rPr>
            </w:pPr>
            <w:r>
              <w:rPr>
                <w:rStyle w:val="84"/>
                <w:rFonts w:ascii="宋体" w:hAnsi="宋体"/>
                <w:color w:val="auto"/>
                <w:kern w:val="0"/>
                <w:szCs w:val="21"/>
                <w:highlight w:val="none"/>
              </w:rPr>
              <w:t>修正后投标</w:t>
            </w:r>
          </w:p>
          <w:p>
            <w:pPr>
              <w:spacing w:line="360" w:lineRule="auto"/>
              <w:jc w:val="center"/>
              <w:rPr>
                <w:rStyle w:val="84"/>
                <w:rFonts w:ascii="宋体" w:hAnsi="宋体"/>
                <w:color w:val="auto"/>
                <w:kern w:val="0"/>
                <w:szCs w:val="21"/>
                <w:highlight w:val="none"/>
              </w:rPr>
            </w:pPr>
            <w:r>
              <w:rPr>
                <w:rStyle w:val="84"/>
                <w:rFonts w:ascii="宋体" w:hAnsi="宋体"/>
                <w:color w:val="auto"/>
                <w:kern w:val="0"/>
                <w:szCs w:val="21"/>
                <w:highlight w:val="none"/>
              </w:rPr>
              <w:t>报价B</w:t>
            </w:r>
          </w:p>
        </w:tc>
        <w:tc>
          <w:tcPr>
            <w:tcW w:w="1842" w:type="dxa"/>
            <w:tcBorders>
              <w:top w:val="single" w:color="000000" w:sz="4" w:space="0"/>
              <w:left w:val="nil"/>
              <w:bottom w:val="single" w:color="000000" w:sz="4" w:space="0"/>
              <w:right w:val="single" w:color="000000" w:sz="4" w:space="0"/>
            </w:tcBorders>
            <w:vAlign w:val="center"/>
          </w:tcPr>
          <w:p>
            <w:pPr>
              <w:spacing w:line="360" w:lineRule="auto"/>
              <w:jc w:val="center"/>
              <w:rPr>
                <w:rStyle w:val="84"/>
                <w:rFonts w:ascii="宋体" w:hAnsi="宋体"/>
                <w:color w:val="auto"/>
                <w:kern w:val="0"/>
                <w:szCs w:val="21"/>
                <w:highlight w:val="none"/>
              </w:rPr>
            </w:pPr>
            <w:r>
              <w:rPr>
                <w:rStyle w:val="84"/>
                <w:rFonts w:ascii="宋体" w:hAnsi="宋体"/>
                <w:color w:val="auto"/>
                <w:kern w:val="0"/>
                <w:szCs w:val="21"/>
                <w:highlight w:val="none"/>
              </w:rPr>
              <w:t>修正率</w:t>
            </w:r>
            <w:r>
              <w:rPr>
                <w:rStyle w:val="84"/>
                <w:rFonts w:ascii="宋体" w:hAnsi="宋体"/>
                <w:color w:val="auto"/>
                <w:kern w:val="0"/>
                <w:szCs w:val="21"/>
                <w:highlight w:val="none"/>
              </w:rPr>
              <w:br w:type="textWrapping" w:clear="all"/>
            </w:r>
            <w:r>
              <w:rPr>
                <w:rStyle w:val="84"/>
                <w:rFonts w:ascii="宋体" w:hAnsi="宋体"/>
                <w:color w:val="auto"/>
                <w:kern w:val="0"/>
                <w:szCs w:val="21"/>
                <w:highlight w:val="none"/>
              </w:rPr>
              <w:t>r=|A-B|/A*100%</w:t>
            </w:r>
          </w:p>
        </w:tc>
        <w:tc>
          <w:tcPr>
            <w:tcW w:w="1509" w:type="dxa"/>
            <w:tcBorders>
              <w:top w:val="single" w:color="000000" w:sz="4" w:space="0"/>
              <w:left w:val="nil"/>
              <w:bottom w:val="single" w:color="000000" w:sz="4" w:space="0"/>
              <w:right w:val="single" w:color="000000" w:sz="4" w:space="0"/>
            </w:tcBorders>
            <w:vAlign w:val="center"/>
          </w:tcPr>
          <w:p>
            <w:pPr>
              <w:spacing w:line="360" w:lineRule="auto"/>
              <w:jc w:val="center"/>
              <w:rPr>
                <w:rStyle w:val="84"/>
                <w:rFonts w:ascii="宋体" w:hAnsi="宋体"/>
                <w:color w:val="auto"/>
                <w:kern w:val="0"/>
                <w:szCs w:val="21"/>
                <w:highlight w:val="none"/>
              </w:rPr>
            </w:pPr>
            <w:r>
              <w:rPr>
                <w:rStyle w:val="84"/>
                <w:rFonts w:ascii="宋体" w:hAnsi="宋体"/>
                <w:color w:val="auto"/>
                <w:kern w:val="0"/>
                <w:szCs w:val="21"/>
                <w:highlight w:val="none"/>
              </w:rPr>
              <w:t>经评审的最终投标报价</w:t>
            </w:r>
          </w:p>
        </w:tc>
        <w:tc>
          <w:tcPr>
            <w:tcW w:w="3144" w:type="dxa"/>
            <w:tcBorders>
              <w:top w:val="single" w:color="000000" w:sz="4" w:space="0"/>
              <w:left w:val="nil"/>
              <w:bottom w:val="single" w:color="000000" w:sz="4" w:space="0"/>
              <w:right w:val="single" w:color="000000" w:sz="4" w:space="0"/>
            </w:tcBorders>
            <w:vAlign w:val="center"/>
          </w:tcPr>
          <w:p>
            <w:pPr>
              <w:spacing w:line="360" w:lineRule="auto"/>
              <w:jc w:val="center"/>
              <w:rPr>
                <w:rStyle w:val="84"/>
                <w:rFonts w:ascii="宋体" w:hAnsi="宋体"/>
                <w:color w:val="auto"/>
                <w:kern w:val="0"/>
                <w:szCs w:val="21"/>
                <w:highlight w:val="none"/>
              </w:rPr>
            </w:pPr>
            <w:r>
              <w:rPr>
                <w:rStyle w:val="84"/>
                <w:rFonts w:ascii="宋体" w:hAnsi="宋体"/>
                <w:color w:val="auto"/>
                <w:kern w:val="0"/>
                <w:szCs w:val="21"/>
                <w:highlight w:val="none"/>
              </w:rPr>
              <w:t>当B&gt;A时，修正后报价与原报价的差额；当B≤A时,R=0</w:t>
            </w: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84"/>
                <w:rFonts w:ascii="宋体" w:hAnsi="宋体"/>
                <w:color w:val="auto"/>
                <w:kern w:val="0"/>
                <w:szCs w:val="21"/>
                <w:highlight w:val="none"/>
              </w:rPr>
            </w:pPr>
            <w:r>
              <w:rPr>
                <w:rStyle w:val="84"/>
                <w:rFonts w:ascii="宋体" w:hAnsi="宋体"/>
                <w:color w:val="auto"/>
                <w:kern w:val="0"/>
                <w:szCs w:val="21"/>
                <w:highlight w:val="none"/>
              </w:rPr>
              <w:t>1</w:t>
            </w:r>
          </w:p>
        </w:tc>
        <w:tc>
          <w:tcPr>
            <w:tcW w:w="2678"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[单位工程1]</w:t>
            </w:r>
          </w:p>
        </w:tc>
        <w:tc>
          <w:tcPr>
            <w:tcW w:w="1702"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p>
        </w:tc>
      </w:tr>
      <w:tr>
        <w:tblPrEx>
          <w:tblCellMar>
            <w:top w:w="0" w:type="dxa"/>
            <w:left w:w="0" w:type="dxa"/>
            <w:bottom w:w="0" w:type="dxa"/>
            <w:right w:w="0" w:type="dxa"/>
          </w:tblCellMar>
        </w:tblPrEx>
        <w:trPr>
          <w:trHeight w:val="122"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84"/>
                <w:rFonts w:ascii="宋体" w:hAnsi="宋体"/>
                <w:color w:val="auto"/>
                <w:kern w:val="0"/>
                <w:szCs w:val="21"/>
                <w:highlight w:val="none"/>
              </w:rPr>
            </w:pPr>
            <w:r>
              <w:rPr>
                <w:rStyle w:val="84"/>
                <w:rFonts w:ascii="宋体" w:hAnsi="宋体"/>
                <w:color w:val="auto"/>
                <w:kern w:val="0"/>
                <w:szCs w:val="21"/>
                <w:highlight w:val="none"/>
              </w:rPr>
              <w:t>2</w:t>
            </w:r>
          </w:p>
        </w:tc>
        <w:tc>
          <w:tcPr>
            <w:tcW w:w="2678"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[单位工程2]</w:t>
            </w:r>
          </w:p>
        </w:tc>
        <w:tc>
          <w:tcPr>
            <w:tcW w:w="1702"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84"/>
                <w:rFonts w:ascii="宋体" w:hAnsi="宋体"/>
                <w:color w:val="auto"/>
                <w:kern w:val="0"/>
                <w:szCs w:val="21"/>
                <w:highlight w:val="none"/>
              </w:rPr>
            </w:pPr>
            <w:r>
              <w:rPr>
                <w:rStyle w:val="84"/>
                <w:rFonts w:ascii="宋体" w:hAnsi="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84"/>
                <w:rFonts w:ascii="宋体" w:hAnsi="宋体"/>
                <w:color w:val="auto"/>
                <w:kern w:val="0"/>
                <w:szCs w:val="21"/>
                <w:highlight w:val="none"/>
              </w:rPr>
            </w:pPr>
            <w:r>
              <w:rPr>
                <w:rStyle w:val="84"/>
                <w:rFonts w:ascii="宋体" w:hAnsi="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84"/>
                <w:rFonts w:ascii="宋体" w:hAnsi="宋体"/>
                <w:color w:val="auto"/>
                <w:kern w:val="0"/>
                <w:szCs w:val="21"/>
                <w:highlight w:val="none"/>
              </w:rPr>
            </w:pPr>
            <w:r>
              <w:rPr>
                <w:rStyle w:val="84"/>
                <w:rFonts w:ascii="宋体" w:hAnsi="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84"/>
                <w:rFonts w:ascii="宋体" w:hAnsi="宋体"/>
                <w:color w:val="auto"/>
                <w:kern w:val="0"/>
                <w:szCs w:val="21"/>
                <w:highlight w:val="none"/>
              </w:rPr>
            </w:pPr>
            <w:r>
              <w:rPr>
                <w:rStyle w:val="84"/>
                <w:rFonts w:ascii="宋体" w:hAnsi="宋体"/>
                <w:color w:val="auto"/>
                <w:kern w:val="0"/>
                <w:szCs w:val="21"/>
                <w:highlight w:val="none"/>
              </w:rPr>
              <w:t>n</w:t>
            </w:r>
          </w:p>
        </w:tc>
        <w:tc>
          <w:tcPr>
            <w:tcW w:w="2678"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[单位工程n]</w:t>
            </w:r>
          </w:p>
        </w:tc>
        <w:tc>
          <w:tcPr>
            <w:tcW w:w="1702"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84"/>
                <w:rFonts w:ascii="宋体" w:hAnsi="宋体"/>
                <w:color w:val="auto"/>
                <w:kern w:val="0"/>
                <w:szCs w:val="21"/>
                <w:highlight w:val="none"/>
              </w:rPr>
            </w:pPr>
            <w:r>
              <w:rPr>
                <w:rStyle w:val="84"/>
                <w:rFonts w:ascii="宋体" w:hAnsi="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投标总报价</w:t>
            </w:r>
          </w:p>
        </w:tc>
        <w:tc>
          <w:tcPr>
            <w:tcW w:w="1702"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∑A=A</w:t>
            </w:r>
            <w:r>
              <w:rPr>
                <w:rStyle w:val="84"/>
                <w:rFonts w:ascii="宋体" w:hAnsi="宋体"/>
                <w:color w:val="auto"/>
                <w:kern w:val="0"/>
                <w:szCs w:val="21"/>
                <w:highlight w:val="none"/>
                <w:vertAlign w:val="subscript"/>
              </w:rPr>
              <w:t>1</w:t>
            </w:r>
            <w:r>
              <w:rPr>
                <w:rStyle w:val="84"/>
                <w:rFonts w:ascii="宋体" w:hAnsi="宋体"/>
                <w:color w:val="auto"/>
                <w:kern w:val="0"/>
                <w:szCs w:val="21"/>
                <w:highlight w:val="none"/>
              </w:rPr>
              <w:t>+A</w:t>
            </w:r>
            <w:r>
              <w:rPr>
                <w:rStyle w:val="84"/>
                <w:rFonts w:ascii="宋体" w:hAnsi="宋体"/>
                <w:color w:val="auto"/>
                <w:kern w:val="0"/>
                <w:szCs w:val="21"/>
                <w:highlight w:val="none"/>
                <w:vertAlign w:val="subscript"/>
              </w:rPr>
              <w:t>2</w:t>
            </w:r>
            <w:r>
              <w:rPr>
                <w:rStyle w:val="84"/>
                <w:rFonts w:ascii="宋体" w:hAnsi="宋体"/>
                <w:color w:val="auto"/>
                <w:kern w:val="0"/>
                <w:szCs w:val="21"/>
                <w:highlight w:val="none"/>
              </w:rPr>
              <w:t>+…An；∑B=B</w:t>
            </w:r>
            <w:r>
              <w:rPr>
                <w:rStyle w:val="84"/>
                <w:rFonts w:ascii="宋体" w:hAnsi="宋体"/>
                <w:color w:val="auto"/>
                <w:kern w:val="0"/>
                <w:szCs w:val="21"/>
                <w:highlight w:val="none"/>
                <w:vertAlign w:val="subscript"/>
              </w:rPr>
              <w:t>1</w:t>
            </w:r>
            <w:r>
              <w:rPr>
                <w:rStyle w:val="84"/>
                <w:rFonts w:ascii="宋体" w:hAnsi="宋体"/>
                <w:color w:val="auto"/>
                <w:kern w:val="0"/>
                <w:szCs w:val="21"/>
                <w:highlight w:val="none"/>
              </w:rPr>
              <w:t>+B</w:t>
            </w:r>
            <w:r>
              <w:rPr>
                <w:rStyle w:val="84"/>
                <w:rFonts w:ascii="宋体" w:hAnsi="宋体"/>
                <w:color w:val="auto"/>
                <w:kern w:val="0"/>
                <w:szCs w:val="21"/>
                <w:highlight w:val="none"/>
                <w:vertAlign w:val="subscript"/>
              </w:rPr>
              <w:t>2</w:t>
            </w:r>
            <w:r>
              <w:rPr>
                <w:rStyle w:val="84"/>
                <w:rFonts w:ascii="宋体" w:hAnsi="宋体"/>
                <w:color w:val="auto"/>
                <w:kern w:val="0"/>
                <w:szCs w:val="21"/>
                <w:highlight w:val="none"/>
              </w:rPr>
              <w:t>+…Bn</w:t>
            </w:r>
          </w:p>
        </w:tc>
      </w:tr>
    </w:tbl>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修正原则：</w:t>
      </w:r>
      <w:r>
        <w:rPr>
          <w:rStyle w:val="84"/>
          <w:rFonts w:ascii="宋体" w:hAnsi="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Style w:val="84"/>
          <w:rFonts w:ascii="宋体" w:hAnsi="宋体"/>
          <w:color w:val="auto"/>
          <w:kern w:val="0"/>
          <w:szCs w:val="21"/>
          <w:highlight w:val="none"/>
        </w:rPr>
        <w:tab/>
      </w:r>
    </w:p>
    <w:p>
      <w:pPr>
        <w:spacing w:line="360" w:lineRule="auto"/>
        <w:rPr>
          <w:rStyle w:val="84"/>
          <w:rFonts w:ascii="宋体" w:hAnsi="宋体"/>
          <w:color w:val="auto"/>
          <w:kern w:val="0"/>
          <w:szCs w:val="21"/>
          <w:highlight w:val="none"/>
        </w:rPr>
      </w:pPr>
      <w:r>
        <w:rPr>
          <w:rStyle w:val="84"/>
          <w:rFonts w:ascii="宋体" w:hAnsi="宋体"/>
          <w:color w:val="auto"/>
          <w:kern w:val="0"/>
          <w:szCs w:val="21"/>
          <w:highlight w:val="none"/>
        </w:rPr>
        <w:t>评委签名：</w:t>
      </w:r>
      <w:r>
        <w:rPr>
          <w:rStyle w:val="84"/>
          <w:rFonts w:ascii="宋体" w:hAnsi="宋体"/>
          <w:color w:val="auto"/>
          <w:kern w:val="0"/>
          <w:szCs w:val="21"/>
          <w:highlight w:val="none"/>
        </w:rPr>
        <w:tab/>
      </w:r>
      <w:r>
        <w:rPr>
          <w:rStyle w:val="84"/>
          <w:rFonts w:ascii="宋体" w:hAnsi="宋体"/>
          <w:color w:val="auto"/>
          <w:kern w:val="0"/>
          <w:szCs w:val="21"/>
          <w:highlight w:val="none"/>
        </w:rPr>
        <w:tab/>
      </w:r>
      <w:r>
        <w:rPr>
          <w:rStyle w:val="84"/>
          <w:rFonts w:ascii="宋体" w:hAnsi="宋体"/>
          <w:color w:val="auto"/>
          <w:kern w:val="0"/>
          <w:szCs w:val="21"/>
          <w:highlight w:val="none"/>
        </w:rPr>
        <w:tab/>
      </w:r>
      <w:r>
        <w:rPr>
          <w:rStyle w:val="84"/>
          <w:rFonts w:ascii="宋体" w:hAnsi="宋体"/>
          <w:color w:val="auto"/>
          <w:kern w:val="0"/>
          <w:szCs w:val="21"/>
          <w:highlight w:val="none"/>
        </w:rPr>
        <w:tab/>
      </w:r>
      <w:r>
        <w:rPr>
          <w:rStyle w:val="84"/>
          <w:rFonts w:ascii="宋体" w:hAnsi="宋体"/>
          <w:color w:val="auto"/>
          <w:kern w:val="0"/>
          <w:szCs w:val="21"/>
          <w:highlight w:val="none"/>
        </w:rPr>
        <w:t>日期：</w:t>
      </w:r>
    </w:p>
    <w:p>
      <w:pPr>
        <w:rPr>
          <w:rStyle w:val="84"/>
          <w:rFonts w:ascii="宋体" w:hAnsi="宋体"/>
          <w:color w:val="auto"/>
          <w:highlight w:val="none"/>
        </w:rPr>
      </w:pPr>
    </w:p>
    <w:p>
      <w:pPr>
        <w:spacing w:line="360" w:lineRule="auto"/>
        <w:jc w:val="left"/>
        <w:rPr>
          <w:rStyle w:val="84"/>
          <w:rFonts w:ascii="宋体" w:hAnsi="宋体"/>
          <w:color w:val="auto"/>
          <w:szCs w:val="21"/>
          <w:highlight w:val="none"/>
        </w:rPr>
      </w:pPr>
      <w:r>
        <w:rPr>
          <w:rStyle w:val="84"/>
          <w:rFonts w:ascii="宋体" w:hAnsi="宋体"/>
          <w:color w:val="auto"/>
          <w:highlight w:val="none"/>
        </w:rPr>
        <w:br w:type="page"/>
      </w:r>
    </w:p>
    <w:p>
      <w:pPr>
        <w:spacing w:line="360" w:lineRule="auto"/>
        <w:rPr>
          <w:rStyle w:val="84"/>
          <w:rFonts w:ascii="宋体" w:hAnsi="宋体"/>
          <w:color w:val="auto"/>
          <w:szCs w:val="21"/>
          <w:highlight w:val="none"/>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pgMar w:top="1418" w:right="1701" w:bottom="1418" w:left="1701" w:header="851" w:footer="907" w:gutter="0"/>
          <w:cols w:space="720" w:num="1"/>
          <w:titlePg/>
          <w:docGrid w:type="lines" w:linePitch="312" w:charSpace="0"/>
        </w:sectPr>
      </w:pPr>
    </w:p>
    <w:p>
      <w:pPr>
        <w:spacing w:line="360" w:lineRule="auto"/>
        <w:jc w:val="left"/>
        <w:rPr>
          <w:rStyle w:val="84"/>
          <w:rFonts w:ascii="宋体" w:hAnsi="宋体"/>
          <w:b/>
          <w:bCs/>
          <w:color w:val="auto"/>
          <w:sz w:val="24"/>
          <w:szCs w:val="21"/>
          <w:highlight w:val="none"/>
        </w:rPr>
      </w:pPr>
      <w:r>
        <w:rPr>
          <w:rStyle w:val="84"/>
          <w:rFonts w:ascii="宋体" w:hAnsi="宋体"/>
          <w:b/>
          <w:bCs/>
          <w:color w:val="auto"/>
          <w:sz w:val="24"/>
          <w:szCs w:val="21"/>
          <w:highlight w:val="none"/>
        </w:rPr>
        <w:t>附表</w:t>
      </w:r>
      <w:r>
        <w:rPr>
          <w:rStyle w:val="84"/>
          <w:rFonts w:hint="eastAsia" w:ascii="宋体" w:hAnsi="宋体"/>
          <w:b/>
          <w:bCs/>
          <w:color w:val="auto"/>
          <w:sz w:val="24"/>
          <w:szCs w:val="21"/>
          <w:highlight w:val="none"/>
        </w:rPr>
        <w:t>七</w:t>
      </w:r>
    </w:p>
    <w:p>
      <w:pPr>
        <w:spacing w:line="360" w:lineRule="auto"/>
        <w:jc w:val="center"/>
        <w:rPr>
          <w:rStyle w:val="84"/>
          <w:rFonts w:ascii="宋体" w:hAnsi="宋体"/>
          <w:b/>
          <w:color w:val="auto"/>
          <w:sz w:val="36"/>
          <w:szCs w:val="36"/>
          <w:highlight w:val="none"/>
        </w:rPr>
      </w:pPr>
      <w:r>
        <w:rPr>
          <w:rStyle w:val="84"/>
          <w:rFonts w:ascii="宋体" w:hAnsi="宋体"/>
          <w:b/>
          <w:color w:val="auto"/>
          <w:sz w:val="36"/>
          <w:szCs w:val="36"/>
          <w:highlight w:val="none"/>
        </w:rPr>
        <w:t>算术复核表</w:t>
      </w:r>
    </w:p>
    <w:p>
      <w:pPr>
        <w:spacing w:line="360" w:lineRule="auto"/>
        <w:rPr>
          <w:rStyle w:val="84"/>
          <w:rFonts w:ascii="宋体" w:hAnsi="宋体"/>
          <w:color w:val="auto"/>
          <w:szCs w:val="21"/>
          <w:highlight w:val="none"/>
        </w:rPr>
      </w:pPr>
      <w:r>
        <w:rPr>
          <w:rStyle w:val="84"/>
          <w:rFonts w:ascii="宋体" w:hAnsi="宋体"/>
          <w:color w:val="auto"/>
          <w:szCs w:val="21"/>
          <w:highlight w:val="none"/>
        </w:rPr>
        <w:t>工程名称：</w:t>
      </w:r>
    </w:p>
    <w:tbl>
      <w:tblPr>
        <w:tblStyle w:val="24"/>
        <w:tblW w:w="134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4077"/>
        <w:gridCol w:w="2211"/>
        <w:gridCol w:w="2942"/>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84"/>
                <w:rFonts w:ascii="宋体" w:hAnsi="宋体"/>
                <w:b/>
                <w:color w:val="auto"/>
                <w:sz w:val="24"/>
                <w:szCs w:val="24"/>
                <w:highlight w:val="none"/>
              </w:rPr>
            </w:pPr>
            <w:r>
              <w:rPr>
                <w:rStyle w:val="84"/>
                <w:rFonts w:ascii="宋体" w:hAnsi="宋体"/>
                <w:b/>
                <w:color w:val="auto"/>
                <w:sz w:val="24"/>
                <w:szCs w:val="24"/>
                <w:highlight w:val="none"/>
              </w:rPr>
              <w:t>编号</w:t>
            </w:r>
          </w:p>
        </w:tc>
        <w:tc>
          <w:tcPr>
            <w:tcW w:w="40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84"/>
                <w:rFonts w:ascii="宋体" w:hAnsi="宋体"/>
                <w:b/>
                <w:color w:val="auto"/>
                <w:sz w:val="24"/>
                <w:szCs w:val="24"/>
                <w:highlight w:val="none"/>
              </w:rPr>
            </w:pPr>
            <w:r>
              <w:rPr>
                <w:rStyle w:val="84"/>
                <w:rFonts w:ascii="宋体" w:hAnsi="宋体"/>
                <w:b/>
                <w:color w:val="auto"/>
                <w:sz w:val="24"/>
                <w:szCs w:val="24"/>
                <w:highlight w:val="none"/>
              </w:rPr>
              <w:t>投标人名称</w:t>
            </w:r>
          </w:p>
        </w:tc>
        <w:tc>
          <w:tcPr>
            <w:tcW w:w="221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84"/>
                <w:rFonts w:ascii="宋体" w:hAnsi="宋体"/>
                <w:b/>
                <w:color w:val="auto"/>
                <w:sz w:val="24"/>
                <w:szCs w:val="24"/>
                <w:highlight w:val="none"/>
              </w:rPr>
            </w:pPr>
            <w:r>
              <w:rPr>
                <w:rStyle w:val="84"/>
                <w:rFonts w:ascii="宋体" w:hAnsi="宋体"/>
                <w:b/>
                <w:color w:val="auto"/>
                <w:sz w:val="24"/>
                <w:szCs w:val="24"/>
                <w:highlight w:val="none"/>
              </w:rPr>
              <w:t>原投标报价（A）</w:t>
            </w:r>
          </w:p>
        </w:tc>
        <w:tc>
          <w:tcPr>
            <w:tcW w:w="29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84"/>
                <w:rFonts w:ascii="宋体" w:hAnsi="宋体"/>
                <w:b/>
                <w:color w:val="auto"/>
                <w:sz w:val="24"/>
                <w:szCs w:val="24"/>
                <w:highlight w:val="none"/>
              </w:rPr>
            </w:pPr>
            <w:r>
              <w:rPr>
                <w:rStyle w:val="84"/>
                <w:rFonts w:ascii="宋体" w:hAnsi="宋体"/>
                <w:b/>
                <w:color w:val="auto"/>
                <w:sz w:val="24"/>
                <w:szCs w:val="24"/>
                <w:highlight w:val="none"/>
              </w:rPr>
              <w:t>算数复核后投标报价（B）</w:t>
            </w:r>
          </w:p>
        </w:tc>
        <w:tc>
          <w:tcPr>
            <w:tcW w:w="32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84"/>
                <w:rFonts w:ascii="宋体" w:hAnsi="宋体"/>
                <w:b/>
                <w:color w:val="auto"/>
                <w:sz w:val="24"/>
                <w:szCs w:val="24"/>
                <w:highlight w:val="none"/>
              </w:rPr>
            </w:pPr>
            <w:r>
              <w:rPr>
                <w:rStyle w:val="84"/>
                <w:rFonts w:ascii="宋体" w:hAnsi="宋体"/>
                <w:b/>
                <w:color w:val="auto"/>
                <w:sz w:val="24"/>
                <w:szCs w:val="24"/>
                <w:highlight w:val="none"/>
              </w:rPr>
              <w:t>误差率（r=|A-B|/A*100%）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84"/>
                <w:rFonts w:ascii="宋体" w:hAnsi="宋体"/>
                <w:color w:val="auto"/>
                <w:sz w:val="24"/>
                <w:szCs w:val="24"/>
                <w:highlight w:val="none"/>
              </w:rPr>
            </w:pPr>
          </w:p>
        </w:tc>
      </w:tr>
    </w:tbl>
    <w:p>
      <w:pPr>
        <w:spacing w:line="360" w:lineRule="auto"/>
        <w:rPr>
          <w:rStyle w:val="84"/>
          <w:rFonts w:ascii="宋体" w:hAnsi="宋体"/>
          <w:color w:val="auto"/>
          <w:szCs w:val="21"/>
          <w:highlight w:val="none"/>
        </w:rPr>
      </w:pPr>
      <w:r>
        <w:rPr>
          <w:rStyle w:val="84"/>
          <w:rFonts w:ascii="宋体" w:hAnsi="宋体"/>
          <w:color w:val="auto"/>
          <w:szCs w:val="21"/>
          <w:highlight w:val="none"/>
        </w:rPr>
        <w:t>评委签名：</w:t>
      </w:r>
    </w:p>
    <w:p>
      <w:pPr>
        <w:spacing w:line="360" w:lineRule="auto"/>
        <w:rPr>
          <w:rStyle w:val="84"/>
          <w:rFonts w:ascii="宋体" w:hAnsi="宋体"/>
          <w:color w:val="auto"/>
          <w:szCs w:val="21"/>
          <w:highlight w:val="none"/>
        </w:rPr>
        <w:sectPr>
          <w:endnotePr>
            <w:numFmt w:val="decimal"/>
          </w:endnotePr>
          <w:pgSz w:w="16838" w:h="11906"/>
          <w:pgMar w:top="1418" w:right="1701" w:bottom="1418" w:left="1247" w:header="851" w:footer="907" w:gutter="0"/>
          <w:cols w:space="720" w:num="1"/>
          <w:titlePg/>
          <w:docGrid w:type="lines" w:linePitch="312" w:charSpace="0"/>
        </w:sectPr>
      </w:pPr>
    </w:p>
    <w:p>
      <w:pPr>
        <w:pStyle w:val="140"/>
        <w:outlineLvl w:val="0"/>
        <w:rPr>
          <w:rStyle w:val="84"/>
          <w:rFonts w:ascii="宋体" w:hAnsi="宋体"/>
          <w:bCs/>
          <w:color w:val="auto"/>
          <w:highlight w:val="none"/>
        </w:rPr>
      </w:pPr>
      <w:bookmarkStart w:id="26" w:name="_Toc105014636"/>
      <w:r>
        <w:rPr>
          <w:rStyle w:val="84"/>
          <w:rFonts w:ascii="宋体" w:hAnsi="宋体"/>
          <w:bCs/>
          <w:color w:val="auto"/>
          <w:highlight w:val="none"/>
        </w:rPr>
        <w:t>第三章  合同条款</w:t>
      </w:r>
      <w:bookmarkEnd w:id="26"/>
    </w:p>
    <w:p>
      <w:pPr>
        <w:rPr>
          <w:rStyle w:val="84"/>
          <w:rFonts w:ascii="宋体" w:hAnsi="宋体"/>
          <w:color w:val="auto"/>
          <w:sz w:val="24"/>
          <w:szCs w:val="24"/>
          <w:highlight w:val="none"/>
        </w:rPr>
      </w:pPr>
      <w:r>
        <w:rPr>
          <w:rStyle w:val="84"/>
          <w:rFonts w:ascii="宋体" w:hAnsi="宋体"/>
          <w:color w:val="auto"/>
          <w:sz w:val="24"/>
          <w:szCs w:val="24"/>
          <w:highlight w:val="none"/>
        </w:rPr>
        <w:t>另册。</w:t>
      </w:r>
    </w:p>
    <w:p>
      <w:pPr>
        <w:pStyle w:val="118"/>
        <w:spacing w:line="360" w:lineRule="auto"/>
        <w:ind w:firstLine="0"/>
        <w:rPr>
          <w:rStyle w:val="84"/>
          <w:rFonts w:ascii="宋体" w:hAnsi="宋体"/>
          <w:color w:val="auto"/>
          <w:sz w:val="24"/>
          <w:szCs w:val="24"/>
          <w:highlight w:val="none"/>
        </w:rPr>
      </w:pPr>
    </w:p>
    <w:p>
      <w:pPr>
        <w:pStyle w:val="67"/>
        <w:spacing w:line="360" w:lineRule="auto"/>
        <w:rPr>
          <w:rStyle w:val="84"/>
          <w:rFonts w:hAnsi="宋体"/>
          <w:color w:val="auto"/>
          <w:sz w:val="24"/>
          <w:szCs w:val="24"/>
          <w:highlight w:val="none"/>
        </w:rPr>
      </w:pPr>
    </w:p>
    <w:p>
      <w:pPr>
        <w:pStyle w:val="140"/>
        <w:outlineLvl w:val="0"/>
        <w:rPr>
          <w:rStyle w:val="84"/>
          <w:rFonts w:ascii="宋体" w:hAnsi="宋体"/>
          <w:bCs/>
          <w:color w:val="auto"/>
          <w:highlight w:val="none"/>
        </w:rPr>
      </w:pPr>
      <w:r>
        <w:rPr>
          <w:rStyle w:val="84"/>
          <w:rFonts w:ascii="宋体" w:hAnsi="宋体"/>
          <w:b w:val="0"/>
          <w:color w:val="auto"/>
          <w:highlight w:val="none"/>
        </w:rPr>
        <w:br w:type="page"/>
      </w:r>
      <w:bookmarkStart w:id="27" w:name="_Toc105014637"/>
      <w:r>
        <w:rPr>
          <w:rStyle w:val="84"/>
          <w:rFonts w:ascii="宋体" w:hAnsi="宋体"/>
          <w:bCs/>
          <w:color w:val="auto"/>
          <w:highlight w:val="none"/>
        </w:rPr>
        <w:t>第四章  投标文件格式</w:t>
      </w:r>
      <w:bookmarkEnd w:id="27"/>
    </w:p>
    <w:p>
      <w:pPr>
        <w:topLinePunct/>
        <w:snapToGrid w:val="0"/>
        <w:spacing w:before="100" w:beforeAutospacing="1" w:after="156" w:line="360" w:lineRule="auto"/>
        <w:jc w:val="center"/>
        <w:rPr>
          <w:rStyle w:val="84"/>
          <w:rFonts w:ascii="宋体" w:hAnsi="宋体"/>
          <w:b/>
          <w:color w:val="auto"/>
          <w:spacing w:val="4"/>
          <w:kern w:val="0"/>
          <w:sz w:val="30"/>
          <w:szCs w:val="30"/>
          <w:highlight w:val="none"/>
        </w:rPr>
      </w:pPr>
      <w:r>
        <w:rPr>
          <w:rStyle w:val="84"/>
          <w:rFonts w:ascii="宋体" w:hAnsi="宋体"/>
          <w:b/>
          <w:color w:val="auto"/>
          <w:spacing w:val="4"/>
          <w:kern w:val="0"/>
          <w:sz w:val="30"/>
          <w:szCs w:val="30"/>
          <w:highlight w:val="none"/>
        </w:rPr>
        <w:t>一、技术标投标文件格式</w:t>
      </w:r>
    </w:p>
    <w:p>
      <w:pPr>
        <w:topLinePunct/>
        <w:snapToGrid w:val="0"/>
        <w:spacing w:before="156" w:after="156" w:line="360" w:lineRule="auto"/>
        <w:jc w:val="left"/>
        <w:rPr>
          <w:rFonts w:ascii="宋体" w:hAnsi="宋体"/>
          <w:b/>
          <w:color w:val="auto"/>
          <w:sz w:val="24"/>
          <w:szCs w:val="24"/>
          <w:highlight w:val="none"/>
        </w:rPr>
      </w:pPr>
    </w:p>
    <w:p>
      <w:pPr>
        <w:topLinePunct/>
        <w:snapToGrid w:val="0"/>
        <w:spacing w:before="156" w:after="156" w:line="360" w:lineRule="auto"/>
        <w:jc w:val="left"/>
        <w:rPr>
          <w:rStyle w:val="84"/>
          <w:rFonts w:ascii="宋体" w:hAnsi="宋体" w:cs="宋体"/>
          <w:bCs/>
          <w:color w:val="auto"/>
          <w:szCs w:val="21"/>
          <w:highlight w:val="none"/>
        </w:rPr>
      </w:pPr>
      <w:r>
        <w:rPr>
          <w:rFonts w:hint="eastAsia" w:ascii="宋体" w:hAnsi="宋体"/>
          <w:b/>
          <w:color w:val="auto"/>
          <w:sz w:val="24"/>
          <w:szCs w:val="24"/>
          <w:highlight w:val="none"/>
        </w:rPr>
        <w:t>格式一</w:t>
      </w:r>
    </w:p>
    <w:p>
      <w:pPr>
        <w:spacing w:line="360" w:lineRule="auto"/>
        <w:ind w:left="-540" w:leftChars="-257" w:firstLine="1135" w:firstLineChars="257"/>
        <w:jc w:val="center"/>
        <w:rPr>
          <w:rStyle w:val="84"/>
          <w:rFonts w:ascii="宋体" w:hAnsi="宋体" w:cs="宋体"/>
          <w:b/>
          <w:bCs/>
          <w:color w:val="auto"/>
          <w:sz w:val="44"/>
          <w:szCs w:val="44"/>
          <w:highlight w:val="none"/>
          <w:lang w:val="zh-CN"/>
        </w:rPr>
      </w:pPr>
    </w:p>
    <w:p>
      <w:pPr>
        <w:spacing w:line="360" w:lineRule="auto"/>
        <w:ind w:left="-540" w:leftChars="-257" w:firstLine="795" w:firstLineChars="257"/>
        <w:jc w:val="center"/>
        <w:rPr>
          <w:rStyle w:val="84"/>
          <w:rFonts w:ascii="宋体" w:hAnsi="宋体"/>
          <w:b/>
          <w:color w:val="auto"/>
          <w:spacing w:val="4"/>
          <w:kern w:val="0"/>
          <w:sz w:val="30"/>
          <w:szCs w:val="30"/>
          <w:highlight w:val="none"/>
        </w:rPr>
      </w:pPr>
      <w:r>
        <w:rPr>
          <w:rStyle w:val="84"/>
          <w:rFonts w:ascii="宋体" w:hAnsi="宋体"/>
          <w:b/>
          <w:color w:val="auto"/>
          <w:spacing w:val="4"/>
          <w:kern w:val="0"/>
          <w:sz w:val="30"/>
          <w:szCs w:val="30"/>
          <w:highlight w:val="none"/>
        </w:rPr>
        <w:t>广州建设工程施工招标投标书</w:t>
      </w:r>
      <w:r>
        <w:rPr>
          <w:rStyle w:val="84"/>
          <w:rFonts w:hint="eastAsia" w:ascii="宋体" w:hAnsi="宋体"/>
          <w:b/>
          <w:color w:val="auto"/>
          <w:spacing w:val="4"/>
          <w:kern w:val="0"/>
          <w:sz w:val="30"/>
          <w:szCs w:val="30"/>
          <w:highlight w:val="none"/>
        </w:rPr>
        <w:t>（技术标）</w:t>
      </w:r>
    </w:p>
    <w:tbl>
      <w:tblPr>
        <w:tblStyle w:val="24"/>
        <w:tblpPr w:leftFromText="180" w:rightFromText="180" w:vertAnchor="text" w:horzAnchor="margin" w:tblpXSpec="center" w:tblpY="27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2056"/>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621"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5621"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auto"/>
              <w:rPr>
                <w:rFonts w:ascii="宋体" w:hAnsi="宋体"/>
                <w:color w:val="auto"/>
                <w:sz w:val="24"/>
                <w:szCs w:val="24"/>
                <w:highlight w:val="none"/>
              </w:rPr>
            </w:pPr>
            <w:r>
              <w:rPr>
                <w:rFonts w:hint="eastAsia" w:ascii="宋体" w:hAnsi="宋体" w:cs="宋体"/>
                <w:color w:val="auto"/>
                <w:sz w:val="24"/>
                <w:szCs w:val="24"/>
                <w:highlight w:val="none"/>
                <w:lang w:val="zh-CN"/>
              </w:rPr>
              <w:t>工程质量标准</w:t>
            </w:r>
          </w:p>
        </w:tc>
        <w:tc>
          <w:tcPr>
            <w:tcW w:w="5621"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5621"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099" w:type="dxa"/>
            <w:tcBorders>
              <w:top w:val="single" w:color="auto" w:sz="4" w:space="0"/>
              <w:left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姓   名</w:t>
            </w:r>
          </w:p>
        </w:tc>
        <w:tc>
          <w:tcPr>
            <w:tcW w:w="356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099" w:type="dxa"/>
            <w:tcBorders>
              <w:top w:val="single" w:color="auto" w:sz="4" w:space="0"/>
              <w:left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   名</w:t>
            </w:r>
          </w:p>
        </w:tc>
        <w:tc>
          <w:tcPr>
            <w:tcW w:w="356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ascii="宋体" w:hAnsi="宋体" w:cs="宋体"/>
                <w:bCs/>
                <w:color w:val="auto"/>
                <w:sz w:val="24"/>
                <w:szCs w:val="24"/>
                <w:highlight w:val="none"/>
                <w:lang w:val="zh-CN"/>
              </w:rPr>
            </w:pPr>
          </w:p>
        </w:tc>
      </w:tr>
    </w:tbl>
    <w:p>
      <w:pPr>
        <w:tabs>
          <w:tab w:val="left" w:pos="720"/>
        </w:tabs>
        <w:snapToGrid w:val="0"/>
        <w:spacing w:line="360" w:lineRule="auto"/>
        <w:rPr>
          <w:rStyle w:val="84"/>
          <w:rFonts w:ascii="宋体" w:hAnsi="宋体"/>
          <w:color w:val="auto"/>
          <w:sz w:val="24"/>
          <w:szCs w:val="24"/>
          <w:highlight w:val="none"/>
        </w:rPr>
      </w:pPr>
    </w:p>
    <w:p>
      <w:pPr>
        <w:spacing w:line="360" w:lineRule="auto"/>
        <w:rPr>
          <w:rStyle w:val="84"/>
          <w:rFonts w:ascii="宋体" w:hAnsi="宋体"/>
          <w:b/>
          <w:color w:val="auto"/>
          <w:highlight w:val="none"/>
        </w:rPr>
      </w:pPr>
      <w:r>
        <w:rPr>
          <w:rStyle w:val="84"/>
          <w:rFonts w:ascii="宋体" w:hAnsi="宋体"/>
          <w:color w:val="auto"/>
          <w:sz w:val="24"/>
          <w:szCs w:val="24"/>
          <w:highlight w:val="none"/>
        </w:rPr>
        <w:br w:type="page"/>
      </w:r>
      <w:r>
        <w:rPr>
          <w:rStyle w:val="84"/>
          <w:rFonts w:ascii="宋体" w:hAnsi="宋体"/>
          <w:b/>
          <w:color w:val="auto"/>
          <w:sz w:val="24"/>
          <w:szCs w:val="24"/>
          <w:highlight w:val="none"/>
        </w:rPr>
        <w:t>格式</w:t>
      </w:r>
      <w:r>
        <w:rPr>
          <w:rStyle w:val="84"/>
          <w:rFonts w:hint="eastAsia" w:ascii="宋体" w:hAnsi="宋体"/>
          <w:b/>
          <w:color w:val="auto"/>
          <w:sz w:val="24"/>
          <w:szCs w:val="24"/>
          <w:highlight w:val="none"/>
        </w:rPr>
        <w:t>二</w:t>
      </w:r>
    </w:p>
    <w:p>
      <w:pPr>
        <w:pStyle w:val="151"/>
        <w:ind w:firstLine="496"/>
        <w:rPr>
          <w:rStyle w:val="84"/>
          <w:rFonts w:ascii="宋体" w:hAnsi="宋体"/>
          <w:color w:val="auto"/>
          <w:highlight w:val="none"/>
        </w:rPr>
      </w:pPr>
    </w:p>
    <w:p>
      <w:pPr>
        <w:spacing w:afterLines="50" w:line="360" w:lineRule="auto"/>
        <w:jc w:val="center"/>
        <w:rPr>
          <w:rStyle w:val="84"/>
          <w:rFonts w:ascii="宋体" w:hAnsi="宋体" w:cs="宋体"/>
          <w:b/>
          <w:bCs/>
          <w:color w:val="auto"/>
          <w:sz w:val="30"/>
          <w:szCs w:val="30"/>
          <w:highlight w:val="none"/>
          <w:lang w:val="zh-CN"/>
        </w:rPr>
      </w:pPr>
      <w:r>
        <w:rPr>
          <w:rStyle w:val="84"/>
          <w:rFonts w:ascii="宋体" w:hAnsi="宋体"/>
          <w:b/>
          <w:color w:val="auto"/>
          <w:sz w:val="30"/>
          <w:szCs w:val="30"/>
          <w:highlight w:val="none"/>
        </w:rPr>
        <w:t>项目管理机构人员配备表</w:t>
      </w:r>
    </w:p>
    <w:tbl>
      <w:tblPr>
        <w:tblStyle w:val="24"/>
        <w:tblW w:w="8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945"/>
        <w:gridCol w:w="1315"/>
        <w:gridCol w:w="44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序号</w:t>
            </w:r>
          </w:p>
        </w:tc>
        <w:tc>
          <w:tcPr>
            <w:tcW w:w="1945"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拟在本项目任职</w:t>
            </w:r>
          </w:p>
        </w:tc>
        <w:tc>
          <w:tcPr>
            <w:tcW w:w="1315"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姓名</w:t>
            </w:r>
          </w:p>
        </w:tc>
        <w:tc>
          <w:tcPr>
            <w:tcW w:w="44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注册证或岗位证或培训证或职称证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1</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r>
              <w:rPr>
                <w:rStyle w:val="84"/>
                <w:rFonts w:ascii="宋体" w:hAnsi="宋体"/>
                <w:color w:val="auto"/>
                <w:sz w:val="24"/>
                <w:szCs w:val="24"/>
                <w:highlight w:val="none"/>
              </w:rPr>
              <w:t>项目负责人</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2</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r>
              <w:rPr>
                <w:rStyle w:val="84"/>
                <w:rFonts w:hint="eastAsia" w:ascii="宋体" w:hAnsi="宋体"/>
                <w:color w:val="auto"/>
                <w:sz w:val="24"/>
                <w:szCs w:val="24"/>
                <w:highlight w:val="none"/>
              </w:rPr>
              <w:t>技术负责人</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3</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r>
              <w:rPr>
                <w:rStyle w:val="84"/>
                <w:rFonts w:hint="eastAsia" w:ascii="宋体" w:hAnsi="宋体"/>
                <w:color w:val="auto"/>
                <w:sz w:val="24"/>
                <w:szCs w:val="24"/>
                <w:highlight w:val="none"/>
              </w:rPr>
              <w:t>质量负责人</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4</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r>
              <w:rPr>
                <w:rStyle w:val="84"/>
                <w:rFonts w:hint="eastAsia" w:ascii="宋体" w:hAnsi="宋体"/>
                <w:color w:val="auto"/>
                <w:sz w:val="24"/>
                <w:szCs w:val="24"/>
                <w:highlight w:val="none"/>
              </w:rPr>
              <w:t>安全负责人</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5</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r>
              <w:rPr>
                <w:rStyle w:val="84"/>
                <w:rFonts w:hint="eastAsia" w:ascii="宋体" w:hAnsi="宋体"/>
                <w:color w:val="auto"/>
                <w:sz w:val="24"/>
                <w:szCs w:val="24"/>
                <w:highlight w:val="none"/>
              </w:rPr>
              <w:t>造价负责人</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6</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r>
              <w:rPr>
                <w:rStyle w:val="84"/>
                <w:rFonts w:ascii="宋体" w:hAnsi="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7</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r>
              <w:rPr>
                <w:rStyle w:val="84"/>
                <w:rFonts w:ascii="宋体" w:hAnsi="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84"/>
                <w:rFonts w:ascii="宋体" w:hAnsi="宋体"/>
                <w:color w:val="auto"/>
                <w:sz w:val="24"/>
                <w:szCs w:val="24"/>
                <w:highlight w:val="none"/>
              </w:rPr>
            </w:pPr>
          </w:p>
        </w:tc>
      </w:tr>
    </w:tbl>
    <w:p>
      <w:pPr>
        <w:pStyle w:val="103"/>
        <w:spacing w:line="360" w:lineRule="auto"/>
        <w:rPr>
          <w:rStyle w:val="84"/>
          <w:rFonts w:ascii="宋体" w:hAnsi="宋体"/>
          <w:color w:val="auto"/>
          <w:highlight w:val="none"/>
        </w:rPr>
      </w:pPr>
    </w:p>
    <w:p>
      <w:pPr>
        <w:spacing w:line="360" w:lineRule="auto"/>
        <w:rPr>
          <w:rStyle w:val="84"/>
          <w:rFonts w:ascii="宋体" w:hAnsi="宋体"/>
          <w:color w:val="auto"/>
          <w:highlight w:val="none"/>
        </w:rPr>
      </w:pPr>
      <w:r>
        <w:rPr>
          <w:rStyle w:val="84"/>
          <w:rFonts w:ascii="宋体" w:hAnsi="宋体"/>
          <w:color w:val="auto"/>
          <w:highlight w:val="none"/>
        </w:rPr>
        <w:t>备注：1.本表投标单位根据实际情况可进行扩展；</w:t>
      </w:r>
    </w:p>
    <w:p>
      <w:pPr>
        <w:pStyle w:val="103"/>
        <w:spacing w:line="360" w:lineRule="auto"/>
        <w:rPr>
          <w:rStyle w:val="84"/>
          <w:rFonts w:ascii="宋体" w:hAnsi="宋体"/>
          <w:color w:val="auto"/>
          <w:kern w:val="2"/>
          <w:sz w:val="21"/>
          <w:szCs w:val="22"/>
          <w:highlight w:val="none"/>
        </w:rPr>
      </w:pPr>
      <w:r>
        <w:rPr>
          <w:rStyle w:val="84"/>
          <w:rFonts w:ascii="宋体" w:hAnsi="宋体"/>
          <w:color w:val="auto"/>
          <w:kern w:val="2"/>
          <w:sz w:val="21"/>
          <w:szCs w:val="22"/>
          <w:highlight w:val="none"/>
        </w:rPr>
        <w:t xml:space="preserve">      2.后附</w:t>
      </w:r>
      <w:r>
        <w:rPr>
          <w:rStyle w:val="84"/>
          <w:rFonts w:hint="eastAsia" w:ascii="宋体" w:hAnsi="宋体"/>
          <w:color w:val="auto"/>
          <w:kern w:val="2"/>
          <w:sz w:val="21"/>
          <w:szCs w:val="22"/>
          <w:highlight w:val="none"/>
        </w:rPr>
        <w:t>《技术标详细审查评分表》要求的</w:t>
      </w:r>
      <w:r>
        <w:rPr>
          <w:rStyle w:val="84"/>
          <w:rFonts w:ascii="宋体" w:hAnsi="宋体"/>
          <w:color w:val="auto"/>
          <w:kern w:val="2"/>
          <w:sz w:val="21"/>
          <w:szCs w:val="22"/>
          <w:highlight w:val="none"/>
        </w:rPr>
        <w:t>人员相关证明资料。</w:t>
      </w:r>
    </w:p>
    <w:p>
      <w:pPr>
        <w:spacing w:line="360" w:lineRule="auto"/>
        <w:rPr>
          <w:rStyle w:val="84"/>
          <w:rFonts w:ascii="宋体" w:hAnsi="宋体"/>
          <w:b/>
          <w:color w:val="auto"/>
          <w:sz w:val="24"/>
          <w:szCs w:val="24"/>
          <w:highlight w:val="none"/>
        </w:rPr>
      </w:pPr>
      <w:r>
        <w:rPr>
          <w:rStyle w:val="84"/>
          <w:rFonts w:ascii="宋体" w:hAnsi="宋体"/>
          <w:color w:val="auto"/>
          <w:highlight w:val="none"/>
        </w:rPr>
        <w:br w:type="page"/>
      </w:r>
      <w:r>
        <w:rPr>
          <w:rStyle w:val="84"/>
          <w:rFonts w:ascii="宋体" w:hAnsi="宋体"/>
          <w:b/>
          <w:color w:val="auto"/>
          <w:sz w:val="24"/>
          <w:szCs w:val="24"/>
          <w:highlight w:val="none"/>
        </w:rPr>
        <w:t>格式</w:t>
      </w:r>
      <w:r>
        <w:rPr>
          <w:rStyle w:val="84"/>
          <w:rFonts w:hint="eastAsia" w:ascii="宋体" w:hAnsi="宋体"/>
          <w:b/>
          <w:color w:val="auto"/>
          <w:sz w:val="24"/>
          <w:szCs w:val="24"/>
          <w:highlight w:val="none"/>
        </w:rPr>
        <w:t>三</w:t>
      </w:r>
    </w:p>
    <w:p>
      <w:pPr>
        <w:snapToGrid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企业类似业绩及获奖一览表</w:t>
      </w:r>
    </w:p>
    <w:p>
      <w:pPr>
        <w:pStyle w:val="14"/>
        <w:rPr>
          <w:color w:val="auto"/>
          <w:highlight w:val="none"/>
        </w:rPr>
      </w:pPr>
    </w:p>
    <w:tbl>
      <w:tblPr>
        <w:tblStyle w:val="24"/>
        <w:tblpPr w:leftFromText="180" w:rightFromText="180" w:vertAnchor="text" w:horzAnchor="margin" w:tblpXSpec="center" w:tblpY="-2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953"/>
        <w:gridCol w:w="2431"/>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restart"/>
            <w:tcBorders>
              <w:top w:val="single" w:color="auto" w:sz="4" w:space="0"/>
              <w:left w:val="single" w:color="auto" w:sz="4" w:space="0"/>
              <w:right w:val="single" w:color="auto" w:sz="4" w:space="0"/>
            </w:tcBorders>
            <w:vAlign w:val="center"/>
          </w:tcPr>
          <w:p>
            <w:pPr>
              <w:jc w:val="center"/>
              <w:rPr>
                <w:rStyle w:val="84"/>
                <w:color w:val="auto"/>
                <w:highlight w:val="none"/>
              </w:rPr>
            </w:pPr>
            <w:r>
              <w:rPr>
                <w:rStyle w:val="84"/>
                <w:rFonts w:hint="eastAsia"/>
                <w:color w:val="auto"/>
                <w:highlight w:val="none"/>
              </w:rPr>
              <w:t>类似工程业绩</w:t>
            </w:r>
          </w:p>
        </w:tc>
        <w:tc>
          <w:tcPr>
            <w:tcW w:w="1953" w:type="dxa"/>
            <w:tcBorders>
              <w:top w:val="single" w:color="auto" w:sz="4" w:space="0"/>
              <w:left w:val="single" w:color="auto" w:sz="4" w:space="0"/>
              <w:right w:val="single" w:color="auto" w:sz="4" w:space="0"/>
            </w:tcBorders>
            <w:vAlign w:val="center"/>
          </w:tcPr>
          <w:p>
            <w:pPr>
              <w:autoSpaceDE w:val="0"/>
              <w:autoSpaceDN w:val="0"/>
              <w:adjustRightInd w:val="0"/>
              <w:jc w:val="center"/>
              <w:rPr>
                <w:rStyle w:val="84"/>
                <w:color w:val="auto"/>
                <w:highlight w:val="none"/>
              </w:rPr>
            </w:pPr>
            <w:r>
              <w:rPr>
                <w:rStyle w:val="84"/>
                <w:rFonts w:hint="eastAsia"/>
                <w:color w:val="auto"/>
                <w:highlight w:val="none"/>
              </w:rPr>
              <w:t>工程名称</w:t>
            </w: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84"/>
                <w:color w:val="auto"/>
                <w:highlight w:val="none"/>
              </w:rPr>
            </w:pPr>
            <w:r>
              <w:rPr>
                <w:rStyle w:val="84"/>
                <w:rFonts w:hint="eastAsia"/>
                <w:color w:val="auto"/>
                <w:highlight w:val="none"/>
              </w:rPr>
              <w:t xml:space="preserve"> 中标金额</w:t>
            </w: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84"/>
                <w:color w:val="auto"/>
                <w:highlight w:val="none"/>
              </w:rPr>
            </w:pPr>
            <w:r>
              <w:rPr>
                <w:rStyle w:val="84"/>
                <w:rFonts w:hint="eastAsia"/>
                <w:color w:val="auto"/>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pPr>
              <w:jc w:val="center"/>
              <w:rPr>
                <w:rStyle w:val="84"/>
                <w:color w:val="auto"/>
                <w:highlight w:val="none"/>
              </w:rPr>
            </w:pPr>
          </w:p>
        </w:tc>
        <w:tc>
          <w:tcPr>
            <w:tcW w:w="1953" w:type="dxa"/>
            <w:tcBorders>
              <w:left w:val="single" w:color="auto" w:sz="4" w:space="0"/>
              <w:right w:val="single" w:color="auto" w:sz="4" w:space="0"/>
            </w:tcBorders>
            <w:vAlign w:val="center"/>
          </w:tcPr>
          <w:p>
            <w:pPr>
              <w:autoSpaceDE w:val="0"/>
              <w:autoSpaceDN w:val="0"/>
              <w:adjustRightInd w:val="0"/>
              <w:jc w:val="center"/>
              <w:rPr>
                <w:rStyle w:val="84"/>
                <w:color w:val="auto"/>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84"/>
                <w:color w:val="auto"/>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84"/>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pPr>
              <w:jc w:val="center"/>
              <w:rPr>
                <w:rStyle w:val="84"/>
                <w:color w:val="auto"/>
                <w:highlight w:val="none"/>
              </w:rPr>
            </w:pPr>
          </w:p>
        </w:tc>
        <w:tc>
          <w:tcPr>
            <w:tcW w:w="1953" w:type="dxa"/>
            <w:tcBorders>
              <w:left w:val="single" w:color="auto" w:sz="4" w:space="0"/>
              <w:right w:val="single" w:color="auto" w:sz="4" w:space="0"/>
            </w:tcBorders>
            <w:vAlign w:val="center"/>
          </w:tcPr>
          <w:p>
            <w:pPr>
              <w:autoSpaceDE w:val="0"/>
              <w:autoSpaceDN w:val="0"/>
              <w:adjustRightInd w:val="0"/>
              <w:jc w:val="center"/>
              <w:rPr>
                <w:rStyle w:val="84"/>
                <w:color w:val="auto"/>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84"/>
                <w:color w:val="auto"/>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84"/>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restart"/>
            <w:tcBorders>
              <w:left w:val="single" w:color="auto" w:sz="4" w:space="0"/>
              <w:right w:val="single" w:color="auto" w:sz="4" w:space="0"/>
            </w:tcBorders>
            <w:vAlign w:val="center"/>
          </w:tcPr>
          <w:p>
            <w:pPr>
              <w:jc w:val="center"/>
              <w:rPr>
                <w:rStyle w:val="84"/>
                <w:color w:val="auto"/>
                <w:highlight w:val="none"/>
              </w:rPr>
            </w:pPr>
            <w:r>
              <w:rPr>
                <w:rStyle w:val="84"/>
                <w:rFonts w:hint="eastAsia"/>
                <w:color w:val="auto"/>
                <w:highlight w:val="none"/>
              </w:rPr>
              <w:t>获奖情况</w:t>
            </w:r>
          </w:p>
        </w:tc>
        <w:tc>
          <w:tcPr>
            <w:tcW w:w="1953" w:type="dxa"/>
            <w:tcBorders>
              <w:left w:val="single" w:color="auto" w:sz="4" w:space="0"/>
              <w:right w:val="single" w:color="auto" w:sz="4" w:space="0"/>
            </w:tcBorders>
            <w:vAlign w:val="center"/>
          </w:tcPr>
          <w:p>
            <w:pPr>
              <w:autoSpaceDE w:val="0"/>
              <w:autoSpaceDN w:val="0"/>
              <w:adjustRightInd w:val="0"/>
              <w:jc w:val="center"/>
              <w:rPr>
                <w:rStyle w:val="84"/>
                <w:color w:val="auto"/>
                <w:highlight w:val="none"/>
              </w:rPr>
            </w:pPr>
            <w:r>
              <w:rPr>
                <w:rStyle w:val="84"/>
                <w:rFonts w:hint="eastAsia"/>
                <w:color w:val="auto"/>
                <w:highlight w:val="none"/>
              </w:rPr>
              <w:t>工程名称</w:t>
            </w: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84"/>
                <w:color w:val="auto"/>
                <w:highlight w:val="none"/>
              </w:rPr>
            </w:pPr>
            <w:r>
              <w:rPr>
                <w:rStyle w:val="84"/>
                <w:rFonts w:hint="eastAsia"/>
                <w:color w:val="auto"/>
                <w:highlight w:val="none"/>
              </w:rPr>
              <w:t>所获奖项</w:t>
            </w: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84"/>
                <w:color w:val="auto"/>
                <w:highlight w:val="none"/>
              </w:rPr>
            </w:pPr>
            <w:r>
              <w:rPr>
                <w:rStyle w:val="84"/>
                <w:rFonts w:hint="eastAsia"/>
                <w:color w:val="auto"/>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pPr>
              <w:jc w:val="center"/>
              <w:rPr>
                <w:rStyle w:val="84"/>
                <w:color w:val="auto"/>
                <w:highlight w:val="none"/>
              </w:rPr>
            </w:pPr>
          </w:p>
        </w:tc>
        <w:tc>
          <w:tcPr>
            <w:tcW w:w="1953" w:type="dxa"/>
            <w:tcBorders>
              <w:left w:val="single" w:color="auto" w:sz="4" w:space="0"/>
              <w:right w:val="single" w:color="auto" w:sz="4" w:space="0"/>
            </w:tcBorders>
          </w:tcPr>
          <w:p>
            <w:pPr>
              <w:autoSpaceDE w:val="0"/>
              <w:autoSpaceDN w:val="0"/>
              <w:adjustRightInd w:val="0"/>
              <w:jc w:val="center"/>
              <w:rPr>
                <w:rStyle w:val="84"/>
                <w:color w:val="auto"/>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84"/>
                <w:color w:val="auto"/>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84"/>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pPr>
              <w:jc w:val="center"/>
              <w:rPr>
                <w:rFonts w:ascii="宋体" w:hAnsi="宋体" w:cs="宋体"/>
                <w:bCs/>
                <w:color w:val="auto"/>
                <w:sz w:val="24"/>
                <w:szCs w:val="24"/>
                <w:highlight w:val="none"/>
                <w:lang w:val="zh-CN"/>
              </w:rPr>
            </w:pPr>
          </w:p>
        </w:tc>
        <w:tc>
          <w:tcPr>
            <w:tcW w:w="1953" w:type="dxa"/>
            <w:tcBorders>
              <w:left w:val="single" w:color="auto" w:sz="4" w:space="0"/>
              <w:right w:val="single" w:color="auto" w:sz="4" w:space="0"/>
            </w:tcBorders>
          </w:tcPr>
          <w:p>
            <w:pPr>
              <w:autoSpaceDE w:val="0"/>
              <w:autoSpaceDN w:val="0"/>
              <w:adjustRightInd w:val="0"/>
              <w:jc w:val="center"/>
              <w:rPr>
                <w:rFonts w:ascii="宋体" w:hAnsi="宋体" w:cs="宋体"/>
                <w:bCs/>
                <w:color w:val="auto"/>
                <w:sz w:val="24"/>
                <w:szCs w:val="24"/>
                <w:highlight w:val="none"/>
                <w:lang w:val="zh-CN"/>
              </w:rPr>
            </w:pP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r>
    </w:tbl>
    <w:p>
      <w:pPr>
        <w:pStyle w:val="14"/>
        <w:rPr>
          <w:color w:val="auto"/>
          <w:highlight w:val="none"/>
        </w:rPr>
      </w:pPr>
    </w:p>
    <w:p>
      <w:pPr>
        <w:pStyle w:val="14"/>
        <w:rPr>
          <w:color w:val="auto"/>
          <w:highlight w:val="none"/>
        </w:rPr>
      </w:pPr>
    </w:p>
    <w:p>
      <w:pPr>
        <w:pStyle w:val="136"/>
        <w:rPr>
          <w:rFonts w:ascii="宋体" w:hAnsi="宋体"/>
          <w:color w:val="auto"/>
          <w:highlight w:val="none"/>
        </w:rPr>
      </w:pPr>
    </w:p>
    <w:p>
      <w:pPr>
        <w:pStyle w:val="136"/>
        <w:rPr>
          <w:rFonts w:ascii="宋体" w:hAnsi="宋体"/>
          <w:color w:val="auto"/>
          <w:highlight w:val="none"/>
        </w:rPr>
      </w:pPr>
    </w:p>
    <w:p>
      <w:pPr>
        <w:rPr>
          <w:rStyle w:val="84"/>
          <w:rFonts w:ascii="宋体" w:hAnsi="宋体"/>
          <w:color w:val="auto"/>
          <w:highlight w:val="none"/>
        </w:rPr>
      </w:pPr>
    </w:p>
    <w:p>
      <w:pPr>
        <w:jc w:val="left"/>
        <w:textAlignment w:val="auto"/>
        <w:rPr>
          <w:rStyle w:val="84"/>
          <w:rFonts w:ascii="宋体" w:hAnsi="宋体"/>
          <w:color w:val="auto"/>
          <w:highlight w:val="none"/>
        </w:rPr>
      </w:pPr>
      <w:r>
        <w:rPr>
          <w:rStyle w:val="84"/>
          <w:rFonts w:ascii="宋体" w:hAnsi="宋体"/>
          <w:color w:val="auto"/>
          <w:highlight w:val="none"/>
        </w:rPr>
        <w:br w:type="page"/>
      </w:r>
    </w:p>
    <w:p>
      <w:pPr>
        <w:spacing w:line="360" w:lineRule="auto"/>
        <w:rPr>
          <w:rStyle w:val="84"/>
          <w:rFonts w:ascii="宋体" w:hAnsi="宋体"/>
          <w:b/>
          <w:color w:val="auto"/>
          <w:sz w:val="24"/>
          <w:szCs w:val="24"/>
          <w:highlight w:val="none"/>
        </w:rPr>
      </w:pPr>
      <w:r>
        <w:rPr>
          <w:rStyle w:val="84"/>
          <w:rFonts w:ascii="宋体" w:hAnsi="宋体"/>
          <w:b/>
          <w:color w:val="auto"/>
          <w:sz w:val="24"/>
          <w:szCs w:val="24"/>
          <w:highlight w:val="none"/>
        </w:rPr>
        <w:t>格式</w:t>
      </w:r>
      <w:r>
        <w:rPr>
          <w:rStyle w:val="84"/>
          <w:rFonts w:hint="eastAsia" w:ascii="宋体" w:hAnsi="宋体"/>
          <w:b/>
          <w:color w:val="auto"/>
          <w:sz w:val="24"/>
          <w:szCs w:val="24"/>
          <w:highlight w:val="none"/>
        </w:rPr>
        <w:t>四</w:t>
      </w:r>
    </w:p>
    <w:p>
      <w:pPr>
        <w:topLinePunct w:val="0"/>
        <w:snapToGrid/>
        <w:spacing w:after="0" w:line="240" w:lineRule="auto"/>
        <w:ind w:firstLine="0"/>
        <w:jc w:val="center"/>
        <w:rPr>
          <w:rStyle w:val="84"/>
          <w:rFonts w:ascii="宋体" w:hAnsi="宋体"/>
          <w:b/>
          <w:bCs/>
          <w:color w:val="auto"/>
          <w:spacing w:val="4"/>
          <w:kern w:val="0"/>
          <w:sz w:val="30"/>
          <w:szCs w:val="30"/>
          <w:highlight w:val="none"/>
        </w:rPr>
      </w:pPr>
      <w:r>
        <w:rPr>
          <w:rStyle w:val="84"/>
          <w:rFonts w:ascii="宋体" w:hAnsi="宋体"/>
          <w:b/>
          <w:bCs/>
          <w:color w:val="auto"/>
          <w:spacing w:val="4"/>
          <w:kern w:val="0"/>
          <w:sz w:val="30"/>
          <w:szCs w:val="30"/>
          <w:highlight w:val="none"/>
        </w:rPr>
        <w:t>参与编制技术标投标文件人员名单</w:t>
      </w:r>
    </w:p>
    <w:tbl>
      <w:tblPr>
        <w:tblStyle w:val="24"/>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372"/>
        <w:gridCol w:w="2353"/>
        <w:gridCol w:w="2256"/>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514" w:type="dxa"/>
            <w:gridSpan w:val="5"/>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投标单位名称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姓名</w:t>
            </w: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职务</w:t>
            </w: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所承担工作</w:t>
            </w: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身份证号码</w:t>
            </w: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本人签名栏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r>
    </w:tbl>
    <w:p>
      <w:pPr>
        <w:spacing w:line="360" w:lineRule="auto"/>
        <w:ind w:firstLine="496"/>
        <w:jc w:val="left"/>
        <w:rPr>
          <w:rStyle w:val="84"/>
          <w:rFonts w:ascii="宋体" w:hAnsi="宋体"/>
          <w:color w:val="auto"/>
          <w:spacing w:val="4"/>
          <w:kern w:val="0"/>
          <w:sz w:val="24"/>
          <w:szCs w:val="24"/>
          <w:highlight w:val="none"/>
        </w:rPr>
      </w:pPr>
      <w:r>
        <w:rPr>
          <w:rStyle w:val="84"/>
          <w:rFonts w:ascii="宋体" w:hAnsi="宋体"/>
          <w:color w:val="auto"/>
          <w:spacing w:val="4"/>
          <w:kern w:val="0"/>
          <w:sz w:val="24"/>
          <w:szCs w:val="24"/>
          <w:highlight w:val="none"/>
        </w:rPr>
        <w:t>注：参与编制技术标书所有人员名单应包括如编制技术投标方案、负责清样校对、负责打印及复印等所有人员在内的人员名单。</w:t>
      </w:r>
    </w:p>
    <w:p>
      <w:pPr>
        <w:pStyle w:val="136"/>
        <w:rPr>
          <w:rFonts w:ascii="宋体" w:hAnsi="宋体"/>
          <w:color w:val="auto"/>
          <w:highlight w:val="none"/>
        </w:rPr>
      </w:pPr>
    </w:p>
    <w:p>
      <w:pPr>
        <w:jc w:val="left"/>
        <w:textAlignment w:val="auto"/>
        <w:rPr>
          <w:rFonts w:ascii="宋体" w:hAnsi="宋体"/>
          <w:color w:val="auto"/>
          <w:highlight w:val="none"/>
        </w:rPr>
      </w:pPr>
      <w:r>
        <w:rPr>
          <w:rFonts w:ascii="宋体" w:hAnsi="宋体"/>
          <w:color w:val="auto"/>
          <w:highlight w:val="none"/>
        </w:rPr>
        <w:br w:type="page"/>
      </w:r>
    </w:p>
    <w:p>
      <w:pPr>
        <w:autoSpaceDE w:val="0"/>
        <w:autoSpaceDN w:val="0"/>
        <w:adjustRightInd w:val="0"/>
        <w:spacing w:line="276" w:lineRule="auto"/>
        <w:jc w:val="center"/>
        <w:rPr>
          <w:rStyle w:val="84"/>
          <w:rFonts w:ascii="宋体" w:hAnsi="宋体"/>
          <w:b/>
          <w:color w:val="auto"/>
          <w:spacing w:val="4"/>
          <w:kern w:val="0"/>
          <w:sz w:val="30"/>
          <w:szCs w:val="30"/>
          <w:highlight w:val="none"/>
        </w:rPr>
      </w:pPr>
      <w:r>
        <w:rPr>
          <w:rStyle w:val="84"/>
          <w:rFonts w:ascii="宋体" w:hAnsi="宋体"/>
          <w:b/>
          <w:color w:val="auto"/>
          <w:spacing w:val="4"/>
          <w:kern w:val="0"/>
          <w:sz w:val="30"/>
          <w:szCs w:val="30"/>
          <w:highlight w:val="none"/>
        </w:rPr>
        <w:t>二、经济标投标文件格式</w:t>
      </w:r>
    </w:p>
    <w:p>
      <w:pPr>
        <w:topLinePunct/>
        <w:snapToGrid w:val="0"/>
        <w:spacing w:before="156" w:after="156" w:line="360" w:lineRule="auto"/>
        <w:jc w:val="left"/>
        <w:rPr>
          <w:rStyle w:val="84"/>
          <w:rFonts w:ascii="宋体" w:hAnsi="宋体"/>
          <w:b/>
          <w:color w:val="auto"/>
          <w:spacing w:val="4"/>
          <w:kern w:val="0"/>
          <w:sz w:val="24"/>
          <w:szCs w:val="24"/>
          <w:highlight w:val="none"/>
        </w:rPr>
      </w:pPr>
    </w:p>
    <w:p>
      <w:pPr>
        <w:topLinePunct/>
        <w:snapToGrid w:val="0"/>
        <w:spacing w:before="156" w:after="156" w:line="360" w:lineRule="auto"/>
        <w:jc w:val="left"/>
        <w:rPr>
          <w:rStyle w:val="84"/>
          <w:rFonts w:ascii="宋体" w:cs="宋体"/>
          <w:b/>
          <w:bCs/>
          <w:color w:val="auto"/>
          <w:highlight w:val="none"/>
        </w:rPr>
      </w:pPr>
      <w:r>
        <w:rPr>
          <w:rStyle w:val="84"/>
          <w:rFonts w:ascii="宋体" w:cs="宋体"/>
          <w:b/>
          <w:bCs/>
          <w:color w:val="auto"/>
          <w:highlight w:val="none"/>
        </w:rPr>
        <w:t>格式</w:t>
      </w:r>
      <w:r>
        <w:rPr>
          <w:rStyle w:val="84"/>
          <w:rFonts w:hint="eastAsia" w:ascii="宋体" w:cs="宋体"/>
          <w:b/>
          <w:bCs/>
          <w:color w:val="auto"/>
          <w:highlight w:val="none"/>
        </w:rPr>
        <w:t>一</w:t>
      </w:r>
    </w:p>
    <w:p>
      <w:pPr>
        <w:topLinePunct/>
        <w:snapToGrid w:val="0"/>
        <w:spacing w:line="360" w:lineRule="auto"/>
        <w:ind w:firstLine="498" w:firstLineChars="200"/>
        <w:rPr>
          <w:rStyle w:val="84"/>
          <w:rFonts w:ascii="宋体" w:hAnsi="宋体"/>
          <w:b/>
          <w:color w:val="auto"/>
          <w:spacing w:val="4"/>
          <w:kern w:val="0"/>
          <w:sz w:val="24"/>
          <w:szCs w:val="24"/>
          <w:highlight w:val="none"/>
        </w:rPr>
      </w:pPr>
    </w:p>
    <w:p>
      <w:pPr>
        <w:topLinePunct/>
        <w:snapToGrid w:val="0"/>
        <w:spacing w:line="360" w:lineRule="auto"/>
        <w:ind w:firstLine="617"/>
        <w:jc w:val="center"/>
        <w:rPr>
          <w:rStyle w:val="84"/>
          <w:rFonts w:ascii="宋体" w:hAnsi="宋体"/>
          <w:b/>
          <w:color w:val="auto"/>
          <w:spacing w:val="4"/>
          <w:kern w:val="0"/>
          <w:sz w:val="30"/>
          <w:szCs w:val="30"/>
          <w:highlight w:val="none"/>
        </w:rPr>
      </w:pPr>
      <w:r>
        <w:rPr>
          <w:rStyle w:val="84"/>
          <w:rFonts w:hint="eastAsia" w:ascii="宋体" w:hAnsi="宋体"/>
          <w:b/>
          <w:color w:val="auto"/>
          <w:spacing w:val="4"/>
          <w:kern w:val="0"/>
          <w:sz w:val="30"/>
          <w:szCs w:val="30"/>
          <w:highlight w:val="none"/>
        </w:rPr>
        <w:t>广州建设工程施工招标投标书（经济标）</w:t>
      </w:r>
    </w:p>
    <w:tbl>
      <w:tblPr>
        <w:tblStyle w:val="24"/>
        <w:tblpPr w:leftFromText="180" w:rightFromText="180" w:vertAnchor="text" w:horzAnchor="margin" w:tblpXSpec="center" w:tblpY="275"/>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1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621"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360" w:lineRule="auto"/>
              <w:textAlignment w:val="auto"/>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133" w:type="dxa"/>
            <w:vMerge w:val="restart"/>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13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auto"/>
              <w:rPr>
                <w:rFonts w:ascii="宋体" w:hAnsi="宋体" w:cs="宋体"/>
                <w:bCs/>
                <w:color w:val="auto"/>
                <w:sz w:val="24"/>
                <w:szCs w:val="24"/>
                <w:highlight w:val="none"/>
                <w:lang w:val="zh-CN"/>
              </w:rPr>
            </w:pP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133" w:type="dxa"/>
            <w:vMerge w:val="restart"/>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13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auto"/>
              <w:rPr>
                <w:rFonts w:ascii="宋体" w:hAnsi="宋体" w:cs="宋体"/>
                <w:bCs/>
                <w:color w:val="auto"/>
                <w:sz w:val="24"/>
                <w:szCs w:val="24"/>
                <w:highlight w:val="none"/>
                <w:lang w:val="zh-CN"/>
              </w:rPr>
            </w:pP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133" w:type="dxa"/>
            <w:vMerge w:val="restart"/>
            <w:tcBorders>
              <w:top w:val="single" w:color="auto" w:sz="4" w:space="0"/>
              <w:left w:val="single" w:color="auto" w:sz="4" w:space="0"/>
              <w:right w:val="single" w:color="auto" w:sz="4" w:space="0"/>
            </w:tcBorders>
            <w:vAlign w:val="center"/>
          </w:tcPr>
          <w:p>
            <w:pPr>
              <w:spacing w:line="360" w:lineRule="auto"/>
              <w:jc w:val="left"/>
              <w:textAlignment w:val="auto"/>
              <w:rPr>
                <w:rFonts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ascii="宋体" w:hAnsi="宋体" w:cs="宋体"/>
                <w:color w:val="auto"/>
                <w:sz w:val="24"/>
                <w:szCs w:val="24"/>
                <w:highlight w:val="none"/>
                <w:lang w:val="zh-CN"/>
              </w:rPr>
              <w:t>绿色施工安全防护措施费（元）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133" w:type="dxa"/>
            <w:vMerge w:val="continue"/>
            <w:tcBorders>
              <w:left w:val="single" w:color="auto" w:sz="4" w:space="0"/>
              <w:right w:val="single" w:color="auto" w:sz="4" w:space="0"/>
            </w:tcBorders>
            <w:vAlign w:val="center"/>
          </w:tcPr>
          <w:p>
            <w:pPr>
              <w:spacing w:line="360" w:lineRule="auto"/>
              <w:jc w:val="left"/>
              <w:textAlignment w:val="auto"/>
              <w:rPr>
                <w:rFonts w:ascii="宋体" w:hAnsi="宋体" w:cs="宋体"/>
                <w:bCs/>
                <w:color w:val="auto"/>
                <w:sz w:val="24"/>
                <w:szCs w:val="24"/>
                <w:highlight w:val="none"/>
                <w:lang w:val="zh-CN"/>
              </w:rPr>
            </w:pP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133" w:type="dxa"/>
            <w:vMerge w:val="restart"/>
            <w:tcBorders>
              <w:left w:val="single" w:color="auto" w:sz="4" w:space="0"/>
              <w:right w:val="single" w:color="auto" w:sz="4" w:space="0"/>
            </w:tcBorders>
            <w:vAlign w:val="center"/>
          </w:tcPr>
          <w:p>
            <w:pPr>
              <w:spacing w:line="360" w:lineRule="auto"/>
              <w:jc w:val="left"/>
              <w:textAlignment w:val="auto"/>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 暂列金额</w:t>
            </w:r>
            <w:r>
              <w:rPr>
                <w:rFonts w:hint="eastAsia" w:ascii="宋体" w:hAnsi="宋体" w:cs="宋体"/>
                <w:color w:val="auto"/>
                <w:sz w:val="24"/>
                <w:szCs w:val="24"/>
                <w:highlight w:val="none"/>
                <w:lang w:val="zh-CN"/>
              </w:rPr>
              <w:t>（元）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133" w:type="dxa"/>
            <w:vMerge w:val="continue"/>
            <w:tcBorders>
              <w:left w:val="single" w:color="auto" w:sz="4" w:space="0"/>
              <w:right w:val="single" w:color="auto" w:sz="4" w:space="0"/>
            </w:tcBorders>
            <w:vAlign w:val="center"/>
          </w:tcPr>
          <w:p>
            <w:pPr>
              <w:spacing w:line="360" w:lineRule="auto"/>
              <w:jc w:val="left"/>
              <w:textAlignment w:val="auto"/>
              <w:rPr>
                <w:rFonts w:ascii="宋体" w:hAnsi="宋体" w:cs="宋体"/>
                <w:bCs/>
                <w:color w:val="auto"/>
                <w:sz w:val="24"/>
                <w:szCs w:val="24"/>
                <w:highlight w:val="none"/>
                <w:lang w:val="zh-CN"/>
              </w:rPr>
            </w:pP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小写：</w:t>
            </w:r>
          </w:p>
        </w:tc>
      </w:tr>
    </w:tbl>
    <w:p>
      <w:pPr>
        <w:topLinePunct/>
        <w:snapToGrid w:val="0"/>
        <w:spacing w:line="360" w:lineRule="auto"/>
        <w:rPr>
          <w:rStyle w:val="84"/>
          <w:rFonts w:ascii="宋体" w:hAnsi="宋体"/>
          <w:color w:val="auto"/>
          <w:spacing w:val="4"/>
          <w:kern w:val="0"/>
          <w:sz w:val="24"/>
          <w:szCs w:val="24"/>
          <w:highlight w:val="none"/>
        </w:rPr>
      </w:pPr>
    </w:p>
    <w:p>
      <w:pPr>
        <w:pStyle w:val="166"/>
        <w:spacing w:line="360" w:lineRule="auto"/>
        <w:rPr>
          <w:rStyle w:val="84"/>
          <w:rFonts w:ascii="宋体" w:eastAsia="宋体"/>
          <w:color w:val="auto"/>
          <w:highlight w:val="none"/>
        </w:rPr>
      </w:pPr>
      <w:r>
        <w:rPr>
          <w:rStyle w:val="84"/>
          <w:rFonts w:ascii="宋体" w:eastAsia="宋体"/>
          <w:b/>
          <w:color w:val="auto"/>
          <w:highlight w:val="none"/>
        </w:rPr>
        <w:br w:type="page"/>
      </w:r>
      <w:r>
        <w:rPr>
          <w:rStyle w:val="84"/>
          <w:rFonts w:ascii="宋体" w:eastAsia="宋体" w:cs="宋体"/>
          <w:b/>
          <w:bCs/>
          <w:color w:val="auto"/>
          <w:highlight w:val="none"/>
        </w:rPr>
        <w:t>格式</w:t>
      </w:r>
      <w:r>
        <w:rPr>
          <w:rStyle w:val="84"/>
          <w:rFonts w:hint="eastAsia" w:ascii="宋体" w:eastAsia="宋体" w:cs="宋体"/>
          <w:b/>
          <w:bCs/>
          <w:color w:val="auto"/>
          <w:highlight w:val="none"/>
        </w:rPr>
        <w:t>二</w:t>
      </w:r>
    </w:p>
    <w:p>
      <w:pPr>
        <w:topLinePunct/>
        <w:snapToGrid w:val="0"/>
        <w:spacing w:after="200" w:line="360" w:lineRule="auto"/>
        <w:jc w:val="center"/>
        <w:rPr>
          <w:rStyle w:val="84"/>
          <w:rFonts w:ascii="宋体" w:hAnsi="宋体"/>
          <w:b/>
          <w:bCs/>
          <w:color w:val="auto"/>
          <w:spacing w:val="4"/>
          <w:kern w:val="0"/>
          <w:sz w:val="30"/>
          <w:szCs w:val="30"/>
          <w:highlight w:val="none"/>
        </w:rPr>
      </w:pPr>
      <w:r>
        <w:rPr>
          <w:rStyle w:val="84"/>
          <w:rFonts w:ascii="宋体" w:hAnsi="宋体"/>
          <w:b/>
          <w:bCs/>
          <w:color w:val="auto"/>
          <w:spacing w:val="4"/>
          <w:kern w:val="0"/>
          <w:sz w:val="30"/>
          <w:szCs w:val="30"/>
          <w:highlight w:val="none"/>
        </w:rPr>
        <w:t>参与编制经济标投标文件人员名单</w:t>
      </w:r>
    </w:p>
    <w:tbl>
      <w:tblPr>
        <w:tblStyle w:val="24"/>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376"/>
        <w:gridCol w:w="2350"/>
        <w:gridCol w:w="2251"/>
        <w:gridCol w:w="1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514" w:type="dxa"/>
            <w:gridSpan w:val="5"/>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投标单位名称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姓名</w:t>
            </w: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职务</w:t>
            </w: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所承担工作</w:t>
            </w: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身份证号码</w:t>
            </w: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r>
              <w:rPr>
                <w:rStyle w:val="84"/>
                <w:rFonts w:ascii="宋体" w:hAnsi="宋体"/>
                <w:color w:val="auto"/>
                <w:sz w:val="24"/>
                <w:szCs w:val="24"/>
                <w:highlight w:val="none"/>
              </w:rPr>
              <w:t>本人签名栏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84"/>
                <w:rFonts w:ascii="宋体" w:hAnsi="宋体"/>
                <w:color w:val="auto"/>
                <w:sz w:val="24"/>
                <w:szCs w:val="24"/>
                <w:highlight w:val="none"/>
              </w:rPr>
            </w:pPr>
          </w:p>
        </w:tc>
      </w:tr>
    </w:tbl>
    <w:p>
      <w:pPr>
        <w:spacing w:line="360" w:lineRule="auto"/>
        <w:rPr>
          <w:rStyle w:val="84"/>
          <w:rFonts w:ascii="宋体" w:hAnsi="宋体"/>
          <w:color w:val="auto"/>
          <w:highlight w:val="none"/>
        </w:rPr>
      </w:pPr>
      <w:r>
        <w:rPr>
          <w:rStyle w:val="84"/>
          <w:rFonts w:ascii="宋体" w:hAnsi="宋体"/>
          <w:color w:val="auto"/>
          <w:highlight w:val="none"/>
        </w:rPr>
        <w:t>注：参与编制经济标书所有人员名单应包括如编制各种专业工程量清单投标报价、负责清样校对、负责打印及复印等所有人员在内的人员名单。</w:t>
      </w:r>
    </w:p>
    <w:p>
      <w:pPr>
        <w:spacing w:line="360" w:lineRule="auto"/>
        <w:rPr>
          <w:rStyle w:val="84"/>
          <w:rFonts w:ascii="宋体" w:hAnsi="宋体"/>
          <w:color w:val="auto"/>
          <w:highlight w:val="none"/>
        </w:rPr>
      </w:pPr>
    </w:p>
    <w:p>
      <w:pPr>
        <w:spacing w:line="360" w:lineRule="auto"/>
        <w:rPr>
          <w:rStyle w:val="84"/>
          <w:rFonts w:ascii="宋体" w:hAnsi="宋体" w:cs="宋体"/>
          <w:b/>
          <w:bCs/>
          <w:color w:val="auto"/>
          <w:sz w:val="24"/>
          <w:szCs w:val="24"/>
          <w:highlight w:val="none"/>
        </w:rPr>
      </w:pPr>
    </w:p>
    <w:p>
      <w:pPr>
        <w:spacing w:line="360" w:lineRule="auto"/>
        <w:rPr>
          <w:rStyle w:val="84"/>
          <w:rFonts w:ascii="宋体" w:hAnsi="宋体" w:cs="宋体"/>
          <w:b/>
          <w:bCs/>
          <w:color w:val="auto"/>
          <w:sz w:val="24"/>
          <w:szCs w:val="24"/>
          <w:highlight w:val="none"/>
        </w:rPr>
      </w:pPr>
      <w:r>
        <w:rPr>
          <w:rStyle w:val="84"/>
          <w:rFonts w:ascii="宋体" w:hAnsi="宋体" w:cs="宋体"/>
          <w:b/>
          <w:bCs/>
          <w:color w:val="auto"/>
          <w:sz w:val="24"/>
          <w:szCs w:val="24"/>
          <w:highlight w:val="none"/>
        </w:rPr>
        <w:br w:type="page"/>
      </w:r>
      <w:r>
        <w:rPr>
          <w:rStyle w:val="84"/>
          <w:rFonts w:ascii="宋体" w:hAnsi="宋体" w:cs="宋体"/>
          <w:b/>
          <w:bCs/>
          <w:color w:val="auto"/>
          <w:sz w:val="24"/>
          <w:szCs w:val="24"/>
          <w:highlight w:val="none"/>
        </w:rPr>
        <w:t>格式</w:t>
      </w:r>
      <w:r>
        <w:rPr>
          <w:rStyle w:val="84"/>
          <w:rFonts w:hint="eastAsia" w:ascii="宋体" w:hAnsi="宋体" w:cs="宋体"/>
          <w:b/>
          <w:bCs/>
          <w:color w:val="auto"/>
          <w:sz w:val="24"/>
          <w:szCs w:val="24"/>
          <w:highlight w:val="none"/>
        </w:rPr>
        <w:t>三</w:t>
      </w:r>
    </w:p>
    <w:p>
      <w:pPr>
        <w:spacing w:line="360" w:lineRule="auto"/>
        <w:jc w:val="center"/>
        <w:rPr>
          <w:rStyle w:val="84"/>
          <w:rFonts w:ascii="宋体" w:hAnsi="宋体"/>
          <w:color w:val="auto"/>
          <w:kern w:val="0"/>
          <w:sz w:val="32"/>
          <w:szCs w:val="32"/>
          <w:highlight w:val="none"/>
        </w:rPr>
      </w:pPr>
      <w:r>
        <w:rPr>
          <w:rStyle w:val="84"/>
          <w:rFonts w:ascii="宋体" w:hAnsi="宋体"/>
          <w:b/>
          <w:color w:val="auto"/>
          <w:kern w:val="0"/>
          <w:sz w:val="32"/>
          <w:szCs w:val="32"/>
          <w:highlight w:val="none"/>
        </w:rPr>
        <w:t>对投标文件编制的承诺</w:t>
      </w:r>
    </w:p>
    <w:p>
      <w:pPr>
        <w:spacing w:line="360" w:lineRule="auto"/>
        <w:ind w:left="-2" w:leftChars="-1" w:firstLine="540" w:firstLineChars="225"/>
        <w:rPr>
          <w:rStyle w:val="84"/>
          <w:rFonts w:ascii="宋体" w:hAnsi="宋体"/>
          <w:color w:val="auto"/>
          <w:kern w:val="0"/>
          <w:sz w:val="24"/>
          <w:szCs w:val="24"/>
          <w:highlight w:val="none"/>
        </w:rPr>
      </w:pPr>
      <w:r>
        <w:rPr>
          <w:rStyle w:val="84"/>
          <w:rFonts w:ascii="宋体" w:hAnsi="宋体"/>
          <w:color w:val="auto"/>
          <w:kern w:val="0"/>
          <w:sz w:val="24"/>
          <w:szCs w:val="24"/>
          <w:highlight w:val="none"/>
        </w:rPr>
        <w:t>本公司授权</w:t>
      </w:r>
      <w:r>
        <w:rPr>
          <w:rStyle w:val="84"/>
          <w:rFonts w:ascii="宋体" w:hAnsi="宋体"/>
          <w:color w:val="auto"/>
          <w:kern w:val="0"/>
          <w:sz w:val="24"/>
          <w:szCs w:val="24"/>
          <w:highlight w:val="none"/>
          <w:u w:val="single"/>
        </w:rPr>
        <w:t xml:space="preserve">         （身份证号：               ）</w:t>
      </w:r>
      <w:r>
        <w:rPr>
          <w:rStyle w:val="84"/>
          <w:rFonts w:ascii="宋体" w:hAnsi="宋体"/>
          <w:color w:val="auto"/>
          <w:kern w:val="0"/>
          <w:sz w:val="24"/>
          <w:szCs w:val="24"/>
          <w:highlight w:val="none"/>
        </w:rPr>
        <w:t>负责对投标文件的编制及内容进行解释、说明，并承诺以下事项：</w:t>
      </w:r>
    </w:p>
    <w:p>
      <w:pPr>
        <w:spacing w:line="360" w:lineRule="auto"/>
        <w:ind w:left="-2" w:leftChars="-1" w:firstLine="540" w:firstLineChars="225"/>
        <w:rPr>
          <w:rStyle w:val="84"/>
          <w:rFonts w:ascii="宋体" w:hAnsi="宋体"/>
          <w:color w:val="auto"/>
          <w:kern w:val="0"/>
          <w:sz w:val="24"/>
          <w:szCs w:val="24"/>
          <w:highlight w:val="none"/>
        </w:rPr>
      </w:pPr>
      <w:r>
        <w:rPr>
          <w:rStyle w:val="84"/>
          <w:rFonts w:ascii="宋体" w:hAnsi="宋体"/>
          <w:color w:val="auto"/>
          <w:kern w:val="0"/>
          <w:sz w:val="24"/>
          <w:szCs w:val="24"/>
          <w:highlight w:val="none"/>
        </w:rPr>
        <w:t>1.被授权人清楚投标文件编制的具体情况，包括技术方案文件、工程量清单、以及投标文件的加密打包的理解；</w:t>
      </w:r>
    </w:p>
    <w:p>
      <w:pPr>
        <w:spacing w:line="360" w:lineRule="auto"/>
        <w:ind w:left="-2" w:leftChars="-1" w:firstLine="540" w:firstLineChars="225"/>
        <w:rPr>
          <w:rStyle w:val="84"/>
          <w:rFonts w:ascii="宋体" w:hAnsi="宋体"/>
          <w:color w:val="auto"/>
          <w:kern w:val="0"/>
          <w:sz w:val="24"/>
          <w:szCs w:val="24"/>
          <w:highlight w:val="none"/>
        </w:rPr>
      </w:pPr>
      <w:r>
        <w:rPr>
          <w:rStyle w:val="84"/>
          <w:rFonts w:ascii="宋体" w:hAnsi="宋体"/>
          <w:color w:val="auto"/>
          <w:kern w:val="0"/>
          <w:sz w:val="24"/>
          <w:szCs w:val="24"/>
          <w:highlight w:val="none"/>
        </w:rPr>
        <w:t>2.在本项目开标至评标结束前，努力确保被授权人在项目评标所在地附近；</w:t>
      </w:r>
    </w:p>
    <w:p>
      <w:pPr>
        <w:spacing w:line="360" w:lineRule="auto"/>
        <w:ind w:left="-2" w:leftChars="-1" w:firstLine="540" w:firstLineChars="225"/>
        <w:rPr>
          <w:rStyle w:val="84"/>
          <w:rFonts w:ascii="宋体" w:hAnsi="宋体"/>
          <w:color w:val="auto"/>
          <w:kern w:val="0"/>
          <w:sz w:val="24"/>
          <w:szCs w:val="24"/>
          <w:highlight w:val="none"/>
        </w:rPr>
      </w:pPr>
      <w:r>
        <w:rPr>
          <w:rStyle w:val="84"/>
          <w:rFonts w:ascii="宋体" w:hAnsi="宋体"/>
          <w:color w:val="auto"/>
          <w:kern w:val="0"/>
          <w:sz w:val="24"/>
          <w:szCs w:val="24"/>
          <w:highlight w:val="none"/>
        </w:rPr>
        <w:t>3.从评标委员会要求澄清起二小时内，被授权人应如实地书面澄清。</w:t>
      </w:r>
    </w:p>
    <w:p>
      <w:pPr>
        <w:spacing w:line="360" w:lineRule="auto"/>
        <w:ind w:left="-2" w:leftChars="-1" w:firstLine="540" w:firstLineChars="225"/>
        <w:rPr>
          <w:rStyle w:val="84"/>
          <w:rFonts w:ascii="宋体" w:hAnsi="宋体"/>
          <w:color w:val="auto"/>
          <w:kern w:val="0"/>
          <w:sz w:val="24"/>
          <w:szCs w:val="24"/>
          <w:highlight w:val="none"/>
        </w:rPr>
      </w:pPr>
      <w:r>
        <w:rPr>
          <w:rStyle w:val="84"/>
          <w:rFonts w:ascii="宋体" w:hAnsi="宋体"/>
          <w:color w:val="auto"/>
          <w:kern w:val="0"/>
          <w:sz w:val="24"/>
          <w:szCs w:val="24"/>
          <w:highlight w:val="none"/>
        </w:rPr>
        <w:t xml:space="preserve">如由于未遵守上述承诺内容之一导致无法进行澄清的，我公司认可和接受评标委员会作出的评审结论。 </w:t>
      </w:r>
    </w:p>
    <w:p>
      <w:pPr>
        <w:spacing w:line="360" w:lineRule="auto"/>
        <w:ind w:left="-2" w:leftChars="-1" w:firstLine="540" w:firstLineChars="225"/>
        <w:rPr>
          <w:rStyle w:val="84"/>
          <w:rFonts w:ascii="宋体" w:hAnsi="宋体"/>
          <w:color w:val="auto"/>
          <w:kern w:val="0"/>
          <w:sz w:val="24"/>
          <w:szCs w:val="24"/>
          <w:highlight w:val="none"/>
        </w:rPr>
      </w:pPr>
      <w:r>
        <w:rPr>
          <w:rStyle w:val="84"/>
          <w:rFonts w:ascii="宋体" w:hAnsi="宋体"/>
          <w:color w:val="auto"/>
          <w:kern w:val="0"/>
          <w:sz w:val="24"/>
          <w:szCs w:val="24"/>
          <w:highlight w:val="none"/>
        </w:rPr>
        <w:t>附件：《投标文件编制情况》</w:t>
      </w:r>
    </w:p>
    <w:p>
      <w:pPr>
        <w:pStyle w:val="136"/>
        <w:rPr>
          <w:color w:val="auto"/>
          <w:highlight w:val="none"/>
        </w:rPr>
      </w:pPr>
    </w:p>
    <w:p>
      <w:pPr>
        <w:spacing w:line="360" w:lineRule="auto"/>
        <w:ind w:right="90" w:firstLine="3360" w:firstLineChars="1400"/>
        <w:rPr>
          <w:rStyle w:val="84"/>
          <w:rFonts w:ascii="宋体" w:hAnsi="宋体"/>
          <w:color w:val="auto"/>
          <w:sz w:val="24"/>
          <w:szCs w:val="24"/>
          <w:highlight w:val="none"/>
          <w:u w:val="single"/>
        </w:rPr>
      </w:pPr>
      <w:r>
        <w:rPr>
          <w:rStyle w:val="84"/>
          <w:rFonts w:ascii="宋体" w:hAnsi="宋体"/>
          <w:color w:val="auto"/>
          <w:sz w:val="24"/>
          <w:szCs w:val="24"/>
          <w:highlight w:val="none"/>
        </w:rPr>
        <w:t xml:space="preserve"> 投标人名称（盖法人公章）：</w:t>
      </w:r>
    </w:p>
    <w:p>
      <w:pPr>
        <w:spacing w:line="360" w:lineRule="auto"/>
        <w:ind w:firstLine="3480" w:firstLineChars="1450"/>
        <w:rPr>
          <w:rStyle w:val="84"/>
          <w:rFonts w:ascii="宋体" w:hAnsi="宋体"/>
          <w:color w:val="auto"/>
          <w:sz w:val="24"/>
          <w:szCs w:val="24"/>
          <w:highlight w:val="none"/>
        </w:rPr>
      </w:pPr>
      <w:r>
        <w:rPr>
          <w:rStyle w:val="84"/>
          <w:rFonts w:ascii="宋体" w:hAnsi="宋体"/>
          <w:color w:val="auto"/>
          <w:sz w:val="24"/>
          <w:szCs w:val="24"/>
          <w:highlight w:val="none"/>
        </w:rPr>
        <w:t xml:space="preserve">法定代表人或被授权人（签字或盖章）： </w:t>
      </w:r>
    </w:p>
    <w:p>
      <w:pPr>
        <w:spacing w:line="360" w:lineRule="auto"/>
        <w:ind w:firstLine="4440" w:firstLineChars="1850"/>
        <w:jc w:val="center"/>
        <w:rPr>
          <w:rStyle w:val="84"/>
          <w:rFonts w:ascii="宋体" w:hAnsi="宋体"/>
          <w:color w:val="auto"/>
          <w:sz w:val="24"/>
          <w:szCs w:val="24"/>
          <w:highlight w:val="none"/>
        </w:rPr>
      </w:pPr>
      <w:r>
        <w:rPr>
          <w:rStyle w:val="84"/>
          <w:rFonts w:ascii="宋体" w:hAnsi="宋体"/>
          <w:color w:val="auto"/>
          <w:sz w:val="24"/>
          <w:szCs w:val="24"/>
          <w:highlight w:val="none"/>
        </w:rPr>
        <w:t xml:space="preserve">      日期：      年   月   日</w:t>
      </w:r>
    </w:p>
    <w:p>
      <w:pPr>
        <w:spacing w:line="360" w:lineRule="auto"/>
        <w:rPr>
          <w:rStyle w:val="84"/>
          <w:rFonts w:ascii="宋体" w:hAnsi="宋体"/>
          <w:color w:val="auto"/>
          <w:highlight w:val="none"/>
        </w:rPr>
      </w:pPr>
    </w:p>
    <w:p>
      <w:pPr>
        <w:pStyle w:val="136"/>
        <w:rPr>
          <w:color w:val="auto"/>
          <w:highlight w:val="none"/>
        </w:rPr>
      </w:pPr>
    </w:p>
    <w:p>
      <w:pPr>
        <w:spacing w:line="360" w:lineRule="auto"/>
        <w:jc w:val="center"/>
        <w:rPr>
          <w:rStyle w:val="84"/>
          <w:rFonts w:ascii="宋体" w:hAnsi="宋体"/>
          <w:color w:val="auto"/>
          <w:kern w:val="0"/>
          <w:sz w:val="18"/>
          <w:szCs w:val="18"/>
          <w:highlight w:val="none"/>
        </w:rPr>
      </w:pPr>
      <w:r>
        <w:rPr>
          <w:rStyle w:val="84"/>
          <w:rFonts w:ascii="宋体" w:hAnsi="宋体"/>
          <w:b/>
          <w:color w:val="auto"/>
          <w:kern w:val="0"/>
          <w:sz w:val="32"/>
          <w:szCs w:val="32"/>
          <w:highlight w:val="none"/>
        </w:rPr>
        <w:t>投标文件编制情况</w:t>
      </w:r>
    </w:p>
    <w:p>
      <w:pPr>
        <w:spacing w:line="360" w:lineRule="auto"/>
        <w:ind w:firstLine="480" w:firstLineChars="200"/>
        <w:rPr>
          <w:rStyle w:val="84"/>
          <w:rFonts w:ascii="宋体" w:hAnsi="宋体"/>
          <w:color w:val="auto"/>
          <w:kern w:val="0"/>
          <w:sz w:val="24"/>
          <w:szCs w:val="24"/>
          <w:highlight w:val="none"/>
          <w:u w:val="single"/>
        </w:rPr>
      </w:pPr>
      <w:r>
        <w:rPr>
          <w:rStyle w:val="84"/>
          <w:rFonts w:ascii="宋体" w:hAnsi="宋体"/>
          <w:color w:val="auto"/>
          <w:kern w:val="0"/>
          <w:sz w:val="24"/>
          <w:szCs w:val="24"/>
          <w:highlight w:val="none"/>
        </w:rPr>
        <w:t>1.投标文件报价编制方式: □自行编制的，编制的负责人：</w:t>
      </w:r>
      <w:r>
        <w:rPr>
          <w:rStyle w:val="84"/>
          <w:rFonts w:ascii="宋体" w:hAnsi="宋体"/>
          <w:color w:val="auto"/>
          <w:kern w:val="0"/>
          <w:sz w:val="24"/>
          <w:szCs w:val="24"/>
          <w:highlight w:val="none"/>
          <w:u w:val="single"/>
        </w:rPr>
        <w:t xml:space="preserve"> （盖造价工程师执业专用章或全国建设工程造价员章，执业单位应与投标人一致） </w:t>
      </w:r>
      <w:r>
        <w:rPr>
          <w:rStyle w:val="84"/>
          <w:rFonts w:ascii="宋体" w:hAnsi="宋体"/>
          <w:color w:val="auto"/>
          <w:kern w:val="0"/>
          <w:sz w:val="24"/>
          <w:szCs w:val="24"/>
          <w:highlight w:val="none"/>
        </w:rPr>
        <w:t>。□委托编制的，受委托单位</w:t>
      </w:r>
      <w:r>
        <w:rPr>
          <w:rStyle w:val="84"/>
          <w:rFonts w:ascii="宋体" w:hAnsi="宋体"/>
          <w:color w:val="auto"/>
          <w:kern w:val="0"/>
          <w:sz w:val="24"/>
          <w:szCs w:val="24"/>
          <w:highlight w:val="none"/>
          <w:u w:val="single"/>
        </w:rPr>
        <w:t xml:space="preserve">             </w:t>
      </w:r>
      <w:r>
        <w:rPr>
          <w:rStyle w:val="84"/>
          <w:rFonts w:ascii="宋体" w:hAnsi="宋体"/>
          <w:color w:val="auto"/>
          <w:kern w:val="0"/>
          <w:sz w:val="24"/>
          <w:szCs w:val="24"/>
          <w:highlight w:val="none"/>
        </w:rPr>
        <w:t>，编制的负责人：</w:t>
      </w:r>
      <w:r>
        <w:rPr>
          <w:rStyle w:val="84"/>
          <w:rFonts w:ascii="宋体" w:hAnsi="宋体"/>
          <w:color w:val="auto"/>
          <w:kern w:val="0"/>
          <w:sz w:val="24"/>
          <w:szCs w:val="24"/>
          <w:highlight w:val="none"/>
          <w:u w:val="single"/>
        </w:rPr>
        <w:t xml:space="preserve"> （盖造价工程师执业专用章或全国建设工程造价员章，执业单位应与受委托单位一致） </w:t>
      </w:r>
      <w:r>
        <w:rPr>
          <w:rStyle w:val="84"/>
          <w:rFonts w:ascii="宋体" w:hAnsi="宋体"/>
          <w:color w:val="auto"/>
          <w:kern w:val="0"/>
          <w:sz w:val="24"/>
          <w:szCs w:val="24"/>
          <w:highlight w:val="none"/>
        </w:rPr>
        <w:t>。</w:t>
      </w:r>
    </w:p>
    <w:p>
      <w:pPr>
        <w:spacing w:line="360" w:lineRule="auto"/>
        <w:ind w:firstLine="480" w:firstLineChars="200"/>
        <w:rPr>
          <w:rStyle w:val="84"/>
          <w:rFonts w:ascii="宋体" w:hAnsi="宋体"/>
          <w:color w:val="auto"/>
          <w:kern w:val="0"/>
          <w:sz w:val="24"/>
          <w:szCs w:val="24"/>
          <w:highlight w:val="none"/>
        </w:rPr>
      </w:pPr>
      <w:r>
        <w:rPr>
          <w:rStyle w:val="84"/>
          <w:rFonts w:ascii="宋体" w:hAnsi="宋体"/>
          <w:color w:val="auto"/>
          <w:kern w:val="0"/>
          <w:sz w:val="24"/>
          <w:szCs w:val="24"/>
          <w:highlight w:val="none"/>
        </w:rPr>
        <w:t>2.投标文件加密打包的电脑情况：</w:t>
      </w:r>
    </w:p>
    <w:tbl>
      <w:tblPr>
        <w:tblStyle w:val="24"/>
        <w:tblW w:w="9332" w:type="dxa"/>
        <w:tblInd w:w="-108" w:type="dxa"/>
        <w:tblLayout w:type="fixed"/>
        <w:tblCellMar>
          <w:top w:w="0" w:type="dxa"/>
          <w:left w:w="0" w:type="dxa"/>
          <w:bottom w:w="0" w:type="dxa"/>
          <w:right w:w="0" w:type="dxa"/>
        </w:tblCellMar>
      </w:tblPr>
      <w:tblGrid>
        <w:gridCol w:w="9332"/>
      </w:tblGrid>
      <w:tr>
        <w:tblPrEx>
          <w:tblCellMar>
            <w:top w:w="0" w:type="dxa"/>
            <w:left w:w="0" w:type="dxa"/>
            <w:bottom w:w="0" w:type="dxa"/>
            <w:right w:w="0" w:type="dxa"/>
          </w:tblCellMar>
        </w:tblPrEx>
        <w:trPr>
          <w:trHeight w:val="2088" w:hRule="atLeast"/>
        </w:trPr>
        <w:tc>
          <w:tcPr>
            <w:tcW w:w="9332" w:type="dxa"/>
          </w:tcPr>
          <w:p>
            <w:pPr>
              <w:spacing w:line="360" w:lineRule="auto"/>
              <w:rPr>
                <w:rStyle w:val="84"/>
                <w:rFonts w:ascii="宋体" w:hAnsi="宋体"/>
                <w:color w:val="auto"/>
                <w:kern w:val="0"/>
                <w:sz w:val="24"/>
                <w:szCs w:val="24"/>
                <w:highlight w:val="none"/>
              </w:rPr>
            </w:pPr>
            <w:r>
              <w:rPr>
                <w:rStyle w:val="84"/>
                <w:rFonts w:ascii="宋体" w:hAnsi="宋体"/>
                <w:color w:val="auto"/>
                <w:kern w:val="0"/>
                <w:sz w:val="24"/>
                <w:szCs w:val="24"/>
                <w:highlight w:val="none"/>
              </w:rPr>
              <w:t>投标文件加密打包的电脑    自有□      外包□       其他□</w:t>
            </w:r>
          </w:p>
          <w:p>
            <w:pPr>
              <w:spacing w:line="360" w:lineRule="auto"/>
              <w:rPr>
                <w:rStyle w:val="84"/>
                <w:rFonts w:ascii="宋体" w:hAnsi="宋体"/>
                <w:color w:val="auto"/>
                <w:kern w:val="0"/>
                <w:sz w:val="24"/>
                <w:szCs w:val="24"/>
                <w:highlight w:val="none"/>
              </w:rPr>
            </w:pPr>
            <w:r>
              <w:rPr>
                <w:rStyle w:val="84"/>
                <w:rFonts w:ascii="宋体" w:hAnsi="宋体"/>
                <w:color w:val="auto"/>
                <w:kern w:val="0"/>
                <w:sz w:val="24"/>
                <w:szCs w:val="24"/>
                <w:highlight w:val="none"/>
              </w:rPr>
              <w:t>电脑类型</w:t>
            </w:r>
          </w:p>
          <w:p>
            <w:pPr>
              <w:spacing w:line="360" w:lineRule="auto"/>
              <w:rPr>
                <w:rStyle w:val="84"/>
                <w:rFonts w:ascii="宋体" w:hAnsi="宋体"/>
                <w:color w:val="auto"/>
                <w:kern w:val="0"/>
                <w:sz w:val="24"/>
                <w:szCs w:val="24"/>
                <w:highlight w:val="none"/>
              </w:rPr>
            </w:pPr>
            <w:r>
              <w:rPr>
                <w:rStyle w:val="84"/>
                <w:rFonts w:ascii="宋体" w:hAnsi="宋体"/>
                <w:color w:val="auto"/>
                <w:kern w:val="0"/>
                <w:sz w:val="24"/>
                <w:szCs w:val="24"/>
                <w:highlight w:val="none"/>
              </w:rPr>
              <w:t>电脑所属单位</w:t>
            </w:r>
          </w:p>
          <w:p>
            <w:pPr>
              <w:spacing w:line="360" w:lineRule="auto"/>
              <w:rPr>
                <w:rStyle w:val="84"/>
                <w:rFonts w:ascii="宋体" w:hAnsi="宋体"/>
                <w:color w:val="auto"/>
                <w:kern w:val="0"/>
                <w:sz w:val="24"/>
                <w:szCs w:val="24"/>
                <w:highlight w:val="none"/>
              </w:rPr>
            </w:pPr>
            <w:r>
              <w:rPr>
                <w:rStyle w:val="84"/>
                <w:rFonts w:ascii="宋体" w:hAnsi="宋体"/>
                <w:color w:val="auto"/>
                <w:kern w:val="0"/>
                <w:sz w:val="24"/>
                <w:szCs w:val="24"/>
                <w:highlight w:val="none"/>
              </w:rPr>
              <w:t>电脑所在地址       （如××市××区(县) ××街（路）××号××大厦××房）</w:t>
            </w:r>
          </w:p>
        </w:tc>
      </w:tr>
    </w:tbl>
    <w:p>
      <w:pPr>
        <w:spacing w:line="360" w:lineRule="auto"/>
        <w:rPr>
          <w:rStyle w:val="84"/>
          <w:rFonts w:ascii="宋体" w:hAnsi="宋体"/>
          <w:color w:val="auto"/>
          <w:szCs w:val="21"/>
          <w:highlight w:val="none"/>
        </w:rPr>
      </w:pPr>
    </w:p>
    <w:p>
      <w:pPr>
        <w:tabs>
          <w:tab w:val="left" w:pos="720"/>
        </w:tabs>
        <w:snapToGrid w:val="0"/>
        <w:spacing w:line="360" w:lineRule="auto"/>
        <w:rPr>
          <w:rStyle w:val="84"/>
          <w:rFonts w:ascii="宋体" w:hAnsi="宋体"/>
          <w:color w:val="auto"/>
          <w:sz w:val="24"/>
          <w:szCs w:val="24"/>
          <w:highlight w:val="none"/>
        </w:rPr>
      </w:pPr>
    </w:p>
    <w:p>
      <w:pPr>
        <w:pStyle w:val="140"/>
        <w:outlineLvl w:val="0"/>
        <w:rPr>
          <w:rStyle w:val="105"/>
          <w:rFonts w:ascii="宋体" w:hAnsi="宋体"/>
          <w:b w:val="0"/>
          <w:bCs/>
          <w:color w:val="auto"/>
          <w:highlight w:val="none"/>
        </w:rPr>
      </w:pPr>
      <w:bookmarkStart w:id="28" w:name="_Toc105014638"/>
      <w:r>
        <w:rPr>
          <w:rStyle w:val="84"/>
          <w:bCs/>
          <w:color w:val="auto"/>
          <w:highlight w:val="none"/>
        </w:rPr>
        <w:t>第五章  技术条件（工程建设标准）</w:t>
      </w:r>
      <w:bookmarkEnd w:id="28"/>
    </w:p>
    <w:p>
      <w:pPr>
        <w:spacing w:line="360" w:lineRule="auto"/>
        <w:ind w:firstLine="480" w:firstLineChars="200"/>
        <w:rPr>
          <w:bCs/>
          <w:color w:val="auto"/>
          <w:sz w:val="24"/>
          <w:szCs w:val="24"/>
          <w:highlight w:val="none"/>
        </w:rPr>
      </w:pPr>
      <w:bookmarkStart w:id="29" w:name="_Toc10065"/>
      <w:bookmarkStart w:id="30" w:name="_Toc503284277"/>
      <w:r>
        <w:rPr>
          <w:bCs/>
          <w:color w:val="auto"/>
          <w:sz w:val="24"/>
          <w:szCs w:val="24"/>
          <w:highlight w:val="none"/>
        </w:rPr>
        <w:t>1.</w:t>
      </w:r>
      <w:r>
        <w:rPr>
          <w:rFonts w:hint="eastAsia"/>
          <w:bCs/>
          <w:color w:val="auto"/>
          <w:sz w:val="24"/>
          <w:szCs w:val="24"/>
          <w:highlight w:val="none"/>
        </w:rPr>
        <w:t>具体按施工图纸。</w:t>
      </w:r>
      <w:bookmarkEnd w:id="29"/>
      <w:bookmarkEnd w:id="30"/>
    </w:p>
    <w:p>
      <w:pPr>
        <w:spacing w:line="360" w:lineRule="auto"/>
        <w:ind w:firstLine="480" w:firstLineChars="200"/>
        <w:rPr>
          <w:bCs/>
          <w:color w:val="auto"/>
          <w:sz w:val="24"/>
          <w:szCs w:val="24"/>
          <w:highlight w:val="none"/>
        </w:rPr>
      </w:pPr>
      <w:bookmarkStart w:id="31" w:name="_Toc503284278"/>
      <w:bookmarkStart w:id="32" w:name="_Toc12842"/>
      <w:r>
        <w:rPr>
          <w:bCs/>
          <w:color w:val="auto"/>
          <w:sz w:val="24"/>
          <w:szCs w:val="24"/>
          <w:highlight w:val="none"/>
        </w:rPr>
        <w:t>2.</w:t>
      </w:r>
      <w:r>
        <w:rPr>
          <w:rFonts w:hint="eastAsia"/>
          <w:bCs/>
          <w:color w:val="auto"/>
          <w:sz w:val="24"/>
          <w:szCs w:val="24"/>
          <w:highlight w:val="none"/>
        </w:rPr>
        <w:t>依据设计文件的要求，本招标工程项目的材料、设备、施工须达到中华人民共和国以及省、市或行业的工程建设标准、规范的要求。</w:t>
      </w:r>
      <w:bookmarkEnd w:id="31"/>
      <w:bookmarkEnd w:id="32"/>
    </w:p>
    <w:p>
      <w:pPr>
        <w:pStyle w:val="136"/>
        <w:spacing w:line="360" w:lineRule="auto"/>
        <w:ind w:firstLine="480" w:firstLineChars="200"/>
        <w:rPr>
          <w:rFonts w:ascii="宋体" w:hAnsi="宋体" w:cs="宋体"/>
          <w:color w:val="auto"/>
          <w:sz w:val="24"/>
          <w:szCs w:val="20"/>
          <w:highlight w:val="none"/>
        </w:rPr>
      </w:pPr>
      <w:r>
        <w:rPr>
          <w:rFonts w:hint="eastAsia" w:ascii="Calibri" w:hAnsi="Calibri"/>
          <w:bCs/>
          <w:color w:val="auto"/>
          <w:sz w:val="24"/>
          <w:szCs w:val="24"/>
          <w:highlight w:val="none"/>
        </w:rPr>
        <w:t>3.</w:t>
      </w:r>
      <w:r>
        <w:rPr>
          <w:rFonts w:hint="eastAsia" w:ascii="宋体" w:hAnsi="宋体" w:cs="宋体"/>
          <w:color w:val="auto"/>
          <w:sz w:val="24"/>
          <w:szCs w:val="20"/>
          <w:highlight w:val="none"/>
        </w:rPr>
        <w:t xml:space="preserve"> 项目组织机构设置</w:t>
      </w:r>
    </w:p>
    <w:p>
      <w:pPr>
        <w:jc w:val="center"/>
        <w:rPr>
          <w:b/>
          <w:color w:val="auto"/>
          <w:sz w:val="24"/>
          <w:szCs w:val="24"/>
          <w:highlight w:val="none"/>
        </w:rPr>
      </w:pPr>
      <w:r>
        <w:rPr>
          <w:rFonts w:hint="eastAsia"/>
          <w:b/>
          <w:color w:val="auto"/>
          <w:sz w:val="24"/>
          <w:szCs w:val="24"/>
          <w:highlight w:val="none"/>
        </w:rPr>
        <w:t>《项目管理机构人员基础人员配备表》</w:t>
      </w:r>
    </w:p>
    <w:p>
      <w:pPr>
        <w:spacing w:line="256" w:lineRule="exact"/>
        <w:jc w:val="center"/>
        <w:rPr>
          <w:b/>
          <w:color w:val="auto"/>
          <w:highlight w:val="none"/>
        </w:rPr>
      </w:pPr>
    </w:p>
    <w:tbl>
      <w:tblPr>
        <w:tblStyle w:val="24"/>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660"/>
        <w:gridCol w:w="5814"/>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20" w:type="dxa"/>
            <w:vAlign w:val="center"/>
          </w:tcPr>
          <w:p>
            <w:pPr>
              <w:spacing w:line="256" w:lineRule="exact"/>
              <w:ind w:left="360" w:leftChars="35" w:hanging="287" w:hangingChars="159"/>
              <w:jc w:val="center"/>
              <w:rPr>
                <w:rFonts w:ascii="宋体" w:cs="宋体"/>
                <w:b/>
                <w:color w:val="auto"/>
                <w:kern w:val="0"/>
                <w:sz w:val="18"/>
                <w:szCs w:val="18"/>
                <w:highlight w:val="none"/>
              </w:rPr>
            </w:pPr>
            <w:r>
              <w:rPr>
                <w:rFonts w:hint="eastAsia" w:ascii="宋体" w:hAnsi="宋体" w:cs="宋体"/>
                <w:b/>
                <w:color w:val="auto"/>
                <w:kern w:val="0"/>
                <w:sz w:val="18"/>
                <w:szCs w:val="18"/>
                <w:highlight w:val="none"/>
              </w:rPr>
              <w:t>在本项目任职</w:t>
            </w:r>
          </w:p>
        </w:tc>
        <w:tc>
          <w:tcPr>
            <w:tcW w:w="660" w:type="dxa"/>
            <w:vAlign w:val="center"/>
          </w:tcPr>
          <w:p>
            <w:pPr>
              <w:spacing w:line="256" w:lineRule="exact"/>
              <w:ind w:left="362" w:leftChars="-5" w:hanging="372" w:hangingChars="206"/>
              <w:jc w:val="center"/>
              <w:rPr>
                <w:rFonts w:ascii="宋体" w:cs="宋体"/>
                <w:b/>
                <w:color w:val="auto"/>
                <w:kern w:val="0"/>
                <w:sz w:val="18"/>
                <w:szCs w:val="18"/>
                <w:highlight w:val="none"/>
              </w:rPr>
            </w:pPr>
            <w:r>
              <w:rPr>
                <w:rFonts w:hint="eastAsia" w:ascii="宋体" w:hAnsi="宋体" w:cs="宋体"/>
                <w:b/>
                <w:color w:val="auto"/>
                <w:kern w:val="0"/>
                <w:sz w:val="18"/>
                <w:szCs w:val="18"/>
                <w:highlight w:val="none"/>
              </w:rPr>
              <w:t>数量</w:t>
            </w:r>
          </w:p>
        </w:tc>
        <w:tc>
          <w:tcPr>
            <w:tcW w:w="5814" w:type="dxa"/>
            <w:vAlign w:val="center"/>
          </w:tcPr>
          <w:p>
            <w:pPr>
              <w:spacing w:line="256" w:lineRule="exact"/>
              <w:ind w:left="360" w:leftChars="35" w:hanging="287" w:hangingChars="159"/>
              <w:jc w:val="center"/>
              <w:rPr>
                <w:rFonts w:ascii="宋体" w:cs="宋体"/>
                <w:b/>
                <w:color w:val="auto"/>
                <w:kern w:val="0"/>
                <w:sz w:val="18"/>
                <w:szCs w:val="18"/>
                <w:highlight w:val="none"/>
              </w:rPr>
            </w:pPr>
            <w:r>
              <w:rPr>
                <w:rFonts w:hint="eastAsia" w:ascii="宋体" w:hAnsi="宋体" w:cs="宋体"/>
                <w:b/>
                <w:color w:val="auto"/>
                <w:kern w:val="0"/>
                <w:sz w:val="18"/>
                <w:szCs w:val="18"/>
                <w:highlight w:val="none"/>
              </w:rPr>
              <w:t>基本要求</w:t>
            </w:r>
          </w:p>
        </w:tc>
        <w:tc>
          <w:tcPr>
            <w:tcW w:w="1005" w:type="dxa"/>
            <w:vAlign w:val="center"/>
          </w:tcPr>
          <w:p>
            <w:pPr>
              <w:spacing w:line="256" w:lineRule="exact"/>
              <w:jc w:val="center"/>
              <w:rPr>
                <w:rFonts w:ascii="宋体" w:cs="宋体"/>
                <w:b/>
                <w:color w:val="auto"/>
                <w:kern w:val="0"/>
                <w:sz w:val="18"/>
                <w:szCs w:val="18"/>
                <w:highlight w:val="none"/>
              </w:rPr>
            </w:pPr>
            <w:r>
              <w:rPr>
                <w:rFonts w:hint="eastAsia" w:ascii="宋体" w:cs="宋体"/>
                <w:b/>
                <w:color w:val="auto"/>
                <w:kern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320" w:type="dxa"/>
            <w:vAlign w:val="center"/>
          </w:tcPr>
          <w:p>
            <w:pPr>
              <w:pStyle w:val="6"/>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项目负责人</w:t>
            </w:r>
          </w:p>
        </w:tc>
        <w:tc>
          <w:tcPr>
            <w:tcW w:w="66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5814" w:type="dxa"/>
            <w:vAlign w:val="center"/>
          </w:tcPr>
          <w:p>
            <w:pPr>
              <w:jc w:val="left"/>
              <w:textAlignment w:val="top"/>
              <w:rPr>
                <w:rFonts w:ascii="宋体" w:hAnsi="宋体" w:cs="宋体"/>
                <w:color w:val="auto"/>
                <w:kern w:val="0"/>
                <w:sz w:val="18"/>
                <w:szCs w:val="18"/>
                <w:highlight w:val="none"/>
              </w:rPr>
            </w:pPr>
            <w:r>
              <w:rPr>
                <w:rFonts w:hint="eastAsia" w:ascii="宋体" w:hAnsi="宋体" w:cs="宋体"/>
                <w:color w:val="auto"/>
                <w:kern w:val="0"/>
                <w:szCs w:val="21"/>
                <w:highlight w:val="none"/>
              </w:rPr>
              <w:t>满足招标公告要求。</w:t>
            </w:r>
          </w:p>
        </w:tc>
        <w:tc>
          <w:tcPr>
            <w:tcW w:w="1005" w:type="dxa"/>
            <w:vAlign w:val="center"/>
          </w:tcPr>
          <w:p>
            <w:pPr>
              <w:spacing w:line="256" w:lineRule="exact"/>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2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技术负责人</w:t>
            </w:r>
          </w:p>
        </w:tc>
        <w:tc>
          <w:tcPr>
            <w:tcW w:w="66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5814" w:type="dxa"/>
            <w:vAlign w:val="center"/>
          </w:tcPr>
          <w:p>
            <w:pPr>
              <w:jc w:val="left"/>
              <w:textAlignment w:val="top"/>
              <w:rPr>
                <w:rFonts w:ascii="宋体" w:hAnsi="宋体" w:cs="宋体"/>
                <w:color w:val="auto"/>
                <w:kern w:val="0"/>
                <w:sz w:val="18"/>
                <w:szCs w:val="18"/>
                <w:highlight w:val="none"/>
              </w:rPr>
            </w:pPr>
            <w:r>
              <w:rPr>
                <w:rFonts w:hint="eastAsia" w:ascii="宋体" w:hAnsi="宋体" w:cs="宋体"/>
                <w:color w:val="auto"/>
                <w:kern w:val="0"/>
                <w:szCs w:val="21"/>
                <w:highlight w:val="none"/>
              </w:rPr>
              <w:t>满足招标公告要求。</w:t>
            </w:r>
          </w:p>
        </w:tc>
        <w:tc>
          <w:tcPr>
            <w:tcW w:w="1005" w:type="dxa"/>
            <w:vAlign w:val="center"/>
          </w:tcPr>
          <w:p>
            <w:pPr>
              <w:spacing w:line="256" w:lineRule="exact"/>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质量负责人</w:t>
            </w:r>
          </w:p>
        </w:tc>
        <w:tc>
          <w:tcPr>
            <w:tcW w:w="66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5814" w:type="dxa"/>
            <w:vAlign w:val="center"/>
          </w:tcPr>
          <w:p>
            <w:pPr>
              <w:jc w:val="left"/>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具有中级或以上技术职称。</w:t>
            </w:r>
          </w:p>
        </w:tc>
        <w:tc>
          <w:tcPr>
            <w:tcW w:w="1005" w:type="dxa"/>
            <w:vAlign w:val="center"/>
          </w:tcPr>
          <w:p>
            <w:pPr>
              <w:spacing w:line="256" w:lineRule="exact"/>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土建专业工程师</w:t>
            </w:r>
          </w:p>
        </w:tc>
        <w:tc>
          <w:tcPr>
            <w:tcW w:w="66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5814" w:type="dxa"/>
            <w:vAlign w:val="center"/>
          </w:tcPr>
          <w:p>
            <w:pPr>
              <w:jc w:val="left"/>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具备建筑工程相关专业中级或以上技术职称。</w:t>
            </w:r>
          </w:p>
        </w:tc>
        <w:tc>
          <w:tcPr>
            <w:tcW w:w="1005" w:type="dxa"/>
            <w:vAlign w:val="center"/>
          </w:tcPr>
          <w:p>
            <w:pPr>
              <w:spacing w:line="256" w:lineRule="exact"/>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0" w:type="dxa"/>
            <w:vAlign w:val="center"/>
          </w:tcPr>
          <w:p>
            <w:pPr>
              <w:jc w:val="center"/>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测量专业工程师</w:t>
            </w:r>
          </w:p>
        </w:tc>
        <w:tc>
          <w:tcPr>
            <w:tcW w:w="660" w:type="dxa"/>
            <w:vAlign w:val="center"/>
          </w:tcPr>
          <w:p>
            <w:pPr>
              <w:jc w:val="center"/>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814" w:type="dxa"/>
            <w:vAlign w:val="center"/>
          </w:tcPr>
          <w:p>
            <w:pPr>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具有中级或以上技术职称。</w:t>
            </w:r>
          </w:p>
        </w:tc>
        <w:tc>
          <w:tcPr>
            <w:tcW w:w="1005" w:type="dxa"/>
            <w:vAlign w:val="center"/>
          </w:tcPr>
          <w:p>
            <w:pPr>
              <w:spacing w:line="256" w:lineRule="exact"/>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装饰专业工程师</w:t>
            </w:r>
          </w:p>
        </w:tc>
        <w:tc>
          <w:tcPr>
            <w:tcW w:w="66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5814" w:type="dxa"/>
            <w:vAlign w:val="center"/>
          </w:tcPr>
          <w:p>
            <w:pPr>
              <w:textAlignment w:val="bottom"/>
              <w:rPr>
                <w:rFonts w:ascii="宋体" w:hAnsi="宋体" w:cs="宋体"/>
                <w:color w:val="auto"/>
                <w:kern w:val="0"/>
                <w:szCs w:val="21"/>
                <w:highlight w:val="none"/>
              </w:rPr>
            </w:pPr>
            <w:r>
              <w:rPr>
                <w:rFonts w:hint="eastAsia"/>
                <w:color w:val="auto"/>
                <w:kern w:val="0"/>
                <w:highlight w:val="none"/>
              </w:rPr>
              <w:t>具备</w:t>
            </w:r>
            <w:r>
              <w:rPr>
                <w:rFonts w:hint="eastAsia" w:ascii="宋体" w:hAnsi="宋体" w:cs="宋体"/>
                <w:color w:val="auto"/>
                <w:kern w:val="0"/>
                <w:szCs w:val="21"/>
                <w:highlight w:val="none"/>
              </w:rPr>
              <w:t>建筑工程相关专业</w:t>
            </w:r>
            <w:r>
              <w:rPr>
                <w:rFonts w:hint="eastAsia"/>
                <w:color w:val="auto"/>
                <w:kern w:val="0"/>
                <w:highlight w:val="none"/>
              </w:rPr>
              <w:t>中级或以上技术职称。</w:t>
            </w:r>
          </w:p>
        </w:tc>
        <w:tc>
          <w:tcPr>
            <w:tcW w:w="1005" w:type="dxa"/>
            <w:vAlign w:val="center"/>
          </w:tcPr>
          <w:p>
            <w:pPr>
              <w:spacing w:line="256" w:lineRule="exact"/>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电气专业工程师</w:t>
            </w:r>
          </w:p>
        </w:tc>
        <w:tc>
          <w:tcPr>
            <w:tcW w:w="66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5814" w:type="dxa"/>
            <w:vAlign w:val="center"/>
          </w:tcPr>
          <w:p>
            <w:pPr>
              <w:jc w:val="left"/>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具备中级或以上技术职称。</w:t>
            </w:r>
          </w:p>
        </w:tc>
        <w:tc>
          <w:tcPr>
            <w:tcW w:w="1005" w:type="dxa"/>
            <w:vAlign w:val="center"/>
          </w:tcPr>
          <w:p>
            <w:pPr>
              <w:spacing w:line="256" w:lineRule="exact"/>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给排水专业工程师</w:t>
            </w:r>
          </w:p>
        </w:tc>
        <w:tc>
          <w:tcPr>
            <w:tcW w:w="66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5814" w:type="dxa"/>
            <w:vAlign w:val="center"/>
          </w:tcPr>
          <w:p>
            <w:pPr>
              <w:jc w:val="left"/>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具备中级或以上技术职称。</w:t>
            </w:r>
          </w:p>
        </w:tc>
        <w:tc>
          <w:tcPr>
            <w:tcW w:w="1005" w:type="dxa"/>
            <w:vAlign w:val="center"/>
          </w:tcPr>
          <w:p>
            <w:pPr>
              <w:spacing w:line="256" w:lineRule="exact"/>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暖通专业工程师</w:t>
            </w:r>
          </w:p>
        </w:tc>
        <w:tc>
          <w:tcPr>
            <w:tcW w:w="66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5814" w:type="dxa"/>
            <w:vAlign w:val="center"/>
          </w:tcPr>
          <w:p>
            <w:pPr>
              <w:jc w:val="left"/>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具备工程类中级或以上技术职称。</w:t>
            </w:r>
          </w:p>
        </w:tc>
        <w:tc>
          <w:tcPr>
            <w:tcW w:w="1005" w:type="dxa"/>
            <w:vAlign w:val="center"/>
          </w:tcPr>
          <w:p>
            <w:pPr>
              <w:spacing w:line="256" w:lineRule="exact"/>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材料管理工程师</w:t>
            </w:r>
          </w:p>
        </w:tc>
        <w:tc>
          <w:tcPr>
            <w:tcW w:w="66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5814" w:type="dxa"/>
            <w:vAlign w:val="center"/>
          </w:tcPr>
          <w:p>
            <w:pPr>
              <w:jc w:val="left"/>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具有工程类中级或以上技术职称。</w:t>
            </w:r>
          </w:p>
        </w:tc>
        <w:tc>
          <w:tcPr>
            <w:tcW w:w="1005" w:type="dxa"/>
            <w:vAlign w:val="center"/>
          </w:tcPr>
          <w:p>
            <w:pPr>
              <w:spacing w:line="256" w:lineRule="exact"/>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造价负责人</w:t>
            </w:r>
          </w:p>
        </w:tc>
        <w:tc>
          <w:tcPr>
            <w:tcW w:w="66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5814" w:type="dxa"/>
            <w:vAlign w:val="center"/>
          </w:tcPr>
          <w:p>
            <w:pPr>
              <w:jc w:val="left"/>
              <w:textAlignment w:val="top"/>
              <w:rPr>
                <w:rFonts w:ascii="宋体" w:hAnsi="宋体" w:cs="宋体"/>
                <w:color w:val="auto"/>
                <w:kern w:val="0"/>
                <w:sz w:val="18"/>
                <w:szCs w:val="18"/>
                <w:highlight w:val="none"/>
              </w:rPr>
            </w:pPr>
            <w:r>
              <w:rPr>
                <w:rFonts w:hint="eastAsia" w:ascii="宋体" w:hAnsi="宋体" w:cs="宋体"/>
                <w:color w:val="auto"/>
                <w:kern w:val="0"/>
                <w:szCs w:val="21"/>
                <w:highlight w:val="none"/>
              </w:rPr>
              <w:t>具备中级或以上技术职称；或一级注册造价工程师执业资格</w:t>
            </w:r>
          </w:p>
        </w:tc>
        <w:tc>
          <w:tcPr>
            <w:tcW w:w="1005" w:type="dxa"/>
            <w:vAlign w:val="center"/>
          </w:tcPr>
          <w:p>
            <w:pPr>
              <w:spacing w:line="256" w:lineRule="exact"/>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专职安全员</w:t>
            </w:r>
          </w:p>
        </w:tc>
        <w:tc>
          <w:tcPr>
            <w:tcW w:w="66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5814" w:type="dxa"/>
            <w:vAlign w:val="center"/>
          </w:tcPr>
          <w:p>
            <w:pPr>
              <w:jc w:val="left"/>
              <w:textAlignment w:val="top"/>
              <w:rPr>
                <w:rFonts w:ascii="宋体" w:hAnsi="宋体" w:cs="宋体"/>
                <w:color w:val="auto"/>
                <w:kern w:val="0"/>
                <w:sz w:val="18"/>
                <w:szCs w:val="18"/>
                <w:highlight w:val="none"/>
              </w:rPr>
            </w:pPr>
            <w:r>
              <w:rPr>
                <w:rFonts w:hint="eastAsia" w:ascii="宋体" w:hAnsi="宋体" w:cs="宋体"/>
                <w:color w:val="auto"/>
                <w:kern w:val="0"/>
                <w:szCs w:val="21"/>
                <w:highlight w:val="none"/>
              </w:rPr>
              <w:t>满足招标公告要求。</w:t>
            </w:r>
          </w:p>
        </w:tc>
        <w:tc>
          <w:tcPr>
            <w:tcW w:w="1005" w:type="dxa"/>
            <w:vAlign w:val="center"/>
          </w:tcPr>
          <w:p>
            <w:pPr>
              <w:spacing w:line="256" w:lineRule="exact"/>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安全负责人（与专职安全员不为同一人）</w:t>
            </w:r>
          </w:p>
        </w:tc>
        <w:tc>
          <w:tcPr>
            <w:tcW w:w="66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5814" w:type="dxa"/>
            <w:vAlign w:val="center"/>
          </w:tcPr>
          <w:p>
            <w:pPr>
              <w:jc w:val="left"/>
              <w:textAlignment w:val="top"/>
              <w:rPr>
                <w:rFonts w:ascii="宋体" w:hAnsi="宋体" w:cs="宋体"/>
                <w:color w:val="auto"/>
                <w:kern w:val="0"/>
                <w:sz w:val="18"/>
                <w:szCs w:val="18"/>
                <w:highlight w:val="none"/>
              </w:rPr>
            </w:pPr>
            <w:r>
              <w:rPr>
                <w:rFonts w:hint="eastAsia" w:ascii="宋体" w:hAnsi="宋体"/>
                <w:bCs/>
                <w:color w:val="auto"/>
                <w:szCs w:val="21"/>
                <w:highlight w:val="none"/>
              </w:rPr>
              <w:t>安全生产考核合格证（C类）或建筑施工企业专职安全生产管理人员安全生产考核合格证（C3）</w:t>
            </w:r>
          </w:p>
        </w:tc>
        <w:tc>
          <w:tcPr>
            <w:tcW w:w="1005" w:type="dxa"/>
            <w:vAlign w:val="center"/>
          </w:tcPr>
          <w:p>
            <w:pPr>
              <w:spacing w:line="256" w:lineRule="exact"/>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资料员</w:t>
            </w:r>
          </w:p>
        </w:tc>
        <w:tc>
          <w:tcPr>
            <w:tcW w:w="66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5814" w:type="dxa"/>
            <w:vAlign w:val="center"/>
          </w:tcPr>
          <w:p>
            <w:pPr>
              <w:jc w:val="left"/>
              <w:textAlignment w:val="top"/>
              <w:rPr>
                <w:rFonts w:ascii="宋体" w:hAnsi="宋体" w:cs="宋体"/>
                <w:color w:val="auto"/>
                <w:kern w:val="0"/>
                <w:sz w:val="18"/>
                <w:szCs w:val="18"/>
                <w:highlight w:val="none"/>
              </w:rPr>
            </w:pPr>
            <w:r>
              <w:rPr>
                <w:rFonts w:hint="eastAsia" w:ascii="宋体" w:hAnsi="宋体" w:cs="宋体"/>
                <w:color w:val="auto"/>
                <w:kern w:val="0"/>
                <w:szCs w:val="21"/>
                <w:highlight w:val="none"/>
              </w:rPr>
              <w:t>上岗证或岗位证或培训证。</w:t>
            </w:r>
          </w:p>
        </w:tc>
        <w:tc>
          <w:tcPr>
            <w:tcW w:w="1005" w:type="dxa"/>
            <w:vAlign w:val="center"/>
          </w:tcPr>
          <w:p>
            <w:pPr>
              <w:spacing w:line="256" w:lineRule="exact"/>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施工员</w:t>
            </w:r>
          </w:p>
        </w:tc>
        <w:tc>
          <w:tcPr>
            <w:tcW w:w="660" w:type="dxa"/>
            <w:vAlign w:val="center"/>
          </w:tcPr>
          <w:p>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5</w:t>
            </w:r>
          </w:p>
        </w:tc>
        <w:tc>
          <w:tcPr>
            <w:tcW w:w="5814" w:type="dxa"/>
            <w:vAlign w:val="center"/>
          </w:tcPr>
          <w:p>
            <w:pPr>
              <w:jc w:val="left"/>
              <w:textAlignment w:val="top"/>
              <w:rPr>
                <w:rFonts w:ascii="宋体" w:hAnsi="宋体" w:cs="宋体"/>
                <w:color w:val="auto"/>
                <w:kern w:val="0"/>
                <w:sz w:val="18"/>
                <w:szCs w:val="18"/>
                <w:highlight w:val="none"/>
              </w:rPr>
            </w:pPr>
            <w:r>
              <w:rPr>
                <w:rFonts w:hint="eastAsia" w:ascii="宋体" w:hAnsi="宋体" w:cs="宋体"/>
                <w:color w:val="auto"/>
                <w:kern w:val="0"/>
                <w:szCs w:val="21"/>
                <w:highlight w:val="none"/>
              </w:rPr>
              <w:t>上岗证或岗位证或培训证。</w:t>
            </w:r>
          </w:p>
        </w:tc>
        <w:tc>
          <w:tcPr>
            <w:tcW w:w="1005" w:type="dxa"/>
            <w:vAlign w:val="center"/>
          </w:tcPr>
          <w:p>
            <w:pPr>
              <w:spacing w:line="256" w:lineRule="exact"/>
              <w:rPr>
                <w:rFonts w:ascii="宋体" w:hAnsi="宋体" w:cs="宋体"/>
                <w:color w:val="auto"/>
                <w:kern w:val="0"/>
                <w:sz w:val="18"/>
                <w:szCs w:val="18"/>
                <w:highlight w:val="none"/>
              </w:rPr>
            </w:pPr>
          </w:p>
        </w:tc>
      </w:tr>
    </w:tbl>
    <w:p>
      <w:pPr>
        <w:pStyle w:val="136"/>
        <w:ind w:firstLine="480" w:firstLineChars="200"/>
        <w:rPr>
          <w:rFonts w:ascii="Calibri" w:hAnsi="Calibri"/>
          <w:bCs/>
          <w:color w:val="auto"/>
          <w:sz w:val="24"/>
          <w:szCs w:val="24"/>
          <w:highlight w:val="none"/>
        </w:rPr>
      </w:pPr>
      <w:r>
        <w:rPr>
          <w:rFonts w:hint="eastAsia" w:ascii="宋体" w:hAnsi="宋体" w:cs="宋体"/>
          <w:color w:val="auto"/>
          <w:sz w:val="24"/>
          <w:szCs w:val="20"/>
          <w:highlight w:val="none"/>
        </w:rPr>
        <w:t>备注：上述为项目管理机构人员基础人员配备要求，在施工前按上表投入相关人员，项目实施过程中需根据实际情况添加。</w:t>
      </w:r>
    </w:p>
    <w:p>
      <w:pPr>
        <w:pStyle w:val="136"/>
        <w:rPr>
          <w:color w:val="auto"/>
          <w:highlight w:val="none"/>
        </w:rPr>
      </w:pPr>
    </w:p>
    <w:p>
      <w:pPr>
        <w:pStyle w:val="136"/>
        <w:rPr>
          <w:color w:val="auto"/>
          <w:highlight w:val="none"/>
        </w:rPr>
      </w:pPr>
    </w:p>
    <w:p>
      <w:pPr>
        <w:pStyle w:val="140"/>
        <w:outlineLvl w:val="0"/>
        <w:rPr>
          <w:rStyle w:val="84"/>
          <w:bCs/>
          <w:color w:val="auto"/>
          <w:highlight w:val="none"/>
        </w:rPr>
      </w:pPr>
      <w:bookmarkStart w:id="33" w:name="_Toc105014639"/>
      <w:r>
        <w:rPr>
          <w:rStyle w:val="84"/>
          <w:bCs/>
          <w:color w:val="auto"/>
          <w:highlight w:val="none"/>
        </w:rPr>
        <w:t>第六章  图纸及勘察资料</w:t>
      </w:r>
      <w:bookmarkEnd w:id="33"/>
    </w:p>
    <w:p>
      <w:pPr>
        <w:spacing w:line="360" w:lineRule="auto"/>
        <w:rPr>
          <w:rStyle w:val="84"/>
          <w:rFonts w:ascii="宋体" w:hAnsi="宋体"/>
          <w:color w:val="auto"/>
          <w:sz w:val="24"/>
          <w:szCs w:val="24"/>
          <w:highlight w:val="none"/>
        </w:rPr>
      </w:pPr>
      <w:r>
        <w:rPr>
          <w:rStyle w:val="84"/>
          <w:rFonts w:ascii="宋体" w:hAnsi="宋体"/>
          <w:color w:val="auto"/>
          <w:sz w:val="24"/>
          <w:szCs w:val="24"/>
          <w:highlight w:val="none"/>
        </w:rPr>
        <w:t>另册。</w:t>
      </w:r>
    </w:p>
    <w:p>
      <w:pPr>
        <w:pStyle w:val="136"/>
        <w:rPr>
          <w:color w:val="auto"/>
          <w:highlight w:val="none"/>
        </w:rPr>
      </w:pPr>
    </w:p>
    <w:p>
      <w:pPr>
        <w:pStyle w:val="136"/>
        <w:rPr>
          <w:color w:val="auto"/>
          <w:highlight w:val="none"/>
        </w:rPr>
      </w:pPr>
    </w:p>
    <w:p>
      <w:pPr>
        <w:pStyle w:val="136"/>
        <w:rPr>
          <w:color w:val="auto"/>
          <w:highlight w:val="none"/>
        </w:rPr>
      </w:pPr>
    </w:p>
    <w:p>
      <w:pPr>
        <w:jc w:val="left"/>
        <w:textAlignment w:val="auto"/>
        <w:rPr>
          <w:rStyle w:val="84"/>
          <w:rFonts w:ascii="Arial" w:hAnsi="Arial"/>
          <w:b/>
          <w:bCs/>
          <w:color w:val="auto"/>
          <w:kern w:val="44"/>
          <w:sz w:val="28"/>
          <w:szCs w:val="28"/>
          <w:highlight w:val="none"/>
        </w:rPr>
      </w:pPr>
      <w:bookmarkStart w:id="34" w:name="_Toc105014640"/>
      <w:r>
        <w:rPr>
          <w:rStyle w:val="84"/>
          <w:bCs/>
          <w:color w:val="auto"/>
          <w:highlight w:val="none"/>
        </w:rPr>
        <w:br w:type="page"/>
      </w:r>
    </w:p>
    <w:p>
      <w:pPr>
        <w:pStyle w:val="140"/>
        <w:outlineLvl w:val="0"/>
        <w:rPr>
          <w:rStyle w:val="84"/>
          <w:bCs/>
          <w:color w:val="auto"/>
          <w:highlight w:val="none"/>
        </w:rPr>
      </w:pPr>
      <w:r>
        <w:rPr>
          <w:rStyle w:val="84"/>
          <w:bCs/>
          <w:color w:val="auto"/>
          <w:highlight w:val="none"/>
        </w:rPr>
        <w:t>第七章  工程量清单</w:t>
      </w:r>
      <w:bookmarkEnd w:id="34"/>
    </w:p>
    <w:p>
      <w:pPr>
        <w:pStyle w:val="118"/>
        <w:spacing w:after="0" w:line="360" w:lineRule="auto"/>
        <w:ind w:firstLine="0"/>
        <w:rPr>
          <w:rStyle w:val="84"/>
          <w:rFonts w:ascii="宋体" w:hAnsi="宋体"/>
          <w:color w:val="auto"/>
          <w:sz w:val="24"/>
          <w:szCs w:val="24"/>
          <w:highlight w:val="none"/>
        </w:rPr>
      </w:pPr>
      <w:r>
        <w:rPr>
          <w:rStyle w:val="84"/>
          <w:rFonts w:ascii="宋体" w:hAnsi="宋体"/>
          <w:color w:val="auto"/>
          <w:sz w:val="24"/>
          <w:szCs w:val="24"/>
          <w:highlight w:val="none"/>
        </w:rPr>
        <w:t>另册。</w:t>
      </w:r>
    </w:p>
    <w:p>
      <w:pPr>
        <w:pStyle w:val="118"/>
        <w:spacing w:after="0" w:line="360" w:lineRule="auto"/>
        <w:ind w:firstLine="0"/>
        <w:rPr>
          <w:rStyle w:val="84"/>
          <w:rFonts w:ascii="宋体" w:hAnsi="宋体"/>
          <w:color w:val="auto"/>
          <w:sz w:val="24"/>
          <w:szCs w:val="24"/>
          <w:highlight w:val="none"/>
        </w:rPr>
      </w:pPr>
    </w:p>
    <w:p>
      <w:pPr>
        <w:pStyle w:val="118"/>
        <w:spacing w:after="0" w:line="360" w:lineRule="auto"/>
        <w:ind w:firstLine="0"/>
        <w:rPr>
          <w:rStyle w:val="84"/>
          <w:rFonts w:ascii="宋体" w:hAnsi="宋体"/>
          <w:color w:val="auto"/>
          <w:sz w:val="24"/>
          <w:szCs w:val="24"/>
          <w:highlight w:val="none"/>
        </w:rPr>
      </w:pPr>
    </w:p>
    <w:p>
      <w:pPr>
        <w:pStyle w:val="118"/>
        <w:spacing w:after="0" w:line="360" w:lineRule="auto"/>
        <w:ind w:firstLine="0"/>
        <w:rPr>
          <w:rStyle w:val="84"/>
          <w:rFonts w:ascii="宋体" w:hAnsi="宋体"/>
          <w:color w:val="auto"/>
          <w:sz w:val="24"/>
          <w:highlight w:val="none"/>
        </w:rPr>
      </w:pPr>
    </w:p>
    <w:p>
      <w:pPr>
        <w:jc w:val="left"/>
        <w:textAlignment w:val="auto"/>
        <w:rPr>
          <w:rStyle w:val="84"/>
          <w:rFonts w:ascii="宋体" w:hAnsi="宋体"/>
          <w:b/>
          <w:bCs/>
          <w:color w:val="auto"/>
          <w:kern w:val="44"/>
          <w:sz w:val="28"/>
          <w:szCs w:val="28"/>
          <w:highlight w:val="none"/>
        </w:rPr>
      </w:pPr>
      <w:bookmarkStart w:id="35" w:name="_Toc105014641"/>
      <w:r>
        <w:rPr>
          <w:rStyle w:val="84"/>
          <w:rFonts w:ascii="宋体" w:hAnsi="宋体"/>
          <w:bCs/>
          <w:color w:val="auto"/>
          <w:highlight w:val="none"/>
        </w:rPr>
        <w:br w:type="page"/>
      </w:r>
    </w:p>
    <w:p>
      <w:pPr>
        <w:pStyle w:val="140"/>
        <w:outlineLvl w:val="0"/>
        <w:rPr>
          <w:rStyle w:val="84"/>
          <w:rFonts w:ascii="宋体" w:hAnsi="宋体"/>
          <w:bCs/>
          <w:color w:val="auto"/>
          <w:highlight w:val="none"/>
        </w:rPr>
      </w:pPr>
      <w:r>
        <w:rPr>
          <w:rStyle w:val="84"/>
          <w:rFonts w:ascii="宋体" w:hAnsi="宋体"/>
          <w:bCs/>
          <w:color w:val="auto"/>
          <w:highlight w:val="none"/>
        </w:rPr>
        <w:t>第八章  最高投标限价</w:t>
      </w:r>
      <w:bookmarkEnd w:id="35"/>
    </w:p>
    <w:p>
      <w:pPr>
        <w:spacing w:line="360" w:lineRule="auto"/>
        <w:ind w:firstLine="480"/>
        <w:rPr>
          <w:rStyle w:val="84"/>
          <w:rFonts w:ascii="宋体" w:hAnsi="宋体"/>
          <w:color w:val="auto"/>
          <w:sz w:val="24"/>
          <w:szCs w:val="24"/>
          <w:highlight w:val="none"/>
        </w:rPr>
      </w:pPr>
      <w:r>
        <w:rPr>
          <w:rStyle w:val="84"/>
          <w:rFonts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pStyle w:val="136"/>
        <w:spacing w:line="360" w:lineRule="auto"/>
        <w:rPr>
          <w:rFonts w:ascii="宋体" w:hAnsi="宋体"/>
          <w:color w:val="auto"/>
          <w:highlight w:val="none"/>
        </w:rPr>
      </w:pPr>
    </w:p>
    <w:p>
      <w:pPr>
        <w:spacing w:line="360" w:lineRule="auto"/>
        <w:rPr>
          <w:rFonts w:ascii="宋体" w:hAnsi="宋体"/>
          <w:color w:val="auto"/>
          <w:highlight w:val="none"/>
        </w:rPr>
      </w:pPr>
      <w:r>
        <w:rPr>
          <w:rFonts w:hint="eastAsia" w:ascii="宋体" w:hAnsi="宋体"/>
          <w:color w:val="auto"/>
          <w:sz w:val="24"/>
          <w:szCs w:val="24"/>
          <w:highlight w:val="none"/>
        </w:rPr>
        <w:t>详见</w:t>
      </w:r>
      <w:r>
        <w:rPr>
          <w:rFonts w:hint="eastAsia" w:ascii="宋体" w:hAnsi="宋体" w:cs="宋体"/>
          <w:color w:val="auto"/>
          <w:sz w:val="24"/>
          <w:szCs w:val="24"/>
          <w:highlight w:val="none"/>
        </w:rPr>
        <w:t>本项目</w:t>
      </w:r>
      <w:r>
        <w:rPr>
          <w:rFonts w:hint="eastAsia" w:ascii="宋体" w:hAnsi="宋体"/>
          <w:color w:val="auto"/>
          <w:sz w:val="24"/>
          <w:szCs w:val="24"/>
          <w:highlight w:val="none"/>
        </w:rPr>
        <w:t>《最高投标限价公布函》</w:t>
      </w:r>
    </w:p>
    <w:p>
      <w:pPr>
        <w:pStyle w:val="136"/>
        <w:spacing w:line="360" w:lineRule="auto"/>
        <w:rPr>
          <w:rFonts w:ascii="宋体" w:hAnsi="宋体"/>
          <w:color w:val="auto"/>
          <w:highlight w:val="none"/>
        </w:rPr>
      </w:pPr>
    </w:p>
    <w:bookmarkEnd w:id="36"/>
    <w:sectPr>
      <w:footerReference r:id="rId17" w:type="default"/>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roman"/>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jc w:val="right"/>
      <w:rPr>
        <w:rStyle w:val="9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rPr>
        <w:rStyle w:val="97"/>
      </w:rPr>
    </w:pPr>
  </w:p>
  <w:p>
    <w:pPr>
      <w:pStyle w:val="15"/>
      <w:ind w:firstLine="392"/>
      <w:rPr>
        <w:rStyle w:val="84"/>
      </w:rPr>
    </w:pPr>
    <w:r>
      <w:rPr>
        <w:rStyle w:val="8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rPr>
        <w:rStyle w:val="8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jc w:val="right"/>
      <w:rPr>
        <w:rStyle w:val="97"/>
      </w:rPr>
    </w:pPr>
    <w:r>
      <w:pict>
        <v:shape id="文本框 8" o:spid="_x0000_s103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kvYvPOAQAAqAMAAA4AAAAAAAAAAQAgAAAAHgEAAGRycy9l&#10;Mm9Eb2MueG1sUEsFBgAAAAAGAAYAWQEAAF4FAAAAAA==&#10;">
          <v:path/>
          <v:fill on="f" focussize="0,0"/>
          <v:stroke on="f" joinstyle="miter"/>
          <v:imagedata o:title=""/>
          <o:lock v:ext="edit"/>
          <v:textbox inset="0mm,0mm,0mm,0mm" style="mso-fit-shape-to-text:t;">
            <w:txbxContent>
              <w:p>
                <w:pPr>
                  <w:pStyle w:val="15"/>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rPr>
        <w:rStyle w:val="84"/>
      </w:rPr>
    </w:pPr>
    <w:r>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P2i8M4BAACo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asmZE5Ze/PL92+XHr8vPr+xN&#10;0qcPWFHZQ6DCONz5gbZmjiMFE+2hBZu+RIhRntQ9X9VVQ2QyXVqv1uuSUpJys0P4xeP1ABjfKm9Z&#10;MmoO9HxZVXF6j3EsnUtSN+fvtTH5CY37K0CYY0TlHZhuJybjxMmKw36Y6O19cyZ2Pe1BzR2tPWfm&#10;nSOZ08rMBszGfjaOAfSho0GXeUoMt8dII+VJU4cRlhgmhx4wc52WLW3In36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j9ovDOAQAAqAMAAA4AAAAAAAAAAQAgAAAAHgEAAGRycy9l&#10;Mm9Eb2MueG1sUEsFBgAAAAAGAAYAWQEAAF4FAAAAAA==&#1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43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97"/>
      </w:rPr>
    </w:pPr>
    <w:r>
      <w:pict>
        <v:shape id="文本框 9"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5ZmHPOAQAAqAMAAA4AAAAAAAAAAQAgAAAAHgEAAGRycy9l&#10;Mm9Eb2MueG1sUEsFBgAAAAAGAAYAWQEAAF4FAAAAAA==&#10;">
          <v:path/>
          <v:fill on="f" focussize="0,0"/>
          <v:stroke on="f" joinstyle="miter"/>
          <v:imagedata o:title=""/>
          <o:lock v:ext="edit"/>
          <v:textbox inset="0mm,0mm,0mm,0mm" style="mso-fit-shape-to-text:t;">
            <w:txbxContent>
              <w:p>
                <w:pPr>
                  <w:pStyle w:val="15"/>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w:r>
  </w:p>
  <w:p>
    <w:pPr>
      <w:pStyle w:val="15"/>
      <w:ind w:left="-4410" w:leftChars="-2100" w:right="-4439" w:rightChars="-2114"/>
      <w:rPr>
        <w:rStyle w:val="97"/>
      </w:rPr>
    </w:pPr>
  </w:p>
  <w:p>
    <w:pPr>
      <w:pStyle w:val="15"/>
      <w:ind w:right="360" w:firstLine="360"/>
      <w:jc w:val="center"/>
      <w:rPr>
        <w:rStyle w:val="8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margin" w:hAnchor="text" w:xAlign="outside" w:y="1"/>
      <w:rPr>
        <w:rStyle w:val="97"/>
      </w:rPr>
    </w:pPr>
  </w:p>
  <w:p>
    <w:pPr>
      <w:pStyle w:val="15"/>
      <w:ind w:right="360" w:firstLine="360"/>
      <w:jc w:val="center"/>
      <w:rPr>
        <w:rStyle w:val="84"/>
      </w:rPr>
    </w:pPr>
    <w:r>
      <w:rPr>
        <w:rStyle w:val="84"/>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84"/>
      </w:rPr>
    </w:pPr>
    <w:r>
      <w:pict>
        <v:shape id="文本框 10" o:spid="_x0000_s102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Jwlabc0BAACpAwAADgAAAAAAAAABACAAAAAeAQAAZHJzL2Uy&#10;b0RvYy54bWxQSwUGAAAAAAYABgBZAQAAXQUAAAAA&#10;">
          <v:path/>
          <v:fill on="f" focussize="0,0"/>
          <v:stroke on="f" joinstyle="miter"/>
          <v:imagedata o:title=""/>
          <o:lock v:ext="edit"/>
          <v:textbox inset="0mm,0mm,0mm,0mm" style="mso-fit-shape-to-text:t;">
            <w:txbxContent>
              <w:p>
                <w:pPr>
                  <w:pStyle w:val="15"/>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Style w:val="84"/>
        <w:rFonts w:ascii="宋体" w:hAnsi="宋体"/>
        <w:kern w:val="0"/>
        <w:sz w:val="18"/>
        <w:szCs w:val="18"/>
      </w:rPr>
    </w:pPr>
    <w:r>
      <w:rPr>
        <w:sz w:val="18"/>
      </w:rPr>
      <w:pict>
        <v:shape id="文本框 11"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TXwPzwEAAKkDAAAOAAAAAAAAAAEAIAAAAB4BAABkcnMv&#10;ZTJvRG9jLnhtbFBLBQYAAAAABgAGAFkBAABfBQAAAAA=&#10;">
          <v:path/>
          <v:fill on="f" focussize="0,0"/>
          <v:stroke on="f" joinstyle="miter"/>
          <v:imagedata o:title=""/>
          <o:lock v:ext="edit"/>
          <v:textbox inset="0mm,0mm,0mm,0mm" style="mso-fit-shape-to-text:t;">
            <w:txbxContent>
              <w:p>
                <w:pPr>
                  <w:pStyle w:val="15"/>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92"/>
      <w:rPr>
        <w:rStyle w:val="8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rPr>
        <w:rStyle w:val="84"/>
      </w:rPr>
    </w:pPr>
    <w:r>
      <w:rPr>
        <w:rStyle w:val="84"/>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Style w:val="8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rPr>
        <w:rStyle w:val="8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Style w:val="84"/>
        <w:i/>
        <w:iCs/>
      </w:rPr>
    </w:pPr>
    <w:r>
      <w:rPr>
        <w:rStyle w:val="84"/>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rPr>
        <w:rStyle w:val="84"/>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133"/>
      <w:suff w:val="space"/>
      <w:lvlText w:val="第%1章"/>
      <w:lvlJc w:val="left"/>
      <w:pPr>
        <w:ind w:left="567" w:hanging="279"/>
      </w:pPr>
      <w:rPr>
        <w:rFonts w:ascii="宋体" w:eastAsia="宋体"/>
        <w:b/>
        <w:i w:val="0"/>
        <w:position w:val="0"/>
        <w:sz w:val="44"/>
      </w:rPr>
    </w:lvl>
    <w:lvl w:ilvl="1" w:tentative="0">
      <w:start w:val="1"/>
      <w:numFmt w:val="decimal"/>
      <w:suff w:val="space"/>
      <w:lvlText w:val="%1."/>
      <w:lvlJc w:val="left"/>
      <w:pPr>
        <w:ind w:left="454" w:hanging="454"/>
      </w:pPr>
      <w:rPr>
        <w:rFonts w:ascii="宋体" w:eastAsia="宋体"/>
        <w:b/>
        <w:i w:val="0"/>
        <w:sz w:val="32"/>
      </w:rPr>
    </w:lvl>
    <w:lvl w:ilvl="2" w:tentative="0">
      <w:start w:val="1"/>
      <w:numFmt w:val="decimal"/>
      <w:suff w:val="space"/>
      <w:lvlText w:val="%1.%2"/>
      <w:lvlJc w:val="left"/>
      <w:pPr>
        <w:ind w:left="454" w:hanging="454"/>
      </w:pPr>
      <w:rPr>
        <w:rFonts w:ascii="宋体" w:eastAsia="宋体"/>
        <w:b/>
        <w:i w:val="0"/>
        <w:sz w:val="28"/>
      </w:rPr>
    </w:lvl>
    <w:lvl w:ilvl="3" w:tentative="0">
      <w:start w:val="1"/>
      <w:numFmt w:val="decimal"/>
      <w:pStyle w:val="132"/>
      <w:suff w:val="space"/>
      <w:lvlText w:val="%1.%2.%3"/>
      <w:lvlJc w:val="left"/>
      <w:pPr>
        <w:ind w:left="284" w:hanging="284"/>
      </w:pPr>
      <w:rPr>
        <w:rFonts w:ascii="宋体" w:eastAsia="宋体"/>
        <w:b/>
        <w:i w:val="0"/>
        <w:sz w:val="28"/>
      </w:rPr>
    </w:lvl>
    <w:lvl w:ilvl="4" w:tentative="0">
      <w:start w:val="1"/>
      <w:numFmt w:val="decimal"/>
      <w:pStyle w:val="171"/>
      <w:suff w:val="space"/>
      <w:lvlText w:val="%1.%2.%3.%4"/>
      <w:lvlJc w:val="left"/>
      <w:pPr>
        <w:ind w:left="284" w:hanging="284"/>
      </w:pPr>
      <w:rPr>
        <w:rFonts w:ascii="宋体" w:eastAsia="宋体"/>
        <w:b/>
        <w:i w:val="0"/>
        <w:strike w:val="0"/>
        <w:dstrike w:val="0"/>
        <w:sz w:val="28"/>
      </w:rPr>
    </w:lvl>
    <w:lvl w:ilvl="5" w:tentative="0">
      <w:start w:val="1"/>
      <w:numFmt w:val="decimal"/>
      <w:suff w:val="space"/>
      <w:lvlText w:val="1.1.1.1.1.%1%2"/>
      <w:lvlJc w:val="left"/>
      <w:rPr>
        <w:rFonts w:ascii="宋体" w:eastAsia="宋体"/>
        <w:b/>
        <w:i w:val="0"/>
        <w:sz w:val="28"/>
      </w:rPr>
    </w:lvl>
    <w:lvl w:ilvl="6" w:tentative="0">
      <w:start w:val="1"/>
      <w:numFmt w:val="decimal"/>
      <w:pStyle w:val="147"/>
      <w:suff w:val="nothing"/>
      <w:lvlText w:val=""/>
      <w:lvlJc w:val="left"/>
    </w:lvl>
    <w:lvl w:ilvl="7" w:tentative="0">
      <w:start w:val="1"/>
      <w:numFmt w:val="decimal"/>
      <w:pStyle w:val="150"/>
      <w:suff w:val="nothing"/>
      <w:lvlText w:val=""/>
      <w:lvlJc w:val="left"/>
    </w:lvl>
    <w:lvl w:ilvl="8" w:tentative="0">
      <w:start w:val="1"/>
      <w:numFmt w:val="decimal"/>
      <w:pStyle w:val="108"/>
      <w:suff w:val="nothing"/>
      <w:lvlText w:val=""/>
      <w:lvlJc w:val="left"/>
    </w:lvl>
  </w:abstractNum>
  <w:abstractNum w:abstractNumId="1">
    <w:nsid w:val="74FB0463"/>
    <w:multiLevelType w:val="multilevel"/>
    <w:tmpl w:val="74FB0463"/>
    <w:lvl w:ilvl="0" w:tentative="0">
      <w:start w:val="1"/>
      <w:numFmt w:val="decimal"/>
      <w:suff w:val="nothing"/>
      <w:lvlText w:val="第%1篇"/>
      <w:lvlJc w:val="left"/>
      <w:rPr>
        <w:spacing w:val="60"/>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center"/>
      <w:pPr>
        <w:ind w:firstLine="288"/>
      </w:pPr>
    </w:lvl>
    <w:lvl w:ilvl="5" w:tentative="0">
      <w:start w:val="1"/>
      <w:numFmt w:val="decimal"/>
      <w:pStyle w:val="128"/>
      <w:suff w:val="nothing"/>
      <w:lvlText w:val=""/>
      <w:lvlJc w:val="left"/>
    </w:lvl>
    <w:lvl w:ilvl="6" w:tentative="0">
      <w:start w:val="1"/>
      <w:numFmt w:val="decimal"/>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dit="trackedChanges" w:enforcement="0"/>
  <w:defaultTabStop w:val="420"/>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endnotePr>
    <w:numFmt w:val="decimal"/>
  </w:endnotePr>
  <w:compat>
    <w:balanceSingleByteDoubleByteWidth/>
    <w:doNotLeaveBackslashAlone/>
    <w:doNotExpandShiftReturn/>
    <w:adjustLineHeightInTable/>
    <w:useFELayout/>
    <w:compatSetting w:name="compatibilityMode" w:uri="http://schemas.microsoft.com/office/word" w:val="12"/>
  </w:compat>
  <w:docVars>
    <w:docVar w:name="commondata" w:val="eyJoZGlkIjoiOTQwY2E4NWQzY2M1MjllYmExMGM1YzliZjYxNmViNTMifQ=="/>
  </w:docVars>
  <w:rsids>
    <w:rsidRoot w:val="00E12750"/>
    <w:rsid w:val="00002BB1"/>
    <w:rsid w:val="00007125"/>
    <w:rsid w:val="00010A0E"/>
    <w:rsid w:val="000131B4"/>
    <w:rsid w:val="000150F9"/>
    <w:rsid w:val="0001678A"/>
    <w:rsid w:val="00020D54"/>
    <w:rsid w:val="00021D6D"/>
    <w:rsid w:val="000237D9"/>
    <w:rsid w:val="00025835"/>
    <w:rsid w:val="00025D40"/>
    <w:rsid w:val="000260A9"/>
    <w:rsid w:val="0002717B"/>
    <w:rsid w:val="00031155"/>
    <w:rsid w:val="000312C5"/>
    <w:rsid w:val="00032754"/>
    <w:rsid w:val="000337E6"/>
    <w:rsid w:val="0003426B"/>
    <w:rsid w:val="00040269"/>
    <w:rsid w:val="00042EA0"/>
    <w:rsid w:val="00044A52"/>
    <w:rsid w:val="0004513C"/>
    <w:rsid w:val="0004527B"/>
    <w:rsid w:val="00045842"/>
    <w:rsid w:val="00046D08"/>
    <w:rsid w:val="000477C9"/>
    <w:rsid w:val="00047B9D"/>
    <w:rsid w:val="00051B10"/>
    <w:rsid w:val="00052AA0"/>
    <w:rsid w:val="0005310E"/>
    <w:rsid w:val="00054EDB"/>
    <w:rsid w:val="000557EB"/>
    <w:rsid w:val="00056063"/>
    <w:rsid w:val="000568F5"/>
    <w:rsid w:val="00056D98"/>
    <w:rsid w:val="00056F2B"/>
    <w:rsid w:val="00057663"/>
    <w:rsid w:val="00061F95"/>
    <w:rsid w:val="00063021"/>
    <w:rsid w:val="000638F5"/>
    <w:rsid w:val="00065BE0"/>
    <w:rsid w:val="00066257"/>
    <w:rsid w:val="00067CA7"/>
    <w:rsid w:val="00071153"/>
    <w:rsid w:val="00071B50"/>
    <w:rsid w:val="00072EEC"/>
    <w:rsid w:val="000740DC"/>
    <w:rsid w:val="00074C04"/>
    <w:rsid w:val="0007593A"/>
    <w:rsid w:val="00077EE0"/>
    <w:rsid w:val="00080532"/>
    <w:rsid w:val="0008167B"/>
    <w:rsid w:val="000816AD"/>
    <w:rsid w:val="00083721"/>
    <w:rsid w:val="000846DA"/>
    <w:rsid w:val="00084B57"/>
    <w:rsid w:val="00086323"/>
    <w:rsid w:val="00087DB3"/>
    <w:rsid w:val="0009129B"/>
    <w:rsid w:val="00094945"/>
    <w:rsid w:val="000956FC"/>
    <w:rsid w:val="000972E5"/>
    <w:rsid w:val="0009775F"/>
    <w:rsid w:val="000A1A51"/>
    <w:rsid w:val="000A21FB"/>
    <w:rsid w:val="000A5B62"/>
    <w:rsid w:val="000A72AA"/>
    <w:rsid w:val="000B00C9"/>
    <w:rsid w:val="000B00F1"/>
    <w:rsid w:val="000B0272"/>
    <w:rsid w:val="000B0CB6"/>
    <w:rsid w:val="000B303D"/>
    <w:rsid w:val="000B357D"/>
    <w:rsid w:val="000B3770"/>
    <w:rsid w:val="000B6625"/>
    <w:rsid w:val="000B7B0D"/>
    <w:rsid w:val="000C04E7"/>
    <w:rsid w:val="000C06D5"/>
    <w:rsid w:val="000C2008"/>
    <w:rsid w:val="000C44C7"/>
    <w:rsid w:val="000C68E3"/>
    <w:rsid w:val="000D1201"/>
    <w:rsid w:val="000D2191"/>
    <w:rsid w:val="000D334C"/>
    <w:rsid w:val="000D3FEA"/>
    <w:rsid w:val="000D4262"/>
    <w:rsid w:val="000E03A5"/>
    <w:rsid w:val="000E1832"/>
    <w:rsid w:val="000E1DF7"/>
    <w:rsid w:val="000E1ECB"/>
    <w:rsid w:val="000E33C4"/>
    <w:rsid w:val="000E573E"/>
    <w:rsid w:val="000E5E82"/>
    <w:rsid w:val="000E602E"/>
    <w:rsid w:val="000E7958"/>
    <w:rsid w:val="000E7DAA"/>
    <w:rsid w:val="000F03C4"/>
    <w:rsid w:val="000F1107"/>
    <w:rsid w:val="000F152D"/>
    <w:rsid w:val="000F26EC"/>
    <w:rsid w:val="000F2A89"/>
    <w:rsid w:val="000F31A2"/>
    <w:rsid w:val="000F365D"/>
    <w:rsid w:val="000F50F6"/>
    <w:rsid w:val="000F5272"/>
    <w:rsid w:val="000F5558"/>
    <w:rsid w:val="000F57D7"/>
    <w:rsid w:val="000F5882"/>
    <w:rsid w:val="000F68FA"/>
    <w:rsid w:val="000F6A25"/>
    <w:rsid w:val="0010051E"/>
    <w:rsid w:val="00101D1E"/>
    <w:rsid w:val="0010480A"/>
    <w:rsid w:val="0010511E"/>
    <w:rsid w:val="00107EE4"/>
    <w:rsid w:val="0011023A"/>
    <w:rsid w:val="00115DEC"/>
    <w:rsid w:val="00116788"/>
    <w:rsid w:val="00117D2F"/>
    <w:rsid w:val="00120E73"/>
    <w:rsid w:val="00120F54"/>
    <w:rsid w:val="00122488"/>
    <w:rsid w:val="00124491"/>
    <w:rsid w:val="0012449C"/>
    <w:rsid w:val="00127E23"/>
    <w:rsid w:val="0013074E"/>
    <w:rsid w:val="00131E40"/>
    <w:rsid w:val="00131E57"/>
    <w:rsid w:val="00134006"/>
    <w:rsid w:val="001352F3"/>
    <w:rsid w:val="00136F1A"/>
    <w:rsid w:val="0014088E"/>
    <w:rsid w:val="00140B94"/>
    <w:rsid w:val="00140BEF"/>
    <w:rsid w:val="00140CBF"/>
    <w:rsid w:val="00141735"/>
    <w:rsid w:val="00142990"/>
    <w:rsid w:val="001433B2"/>
    <w:rsid w:val="0014375A"/>
    <w:rsid w:val="00147569"/>
    <w:rsid w:val="00151099"/>
    <w:rsid w:val="00151BB9"/>
    <w:rsid w:val="0015254C"/>
    <w:rsid w:val="001541F5"/>
    <w:rsid w:val="00156752"/>
    <w:rsid w:val="001621C5"/>
    <w:rsid w:val="00164082"/>
    <w:rsid w:val="00164E0E"/>
    <w:rsid w:val="001655A7"/>
    <w:rsid w:val="00166023"/>
    <w:rsid w:val="0016666B"/>
    <w:rsid w:val="00166BE2"/>
    <w:rsid w:val="00167170"/>
    <w:rsid w:val="00167F7B"/>
    <w:rsid w:val="00170D60"/>
    <w:rsid w:val="00172B64"/>
    <w:rsid w:val="0017466E"/>
    <w:rsid w:val="00183BB7"/>
    <w:rsid w:val="001843D9"/>
    <w:rsid w:val="00184690"/>
    <w:rsid w:val="0018771D"/>
    <w:rsid w:val="00190405"/>
    <w:rsid w:val="00190FDA"/>
    <w:rsid w:val="00192EB1"/>
    <w:rsid w:val="00194525"/>
    <w:rsid w:val="001973E2"/>
    <w:rsid w:val="001A11AA"/>
    <w:rsid w:val="001A15FD"/>
    <w:rsid w:val="001A29C3"/>
    <w:rsid w:val="001A4C6C"/>
    <w:rsid w:val="001A77E0"/>
    <w:rsid w:val="001B10C3"/>
    <w:rsid w:val="001B11A6"/>
    <w:rsid w:val="001B30FB"/>
    <w:rsid w:val="001B3449"/>
    <w:rsid w:val="001B41F0"/>
    <w:rsid w:val="001B42C7"/>
    <w:rsid w:val="001B45B4"/>
    <w:rsid w:val="001B47B1"/>
    <w:rsid w:val="001B4EA8"/>
    <w:rsid w:val="001B7E6E"/>
    <w:rsid w:val="001C3363"/>
    <w:rsid w:val="001C4621"/>
    <w:rsid w:val="001C4B73"/>
    <w:rsid w:val="001C6290"/>
    <w:rsid w:val="001C7D81"/>
    <w:rsid w:val="001D079D"/>
    <w:rsid w:val="001D1E42"/>
    <w:rsid w:val="001D1FE1"/>
    <w:rsid w:val="001D25B1"/>
    <w:rsid w:val="001D2DF6"/>
    <w:rsid w:val="001D4F7F"/>
    <w:rsid w:val="001D5499"/>
    <w:rsid w:val="001D6D98"/>
    <w:rsid w:val="001D77AD"/>
    <w:rsid w:val="001D7881"/>
    <w:rsid w:val="001D7D71"/>
    <w:rsid w:val="001D7F6D"/>
    <w:rsid w:val="001E0FFE"/>
    <w:rsid w:val="001E2A9F"/>
    <w:rsid w:val="001E42D3"/>
    <w:rsid w:val="001E4C56"/>
    <w:rsid w:val="001E503E"/>
    <w:rsid w:val="001E507A"/>
    <w:rsid w:val="001E6DE9"/>
    <w:rsid w:val="001F36D9"/>
    <w:rsid w:val="001F4190"/>
    <w:rsid w:val="001F57B0"/>
    <w:rsid w:val="00200BA0"/>
    <w:rsid w:val="002037F5"/>
    <w:rsid w:val="0020565F"/>
    <w:rsid w:val="00206E54"/>
    <w:rsid w:val="0020761F"/>
    <w:rsid w:val="00210F8A"/>
    <w:rsid w:val="00211031"/>
    <w:rsid w:val="0021140C"/>
    <w:rsid w:val="00214C56"/>
    <w:rsid w:val="00215DC4"/>
    <w:rsid w:val="002208F5"/>
    <w:rsid w:val="002216B3"/>
    <w:rsid w:val="0022197C"/>
    <w:rsid w:val="0022305C"/>
    <w:rsid w:val="00226BEB"/>
    <w:rsid w:val="00231417"/>
    <w:rsid w:val="00231A77"/>
    <w:rsid w:val="00231FC8"/>
    <w:rsid w:val="00234B0F"/>
    <w:rsid w:val="00234D39"/>
    <w:rsid w:val="0023613F"/>
    <w:rsid w:val="002373FF"/>
    <w:rsid w:val="00240E3C"/>
    <w:rsid w:val="00243753"/>
    <w:rsid w:val="00243C8A"/>
    <w:rsid w:val="00243D12"/>
    <w:rsid w:val="00243E39"/>
    <w:rsid w:val="002454B2"/>
    <w:rsid w:val="00245760"/>
    <w:rsid w:val="00245765"/>
    <w:rsid w:val="0025086E"/>
    <w:rsid w:val="00250B5F"/>
    <w:rsid w:val="002515F5"/>
    <w:rsid w:val="00251A56"/>
    <w:rsid w:val="002552F5"/>
    <w:rsid w:val="00256859"/>
    <w:rsid w:val="002574D7"/>
    <w:rsid w:val="00260023"/>
    <w:rsid w:val="00260272"/>
    <w:rsid w:val="002611E0"/>
    <w:rsid w:val="00261CAE"/>
    <w:rsid w:val="002676FA"/>
    <w:rsid w:val="00271510"/>
    <w:rsid w:val="0027199F"/>
    <w:rsid w:val="00273521"/>
    <w:rsid w:val="002758F3"/>
    <w:rsid w:val="00277583"/>
    <w:rsid w:val="0027766C"/>
    <w:rsid w:val="00277C50"/>
    <w:rsid w:val="00280FAB"/>
    <w:rsid w:val="00282430"/>
    <w:rsid w:val="0028251C"/>
    <w:rsid w:val="00284E4F"/>
    <w:rsid w:val="002850CF"/>
    <w:rsid w:val="00285416"/>
    <w:rsid w:val="00286189"/>
    <w:rsid w:val="002864BE"/>
    <w:rsid w:val="0029387B"/>
    <w:rsid w:val="002938F0"/>
    <w:rsid w:val="002942A4"/>
    <w:rsid w:val="002943C5"/>
    <w:rsid w:val="00294BC9"/>
    <w:rsid w:val="002960C4"/>
    <w:rsid w:val="00297845"/>
    <w:rsid w:val="002A0A93"/>
    <w:rsid w:val="002A19BB"/>
    <w:rsid w:val="002A1BB3"/>
    <w:rsid w:val="002A1BFA"/>
    <w:rsid w:val="002A2484"/>
    <w:rsid w:val="002A36A7"/>
    <w:rsid w:val="002A3FB7"/>
    <w:rsid w:val="002A4A68"/>
    <w:rsid w:val="002A57A6"/>
    <w:rsid w:val="002A6747"/>
    <w:rsid w:val="002B10DA"/>
    <w:rsid w:val="002B2EB5"/>
    <w:rsid w:val="002B2F87"/>
    <w:rsid w:val="002B3911"/>
    <w:rsid w:val="002B3D3C"/>
    <w:rsid w:val="002B7170"/>
    <w:rsid w:val="002C076A"/>
    <w:rsid w:val="002C3F52"/>
    <w:rsid w:val="002C4782"/>
    <w:rsid w:val="002C6CBB"/>
    <w:rsid w:val="002C6E8C"/>
    <w:rsid w:val="002C7FE3"/>
    <w:rsid w:val="002D328C"/>
    <w:rsid w:val="002D3F05"/>
    <w:rsid w:val="002D7C77"/>
    <w:rsid w:val="002E2369"/>
    <w:rsid w:val="002E2CD6"/>
    <w:rsid w:val="002E3DF6"/>
    <w:rsid w:val="002E42B7"/>
    <w:rsid w:val="002E55C1"/>
    <w:rsid w:val="002E6F64"/>
    <w:rsid w:val="002E78C8"/>
    <w:rsid w:val="002F03E8"/>
    <w:rsid w:val="002F1D07"/>
    <w:rsid w:val="002F3B5C"/>
    <w:rsid w:val="002F497E"/>
    <w:rsid w:val="002F55EC"/>
    <w:rsid w:val="002F7175"/>
    <w:rsid w:val="002F7AB6"/>
    <w:rsid w:val="00300D02"/>
    <w:rsid w:val="0030144B"/>
    <w:rsid w:val="00302F4F"/>
    <w:rsid w:val="00304C98"/>
    <w:rsid w:val="003051A3"/>
    <w:rsid w:val="003062CD"/>
    <w:rsid w:val="00310962"/>
    <w:rsid w:val="003114FA"/>
    <w:rsid w:val="003128D6"/>
    <w:rsid w:val="003136B0"/>
    <w:rsid w:val="00314925"/>
    <w:rsid w:val="00320929"/>
    <w:rsid w:val="0032126D"/>
    <w:rsid w:val="003222E3"/>
    <w:rsid w:val="003258D4"/>
    <w:rsid w:val="003258F9"/>
    <w:rsid w:val="0033136B"/>
    <w:rsid w:val="00332FCC"/>
    <w:rsid w:val="00333E6C"/>
    <w:rsid w:val="00333FD1"/>
    <w:rsid w:val="003351FF"/>
    <w:rsid w:val="00335934"/>
    <w:rsid w:val="0033674F"/>
    <w:rsid w:val="00340219"/>
    <w:rsid w:val="00340461"/>
    <w:rsid w:val="00341332"/>
    <w:rsid w:val="0034171B"/>
    <w:rsid w:val="003425D5"/>
    <w:rsid w:val="00343B35"/>
    <w:rsid w:val="0034478D"/>
    <w:rsid w:val="003451AC"/>
    <w:rsid w:val="003458C4"/>
    <w:rsid w:val="00345A8F"/>
    <w:rsid w:val="00347EC8"/>
    <w:rsid w:val="003522AB"/>
    <w:rsid w:val="0035445D"/>
    <w:rsid w:val="00356C29"/>
    <w:rsid w:val="00361172"/>
    <w:rsid w:val="00361BC4"/>
    <w:rsid w:val="003662D8"/>
    <w:rsid w:val="00367752"/>
    <w:rsid w:val="00370165"/>
    <w:rsid w:val="00370CC1"/>
    <w:rsid w:val="00372564"/>
    <w:rsid w:val="00372ABE"/>
    <w:rsid w:val="00373090"/>
    <w:rsid w:val="0037319C"/>
    <w:rsid w:val="00373B1C"/>
    <w:rsid w:val="00375163"/>
    <w:rsid w:val="003758FB"/>
    <w:rsid w:val="0037770B"/>
    <w:rsid w:val="0037776E"/>
    <w:rsid w:val="00377E69"/>
    <w:rsid w:val="00381046"/>
    <w:rsid w:val="003815AA"/>
    <w:rsid w:val="00381760"/>
    <w:rsid w:val="00383BF4"/>
    <w:rsid w:val="00385459"/>
    <w:rsid w:val="00385831"/>
    <w:rsid w:val="00385F20"/>
    <w:rsid w:val="0038672C"/>
    <w:rsid w:val="00393286"/>
    <w:rsid w:val="00395078"/>
    <w:rsid w:val="003952B9"/>
    <w:rsid w:val="003A0329"/>
    <w:rsid w:val="003A0591"/>
    <w:rsid w:val="003A0AE5"/>
    <w:rsid w:val="003A21EB"/>
    <w:rsid w:val="003A4B80"/>
    <w:rsid w:val="003C12A6"/>
    <w:rsid w:val="003C1E66"/>
    <w:rsid w:val="003C29BF"/>
    <w:rsid w:val="003C2CE5"/>
    <w:rsid w:val="003C3EE8"/>
    <w:rsid w:val="003C4785"/>
    <w:rsid w:val="003D0064"/>
    <w:rsid w:val="003D00B7"/>
    <w:rsid w:val="003D0F11"/>
    <w:rsid w:val="003D145F"/>
    <w:rsid w:val="003D1916"/>
    <w:rsid w:val="003D2057"/>
    <w:rsid w:val="003D2F7B"/>
    <w:rsid w:val="003D3850"/>
    <w:rsid w:val="003D5CBF"/>
    <w:rsid w:val="003D6887"/>
    <w:rsid w:val="003E11D0"/>
    <w:rsid w:val="003E18D1"/>
    <w:rsid w:val="003E2EF8"/>
    <w:rsid w:val="003E4602"/>
    <w:rsid w:val="003E4FE0"/>
    <w:rsid w:val="003E71C2"/>
    <w:rsid w:val="003F08A5"/>
    <w:rsid w:val="003F3FB9"/>
    <w:rsid w:val="003F7CE0"/>
    <w:rsid w:val="00402511"/>
    <w:rsid w:val="004052B3"/>
    <w:rsid w:val="00406258"/>
    <w:rsid w:val="004064F6"/>
    <w:rsid w:val="00407CA2"/>
    <w:rsid w:val="00407FEB"/>
    <w:rsid w:val="00410BA6"/>
    <w:rsid w:val="00411949"/>
    <w:rsid w:val="004129B4"/>
    <w:rsid w:val="00413C64"/>
    <w:rsid w:val="00414433"/>
    <w:rsid w:val="00416564"/>
    <w:rsid w:val="00416AAD"/>
    <w:rsid w:val="00417FB6"/>
    <w:rsid w:val="0042400A"/>
    <w:rsid w:val="0042424D"/>
    <w:rsid w:val="00424DEE"/>
    <w:rsid w:val="00427276"/>
    <w:rsid w:val="00427DBD"/>
    <w:rsid w:val="00431970"/>
    <w:rsid w:val="00434052"/>
    <w:rsid w:val="00436588"/>
    <w:rsid w:val="004373B7"/>
    <w:rsid w:val="00437B91"/>
    <w:rsid w:val="004425B5"/>
    <w:rsid w:val="004434F5"/>
    <w:rsid w:val="0044355E"/>
    <w:rsid w:val="00443678"/>
    <w:rsid w:val="00443C0C"/>
    <w:rsid w:val="00444C14"/>
    <w:rsid w:val="00447FB5"/>
    <w:rsid w:val="004524A4"/>
    <w:rsid w:val="004546AD"/>
    <w:rsid w:val="004547F9"/>
    <w:rsid w:val="0045505C"/>
    <w:rsid w:val="0046068C"/>
    <w:rsid w:val="004608E6"/>
    <w:rsid w:val="00461981"/>
    <w:rsid w:val="004635F7"/>
    <w:rsid w:val="0046387F"/>
    <w:rsid w:val="00465E66"/>
    <w:rsid w:val="00472560"/>
    <w:rsid w:val="00474B5B"/>
    <w:rsid w:val="0047772B"/>
    <w:rsid w:val="004807AE"/>
    <w:rsid w:val="00482F13"/>
    <w:rsid w:val="00483643"/>
    <w:rsid w:val="00484ECB"/>
    <w:rsid w:val="00485264"/>
    <w:rsid w:val="0048673A"/>
    <w:rsid w:val="00486C44"/>
    <w:rsid w:val="00486EB5"/>
    <w:rsid w:val="00490209"/>
    <w:rsid w:val="00491F2F"/>
    <w:rsid w:val="00492146"/>
    <w:rsid w:val="004A4DDB"/>
    <w:rsid w:val="004A6B01"/>
    <w:rsid w:val="004B234C"/>
    <w:rsid w:val="004B443A"/>
    <w:rsid w:val="004B4F0A"/>
    <w:rsid w:val="004B4F8B"/>
    <w:rsid w:val="004B5117"/>
    <w:rsid w:val="004C0133"/>
    <w:rsid w:val="004C07D4"/>
    <w:rsid w:val="004C11A6"/>
    <w:rsid w:val="004C2E5F"/>
    <w:rsid w:val="004C2F7C"/>
    <w:rsid w:val="004C4F7A"/>
    <w:rsid w:val="004D0463"/>
    <w:rsid w:val="004D4463"/>
    <w:rsid w:val="004D70CC"/>
    <w:rsid w:val="004E0E78"/>
    <w:rsid w:val="004E58B4"/>
    <w:rsid w:val="004E5EE4"/>
    <w:rsid w:val="004E631B"/>
    <w:rsid w:val="004E68C5"/>
    <w:rsid w:val="004E6B7E"/>
    <w:rsid w:val="004F18A1"/>
    <w:rsid w:val="004F27DF"/>
    <w:rsid w:val="004F53BA"/>
    <w:rsid w:val="004F5846"/>
    <w:rsid w:val="004F58AC"/>
    <w:rsid w:val="004F611B"/>
    <w:rsid w:val="004F67BC"/>
    <w:rsid w:val="00500BA7"/>
    <w:rsid w:val="00500FE5"/>
    <w:rsid w:val="00502DAA"/>
    <w:rsid w:val="0050308C"/>
    <w:rsid w:val="00512EC9"/>
    <w:rsid w:val="0052035D"/>
    <w:rsid w:val="00521C8B"/>
    <w:rsid w:val="00522B80"/>
    <w:rsid w:val="0052451C"/>
    <w:rsid w:val="005274E8"/>
    <w:rsid w:val="005275AC"/>
    <w:rsid w:val="00530C58"/>
    <w:rsid w:val="00530E18"/>
    <w:rsid w:val="005331E2"/>
    <w:rsid w:val="00541771"/>
    <w:rsid w:val="00542467"/>
    <w:rsid w:val="005438F0"/>
    <w:rsid w:val="00544060"/>
    <w:rsid w:val="0054541C"/>
    <w:rsid w:val="00545EAE"/>
    <w:rsid w:val="0054635F"/>
    <w:rsid w:val="00551DB0"/>
    <w:rsid w:val="0055260D"/>
    <w:rsid w:val="005536BE"/>
    <w:rsid w:val="00556F31"/>
    <w:rsid w:val="00561EE4"/>
    <w:rsid w:val="00563025"/>
    <w:rsid w:val="00563173"/>
    <w:rsid w:val="00564323"/>
    <w:rsid w:val="005662A9"/>
    <w:rsid w:val="005679BA"/>
    <w:rsid w:val="00567C06"/>
    <w:rsid w:val="00571877"/>
    <w:rsid w:val="0057264B"/>
    <w:rsid w:val="0057360B"/>
    <w:rsid w:val="0057389F"/>
    <w:rsid w:val="00573AA0"/>
    <w:rsid w:val="00574DA7"/>
    <w:rsid w:val="00575340"/>
    <w:rsid w:val="005762F1"/>
    <w:rsid w:val="00576519"/>
    <w:rsid w:val="00580784"/>
    <w:rsid w:val="00580C5E"/>
    <w:rsid w:val="00584666"/>
    <w:rsid w:val="00587C73"/>
    <w:rsid w:val="0059068A"/>
    <w:rsid w:val="005929EC"/>
    <w:rsid w:val="00593E2C"/>
    <w:rsid w:val="00594D4A"/>
    <w:rsid w:val="00594EFF"/>
    <w:rsid w:val="00597571"/>
    <w:rsid w:val="00597F59"/>
    <w:rsid w:val="005A3A86"/>
    <w:rsid w:val="005A58BF"/>
    <w:rsid w:val="005A58D5"/>
    <w:rsid w:val="005A7DE2"/>
    <w:rsid w:val="005B0774"/>
    <w:rsid w:val="005B0CC6"/>
    <w:rsid w:val="005B2CB6"/>
    <w:rsid w:val="005B3778"/>
    <w:rsid w:val="005B4DFF"/>
    <w:rsid w:val="005B5C4C"/>
    <w:rsid w:val="005B5DA5"/>
    <w:rsid w:val="005B6A37"/>
    <w:rsid w:val="005C08FB"/>
    <w:rsid w:val="005C63EB"/>
    <w:rsid w:val="005C6F88"/>
    <w:rsid w:val="005C7514"/>
    <w:rsid w:val="005D522D"/>
    <w:rsid w:val="005D5750"/>
    <w:rsid w:val="005D5CD2"/>
    <w:rsid w:val="005D6ABE"/>
    <w:rsid w:val="005E0B60"/>
    <w:rsid w:val="005E0C1B"/>
    <w:rsid w:val="005E2CBE"/>
    <w:rsid w:val="005E2CD5"/>
    <w:rsid w:val="005E33D2"/>
    <w:rsid w:val="005E58DE"/>
    <w:rsid w:val="005E5B14"/>
    <w:rsid w:val="005E5DC3"/>
    <w:rsid w:val="005E5EF6"/>
    <w:rsid w:val="005E7117"/>
    <w:rsid w:val="005E7B91"/>
    <w:rsid w:val="005F34DD"/>
    <w:rsid w:val="005F464D"/>
    <w:rsid w:val="005F51E5"/>
    <w:rsid w:val="006000EE"/>
    <w:rsid w:val="006003A8"/>
    <w:rsid w:val="006003F6"/>
    <w:rsid w:val="00601802"/>
    <w:rsid w:val="00602D61"/>
    <w:rsid w:val="00603A56"/>
    <w:rsid w:val="006059FF"/>
    <w:rsid w:val="00607539"/>
    <w:rsid w:val="00615322"/>
    <w:rsid w:val="00617DFB"/>
    <w:rsid w:val="00621201"/>
    <w:rsid w:val="00621688"/>
    <w:rsid w:val="006223D8"/>
    <w:rsid w:val="00623A1C"/>
    <w:rsid w:val="00624FBA"/>
    <w:rsid w:val="00632012"/>
    <w:rsid w:val="00637568"/>
    <w:rsid w:val="006432FF"/>
    <w:rsid w:val="00644BAC"/>
    <w:rsid w:val="00645138"/>
    <w:rsid w:val="006452D8"/>
    <w:rsid w:val="00645708"/>
    <w:rsid w:val="00646832"/>
    <w:rsid w:val="006468C5"/>
    <w:rsid w:val="00647AB5"/>
    <w:rsid w:val="006518FF"/>
    <w:rsid w:val="006531B5"/>
    <w:rsid w:val="006538C5"/>
    <w:rsid w:val="006557EA"/>
    <w:rsid w:val="00657B32"/>
    <w:rsid w:val="00661A6C"/>
    <w:rsid w:val="006642C9"/>
    <w:rsid w:val="006647B3"/>
    <w:rsid w:val="00665612"/>
    <w:rsid w:val="00666F53"/>
    <w:rsid w:val="00667BD7"/>
    <w:rsid w:val="00670A13"/>
    <w:rsid w:val="006749AB"/>
    <w:rsid w:val="00675B59"/>
    <w:rsid w:val="006769E3"/>
    <w:rsid w:val="00681388"/>
    <w:rsid w:val="00681EF4"/>
    <w:rsid w:val="00682557"/>
    <w:rsid w:val="0068286C"/>
    <w:rsid w:val="00683665"/>
    <w:rsid w:val="006839D7"/>
    <w:rsid w:val="00683E8B"/>
    <w:rsid w:val="0068405C"/>
    <w:rsid w:val="00684D8A"/>
    <w:rsid w:val="00685A53"/>
    <w:rsid w:val="00685B74"/>
    <w:rsid w:val="0068749B"/>
    <w:rsid w:val="0068789A"/>
    <w:rsid w:val="00687D2B"/>
    <w:rsid w:val="00690D23"/>
    <w:rsid w:val="006922FD"/>
    <w:rsid w:val="00694F2E"/>
    <w:rsid w:val="006961D7"/>
    <w:rsid w:val="00696E47"/>
    <w:rsid w:val="006A0B94"/>
    <w:rsid w:val="006A201F"/>
    <w:rsid w:val="006A3022"/>
    <w:rsid w:val="006A348B"/>
    <w:rsid w:val="006A3C0E"/>
    <w:rsid w:val="006A7F85"/>
    <w:rsid w:val="006B0C1F"/>
    <w:rsid w:val="006B205F"/>
    <w:rsid w:val="006B4F15"/>
    <w:rsid w:val="006B5D46"/>
    <w:rsid w:val="006C0835"/>
    <w:rsid w:val="006C150D"/>
    <w:rsid w:val="006C302E"/>
    <w:rsid w:val="006C32DF"/>
    <w:rsid w:val="006C4911"/>
    <w:rsid w:val="006C66D8"/>
    <w:rsid w:val="006D432D"/>
    <w:rsid w:val="006E18BE"/>
    <w:rsid w:val="006E2067"/>
    <w:rsid w:val="006E23A7"/>
    <w:rsid w:val="006E4235"/>
    <w:rsid w:val="006E594B"/>
    <w:rsid w:val="006E6A3B"/>
    <w:rsid w:val="006E77F9"/>
    <w:rsid w:val="006F0C77"/>
    <w:rsid w:val="006F11DE"/>
    <w:rsid w:val="006F12E0"/>
    <w:rsid w:val="006F1D42"/>
    <w:rsid w:val="006F2167"/>
    <w:rsid w:val="006F228B"/>
    <w:rsid w:val="006F4235"/>
    <w:rsid w:val="006F4DFE"/>
    <w:rsid w:val="006F6CCA"/>
    <w:rsid w:val="006F70AD"/>
    <w:rsid w:val="007016E4"/>
    <w:rsid w:val="00701DC4"/>
    <w:rsid w:val="007058ED"/>
    <w:rsid w:val="007062C3"/>
    <w:rsid w:val="00706928"/>
    <w:rsid w:val="007073A1"/>
    <w:rsid w:val="007078B8"/>
    <w:rsid w:val="00711405"/>
    <w:rsid w:val="007118FC"/>
    <w:rsid w:val="00715F47"/>
    <w:rsid w:val="00715F92"/>
    <w:rsid w:val="007172A8"/>
    <w:rsid w:val="00717E8F"/>
    <w:rsid w:val="007206ED"/>
    <w:rsid w:val="00721086"/>
    <w:rsid w:val="00723D28"/>
    <w:rsid w:val="0072546F"/>
    <w:rsid w:val="00725D69"/>
    <w:rsid w:val="00730E00"/>
    <w:rsid w:val="00731CAE"/>
    <w:rsid w:val="00732752"/>
    <w:rsid w:val="00732774"/>
    <w:rsid w:val="00734872"/>
    <w:rsid w:val="00734A81"/>
    <w:rsid w:val="0073750F"/>
    <w:rsid w:val="00740CEE"/>
    <w:rsid w:val="00741B02"/>
    <w:rsid w:val="00742563"/>
    <w:rsid w:val="00743778"/>
    <w:rsid w:val="00743AEC"/>
    <w:rsid w:val="0074476B"/>
    <w:rsid w:val="007451BF"/>
    <w:rsid w:val="00745653"/>
    <w:rsid w:val="00745BAB"/>
    <w:rsid w:val="007512F1"/>
    <w:rsid w:val="00751441"/>
    <w:rsid w:val="007522C5"/>
    <w:rsid w:val="007528A2"/>
    <w:rsid w:val="00756210"/>
    <w:rsid w:val="0075641C"/>
    <w:rsid w:val="00756C52"/>
    <w:rsid w:val="00757B5D"/>
    <w:rsid w:val="00762142"/>
    <w:rsid w:val="007628F6"/>
    <w:rsid w:val="00762C0F"/>
    <w:rsid w:val="00764012"/>
    <w:rsid w:val="007664B7"/>
    <w:rsid w:val="0076687A"/>
    <w:rsid w:val="00766B6D"/>
    <w:rsid w:val="007672EE"/>
    <w:rsid w:val="00771ED4"/>
    <w:rsid w:val="00772898"/>
    <w:rsid w:val="007749F9"/>
    <w:rsid w:val="007757BB"/>
    <w:rsid w:val="0077665F"/>
    <w:rsid w:val="00781BD9"/>
    <w:rsid w:val="00783627"/>
    <w:rsid w:val="00783CA4"/>
    <w:rsid w:val="0078400F"/>
    <w:rsid w:val="0078464D"/>
    <w:rsid w:val="0078464E"/>
    <w:rsid w:val="007864D1"/>
    <w:rsid w:val="007875DA"/>
    <w:rsid w:val="007875EC"/>
    <w:rsid w:val="007877F8"/>
    <w:rsid w:val="007925E1"/>
    <w:rsid w:val="007939F5"/>
    <w:rsid w:val="00793BC9"/>
    <w:rsid w:val="00794169"/>
    <w:rsid w:val="00797E7E"/>
    <w:rsid w:val="007A12BB"/>
    <w:rsid w:val="007A3B66"/>
    <w:rsid w:val="007A5A08"/>
    <w:rsid w:val="007B0633"/>
    <w:rsid w:val="007B157A"/>
    <w:rsid w:val="007B2266"/>
    <w:rsid w:val="007B2452"/>
    <w:rsid w:val="007B288B"/>
    <w:rsid w:val="007B4349"/>
    <w:rsid w:val="007B4A27"/>
    <w:rsid w:val="007B5B91"/>
    <w:rsid w:val="007C0047"/>
    <w:rsid w:val="007C041B"/>
    <w:rsid w:val="007C2305"/>
    <w:rsid w:val="007C3AF1"/>
    <w:rsid w:val="007C5590"/>
    <w:rsid w:val="007C6DCE"/>
    <w:rsid w:val="007C7225"/>
    <w:rsid w:val="007C7C08"/>
    <w:rsid w:val="007D12E6"/>
    <w:rsid w:val="007D4C66"/>
    <w:rsid w:val="007D5756"/>
    <w:rsid w:val="007D6E5E"/>
    <w:rsid w:val="007D7958"/>
    <w:rsid w:val="007D7A75"/>
    <w:rsid w:val="007E0246"/>
    <w:rsid w:val="007E034E"/>
    <w:rsid w:val="007E0DDD"/>
    <w:rsid w:val="007E0EB3"/>
    <w:rsid w:val="007E1D80"/>
    <w:rsid w:val="007E29B2"/>
    <w:rsid w:val="007E2E1B"/>
    <w:rsid w:val="007E3288"/>
    <w:rsid w:val="007E383D"/>
    <w:rsid w:val="007E658A"/>
    <w:rsid w:val="007F04F1"/>
    <w:rsid w:val="007F25BC"/>
    <w:rsid w:val="007F4CD2"/>
    <w:rsid w:val="007F6289"/>
    <w:rsid w:val="007F6A8F"/>
    <w:rsid w:val="00801151"/>
    <w:rsid w:val="008020F7"/>
    <w:rsid w:val="0080480D"/>
    <w:rsid w:val="00807278"/>
    <w:rsid w:val="00811635"/>
    <w:rsid w:val="0081201F"/>
    <w:rsid w:val="00813655"/>
    <w:rsid w:val="00815577"/>
    <w:rsid w:val="00817CBE"/>
    <w:rsid w:val="00817EB9"/>
    <w:rsid w:val="008217AC"/>
    <w:rsid w:val="00822A54"/>
    <w:rsid w:val="0082330F"/>
    <w:rsid w:val="00823499"/>
    <w:rsid w:val="00823C37"/>
    <w:rsid w:val="00824D9C"/>
    <w:rsid w:val="0082527E"/>
    <w:rsid w:val="00825FF6"/>
    <w:rsid w:val="008264CA"/>
    <w:rsid w:val="00826941"/>
    <w:rsid w:val="0083078C"/>
    <w:rsid w:val="00831814"/>
    <w:rsid w:val="008325F5"/>
    <w:rsid w:val="00833080"/>
    <w:rsid w:val="008333B9"/>
    <w:rsid w:val="00833A75"/>
    <w:rsid w:val="00834A71"/>
    <w:rsid w:val="00851CC1"/>
    <w:rsid w:val="00854524"/>
    <w:rsid w:val="008550D2"/>
    <w:rsid w:val="0085534F"/>
    <w:rsid w:val="0085559E"/>
    <w:rsid w:val="0085598B"/>
    <w:rsid w:val="00856D22"/>
    <w:rsid w:val="00861A32"/>
    <w:rsid w:val="00861D5A"/>
    <w:rsid w:val="008622D1"/>
    <w:rsid w:val="00862D19"/>
    <w:rsid w:val="008631E1"/>
    <w:rsid w:val="00864BC2"/>
    <w:rsid w:val="00864F50"/>
    <w:rsid w:val="008655D7"/>
    <w:rsid w:val="00865842"/>
    <w:rsid w:val="008670EC"/>
    <w:rsid w:val="00867758"/>
    <w:rsid w:val="00870D9F"/>
    <w:rsid w:val="00871857"/>
    <w:rsid w:val="0087291E"/>
    <w:rsid w:val="00874B6C"/>
    <w:rsid w:val="00875301"/>
    <w:rsid w:val="008754AF"/>
    <w:rsid w:val="00876200"/>
    <w:rsid w:val="0088370F"/>
    <w:rsid w:val="008844C6"/>
    <w:rsid w:val="00887F00"/>
    <w:rsid w:val="0089149D"/>
    <w:rsid w:val="008916CD"/>
    <w:rsid w:val="00892176"/>
    <w:rsid w:val="0089370B"/>
    <w:rsid w:val="00893D6A"/>
    <w:rsid w:val="008944D6"/>
    <w:rsid w:val="008977C2"/>
    <w:rsid w:val="008A0920"/>
    <w:rsid w:val="008A7784"/>
    <w:rsid w:val="008A7A73"/>
    <w:rsid w:val="008B088A"/>
    <w:rsid w:val="008B0C19"/>
    <w:rsid w:val="008B17D6"/>
    <w:rsid w:val="008B280D"/>
    <w:rsid w:val="008B2BA0"/>
    <w:rsid w:val="008B395F"/>
    <w:rsid w:val="008C1441"/>
    <w:rsid w:val="008C15D7"/>
    <w:rsid w:val="008C213F"/>
    <w:rsid w:val="008C2D5C"/>
    <w:rsid w:val="008C3829"/>
    <w:rsid w:val="008C4707"/>
    <w:rsid w:val="008C4F4B"/>
    <w:rsid w:val="008C5FC0"/>
    <w:rsid w:val="008C7F9B"/>
    <w:rsid w:val="008D01EA"/>
    <w:rsid w:val="008D0573"/>
    <w:rsid w:val="008D13A2"/>
    <w:rsid w:val="008D19E1"/>
    <w:rsid w:val="008D2EF0"/>
    <w:rsid w:val="008D4894"/>
    <w:rsid w:val="008D4EF0"/>
    <w:rsid w:val="008E06F5"/>
    <w:rsid w:val="008E13AB"/>
    <w:rsid w:val="008E2A56"/>
    <w:rsid w:val="008E308F"/>
    <w:rsid w:val="008E4270"/>
    <w:rsid w:val="008E6DF3"/>
    <w:rsid w:val="008F1487"/>
    <w:rsid w:val="008F1B8F"/>
    <w:rsid w:val="008F3772"/>
    <w:rsid w:val="008F42D0"/>
    <w:rsid w:val="008F53CA"/>
    <w:rsid w:val="008F648B"/>
    <w:rsid w:val="008F6A4A"/>
    <w:rsid w:val="00900AF9"/>
    <w:rsid w:val="00901868"/>
    <w:rsid w:val="00903279"/>
    <w:rsid w:val="00904227"/>
    <w:rsid w:val="00911858"/>
    <w:rsid w:val="0091193D"/>
    <w:rsid w:val="00911CC0"/>
    <w:rsid w:val="009135FC"/>
    <w:rsid w:val="00915A9D"/>
    <w:rsid w:val="009172DD"/>
    <w:rsid w:val="0092127B"/>
    <w:rsid w:val="00921BF0"/>
    <w:rsid w:val="0092428B"/>
    <w:rsid w:val="00925B9B"/>
    <w:rsid w:val="00926076"/>
    <w:rsid w:val="00926DFF"/>
    <w:rsid w:val="009301CA"/>
    <w:rsid w:val="009305FB"/>
    <w:rsid w:val="00930B6B"/>
    <w:rsid w:val="00931107"/>
    <w:rsid w:val="00934B3C"/>
    <w:rsid w:val="00935A00"/>
    <w:rsid w:val="0093718F"/>
    <w:rsid w:val="00941212"/>
    <w:rsid w:val="009412CA"/>
    <w:rsid w:val="00943E76"/>
    <w:rsid w:val="009455D0"/>
    <w:rsid w:val="009503FB"/>
    <w:rsid w:val="00950CD2"/>
    <w:rsid w:val="00952C4A"/>
    <w:rsid w:val="00955CBC"/>
    <w:rsid w:val="00956619"/>
    <w:rsid w:val="0095705D"/>
    <w:rsid w:val="00957431"/>
    <w:rsid w:val="0096079F"/>
    <w:rsid w:val="009612C6"/>
    <w:rsid w:val="00961F74"/>
    <w:rsid w:val="00964223"/>
    <w:rsid w:val="0096644A"/>
    <w:rsid w:val="00970671"/>
    <w:rsid w:val="009775A6"/>
    <w:rsid w:val="0097762C"/>
    <w:rsid w:val="00977D08"/>
    <w:rsid w:val="0098317A"/>
    <w:rsid w:val="00984948"/>
    <w:rsid w:val="00987DFD"/>
    <w:rsid w:val="009904B1"/>
    <w:rsid w:val="00990BA7"/>
    <w:rsid w:val="00990DC3"/>
    <w:rsid w:val="00992002"/>
    <w:rsid w:val="00993B63"/>
    <w:rsid w:val="00993E36"/>
    <w:rsid w:val="00994767"/>
    <w:rsid w:val="00994CB7"/>
    <w:rsid w:val="009A2B81"/>
    <w:rsid w:val="009A60EC"/>
    <w:rsid w:val="009A654D"/>
    <w:rsid w:val="009A76D1"/>
    <w:rsid w:val="009B0F23"/>
    <w:rsid w:val="009B40D8"/>
    <w:rsid w:val="009B42EB"/>
    <w:rsid w:val="009B6DB8"/>
    <w:rsid w:val="009B74AE"/>
    <w:rsid w:val="009B7950"/>
    <w:rsid w:val="009C12F9"/>
    <w:rsid w:val="009C346F"/>
    <w:rsid w:val="009C4BE9"/>
    <w:rsid w:val="009C56E0"/>
    <w:rsid w:val="009D018A"/>
    <w:rsid w:val="009D04B1"/>
    <w:rsid w:val="009D1E79"/>
    <w:rsid w:val="009D1F39"/>
    <w:rsid w:val="009D29A0"/>
    <w:rsid w:val="009D2F16"/>
    <w:rsid w:val="009D34AD"/>
    <w:rsid w:val="009D3642"/>
    <w:rsid w:val="009D4EBC"/>
    <w:rsid w:val="009D620A"/>
    <w:rsid w:val="009D6D42"/>
    <w:rsid w:val="009E1571"/>
    <w:rsid w:val="009E17E1"/>
    <w:rsid w:val="009E38AA"/>
    <w:rsid w:val="009E3B1D"/>
    <w:rsid w:val="009E4875"/>
    <w:rsid w:val="009E5C7A"/>
    <w:rsid w:val="009E61A5"/>
    <w:rsid w:val="009E7C82"/>
    <w:rsid w:val="009F03F1"/>
    <w:rsid w:val="009F2668"/>
    <w:rsid w:val="009F3696"/>
    <w:rsid w:val="009F5329"/>
    <w:rsid w:val="009F60A8"/>
    <w:rsid w:val="009F67D8"/>
    <w:rsid w:val="00A01D86"/>
    <w:rsid w:val="00A02655"/>
    <w:rsid w:val="00A027D0"/>
    <w:rsid w:val="00A048CE"/>
    <w:rsid w:val="00A0509D"/>
    <w:rsid w:val="00A078FE"/>
    <w:rsid w:val="00A13AE4"/>
    <w:rsid w:val="00A14E99"/>
    <w:rsid w:val="00A14ECF"/>
    <w:rsid w:val="00A15ABD"/>
    <w:rsid w:val="00A175F3"/>
    <w:rsid w:val="00A1763C"/>
    <w:rsid w:val="00A20BCF"/>
    <w:rsid w:val="00A214DD"/>
    <w:rsid w:val="00A22517"/>
    <w:rsid w:val="00A229A1"/>
    <w:rsid w:val="00A23327"/>
    <w:rsid w:val="00A247E4"/>
    <w:rsid w:val="00A24F70"/>
    <w:rsid w:val="00A255EF"/>
    <w:rsid w:val="00A264DE"/>
    <w:rsid w:val="00A27543"/>
    <w:rsid w:val="00A27926"/>
    <w:rsid w:val="00A3001B"/>
    <w:rsid w:val="00A308D2"/>
    <w:rsid w:val="00A31E3D"/>
    <w:rsid w:val="00A32E3E"/>
    <w:rsid w:val="00A33AD0"/>
    <w:rsid w:val="00A34BCB"/>
    <w:rsid w:val="00A350DC"/>
    <w:rsid w:val="00A351ED"/>
    <w:rsid w:val="00A35619"/>
    <w:rsid w:val="00A365BD"/>
    <w:rsid w:val="00A375EE"/>
    <w:rsid w:val="00A4093F"/>
    <w:rsid w:val="00A42211"/>
    <w:rsid w:val="00A44493"/>
    <w:rsid w:val="00A4532E"/>
    <w:rsid w:val="00A4556A"/>
    <w:rsid w:val="00A50437"/>
    <w:rsid w:val="00A50D4E"/>
    <w:rsid w:val="00A51AF1"/>
    <w:rsid w:val="00A51F13"/>
    <w:rsid w:val="00A52EF2"/>
    <w:rsid w:val="00A54F75"/>
    <w:rsid w:val="00A55433"/>
    <w:rsid w:val="00A571B7"/>
    <w:rsid w:val="00A60E5C"/>
    <w:rsid w:val="00A63D26"/>
    <w:rsid w:val="00A651B8"/>
    <w:rsid w:val="00A65D73"/>
    <w:rsid w:val="00A66AE5"/>
    <w:rsid w:val="00A751BC"/>
    <w:rsid w:val="00A75B67"/>
    <w:rsid w:val="00A75F08"/>
    <w:rsid w:val="00A76186"/>
    <w:rsid w:val="00A81510"/>
    <w:rsid w:val="00A81AE4"/>
    <w:rsid w:val="00A8242B"/>
    <w:rsid w:val="00A82D48"/>
    <w:rsid w:val="00A835F7"/>
    <w:rsid w:val="00A84800"/>
    <w:rsid w:val="00A86030"/>
    <w:rsid w:val="00A86594"/>
    <w:rsid w:val="00A8786C"/>
    <w:rsid w:val="00A91C37"/>
    <w:rsid w:val="00A922CF"/>
    <w:rsid w:val="00A92D43"/>
    <w:rsid w:val="00A931D8"/>
    <w:rsid w:val="00A9358F"/>
    <w:rsid w:val="00A939F1"/>
    <w:rsid w:val="00A949A6"/>
    <w:rsid w:val="00A94F1F"/>
    <w:rsid w:val="00A955A4"/>
    <w:rsid w:val="00A972F9"/>
    <w:rsid w:val="00AA0451"/>
    <w:rsid w:val="00AA09E3"/>
    <w:rsid w:val="00AA2408"/>
    <w:rsid w:val="00AA29A8"/>
    <w:rsid w:val="00AA3C24"/>
    <w:rsid w:val="00AA6128"/>
    <w:rsid w:val="00AA6904"/>
    <w:rsid w:val="00AB038B"/>
    <w:rsid w:val="00AB2434"/>
    <w:rsid w:val="00AB2908"/>
    <w:rsid w:val="00AB2DAB"/>
    <w:rsid w:val="00AB3DEE"/>
    <w:rsid w:val="00AB4670"/>
    <w:rsid w:val="00AB4B0C"/>
    <w:rsid w:val="00AB4E30"/>
    <w:rsid w:val="00AB6382"/>
    <w:rsid w:val="00AB6D8B"/>
    <w:rsid w:val="00AB7337"/>
    <w:rsid w:val="00AC03FD"/>
    <w:rsid w:val="00AC070E"/>
    <w:rsid w:val="00AC1215"/>
    <w:rsid w:val="00AC4E57"/>
    <w:rsid w:val="00AD0939"/>
    <w:rsid w:val="00AD0A61"/>
    <w:rsid w:val="00AD20E3"/>
    <w:rsid w:val="00AD4833"/>
    <w:rsid w:val="00AD594D"/>
    <w:rsid w:val="00AD7BAB"/>
    <w:rsid w:val="00AE2200"/>
    <w:rsid w:val="00AE34E8"/>
    <w:rsid w:val="00AE3ABC"/>
    <w:rsid w:val="00AE41E0"/>
    <w:rsid w:val="00AE437B"/>
    <w:rsid w:val="00AE6F5D"/>
    <w:rsid w:val="00AF0BA5"/>
    <w:rsid w:val="00AF2814"/>
    <w:rsid w:val="00AF3662"/>
    <w:rsid w:val="00AF3E02"/>
    <w:rsid w:val="00AF4061"/>
    <w:rsid w:val="00AF490E"/>
    <w:rsid w:val="00AF54B8"/>
    <w:rsid w:val="00AF5E34"/>
    <w:rsid w:val="00AF6447"/>
    <w:rsid w:val="00AF76E1"/>
    <w:rsid w:val="00B04577"/>
    <w:rsid w:val="00B04D93"/>
    <w:rsid w:val="00B14BA5"/>
    <w:rsid w:val="00B15A67"/>
    <w:rsid w:val="00B1718E"/>
    <w:rsid w:val="00B17E61"/>
    <w:rsid w:val="00B200C3"/>
    <w:rsid w:val="00B21A6E"/>
    <w:rsid w:val="00B21FA2"/>
    <w:rsid w:val="00B236F5"/>
    <w:rsid w:val="00B239DD"/>
    <w:rsid w:val="00B24F04"/>
    <w:rsid w:val="00B257CC"/>
    <w:rsid w:val="00B258A8"/>
    <w:rsid w:val="00B25955"/>
    <w:rsid w:val="00B25C73"/>
    <w:rsid w:val="00B27792"/>
    <w:rsid w:val="00B331FD"/>
    <w:rsid w:val="00B34219"/>
    <w:rsid w:val="00B3606C"/>
    <w:rsid w:val="00B36429"/>
    <w:rsid w:val="00B37019"/>
    <w:rsid w:val="00B37518"/>
    <w:rsid w:val="00B376B3"/>
    <w:rsid w:val="00B404F6"/>
    <w:rsid w:val="00B40881"/>
    <w:rsid w:val="00B409CE"/>
    <w:rsid w:val="00B41AF3"/>
    <w:rsid w:val="00B41B0D"/>
    <w:rsid w:val="00B505FB"/>
    <w:rsid w:val="00B50FD0"/>
    <w:rsid w:val="00B52D7B"/>
    <w:rsid w:val="00B539C5"/>
    <w:rsid w:val="00B54421"/>
    <w:rsid w:val="00B54CD4"/>
    <w:rsid w:val="00B55370"/>
    <w:rsid w:val="00B55942"/>
    <w:rsid w:val="00B56A59"/>
    <w:rsid w:val="00B56E48"/>
    <w:rsid w:val="00B606B3"/>
    <w:rsid w:val="00B6158A"/>
    <w:rsid w:val="00B64299"/>
    <w:rsid w:val="00B64595"/>
    <w:rsid w:val="00B64EC1"/>
    <w:rsid w:val="00B6683C"/>
    <w:rsid w:val="00B67189"/>
    <w:rsid w:val="00B71518"/>
    <w:rsid w:val="00B71EB5"/>
    <w:rsid w:val="00B7245D"/>
    <w:rsid w:val="00B76612"/>
    <w:rsid w:val="00B80E7E"/>
    <w:rsid w:val="00B82957"/>
    <w:rsid w:val="00B83139"/>
    <w:rsid w:val="00B838DD"/>
    <w:rsid w:val="00B83D25"/>
    <w:rsid w:val="00B83E71"/>
    <w:rsid w:val="00B83EE7"/>
    <w:rsid w:val="00B84494"/>
    <w:rsid w:val="00B84C3B"/>
    <w:rsid w:val="00B8535D"/>
    <w:rsid w:val="00B86C25"/>
    <w:rsid w:val="00B87AD6"/>
    <w:rsid w:val="00B93165"/>
    <w:rsid w:val="00B94A34"/>
    <w:rsid w:val="00BA415A"/>
    <w:rsid w:val="00BA461D"/>
    <w:rsid w:val="00BA48EF"/>
    <w:rsid w:val="00BA4A72"/>
    <w:rsid w:val="00BA51CE"/>
    <w:rsid w:val="00BA7914"/>
    <w:rsid w:val="00BB050F"/>
    <w:rsid w:val="00BB0E26"/>
    <w:rsid w:val="00BB14FE"/>
    <w:rsid w:val="00BB1613"/>
    <w:rsid w:val="00BB350B"/>
    <w:rsid w:val="00BB4AC7"/>
    <w:rsid w:val="00BB5E4F"/>
    <w:rsid w:val="00BB5EA5"/>
    <w:rsid w:val="00BB5EFE"/>
    <w:rsid w:val="00BB6659"/>
    <w:rsid w:val="00BB7D6F"/>
    <w:rsid w:val="00BC0F33"/>
    <w:rsid w:val="00BC17CE"/>
    <w:rsid w:val="00BC280A"/>
    <w:rsid w:val="00BC34CD"/>
    <w:rsid w:val="00BC45BF"/>
    <w:rsid w:val="00BC47A2"/>
    <w:rsid w:val="00BC753D"/>
    <w:rsid w:val="00BC7DA3"/>
    <w:rsid w:val="00BD106F"/>
    <w:rsid w:val="00BD23BD"/>
    <w:rsid w:val="00BD334B"/>
    <w:rsid w:val="00BD38EF"/>
    <w:rsid w:val="00BD43ED"/>
    <w:rsid w:val="00BD4CB5"/>
    <w:rsid w:val="00BD4E2F"/>
    <w:rsid w:val="00BD53A0"/>
    <w:rsid w:val="00BD5EFA"/>
    <w:rsid w:val="00BD7A39"/>
    <w:rsid w:val="00BF0A3E"/>
    <w:rsid w:val="00BF301F"/>
    <w:rsid w:val="00BF3154"/>
    <w:rsid w:val="00BF76CB"/>
    <w:rsid w:val="00C00945"/>
    <w:rsid w:val="00C0289D"/>
    <w:rsid w:val="00C03221"/>
    <w:rsid w:val="00C05860"/>
    <w:rsid w:val="00C05BAF"/>
    <w:rsid w:val="00C067F7"/>
    <w:rsid w:val="00C07A5E"/>
    <w:rsid w:val="00C1278F"/>
    <w:rsid w:val="00C1725B"/>
    <w:rsid w:val="00C210FB"/>
    <w:rsid w:val="00C22AEA"/>
    <w:rsid w:val="00C231ED"/>
    <w:rsid w:val="00C23B27"/>
    <w:rsid w:val="00C23B9C"/>
    <w:rsid w:val="00C250E6"/>
    <w:rsid w:val="00C2578E"/>
    <w:rsid w:val="00C2599C"/>
    <w:rsid w:val="00C268AB"/>
    <w:rsid w:val="00C26E4E"/>
    <w:rsid w:val="00C26E7E"/>
    <w:rsid w:val="00C27438"/>
    <w:rsid w:val="00C32007"/>
    <w:rsid w:val="00C32018"/>
    <w:rsid w:val="00C33A78"/>
    <w:rsid w:val="00C346A1"/>
    <w:rsid w:val="00C34D03"/>
    <w:rsid w:val="00C34DB2"/>
    <w:rsid w:val="00C35038"/>
    <w:rsid w:val="00C35296"/>
    <w:rsid w:val="00C373D7"/>
    <w:rsid w:val="00C375FF"/>
    <w:rsid w:val="00C37605"/>
    <w:rsid w:val="00C37892"/>
    <w:rsid w:val="00C4064B"/>
    <w:rsid w:val="00C40EA2"/>
    <w:rsid w:val="00C41392"/>
    <w:rsid w:val="00C41C10"/>
    <w:rsid w:val="00C45985"/>
    <w:rsid w:val="00C46A8A"/>
    <w:rsid w:val="00C47375"/>
    <w:rsid w:val="00C4767B"/>
    <w:rsid w:val="00C5211A"/>
    <w:rsid w:val="00C52EC9"/>
    <w:rsid w:val="00C5509B"/>
    <w:rsid w:val="00C55A3E"/>
    <w:rsid w:val="00C55F43"/>
    <w:rsid w:val="00C575E0"/>
    <w:rsid w:val="00C61004"/>
    <w:rsid w:val="00C613EC"/>
    <w:rsid w:val="00C62B4C"/>
    <w:rsid w:val="00C62C4D"/>
    <w:rsid w:val="00C62E7C"/>
    <w:rsid w:val="00C65C84"/>
    <w:rsid w:val="00C67290"/>
    <w:rsid w:val="00C67D6F"/>
    <w:rsid w:val="00C7187E"/>
    <w:rsid w:val="00C71BB8"/>
    <w:rsid w:val="00C73E0A"/>
    <w:rsid w:val="00C74DBD"/>
    <w:rsid w:val="00C75037"/>
    <w:rsid w:val="00C80E6D"/>
    <w:rsid w:val="00C81894"/>
    <w:rsid w:val="00C828D4"/>
    <w:rsid w:val="00C82AB1"/>
    <w:rsid w:val="00C83041"/>
    <w:rsid w:val="00C849F9"/>
    <w:rsid w:val="00C876E9"/>
    <w:rsid w:val="00C90BE1"/>
    <w:rsid w:val="00C91AB1"/>
    <w:rsid w:val="00C91ACA"/>
    <w:rsid w:val="00C91B85"/>
    <w:rsid w:val="00C91FC7"/>
    <w:rsid w:val="00C92136"/>
    <w:rsid w:val="00C92EE8"/>
    <w:rsid w:val="00C933C9"/>
    <w:rsid w:val="00C933CB"/>
    <w:rsid w:val="00C93A52"/>
    <w:rsid w:val="00C947F4"/>
    <w:rsid w:val="00C9565E"/>
    <w:rsid w:val="00C957B7"/>
    <w:rsid w:val="00C97FFB"/>
    <w:rsid w:val="00CA1CFB"/>
    <w:rsid w:val="00CA3E3F"/>
    <w:rsid w:val="00CA4B1E"/>
    <w:rsid w:val="00CA5459"/>
    <w:rsid w:val="00CA5769"/>
    <w:rsid w:val="00CA5D28"/>
    <w:rsid w:val="00CB3561"/>
    <w:rsid w:val="00CB37DB"/>
    <w:rsid w:val="00CB48BC"/>
    <w:rsid w:val="00CB4E3B"/>
    <w:rsid w:val="00CB6B49"/>
    <w:rsid w:val="00CC07EC"/>
    <w:rsid w:val="00CC20F8"/>
    <w:rsid w:val="00CC2832"/>
    <w:rsid w:val="00CC3A2B"/>
    <w:rsid w:val="00CC65C0"/>
    <w:rsid w:val="00CC6B50"/>
    <w:rsid w:val="00CD0A97"/>
    <w:rsid w:val="00CD29E5"/>
    <w:rsid w:val="00CD5739"/>
    <w:rsid w:val="00CD5AAA"/>
    <w:rsid w:val="00CD6322"/>
    <w:rsid w:val="00CD6E9A"/>
    <w:rsid w:val="00CD7E03"/>
    <w:rsid w:val="00CE1022"/>
    <w:rsid w:val="00CE2C30"/>
    <w:rsid w:val="00CE42F2"/>
    <w:rsid w:val="00CE6171"/>
    <w:rsid w:val="00CE647E"/>
    <w:rsid w:val="00CE76CC"/>
    <w:rsid w:val="00CF4079"/>
    <w:rsid w:val="00CF5B8F"/>
    <w:rsid w:val="00CF721B"/>
    <w:rsid w:val="00D00416"/>
    <w:rsid w:val="00D007B4"/>
    <w:rsid w:val="00D02F50"/>
    <w:rsid w:val="00D05778"/>
    <w:rsid w:val="00D05D57"/>
    <w:rsid w:val="00D06A58"/>
    <w:rsid w:val="00D06EB2"/>
    <w:rsid w:val="00D100A6"/>
    <w:rsid w:val="00D11C74"/>
    <w:rsid w:val="00D139F3"/>
    <w:rsid w:val="00D14C41"/>
    <w:rsid w:val="00D14C5C"/>
    <w:rsid w:val="00D15302"/>
    <w:rsid w:val="00D15B80"/>
    <w:rsid w:val="00D1624D"/>
    <w:rsid w:val="00D22A74"/>
    <w:rsid w:val="00D233FD"/>
    <w:rsid w:val="00D240CE"/>
    <w:rsid w:val="00D24CFA"/>
    <w:rsid w:val="00D24EFE"/>
    <w:rsid w:val="00D3199D"/>
    <w:rsid w:val="00D31D69"/>
    <w:rsid w:val="00D32E37"/>
    <w:rsid w:val="00D337CB"/>
    <w:rsid w:val="00D3497F"/>
    <w:rsid w:val="00D36976"/>
    <w:rsid w:val="00D37F4F"/>
    <w:rsid w:val="00D42500"/>
    <w:rsid w:val="00D42AB4"/>
    <w:rsid w:val="00D46D53"/>
    <w:rsid w:val="00D52C68"/>
    <w:rsid w:val="00D576EA"/>
    <w:rsid w:val="00D5797D"/>
    <w:rsid w:val="00D57ABD"/>
    <w:rsid w:val="00D60366"/>
    <w:rsid w:val="00D62213"/>
    <w:rsid w:val="00D669F7"/>
    <w:rsid w:val="00D67982"/>
    <w:rsid w:val="00D71173"/>
    <w:rsid w:val="00D72780"/>
    <w:rsid w:val="00D75B55"/>
    <w:rsid w:val="00D770BE"/>
    <w:rsid w:val="00D801A9"/>
    <w:rsid w:val="00D80C27"/>
    <w:rsid w:val="00D832BF"/>
    <w:rsid w:val="00D84C20"/>
    <w:rsid w:val="00D84DC2"/>
    <w:rsid w:val="00D85AAF"/>
    <w:rsid w:val="00D8784D"/>
    <w:rsid w:val="00D87E40"/>
    <w:rsid w:val="00D9033E"/>
    <w:rsid w:val="00D924EA"/>
    <w:rsid w:val="00D929F1"/>
    <w:rsid w:val="00D939E7"/>
    <w:rsid w:val="00D93C37"/>
    <w:rsid w:val="00D93F55"/>
    <w:rsid w:val="00D954D7"/>
    <w:rsid w:val="00D957FD"/>
    <w:rsid w:val="00D97540"/>
    <w:rsid w:val="00DA0892"/>
    <w:rsid w:val="00DA0C9D"/>
    <w:rsid w:val="00DA3213"/>
    <w:rsid w:val="00DA4E0C"/>
    <w:rsid w:val="00DA5917"/>
    <w:rsid w:val="00DB084B"/>
    <w:rsid w:val="00DB1256"/>
    <w:rsid w:val="00DB1396"/>
    <w:rsid w:val="00DB1FE7"/>
    <w:rsid w:val="00DB4BDE"/>
    <w:rsid w:val="00DB4DC9"/>
    <w:rsid w:val="00DB5380"/>
    <w:rsid w:val="00DB5EE7"/>
    <w:rsid w:val="00DB7CB2"/>
    <w:rsid w:val="00DC2996"/>
    <w:rsid w:val="00DC4443"/>
    <w:rsid w:val="00DC4925"/>
    <w:rsid w:val="00DC57C5"/>
    <w:rsid w:val="00DC63BE"/>
    <w:rsid w:val="00DC748A"/>
    <w:rsid w:val="00DC7B29"/>
    <w:rsid w:val="00DD073D"/>
    <w:rsid w:val="00DD1831"/>
    <w:rsid w:val="00DD2162"/>
    <w:rsid w:val="00DD2CEB"/>
    <w:rsid w:val="00DD795E"/>
    <w:rsid w:val="00DE0256"/>
    <w:rsid w:val="00DE1DC3"/>
    <w:rsid w:val="00DE27C9"/>
    <w:rsid w:val="00DE4074"/>
    <w:rsid w:val="00DE7B33"/>
    <w:rsid w:val="00DF0219"/>
    <w:rsid w:val="00DF14D1"/>
    <w:rsid w:val="00DF1F68"/>
    <w:rsid w:val="00DF2747"/>
    <w:rsid w:val="00DF2E1E"/>
    <w:rsid w:val="00DF5442"/>
    <w:rsid w:val="00DF5F2F"/>
    <w:rsid w:val="00DF5FA2"/>
    <w:rsid w:val="00DF6315"/>
    <w:rsid w:val="00DF64C9"/>
    <w:rsid w:val="00DF7EF8"/>
    <w:rsid w:val="00E01332"/>
    <w:rsid w:val="00E0226B"/>
    <w:rsid w:val="00E02A80"/>
    <w:rsid w:val="00E03ED1"/>
    <w:rsid w:val="00E04B51"/>
    <w:rsid w:val="00E04E15"/>
    <w:rsid w:val="00E05690"/>
    <w:rsid w:val="00E07B28"/>
    <w:rsid w:val="00E07CF4"/>
    <w:rsid w:val="00E12750"/>
    <w:rsid w:val="00E15C35"/>
    <w:rsid w:val="00E20DE6"/>
    <w:rsid w:val="00E21184"/>
    <w:rsid w:val="00E220AB"/>
    <w:rsid w:val="00E232F5"/>
    <w:rsid w:val="00E24440"/>
    <w:rsid w:val="00E25D34"/>
    <w:rsid w:val="00E25F39"/>
    <w:rsid w:val="00E26BE6"/>
    <w:rsid w:val="00E30090"/>
    <w:rsid w:val="00E3156C"/>
    <w:rsid w:val="00E315F0"/>
    <w:rsid w:val="00E37891"/>
    <w:rsid w:val="00E4575E"/>
    <w:rsid w:val="00E4653F"/>
    <w:rsid w:val="00E469E5"/>
    <w:rsid w:val="00E500B1"/>
    <w:rsid w:val="00E52A2E"/>
    <w:rsid w:val="00E53330"/>
    <w:rsid w:val="00E555CF"/>
    <w:rsid w:val="00E55DC9"/>
    <w:rsid w:val="00E614D8"/>
    <w:rsid w:val="00E62EE6"/>
    <w:rsid w:val="00E65801"/>
    <w:rsid w:val="00E66215"/>
    <w:rsid w:val="00E66735"/>
    <w:rsid w:val="00E67A79"/>
    <w:rsid w:val="00E67C89"/>
    <w:rsid w:val="00E7016E"/>
    <w:rsid w:val="00E70554"/>
    <w:rsid w:val="00E70B1D"/>
    <w:rsid w:val="00E70D96"/>
    <w:rsid w:val="00E77581"/>
    <w:rsid w:val="00E8043B"/>
    <w:rsid w:val="00E8193C"/>
    <w:rsid w:val="00E82500"/>
    <w:rsid w:val="00E835A8"/>
    <w:rsid w:val="00E84434"/>
    <w:rsid w:val="00E855B0"/>
    <w:rsid w:val="00E868AD"/>
    <w:rsid w:val="00E86A56"/>
    <w:rsid w:val="00E86AD0"/>
    <w:rsid w:val="00E87B33"/>
    <w:rsid w:val="00E87D74"/>
    <w:rsid w:val="00E9263E"/>
    <w:rsid w:val="00E92736"/>
    <w:rsid w:val="00E92C4D"/>
    <w:rsid w:val="00E948A6"/>
    <w:rsid w:val="00E95183"/>
    <w:rsid w:val="00E968AB"/>
    <w:rsid w:val="00E97639"/>
    <w:rsid w:val="00E97DEA"/>
    <w:rsid w:val="00EA0266"/>
    <w:rsid w:val="00EA0FFA"/>
    <w:rsid w:val="00EA21F5"/>
    <w:rsid w:val="00EA2687"/>
    <w:rsid w:val="00EA5575"/>
    <w:rsid w:val="00EB0B7F"/>
    <w:rsid w:val="00EB2262"/>
    <w:rsid w:val="00EB2762"/>
    <w:rsid w:val="00EB38D5"/>
    <w:rsid w:val="00EB3A15"/>
    <w:rsid w:val="00EB4E0E"/>
    <w:rsid w:val="00EB543C"/>
    <w:rsid w:val="00EB780D"/>
    <w:rsid w:val="00EC137C"/>
    <w:rsid w:val="00EC5263"/>
    <w:rsid w:val="00ED2380"/>
    <w:rsid w:val="00ED2ABD"/>
    <w:rsid w:val="00ED4A3D"/>
    <w:rsid w:val="00ED6340"/>
    <w:rsid w:val="00ED6DA8"/>
    <w:rsid w:val="00EE11CC"/>
    <w:rsid w:val="00EE144C"/>
    <w:rsid w:val="00EE1CBF"/>
    <w:rsid w:val="00EE1D12"/>
    <w:rsid w:val="00EE1D3B"/>
    <w:rsid w:val="00EE2330"/>
    <w:rsid w:val="00EE5E62"/>
    <w:rsid w:val="00EE661E"/>
    <w:rsid w:val="00EE7336"/>
    <w:rsid w:val="00EE7454"/>
    <w:rsid w:val="00EF0D34"/>
    <w:rsid w:val="00EF124D"/>
    <w:rsid w:val="00EF190E"/>
    <w:rsid w:val="00EF3685"/>
    <w:rsid w:val="00EF3BE5"/>
    <w:rsid w:val="00EF425C"/>
    <w:rsid w:val="00EF52BD"/>
    <w:rsid w:val="00EF5CB4"/>
    <w:rsid w:val="00EF749F"/>
    <w:rsid w:val="00EF770C"/>
    <w:rsid w:val="00EF7FF3"/>
    <w:rsid w:val="00F01B51"/>
    <w:rsid w:val="00F021C1"/>
    <w:rsid w:val="00F04841"/>
    <w:rsid w:val="00F06873"/>
    <w:rsid w:val="00F07388"/>
    <w:rsid w:val="00F0792E"/>
    <w:rsid w:val="00F1186F"/>
    <w:rsid w:val="00F137BD"/>
    <w:rsid w:val="00F15CAD"/>
    <w:rsid w:val="00F176F8"/>
    <w:rsid w:val="00F17B9C"/>
    <w:rsid w:val="00F20AD1"/>
    <w:rsid w:val="00F235DF"/>
    <w:rsid w:val="00F248A9"/>
    <w:rsid w:val="00F24C32"/>
    <w:rsid w:val="00F27B71"/>
    <w:rsid w:val="00F31210"/>
    <w:rsid w:val="00F32BB1"/>
    <w:rsid w:val="00F33ACC"/>
    <w:rsid w:val="00F359A5"/>
    <w:rsid w:val="00F42C7B"/>
    <w:rsid w:val="00F441B6"/>
    <w:rsid w:val="00F463D3"/>
    <w:rsid w:val="00F511EC"/>
    <w:rsid w:val="00F51829"/>
    <w:rsid w:val="00F546D8"/>
    <w:rsid w:val="00F56B1E"/>
    <w:rsid w:val="00F56C15"/>
    <w:rsid w:val="00F600A3"/>
    <w:rsid w:val="00F60BFD"/>
    <w:rsid w:val="00F61559"/>
    <w:rsid w:val="00F61E2F"/>
    <w:rsid w:val="00F6339F"/>
    <w:rsid w:val="00F6362B"/>
    <w:rsid w:val="00F70A8C"/>
    <w:rsid w:val="00F70B1D"/>
    <w:rsid w:val="00F71E7C"/>
    <w:rsid w:val="00F7267F"/>
    <w:rsid w:val="00F73D1B"/>
    <w:rsid w:val="00F75460"/>
    <w:rsid w:val="00F75EA1"/>
    <w:rsid w:val="00F76D54"/>
    <w:rsid w:val="00F774C1"/>
    <w:rsid w:val="00F812AA"/>
    <w:rsid w:val="00F818CA"/>
    <w:rsid w:val="00F83546"/>
    <w:rsid w:val="00F848C3"/>
    <w:rsid w:val="00F84A6F"/>
    <w:rsid w:val="00F87B0D"/>
    <w:rsid w:val="00F90A79"/>
    <w:rsid w:val="00F920C2"/>
    <w:rsid w:val="00F9489F"/>
    <w:rsid w:val="00F97AC2"/>
    <w:rsid w:val="00FA078E"/>
    <w:rsid w:val="00FA11FF"/>
    <w:rsid w:val="00FA16C6"/>
    <w:rsid w:val="00FA17A1"/>
    <w:rsid w:val="00FA508E"/>
    <w:rsid w:val="00FA74F8"/>
    <w:rsid w:val="00FB04D6"/>
    <w:rsid w:val="00FB1D27"/>
    <w:rsid w:val="00FB3919"/>
    <w:rsid w:val="00FB5A15"/>
    <w:rsid w:val="00FB6F86"/>
    <w:rsid w:val="00FC0100"/>
    <w:rsid w:val="00FC3DB7"/>
    <w:rsid w:val="00FC3E89"/>
    <w:rsid w:val="00FC43ED"/>
    <w:rsid w:val="00FC47B7"/>
    <w:rsid w:val="00FC496A"/>
    <w:rsid w:val="00FD030A"/>
    <w:rsid w:val="00FD1540"/>
    <w:rsid w:val="00FD46BE"/>
    <w:rsid w:val="00FD6569"/>
    <w:rsid w:val="00FD7E44"/>
    <w:rsid w:val="00FE0E6F"/>
    <w:rsid w:val="00FE1E7E"/>
    <w:rsid w:val="00FE3458"/>
    <w:rsid w:val="00FE4D29"/>
    <w:rsid w:val="00FE69E0"/>
    <w:rsid w:val="00FF22EA"/>
    <w:rsid w:val="00FF2C8D"/>
    <w:rsid w:val="00FF2ED4"/>
    <w:rsid w:val="00FF4CF5"/>
    <w:rsid w:val="00FF4E4C"/>
    <w:rsid w:val="00FF5254"/>
    <w:rsid w:val="00FF6AE5"/>
    <w:rsid w:val="00FF6EC8"/>
    <w:rsid w:val="010351AA"/>
    <w:rsid w:val="01E70628"/>
    <w:rsid w:val="02985DC6"/>
    <w:rsid w:val="02BF56BE"/>
    <w:rsid w:val="03344CE7"/>
    <w:rsid w:val="03800CB0"/>
    <w:rsid w:val="03C3224E"/>
    <w:rsid w:val="03CA6453"/>
    <w:rsid w:val="040A4197"/>
    <w:rsid w:val="041E22FB"/>
    <w:rsid w:val="045301F6"/>
    <w:rsid w:val="0467106F"/>
    <w:rsid w:val="04786083"/>
    <w:rsid w:val="047D5273"/>
    <w:rsid w:val="057910C1"/>
    <w:rsid w:val="060D29BD"/>
    <w:rsid w:val="063A5D18"/>
    <w:rsid w:val="064D5C09"/>
    <w:rsid w:val="064E6EC7"/>
    <w:rsid w:val="0659586C"/>
    <w:rsid w:val="06A50AB1"/>
    <w:rsid w:val="07634BF4"/>
    <w:rsid w:val="085D1644"/>
    <w:rsid w:val="086159A4"/>
    <w:rsid w:val="08843074"/>
    <w:rsid w:val="0919027A"/>
    <w:rsid w:val="09240824"/>
    <w:rsid w:val="096B7447"/>
    <w:rsid w:val="0AFF4C34"/>
    <w:rsid w:val="0BCE4BD3"/>
    <w:rsid w:val="0C222045"/>
    <w:rsid w:val="0C555D95"/>
    <w:rsid w:val="0C580AA0"/>
    <w:rsid w:val="0C5F7A21"/>
    <w:rsid w:val="0C8A62FF"/>
    <w:rsid w:val="0C9D1C1A"/>
    <w:rsid w:val="0CAB03D8"/>
    <w:rsid w:val="0D3C541D"/>
    <w:rsid w:val="0D4A5F0F"/>
    <w:rsid w:val="0DB75180"/>
    <w:rsid w:val="0DE40111"/>
    <w:rsid w:val="0EB45D35"/>
    <w:rsid w:val="0EEE063B"/>
    <w:rsid w:val="0F0E30E7"/>
    <w:rsid w:val="0F6E4136"/>
    <w:rsid w:val="0F906D03"/>
    <w:rsid w:val="0FAE2AD7"/>
    <w:rsid w:val="0FEC5C23"/>
    <w:rsid w:val="100B53B2"/>
    <w:rsid w:val="10233173"/>
    <w:rsid w:val="109C4CD3"/>
    <w:rsid w:val="10BB33AB"/>
    <w:rsid w:val="10FC5772"/>
    <w:rsid w:val="110D0DE3"/>
    <w:rsid w:val="11A007F3"/>
    <w:rsid w:val="11A16A45"/>
    <w:rsid w:val="11FD2592"/>
    <w:rsid w:val="123246FD"/>
    <w:rsid w:val="12702845"/>
    <w:rsid w:val="12802CFC"/>
    <w:rsid w:val="12A85BB1"/>
    <w:rsid w:val="12CD386A"/>
    <w:rsid w:val="12FA570C"/>
    <w:rsid w:val="131878A5"/>
    <w:rsid w:val="13386F35"/>
    <w:rsid w:val="135057F8"/>
    <w:rsid w:val="1356560D"/>
    <w:rsid w:val="13964088"/>
    <w:rsid w:val="13C84D40"/>
    <w:rsid w:val="14215C1B"/>
    <w:rsid w:val="14221993"/>
    <w:rsid w:val="14320636"/>
    <w:rsid w:val="14EE674F"/>
    <w:rsid w:val="15051099"/>
    <w:rsid w:val="15060A2E"/>
    <w:rsid w:val="150C5850"/>
    <w:rsid w:val="159D7523"/>
    <w:rsid w:val="15B8435D"/>
    <w:rsid w:val="16092E0B"/>
    <w:rsid w:val="16A21031"/>
    <w:rsid w:val="16DF7EB2"/>
    <w:rsid w:val="16E11692"/>
    <w:rsid w:val="170830C2"/>
    <w:rsid w:val="175206E2"/>
    <w:rsid w:val="17D04DF5"/>
    <w:rsid w:val="17F77378"/>
    <w:rsid w:val="19B67387"/>
    <w:rsid w:val="1A093CB5"/>
    <w:rsid w:val="1A1B310D"/>
    <w:rsid w:val="1A4D4035"/>
    <w:rsid w:val="1A58610F"/>
    <w:rsid w:val="1A6933E9"/>
    <w:rsid w:val="1A6D15F9"/>
    <w:rsid w:val="1AE87493"/>
    <w:rsid w:val="1B9133C8"/>
    <w:rsid w:val="1C085913"/>
    <w:rsid w:val="1C4306F9"/>
    <w:rsid w:val="1C6C1521"/>
    <w:rsid w:val="1CAD0994"/>
    <w:rsid w:val="1CDD579F"/>
    <w:rsid w:val="1CED59FC"/>
    <w:rsid w:val="1DB01DBE"/>
    <w:rsid w:val="1DC00253"/>
    <w:rsid w:val="1E3C6829"/>
    <w:rsid w:val="1E5D0198"/>
    <w:rsid w:val="1E682698"/>
    <w:rsid w:val="1E9873D7"/>
    <w:rsid w:val="1EBF3D51"/>
    <w:rsid w:val="1EDA4349"/>
    <w:rsid w:val="1F7A08D5"/>
    <w:rsid w:val="200D34F7"/>
    <w:rsid w:val="201B5C14"/>
    <w:rsid w:val="2025103E"/>
    <w:rsid w:val="20254CE5"/>
    <w:rsid w:val="20315438"/>
    <w:rsid w:val="203159E0"/>
    <w:rsid w:val="207460B1"/>
    <w:rsid w:val="20942FBE"/>
    <w:rsid w:val="21E52DED"/>
    <w:rsid w:val="21F50649"/>
    <w:rsid w:val="223B70F0"/>
    <w:rsid w:val="225678E3"/>
    <w:rsid w:val="22883309"/>
    <w:rsid w:val="228C128A"/>
    <w:rsid w:val="22A719E1"/>
    <w:rsid w:val="22F664C5"/>
    <w:rsid w:val="2301122B"/>
    <w:rsid w:val="23244DE0"/>
    <w:rsid w:val="23887A65"/>
    <w:rsid w:val="2431225C"/>
    <w:rsid w:val="249A7238"/>
    <w:rsid w:val="24B9237A"/>
    <w:rsid w:val="24CE594B"/>
    <w:rsid w:val="24E9569E"/>
    <w:rsid w:val="254F010E"/>
    <w:rsid w:val="26541E80"/>
    <w:rsid w:val="2670658E"/>
    <w:rsid w:val="268838D8"/>
    <w:rsid w:val="26A37129"/>
    <w:rsid w:val="26D95C0D"/>
    <w:rsid w:val="27394124"/>
    <w:rsid w:val="276B56D3"/>
    <w:rsid w:val="277154ED"/>
    <w:rsid w:val="277763FA"/>
    <w:rsid w:val="28EC6B33"/>
    <w:rsid w:val="291464F3"/>
    <w:rsid w:val="29290813"/>
    <w:rsid w:val="29736AC1"/>
    <w:rsid w:val="2A503127"/>
    <w:rsid w:val="2A622692"/>
    <w:rsid w:val="2A93543C"/>
    <w:rsid w:val="2B1D011F"/>
    <w:rsid w:val="2B400C25"/>
    <w:rsid w:val="2B77216D"/>
    <w:rsid w:val="2B7A540B"/>
    <w:rsid w:val="2BA33198"/>
    <w:rsid w:val="2BA74800"/>
    <w:rsid w:val="2C041C52"/>
    <w:rsid w:val="2C464019"/>
    <w:rsid w:val="2C5156A9"/>
    <w:rsid w:val="2C840FE5"/>
    <w:rsid w:val="2CBA29EE"/>
    <w:rsid w:val="2CD34352"/>
    <w:rsid w:val="2CD77367"/>
    <w:rsid w:val="2CF41CC7"/>
    <w:rsid w:val="2D1D2BCA"/>
    <w:rsid w:val="2D960FD0"/>
    <w:rsid w:val="2E2F6D2F"/>
    <w:rsid w:val="2E935E05"/>
    <w:rsid w:val="2F4B4951"/>
    <w:rsid w:val="302F42CC"/>
    <w:rsid w:val="304D2582"/>
    <w:rsid w:val="305111DE"/>
    <w:rsid w:val="30747439"/>
    <w:rsid w:val="30B15A17"/>
    <w:rsid w:val="30EE4C7F"/>
    <w:rsid w:val="314A52C6"/>
    <w:rsid w:val="315D7742"/>
    <w:rsid w:val="315E2965"/>
    <w:rsid w:val="317A4570"/>
    <w:rsid w:val="317C7C08"/>
    <w:rsid w:val="31944CB4"/>
    <w:rsid w:val="31A67308"/>
    <w:rsid w:val="31D20CC7"/>
    <w:rsid w:val="31E348FE"/>
    <w:rsid w:val="31F462C5"/>
    <w:rsid w:val="320209E2"/>
    <w:rsid w:val="323F34A4"/>
    <w:rsid w:val="327D6B3D"/>
    <w:rsid w:val="32A41A99"/>
    <w:rsid w:val="32CF73F6"/>
    <w:rsid w:val="337D5B26"/>
    <w:rsid w:val="34634107"/>
    <w:rsid w:val="34670A97"/>
    <w:rsid w:val="34C226AB"/>
    <w:rsid w:val="353115DE"/>
    <w:rsid w:val="35635603"/>
    <w:rsid w:val="357F67EE"/>
    <w:rsid w:val="35D94150"/>
    <w:rsid w:val="35F76384"/>
    <w:rsid w:val="360931FD"/>
    <w:rsid w:val="36653DD5"/>
    <w:rsid w:val="36827B77"/>
    <w:rsid w:val="3695459B"/>
    <w:rsid w:val="36984229"/>
    <w:rsid w:val="37306AE8"/>
    <w:rsid w:val="373F0BD2"/>
    <w:rsid w:val="37A743F6"/>
    <w:rsid w:val="37F04A63"/>
    <w:rsid w:val="3865301C"/>
    <w:rsid w:val="38823FEF"/>
    <w:rsid w:val="38B14EAD"/>
    <w:rsid w:val="38B62526"/>
    <w:rsid w:val="38E52E07"/>
    <w:rsid w:val="38EF5674"/>
    <w:rsid w:val="392A300B"/>
    <w:rsid w:val="396F3E61"/>
    <w:rsid w:val="39C431FC"/>
    <w:rsid w:val="39E3734B"/>
    <w:rsid w:val="39EB36B5"/>
    <w:rsid w:val="3AE41C56"/>
    <w:rsid w:val="3B225C51"/>
    <w:rsid w:val="3B83764D"/>
    <w:rsid w:val="3BDF3B42"/>
    <w:rsid w:val="3BF82E56"/>
    <w:rsid w:val="3C2B6D87"/>
    <w:rsid w:val="3C3D4228"/>
    <w:rsid w:val="3C5F4C83"/>
    <w:rsid w:val="3C805F8B"/>
    <w:rsid w:val="3CEF1407"/>
    <w:rsid w:val="3D222287"/>
    <w:rsid w:val="3DAB4624"/>
    <w:rsid w:val="3DD6576A"/>
    <w:rsid w:val="3DF02A64"/>
    <w:rsid w:val="3E356B0A"/>
    <w:rsid w:val="3E4B54BF"/>
    <w:rsid w:val="3E547FB0"/>
    <w:rsid w:val="3E686071"/>
    <w:rsid w:val="3E695BB7"/>
    <w:rsid w:val="3E6E267E"/>
    <w:rsid w:val="3EA36B4A"/>
    <w:rsid w:val="3ED2798E"/>
    <w:rsid w:val="3F350199"/>
    <w:rsid w:val="3F5F0321"/>
    <w:rsid w:val="40970E8F"/>
    <w:rsid w:val="40EF4827"/>
    <w:rsid w:val="413848F8"/>
    <w:rsid w:val="4151382F"/>
    <w:rsid w:val="41841578"/>
    <w:rsid w:val="42BE30C6"/>
    <w:rsid w:val="42E72C06"/>
    <w:rsid w:val="42FC2FF0"/>
    <w:rsid w:val="432A1241"/>
    <w:rsid w:val="43367DEF"/>
    <w:rsid w:val="43EF6065"/>
    <w:rsid w:val="442C6672"/>
    <w:rsid w:val="445E35D2"/>
    <w:rsid w:val="44603EAF"/>
    <w:rsid w:val="449C25F0"/>
    <w:rsid w:val="44EB17AA"/>
    <w:rsid w:val="44EE129A"/>
    <w:rsid w:val="450C7105"/>
    <w:rsid w:val="453E18DA"/>
    <w:rsid w:val="455375C0"/>
    <w:rsid w:val="466B2BA2"/>
    <w:rsid w:val="47206D0A"/>
    <w:rsid w:val="47780976"/>
    <w:rsid w:val="480908C5"/>
    <w:rsid w:val="48F52967"/>
    <w:rsid w:val="49AF46F8"/>
    <w:rsid w:val="4A0A7E1F"/>
    <w:rsid w:val="4A1C2405"/>
    <w:rsid w:val="4A4966F3"/>
    <w:rsid w:val="4A4E246D"/>
    <w:rsid w:val="4A573CAD"/>
    <w:rsid w:val="4A600544"/>
    <w:rsid w:val="4A75622B"/>
    <w:rsid w:val="4AF173EE"/>
    <w:rsid w:val="4B0233A9"/>
    <w:rsid w:val="4B0709C0"/>
    <w:rsid w:val="4B225175"/>
    <w:rsid w:val="4BBF7147"/>
    <w:rsid w:val="4BF325AA"/>
    <w:rsid w:val="4D0D1EDE"/>
    <w:rsid w:val="4D8A060B"/>
    <w:rsid w:val="4DD95D87"/>
    <w:rsid w:val="4E7E64D3"/>
    <w:rsid w:val="4F03593F"/>
    <w:rsid w:val="4F097485"/>
    <w:rsid w:val="4F1D4C56"/>
    <w:rsid w:val="4F27197A"/>
    <w:rsid w:val="4F7A31F5"/>
    <w:rsid w:val="4FA10471"/>
    <w:rsid w:val="4FF42688"/>
    <w:rsid w:val="500024B1"/>
    <w:rsid w:val="50011E81"/>
    <w:rsid w:val="50591CBD"/>
    <w:rsid w:val="50A14DB9"/>
    <w:rsid w:val="50C2421B"/>
    <w:rsid w:val="50E377D9"/>
    <w:rsid w:val="50ED7A45"/>
    <w:rsid w:val="51026B66"/>
    <w:rsid w:val="512A6844"/>
    <w:rsid w:val="51876C31"/>
    <w:rsid w:val="51CA154D"/>
    <w:rsid w:val="52642B9B"/>
    <w:rsid w:val="52772529"/>
    <w:rsid w:val="52AD62F0"/>
    <w:rsid w:val="52EF4B5B"/>
    <w:rsid w:val="53062A24"/>
    <w:rsid w:val="53203D88"/>
    <w:rsid w:val="53395DD6"/>
    <w:rsid w:val="546D4E70"/>
    <w:rsid w:val="547A7B7E"/>
    <w:rsid w:val="547F1F0F"/>
    <w:rsid w:val="54884EA3"/>
    <w:rsid w:val="54B03E76"/>
    <w:rsid w:val="54C5470B"/>
    <w:rsid w:val="54FA15F8"/>
    <w:rsid w:val="55051AC0"/>
    <w:rsid w:val="55391C08"/>
    <w:rsid w:val="55785AB7"/>
    <w:rsid w:val="55CA2BAB"/>
    <w:rsid w:val="55DC546E"/>
    <w:rsid w:val="56273D07"/>
    <w:rsid w:val="56521689"/>
    <w:rsid w:val="56893D1F"/>
    <w:rsid w:val="56D025AE"/>
    <w:rsid w:val="579B2BBB"/>
    <w:rsid w:val="57B40121"/>
    <w:rsid w:val="57E75E01"/>
    <w:rsid w:val="5822508B"/>
    <w:rsid w:val="5861585B"/>
    <w:rsid w:val="58801DB1"/>
    <w:rsid w:val="59A87812"/>
    <w:rsid w:val="5A557999"/>
    <w:rsid w:val="5AA136B4"/>
    <w:rsid w:val="5B1213E7"/>
    <w:rsid w:val="5BC30933"/>
    <w:rsid w:val="5BE467CE"/>
    <w:rsid w:val="5C0E56CC"/>
    <w:rsid w:val="5C2A2760"/>
    <w:rsid w:val="5C366FAA"/>
    <w:rsid w:val="5DA86032"/>
    <w:rsid w:val="5DC91E1D"/>
    <w:rsid w:val="5DCB3ACF"/>
    <w:rsid w:val="5DD0090F"/>
    <w:rsid w:val="5E36363E"/>
    <w:rsid w:val="5E910E14"/>
    <w:rsid w:val="5F3828C7"/>
    <w:rsid w:val="5FF437B1"/>
    <w:rsid w:val="5FFE63DD"/>
    <w:rsid w:val="60270862"/>
    <w:rsid w:val="603409BC"/>
    <w:rsid w:val="60C3313E"/>
    <w:rsid w:val="60C84A2A"/>
    <w:rsid w:val="60F07726"/>
    <w:rsid w:val="61256045"/>
    <w:rsid w:val="61630BEE"/>
    <w:rsid w:val="61BE22AB"/>
    <w:rsid w:val="61C264D4"/>
    <w:rsid w:val="61C64CD9"/>
    <w:rsid w:val="623A3073"/>
    <w:rsid w:val="62960B4F"/>
    <w:rsid w:val="62B75620"/>
    <w:rsid w:val="62DC4D66"/>
    <w:rsid w:val="63100572"/>
    <w:rsid w:val="639E3FCC"/>
    <w:rsid w:val="63A1155A"/>
    <w:rsid w:val="63CF632A"/>
    <w:rsid w:val="64033FC2"/>
    <w:rsid w:val="64347BEA"/>
    <w:rsid w:val="64433A80"/>
    <w:rsid w:val="64B406B2"/>
    <w:rsid w:val="652E32C1"/>
    <w:rsid w:val="65842EE1"/>
    <w:rsid w:val="65BD2897"/>
    <w:rsid w:val="65F77DF7"/>
    <w:rsid w:val="66287D10"/>
    <w:rsid w:val="66EB244B"/>
    <w:rsid w:val="672506F4"/>
    <w:rsid w:val="67E45EB9"/>
    <w:rsid w:val="68000819"/>
    <w:rsid w:val="681F5143"/>
    <w:rsid w:val="683E3BE3"/>
    <w:rsid w:val="68420E31"/>
    <w:rsid w:val="6873052F"/>
    <w:rsid w:val="68C7438B"/>
    <w:rsid w:val="68E32614"/>
    <w:rsid w:val="68E45BDD"/>
    <w:rsid w:val="6957174D"/>
    <w:rsid w:val="69A10378"/>
    <w:rsid w:val="69E14DA6"/>
    <w:rsid w:val="6A1707C7"/>
    <w:rsid w:val="6A537326"/>
    <w:rsid w:val="6ADE12E5"/>
    <w:rsid w:val="6B3E5700"/>
    <w:rsid w:val="6B451A47"/>
    <w:rsid w:val="6B500E9D"/>
    <w:rsid w:val="6B702655"/>
    <w:rsid w:val="6B8237AB"/>
    <w:rsid w:val="6B874F9D"/>
    <w:rsid w:val="6B953B90"/>
    <w:rsid w:val="6B9D4CFC"/>
    <w:rsid w:val="6C14608E"/>
    <w:rsid w:val="6C6D7FA7"/>
    <w:rsid w:val="6CCD33BF"/>
    <w:rsid w:val="6CE878ED"/>
    <w:rsid w:val="6CEB636C"/>
    <w:rsid w:val="6D4B0788"/>
    <w:rsid w:val="6D6C2BD8"/>
    <w:rsid w:val="6DBB0668"/>
    <w:rsid w:val="6E597143"/>
    <w:rsid w:val="6E8D01D6"/>
    <w:rsid w:val="6EC17265"/>
    <w:rsid w:val="6ED577BF"/>
    <w:rsid w:val="6EDC6F1D"/>
    <w:rsid w:val="6F094457"/>
    <w:rsid w:val="6F72337C"/>
    <w:rsid w:val="702152C3"/>
    <w:rsid w:val="70B36D70"/>
    <w:rsid w:val="70C97D0D"/>
    <w:rsid w:val="70DA3021"/>
    <w:rsid w:val="70F002E9"/>
    <w:rsid w:val="711A0B9D"/>
    <w:rsid w:val="71296D2D"/>
    <w:rsid w:val="712C661A"/>
    <w:rsid w:val="71931A6F"/>
    <w:rsid w:val="71AF5789"/>
    <w:rsid w:val="728564EA"/>
    <w:rsid w:val="72E2393D"/>
    <w:rsid w:val="731E6FE8"/>
    <w:rsid w:val="73EB1462"/>
    <w:rsid w:val="74164AF9"/>
    <w:rsid w:val="744877CF"/>
    <w:rsid w:val="749018A2"/>
    <w:rsid w:val="74B17A6A"/>
    <w:rsid w:val="75041948"/>
    <w:rsid w:val="75632A66"/>
    <w:rsid w:val="758111EB"/>
    <w:rsid w:val="75AE3A59"/>
    <w:rsid w:val="76AD64CC"/>
    <w:rsid w:val="77100A78"/>
    <w:rsid w:val="771F076D"/>
    <w:rsid w:val="778D55CE"/>
    <w:rsid w:val="77D575CC"/>
    <w:rsid w:val="77E21C30"/>
    <w:rsid w:val="77E36DBE"/>
    <w:rsid w:val="78063C29"/>
    <w:rsid w:val="78160310"/>
    <w:rsid w:val="7841002D"/>
    <w:rsid w:val="787E7C64"/>
    <w:rsid w:val="78F82C02"/>
    <w:rsid w:val="790A24C6"/>
    <w:rsid w:val="79397FCB"/>
    <w:rsid w:val="7954379C"/>
    <w:rsid w:val="79BF4FE9"/>
    <w:rsid w:val="79C913B2"/>
    <w:rsid w:val="79D044EF"/>
    <w:rsid w:val="79F444EC"/>
    <w:rsid w:val="7BCE0035"/>
    <w:rsid w:val="7C766EBA"/>
    <w:rsid w:val="7CE27D09"/>
    <w:rsid w:val="7CE61A59"/>
    <w:rsid w:val="7D6C0EF3"/>
    <w:rsid w:val="7DDC0A58"/>
    <w:rsid w:val="7E14573B"/>
    <w:rsid w:val="7E281361"/>
    <w:rsid w:val="7E394D59"/>
    <w:rsid w:val="7F144E7E"/>
    <w:rsid w:val="7F4346F8"/>
    <w:rsid w:val="7F9F2238"/>
    <w:rsid w:val="7FF562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自选图形 1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2"/>
      <w:lang w:val="en-US" w:eastAsia="zh-CN" w:bidi="ar-SA"/>
    </w:rPr>
  </w:style>
  <w:style w:type="paragraph" w:styleId="3">
    <w:name w:val="heading 3"/>
    <w:basedOn w:val="1"/>
    <w:next w:val="1"/>
    <w:link w:val="32"/>
    <w:qFormat/>
    <w:uiPriority w:val="0"/>
    <w:pPr>
      <w:spacing w:before="100" w:beforeAutospacing="1" w:after="100" w:afterAutospacing="1"/>
      <w:jc w:val="left"/>
      <w:textAlignment w:val="auto"/>
      <w:outlineLvl w:val="2"/>
    </w:pPr>
    <w:rPr>
      <w:rFonts w:ascii="宋体" w:hAnsi="宋体"/>
      <w:kern w:val="0"/>
      <w:sz w:val="27"/>
      <w:szCs w:val="27"/>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31"/>
    <w:qFormat/>
    <w:uiPriority w:val="99"/>
    <w:rPr>
      <w:rFonts w:ascii="宋体" w:hAnsi="Courier New" w:eastAsia="楷体_GB2312"/>
      <w:szCs w:val="24"/>
    </w:rPr>
  </w:style>
  <w:style w:type="paragraph" w:styleId="4">
    <w:name w:val="Normal Indent"/>
    <w:basedOn w:val="1"/>
    <w:next w:val="1"/>
    <w:unhideWhenUsed/>
    <w:qFormat/>
    <w:uiPriority w:val="0"/>
    <w:pPr>
      <w:widowControl w:val="0"/>
      <w:ind w:firstLine="420"/>
      <w:textAlignment w:val="auto"/>
    </w:pPr>
    <w:rPr>
      <w:rFonts w:ascii="Times New Roman" w:hAnsi="Times New Roman"/>
      <w:szCs w:val="21"/>
    </w:rPr>
  </w:style>
  <w:style w:type="paragraph" w:styleId="5">
    <w:name w:val="Document Map"/>
    <w:basedOn w:val="1"/>
    <w:link w:val="33"/>
    <w:unhideWhenUsed/>
    <w:qFormat/>
    <w:uiPriority w:val="99"/>
    <w:rPr>
      <w:rFonts w:ascii="宋体"/>
      <w:sz w:val="18"/>
      <w:szCs w:val="18"/>
    </w:rPr>
  </w:style>
  <w:style w:type="paragraph" w:styleId="6">
    <w:name w:val="annotation text"/>
    <w:basedOn w:val="1"/>
    <w:next w:val="1"/>
    <w:link w:val="34"/>
    <w:unhideWhenUsed/>
    <w:qFormat/>
    <w:uiPriority w:val="99"/>
    <w:pPr>
      <w:jc w:val="left"/>
    </w:pPr>
  </w:style>
  <w:style w:type="paragraph" w:styleId="7">
    <w:name w:val="Body Text 3"/>
    <w:basedOn w:val="1"/>
    <w:link w:val="35"/>
    <w:unhideWhenUsed/>
    <w:qFormat/>
    <w:uiPriority w:val="99"/>
    <w:pPr>
      <w:widowControl w:val="0"/>
      <w:spacing w:after="120"/>
      <w:textAlignment w:val="auto"/>
    </w:pPr>
    <w:rPr>
      <w:sz w:val="16"/>
      <w:szCs w:val="16"/>
    </w:rPr>
  </w:style>
  <w:style w:type="paragraph" w:styleId="8">
    <w:name w:val="Body Text"/>
    <w:basedOn w:val="1"/>
    <w:link w:val="36"/>
    <w:unhideWhenUsed/>
    <w:qFormat/>
    <w:uiPriority w:val="99"/>
    <w:pPr>
      <w:spacing w:after="120"/>
    </w:pPr>
  </w:style>
  <w:style w:type="paragraph" w:styleId="9">
    <w:name w:val="Body Text Indent"/>
    <w:basedOn w:val="1"/>
    <w:next w:val="10"/>
    <w:qFormat/>
    <w:uiPriority w:val="0"/>
    <w:pPr>
      <w:ind w:firstLine="570"/>
    </w:pPr>
    <w:rPr>
      <w:kern w:val="0"/>
      <w:sz w:val="28"/>
      <w:szCs w:val="20"/>
    </w:rPr>
  </w:style>
  <w:style w:type="paragraph" w:styleId="10">
    <w:name w:val="envelope return"/>
    <w:basedOn w:val="1"/>
    <w:qFormat/>
    <w:uiPriority w:val="0"/>
    <w:pPr>
      <w:snapToGrid w:val="0"/>
    </w:pPr>
    <w:rPr>
      <w:rFonts w:ascii="Arial" w:hAnsi="Arial"/>
      <w:szCs w:val="24"/>
    </w:rPr>
  </w:style>
  <w:style w:type="paragraph" w:styleId="11">
    <w:name w:val="index 4"/>
    <w:basedOn w:val="1"/>
    <w:next w:val="1"/>
    <w:unhideWhenUsed/>
    <w:qFormat/>
    <w:uiPriority w:val="99"/>
    <w:pPr>
      <w:widowControl w:val="0"/>
      <w:ind w:left="600" w:leftChars="600"/>
      <w:textAlignment w:val="auto"/>
    </w:pPr>
    <w:rPr>
      <w:rFonts w:ascii="Times New Roman" w:hAnsi="Times New Roman"/>
    </w:rPr>
  </w:style>
  <w:style w:type="paragraph" w:styleId="12">
    <w:name w:val="toc 3"/>
    <w:basedOn w:val="1"/>
    <w:next w:val="1"/>
    <w:unhideWhenUsed/>
    <w:qFormat/>
    <w:uiPriority w:val="39"/>
    <w:pPr>
      <w:ind w:left="840" w:leftChars="400"/>
    </w:pPr>
  </w:style>
  <w:style w:type="paragraph" w:styleId="13">
    <w:name w:val="Date"/>
    <w:basedOn w:val="1"/>
    <w:next w:val="1"/>
    <w:link w:val="37"/>
    <w:qFormat/>
    <w:uiPriority w:val="0"/>
    <w:rPr>
      <w:rFonts w:ascii="Times New Roman" w:hAnsi="Times New Roman"/>
      <w:kern w:val="0"/>
      <w:sz w:val="20"/>
      <w:szCs w:val="20"/>
    </w:rPr>
  </w:style>
  <w:style w:type="paragraph" w:styleId="14">
    <w:name w:val="Balloon Text"/>
    <w:basedOn w:val="1"/>
    <w:link w:val="38"/>
    <w:unhideWhenUsed/>
    <w:qFormat/>
    <w:uiPriority w:val="99"/>
    <w:rPr>
      <w:sz w:val="18"/>
      <w:szCs w:val="18"/>
    </w:rPr>
  </w:style>
  <w:style w:type="paragraph" w:styleId="15">
    <w:name w:val="footer"/>
    <w:basedOn w:val="1"/>
    <w:link w:val="39"/>
    <w:qFormat/>
    <w:uiPriority w:val="99"/>
    <w:pPr>
      <w:tabs>
        <w:tab w:val="center" w:pos="4153"/>
        <w:tab w:val="right" w:pos="8306"/>
      </w:tabs>
      <w:snapToGrid w:val="0"/>
      <w:jc w:val="left"/>
    </w:pPr>
    <w:rPr>
      <w:kern w:val="0"/>
      <w:sz w:val="18"/>
      <w:szCs w:val="18"/>
    </w:rPr>
  </w:style>
  <w:style w:type="paragraph" w:styleId="16">
    <w:name w:val="header"/>
    <w:basedOn w:val="1"/>
    <w:link w:val="40"/>
    <w:qFormat/>
    <w:uiPriority w:val="99"/>
    <w:pPr>
      <w:pBdr>
        <w:bottom w:val="single" w:color="000000"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Normal (Web)"/>
    <w:basedOn w:val="1"/>
    <w:unhideWhenUsed/>
    <w:qFormat/>
    <w:uiPriority w:val="99"/>
    <w:pPr>
      <w:widowControl w:val="0"/>
      <w:textAlignment w:val="auto"/>
    </w:pPr>
    <w:rPr>
      <w:rFonts w:ascii="仿宋_GB2312" w:eastAsia="仿宋_GB2312" w:cs="宋体"/>
      <w:sz w:val="24"/>
      <w:szCs w:val="24"/>
    </w:rPr>
  </w:style>
  <w:style w:type="paragraph" w:styleId="20">
    <w:name w:val="Title"/>
    <w:basedOn w:val="1"/>
    <w:link w:val="41"/>
    <w:qFormat/>
    <w:uiPriority w:val="0"/>
    <w:pPr>
      <w:spacing w:before="120" w:after="60"/>
      <w:jc w:val="center"/>
    </w:pPr>
    <w:rPr>
      <w:rFonts w:ascii="Arial" w:hAnsi="Arial"/>
      <w:b/>
      <w:kern w:val="0"/>
      <w:sz w:val="44"/>
      <w:szCs w:val="20"/>
    </w:rPr>
  </w:style>
  <w:style w:type="paragraph" w:styleId="21">
    <w:name w:val="annotation subject"/>
    <w:basedOn w:val="6"/>
    <w:next w:val="6"/>
    <w:link w:val="42"/>
    <w:unhideWhenUsed/>
    <w:qFormat/>
    <w:uiPriority w:val="0"/>
    <w:rPr>
      <w:b/>
      <w:bCs/>
    </w:rPr>
  </w:style>
  <w:style w:type="paragraph" w:styleId="22">
    <w:name w:val="Body Text First Indent"/>
    <w:basedOn w:val="8"/>
    <w:link w:val="43"/>
    <w:qFormat/>
    <w:uiPriority w:val="0"/>
    <w:pPr>
      <w:widowControl w:val="0"/>
      <w:ind w:firstLine="420"/>
      <w:textAlignment w:val="auto"/>
    </w:pPr>
    <w:rPr>
      <w:rFonts w:ascii="Times New Roman" w:hAnsi="Times New Roman"/>
      <w:kern w:val="0"/>
      <w:sz w:val="20"/>
      <w:szCs w:val="20"/>
    </w:rPr>
  </w:style>
  <w:style w:type="paragraph" w:styleId="23">
    <w:name w:val="Body Text First Indent 2"/>
    <w:basedOn w:val="9"/>
    <w:qFormat/>
    <w:uiPriority w:val="0"/>
    <w:pPr>
      <w:spacing w:after="120"/>
      <w:ind w:left="420" w:leftChars="200" w:firstLine="420" w:firstLineChars="200"/>
    </w:pPr>
    <w:rPr>
      <w:sz w:val="20"/>
      <w:szCs w:val="24"/>
    </w:rPr>
  </w:style>
  <w:style w:type="table" w:styleId="25">
    <w:name w:val="Table Grid"/>
    <w:basedOn w:val="24"/>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rPr>
  </w:style>
  <w:style w:type="character" w:styleId="28">
    <w:name w:val="FollowedHyperlink"/>
    <w:qFormat/>
    <w:uiPriority w:val="0"/>
    <w:rPr>
      <w:color w:val="954F72"/>
      <w:u w:val="single"/>
    </w:rPr>
  </w:style>
  <w:style w:type="character" w:styleId="29">
    <w:name w:val="Hyperlink"/>
    <w:qFormat/>
    <w:uiPriority w:val="99"/>
    <w:rPr>
      <w:rFonts w:ascii="微软雅黑" w:hAnsi="微软雅黑" w:eastAsia="微软雅黑"/>
      <w:color w:val="337AB7"/>
    </w:rPr>
  </w:style>
  <w:style w:type="character" w:styleId="30">
    <w:name w:val="annotation reference"/>
    <w:unhideWhenUsed/>
    <w:qFormat/>
    <w:uiPriority w:val="0"/>
    <w:rPr>
      <w:sz w:val="21"/>
      <w:szCs w:val="21"/>
    </w:rPr>
  </w:style>
  <w:style w:type="character" w:customStyle="1" w:styleId="31">
    <w:name w:val="纯文本 Char"/>
    <w:link w:val="2"/>
    <w:qFormat/>
    <w:uiPriority w:val="99"/>
    <w:rPr>
      <w:rFonts w:ascii="宋体" w:hAnsi="Courier New" w:eastAsia="楷体_GB2312"/>
      <w:kern w:val="2"/>
      <w:sz w:val="21"/>
      <w:szCs w:val="24"/>
    </w:rPr>
  </w:style>
  <w:style w:type="character" w:customStyle="1" w:styleId="32">
    <w:name w:val="标题 3 Char"/>
    <w:link w:val="3"/>
    <w:qFormat/>
    <w:uiPriority w:val="0"/>
    <w:rPr>
      <w:rFonts w:ascii="宋体" w:hAnsi="宋体"/>
      <w:sz w:val="27"/>
      <w:szCs w:val="27"/>
    </w:rPr>
  </w:style>
  <w:style w:type="character" w:customStyle="1" w:styleId="33">
    <w:name w:val="文档结构图 Char"/>
    <w:link w:val="5"/>
    <w:semiHidden/>
    <w:qFormat/>
    <w:uiPriority w:val="99"/>
    <w:rPr>
      <w:rFonts w:ascii="宋体" w:hAnsi="Calibri"/>
      <w:kern w:val="2"/>
      <w:sz w:val="18"/>
      <w:szCs w:val="18"/>
    </w:rPr>
  </w:style>
  <w:style w:type="character" w:customStyle="1" w:styleId="34">
    <w:name w:val="批注文字 Char"/>
    <w:link w:val="6"/>
    <w:qFormat/>
    <w:uiPriority w:val="99"/>
    <w:rPr>
      <w:rFonts w:ascii="Calibri" w:hAnsi="Calibri"/>
      <w:kern w:val="2"/>
      <w:sz w:val="21"/>
      <w:szCs w:val="22"/>
    </w:rPr>
  </w:style>
  <w:style w:type="character" w:customStyle="1" w:styleId="35">
    <w:name w:val="正文文本 3 Char1"/>
    <w:link w:val="7"/>
    <w:semiHidden/>
    <w:qFormat/>
    <w:uiPriority w:val="99"/>
    <w:rPr>
      <w:rFonts w:ascii="Calibri" w:hAnsi="Calibri"/>
      <w:kern w:val="2"/>
      <w:sz w:val="16"/>
      <w:szCs w:val="16"/>
    </w:rPr>
  </w:style>
  <w:style w:type="character" w:customStyle="1" w:styleId="36">
    <w:name w:val="正文文本 Char1"/>
    <w:link w:val="8"/>
    <w:qFormat/>
    <w:uiPriority w:val="99"/>
    <w:rPr>
      <w:rFonts w:ascii="Calibri" w:hAnsi="Calibri"/>
      <w:kern w:val="2"/>
      <w:sz w:val="21"/>
      <w:szCs w:val="22"/>
    </w:rPr>
  </w:style>
  <w:style w:type="character" w:customStyle="1" w:styleId="37">
    <w:name w:val="日期 Char"/>
    <w:link w:val="13"/>
    <w:qFormat/>
    <w:uiPriority w:val="0"/>
    <w:rPr>
      <w:rFonts w:ascii="Times New Roman" w:hAnsi="Times New Roman" w:eastAsia="宋体"/>
      <w:szCs w:val="20"/>
    </w:rPr>
  </w:style>
  <w:style w:type="character" w:customStyle="1" w:styleId="38">
    <w:name w:val="批注框文本 Char"/>
    <w:link w:val="14"/>
    <w:semiHidden/>
    <w:qFormat/>
    <w:uiPriority w:val="99"/>
    <w:rPr>
      <w:rFonts w:ascii="Calibri" w:hAnsi="Calibri"/>
      <w:kern w:val="2"/>
      <w:sz w:val="18"/>
      <w:szCs w:val="18"/>
    </w:rPr>
  </w:style>
  <w:style w:type="character" w:customStyle="1" w:styleId="39">
    <w:name w:val="页脚 Char"/>
    <w:link w:val="15"/>
    <w:qFormat/>
    <w:uiPriority w:val="99"/>
    <w:rPr>
      <w:rFonts w:ascii="Calibri" w:hAnsi="Calibri" w:eastAsia="宋体"/>
      <w:sz w:val="18"/>
      <w:szCs w:val="18"/>
    </w:rPr>
  </w:style>
  <w:style w:type="character" w:customStyle="1" w:styleId="40">
    <w:name w:val="页眉 Char"/>
    <w:link w:val="16"/>
    <w:qFormat/>
    <w:uiPriority w:val="99"/>
    <w:rPr>
      <w:rFonts w:ascii="Calibri" w:hAnsi="Calibri" w:eastAsia="宋体"/>
      <w:sz w:val="18"/>
      <w:szCs w:val="18"/>
    </w:rPr>
  </w:style>
  <w:style w:type="character" w:customStyle="1" w:styleId="41">
    <w:name w:val="标题 Char"/>
    <w:link w:val="20"/>
    <w:qFormat/>
    <w:uiPriority w:val="0"/>
    <w:rPr>
      <w:rFonts w:ascii="Arial" w:hAnsi="Arial" w:eastAsia="宋体"/>
      <w:b/>
      <w:sz w:val="44"/>
      <w:szCs w:val="20"/>
    </w:rPr>
  </w:style>
  <w:style w:type="character" w:customStyle="1" w:styleId="42">
    <w:name w:val="批注主题 Char"/>
    <w:link w:val="21"/>
    <w:qFormat/>
    <w:uiPriority w:val="0"/>
  </w:style>
  <w:style w:type="character" w:customStyle="1" w:styleId="43">
    <w:name w:val="正文首行缩进 Char1"/>
    <w:link w:val="22"/>
    <w:qFormat/>
    <w:uiPriority w:val="0"/>
  </w:style>
  <w:style w:type="character" w:customStyle="1" w:styleId="44">
    <w:name w:val="UserStyle_51"/>
    <w:semiHidden/>
    <w:qFormat/>
    <w:uiPriority w:val="0"/>
    <w:rPr>
      <w:rFonts w:ascii="Microsoft YaHei UI" w:hAnsi="Calibri" w:eastAsia="Microsoft YaHei UI"/>
      <w:sz w:val="18"/>
      <w:szCs w:val="18"/>
    </w:rPr>
  </w:style>
  <w:style w:type="character" w:customStyle="1" w:styleId="45">
    <w:name w:val="UserStyle_32"/>
    <w:qFormat/>
    <w:uiPriority w:val="0"/>
  </w:style>
  <w:style w:type="character" w:customStyle="1" w:styleId="46">
    <w:name w:val="UserStyle_46"/>
    <w:semiHidden/>
    <w:qFormat/>
    <w:uiPriority w:val="0"/>
    <w:rPr>
      <w:rFonts w:ascii="Calibri" w:hAnsi="Calibri" w:eastAsia="宋体"/>
    </w:rPr>
  </w:style>
  <w:style w:type="character" w:customStyle="1" w:styleId="47">
    <w:name w:val="UserStyle_47"/>
    <w:link w:val="48"/>
    <w:qFormat/>
    <w:uiPriority w:val="0"/>
    <w:rPr>
      <w:rFonts w:ascii="宋体" w:hAnsi="宋体" w:eastAsia="宋体"/>
      <w:sz w:val="18"/>
      <w:szCs w:val="18"/>
    </w:rPr>
  </w:style>
  <w:style w:type="paragraph" w:customStyle="1" w:styleId="48">
    <w:name w:val="FootnoteText"/>
    <w:basedOn w:val="1"/>
    <w:link w:val="47"/>
    <w:qFormat/>
    <w:uiPriority w:val="0"/>
    <w:pPr>
      <w:snapToGrid w:val="0"/>
      <w:spacing w:line="360" w:lineRule="auto"/>
      <w:ind w:firstLine="523" w:firstLineChars="218"/>
      <w:jc w:val="left"/>
    </w:pPr>
    <w:rPr>
      <w:rFonts w:ascii="宋体" w:hAnsi="宋体"/>
      <w:kern w:val="0"/>
      <w:sz w:val="18"/>
      <w:szCs w:val="18"/>
    </w:rPr>
  </w:style>
  <w:style w:type="character" w:customStyle="1" w:styleId="49">
    <w:name w:val="UserStyle_49"/>
    <w:link w:val="50"/>
    <w:qFormat/>
    <w:uiPriority w:val="0"/>
    <w:rPr>
      <w:rFonts w:ascii="宋体" w:hAnsi="宋体" w:eastAsia="宋体"/>
      <w:sz w:val="24"/>
      <w:szCs w:val="24"/>
    </w:rPr>
  </w:style>
  <w:style w:type="paragraph" w:customStyle="1" w:styleId="50">
    <w:name w:val="AnnotationText"/>
    <w:basedOn w:val="1"/>
    <w:link w:val="49"/>
    <w:qFormat/>
    <w:uiPriority w:val="0"/>
    <w:pPr>
      <w:spacing w:line="360" w:lineRule="auto"/>
      <w:ind w:firstLine="523" w:firstLineChars="218"/>
      <w:jc w:val="left"/>
    </w:pPr>
    <w:rPr>
      <w:rFonts w:ascii="宋体" w:hAnsi="宋体"/>
      <w:kern w:val="0"/>
      <w:sz w:val="24"/>
      <w:szCs w:val="24"/>
    </w:rPr>
  </w:style>
  <w:style w:type="character" w:customStyle="1" w:styleId="51">
    <w:name w:val="UserStyle_13"/>
    <w:semiHidden/>
    <w:qFormat/>
    <w:uiPriority w:val="0"/>
    <w:rPr>
      <w:rFonts w:ascii="Calibri" w:hAnsi="Calibri" w:eastAsia="宋体" w:cs="Times New Roman"/>
      <w:b/>
      <w:bCs/>
      <w:sz w:val="28"/>
      <w:szCs w:val="28"/>
    </w:rPr>
  </w:style>
  <w:style w:type="character" w:customStyle="1" w:styleId="52">
    <w:name w:val="正文首行缩进 Char"/>
    <w:qFormat/>
    <w:uiPriority w:val="99"/>
  </w:style>
  <w:style w:type="character" w:customStyle="1" w:styleId="53">
    <w:name w:val="HtmlCode"/>
    <w:qFormat/>
    <w:uiPriority w:val="0"/>
    <w:rPr>
      <w:rFonts w:ascii="Consolas" w:hAnsi="Consolas" w:eastAsia="Consolas"/>
      <w:color w:val="C7254E"/>
      <w:sz w:val="21"/>
      <w:szCs w:val="21"/>
      <w:bdr w:val="single" w:color="000000" w:sz="18" w:space="0"/>
      <w:shd w:val="clear" w:color="auto" w:fill="F9F2F4"/>
    </w:rPr>
  </w:style>
  <w:style w:type="character" w:customStyle="1" w:styleId="54">
    <w:name w:val="UserStyle_8"/>
    <w:qFormat/>
    <w:uiPriority w:val="0"/>
  </w:style>
  <w:style w:type="character" w:customStyle="1" w:styleId="55">
    <w:name w:val="UserStyle_22"/>
    <w:semiHidden/>
    <w:qFormat/>
    <w:uiPriority w:val="0"/>
    <w:rPr>
      <w:rFonts w:ascii="Calibri" w:hAnsi="Calibri" w:eastAsia="宋体"/>
    </w:rPr>
  </w:style>
  <w:style w:type="character" w:customStyle="1" w:styleId="56">
    <w:name w:val="文一 Char"/>
    <w:link w:val="57"/>
    <w:qFormat/>
    <w:uiPriority w:val="0"/>
    <w:rPr>
      <w:rFonts w:ascii="等线" w:hAnsi="Calibri" w:eastAsia="等线"/>
      <w:spacing w:val="4"/>
      <w:sz w:val="24"/>
      <w:szCs w:val="24"/>
    </w:rPr>
  </w:style>
  <w:style w:type="paragraph" w:customStyle="1" w:styleId="57">
    <w:name w:val="文一"/>
    <w:basedOn w:val="1"/>
    <w:link w:val="56"/>
    <w:qFormat/>
    <w:uiPriority w:val="0"/>
    <w:pPr>
      <w:widowControl w:val="0"/>
      <w:topLinePunct/>
      <w:adjustRightInd w:val="0"/>
      <w:snapToGrid w:val="0"/>
      <w:spacing w:line="360" w:lineRule="auto"/>
      <w:ind w:firstLine="200" w:firstLineChars="200"/>
      <w:textAlignment w:val="auto"/>
    </w:pPr>
    <w:rPr>
      <w:rFonts w:ascii="等线" w:eastAsia="等线"/>
      <w:spacing w:val="4"/>
      <w:kern w:val="0"/>
      <w:sz w:val="24"/>
      <w:szCs w:val="24"/>
    </w:rPr>
  </w:style>
  <w:style w:type="character" w:customStyle="1" w:styleId="58">
    <w:name w:val="UserStyle_37"/>
    <w:semiHidden/>
    <w:qFormat/>
    <w:uiPriority w:val="0"/>
    <w:rPr>
      <w:rFonts w:ascii="等线 Light" w:hAnsi="等线 Light" w:eastAsia="等线 Light" w:cs="Times New Roman"/>
      <w:b/>
      <w:bCs/>
      <w:sz w:val="28"/>
      <w:szCs w:val="28"/>
    </w:rPr>
  </w:style>
  <w:style w:type="character" w:customStyle="1" w:styleId="59">
    <w:name w:val="UserStyle_36"/>
    <w:semiHidden/>
    <w:qFormat/>
    <w:uiPriority w:val="0"/>
    <w:rPr>
      <w:rFonts w:ascii="Calibri" w:hAnsi="Calibri" w:eastAsia="宋体"/>
    </w:rPr>
  </w:style>
  <w:style w:type="character" w:customStyle="1" w:styleId="60">
    <w:name w:val="UserStyle_45"/>
    <w:link w:val="61"/>
    <w:qFormat/>
    <w:uiPriority w:val="0"/>
    <w:rPr>
      <w:rFonts w:ascii="Times New Roman" w:hAnsi="Times New Roman" w:eastAsia="宋体"/>
      <w:szCs w:val="20"/>
      <w:shd w:val="clear" w:color="auto" w:fill="000080"/>
    </w:rPr>
  </w:style>
  <w:style w:type="paragraph" w:customStyle="1" w:styleId="61">
    <w:name w:val="NavPane"/>
    <w:basedOn w:val="1"/>
    <w:link w:val="60"/>
    <w:qFormat/>
    <w:uiPriority w:val="0"/>
    <w:pPr>
      <w:shd w:val="clear" w:color="auto" w:fill="000080"/>
    </w:pPr>
    <w:rPr>
      <w:rFonts w:ascii="Times New Roman" w:hAnsi="Times New Roman"/>
      <w:kern w:val="0"/>
      <w:sz w:val="20"/>
      <w:szCs w:val="20"/>
    </w:rPr>
  </w:style>
  <w:style w:type="character" w:customStyle="1" w:styleId="62">
    <w:name w:val="UserStyle_40"/>
    <w:qFormat/>
    <w:uiPriority w:val="0"/>
    <w:rPr>
      <w:rFonts w:ascii="Arial" w:hAnsi="Arial" w:eastAsia="黑体"/>
      <w:sz w:val="24"/>
      <w:szCs w:val="20"/>
    </w:rPr>
  </w:style>
  <w:style w:type="character" w:customStyle="1" w:styleId="63">
    <w:name w:val="15"/>
    <w:qFormat/>
    <w:uiPriority w:val="0"/>
    <w:rPr>
      <w:rFonts w:hint="eastAsia" w:ascii="等线" w:hAnsi="等线" w:eastAsia="等线" w:cs="Times New Roman"/>
    </w:rPr>
  </w:style>
  <w:style w:type="character" w:customStyle="1" w:styleId="64">
    <w:name w:val="UserStyle_17"/>
    <w:link w:val="65"/>
    <w:qFormat/>
    <w:uiPriority w:val="0"/>
    <w:rPr>
      <w:rFonts w:ascii="Times New Roman" w:hAnsi="Times New Roman" w:eastAsia="宋体"/>
      <w:sz w:val="18"/>
      <w:szCs w:val="18"/>
    </w:rPr>
  </w:style>
  <w:style w:type="paragraph" w:customStyle="1" w:styleId="65">
    <w:name w:val="Acetate"/>
    <w:basedOn w:val="1"/>
    <w:link w:val="64"/>
    <w:qFormat/>
    <w:uiPriority w:val="0"/>
    <w:rPr>
      <w:rFonts w:ascii="Times New Roman" w:hAnsi="Times New Roman"/>
      <w:kern w:val="0"/>
      <w:sz w:val="18"/>
      <w:szCs w:val="18"/>
    </w:rPr>
  </w:style>
  <w:style w:type="character" w:customStyle="1" w:styleId="66">
    <w:name w:val="UserStyle_10"/>
    <w:link w:val="67"/>
    <w:qFormat/>
    <w:uiPriority w:val="0"/>
    <w:rPr>
      <w:rFonts w:ascii="宋体" w:hAnsi="Courier New" w:eastAsia="宋体"/>
      <w:szCs w:val="20"/>
    </w:rPr>
  </w:style>
  <w:style w:type="paragraph" w:customStyle="1" w:styleId="67">
    <w:name w:val="PlainText"/>
    <w:basedOn w:val="1"/>
    <w:link w:val="66"/>
    <w:qFormat/>
    <w:uiPriority w:val="0"/>
    <w:rPr>
      <w:rFonts w:ascii="宋体" w:hAnsi="Courier New"/>
      <w:kern w:val="0"/>
      <w:sz w:val="20"/>
      <w:szCs w:val="20"/>
    </w:rPr>
  </w:style>
  <w:style w:type="character" w:customStyle="1" w:styleId="68">
    <w:name w:val="UserStyle_29"/>
    <w:semiHidden/>
    <w:qFormat/>
    <w:uiPriority w:val="0"/>
    <w:rPr>
      <w:rFonts w:ascii="Calibri" w:hAnsi="Calibri" w:eastAsia="宋体"/>
      <w:sz w:val="16"/>
      <w:szCs w:val="16"/>
    </w:rPr>
  </w:style>
  <w:style w:type="character" w:customStyle="1" w:styleId="69">
    <w:name w:val="UserStyle_34"/>
    <w:link w:val="70"/>
    <w:qFormat/>
    <w:uiPriority w:val="0"/>
    <w:rPr>
      <w:rFonts w:ascii="Times New Roman" w:hAnsi="Times New Roman" w:eastAsia="宋体"/>
      <w:szCs w:val="20"/>
    </w:rPr>
  </w:style>
  <w:style w:type="paragraph" w:customStyle="1" w:styleId="70">
    <w:name w:val="EndnoteText"/>
    <w:basedOn w:val="1"/>
    <w:link w:val="69"/>
    <w:qFormat/>
    <w:uiPriority w:val="0"/>
    <w:pPr>
      <w:snapToGrid w:val="0"/>
      <w:jc w:val="left"/>
    </w:pPr>
    <w:rPr>
      <w:rFonts w:ascii="Times New Roman" w:hAnsi="Times New Roman"/>
      <w:kern w:val="0"/>
      <w:sz w:val="20"/>
      <w:szCs w:val="20"/>
    </w:rPr>
  </w:style>
  <w:style w:type="character" w:customStyle="1" w:styleId="71">
    <w:name w:val="UserStyle_14"/>
    <w:link w:val="72"/>
    <w:qFormat/>
    <w:uiPriority w:val="0"/>
    <w:rPr>
      <w:rFonts w:ascii="Times New Roman" w:hAnsi="Times New Roman" w:eastAsia="宋体"/>
      <w:color w:val="000000"/>
      <w:sz w:val="24"/>
      <w:szCs w:val="20"/>
    </w:rPr>
  </w:style>
  <w:style w:type="paragraph" w:customStyle="1" w:styleId="72">
    <w:name w:val="BodyTextIndent2"/>
    <w:basedOn w:val="1"/>
    <w:link w:val="71"/>
    <w:qFormat/>
    <w:uiPriority w:val="0"/>
    <w:pPr>
      <w:spacing w:line="400" w:lineRule="exact"/>
      <w:ind w:left="425"/>
    </w:pPr>
    <w:rPr>
      <w:rFonts w:ascii="Times New Roman" w:hAnsi="Times New Roman"/>
      <w:color w:val="000000"/>
      <w:kern w:val="0"/>
      <w:sz w:val="24"/>
      <w:szCs w:val="20"/>
    </w:rPr>
  </w:style>
  <w:style w:type="character" w:customStyle="1" w:styleId="73">
    <w:name w:val="UserStyle_53"/>
    <w:semiHidden/>
    <w:qFormat/>
    <w:uiPriority w:val="0"/>
    <w:rPr>
      <w:rFonts w:ascii="Calibri" w:hAnsi="Calibri" w:eastAsia="宋体"/>
      <w:sz w:val="18"/>
      <w:szCs w:val="18"/>
    </w:rPr>
  </w:style>
  <w:style w:type="character" w:customStyle="1" w:styleId="74">
    <w:name w:val="UserStyle_24"/>
    <w:qFormat/>
    <w:uiPriority w:val="0"/>
    <w:rPr>
      <w:rFonts w:ascii="Arial" w:hAnsi="Arial" w:eastAsia="黑体"/>
      <w:szCs w:val="20"/>
    </w:rPr>
  </w:style>
  <w:style w:type="character" w:customStyle="1" w:styleId="75">
    <w:name w:val="FootnoteReference"/>
    <w:qFormat/>
    <w:uiPriority w:val="0"/>
    <w:rPr>
      <w:vertAlign w:val="superscript"/>
    </w:rPr>
  </w:style>
  <w:style w:type="character" w:customStyle="1" w:styleId="76">
    <w:name w:val="UserStyle_18"/>
    <w:link w:val="77"/>
    <w:qFormat/>
    <w:uiPriority w:val="0"/>
    <w:rPr>
      <w:rFonts w:ascii="Times New Roman" w:hAnsi="Times New Roman" w:eastAsia="宋体"/>
      <w:color w:val="000000"/>
      <w:sz w:val="24"/>
      <w:szCs w:val="20"/>
    </w:rPr>
  </w:style>
  <w:style w:type="paragraph" w:customStyle="1" w:styleId="77">
    <w:name w:val="BodyTextIndent3"/>
    <w:basedOn w:val="1"/>
    <w:link w:val="76"/>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character" w:customStyle="1" w:styleId="78">
    <w:name w:val="UserStyle_38"/>
    <w:semiHidden/>
    <w:qFormat/>
    <w:uiPriority w:val="0"/>
    <w:rPr>
      <w:rFonts w:ascii="等线 Light" w:hAnsi="等线 Light" w:eastAsia="等线 Light"/>
      <w:sz w:val="24"/>
      <w:szCs w:val="24"/>
    </w:rPr>
  </w:style>
  <w:style w:type="character" w:customStyle="1" w:styleId="79">
    <w:name w:val="UserStyle_15"/>
    <w:semiHidden/>
    <w:qFormat/>
    <w:uiPriority w:val="0"/>
    <w:rPr>
      <w:rFonts w:ascii="等线 Light" w:hAnsi="等线 Light" w:eastAsia="等线 Light"/>
      <w:szCs w:val="21"/>
    </w:rPr>
  </w:style>
  <w:style w:type="character" w:customStyle="1" w:styleId="80">
    <w:name w:val="UserStyle_39"/>
    <w:qFormat/>
    <w:uiPriority w:val="0"/>
    <w:rPr>
      <w:rFonts w:ascii="Arial" w:hAnsi="Arial" w:eastAsia="宋体"/>
      <w:color w:val="000000"/>
      <w:szCs w:val="21"/>
    </w:rPr>
  </w:style>
  <w:style w:type="character" w:customStyle="1" w:styleId="81">
    <w:name w:val="UserStyle_3"/>
    <w:link w:val="82"/>
    <w:qFormat/>
    <w:uiPriority w:val="0"/>
    <w:rPr>
      <w:rFonts w:ascii="宋体" w:hAnsi="宋体" w:eastAsia="宋体"/>
      <w:szCs w:val="24"/>
      <w:u w:val="single"/>
    </w:rPr>
  </w:style>
  <w:style w:type="paragraph" w:customStyle="1" w:styleId="82">
    <w:name w:val="BodyText2"/>
    <w:basedOn w:val="1"/>
    <w:link w:val="81"/>
    <w:qFormat/>
    <w:uiPriority w:val="0"/>
    <w:rPr>
      <w:rFonts w:ascii="宋体" w:hAnsi="宋体"/>
      <w:kern w:val="0"/>
      <w:sz w:val="20"/>
      <w:szCs w:val="24"/>
      <w:u w:val="single"/>
    </w:rPr>
  </w:style>
  <w:style w:type="character" w:customStyle="1" w:styleId="83">
    <w:name w:val="正文文本 3 Char"/>
    <w:qFormat/>
    <w:uiPriority w:val="0"/>
    <w:rPr>
      <w:kern w:val="2"/>
      <w:sz w:val="16"/>
      <w:szCs w:val="16"/>
    </w:rPr>
  </w:style>
  <w:style w:type="character" w:customStyle="1" w:styleId="84">
    <w:name w:val="NormalCharacter"/>
    <w:qFormat/>
    <w:uiPriority w:val="0"/>
  </w:style>
  <w:style w:type="character" w:customStyle="1" w:styleId="85">
    <w:name w:val="EndnoteReference"/>
    <w:qFormat/>
    <w:uiPriority w:val="0"/>
    <w:rPr>
      <w:vertAlign w:val="superscript"/>
    </w:rPr>
  </w:style>
  <w:style w:type="character" w:customStyle="1" w:styleId="86">
    <w:name w:val="UserStyle_30"/>
    <w:semiHidden/>
    <w:qFormat/>
    <w:uiPriority w:val="0"/>
    <w:rPr>
      <w:rFonts w:ascii="等线 Light" w:hAnsi="等线 Light" w:eastAsia="等线 Light" w:cs="Times New Roman"/>
      <w:b/>
      <w:bCs/>
      <w:sz w:val="32"/>
      <w:szCs w:val="32"/>
    </w:rPr>
  </w:style>
  <w:style w:type="character" w:customStyle="1" w:styleId="87">
    <w:name w:val="UserStyle_16"/>
    <w:semiHidden/>
    <w:qFormat/>
    <w:uiPriority w:val="0"/>
    <w:rPr>
      <w:rFonts w:ascii="Calibri" w:hAnsi="Calibri" w:eastAsia="宋体"/>
    </w:rPr>
  </w:style>
  <w:style w:type="character" w:customStyle="1" w:styleId="88">
    <w:name w:val="UserStyle_21"/>
    <w:qFormat/>
    <w:uiPriority w:val="0"/>
  </w:style>
  <w:style w:type="character" w:customStyle="1" w:styleId="89">
    <w:name w:val="UserStyle_11"/>
    <w:semiHidden/>
    <w:qFormat/>
    <w:uiPriority w:val="0"/>
    <w:rPr>
      <w:rFonts w:ascii="Calibri" w:hAnsi="Calibri" w:eastAsia="宋体"/>
    </w:rPr>
  </w:style>
  <w:style w:type="character" w:customStyle="1" w:styleId="90">
    <w:name w:val="UserStyle_6"/>
    <w:semiHidden/>
    <w:qFormat/>
    <w:uiPriority w:val="0"/>
    <w:rPr>
      <w:rFonts w:ascii="Calibri" w:hAnsi="Calibri" w:eastAsia="宋体"/>
    </w:rPr>
  </w:style>
  <w:style w:type="character" w:customStyle="1" w:styleId="91">
    <w:name w:val="UserStyle_55"/>
    <w:qFormat/>
    <w:uiPriority w:val="0"/>
    <w:rPr>
      <w:rFonts w:ascii="宋体" w:hAnsi="宋体" w:eastAsia="宋体"/>
      <w:color w:val="000000"/>
      <w:sz w:val="24"/>
      <w:szCs w:val="24"/>
    </w:rPr>
  </w:style>
  <w:style w:type="character" w:customStyle="1" w:styleId="92">
    <w:name w:val="UserStyle_50"/>
    <w:qFormat/>
    <w:uiPriority w:val="0"/>
    <w:rPr>
      <w:rFonts w:ascii="Calibri" w:hAnsi="Calibri" w:eastAsia="宋体" w:cs="Times New Roman"/>
      <w:b/>
      <w:bCs/>
      <w:kern w:val="44"/>
      <w:sz w:val="44"/>
      <w:szCs w:val="44"/>
    </w:rPr>
  </w:style>
  <w:style w:type="character" w:customStyle="1" w:styleId="93">
    <w:name w:val="正文文本 Char"/>
    <w:qFormat/>
    <w:uiPriority w:val="0"/>
    <w:rPr>
      <w:rFonts w:eastAsia="宋体"/>
      <w:lang w:val="en-US" w:eastAsia="zh-CN" w:bidi="ar-SA"/>
    </w:rPr>
  </w:style>
  <w:style w:type="character" w:customStyle="1" w:styleId="94">
    <w:name w:val="UserStyle_12"/>
    <w:qFormat/>
    <w:uiPriority w:val="0"/>
    <w:rPr>
      <w:rFonts w:ascii="等线 Light" w:hAnsi="等线 Light" w:eastAsia="等线 Light" w:cs="Times New Roman"/>
      <w:b/>
      <w:bCs/>
      <w:sz w:val="32"/>
      <w:szCs w:val="32"/>
    </w:rPr>
  </w:style>
  <w:style w:type="character" w:customStyle="1" w:styleId="95">
    <w:name w:val="htmlSamp"/>
    <w:qFormat/>
    <w:uiPriority w:val="0"/>
    <w:rPr>
      <w:rFonts w:ascii="Consolas" w:hAnsi="Consolas" w:eastAsia="Consolas"/>
      <w:sz w:val="21"/>
      <w:szCs w:val="21"/>
    </w:rPr>
  </w:style>
  <w:style w:type="character" w:customStyle="1" w:styleId="96">
    <w:name w:val="UserStyle_9"/>
    <w:semiHidden/>
    <w:qFormat/>
    <w:uiPriority w:val="0"/>
    <w:rPr>
      <w:rFonts w:ascii="Calibri" w:hAnsi="Calibri" w:eastAsia="宋体"/>
      <w:sz w:val="18"/>
      <w:szCs w:val="18"/>
    </w:rPr>
  </w:style>
  <w:style w:type="character" w:customStyle="1" w:styleId="97">
    <w:name w:val="PageNumber"/>
    <w:qFormat/>
    <w:uiPriority w:val="0"/>
  </w:style>
  <w:style w:type="character" w:customStyle="1" w:styleId="98">
    <w:name w:val="AnnotationReference"/>
    <w:qFormat/>
    <w:uiPriority w:val="0"/>
    <w:rPr>
      <w:sz w:val="21"/>
      <w:szCs w:val="21"/>
    </w:rPr>
  </w:style>
  <w:style w:type="character" w:customStyle="1" w:styleId="99">
    <w:name w:val="UserStyle_48"/>
    <w:qFormat/>
    <w:uiPriority w:val="0"/>
    <w:rPr>
      <w:rFonts w:ascii="Arial" w:hAnsi="Arial" w:eastAsia="黑体" w:cs="Times New Roman"/>
      <w:b/>
      <w:bCs/>
      <w:sz w:val="24"/>
      <w:szCs w:val="24"/>
    </w:rPr>
  </w:style>
  <w:style w:type="character" w:customStyle="1" w:styleId="100">
    <w:name w:val="UserStyle_25"/>
    <w:semiHidden/>
    <w:qFormat/>
    <w:uiPriority w:val="0"/>
    <w:rPr>
      <w:rFonts w:ascii="Calibri" w:hAnsi="Calibri" w:eastAsia="宋体"/>
      <w:sz w:val="18"/>
      <w:szCs w:val="18"/>
    </w:rPr>
  </w:style>
  <w:style w:type="character" w:customStyle="1" w:styleId="101">
    <w:name w:val="UserStyle_31"/>
    <w:qFormat/>
    <w:uiPriority w:val="0"/>
    <w:rPr>
      <w:rFonts w:ascii="Times New Roman" w:hAnsi="Times New Roman" w:eastAsia="宋体"/>
      <w:b/>
      <w:sz w:val="24"/>
      <w:szCs w:val="20"/>
    </w:rPr>
  </w:style>
  <w:style w:type="character" w:customStyle="1" w:styleId="102">
    <w:name w:val="UserStyle_20"/>
    <w:link w:val="103"/>
    <w:qFormat/>
    <w:uiPriority w:val="0"/>
    <w:rPr>
      <w:rFonts w:ascii="Times New Roman" w:hAnsi="Times New Roman" w:eastAsia="宋体"/>
      <w:szCs w:val="20"/>
    </w:rPr>
  </w:style>
  <w:style w:type="paragraph" w:customStyle="1" w:styleId="103">
    <w:name w:val="BodyText"/>
    <w:basedOn w:val="1"/>
    <w:link w:val="102"/>
    <w:qFormat/>
    <w:uiPriority w:val="0"/>
    <w:pPr>
      <w:spacing w:after="120"/>
    </w:pPr>
    <w:rPr>
      <w:rFonts w:ascii="Times New Roman" w:hAnsi="Times New Roman"/>
      <w:kern w:val="0"/>
      <w:sz w:val="20"/>
      <w:szCs w:val="20"/>
    </w:rPr>
  </w:style>
  <w:style w:type="character" w:customStyle="1" w:styleId="104">
    <w:name w:val="HtmlDfn"/>
    <w:qFormat/>
    <w:uiPriority w:val="0"/>
    <w:rPr>
      <w:i/>
    </w:rPr>
  </w:style>
  <w:style w:type="character" w:customStyle="1" w:styleId="105">
    <w:name w:val="UserStyle_44"/>
    <w:qFormat/>
    <w:uiPriority w:val="0"/>
    <w:rPr>
      <w:rFonts w:ascii="Arial" w:hAnsi="Arial" w:eastAsia="宋体"/>
      <w:b/>
      <w:kern w:val="44"/>
      <w:sz w:val="28"/>
      <w:szCs w:val="28"/>
    </w:rPr>
  </w:style>
  <w:style w:type="character" w:customStyle="1" w:styleId="106">
    <w:name w:val="UserStyle_26"/>
    <w:qFormat/>
    <w:uiPriority w:val="0"/>
    <w:rPr>
      <w:rFonts w:ascii="Arial" w:hAnsi="Arial" w:eastAsia="宋体"/>
      <w:color w:val="000000"/>
      <w:szCs w:val="21"/>
    </w:rPr>
  </w:style>
  <w:style w:type="character" w:customStyle="1" w:styleId="107">
    <w:name w:val="UserStyle_0"/>
    <w:link w:val="108"/>
    <w:semiHidden/>
    <w:qFormat/>
    <w:uiPriority w:val="0"/>
    <w:rPr>
      <w:rFonts w:ascii="等线" w:hAnsi="Courier New"/>
    </w:rPr>
  </w:style>
  <w:style w:type="paragraph" w:customStyle="1" w:styleId="108">
    <w:name w:val="Heading9"/>
    <w:basedOn w:val="1"/>
    <w:next w:val="109"/>
    <w:link w:val="107"/>
    <w:qFormat/>
    <w:uiPriority w:val="0"/>
    <w:pPr>
      <w:keepNext/>
      <w:keepLines/>
      <w:numPr>
        <w:ilvl w:val="8"/>
        <w:numId w:val="1"/>
      </w:numPr>
      <w:spacing w:before="240" w:after="64" w:line="320" w:lineRule="auto"/>
    </w:pPr>
    <w:rPr>
      <w:rFonts w:ascii="等线" w:hAnsi="Courier New"/>
      <w:kern w:val="0"/>
      <w:sz w:val="20"/>
      <w:szCs w:val="20"/>
    </w:rPr>
  </w:style>
  <w:style w:type="paragraph" w:customStyle="1" w:styleId="109">
    <w:name w:val="NormalIndent"/>
    <w:basedOn w:val="1"/>
    <w:qFormat/>
    <w:uiPriority w:val="0"/>
    <w:pPr>
      <w:ind w:firstLine="420"/>
    </w:pPr>
    <w:rPr>
      <w:rFonts w:ascii="Times New Roman" w:hAnsi="Times New Roman"/>
      <w:szCs w:val="20"/>
    </w:rPr>
  </w:style>
  <w:style w:type="character" w:customStyle="1" w:styleId="110">
    <w:name w:val="UserStyle_52"/>
    <w:semiHidden/>
    <w:qFormat/>
    <w:uiPriority w:val="0"/>
    <w:rPr>
      <w:rFonts w:ascii="Calibri" w:hAnsi="Calibri" w:eastAsia="宋体"/>
    </w:rPr>
  </w:style>
  <w:style w:type="character" w:customStyle="1" w:styleId="111">
    <w:name w:val="纯文本 字符1"/>
    <w:qFormat/>
    <w:uiPriority w:val="0"/>
    <w:rPr>
      <w:rFonts w:ascii="宋体" w:hAnsi="Courier New" w:eastAsia="宋体" w:cs="Times New Roman"/>
      <w:szCs w:val="20"/>
    </w:rPr>
  </w:style>
  <w:style w:type="character" w:customStyle="1" w:styleId="112">
    <w:name w:val="UserStyle_2"/>
    <w:semiHidden/>
    <w:qFormat/>
    <w:uiPriority w:val="0"/>
    <w:rPr>
      <w:rFonts w:ascii="Calibri" w:hAnsi="Calibri" w:eastAsia="宋体" w:cs="Times New Roman"/>
      <w:b/>
      <w:bCs/>
    </w:rPr>
  </w:style>
  <w:style w:type="character" w:customStyle="1" w:styleId="113">
    <w:name w:val="UserStyle_43"/>
    <w:semiHidden/>
    <w:qFormat/>
    <w:uiPriority w:val="0"/>
    <w:rPr>
      <w:rFonts w:ascii="Calibri" w:hAnsi="Calibri" w:eastAsia="宋体" w:cs="Times New Roman"/>
      <w:b/>
      <w:bCs/>
      <w:sz w:val="24"/>
      <w:szCs w:val="24"/>
    </w:rPr>
  </w:style>
  <w:style w:type="character" w:customStyle="1" w:styleId="114">
    <w:name w:val="UserStyle_54"/>
    <w:semiHidden/>
    <w:qFormat/>
    <w:uiPriority w:val="0"/>
    <w:rPr>
      <w:rFonts w:ascii="Calibri" w:hAnsi="Calibri" w:eastAsia="宋体"/>
    </w:rPr>
  </w:style>
  <w:style w:type="character" w:customStyle="1" w:styleId="115">
    <w:name w:val="UserStyle_35"/>
    <w:qFormat/>
    <w:uiPriority w:val="0"/>
    <w:rPr>
      <w:rFonts w:ascii="Arial" w:hAnsi="Arial" w:eastAsia="宋体"/>
      <w:b/>
      <w:color w:val="000000"/>
      <w:sz w:val="24"/>
      <w:szCs w:val="24"/>
    </w:rPr>
  </w:style>
  <w:style w:type="character" w:customStyle="1" w:styleId="116">
    <w:name w:val="UserStyle_28"/>
    <w:semiHidden/>
    <w:qFormat/>
    <w:uiPriority w:val="0"/>
    <w:rPr>
      <w:rFonts w:ascii="Calibri" w:hAnsi="Calibri" w:eastAsia="宋体" w:cs="Times New Roman"/>
      <w:b/>
      <w:bCs/>
      <w:sz w:val="32"/>
      <w:szCs w:val="32"/>
    </w:rPr>
  </w:style>
  <w:style w:type="character" w:customStyle="1" w:styleId="117">
    <w:name w:val="UserStyle_5"/>
    <w:link w:val="118"/>
    <w:qFormat/>
    <w:uiPriority w:val="0"/>
  </w:style>
  <w:style w:type="paragraph" w:customStyle="1" w:styleId="118">
    <w:name w:val="BodyText1I"/>
    <w:basedOn w:val="103"/>
    <w:link w:val="117"/>
    <w:qFormat/>
    <w:uiPriority w:val="0"/>
    <w:pPr>
      <w:ind w:firstLine="420"/>
    </w:pPr>
  </w:style>
  <w:style w:type="character" w:customStyle="1" w:styleId="119">
    <w:name w:val="UserStyle_7"/>
    <w:link w:val="120"/>
    <w:qFormat/>
    <w:uiPriority w:val="0"/>
    <w:rPr>
      <w:rFonts w:ascii="宋体" w:hAnsi="宋体" w:eastAsia="宋体" w:cs="Times New Roman"/>
      <w:b/>
      <w:bCs/>
      <w:sz w:val="24"/>
      <w:szCs w:val="24"/>
    </w:rPr>
  </w:style>
  <w:style w:type="paragraph" w:customStyle="1" w:styleId="120">
    <w:name w:val="AnnotationSubject"/>
    <w:basedOn w:val="50"/>
    <w:next w:val="50"/>
    <w:link w:val="119"/>
    <w:qFormat/>
    <w:uiPriority w:val="0"/>
    <w:rPr>
      <w:b/>
      <w:bCs/>
    </w:rPr>
  </w:style>
  <w:style w:type="character" w:customStyle="1" w:styleId="121">
    <w:name w:val="UserStyle_27"/>
    <w:link w:val="122"/>
    <w:qFormat/>
    <w:uiPriority w:val="0"/>
    <w:rPr>
      <w:rFonts w:ascii="Times New Roman" w:hAnsi="Times New Roman" w:eastAsia="宋体"/>
      <w:sz w:val="28"/>
      <w:szCs w:val="20"/>
    </w:rPr>
  </w:style>
  <w:style w:type="paragraph" w:customStyle="1" w:styleId="122">
    <w:name w:val="BodyTextIndent"/>
    <w:basedOn w:val="1"/>
    <w:link w:val="121"/>
    <w:qFormat/>
    <w:uiPriority w:val="0"/>
    <w:pPr>
      <w:ind w:firstLine="570"/>
    </w:pPr>
    <w:rPr>
      <w:rFonts w:ascii="Times New Roman" w:hAnsi="Times New Roman"/>
      <w:kern w:val="0"/>
      <w:sz w:val="28"/>
      <w:szCs w:val="20"/>
    </w:rPr>
  </w:style>
  <w:style w:type="character" w:customStyle="1" w:styleId="123">
    <w:name w:val="UserStyle_42"/>
    <w:qFormat/>
    <w:uiPriority w:val="0"/>
    <w:rPr>
      <w:rFonts w:ascii="宋体" w:hAnsi="宋体" w:eastAsia="宋体"/>
      <w:kern w:val="0"/>
      <w:sz w:val="27"/>
      <w:szCs w:val="27"/>
    </w:rPr>
  </w:style>
  <w:style w:type="character" w:customStyle="1" w:styleId="124">
    <w:name w:val="UserStyle_19"/>
    <w:semiHidden/>
    <w:qFormat/>
    <w:uiPriority w:val="0"/>
    <w:rPr>
      <w:rFonts w:ascii="Calibri" w:hAnsi="Calibri" w:eastAsia="宋体"/>
      <w:sz w:val="18"/>
      <w:szCs w:val="18"/>
    </w:rPr>
  </w:style>
  <w:style w:type="character" w:customStyle="1" w:styleId="125">
    <w:name w:val="UserStyle_4"/>
    <w:semiHidden/>
    <w:qFormat/>
    <w:uiPriority w:val="0"/>
    <w:rPr>
      <w:rFonts w:ascii="等线 Light" w:hAnsi="等线 Light" w:eastAsia="等线 Light" w:cs="Times New Roman"/>
      <w:b/>
      <w:bCs/>
      <w:sz w:val="24"/>
      <w:szCs w:val="24"/>
    </w:rPr>
  </w:style>
  <w:style w:type="character" w:customStyle="1" w:styleId="126">
    <w:name w:val="HtmlKbd"/>
    <w:qFormat/>
    <w:uiPriority w:val="0"/>
    <w:rPr>
      <w:rFonts w:ascii="Consolas" w:hAnsi="Consolas" w:eastAsia="Consolas"/>
      <w:color w:val="FFFFFF"/>
      <w:sz w:val="21"/>
      <w:szCs w:val="21"/>
      <w:shd w:val="clear" w:color="auto" w:fill="333333"/>
    </w:rPr>
  </w:style>
  <w:style w:type="paragraph" w:customStyle="1" w:styleId="127">
    <w:name w:val="UserStyle_60"/>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128">
    <w:name w:val="Heading6"/>
    <w:basedOn w:val="1"/>
    <w:next w:val="1"/>
    <w:qFormat/>
    <w:uiPriority w:val="0"/>
    <w:pPr>
      <w:keepNext/>
      <w:keepLines/>
      <w:numPr>
        <w:ilvl w:val="5"/>
        <w:numId w:val="2"/>
      </w:numPr>
      <w:spacing w:before="240" w:after="64" w:line="320" w:lineRule="auto"/>
    </w:pPr>
    <w:rPr>
      <w:rFonts w:ascii="Arial" w:hAnsi="Arial" w:eastAsia="黑体"/>
      <w:sz w:val="24"/>
      <w:szCs w:val="24"/>
    </w:rPr>
  </w:style>
  <w:style w:type="paragraph" w:customStyle="1" w:styleId="129">
    <w:name w:val="UserStyle_73"/>
    <w:basedOn w:val="130"/>
    <w:qFormat/>
    <w:uiPriority w:val="0"/>
    <w:pPr>
      <w:keepNext/>
      <w:keepLines/>
      <w:spacing w:before="0" w:after="0"/>
      <w:ind w:left="1469" w:right="1542"/>
    </w:pPr>
    <w:rPr>
      <w:rFonts w:hAnsi="Times New Roman"/>
      <w:kern w:val="2"/>
      <w:sz w:val="44"/>
      <w:szCs w:val="21"/>
    </w:rPr>
  </w:style>
  <w:style w:type="paragraph" w:customStyle="1" w:styleId="130">
    <w:name w:val="Heading3"/>
    <w:basedOn w:val="1"/>
    <w:next w:val="1"/>
    <w:qFormat/>
    <w:uiPriority w:val="0"/>
    <w:pPr>
      <w:spacing w:before="100" w:beforeAutospacing="1" w:after="100" w:afterAutospacing="1"/>
      <w:jc w:val="left"/>
    </w:pPr>
    <w:rPr>
      <w:rFonts w:ascii="宋体" w:hAnsi="宋体"/>
      <w:kern w:val="0"/>
      <w:sz w:val="27"/>
      <w:szCs w:val="27"/>
    </w:rPr>
  </w:style>
  <w:style w:type="paragraph" w:customStyle="1" w:styleId="131">
    <w:name w:val="UserStyle_61"/>
    <w:basedOn w:val="1"/>
    <w:qFormat/>
    <w:uiPriority w:val="0"/>
    <w:pPr>
      <w:spacing w:before="100" w:after="100"/>
      <w:ind w:left="360" w:right="360"/>
      <w:jc w:val="left"/>
    </w:pPr>
    <w:rPr>
      <w:rFonts w:ascii="Times New Roman" w:hAnsi="Times New Roman"/>
      <w:kern w:val="0"/>
      <w:sz w:val="24"/>
      <w:szCs w:val="20"/>
    </w:rPr>
  </w:style>
  <w:style w:type="paragraph" w:customStyle="1" w:styleId="132">
    <w:name w:val="Heading4"/>
    <w:basedOn w:val="130"/>
    <w:next w:val="109"/>
    <w:qFormat/>
    <w:uiPriority w:val="0"/>
    <w:pPr>
      <w:keepNext/>
      <w:keepLines/>
      <w:numPr>
        <w:ilvl w:val="3"/>
        <w:numId w:val="1"/>
      </w:numPr>
      <w:spacing w:before="0" w:after="0" w:line="360" w:lineRule="auto"/>
    </w:pPr>
    <w:rPr>
      <w:rFonts w:ascii="Arial" w:hAnsi="Arial"/>
      <w:color w:val="000000"/>
      <w:kern w:val="2"/>
      <w:sz w:val="21"/>
      <w:szCs w:val="21"/>
    </w:rPr>
  </w:style>
  <w:style w:type="paragraph" w:customStyle="1" w:styleId="133">
    <w:name w:val="UserStyle_68"/>
    <w:basedOn w:val="1"/>
    <w:qFormat/>
    <w:uiPriority w:val="0"/>
    <w:pPr>
      <w:numPr>
        <w:ilvl w:val="0"/>
        <w:numId w:val="1"/>
      </w:numPr>
    </w:pPr>
    <w:rPr>
      <w:rFonts w:ascii="Times New Roman" w:hAnsi="Times New Roman"/>
      <w:sz w:val="24"/>
      <w:szCs w:val="24"/>
    </w:rPr>
  </w:style>
  <w:style w:type="paragraph" w:customStyle="1" w:styleId="134">
    <w:name w:val="TOC3"/>
    <w:basedOn w:val="1"/>
    <w:next w:val="1"/>
    <w:qFormat/>
    <w:uiPriority w:val="0"/>
    <w:pPr>
      <w:snapToGrid w:val="0"/>
      <w:spacing w:line="360" w:lineRule="auto"/>
      <w:ind w:left="400" w:leftChars="400"/>
      <w:jc w:val="left"/>
    </w:pPr>
    <w:rPr>
      <w:rFonts w:ascii="Times New Roman" w:hAnsi="Times New Roman"/>
      <w:sz w:val="24"/>
      <w:szCs w:val="20"/>
    </w:rPr>
  </w:style>
  <w:style w:type="paragraph" w:customStyle="1" w:styleId="135">
    <w:name w:val="179"/>
    <w:basedOn w:val="1"/>
    <w:qFormat/>
    <w:uiPriority w:val="0"/>
    <w:pPr>
      <w:ind w:firstLine="420" w:firstLineChars="200"/>
    </w:pPr>
    <w:rPr>
      <w:rFonts w:ascii="Times New Roman" w:hAnsi="Times New Roman"/>
      <w:szCs w:val="20"/>
    </w:rPr>
  </w:style>
  <w:style w:type="paragraph" w:customStyle="1" w:styleId="13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
    <w:name w:val="UserStyle_76"/>
    <w:basedOn w:val="1"/>
    <w:qFormat/>
    <w:uiPriority w:val="0"/>
    <w:rPr>
      <w:rFonts w:ascii="Arial" w:hAnsi="Arial"/>
      <w:sz w:val="48"/>
      <w:szCs w:val="20"/>
    </w:rPr>
  </w:style>
  <w:style w:type="paragraph" w:customStyle="1" w:styleId="138">
    <w:name w:val="页脚 New New New"/>
    <w:basedOn w:val="1"/>
    <w:qFormat/>
    <w:uiPriority w:val="0"/>
    <w:pPr>
      <w:widowControl w:val="0"/>
      <w:tabs>
        <w:tab w:val="center" w:pos="4153"/>
        <w:tab w:val="right" w:pos="8306"/>
      </w:tabs>
      <w:snapToGrid w:val="0"/>
      <w:jc w:val="left"/>
      <w:textAlignment w:val="auto"/>
    </w:pPr>
    <w:rPr>
      <w:rFonts w:ascii="Times New Roman" w:hAnsi="Times New Roman"/>
      <w:sz w:val="18"/>
      <w:szCs w:val="18"/>
    </w:rPr>
  </w:style>
  <w:style w:type="paragraph" w:customStyle="1" w:styleId="139">
    <w:name w:val="UserStyle_65"/>
    <w:basedOn w:val="140"/>
    <w:next w:val="1"/>
    <w:qFormat/>
    <w:uiPriority w:val="0"/>
    <w:pPr>
      <w:spacing w:before="480" w:after="0" w:line="276" w:lineRule="auto"/>
    </w:pPr>
    <w:rPr>
      <w:rFonts w:ascii="Cambria" w:hAnsi="Cambria"/>
      <w:color w:val="365F91"/>
      <w:kern w:val="0"/>
    </w:rPr>
  </w:style>
  <w:style w:type="paragraph" w:customStyle="1" w:styleId="140">
    <w:name w:val="Heading1"/>
    <w:basedOn w:val="20"/>
    <w:next w:val="118"/>
    <w:qFormat/>
    <w:uiPriority w:val="0"/>
    <w:pPr>
      <w:keepNext/>
      <w:keepLines/>
      <w:spacing w:after="120" w:line="360" w:lineRule="auto"/>
    </w:pPr>
    <w:rPr>
      <w:kern w:val="44"/>
      <w:sz w:val="28"/>
      <w:szCs w:val="28"/>
    </w:rPr>
  </w:style>
  <w:style w:type="paragraph" w:customStyle="1" w:styleId="141">
    <w:name w:val="UserStyle_67"/>
    <w:basedOn w:val="142"/>
    <w:qFormat/>
    <w:uiPriority w:val="0"/>
    <w:pPr>
      <w:ind w:firstLine="200" w:firstLineChars="200"/>
    </w:pPr>
    <w:rPr>
      <w:kern w:val="2"/>
    </w:rPr>
  </w:style>
  <w:style w:type="paragraph" w:customStyle="1" w:styleId="142">
    <w:name w:val="UserStyle_59"/>
    <w:next w:val="141"/>
    <w:qFormat/>
    <w:uiPriority w:val="0"/>
    <w:pPr>
      <w:textAlignment w:val="baseline"/>
    </w:pPr>
    <w:rPr>
      <w:rFonts w:ascii="宋体" w:hAnsi="Times New Roman" w:eastAsia="宋体" w:cs="Times New Roman"/>
      <w:sz w:val="24"/>
      <w:szCs w:val="24"/>
      <w:lang w:val="en-US" w:eastAsia="zh-CN" w:bidi="ar-SA"/>
    </w:rPr>
  </w:style>
  <w:style w:type="paragraph" w:customStyle="1" w:styleId="143">
    <w:name w:val="封二"/>
    <w:basedOn w:val="57"/>
    <w:next w:val="57"/>
    <w:qFormat/>
    <w:uiPriority w:val="0"/>
    <w:pPr>
      <w:ind w:firstLine="0" w:firstLineChars="0"/>
      <w:jc w:val="center"/>
    </w:pPr>
    <w:rPr>
      <w:rFonts w:eastAsia="黑体"/>
      <w:b/>
      <w:sz w:val="36"/>
      <w:szCs w:val="36"/>
    </w:rPr>
  </w:style>
  <w:style w:type="paragraph" w:customStyle="1" w:styleId="144">
    <w:name w:val="UserStyle_58"/>
    <w:basedOn w:val="142"/>
    <w:qFormat/>
    <w:uiPriority w:val="0"/>
    <w:pPr>
      <w:ind w:firstLine="420" w:firstLineChars="200"/>
    </w:pPr>
  </w:style>
  <w:style w:type="paragraph" w:customStyle="1" w:styleId="145">
    <w:name w:val="UserStyle_72"/>
    <w:basedOn w:val="61"/>
    <w:qFormat/>
    <w:uiPriority w:val="0"/>
    <w:rPr>
      <w:rFonts w:ascii="Tahoma" w:hAnsi="Tahoma"/>
      <w:sz w:val="24"/>
      <w:szCs w:val="24"/>
    </w:rPr>
  </w:style>
  <w:style w:type="paragraph" w:customStyle="1" w:styleId="146">
    <w:name w:val="Heading2"/>
    <w:basedOn w:val="1"/>
    <w:next w:val="109"/>
    <w:qFormat/>
    <w:uiPriority w:val="0"/>
    <w:pPr>
      <w:keepNext/>
      <w:keepLines/>
      <w:spacing w:before="120" w:after="120" w:line="415" w:lineRule="auto"/>
      <w:ind w:left="454"/>
      <w:jc w:val="center"/>
    </w:pPr>
    <w:rPr>
      <w:rFonts w:ascii="Arial" w:hAnsi="Arial"/>
      <w:color w:val="000000"/>
      <w:sz w:val="24"/>
      <w:szCs w:val="24"/>
    </w:rPr>
  </w:style>
  <w:style w:type="paragraph" w:customStyle="1" w:styleId="147">
    <w:name w:val="Heading7"/>
    <w:basedOn w:val="1"/>
    <w:next w:val="109"/>
    <w:qFormat/>
    <w:uiPriority w:val="0"/>
    <w:pPr>
      <w:keepNext/>
      <w:keepLines/>
      <w:numPr>
        <w:ilvl w:val="6"/>
        <w:numId w:val="1"/>
      </w:numPr>
      <w:spacing w:before="240" w:after="64" w:line="320" w:lineRule="auto"/>
    </w:pPr>
    <w:rPr>
      <w:rFonts w:ascii="Times New Roman" w:hAnsi="Times New Roman"/>
      <w:sz w:val="24"/>
      <w:szCs w:val="20"/>
    </w:rPr>
  </w:style>
  <w:style w:type="paragraph" w:customStyle="1" w:styleId="148">
    <w:name w:val="TOC1"/>
    <w:basedOn w:val="1"/>
    <w:next w:val="1"/>
    <w:qFormat/>
    <w:uiPriority w:val="0"/>
    <w:pPr>
      <w:tabs>
        <w:tab w:val="right" w:leader="dot" w:pos="9060"/>
      </w:tabs>
      <w:snapToGrid w:val="0"/>
      <w:spacing w:line="360" w:lineRule="auto"/>
      <w:jc w:val="left"/>
    </w:pPr>
    <w:rPr>
      <w:rFonts w:ascii="宋体" w:hAnsi="宋体"/>
      <w:kern w:val="0"/>
      <w:sz w:val="24"/>
      <w:szCs w:val="32"/>
    </w:rPr>
  </w:style>
  <w:style w:type="paragraph" w:customStyle="1" w:styleId="149">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Heading8"/>
    <w:basedOn w:val="1"/>
    <w:next w:val="109"/>
    <w:qFormat/>
    <w:uiPriority w:val="0"/>
    <w:pPr>
      <w:keepNext/>
      <w:keepLines/>
      <w:numPr>
        <w:ilvl w:val="7"/>
        <w:numId w:val="1"/>
      </w:numPr>
      <w:spacing w:before="240" w:after="64" w:line="320" w:lineRule="auto"/>
    </w:pPr>
    <w:rPr>
      <w:rFonts w:ascii="Arial" w:hAnsi="Arial" w:eastAsia="黑体"/>
      <w:sz w:val="24"/>
      <w:szCs w:val="20"/>
    </w:rPr>
  </w:style>
  <w:style w:type="paragraph" w:customStyle="1" w:styleId="151">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152">
    <w:name w:val="修订1"/>
    <w:unhideWhenUsed/>
    <w:qFormat/>
    <w:uiPriority w:val="99"/>
    <w:rPr>
      <w:rFonts w:ascii="Calibri" w:hAnsi="Calibri" w:eastAsia="宋体" w:cs="Times New Roman"/>
      <w:kern w:val="2"/>
      <w:sz w:val="21"/>
      <w:szCs w:val="22"/>
      <w:lang w:val="en-US" w:eastAsia="zh-CN" w:bidi="ar-SA"/>
    </w:rPr>
  </w:style>
  <w:style w:type="paragraph" w:customStyle="1" w:styleId="153">
    <w:name w:val="封四"/>
    <w:basedOn w:val="57"/>
    <w:next w:val="57"/>
    <w:qFormat/>
    <w:uiPriority w:val="0"/>
    <w:pPr>
      <w:jc w:val="left"/>
    </w:pPr>
    <w:rPr>
      <w:sz w:val="30"/>
      <w:szCs w:val="30"/>
    </w:rPr>
  </w:style>
  <w:style w:type="paragraph" w:customStyle="1" w:styleId="154">
    <w:name w:val="列出段落1"/>
    <w:basedOn w:val="1"/>
    <w:qFormat/>
    <w:uiPriority w:val="0"/>
    <w:pPr>
      <w:widowControl w:val="0"/>
      <w:ind w:firstLine="420" w:firstLineChars="200"/>
      <w:textAlignment w:val="auto"/>
    </w:pPr>
    <w:rPr>
      <w:szCs w:val="21"/>
    </w:rPr>
  </w:style>
  <w:style w:type="paragraph" w:customStyle="1" w:styleId="155">
    <w:name w:val="UserStyle_63"/>
    <w:basedOn w:val="1"/>
    <w:next w:val="1"/>
    <w:qFormat/>
    <w:uiPriority w:val="0"/>
    <w:pPr>
      <w:topLinePunct/>
      <w:snapToGrid w:val="0"/>
      <w:jc w:val="center"/>
    </w:pPr>
    <w:rPr>
      <w:rFonts w:ascii="Times New Roman" w:hAnsi="Times New Roman" w:eastAsia="黑体"/>
      <w:spacing w:val="4"/>
      <w:kern w:val="0"/>
      <w:sz w:val="30"/>
      <w:szCs w:val="30"/>
    </w:rPr>
  </w:style>
  <w:style w:type="paragraph" w:customStyle="1" w:styleId="156">
    <w:name w:val="正题"/>
    <w:basedOn w:val="57"/>
    <w:next w:val="57"/>
    <w:qFormat/>
    <w:uiPriority w:val="0"/>
    <w:pPr>
      <w:ind w:firstLine="0" w:firstLineChars="0"/>
      <w:jc w:val="center"/>
    </w:pPr>
    <w:rPr>
      <w:rFonts w:eastAsia="黑体"/>
      <w:b/>
      <w:sz w:val="36"/>
      <w:szCs w:val="36"/>
    </w:rPr>
  </w:style>
  <w:style w:type="paragraph" w:customStyle="1" w:styleId="157">
    <w:name w:val="UserStyle_70"/>
    <w:basedOn w:val="1"/>
    <w:qFormat/>
    <w:uiPriority w:val="0"/>
    <w:pPr>
      <w:spacing w:line="360" w:lineRule="auto"/>
      <w:jc w:val="center"/>
    </w:pPr>
    <w:rPr>
      <w:rFonts w:ascii="黑体" w:hAnsi="Times New Roman" w:eastAsia="黑体"/>
      <w:kern w:val="0"/>
      <w:sz w:val="24"/>
      <w:szCs w:val="20"/>
    </w:rPr>
  </w:style>
  <w:style w:type="paragraph" w:customStyle="1" w:styleId="158">
    <w:name w:val="UserStyle_56"/>
    <w:qFormat/>
    <w:uiPriority w:val="0"/>
    <w:pPr>
      <w:textAlignment w:val="baseline"/>
    </w:pPr>
    <w:rPr>
      <w:rFonts w:ascii="等线" w:hAnsi="等线" w:eastAsia="等线" w:cs="Times New Roman"/>
      <w:lang w:val="en-US" w:eastAsia="zh-CN" w:bidi="ar-SA"/>
    </w:rPr>
  </w:style>
  <w:style w:type="paragraph" w:customStyle="1" w:styleId="159">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160">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61">
    <w:name w:val="UserStyle_75"/>
    <w:basedOn w:val="1"/>
    <w:qFormat/>
    <w:uiPriority w:val="0"/>
    <w:rPr>
      <w:rFonts w:ascii="Times New Roman" w:hAnsi="Times New Roman"/>
      <w:sz w:val="30"/>
      <w:szCs w:val="24"/>
    </w:rPr>
  </w:style>
  <w:style w:type="paragraph" w:customStyle="1" w:styleId="162">
    <w:name w:val="TOC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customStyle="1" w:styleId="163">
    <w:name w:val="UserStyle_69"/>
    <w:basedOn w:val="160"/>
    <w:qFormat/>
    <w:uiPriority w:val="0"/>
    <w:pPr>
      <w:ind w:left="4094" w:right="607" w:firstLine="0"/>
      <w:jc w:val="center"/>
    </w:pPr>
  </w:style>
  <w:style w:type="paragraph" w:customStyle="1" w:styleId="164">
    <w:name w:val="HtmlNormal"/>
    <w:basedOn w:val="1"/>
    <w:qFormat/>
    <w:uiPriority w:val="0"/>
    <w:rPr>
      <w:rFonts w:ascii="仿宋_GB2312" w:hAnsi="Times New Roman"/>
      <w:sz w:val="24"/>
      <w:szCs w:val="32"/>
    </w:rPr>
  </w:style>
  <w:style w:type="paragraph" w:customStyle="1" w:styleId="165">
    <w:name w:val="UserStyle_71"/>
    <w:semiHidden/>
    <w:qFormat/>
    <w:uiPriority w:val="0"/>
    <w:pPr>
      <w:textAlignment w:val="baseline"/>
    </w:pPr>
    <w:rPr>
      <w:rFonts w:ascii="Times New Roman" w:hAnsi="Times New Roman" w:eastAsia="宋体" w:cs="Times New Roman"/>
      <w:kern w:val="2"/>
      <w:sz w:val="21"/>
      <w:lang w:val="en-US" w:eastAsia="zh-CN" w:bidi="ar-SA"/>
    </w:rPr>
  </w:style>
  <w:style w:type="paragraph" w:customStyle="1" w:styleId="166">
    <w:name w:val="UserStyle_64"/>
    <w:basedOn w:val="1"/>
    <w:next w:val="1"/>
    <w:qFormat/>
    <w:uiPriority w:val="0"/>
    <w:pPr>
      <w:topLinePunct/>
      <w:snapToGrid w:val="0"/>
      <w:jc w:val="left"/>
    </w:pPr>
    <w:rPr>
      <w:rFonts w:ascii="黑体" w:hAnsi="宋体" w:eastAsia="黑体"/>
      <w:spacing w:val="4"/>
      <w:kern w:val="0"/>
      <w:sz w:val="24"/>
      <w:szCs w:val="24"/>
    </w:rPr>
  </w:style>
  <w:style w:type="paragraph" w:customStyle="1" w:styleId="167">
    <w:name w:val="UserStyle_74"/>
    <w:basedOn w:val="1"/>
    <w:qFormat/>
    <w:uiPriority w:val="0"/>
    <w:rPr>
      <w:rFonts w:ascii="Tahoma" w:hAnsi="Tahoma"/>
      <w:sz w:val="24"/>
      <w:szCs w:val="20"/>
    </w:rPr>
  </w:style>
  <w:style w:type="paragraph" w:customStyle="1" w:styleId="168">
    <w:name w:val="UserStyle_62"/>
    <w:basedOn w:val="109"/>
    <w:qFormat/>
    <w:uiPriority w:val="0"/>
    <w:pPr>
      <w:ind w:firstLine="0"/>
    </w:pPr>
    <w:rPr>
      <w:rFonts w:ascii="仿宋_GB2312" w:eastAsia="仿宋_GB2312"/>
      <w:sz w:val="30"/>
      <w:szCs w:val="24"/>
    </w:rPr>
  </w:style>
  <w:style w:type="paragraph" w:customStyle="1" w:styleId="169">
    <w:name w:val="封一"/>
    <w:basedOn w:val="57"/>
    <w:next w:val="57"/>
    <w:qFormat/>
    <w:uiPriority w:val="0"/>
    <w:pPr>
      <w:ind w:firstLine="0" w:firstLineChars="0"/>
      <w:jc w:val="center"/>
    </w:pPr>
    <w:rPr>
      <w:rFonts w:eastAsia="黑体"/>
      <w:b/>
      <w:sz w:val="84"/>
      <w:szCs w:val="84"/>
    </w:rPr>
  </w:style>
  <w:style w:type="paragraph" w:customStyle="1" w:styleId="170">
    <w:name w:val="Index1"/>
    <w:basedOn w:val="1"/>
    <w:next w:val="1"/>
    <w:qFormat/>
    <w:uiPriority w:val="0"/>
    <w:rPr>
      <w:rFonts w:ascii="Times New Roman" w:hAnsi="Times New Roman" w:eastAsia="仿宋_GB2312"/>
      <w:sz w:val="28"/>
      <w:szCs w:val="20"/>
    </w:rPr>
  </w:style>
  <w:style w:type="paragraph" w:customStyle="1" w:styleId="171">
    <w:name w:val="Heading5"/>
    <w:basedOn w:val="132"/>
    <w:next w:val="109"/>
    <w:qFormat/>
    <w:uiPriority w:val="0"/>
    <w:pPr>
      <w:numPr>
        <w:ilvl w:val="4"/>
      </w:numPr>
      <w:spacing w:line="240" w:lineRule="exact"/>
    </w:pPr>
  </w:style>
  <w:style w:type="table" w:customStyle="1" w:styleId="172">
    <w:name w:val="TableNormal"/>
    <w:qFormat/>
    <w:uiPriority w:val="0"/>
    <w:tblPr>
      <w:tblCellMar>
        <w:top w:w="0" w:type="dxa"/>
        <w:left w:w="0" w:type="dxa"/>
        <w:bottom w:w="0" w:type="dxa"/>
        <w:right w:w="0" w:type="dxa"/>
      </w:tblCellMar>
    </w:tblPr>
  </w:style>
  <w:style w:type="table" w:customStyle="1" w:styleId="173">
    <w:name w:val="TableGrid"/>
    <w:basedOn w:val="172"/>
    <w:qFormat/>
    <w:uiPriority w:val="0"/>
    <w:tblPr>
      <w:tblCellMar>
        <w:top w:w="0" w:type="dxa"/>
        <w:left w:w="0" w:type="dxa"/>
        <w:bottom w:w="0" w:type="dxa"/>
        <w:right w:w="0" w:type="dxa"/>
      </w:tblCellMar>
    </w:tblPr>
  </w:style>
  <w:style w:type="paragraph" w:styleId="174">
    <w:name w:val="List Paragraph"/>
    <w:basedOn w:val="1"/>
    <w:qFormat/>
    <w:uiPriority w:val="0"/>
    <w:pPr>
      <w:widowControl w:val="0"/>
      <w:ind w:firstLine="420" w:firstLineChars="200"/>
      <w:textAlignment w:val="auto"/>
    </w:pPr>
    <w:rPr>
      <w:rFonts w:ascii="Times New Roman" w:hAnsi="Times New Roman"/>
      <w:szCs w:val="20"/>
    </w:rPr>
  </w:style>
  <w:style w:type="character" w:customStyle="1" w:styleId="175">
    <w:name w:val="Char Char12"/>
    <w:qFormat/>
    <w:uiPriority w:val="0"/>
    <w:rPr>
      <w:rFonts w:ascii="Calibri" w:hAnsi="Calibri" w:eastAsia="宋体" w:cs="Times New Roman"/>
      <w:sz w:val="18"/>
      <w:lang w:bidi="ar-SA"/>
    </w:rPr>
  </w:style>
  <w:style w:type="character" w:customStyle="1" w:styleId="176">
    <w:name w:val="font11"/>
    <w:basedOn w:val="26"/>
    <w:qFormat/>
    <w:uiPriority w:val="0"/>
    <w:rPr>
      <w:rFonts w:hint="default" w:ascii="等线" w:hAnsi="等线" w:eastAsia="等线" w:cs="等线"/>
      <w:color w:val="000000"/>
      <w:sz w:val="21"/>
      <w:szCs w:val="21"/>
      <w:u w:val="none"/>
    </w:rPr>
  </w:style>
  <w:style w:type="character" w:customStyle="1" w:styleId="177">
    <w:name w:val="font01"/>
    <w:basedOn w:val="26"/>
    <w:qFormat/>
    <w:uiPriority w:val="0"/>
    <w:rPr>
      <w:rFonts w:hint="eastAsia" w:ascii="宋体" w:hAnsi="宋体" w:eastAsia="宋体" w:cs="宋体"/>
      <w:color w:val="000000"/>
      <w:sz w:val="21"/>
      <w:szCs w:val="21"/>
      <w:u w:val="none"/>
    </w:rPr>
  </w:style>
  <w:style w:type="paragraph" w:customStyle="1" w:styleId="178">
    <w:name w:val="修订2"/>
    <w:unhideWhenUsed/>
    <w:qFormat/>
    <w:uiPriority w:val="99"/>
    <w:rPr>
      <w:rFonts w:ascii="Calibri" w:hAnsi="Calibri" w:eastAsia="宋体" w:cs="Times New Roman"/>
      <w:kern w:val="2"/>
      <w:sz w:val="21"/>
      <w:szCs w:val="22"/>
      <w:lang w:val="en-US" w:eastAsia="zh-CN" w:bidi="ar-SA"/>
    </w:rPr>
  </w:style>
  <w:style w:type="character" w:customStyle="1" w:styleId="179">
    <w:name w:val="s2"/>
    <w:qFormat/>
    <w:uiPriority w:val="0"/>
  </w:style>
  <w:style w:type="paragraph" w:customStyle="1" w:styleId="18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0"/>
    <customShpInfo spid="_x0000_s1026"/>
    <customShpInfo spid="_x0000_s1028"/>
    <customShpInfo spid="_x0000_s1029"/>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39765</Words>
  <Characters>42072</Characters>
  <Lines>349</Lines>
  <Paragraphs>98</Paragraphs>
  <TotalTime>96</TotalTime>
  <ScaleCrop>false</ScaleCrop>
  <LinksUpToDate>false</LinksUpToDate>
  <CharactersWithSpaces>43069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2023-05-29T06:32:00Z</dcterms:created>
  <dc:creator>Administrator</dc:creator>
  <cp:lastModifiedBy>HP</cp:lastModifiedBy>
  <cp:lastPrinted>2023-05-30T04:18:00Z</cp:lastPrinted>
  <dcterms:modified xsi:type="dcterms:W3CDTF">2023-07-05T03:36:27Z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5E794EA06E4F44DAA4DF798C94125EE2</vt:lpwstr>
  </property>
</Properties>
</file>